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114ED3" w14:paraId="509E9351" w14:textId="77777777">
        <w:trPr>
          <w:cantSplit/>
        </w:trPr>
        <w:tc>
          <w:tcPr>
            <w:tcW w:w="6912" w:type="dxa"/>
          </w:tcPr>
          <w:p w14:paraId="3C9F03EA" w14:textId="34E313DB" w:rsidR="00093EEB" w:rsidRPr="00114ED3" w:rsidRDefault="003A584C" w:rsidP="004260EB">
            <w:pPr>
              <w:spacing w:before="360"/>
              <w:rPr>
                <w:szCs w:val="24"/>
              </w:rPr>
            </w:pPr>
            <w:bookmarkStart w:id="0" w:name="dbluepink" w:colFirst="0" w:colLast="0"/>
            <w:r w:rsidRPr="00114ED3">
              <w:rPr>
                <w:b/>
                <w:bCs/>
                <w:sz w:val="30"/>
                <w:szCs w:val="30"/>
              </w:rPr>
              <w:t>Grupo de Trabajo del Consejo sobre los Planes Estratégico y Financiero para 2024-2027</w:t>
            </w:r>
            <w:r w:rsidR="00093EEB" w:rsidRPr="00114ED3">
              <w:rPr>
                <w:b/>
                <w:bCs/>
                <w:sz w:val="26"/>
                <w:szCs w:val="26"/>
              </w:rPr>
              <w:br/>
            </w:r>
            <w:r w:rsidRPr="00114ED3">
              <w:rPr>
                <w:b/>
                <w:bCs/>
                <w:szCs w:val="24"/>
              </w:rPr>
              <w:t xml:space="preserve">Primera reunión </w:t>
            </w:r>
            <w:r w:rsidR="005A1840" w:rsidRPr="00114ED3">
              <w:rPr>
                <w:b/>
                <w:bCs/>
                <w:szCs w:val="24"/>
              </w:rPr>
              <w:t xml:space="preserve">– Virtual, 29-30 </w:t>
            </w:r>
            <w:r w:rsidRPr="00114ED3">
              <w:rPr>
                <w:b/>
                <w:bCs/>
                <w:szCs w:val="24"/>
              </w:rPr>
              <w:t>de septiembre de</w:t>
            </w:r>
            <w:r w:rsidR="005A1840" w:rsidRPr="00114ED3">
              <w:rPr>
                <w:b/>
                <w:bCs/>
                <w:szCs w:val="24"/>
              </w:rPr>
              <w:t xml:space="preserve"> 2021</w:t>
            </w:r>
          </w:p>
        </w:tc>
        <w:tc>
          <w:tcPr>
            <w:tcW w:w="3261" w:type="dxa"/>
          </w:tcPr>
          <w:p w14:paraId="3B65EF6A" w14:textId="77777777" w:rsidR="00093EEB" w:rsidRPr="00114ED3" w:rsidRDefault="007955DA" w:rsidP="004260EB">
            <w:pPr>
              <w:spacing w:before="0"/>
              <w:rPr>
                <w:szCs w:val="24"/>
              </w:rPr>
            </w:pPr>
            <w:bookmarkStart w:id="1" w:name="ditulogo"/>
            <w:bookmarkEnd w:id="1"/>
            <w:r w:rsidRPr="00114ED3">
              <w:rPr>
                <w:noProof/>
                <w:lang w:eastAsia="zh-CN"/>
              </w:rPr>
              <w:drawing>
                <wp:inline distT="0" distB="0" distL="0" distR="0" wp14:anchorId="2EA8E8B5" wp14:editId="20F437A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114ED3" w14:paraId="3722BAF5" w14:textId="77777777">
        <w:trPr>
          <w:cantSplit/>
          <w:trHeight w:val="20"/>
        </w:trPr>
        <w:tc>
          <w:tcPr>
            <w:tcW w:w="10173" w:type="dxa"/>
            <w:gridSpan w:val="2"/>
            <w:tcBorders>
              <w:bottom w:val="single" w:sz="12" w:space="0" w:color="auto"/>
            </w:tcBorders>
          </w:tcPr>
          <w:p w14:paraId="6E867426" w14:textId="77777777" w:rsidR="00093EEB" w:rsidRPr="00114ED3" w:rsidRDefault="00093EEB" w:rsidP="004260EB">
            <w:pPr>
              <w:spacing w:before="0"/>
              <w:rPr>
                <w:b/>
                <w:bCs/>
                <w:szCs w:val="24"/>
              </w:rPr>
            </w:pPr>
          </w:p>
        </w:tc>
      </w:tr>
      <w:tr w:rsidR="00093EEB" w:rsidRPr="00114ED3" w14:paraId="52A2B439" w14:textId="77777777">
        <w:trPr>
          <w:cantSplit/>
          <w:trHeight w:val="20"/>
        </w:trPr>
        <w:tc>
          <w:tcPr>
            <w:tcW w:w="6912" w:type="dxa"/>
            <w:tcBorders>
              <w:top w:val="single" w:sz="12" w:space="0" w:color="auto"/>
            </w:tcBorders>
          </w:tcPr>
          <w:p w14:paraId="4A6B2B3C" w14:textId="77777777" w:rsidR="00093EEB" w:rsidRPr="00114ED3" w:rsidRDefault="00093EEB" w:rsidP="004260EB">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14:paraId="0C667BA9" w14:textId="77777777" w:rsidR="00093EEB" w:rsidRPr="00114ED3" w:rsidRDefault="00093EEB" w:rsidP="004260EB">
            <w:pPr>
              <w:spacing w:before="0"/>
              <w:rPr>
                <w:b/>
                <w:bCs/>
                <w:szCs w:val="24"/>
              </w:rPr>
            </w:pPr>
          </w:p>
        </w:tc>
      </w:tr>
      <w:tr w:rsidR="00093EEB" w:rsidRPr="00114ED3" w14:paraId="23AF1C7F" w14:textId="77777777">
        <w:trPr>
          <w:cantSplit/>
          <w:trHeight w:val="20"/>
        </w:trPr>
        <w:tc>
          <w:tcPr>
            <w:tcW w:w="6912" w:type="dxa"/>
            <w:shd w:val="clear" w:color="auto" w:fill="auto"/>
          </w:tcPr>
          <w:p w14:paraId="46E8C087" w14:textId="77777777" w:rsidR="00093EEB" w:rsidRPr="00114ED3" w:rsidRDefault="00093EEB" w:rsidP="004260EB">
            <w:pPr>
              <w:tabs>
                <w:tab w:val="clear" w:pos="2268"/>
                <w:tab w:val="left" w:pos="1560"/>
                <w:tab w:val="left" w:pos="2269"/>
                <w:tab w:val="left" w:pos="3544"/>
                <w:tab w:val="left" w:pos="3969"/>
              </w:tabs>
              <w:spacing w:before="0"/>
              <w:rPr>
                <w:rFonts w:cs="Times"/>
                <w:b/>
                <w:szCs w:val="24"/>
              </w:rPr>
            </w:pPr>
            <w:bookmarkStart w:id="2" w:name="dnum" w:colFirst="1" w:colLast="1"/>
            <w:bookmarkStart w:id="3" w:name="dmeeting" w:colFirst="0" w:colLast="0"/>
          </w:p>
        </w:tc>
        <w:tc>
          <w:tcPr>
            <w:tcW w:w="3261" w:type="dxa"/>
          </w:tcPr>
          <w:p w14:paraId="6A2EE25E" w14:textId="1394E66E" w:rsidR="00093EEB" w:rsidRPr="00114ED3" w:rsidRDefault="005A1840" w:rsidP="004260EB">
            <w:pPr>
              <w:spacing w:before="0"/>
              <w:rPr>
                <w:b/>
                <w:bCs/>
                <w:szCs w:val="24"/>
              </w:rPr>
            </w:pPr>
            <w:r w:rsidRPr="00114ED3">
              <w:rPr>
                <w:b/>
                <w:bCs/>
                <w:szCs w:val="24"/>
              </w:rPr>
              <w:t>Documento CWG-SFP-1/</w:t>
            </w:r>
            <w:r w:rsidR="00DB7EA6" w:rsidRPr="00114ED3">
              <w:rPr>
                <w:b/>
                <w:bCs/>
                <w:szCs w:val="24"/>
              </w:rPr>
              <w:t>12</w:t>
            </w:r>
            <w:r w:rsidRPr="00114ED3">
              <w:rPr>
                <w:b/>
                <w:bCs/>
                <w:szCs w:val="24"/>
              </w:rPr>
              <w:t>-S</w:t>
            </w:r>
          </w:p>
        </w:tc>
      </w:tr>
      <w:tr w:rsidR="00093EEB" w:rsidRPr="00114ED3" w14:paraId="0E8E77A1" w14:textId="77777777">
        <w:trPr>
          <w:cantSplit/>
          <w:trHeight w:val="20"/>
        </w:trPr>
        <w:tc>
          <w:tcPr>
            <w:tcW w:w="6912" w:type="dxa"/>
            <w:shd w:val="clear" w:color="auto" w:fill="auto"/>
          </w:tcPr>
          <w:p w14:paraId="0FE500A4" w14:textId="77777777" w:rsidR="00093EEB" w:rsidRPr="00114ED3" w:rsidRDefault="00093EEB" w:rsidP="004260EB">
            <w:pPr>
              <w:shd w:val="solid" w:color="FFFFFF" w:fill="FFFFFF"/>
              <w:spacing w:before="0"/>
              <w:rPr>
                <w:smallCaps/>
                <w:szCs w:val="24"/>
              </w:rPr>
            </w:pPr>
            <w:bookmarkStart w:id="4" w:name="ddate" w:colFirst="1" w:colLast="1"/>
            <w:bookmarkEnd w:id="2"/>
            <w:bookmarkEnd w:id="3"/>
          </w:p>
        </w:tc>
        <w:tc>
          <w:tcPr>
            <w:tcW w:w="3261" w:type="dxa"/>
          </w:tcPr>
          <w:p w14:paraId="5F565883" w14:textId="0B899CF7" w:rsidR="00093EEB" w:rsidRPr="00114ED3" w:rsidRDefault="00DB7EA6" w:rsidP="004260EB">
            <w:pPr>
              <w:spacing w:before="0"/>
              <w:rPr>
                <w:b/>
                <w:bCs/>
                <w:szCs w:val="24"/>
              </w:rPr>
            </w:pPr>
            <w:r w:rsidRPr="00114ED3">
              <w:rPr>
                <w:b/>
                <w:bCs/>
                <w:szCs w:val="24"/>
              </w:rPr>
              <w:t xml:space="preserve">30 </w:t>
            </w:r>
            <w:r w:rsidR="0015635A" w:rsidRPr="00114ED3">
              <w:rPr>
                <w:b/>
                <w:bCs/>
                <w:szCs w:val="24"/>
              </w:rPr>
              <w:t>de septiembre de 2021</w:t>
            </w:r>
          </w:p>
        </w:tc>
      </w:tr>
      <w:tr w:rsidR="00093EEB" w:rsidRPr="00114ED3" w14:paraId="6D7EF81A" w14:textId="77777777">
        <w:trPr>
          <w:cantSplit/>
          <w:trHeight w:val="20"/>
        </w:trPr>
        <w:tc>
          <w:tcPr>
            <w:tcW w:w="6912" w:type="dxa"/>
            <w:shd w:val="clear" w:color="auto" w:fill="auto"/>
          </w:tcPr>
          <w:p w14:paraId="0A900D65" w14:textId="77777777" w:rsidR="00093EEB" w:rsidRPr="00114ED3" w:rsidRDefault="00093EEB" w:rsidP="004260EB">
            <w:pPr>
              <w:shd w:val="solid" w:color="FFFFFF" w:fill="FFFFFF"/>
              <w:spacing w:before="0"/>
              <w:rPr>
                <w:smallCaps/>
                <w:szCs w:val="24"/>
              </w:rPr>
            </w:pPr>
            <w:bookmarkStart w:id="5" w:name="dorlang" w:colFirst="1" w:colLast="1"/>
            <w:bookmarkEnd w:id="4"/>
          </w:p>
        </w:tc>
        <w:tc>
          <w:tcPr>
            <w:tcW w:w="3261" w:type="dxa"/>
          </w:tcPr>
          <w:p w14:paraId="535E8E1E" w14:textId="77777777" w:rsidR="00093EEB" w:rsidRPr="00114ED3" w:rsidRDefault="00093EEB" w:rsidP="004260EB">
            <w:pPr>
              <w:spacing w:before="0"/>
              <w:rPr>
                <w:b/>
                <w:bCs/>
                <w:szCs w:val="24"/>
              </w:rPr>
            </w:pPr>
            <w:r w:rsidRPr="00114ED3">
              <w:rPr>
                <w:b/>
                <w:bCs/>
                <w:szCs w:val="24"/>
              </w:rPr>
              <w:t>Original: inglés</w:t>
            </w:r>
          </w:p>
        </w:tc>
      </w:tr>
      <w:tr w:rsidR="00093EEB" w:rsidRPr="00114ED3" w14:paraId="2D243CAD" w14:textId="77777777">
        <w:trPr>
          <w:cantSplit/>
        </w:trPr>
        <w:tc>
          <w:tcPr>
            <w:tcW w:w="10173" w:type="dxa"/>
            <w:gridSpan w:val="2"/>
          </w:tcPr>
          <w:p w14:paraId="3B00EA2B" w14:textId="7EB32EDB" w:rsidR="00093EEB" w:rsidRPr="00114ED3" w:rsidRDefault="00DB7EA6" w:rsidP="004260EB">
            <w:pPr>
              <w:pStyle w:val="Source"/>
            </w:pPr>
            <w:bookmarkStart w:id="6" w:name="dsource" w:colFirst="0" w:colLast="0"/>
            <w:bookmarkStart w:id="7" w:name="_Hlk83034783"/>
            <w:bookmarkEnd w:id="0"/>
            <w:bookmarkEnd w:id="5"/>
            <w:r w:rsidRPr="00114ED3">
              <w:t>Contribu</w:t>
            </w:r>
            <w:r w:rsidR="00612004" w:rsidRPr="00114ED3">
              <w:t xml:space="preserve">ción del Presidente del GTC-PEF </w:t>
            </w:r>
          </w:p>
        </w:tc>
      </w:tr>
      <w:tr w:rsidR="00093EEB" w:rsidRPr="00114ED3" w14:paraId="2FF2D504" w14:textId="77777777">
        <w:trPr>
          <w:cantSplit/>
        </w:trPr>
        <w:tc>
          <w:tcPr>
            <w:tcW w:w="10173" w:type="dxa"/>
            <w:gridSpan w:val="2"/>
          </w:tcPr>
          <w:p w14:paraId="62389682" w14:textId="75D5ABD1" w:rsidR="00093EEB" w:rsidRPr="00114ED3" w:rsidRDefault="00612004" w:rsidP="004260EB">
            <w:pPr>
              <w:pStyle w:val="Title1"/>
            </w:pPr>
            <w:bookmarkStart w:id="8" w:name="dtitle1" w:colFirst="0" w:colLast="0"/>
            <w:bookmarkEnd w:id="6"/>
            <w:r w:rsidRPr="00114ED3">
              <w:t xml:space="preserve">PRINCIPIOS/DIRECTRICES </w:t>
            </w:r>
            <w:r w:rsidR="00DB7EA6" w:rsidRPr="00114ED3">
              <w:br/>
            </w:r>
            <w:r w:rsidRPr="00114ED3">
              <w:t xml:space="preserve"> PARA LA ELABORACIÓN DEL PROYECTO DE PLAN ESTRATÉGICO PARA </w:t>
            </w:r>
            <w:r w:rsidR="00DB7EA6" w:rsidRPr="00114ED3">
              <w:t>2024–2027</w:t>
            </w:r>
          </w:p>
        </w:tc>
      </w:tr>
      <w:bookmarkEnd w:id="8"/>
      <w:bookmarkEnd w:id="7"/>
    </w:tbl>
    <w:p w14:paraId="46EECD02" w14:textId="2357B8A7" w:rsidR="00DB7EA6" w:rsidRPr="00114ED3" w:rsidRDefault="00DB7EA6" w:rsidP="004260EB"/>
    <w:p w14:paraId="0C722D86" w14:textId="77777777" w:rsidR="00DB7EA6" w:rsidRPr="00114ED3" w:rsidRDefault="00DB7EA6" w:rsidP="004260EB"/>
    <w:p w14:paraId="13492D26" w14:textId="77777777" w:rsidR="00DB7EA6" w:rsidRPr="00114ED3" w:rsidRDefault="00DB7EA6" w:rsidP="004260EB">
      <w:pPr>
        <w:sectPr w:rsidR="00DB7EA6" w:rsidRPr="00114ED3" w:rsidSect="008813E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pPr>
    </w:p>
    <w:tbl>
      <w:tblPr>
        <w:tblW w:w="14610" w:type="dxa"/>
        <w:jc w:val="center"/>
        <w:tblLayout w:type="fixed"/>
        <w:tblLook w:val="04A0" w:firstRow="1" w:lastRow="0" w:firstColumn="1" w:lastColumn="0" w:noHBand="0" w:noVBand="1"/>
      </w:tblPr>
      <w:tblGrid>
        <w:gridCol w:w="1560"/>
        <w:gridCol w:w="7933"/>
        <w:gridCol w:w="1564"/>
        <w:gridCol w:w="3553"/>
      </w:tblGrid>
      <w:tr w:rsidR="00615250" w:rsidRPr="00114ED3" w14:paraId="0A26E3B6" w14:textId="77777777" w:rsidTr="00615250">
        <w:trPr>
          <w:trHeight w:val="555"/>
          <w:tblHeader/>
          <w:jc w:val="center"/>
        </w:trPr>
        <w:tc>
          <w:tcPr>
            <w:tcW w:w="14610" w:type="dxa"/>
            <w:gridSpan w:val="4"/>
            <w:tcBorders>
              <w:bottom w:val="single" w:sz="2" w:space="0" w:color="auto"/>
            </w:tcBorders>
            <w:shd w:val="clear" w:color="auto" w:fill="8DB3E2" w:themeFill="text2" w:themeFillTint="66"/>
            <w:vAlign w:val="center"/>
          </w:tcPr>
          <w:p w14:paraId="3C259DE3" w14:textId="1EBD4457" w:rsidR="00615250" w:rsidRPr="00114ED3" w:rsidRDefault="00615250" w:rsidP="00615250">
            <w:pPr>
              <w:pStyle w:val="Tablehead"/>
              <w:jc w:val="left"/>
              <w:rPr>
                <w:lang w:eastAsia="en-GB"/>
              </w:rPr>
            </w:pPr>
            <w:r>
              <w:rPr>
                <w:lang w:eastAsia="en-GB"/>
              </w:rPr>
              <w:lastRenderedPageBreak/>
              <w:t>1</w:t>
            </w:r>
            <w:r>
              <w:rPr>
                <w:lang w:eastAsia="en-GB"/>
              </w:rPr>
              <w:tab/>
            </w:r>
            <w:r w:rsidRPr="00615250">
              <w:rPr>
                <w:lang w:val="fr-FR"/>
              </w:rPr>
              <w:t>Sencillez y claridad</w:t>
            </w:r>
          </w:p>
        </w:tc>
      </w:tr>
      <w:tr w:rsidR="00DB7EA6" w:rsidRPr="00114ED3" w14:paraId="02F42E12" w14:textId="77777777" w:rsidTr="00647A60">
        <w:trPr>
          <w:trHeight w:val="555"/>
          <w:tblHeader/>
          <w:jc w:val="center"/>
        </w:trPr>
        <w:tc>
          <w:tcPr>
            <w:tcW w:w="1560" w:type="dxa"/>
            <w:tcBorders>
              <w:bottom w:val="single" w:sz="2" w:space="0" w:color="auto"/>
            </w:tcBorders>
            <w:shd w:val="clear" w:color="auto" w:fill="auto"/>
            <w:vAlign w:val="center"/>
            <w:hideMark/>
          </w:tcPr>
          <w:p w14:paraId="68944BC9" w14:textId="6D8361E8" w:rsidR="00DB7EA6" w:rsidRPr="00114ED3" w:rsidRDefault="00612004" w:rsidP="00647A60">
            <w:pPr>
              <w:pStyle w:val="Tablehead"/>
              <w:rPr>
                <w:lang w:eastAsia="en-GB"/>
              </w:rPr>
            </w:pPr>
            <w:r w:rsidRPr="00114ED3">
              <w:rPr>
                <w:lang w:eastAsia="en-GB"/>
              </w:rPr>
              <w:t>Origen de las</w:t>
            </w:r>
            <w:r w:rsidR="00172675" w:rsidRPr="00114ED3">
              <w:rPr>
                <w:lang w:eastAsia="en-GB"/>
              </w:rPr>
              <w:t xml:space="preserve"> </w:t>
            </w:r>
            <w:r w:rsidR="00862CA6">
              <w:rPr>
                <w:lang w:eastAsia="en-GB"/>
              </w:rPr>
              <w:t>observaciones</w:t>
            </w:r>
          </w:p>
        </w:tc>
        <w:tc>
          <w:tcPr>
            <w:tcW w:w="7933" w:type="dxa"/>
            <w:tcBorders>
              <w:bottom w:val="single" w:sz="2" w:space="0" w:color="auto"/>
            </w:tcBorders>
            <w:shd w:val="clear" w:color="auto" w:fill="auto"/>
            <w:vAlign w:val="center"/>
            <w:hideMark/>
          </w:tcPr>
          <w:p w14:paraId="1C2C41E7" w14:textId="795955D8" w:rsidR="00DB7EA6" w:rsidRPr="00114ED3" w:rsidRDefault="00862CA6" w:rsidP="00647A60">
            <w:pPr>
              <w:pStyle w:val="Tablehead"/>
              <w:rPr>
                <w:lang w:eastAsia="en-GB"/>
              </w:rPr>
            </w:pPr>
            <w:r w:rsidRPr="00862CA6">
              <w:rPr>
                <w:lang w:eastAsia="en-GB"/>
              </w:rPr>
              <w:t>Observaciones</w:t>
            </w:r>
          </w:p>
        </w:tc>
        <w:tc>
          <w:tcPr>
            <w:tcW w:w="1564" w:type="dxa"/>
            <w:tcBorders>
              <w:bottom w:val="single" w:sz="2" w:space="0" w:color="auto"/>
            </w:tcBorders>
            <w:shd w:val="clear" w:color="auto" w:fill="auto"/>
            <w:vAlign w:val="center"/>
            <w:hideMark/>
          </w:tcPr>
          <w:p w14:paraId="68E8F343" w14:textId="270484B7" w:rsidR="00DB7EA6" w:rsidRPr="00114ED3" w:rsidRDefault="00612004" w:rsidP="00647A60">
            <w:pPr>
              <w:pStyle w:val="Tablehead"/>
              <w:rPr>
                <w:lang w:eastAsia="en-GB"/>
              </w:rPr>
            </w:pPr>
            <w:r w:rsidRPr="00114ED3">
              <w:rPr>
                <w:lang w:eastAsia="en-GB"/>
              </w:rPr>
              <w:t xml:space="preserve">Doc. del </w:t>
            </w:r>
            <w:r w:rsidR="00647A60">
              <w:rPr>
                <w:lang w:eastAsia="en-GB"/>
              </w:rPr>
              <w:br/>
            </w:r>
            <w:r w:rsidRPr="00114ED3">
              <w:rPr>
                <w:lang w:eastAsia="en-GB"/>
              </w:rPr>
              <w:t>GTC-PEF</w:t>
            </w:r>
          </w:p>
        </w:tc>
        <w:tc>
          <w:tcPr>
            <w:tcW w:w="3553" w:type="dxa"/>
            <w:tcBorders>
              <w:bottom w:val="single" w:sz="2" w:space="0" w:color="auto"/>
            </w:tcBorders>
            <w:shd w:val="clear" w:color="auto" w:fill="auto"/>
            <w:vAlign w:val="center"/>
            <w:hideMark/>
          </w:tcPr>
          <w:p w14:paraId="4BC941F5" w14:textId="61DCEACE" w:rsidR="00DB7EA6" w:rsidRPr="00114ED3" w:rsidRDefault="00612004" w:rsidP="00647A60">
            <w:pPr>
              <w:pStyle w:val="Tablehead"/>
              <w:rPr>
                <w:lang w:eastAsia="en-GB"/>
              </w:rPr>
            </w:pPr>
            <w:r w:rsidRPr="00114ED3">
              <w:rPr>
                <w:lang w:eastAsia="en-GB"/>
              </w:rPr>
              <w:t>Orientaciones del GTC-PEF</w:t>
            </w:r>
          </w:p>
        </w:tc>
      </w:tr>
      <w:tr w:rsidR="00DB7EA6" w:rsidRPr="00114ED3" w14:paraId="71CF3504" w14:textId="77777777" w:rsidTr="00647A60">
        <w:trPr>
          <w:trHeight w:val="1095"/>
          <w:jc w:val="center"/>
        </w:trPr>
        <w:tc>
          <w:tcPr>
            <w:tcW w:w="1560" w:type="dxa"/>
            <w:tcBorders>
              <w:top w:val="single" w:sz="2" w:space="0" w:color="auto"/>
            </w:tcBorders>
            <w:shd w:val="clear" w:color="EDEDED" w:fill="EDEDED"/>
            <w:hideMark/>
          </w:tcPr>
          <w:p w14:paraId="6C9828C0" w14:textId="0B35C6B8" w:rsidR="00DB7EA6" w:rsidRPr="00114ED3" w:rsidRDefault="00612004" w:rsidP="00647A60">
            <w:pPr>
              <w:pStyle w:val="Tabletext"/>
              <w:rPr>
                <w:lang w:eastAsia="en-GB"/>
              </w:rPr>
            </w:pPr>
            <w:bookmarkStart w:id="9" w:name="lt_pId019"/>
            <w:r w:rsidRPr="00114ED3">
              <w:rPr>
                <w:lang w:eastAsia="en-GB"/>
              </w:rPr>
              <w:t>Consulta en línea</w:t>
            </w:r>
            <w:r w:rsidR="00DB7EA6" w:rsidRPr="00114ED3">
              <w:rPr>
                <w:lang w:eastAsia="en-GB"/>
              </w:rPr>
              <w:t>:</w:t>
            </w:r>
            <w:bookmarkEnd w:id="9"/>
          </w:p>
        </w:tc>
        <w:tc>
          <w:tcPr>
            <w:tcW w:w="7933" w:type="dxa"/>
            <w:tcBorders>
              <w:top w:val="single" w:sz="2" w:space="0" w:color="auto"/>
            </w:tcBorders>
            <w:shd w:val="clear" w:color="EDEDED" w:fill="EDEDED"/>
            <w:hideMark/>
          </w:tcPr>
          <w:p w14:paraId="404DE383" w14:textId="5453A048" w:rsidR="00647A60" w:rsidRDefault="00647A60" w:rsidP="00647A60">
            <w:pPr>
              <w:pStyle w:val="Tabletext"/>
              <w:ind w:left="313" w:hanging="313"/>
              <w:rPr>
                <w:lang w:eastAsia="en-GB"/>
              </w:rPr>
            </w:pPr>
            <w:bookmarkStart w:id="10" w:name="lt_pId020"/>
            <w:r>
              <w:rPr>
                <w:lang w:eastAsia="en-GB"/>
              </w:rPr>
              <w:t>–</w:t>
            </w:r>
            <w:r>
              <w:rPr>
                <w:lang w:eastAsia="en-GB"/>
              </w:rPr>
              <w:tab/>
            </w:r>
            <w:r w:rsidR="00BE368E" w:rsidRPr="00114ED3">
              <w:rPr>
                <w:lang w:eastAsia="en-GB"/>
              </w:rPr>
              <w:t>En diversas contribuciones se propone</w:t>
            </w:r>
            <w:r w:rsidR="00612004" w:rsidRPr="00114ED3">
              <w:rPr>
                <w:lang w:eastAsia="en-GB"/>
              </w:rPr>
              <w:t xml:space="preserve"> una</w:t>
            </w:r>
            <w:r w:rsidR="00BE368E" w:rsidRPr="00114ED3">
              <w:rPr>
                <w:lang w:eastAsia="en-GB"/>
              </w:rPr>
              <w:t xml:space="preserve"> mayor </w:t>
            </w:r>
            <w:r w:rsidR="00BE368E" w:rsidRPr="00114ED3">
              <w:rPr>
                <w:b/>
                <w:bCs/>
                <w:lang w:eastAsia="en-GB"/>
              </w:rPr>
              <w:t>claridad</w:t>
            </w:r>
            <w:r w:rsidR="00BE368E" w:rsidRPr="00114ED3">
              <w:rPr>
                <w:lang w:eastAsia="en-GB"/>
              </w:rPr>
              <w:t xml:space="preserve"> (en cuanto a las relaciones entre los componentes del marco y la vinculación con el plan financiero) y</w:t>
            </w:r>
            <w:r w:rsidR="00612004" w:rsidRPr="00114ED3">
              <w:rPr>
                <w:lang w:eastAsia="en-GB"/>
              </w:rPr>
              <w:t xml:space="preserve"> una</w:t>
            </w:r>
            <w:r w:rsidR="00BE368E" w:rsidRPr="00114ED3">
              <w:rPr>
                <w:lang w:eastAsia="en-GB"/>
              </w:rPr>
              <w:t xml:space="preserve"> </w:t>
            </w:r>
            <w:r w:rsidR="00BE368E" w:rsidRPr="00114ED3">
              <w:rPr>
                <w:b/>
                <w:bCs/>
                <w:lang w:eastAsia="en-GB"/>
              </w:rPr>
              <w:t>simplificación de los distintos componentes</w:t>
            </w:r>
            <w:bookmarkStart w:id="11" w:name="lt_pId021"/>
            <w:bookmarkEnd w:id="10"/>
            <w:r w:rsidR="006B42B7">
              <w:rPr>
                <w:b/>
                <w:bCs/>
                <w:lang w:eastAsia="en-GB"/>
              </w:rPr>
              <w:t>.</w:t>
            </w:r>
          </w:p>
          <w:p w14:paraId="1FE07724" w14:textId="2738BC22" w:rsidR="00647A60" w:rsidRDefault="00647A60" w:rsidP="00647A60">
            <w:pPr>
              <w:pStyle w:val="Tabletext"/>
              <w:ind w:left="313" w:hanging="313"/>
              <w:rPr>
                <w:lang w:eastAsia="en-GB"/>
              </w:rPr>
            </w:pPr>
            <w:r>
              <w:rPr>
                <w:lang w:eastAsia="en-GB"/>
              </w:rPr>
              <w:t>–</w:t>
            </w:r>
            <w:r>
              <w:rPr>
                <w:lang w:eastAsia="en-GB"/>
              </w:rPr>
              <w:tab/>
            </w:r>
            <w:r w:rsidR="00BE368E" w:rsidRPr="00114ED3">
              <w:rPr>
                <w:lang w:eastAsia="en-GB"/>
              </w:rPr>
              <w:t>También se propone</w:t>
            </w:r>
            <w:r w:rsidR="00BE368E" w:rsidRPr="00114ED3">
              <w:rPr>
                <w:b/>
                <w:bCs/>
                <w:lang w:eastAsia="en-GB"/>
              </w:rPr>
              <w:t xml:space="preserve"> evitar centrarse en las numerosas actividades</w:t>
            </w:r>
            <w:bookmarkStart w:id="12" w:name="lt_pId022"/>
            <w:bookmarkEnd w:id="11"/>
            <w:r w:rsidR="006B42B7">
              <w:rPr>
                <w:b/>
                <w:bCs/>
                <w:lang w:eastAsia="en-GB"/>
              </w:rPr>
              <w:t>.</w:t>
            </w:r>
          </w:p>
          <w:p w14:paraId="24604125" w14:textId="2073C363" w:rsidR="00DB7EA6" w:rsidRPr="00114ED3" w:rsidRDefault="00647A60" w:rsidP="00647A60">
            <w:pPr>
              <w:pStyle w:val="Tabletext"/>
              <w:ind w:left="313" w:hanging="313"/>
              <w:rPr>
                <w:b/>
                <w:color w:val="800000"/>
                <w:lang w:eastAsia="en-GB"/>
              </w:rPr>
            </w:pPr>
            <w:r>
              <w:rPr>
                <w:lang w:eastAsia="en-GB"/>
              </w:rPr>
              <w:t>–</w:t>
            </w:r>
            <w:r>
              <w:rPr>
                <w:lang w:eastAsia="en-GB"/>
              </w:rPr>
              <w:tab/>
            </w:r>
            <w:r w:rsidR="000301E1" w:rsidRPr="00114ED3">
              <w:rPr>
                <w:lang w:eastAsia="en-GB"/>
              </w:rPr>
              <w:t xml:space="preserve">Otra propuesta es </w:t>
            </w:r>
            <w:r w:rsidR="000301E1" w:rsidRPr="00114ED3">
              <w:rPr>
                <w:b/>
                <w:bCs/>
                <w:lang w:eastAsia="en-GB"/>
              </w:rPr>
              <w:t>refundir prioridades</w:t>
            </w:r>
            <w:bookmarkEnd w:id="12"/>
            <w:r w:rsidR="006B42B7">
              <w:rPr>
                <w:lang w:eastAsia="en-GB"/>
              </w:rPr>
              <w:t>.</w:t>
            </w:r>
          </w:p>
        </w:tc>
        <w:tc>
          <w:tcPr>
            <w:tcW w:w="1564" w:type="dxa"/>
            <w:tcBorders>
              <w:top w:val="single" w:sz="2" w:space="0" w:color="auto"/>
            </w:tcBorders>
            <w:shd w:val="clear" w:color="EDEDED" w:fill="EDEDED"/>
            <w:noWrap/>
            <w:vAlign w:val="center"/>
            <w:hideMark/>
          </w:tcPr>
          <w:p w14:paraId="1BAFE882" w14:textId="535A160E" w:rsidR="00DB7EA6" w:rsidRPr="002733C4" w:rsidRDefault="00D91982" w:rsidP="004260E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548DD4" w:themeColor="text2" w:themeTint="99"/>
                <w:sz w:val="22"/>
                <w:szCs w:val="22"/>
                <w:u w:val="single"/>
                <w:lang w:eastAsia="en-GB"/>
              </w:rPr>
            </w:pPr>
            <w:hyperlink r:id="rId12" w:history="1">
              <w:bookmarkStart w:id="13" w:name="lt_pId023"/>
              <w:r w:rsidR="00DB7EA6" w:rsidRPr="002733C4">
                <w:rPr>
                  <w:rFonts w:cs="Calibri"/>
                  <w:color w:val="548DD4" w:themeColor="text2" w:themeTint="99"/>
                  <w:sz w:val="22"/>
                  <w:szCs w:val="22"/>
                  <w:u w:val="single"/>
                  <w:lang w:eastAsia="en-GB"/>
                </w:rPr>
                <w:t>CWG-SFP-1/11</w:t>
              </w:r>
              <w:bookmarkEnd w:id="13"/>
            </w:hyperlink>
          </w:p>
        </w:tc>
        <w:tc>
          <w:tcPr>
            <w:tcW w:w="3553" w:type="dxa"/>
            <w:vMerge w:val="restart"/>
            <w:tcBorders>
              <w:top w:val="single" w:sz="2" w:space="0" w:color="auto"/>
            </w:tcBorders>
            <w:shd w:val="clear" w:color="EDEDED" w:fill="EDEDED"/>
            <w:noWrap/>
            <w:hideMark/>
          </w:tcPr>
          <w:p w14:paraId="059CD939" w14:textId="03043AE2" w:rsidR="00A70143" w:rsidRPr="00114ED3" w:rsidRDefault="006B42B7" w:rsidP="00647A60">
            <w:pPr>
              <w:pStyle w:val="Tabletext"/>
              <w:ind w:left="313" w:hanging="313"/>
              <w:rPr>
                <w:rFonts w:ascii="Times New Roman" w:hAnsi="Times New Roman"/>
                <w:sz w:val="20"/>
                <w:lang w:eastAsia="en-GB"/>
              </w:rPr>
            </w:pPr>
            <w:bookmarkStart w:id="14" w:name="lt_pId024"/>
            <w:r>
              <w:rPr>
                <w:rFonts w:cs="Calibri"/>
                <w:sz w:val="20"/>
                <w:lang w:eastAsia="en-GB"/>
              </w:rPr>
              <w:t>–</w:t>
            </w:r>
            <w:r w:rsidR="00647A60">
              <w:rPr>
                <w:rFonts w:cs="Calibri"/>
                <w:sz w:val="20"/>
                <w:lang w:eastAsia="en-GB"/>
              </w:rPr>
              <w:tab/>
            </w:r>
            <w:r w:rsidR="00A70143" w:rsidRPr="00114ED3">
              <w:rPr>
                <w:rFonts w:cs="Calibri"/>
                <w:sz w:val="20"/>
                <w:lang w:eastAsia="en-GB"/>
              </w:rPr>
              <w:t xml:space="preserve">Solicitar a la secretaría que aporte contribuciones </w:t>
            </w:r>
            <w:r w:rsidR="00114ED3" w:rsidRPr="00114ED3">
              <w:rPr>
                <w:rFonts w:cs="Calibri"/>
                <w:sz w:val="20"/>
                <w:lang w:eastAsia="en-GB"/>
              </w:rPr>
              <w:t xml:space="preserve">sobre formas de simplificar y </w:t>
            </w:r>
            <w:r w:rsidR="00114ED3" w:rsidRPr="00647A60">
              <w:rPr>
                <w:lang w:eastAsia="en-GB"/>
              </w:rPr>
              <w:t>clarificar</w:t>
            </w:r>
            <w:r w:rsidR="00114ED3" w:rsidRPr="00114ED3">
              <w:rPr>
                <w:rFonts w:cs="Calibri"/>
                <w:sz w:val="20"/>
                <w:lang w:eastAsia="en-GB"/>
              </w:rPr>
              <w:t xml:space="preserve"> el marco estratégico, revisando los vínculos y los diferentes elementos de los proyectos de Planes Estratégico y Financiero, para </w:t>
            </w:r>
            <w:r w:rsidR="00114ED3">
              <w:rPr>
                <w:rFonts w:cs="Calibri"/>
                <w:sz w:val="20"/>
                <w:lang w:eastAsia="en-GB"/>
              </w:rPr>
              <w:t>que</w:t>
            </w:r>
            <w:r w:rsidR="00114ED3" w:rsidRPr="00114ED3">
              <w:rPr>
                <w:rFonts w:cs="Calibri"/>
                <w:sz w:val="20"/>
                <w:lang w:eastAsia="en-GB"/>
              </w:rPr>
              <w:t xml:space="preserve"> las prioridades estratégicas de la organización</w:t>
            </w:r>
            <w:r w:rsidR="00114ED3">
              <w:rPr>
                <w:rFonts w:cs="Calibri"/>
                <w:sz w:val="20"/>
                <w:lang w:eastAsia="en-GB"/>
              </w:rPr>
              <w:t xml:space="preserve"> queden mejor reflejadas, </w:t>
            </w:r>
            <w:r w:rsidR="00A70143" w:rsidRPr="00114ED3">
              <w:rPr>
                <w:rFonts w:cs="Calibri"/>
                <w:sz w:val="20"/>
                <w:lang w:eastAsia="en-GB"/>
              </w:rPr>
              <w:t>y las evalúe en la próxima consulta virtual</w:t>
            </w:r>
            <w:bookmarkEnd w:id="14"/>
            <w:r w:rsidR="00647A60">
              <w:rPr>
                <w:rFonts w:cs="Calibri"/>
                <w:sz w:val="20"/>
                <w:lang w:eastAsia="en-GB"/>
              </w:rPr>
              <w:t>.</w:t>
            </w:r>
          </w:p>
          <w:p w14:paraId="46778251" w14:textId="2B3CF80E" w:rsidR="00DB7EA6" w:rsidRPr="00114ED3" w:rsidRDefault="00DB7EA6" w:rsidP="004260E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DB7EA6" w:rsidRPr="00114ED3" w14:paraId="5C276E4A" w14:textId="77777777" w:rsidTr="00647A60">
        <w:trPr>
          <w:trHeight w:val="4050"/>
          <w:jc w:val="center"/>
        </w:trPr>
        <w:tc>
          <w:tcPr>
            <w:tcW w:w="1560" w:type="dxa"/>
            <w:shd w:val="clear" w:color="auto" w:fill="auto"/>
            <w:hideMark/>
          </w:tcPr>
          <w:p w14:paraId="50CFBC8B" w14:textId="0A0DC889" w:rsidR="00DB7EA6" w:rsidRPr="00114ED3" w:rsidRDefault="00DB7EA6" w:rsidP="00647A60">
            <w:pPr>
              <w:pStyle w:val="Tabletext"/>
              <w:rPr>
                <w:lang w:eastAsia="en-GB"/>
              </w:rPr>
            </w:pPr>
            <w:bookmarkStart w:id="15" w:name="lt_pId025"/>
            <w:r w:rsidRPr="00114ED3">
              <w:rPr>
                <w:lang w:eastAsia="en-GB"/>
              </w:rPr>
              <w:t>Recs.</w:t>
            </w:r>
            <w:bookmarkEnd w:id="15"/>
            <w:r w:rsidRPr="00114ED3">
              <w:rPr>
                <w:lang w:eastAsia="en-GB"/>
              </w:rPr>
              <w:t xml:space="preserve"> </w:t>
            </w:r>
            <w:bookmarkStart w:id="16" w:name="lt_pId026"/>
            <w:r w:rsidRPr="00114ED3">
              <w:rPr>
                <w:lang w:eastAsia="en-GB"/>
              </w:rPr>
              <w:t xml:space="preserve">/ </w:t>
            </w:r>
            <w:r w:rsidR="00612004" w:rsidRPr="00114ED3">
              <w:rPr>
                <w:lang w:eastAsia="en-GB"/>
              </w:rPr>
              <w:t>Conclusiones</w:t>
            </w:r>
            <w:r w:rsidRPr="00114ED3">
              <w:rPr>
                <w:lang w:eastAsia="en-GB"/>
              </w:rPr>
              <w:t>:</w:t>
            </w:r>
            <w:bookmarkEnd w:id="16"/>
          </w:p>
        </w:tc>
        <w:tc>
          <w:tcPr>
            <w:tcW w:w="7933" w:type="dxa"/>
            <w:shd w:val="clear" w:color="auto" w:fill="auto"/>
            <w:hideMark/>
          </w:tcPr>
          <w:p w14:paraId="638181DC" w14:textId="3FF7434F" w:rsidR="00647A60" w:rsidRDefault="00DB7EA6" w:rsidP="00647A60">
            <w:pPr>
              <w:pStyle w:val="Tabletext"/>
              <w:rPr>
                <w:i/>
                <w:iCs/>
                <w:lang w:eastAsia="en-GB"/>
              </w:rPr>
            </w:pPr>
            <w:bookmarkStart w:id="17" w:name="lt_pId027"/>
            <w:r w:rsidRPr="00114ED3">
              <w:rPr>
                <w:i/>
                <w:iCs/>
                <w:lang w:eastAsia="en-GB"/>
              </w:rPr>
              <w:t>(</w:t>
            </w:r>
            <w:r w:rsidR="00612004" w:rsidRPr="00114ED3">
              <w:rPr>
                <w:i/>
                <w:iCs/>
                <w:lang w:eastAsia="en-GB"/>
              </w:rPr>
              <w:t xml:space="preserve">Informe de </w:t>
            </w:r>
            <w:r w:rsidRPr="00114ED3">
              <w:rPr>
                <w:i/>
                <w:iCs/>
                <w:lang w:eastAsia="en-GB"/>
              </w:rPr>
              <w:t xml:space="preserve">McKinsey </w:t>
            </w:r>
            <w:r w:rsidR="00612004" w:rsidRPr="00114ED3">
              <w:rPr>
                <w:i/>
                <w:iCs/>
                <w:lang w:eastAsia="en-GB"/>
              </w:rPr>
              <w:t>sobre cultura y competencias</w:t>
            </w:r>
            <w:r w:rsidRPr="00114ED3">
              <w:rPr>
                <w:i/>
                <w:iCs/>
                <w:lang w:eastAsia="en-GB"/>
              </w:rPr>
              <w:t>)</w:t>
            </w:r>
            <w:bookmarkEnd w:id="17"/>
            <w:r w:rsidRPr="00114ED3">
              <w:rPr>
                <w:lang w:eastAsia="en-GB"/>
              </w:rPr>
              <w:br/>
            </w:r>
            <w:bookmarkStart w:id="18" w:name="lt_pId028"/>
            <w:r w:rsidRPr="002A205B">
              <w:rPr>
                <w:b/>
                <w:bCs/>
                <w:lang w:eastAsia="en-GB"/>
              </w:rPr>
              <w:t>c.1</w:t>
            </w:r>
            <w:r w:rsidR="002A205B">
              <w:rPr>
                <w:b/>
                <w:bCs/>
                <w:lang w:eastAsia="en-GB"/>
              </w:rPr>
              <w:t xml:space="preserve"> </w:t>
            </w:r>
            <w:r w:rsidR="00647A60" w:rsidRPr="002A205B">
              <w:rPr>
                <w:b/>
                <w:bCs/>
                <w:lang w:eastAsia="en-GB"/>
              </w:rPr>
              <w:t>–</w:t>
            </w:r>
            <w:r w:rsidRPr="00114ED3">
              <w:rPr>
                <w:lang w:eastAsia="en-GB"/>
              </w:rPr>
              <w:t xml:space="preserve"> </w:t>
            </w:r>
            <w:bookmarkEnd w:id="18"/>
            <w:r w:rsidR="000301E1" w:rsidRPr="00647A60">
              <w:rPr>
                <w:b/>
                <w:bCs/>
                <w:lang w:eastAsia="en-GB"/>
              </w:rPr>
              <w:t>Impulsar la entrada en funcionamiento del mecanismo de fijación de objetivos, garantizando su vinculación con los objetivos estratégicos y la gestión de las consecuencias</w:t>
            </w:r>
            <w:r w:rsidR="000301E1" w:rsidRPr="00114ED3">
              <w:rPr>
                <w:lang w:eastAsia="en-GB"/>
              </w:rPr>
              <w:cr/>
            </w:r>
            <w:bookmarkStart w:id="19" w:name="lt_pId029"/>
            <w:r w:rsidR="00A70143" w:rsidRPr="00114ED3">
              <w:rPr>
                <w:i/>
                <w:iCs/>
                <w:lang w:eastAsia="en-GB"/>
              </w:rPr>
              <w:t>Posible opción</w:t>
            </w:r>
            <w:r w:rsidRPr="00114ED3">
              <w:rPr>
                <w:i/>
                <w:iCs/>
                <w:lang w:eastAsia="en-GB"/>
              </w:rPr>
              <w:t>:</w:t>
            </w:r>
            <w:bookmarkStart w:id="20" w:name="lt_pId030"/>
            <w:bookmarkEnd w:id="19"/>
          </w:p>
          <w:p w14:paraId="478A12A6" w14:textId="760907A2" w:rsidR="000301E1" w:rsidRPr="00114ED3" w:rsidRDefault="00647A60" w:rsidP="00647A60">
            <w:pPr>
              <w:pStyle w:val="Tabletext"/>
              <w:ind w:left="313" w:hanging="313"/>
              <w:rPr>
                <w:color w:val="800000"/>
                <w:lang w:eastAsia="en-GB"/>
              </w:rPr>
            </w:pPr>
            <w:r>
              <w:rPr>
                <w:lang w:eastAsia="en-GB"/>
              </w:rPr>
              <w:t>–</w:t>
            </w:r>
            <w:r>
              <w:rPr>
                <w:lang w:eastAsia="en-GB"/>
              </w:rPr>
              <w:tab/>
            </w:r>
            <w:r w:rsidR="000301E1" w:rsidRPr="00114ED3">
              <w:rPr>
                <w:lang w:eastAsia="en-GB"/>
              </w:rPr>
              <w:t>El GTC</w:t>
            </w:r>
            <w:r>
              <w:rPr>
                <w:lang w:eastAsia="en-GB"/>
              </w:rPr>
              <w:t>-</w:t>
            </w:r>
            <w:r w:rsidR="000301E1" w:rsidRPr="00114ED3">
              <w:rPr>
                <w:lang w:eastAsia="en-GB"/>
              </w:rPr>
              <w:t>PEF considerará la posibilidad de simplificar y aclarar el nuevo marco estratégico para permitir la granularidad de los objetivos/metas estratégicos y su derivación en objetivos individuales y de equipo.</w:t>
            </w:r>
            <w:bookmarkEnd w:id="20"/>
            <w:r w:rsidR="00DB7EA6" w:rsidRPr="00114ED3">
              <w:rPr>
                <w:color w:val="800000"/>
                <w:lang w:eastAsia="en-GB"/>
              </w:rPr>
              <w:t xml:space="preserve"> </w:t>
            </w:r>
            <w:bookmarkStart w:id="21" w:name="lt_pId031"/>
          </w:p>
          <w:p w14:paraId="3D0874D1" w14:textId="77777777" w:rsidR="006B42B7" w:rsidRDefault="00DB7EA6" w:rsidP="00647A60">
            <w:pPr>
              <w:pStyle w:val="Tabletext"/>
              <w:rPr>
                <w:i/>
                <w:iCs/>
                <w:lang w:eastAsia="en-GB"/>
              </w:rPr>
            </w:pPr>
            <w:r w:rsidRPr="00114ED3">
              <w:rPr>
                <w:i/>
                <w:iCs/>
                <w:lang w:eastAsia="en-GB"/>
              </w:rPr>
              <w:t>(</w:t>
            </w:r>
            <w:r w:rsidR="00A70143" w:rsidRPr="00114ED3">
              <w:rPr>
                <w:i/>
                <w:iCs/>
                <w:lang w:eastAsia="en-GB"/>
              </w:rPr>
              <w:t xml:space="preserve">Informe de </w:t>
            </w:r>
            <w:r w:rsidRPr="00114ED3">
              <w:rPr>
                <w:i/>
                <w:iCs/>
                <w:lang w:eastAsia="en-GB"/>
              </w:rPr>
              <w:t xml:space="preserve">PwC </w:t>
            </w:r>
            <w:r w:rsidR="00A70143" w:rsidRPr="00114ED3">
              <w:rPr>
                <w:i/>
                <w:iCs/>
                <w:lang w:eastAsia="en-GB"/>
              </w:rPr>
              <w:t>sobre la presencia regional</w:t>
            </w:r>
            <w:r w:rsidRPr="00114ED3">
              <w:rPr>
                <w:i/>
                <w:iCs/>
                <w:lang w:eastAsia="en-GB"/>
              </w:rPr>
              <w:t>)</w:t>
            </w:r>
            <w:bookmarkEnd w:id="21"/>
          </w:p>
          <w:p w14:paraId="68BF92D9" w14:textId="7239D5E5" w:rsidR="00647A60" w:rsidRDefault="00DB7EA6" w:rsidP="00647A60">
            <w:pPr>
              <w:pStyle w:val="Tabletext"/>
              <w:rPr>
                <w:lang w:eastAsia="en-GB"/>
              </w:rPr>
            </w:pPr>
            <w:r w:rsidRPr="00647A60">
              <w:rPr>
                <w:b/>
                <w:bCs/>
                <w:lang w:eastAsia="en-GB"/>
              </w:rPr>
              <w:t>1.2</w:t>
            </w:r>
            <w:r w:rsidR="002A205B">
              <w:rPr>
                <w:b/>
                <w:bCs/>
                <w:lang w:eastAsia="en-GB"/>
              </w:rPr>
              <w:tab/>
            </w:r>
            <w:r w:rsidR="000301E1" w:rsidRPr="00647A60">
              <w:rPr>
                <w:b/>
                <w:bCs/>
                <w:lang w:eastAsia="en-GB"/>
              </w:rPr>
              <w:t>Mejorar la concreción programática</w:t>
            </w:r>
            <w:r w:rsidRPr="00647A60">
              <w:rPr>
                <w:b/>
                <w:bCs/>
                <w:lang w:eastAsia="en-GB"/>
              </w:rPr>
              <w:br/>
              <w:t>1.2.1</w:t>
            </w:r>
            <w:r w:rsidR="002A205B">
              <w:rPr>
                <w:b/>
                <w:bCs/>
                <w:lang w:eastAsia="en-GB"/>
              </w:rPr>
              <w:tab/>
            </w:r>
            <w:r w:rsidR="000301E1" w:rsidRPr="00647A60">
              <w:rPr>
                <w:b/>
                <w:bCs/>
                <w:lang w:eastAsia="en-GB"/>
              </w:rPr>
              <w:t>Desarrollar un marco estratégico coherente para toda la organización</w:t>
            </w:r>
            <w:r w:rsidRPr="00647A60">
              <w:rPr>
                <w:b/>
                <w:bCs/>
                <w:lang w:eastAsia="en-GB"/>
              </w:rPr>
              <w:br/>
              <w:t>1.2.2</w:t>
            </w:r>
            <w:r w:rsidR="002A205B">
              <w:rPr>
                <w:b/>
                <w:bCs/>
                <w:lang w:eastAsia="en-GB"/>
              </w:rPr>
              <w:tab/>
            </w:r>
            <w:r w:rsidR="000301E1" w:rsidRPr="00647A60">
              <w:rPr>
                <w:b/>
                <w:bCs/>
                <w:lang w:eastAsia="en-GB"/>
              </w:rPr>
              <w:t>Clarificar las prioridades de los programas a nivel mundial</w:t>
            </w:r>
            <w:r w:rsidR="000301E1" w:rsidRPr="00114ED3">
              <w:rPr>
                <w:lang w:eastAsia="en-GB"/>
              </w:rPr>
              <w:t xml:space="preserve"> </w:t>
            </w:r>
            <w:bookmarkStart w:id="22" w:name="lt_pId038"/>
          </w:p>
          <w:p w14:paraId="13CF52A9" w14:textId="77777777" w:rsidR="00647A60" w:rsidRDefault="00A70143" w:rsidP="00647A60">
            <w:pPr>
              <w:pStyle w:val="Tabletext"/>
              <w:rPr>
                <w:lang w:eastAsia="en-GB"/>
              </w:rPr>
            </w:pPr>
            <w:r w:rsidRPr="00114ED3">
              <w:rPr>
                <w:i/>
                <w:iCs/>
                <w:lang w:eastAsia="en-GB"/>
              </w:rPr>
              <w:t>Posible opción</w:t>
            </w:r>
            <w:r w:rsidR="00DB7EA6" w:rsidRPr="00114ED3">
              <w:rPr>
                <w:i/>
                <w:iCs/>
                <w:lang w:eastAsia="en-GB"/>
              </w:rPr>
              <w:t>:</w:t>
            </w:r>
            <w:bookmarkStart w:id="23" w:name="lt_pId039"/>
            <w:bookmarkEnd w:id="22"/>
          </w:p>
          <w:p w14:paraId="0D638C26" w14:textId="21395D93" w:rsidR="00DB7EA6" w:rsidRPr="00114ED3" w:rsidRDefault="00647A60" w:rsidP="00647A60">
            <w:pPr>
              <w:pStyle w:val="Tabletext"/>
              <w:ind w:left="313" w:hanging="313"/>
              <w:rPr>
                <w:lang w:eastAsia="en-GB"/>
              </w:rPr>
            </w:pPr>
            <w:r>
              <w:rPr>
                <w:lang w:eastAsia="en-GB"/>
              </w:rPr>
              <w:t>–</w:t>
            </w:r>
            <w:r>
              <w:rPr>
                <w:lang w:eastAsia="en-GB"/>
              </w:rPr>
              <w:tab/>
            </w:r>
            <w:r w:rsidR="003A57D4" w:rsidRPr="00114ED3">
              <w:rPr>
                <w:lang w:eastAsia="en-GB"/>
              </w:rPr>
              <w:t>El GTC</w:t>
            </w:r>
            <w:r>
              <w:rPr>
                <w:lang w:eastAsia="en-GB"/>
              </w:rPr>
              <w:t>-</w:t>
            </w:r>
            <w:r w:rsidR="003A57D4" w:rsidRPr="00114ED3">
              <w:rPr>
                <w:lang w:eastAsia="en-GB"/>
              </w:rPr>
              <w:t>PEF aclarará y simplificará el marco estratégico y mejorará la vinculación de los objetivos y metas, así como de las prioridades temáticas, a escala regional y mundial</w:t>
            </w:r>
            <w:r w:rsidR="00DB7EA6" w:rsidRPr="00114ED3">
              <w:rPr>
                <w:lang w:eastAsia="en-GB"/>
              </w:rPr>
              <w:t>.</w:t>
            </w:r>
            <w:bookmarkEnd w:id="23"/>
            <w:r w:rsidR="00DB7EA6" w:rsidRPr="00114ED3">
              <w:rPr>
                <w:color w:val="800000"/>
                <w:lang w:eastAsia="en-GB"/>
              </w:rPr>
              <w:t xml:space="preserve"> </w:t>
            </w:r>
          </w:p>
        </w:tc>
        <w:tc>
          <w:tcPr>
            <w:tcW w:w="1564" w:type="dxa"/>
            <w:shd w:val="clear" w:color="auto" w:fill="auto"/>
            <w:noWrap/>
            <w:vAlign w:val="center"/>
            <w:hideMark/>
          </w:tcPr>
          <w:p w14:paraId="3F0437C4" w14:textId="77777777" w:rsidR="00DB7EA6" w:rsidRPr="002733C4" w:rsidRDefault="00D91982" w:rsidP="004260E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548DD4" w:themeColor="text2" w:themeTint="99"/>
                <w:sz w:val="22"/>
                <w:szCs w:val="22"/>
                <w:u w:val="single"/>
                <w:lang w:eastAsia="en-GB"/>
              </w:rPr>
            </w:pPr>
            <w:hyperlink r:id="rId13" w:history="1">
              <w:bookmarkStart w:id="24" w:name="lt_pId040"/>
              <w:r w:rsidR="00DB7EA6" w:rsidRPr="002733C4">
                <w:rPr>
                  <w:rFonts w:cs="Calibri"/>
                  <w:color w:val="548DD4" w:themeColor="text2" w:themeTint="99"/>
                  <w:sz w:val="22"/>
                  <w:szCs w:val="22"/>
                  <w:u w:val="single"/>
                  <w:lang w:eastAsia="en-GB"/>
                </w:rPr>
                <w:t>CWG-SFP-1/5</w:t>
              </w:r>
              <w:bookmarkEnd w:id="24"/>
            </w:hyperlink>
          </w:p>
        </w:tc>
        <w:tc>
          <w:tcPr>
            <w:tcW w:w="3553" w:type="dxa"/>
            <w:vMerge/>
            <w:shd w:val="clear" w:color="auto" w:fill="auto"/>
            <w:noWrap/>
            <w:vAlign w:val="bottom"/>
            <w:hideMark/>
          </w:tcPr>
          <w:p w14:paraId="1FDC2941" w14:textId="77777777" w:rsidR="00DB7EA6" w:rsidRPr="00114ED3" w:rsidRDefault="00DB7EA6" w:rsidP="004260EB">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p>
        </w:tc>
      </w:tr>
    </w:tbl>
    <w:p w14:paraId="6FBEF841" w14:textId="77777777" w:rsidR="00DB7EA6" w:rsidRPr="00114ED3" w:rsidRDefault="00DB7EA6" w:rsidP="004260EB">
      <w:pPr>
        <w:tabs>
          <w:tab w:val="clear" w:pos="567"/>
          <w:tab w:val="clear" w:pos="1134"/>
          <w:tab w:val="clear" w:pos="1701"/>
          <w:tab w:val="clear" w:pos="2268"/>
          <w:tab w:val="clear" w:pos="2835"/>
        </w:tabs>
        <w:overflowPunct/>
        <w:autoSpaceDE/>
        <w:autoSpaceDN/>
        <w:adjustRightInd/>
        <w:spacing w:before="0"/>
        <w:textAlignment w:val="auto"/>
      </w:pPr>
      <w:r w:rsidRPr="00114ED3">
        <w:br w:type="page"/>
      </w:r>
    </w:p>
    <w:tbl>
      <w:tblPr>
        <w:tblW w:w="14572" w:type="dxa"/>
        <w:jc w:val="center"/>
        <w:tblLayout w:type="fixed"/>
        <w:tblLook w:val="04A0" w:firstRow="1" w:lastRow="0" w:firstColumn="1" w:lastColumn="0" w:noHBand="0" w:noVBand="1"/>
      </w:tblPr>
      <w:tblGrid>
        <w:gridCol w:w="1560"/>
        <w:gridCol w:w="7938"/>
        <w:gridCol w:w="1559"/>
        <w:gridCol w:w="3515"/>
      </w:tblGrid>
      <w:tr w:rsidR="00615250" w:rsidRPr="00114ED3" w14:paraId="1E90C2B9" w14:textId="77777777" w:rsidTr="005D3F3D">
        <w:trPr>
          <w:tblHeader/>
          <w:jc w:val="center"/>
        </w:trPr>
        <w:tc>
          <w:tcPr>
            <w:tcW w:w="14572" w:type="dxa"/>
            <w:gridSpan w:val="4"/>
            <w:tcBorders>
              <w:top w:val="single" w:sz="8" w:space="0" w:color="FFFFFF"/>
              <w:left w:val="nil"/>
              <w:bottom w:val="single" w:sz="8" w:space="0" w:color="FFFFFF"/>
              <w:right w:val="nil"/>
            </w:tcBorders>
            <w:shd w:val="clear" w:color="auto" w:fill="8DB3E2" w:themeFill="text2" w:themeFillTint="66"/>
            <w:vAlign w:val="center"/>
          </w:tcPr>
          <w:p w14:paraId="4B8092E9" w14:textId="2FCF98FF" w:rsidR="00615250" w:rsidRPr="00615250" w:rsidRDefault="00615250" w:rsidP="00615250">
            <w:pPr>
              <w:pStyle w:val="Tablehead"/>
              <w:jc w:val="left"/>
              <w:rPr>
                <w:rFonts w:cs="Calibri"/>
                <w:szCs w:val="22"/>
                <w:lang w:eastAsia="en-GB"/>
              </w:rPr>
            </w:pPr>
            <w:r w:rsidRPr="00615250">
              <w:rPr>
                <w:rFonts w:cs="Calibri"/>
                <w:szCs w:val="22"/>
                <w:lang w:eastAsia="en-GB"/>
              </w:rPr>
              <w:lastRenderedPageBreak/>
              <w:t>2</w:t>
            </w:r>
            <w:r w:rsidRPr="00615250">
              <w:rPr>
                <w:rFonts w:cs="Calibri"/>
                <w:szCs w:val="22"/>
                <w:lang w:eastAsia="en-GB"/>
              </w:rPr>
              <w:tab/>
              <w:t>Concreción</w:t>
            </w:r>
          </w:p>
        </w:tc>
      </w:tr>
      <w:tr w:rsidR="00862CA6" w:rsidRPr="00114ED3" w14:paraId="7C028474" w14:textId="77777777" w:rsidTr="005D3F3D">
        <w:trPr>
          <w:tblHeader/>
          <w:jc w:val="center"/>
        </w:trPr>
        <w:tc>
          <w:tcPr>
            <w:tcW w:w="1560" w:type="dxa"/>
            <w:tcBorders>
              <w:top w:val="single" w:sz="8" w:space="0" w:color="FFFFFF"/>
              <w:left w:val="nil"/>
              <w:bottom w:val="single" w:sz="2" w:space="0" w:color="auto"/>
              <w:right w:val="nil"/>
            </w:tcBorders>
            <w:shd w:val="clear" w:color="auto" w:fill="auto"/>
            <w:vAlign w:val="center"/>
            <w:hideMark/>
          </w:tcPr>
          <w:p w14:paraId="1072138C" w14:textId="435B9294" w:rsidR="00862CA6" w:rsidRPr="002733C4" w:rsidRDefault="00862CA6" w:rsidP="002733C4">
            <w:pPr>
              <w:pStyle w:val="Tablehead"/>
              <w:rPr>
                <w:lang w:eastAsia="en-GB"/>
              </w:rPr>
            </w:pPr>
            <w:r w:rsidRPr="002733C4">
              <w:rPr>
                <w:lang w:eastAsia="en-GB"/>
              </w:rPr>
              <w:t>Origen de las observaciones</w:t>
            </w:r>
          </w:p>
        </w:tc>
        <w:tc>
          <w:tcPr>
            <w:tcW w:w="7938" w:type="dxa"/>
            <w:tcBorders>
              <w:top w:val="single" w:sz="8" w:space="0" w:color="FFFFFF"/>
              <w:left w:val="nil"/>
              <w:bottom w:val="single" w:sz="2" w:space="0" w:color="auto"/>
              <w:right w:val="nil"/>
            </w:tcBorders>
            <w:shd w:val="clear" w:color="auto" w:fill="auto"/>
            <w:vAlign w:val="center"/>
            <w:hideMark/>
          </w:tcPr>
          <w:p w14:paraId="036494AA" w14:textId="15B6D790" w:rsidR="00862CA6" w:rsidRPr="002733C4" w:rsidRDefault="00862CA6" w:rsidP="002733C4">
            <w:pPr>
              <w:pStyle w:val="Tablehead"/>
              <w:rPr>
                <w:lang w:eastAsia="en-GB"/>
              </w:rPr>
            </w:pPr>
            <w:r w:rsidRPr="002733C4">
              <w:rPr>
                <w:lang w:eastAsia="en-GB"/>
              </w:rPr>
              <w:t>Observaciones</w:t>
            </w:r>
          </w:p>
        </w:tc>
        <w:tc>
          <w:tcPr>
            <w:tcW w:w="1559" w:type="dxa"/>
            <w:tcBorders>
              <w:top w:val="single" w:sz="8" w:space="0" w:color="FFFFFF"/>
              <w:left w:val="nil"/>
              <w:bottom w:val="single" w:sz="2" w:space="0" w:color="auto"/>
              <w:right w:val="nil"/>
            </w:tcBorders>
            <w:shd w:val="clear" w:color="auto" w:fill="auto"/>
            <w:vAlign w:val="center"/>
            <w:hideMark/>
          </w:tcPr>
          <w:p w14:paraId="44A7F714" w14:textId="68A489DF" w:rsidR="00862CA6" w:rsidRPr="002733C4" w:rsidRDefault="00862CA6" w:rsidP="002733C4">
            <w:pPr>
              <w:pStyle w:val="Tablehead"/>
              <w:rPr>
                <w:lang w:eastAsia="en-GB"/>
              </w:rPr>
            </w:pPr>
            <w:r w:rsidRPr="002733C4">
              <w:rPr>
                <w:lang w:eastAsia="en-GB"/>
              </w:rPr>
              <w:t xml:space="preserve">Doc. del </w:t>
            </w:r>
            <w:r w:rsidR="00615250" w:rsidRPr="002733C4">
              <w:rPr>
                <w:lang w:eastAsia="en-GB"/>
              </w:rPr>
              <w:br/>
            </w:r>
            <w:r w:rsidRPr="002733C4">
              <w:rPr>
                <w:lang w:eastAsia="en-GB"/>
              </w:rPr>
              <w:t>GTC-PEF</w:t>
            </w:r>
          </w:p>
        </w:tc>
        <w:tc>
          <w:tcPr>
            <w:tcW w:w="3515" w:type="dxa"/>
            <w:tcBorders>
              <w:top w:val="single" w:sz="8" w:space="0" w:color="FFFFFF"/>
              <w:left w:val="nil"/>
              <w:bottom w:val="single" w:sz="2" w:space="0" w:color="auto"/>
              <w:right w:val="nil"/>
            </w:tcBorders>
            <w:shd w:val="clear" w:color="auto" w:fill="auto"/>
            <w:vAlign w:val="center"/>
            <w:hideMark/>
          </w:tcPr>
          <w:p w14:paraId="7ABE9261" w14:textId="16D5D9F0" w:rsidR="00862CA6" w:rsidRPr="002733C4" w:rsidRDefault="00862CA6" w:rsidP="002733C4">
            <w:pPr>
              <w:pStyle w:val="Tablehead"/>
              <w:rPr>
                <w:lang w:eastAsia="en-GB"/>
              </w:rPr>
            </w:pPr>
            <w:r w:rsidRPr="002733C4">
              <w:rPr>
                <w:lang w:eastAsia="en-GB"/>
              </w:rPr>
              <w:t>Orientaciones del GTC-PEF</w:t>
            </w:r>
          </w:p>
        </w:tc>
      </w:tr>
      <w:tr w:rsidR="00DB7EA6" w:rsidRPr="00114ED3" w14:paraId="71DC52F9" w14:textId="77777777" w:rsidTr="005D3F3D">
        <w:trPr>
          <w:jc w:val="center"/>
        </w:trPr>
        <w:tc>
          <w:tcPr>
            <w:tcW w:w="1560" w:type="dxa"/>
            <w:tcBorders>
              <w:top w:val="single" w:sz="2" w:space="0" w:color="auto"/>
              <w:left w:val="nil"/>
              <w:bottom w:val="nil"/>
              <w:right w:val="nil"/>
            </w:tcBorders>
            <w:shd w:val="clear" w:color="EDEDED" w:fill="EDEDED"/>
            <w:hideMark/>
          </w:tcPr>
          <w:p w14:paraId="07A041AB" w14:textId="256F5E44" w:rsidR="00DB7EA6" w:rsidRPr="002733C4" w:rsidRDefault="00DC3D30" w:rsidP="002733C4">
            <w:pPr>
              <w:pStyle w:val="Tabletext"/>
              <w:ind w:left="-57"/>
              <w:rPr>
                <w:lang w:eastAsia="en-GB"/>
              </w:rPr>
            </w:pPr>
            <w:r w:rsidRPr="002733C4">
              <w:rPr>
                <w:lang w:eastAsia="en-GB"/>
              </w:rPr>
              <w:t>Contribuciones de Estados Miembros:</w:t>
            </w:r>
          </w:p>
        </w:tc>
        <w:tc>
          <w:tcPr>
            <w:tcW w:w="7938" w:type="dxa"/>
            <w:tcBorders>
              <w:top w:val="single" w:sz="2" w:space="0" w:color="auto"/>
              <w:left w:val="nil"/>
              <w:bottom w:val="nil"/>
              <w:right w:val="nil"/>
            </w:tcBorders>
            <w:shd w:val="clear" w:color="EDEDED" w:fill="EDEDED"/>
            <w:hideMark/>
          </w:tcPr>
          <w:p w14:paraId="1BF3AE11" w14:textId="77777777" w:rsidR="002733C4" w:rsidRDefault="00D8484D" w:rsidP="002733C4">
            <w:pPr>
              <w:pStyle w:val="Tabletext"/>
              <w:ind w:left="313" w:hanging="313"/>
              <w:rPr>
                <w:i/>
                <w:iCs/>
                <w:lang w:eastAsia="en-GB"/>
              </w:rPr>
            </w:pPr>
            <w:bookmarkStart w:id="25" w:name="lt_pId047"/>
            <w:r w:rsidRPr="00114ED3">
              <w:rPr>
                <w:i/>
                <w:iCs/>
                <w:lang w:eastAsia="en-GB"/>
              </w:rPr>
              <w:t>Contribución de la Federación de Rusia</w:t>
            </w:r>
            <w:r w:rsidR="00DB7EA6" w:rsidRPr="00114ED3">
              <w:rPr>
                <w:i/>
                <w:iCs/>
                <w:lang w:eastAsia="en-GB"/>
              </w:rPr>
              <w:t>:</w:t>
            </w:r>
            <w:bookmarkStart w:id="26" w:name="lt_pId048"/>
            <w:bookmarkEnd w:id="25"/>
          </w:p>
          <w:p w14:paraId="2A03E369" w14:textId="545FEC8D" w:rsidR="00DB7EA6" w:rsidRPr="00114ED3" w:rsidRDefault="002733C4" w:rsidP="002733C4">
            <w:pPr>
              <w:pStyle w:val="Tabletext"/>
              <w:ind w:left="313" w:hanging="313"/>
              <w:rPr>
                <w:b/>
                <w:color w:val="800000"/>
                <w:lang w:eastAsia="en-GB"/>
              </w:rPr>
            </w:pPr>
            <w:r>
              <w:rPr>
                <w:lang w:eastAsia="en-GB"/>
              </w:rPr>
              <w:t>–</w:t>
            </w:r>
            <w:bookmarkEnd w:id="26"/>
            <w:r>
              <w:rPr>
                <w:lang w:eastAsia="en-GB"/>
              </w:rPr>
              <w:tab/>
            </w:r>
            <w:r w:rsidR="009A4490" w:rsidRPr="00114ED3">
              <w:rPr>
                <w:lang w:eastAsia="en-GB"/>
              </w:rPr>
              <w:t xml:space="preserve">El Plan Estratégico </w:t>
            </w:r>
            <w:r w:rsidR="009A4490" w:rsidRPr="00114ED3">
              <w:rPr>
                <w:b/>
                <w:bCs/>
                <w:lang w:eastAsia="en-GB"/>
              </w:rPr>
              <w:t>no debería ser demasiado largo, ni excesivamente detallado</w:t>
            </w:r>
            <w:r w:rsidR="009A4490" w:rsidRPr="00114ED3">
              <w:rPr>
                <w:lang w:eastAsia="en-GB"/>
              </w:rPr>
              <w:t>, pues ello dificultaría su lectura y análisis, así como el seguimiento de su aplicación, y además pondría los ámbitos de trabajo primarios de la UIT al mismo nivel que los secundarios y, en última instancia, conllevaría un agotamiento de los recursos. Los objetivos y actividades no financiados no deberían incluirse en el Plan Estratégico de la UIT.</w:t>
            </w:r>
          </w:p>
        </w:tc>
        <w:tc>
          <w:tcPr>
            <w:tcW w:w="1559" w:type="dxa"/>
            <w:tcBorders>
              <w:top w:val="single" w:sz="2" w:space="0" w:color="auto"/>
              <w:left w:val="nil"/>
              <w:bottom w:val="nil"/>
              <w:right w:val="nil"/>
            </w:tcBorders>
            <w:shd w:val="clear" w:color="EDEDED" w:fill="EDEDED"/>
            <w:noWrap/>
            <w:vAlign w:val="center"/>
            <w:hideMark/>
          </w:tcPr>
          <w:p w14:paraId="72380603" w14:textId="77777777" w:rsidR="00DB7EA6" w:rsidRPr="002733C4" w:rsidRDefault="00D91982" w:rsidP="004260E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548DD4" w:themeColor="text2" w:themeTint="99"/>
                <w:sz w:val="22"/>
                <w:szCs w:val="22"/>
                <w:u w:val="single"/>
                <w:lang w:eastAsia="en-GB"/>
              </w:rPr>
            </w:pPr>
            <w:hyperlink r:id="rId14" w:history="1">
              <w:bookmarkStart w:id="27" w:name="lt_pId050"/>
              <w:r w:rsidR="00DB7EA6" w:rsidRPr="002733C4">
                <w:rPr>
                  <w:rFonts w:cs="Calibri"/>
                  <w:color w:val="548DD4" w:themeColor="text2" w:themeTint="99"/>
                  <w:sz w:val="22"/>
                  <w:szCs w:val="22"/>
                  <w:u w:val="single"/>
                  <w:lang w:eastAsia="en-GB"/>
                </w:rPr>
                <w:t>CWG-SFP-1/8</w:t>
              </w:r>
              <w:bookmarkEnd w:id="27"/>
            </w:hyperlink>
          </w:p>
        </w:tc>
        <w:tc>
          <w:tcPr>
            <w:tcW w:w="3515" w:type="dxa"/>
            <w:vMerge w:val="restart"/>
            <w:tcBorders>
              <w:top w:val="single" w:sz="2" w:space="0" w:color="auto"/>
              <w:left w:val="nil"/>
              <w:right w:val="nil"/>
            </w:tcBorders>
            <w:shd w:val="clear" w:color="auto" w:fill="auto"/>
            <w:noWrap/>
            <w:hideMark/>
          </w:tcPr>
          <w:p w14:paraId="39412A44" w14:textId="2BA883CD" w:rsidR="00D8484D" w:rsidRPr="00114ED3" w:rsidRDefault="002733C4" w:rsidP="002733C4">
            <w:pPr>
              <w:pStyle w:val="Tabletext"/>
              <w:ind w:left="313" w:hanging="313"/>
              <w:rPr>
                <w:lang w:eastAsia="en-GB"/>
              </w:rPr>
            </w:pPr>
            <w:bookmarkStart w:id="28" w:name="lt_pId051"/>
            <w:r>
              <w:rPr>
                <w:lang w:eastAsia="en-GB"/>
              </w:rPr>
              <w:t>–</w:t>
            </w:r>
            <w:r>
              <w:rPr>
                <w:lang w:eastAsia="en-GB"/>
              </w:rPr>
              <w:tab/>
            </w:r>
            <w:r w:rsidR="00D8484D" w:rsidRPr="00114ED3">
              <w:rPr>
                <w:lang w:eastAsia="en-GB"/>
              </w:rPr>
              <w:t xml:space="preserve">Solicitar a la secretaría que </w:t>
            </w:r>
            <w:r w:rsidR="00114ED3">
              <w:rPr>
                <w:lang w:eastAsia="en-GB"/>
              </w:rPr>
              <w:t>aporte contribuciones sobre formas de</w:t>
            </w:r>
            <w:r w:rsidR="00ED2DB8">
              <w:rPr>
                <w:lang w:eastAsia="en-GB"/>
              </w:rPr>
              <w:t>:</w:t>
            </w:r>
          </w:p>
          <w:p w14:paraId="13FF50AB" w14:textId="2B94B19F" w:rsidR="00D8484D" w:rsidRPr="00F91A01" w:rsidRDefault="00D8484D" w:rsidP="002733C4">
            <w:pPr>
              <w:pStyle w:val="Tabletext"/>
              <w:tabs>
                <w:tab w:val="left" w:pos="315"/>
              </w:tabs>
              <w:ind w:left="315" w:hanging="315"/>
              <w:rPr>
                <w:lang w:val="es-ES"/>
              </w:rPr>
            </w:pPr>
            <w:r w:rsidRPr="00F91A01">
              <w:rPr>
                <w:lang w:val="es-ES"/>
              </w:rPr>
              <w:t>i)</w:t>
            </w:r>
            <w:r w:rsidR="002733C4" w:rsidRPr="00F91A01">
              <w:rPr>
                <w:lang w:val="es-ES"/>
              </w:rPr>
              <w:tab/>
            </w:r>
            <w:r w:rsidRPr="00F91A01">
              <w:rPr>
                <w:lang w:val="es-ES"/>
              </w:rPr>
              <w:t xml:space="preserve">mantener </w:t>
            </w:r>
            <w:r w:rsidR="00ED2DB8" w:rsidRPr="00F91A01">
              <w:rPr>
                <w:lang w:val="es-ES"/>
              </w:rPr>
              <w:t>el alto nivel d</w:t>
            </w:r>
            <w:r w:rsidRPr="00F91A01">
              <w:rPr>
                <w:lang w:val="es-ES"/>
              </w:rPr>
              <w:t>el plan estratégico, reconociendo al mismo tiempo el papel y el mandato de los Sectores de la UIT</w:t>
            </w:r>
            <w:r w:rsidR="00ED2DB8" w:rsidRPr="00F91A01">
              <w:rPr>
                <w:lang w:val="es-ES"/>
              </w:rPr>
              <w:t>,</w:t>
            </w:r>
          </w:p>
          <w:p w14:paraId="6A4B9D3E" w14:textId="31182395" w:rsidR="00DB7EA6" w:rsidRPr="00114ED3" w:rsidRDefault="00D8484D" w:rsidP="002733C4">
            <w:pPr>
              <w:pStyle w:val="Tabletext"/>
              <w:tabs>
                <w:tab w:val="left" w:pos="315"/>
              </w:tabs>
              <w:ind w:left="315" w:hanging="315"/>
              <w:rPr>
                <w:rFonts w:ascii="Times New Roman" w:hAnsi="Times New Roman"/>
                <w:lang w:eastAsia="en-GB"/>
              </w:rPr>
            </w:pPr>
            <w:r w:rsidRPr="002733C4">
              <w:rPr>
                <w:lang w:val="es-ES"/>
              </w:rPr>
              <w:t>ii)</w:t>
            </w:r>
            <w:r w:rsidR="002733C4">
              <w:rPr>
                <w:lang w:val="es-ES"/>
              </w:rPr>
              <w:tab/>
            </w:r>
            <w:r w:rsidR="00ED2DB8" w:rsidRPr="002733C4">
              <w:rPr>
                <w:lang w:val="es-ES"/>
              </w:rPr>
              <w:t xml:space="preserve">partiendo de </w:t>
            </w:r>
            <w:r w:rsidRPr="002733C4">
              <w:rPr>
                <w:lang w:val="es-ES"/>
              </w:rPr>
              <w:t xml:space="preserve">las prioridades estratégicas, identificar los principales </w:t>
            </w:r>
            <w:r w:rsidR="00DC3D30" w:rsidRPr="002733C4">
              <w:rPr>
                <w:lang w:val="es-ES"/>
              </w:rPr>
              <w:t>ámbitos/</w:t>
            </w:r>
            <w:r w:rsidRPr="002733C4">
              <w:rPr>
                <w:lang w:val="es-ES"/>
              </w:rPr>
              <w:t xml:space="preserve">temas de trabajo, teniendo en cuenta los temas transversales, siempre que sea posible, </w:t>
            </w:r>
            <w:r w:rsidR="00DC3D30" w:rsidRPr="002733C4">
              <w:rPr>
                <w:lang w:val="es-ES"/>
              </w:rPr>
              <w:t>con el objetivo</w:t>
            </w:r>
            <w:r w:rsidRPr="002733C4">
              <w:rPr>
                <w:lang w:val="es-ES"/>
              </w:rPr>
              <w:t xml:space="preserve"> de reforzar las sinergias entre los Sectores</w:t>
            </w:r>
            <w:bookmarkEnd w:id="28"/>
            <w:r w:rsidR="002733C4">
              <w:rPr>
                <w:lang w:val="es-ES"/>
              </w:rPr>
              <w:t>.</w:t>
            </w:r>
          </w:p>
        </w:tc>
      </w:tr>
      <w:tr w:rsidR="00DB7EA6" w:rsidRPr="00114ED3" w14:paraId="623F7322" w14:textId="77777777" w:rsidTr="005D3F3D">
        <w:trPr>
          <w:jc w:val="center"/>
        </w:trPr>
        <w:tc>
          <w:tcPr>
            <w:tcW w:w="1560" w:type="dxa"/>
            <w:tcBorders>
              <w:top w:val="nil"/>
              <w:left w:val="nil"/>
              <w:bottom w:val="nil"/>
              <w:right w:val="nil"/>
            </w:tcBorders>
            <w:shd w:val="clear" w:color="auto" w:fill="auto"/>
            <w:hideMark/>
          </w:tcPr>
          <w:p w14:paraId="2C681989" w14:textId="0AB6A785" w:rsidR="00DB7EA6" w:rsidRPr="002733C4" w:rsidRDefault="00D8484D" w:rsidP="002733C4">
            <w:pPr>
              <w:pStyle w:val="Tabletext"/>
              <w:ind w:left="-57"/>
              <w:rPr>
                <w:lang w:eastAsia="en-GB"/>
              </w:rPr>
            </w:pPr>
            <w:r w:rsidRPr="002733C4">
              <w:rPr>
                <w:lang w:eastAsia="en-GB"/>
              </w:rPr>
              <w:t>Consulta en línea:</w:t>
            </w:r>
          </w:p>
        </w:tc>
        <w:tc>
          <w:tcPr>
            <w:tcW w:w="7938" w:type="dxa"/>
            <w:tcBorders>
              <w:top w:val="nil"/>
              <w:left w:val="nil"/>
              <w:bottom w:val="nil"/>
              <w:right w:val="nil"/>
            </w:tcBorders>
            <w:shd w:val="clear" w:color="auto" w:fill="auto"/>
            <w:hideMark/>
          </w:tcPr>
          <w:p w14:paraId="7CABFEED" w14:textId="7AD52B8F" w:rsidR="002733C4" w:rsidRDefault="002733C4" w:rsidP="002733C4">
            <w:pPr>
              <w:pStyle w:val="Tabletext"/>
              <w:ind w:left="313" w:hanging="313"/>
              <w:rPr>
                <w:b/>
                <w:bCs/>
                <w:lang w:eastAsia="en-GB"/>
              </w:rPr>
            </w:pPr>
            <w:bookmarkStart w:id="29" w:name="lt_pId055"/>
            <w:r>
              <w:rPr>
                <w:lang w:eastAsia="en-GB"/>
              </w:rPr>
              <w:t>–</w:t>
            </w:r>
            <w:r>
              <w:rPr>
                <w:lang w:eastAsia="en-GB"/>
              </w:rPr>
              <w:tab/>
            </w:r>
            <w:r w:rsidR="00E019EC" w:rsidRPr="00114ED3">
              <w:rPr>
                <w:lang w:eastAsia="en-GB"/>
              </w:rPr>
              <w:t xml:space="preserve">El Plan Estratégico </w:t>
            </w:r>
            <w:r w:rsidR="00E019EC" w:rsidRPr="00114ED3">
              <w:rPr>
                <w:b/>
                <w:bCs/>
                <w:lang w:eastAsia="en-GB"/>
              </w:rPr>
              <w:t>no se ciñe totalmente</w:t>
            </w:r>
            <w:r w:rsidR="00E019EC" w:rsidRPr="00114ED3">
              <w:rPr>
                <w:lang w:eastAsia="en-GB"/>
              </w:rPr>
              <w:t xml:space="preserve"> en las metas principales, </w:t>
            </w:r>
            <w:r w:rsidR="00E019EC" w:rsidRPr="00114ED3">
              <w:rPr>
                <w:b/>
                <w:bCs/>
                <w:lang w:eastAsia="en-GB"/>
              </w:rPr>
              <w:t>es demasiado voluminoso</w:t>
            </w:r>
            <w:r w:rsidR="00E019EC" w:rsidRPr="00114ED3">
              <w:rPr>
                <w:lang w:eastAsia="en-GB"/>
              </w:rPr>
              <w:t xml:space="preserve"> y está </w:t>
            </w:r>
            <w:r w:rsidR="00E019EC" w:rsidRPr="00114ED3">
              <w:rPr>
                <w:b/>
                <w:bCs/>
                <w:lang w:eastAsia="en-GB"/>
              </w:rPr>
              <w:t>sobrecargado de detalles</w:t>
            </w:r>
            <w:bookmarkStart w:id="30" w:name="lt_pId056"/>
            <w:bookmarkEnd w:id="29"/>
            <w:r w:rsidRPr="002733C4">
              <w:rPr>
                <w:lang w:eastAsia="en-GB"/>
              </w:rPr>
              <w:t>.</w:t>
            </w:r>
          </w:p>
          <w:p w14:paraId="1448F8B1" w14:textId="5EF506DB" w:rsidR="002733C4" w:rsidRDefault="002733C4" w:rsidP="002733C4">
            <w:pPr>
              <w:pStyle w:val="Tabletext"/>
              <w:ind w:left="313" w:hanging="313"/>
              <w:rPr>
                <w:lang w:eastAsia="en-GB"/>
              </w:rPr>
            </w:pPr>
            <w:r>
              <w:rPr>
                <w:lang w:eastAsia="en-GB"/>
              </w:rPr>
              <w:t>–</w:t>
            </w:r>
            <w:r>
              <w:rPr>
                <w:lang w:eastAsia="en-GB"/>
              </w:rPr>
              <w:tab/>
            </w:r>
            <w:r w:rsidR="00E019EC" w:rsidRPr="00114ED3">
              <w:rPr>
                <w:b/>
                <w:bCs/>
                <w:lang w:eastAsia="en-GB"/>
              </w:rPr>
              <w:t>Se ha de concentrar</w:t>
            </w:r>
            <w:r w:rsidR="00E019EC" w:rsidRPr="00114ED3">
              <w:rPr>
                <w:lang w:eastAsia="en-GB"/>
              </w:rPr>
              <w:t xml:space="preserve"> en su principal cometido y alcance</w:t>
            </w:r>
            <w:bookmarkStart w:id="31" w:name="lt_pId057"/>
            <w:bookmarkEnd w:id="30"/>
            <w:r>
              <w:rPr>
                <w:lang w:eastAsia="en-GB"/>
              </w:rPr>
              <w:t>.</w:t>
            </w:r>
          </w:p>
          <w:p w14:paraId="30A87902" w14:textId="7914EDC6" w:rsidR="00DB7EA6" w:rsidRPr="00114ED3" w:rsidRDefault="002733C4" w:rsidP="002733C4">
            <w:pPr>
              <w:pStyle w:val="Tabletext"/>
              <w:ind w:left="313" w:hanging="313"/>
              <w:rPr>
                <w:lang w:eastAsia="en-GB"/>
              </w:rPr>
            </w:pPr>
            <w:r>
              <w:rPr>
                <w:lang w:eastAsia="en-GB"/>
              </w:rPr>
              <w:t>–</w:t>
            </w:r>
            <w:bookmarkEnd w:id="31"/>
            <w:r>
              <w:rPr>
                <w:lang w:eastAsia="en-GB"/>
              </w:rPr>
              <w:tab/>
            </w:r>
            <w:r w:rsidR="00F551CF" w:rsidRPr="00114ED3">
              <w:rPr>
                <w:lang w:eastAsia="en-GB"/>
              </w:rPr>
              <w:t xml:space="preserve">El Plan Estratégico </w:t>
            </w:r>
            <w:r w:rsidR="00F551CF" w:rsidRPr="00114ED3">
              <w:rPr>
                <w:b/>
                <w:bCs/>
                <w:lang w:eastAsia="en-GB"/>
              </w:rPr>
              <w:t xml:space="preserve">debe </w:t>
            </w:r>
            <w:r w:rsidR="00114ED3">
              <w:rPr>
                <w:b/>
                <w:bCs/>
                <w:lang w:eastAsia="en-GB"/>
              </w:rPr>
              <w:t>seguir siendo</w:t>
            </w:r>
            <w:r w:rsidR="00F551CF" w:rsidRPr="00114ED3">
              <w:rPr>
                <w:b/>
                <w:bCs/>
                <w:lang w:eastAsia="en-GB"/>
              </w:rPr>
              <w:t xml:space="preserve"> de alto nivel</w:t>
            </w:r>
            <w:r w:rsidRPr="002733C4">
              <w:rPr>
                <w:lang w:eastAsia="en-GB"/>
              </w:rPr>
              <w:t>.</w:t>
            </w:r>
          </w:p>
        </w:tc>
        <w:tc>
          <w:tcPr>
            <w:tcW w:w="1559" w:type="dxa"/>
            <w:tcBorders>
              <w:top w:val="nil"/>
              <w:left w:val="nil"/>
              <w:bottom w:val="nil"/>
              <w:right w:val="nil"/>
            </w:tcBorders>
            <w:shd w:val="clear" w:color="auto" w:fill="auto"/>
            <w:noWrap/>
            <w:vAlign w:val="center"/>
            <w:hideMark/>
          </w:tcPr>
          <w:p w14:paraId="4A370C34" w14:textId="77777777" w:rsidR="00DB7EA6" w:rsidRPr="002733C4" w:rsidRDefault="00D91982" w:rsidP="002733C4">
            <w:pPr>
              <w:tabs>
                <w:tab w:val="clear" w:pos="567"/>
                <w:tab w:val="clear" w:pos="1134"/>
                <w:tab w:val="clear" w:pos="1701"/>
                <w:tab w:val="clear" w:pos="2268"/>
                <w:tab w:val="clear" w:pos="2835"/>
              </w:tabs>
              <w:overflowPunct/>
              <w:autoSpaceDE/>
              <w:autoSpaceDN/>
              <w:adjustRightInd/>
              <w:spacing w:before="0"/>
              <w:ind w:left="-57"/>
              <w:jc w:val="center"/>
              <w:textAlignment w:val="auto"/>
              <w:rPr>
                <w:rFonts w:cs="Calibri"/>
                <w:color w:val="548DD4" w:themeColor="text2" w:themeTint="99"/>
                <w:sz w:val="22"/>
                <w:szCs w:val="22"/>
                <w:u w:val="single"/>
                <w:lang w:eastAsia="en-GB"/>
              </w:rPr>
            </w:pPr>
            <w:hyperlink r:id="rId15" w:history="1">
              <w:bookmarkStart w:id="32" w:name="lt_pId058"/>
              <w:r w:rsidR="00DB7EA6" w:rsidRPr="002733C4">
                <w:rPr>
                  <w:rFonts w:cs="Calibri"/>
                  <w:color w:val="548DD4" w:themeColor="text2" w:themeTint="99"/>
                  <w:sz w:val="22"/>
                  <w:szCs w:val="22"/>
                  <w:u w:val="single"/>
                  <w:lang w:eastAsia="en-GB"/>
                </w:rPr>
                <w:t>CWG-SFP-1/11</w:t>
              </w:r>
              <w:bookmarkEnd w:id="32"/>
            </w:hyperlink>
          </w:p>
        </w:tc>
        <w:tc>
          <w:tcPr>
            <w:tcW w:w="3515" w:type="dxa"/>
            <w:vMerge/>
            <w:tcBorders>
              <w:left w:val="nil"/>
              <w:right w:val="nil"/>
            </w:tcBorders>
            <w:shd w:val="clear" w:color="auto" w:fill="auto"/>
            <w:noWrap/>
            <w:vAlign w:val="bottom"/>
            <w:hideMark/>
          </w:tcPr>
          <w:p w14:paraId="3CDC15DC" w14:textId="77777777" w:rsidR="00DB7EA6" w:rsidRPr="00114ED3" w:rsidRDefault="00DB7EA6" w:rsidP="004260E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DB7EA6" w:rsidRPr="00114ED3" w14:paraId="57E9B610" w14:textId="77777777" w:rsidTr="005D3F3D">
        <w:trPr>
          <w:jc w:val="center"/>
        </w:trPr>
        <w:tc>
          <w:tcPr>
            <w:tcW w:w="1560" w:type="dxa"/>
            <w:tcBorders>
              <w:top w:val="nil"/>
              <w:left w:val="nil"/>
              <w:bottom w:val="nil"/>
              <w:right w:val="nil"/>
            </w:tcBorders>
            <w:shd w:val="clear" w:color="EDEDED" w:fill="EDEDED"/>
            <w:hideMark/>
          </w:tcPr>
          <w:p w14:paraId="3730D3DE" w14:textId="51ED13E0" w:rsidR="00DB7EA6" w:rsidRPr="002733C4" w:rsidRDefault="00D8484D" w:rsidP="002733C4">
            <w:pPr>
              <w:pStyle w:val="Tabletext"/>
              <w:ind w:left="-57"/>
              <w:rPr>
                <w:lang w:eastAsia="en-GB"/>
              </w:rPr>
            </w:pPr>
            <w:r w:rsidRPr="002733C4">
              <w:rPr>
                <w:lang w:eastAsia="en-GB"/>
              </w:rPr>
              <w:t>Recs. / Conclusiones:</w:t>
            </w:r>
          </w:p>
        </w:tc>
        <w:tc>
          <w:tcPr>
            <w:tcW w:w="7938" w:type="dxa"/>
            <w:tcBorders>
              <w:top w:val="nil"/>
              <w:left w:val="nil"/>
              <w:bottom w:val="nil"/>
              <w:right w:val="nil"/>
            </w:tcBorders>
            <w:shd w:val="clear" w:color="EDEDED" w:fill="EDEDED"/>
            <w:hideMark/>
          </w:tcPr>
          <w:p w14:paraId="14BB8133" w14:textId="6FB538B6" w:rsidR="002733C4" w:rsidRDefault="00DB7EA6" w:rsidP="00F91A01">
            <w:pPr>
              <w:pStyle w:val="Tabletext"/>
              <w:rPr>
                <w:b/>
                <w:bCs/>
                <w:lang w:eastAsia="en-GB"/>
              </w:rPr>
            </w:pPr>
            <w:bookmarkStart w:id="33" w:name="lt_pId061"/>
            <w:r w:rsidRPr="00114ED3">
              <w:rPr>
                <w:i/>
                <w:iCs/>
                <w:lang w:eastAsia="en-GB"/>
              </w:rPr>
              <w:t>(</w:t>
            </w:r>
            <w:r w:rsidR="00114ED3">
              <w:rPr>
                <w:i/>
                <w:iCs/>
                <w:lang w:eastAsia="en-GB"/>
              </w:rPr>
              <w:t>Informe de McKinsey sobre cultura y competencias</w:t>
            </w:r>
            <w:r w:rsidRPr="00114ED3">
              <w:rPr>
                <w:i/>
                <w:iCs/>
                <w:lang w:eastAsia="en-GB"/>
              </w:rPr>
              <w:t>)</w:t>
            </w:r>
            <w:bookmarkEnd w:id="33"/>
            <w:r w:rsidRPr="00114ED3">
              <w:rPr>
                <w:lang w:eastAsia="en-GB"/>
              </w:rPr>
              <w:br/>
            </w:r>
            <w:bookmarkStart w:id="34" w:name="lt_pId062"/>
            <w:r w:rsidRPr="00114ED3">
              <w:rPr>
                <w:b/>
                <w:bCs/>
                <w:lang w:eastAsia="en-GB"/>
              </w:rPr>
              <w:t>a</w:t>
            </w:r>
            <w:r w:rsidR="00F91A01">
              <w:rPr>
                <w:b/>
                <w:bCs/>
                <w:lang w:eastAsia="en-GB"/>
              </w:rPr>
              <w:t xml:space="preserve">) </w:t>
            </w:r>
            <w:r w:rsidR="00885ACD" w:rsidRPr="00114ED3">
              <w:rPr>
                <w:b/>
                <w:bCs/>
                <w:lang w:eastAsia="en-GB"/>
              </w:rPr>
              <w:t>Considerar la posibilidad de examinar y conectar mejor los mandatos de la UIT y los Sectores</w:t>
            </w:r>
            <w:bookmarkStart w:id="35" w:name="lt_pId063"/>
            <w:bookmarkEnd w:id="34"/>
          </w:p>
          <w:p w14:paraId="23CC6B3A" w14:textId="77777777" w:rsidR="002733C4" w:rsidRDefault="00DB7EA6" w:rsidP="002733C4">
            <w:pPr>
              <w:pStyle w:val="Tabletext"/>
              <w:rPr>
                <w:b/>
                <w:bCs/>
                <w:lang w:eastAsia="en-GB"/>
              </w:rPr>
            </w:pPr>
            <w:r w:rsidRPr="00114ED3">
              <w:rPr>
                <w:b/>
                <w:bCs/>
                <w:lang w:eastAsia="en-GB"/>
              </w:rPr>
              <w:t xml:space="preserve">a.1 </w:t>
            </w:r>
            <w:r w:rsidR="002733C4">
              <w:rPr>
                <w:b/>
                <w:bCs/>
                <w:lang w:eastAsia="en-GB"/>
              </w:rPr>
              <w:t>–</w:t>
            </w:r>
            <w:r w:rsidR="00885ACD" w:rsidRPr="00114ED3">
              <w:rPr>
                <w:b/>
                <w:bCs/>
                <w:lang w:eastAsia="en-GB"/>
              </w:rPr>
              <w:t xml:space="preserve"> Iniciar un proceso de examen del mandato de la UIT y de cada uno de los Sectores – invitando a entidades externas a opinar al respecto</w:t>
            </w:r>
          </w:p>
          <w:p w14:paraId="7097CF42" w14:textId="3CBADDA2" w:rsidR="002733C4" w:rsidRDefault="00114ED3" w:rsidP="002733C4">
            <w:pPr>
              <w:pStyle w:val="Tabletext"/>
              <w:rPr>
                <w:lang w:eastAsia="en-GB"/>
              </w:rPr>
            </w:pPr>
            <w:r>
              <w:rPr>
                <w:i/>
                <w:iCs/>
                <w:lang w:eastAsia="en-GB"/>
              </w:rPr>
              <w:t>Posible opción A</w:t>
            </w:r>
            <w:r w:rsidR="00DB7EA6" w:rsidRPr="00114ED3">
              <w:rPr>
                <w:i/>
                <w:iCs/>
                <w:lang w:eastAsia="en-GB"/>
              </w:rPr>
              <w:t xml:space="preserve">: </w:t>
            </w:r>
            <w:r w:rsidR="002733C4">
              <w:rPr>
                <w:lang w:eastAsia="en-GB"/>
              </w:rPr>
              <w:t>–</w:t>
            </w:r>
            <w:r w:rsidR="00DB7EA6" w:rsidRPr="00114ED3">
              <w:rPr>
                <w:lang w:eastAsia="en-GB"/>
              </w:rPr>
              <w:t xml:space="preserve"> </w:t>
            </w:r>
            <w:r w:rsidR="00885ACD" w:rsidRPr="00114ED3">
              <w:rPr>
                <w:lang w:eastAsia="en-GB"/>
              </w:rPr>
              <w:t>El GTC</w:t>
            </w:r>
            <w:r w:rsidR="002733C4">
              <w:rPr>
                <w:lang w:eastAsia="en-GB"/>
              </w:rPr>
              <w:t>–</w:t>
            </w:r>
            <w:r w:rsidR="00885ACD" w:rsidRPr="00114ED3">
              <w:rPr>
                <w:lang w:eastAsia="en-GB"/>
              </w:rPr>
              <w:t>PEF tomará en consideración las recomendaciones a efectos de la elaboración del Plan Estratégico de la UIT para 2024</w:t>
            </w:r>
            <w:r w:rsidR="002733C4">
              <w:rPr>
                <w:lang w:eastAsia="en-GB"/>
              </w:rPr>
              <w:t>–</w:t>
            </w:r>
            <w:r w:rsidR="00885ACD" w:rsidRPr="00114ED3">
              <w:rPr>
                <w:lang w:eastAsia="en-GB"/>
              </w:rPr>
              <w:t>2027</w:t>
            </w:r>
            <w:r w:rsidR="00DB7EA6" w:rsidRPr="00114ED3">
              <w:rPr>
                <w:lang w:eastAsia="en-GB"/>
              </w:rPr>
              <w:t xml:space="preserve"> </w:t>
            </w:r>
            <w:r w:rsidR="002733C4">
              <w:rPr>
                <w:lang w:eastAsia="en-GB"/>
              </w:rPr>
              <w:t>–</w:t>
            </w:r>
            <w:r w:rsidR="00DB7EA6" w:rsidRPr="00114ED3">
              <w:rPr>
                <w:lang w:eastAsia="en-GB"/>
              </w:rPr>
              <w:t xml:space="preserve"> </w:t>
            </w:r>
            <w:r w:rsidR="00895F5B" w:rsidRPr="00114ED3">
              <w:rPr>
                <w:lang w:eastAsia="en-GB"/>
              </w:rPr>
              <w:t>Nuevo marco estratégico destinado a conectar mejor el mandato de los Sectores con el de la UIT</w:t>
            </w:r>
            <w:r w:rsidR="00DB7EA6" w:rsidRPr="00114ED3">
              <w:rPr>
                <w:lang w:eastAsia="en-GB"/>
              </w:rPr>
              <w:t xml:space="preserve"> </w:t>
            </w:r>
            <w:r w:rsidR="002733C4">
              <w:rPr>
                <w:lang w:eastAsia="en-GB"/>
              </w:rPr>
              <w:t>–</w:t>
            </w:r>
            <w:r w:rsidR="00DB7EA6" w:rsidRPr="00114ED3">
              <w:rPr>
                <w:lang w:eastAsia="en-GB"/>
              </w:rPr>
              <w:t xml:space="preserve"> </w:t>
            </w:r>
            <w:r w:rsidR="00895F5B" w:rsidRPr="00114ED3">
              <w:rPr>
                <w:lang w:eastAsia="en-GB"/>
              </w:rPr>
              <w:t>Se solicitará la opinión de todos los interesados (por ejemplo, mediante consultas públicas)</w:t>
            </w:r>
            <w:bookmarkStart w:id="36" w:name="lt_pId064"/>
            <w:bookmarkEnd w:id="35"/>
            <w:r w:rsidR="002733C4">
              <w:rPr>
                <w:lang w:eastAsia="en-GB"/>
              </w:rPr>
              <w:t>.</w:t>
            </w:r>
          </w:p>
          <w:p w14:paraId="0B9BCAB7" w14:textId="67D56C76" w:rsidR="002733C4" w:rsidRDefault="00114ED3" w:rsidP="002733C4">
            <w:pPr>
              <w:pStyle w:val="Tabletext"/>
              <w:rPr>
                <w:b/>
                <w:bCs/>
                <w:color w:val="800000"/>
                <w:lang w:eastAsia="en-GB"/>
              </w:rPr>
            </w:pPr>
            <w:r>
              <w:rPr>
                <w:i/>
                <w:iCs/>
                <w:lang w:eastAsia="en-GB"/>
              </w:rPr>
              <w:t>Posible opción B</w:t>
            </w:r>
            <w:r w:rsidR="00DB7EA6" w:rsidRPr="00114ED3">
              <w:rPr>
                <w:i/>
                <w:iCs/>
                <w:lang w:eastAsia="en-GB"/>
              </w:rPr>
              <w:t xml:space="preserve">: </w:t>
            </w:r>
            <w:r w:rsidR="002733C4">
              <w:rPr>
                <w:lang w:eastAsia="en-GB"/>
              </w:rPr>
              <w:t>–</w:t>
            </w:r>
            <w:r w:rsidR="00DB7EA6" w:rsidRPr="00114ED3">
              <w:rPr>
                <w:lang w:eastAsia="en-GB"/>
              </w:rPr>
              <w:t xml:space="preserve"> </w:t>
            </w:r>
            <w:bookmarkEnd w:id="36"/>
            <w:r w:rsidR="00895F5B" w:rsidRPr="00114ED3">
              <w:rPr>
                <w:lang w:eastAsia="en-GB"/>
              </w:rPr>
              <w:t xml:space="preserve">Los Estados Miembros considerarán cualquier otro proceso para examinar el mandato de la UIT y </w:t>
            </w:r>
            <w:r>
              <w:rPr>
                <w:lang w:eastAsia="en-GB"/>
              </w:rPr>
              <w:t xml:space="preserve">de </w:t>
            </w:r>
            <w:r w:rsidR="00895F5B" w:rsidRPr="00114ED3">
              <w:rPr>
                <w:lang w:eastAsia="en-GB"/>
              </w:rPr>
              <w:t>los Sectores y encargarán otras medidas a la Secretaría</w:t>
            </w:r>
            <w:r w:rsidR="002733C4">
              <w:rPr>
                <w:lang w:eastAsia="en-GB"/>
              </w:rPr>
              <w:t>.</w:t>
            </w:r>
            <w:r w:rsidR="00895F5B" w:rsidRPr="00114ED3">
              <w:rPr>
                <w:b/>
                <w:bCs/>
                <w:color w:val="800000"/>
                <w:lang w:eastAsia="en-GB"/>
              </w:rPr>
              <w:t xml:space="preserve"> </w:t>
            </w:r>
            <w:bookmarkStart w:id="37" w:name="lt_pId065"/>
          </w:p>
          <w:p w14:paraId="36EE1326" w14:textId="77777777" w:rsidR="002733C4" w:rsidRDefault="00DB7EA6" w:rsidP="002733C4">
            <w:pPr>
              <w:pStyle w:val="Tabletext"/>
              <w:keepNext/>
              <w:keepLines/>
              <w:rPr>
                <w:b/>
                <w:bCs/>
                <w:lang w:eastAsia="en-GB"/>
              </w:rPr>
            </w:pPr>
            <w:r w:rsidRPr="00114ED3">
              <w:rPr>
                <w:b/>
                <w:bCs/>
                <w:lang w:eastAsia="en-GB"/>
              </w:rPr>
              <w:lastRenderedPageBreak/>
              <w:t xml:space="preserve">a.2 </w:t>
            </w:r>
            <w:r w:rsidR="002733C4">
              <w:rPr>
                <w:b/>
                <w:bCs/>
                <w:lang w:eastAsia="en-GB"/>
              </w:rPr>
              <w:t>–</w:t>
            </w:r>
            <w:r w:rsidRPr="00114ED3">
              <w:rPr>
                <w:b/>
                <w:bCs/>
                <w:lang w:eastAsia="en-GB"/>
              </w:rPr>
              <w:t xml:space="preserve"> </w:t>
            </w:r>
            <w:r w:rsidR="00895F5B" w:rsidRPr="00114ED3">
              <w:rPr>
                <w:b/>
                <w:bCs/>
                <w:lang w:eastAsia="en-GB"/>
              </w:rPr>
              <w:t>Acelerar las iniciativas encaminada</w:t>
            </w:r>
            <w:r w:rsidR="00114ED3">
              <w:rPr>
                <w:b/>
                <w:bCs/>
                <w:lang w:eastAsia="en-GB"/>
              </w:rPr>
              <w:t>s</w:t>
            </w:r>
            <w:r w:rsidR="00895F5B" w:rsidRPr="00114ED3">
              <w:rPr>
                <w:b/>
                <w:bCs/>
                <w:lang w:eastAsia="en-GB"/>
              </w:rPr>
              <w:t xml:space="preserve"> a detectar y aprovechar las sinergias </w:t>
            </w:r>
            <w:bookmarkEnd w:id="37"/>
            <w:r w:rsidR="00114ED3" w:rsidRPr="00114ED3">
              <w:rPr>
                <w:b/>
                <w:bCs/>
                <w:lang w:eastAsia="en-GB"/>
              </w:rPr>
              <w:t>intersectoriales</w:t>
            </w:r>
            <w:bookmarkStart w:id="38" w:name="lt_pId066"/>
          </w:p>
          <w:p w14:paraId="47F1C406" w14:textId="30302070" w:rsidR="00993503" w:rsidRDefault="00114ED3" w:rsidP="002733C4">
            <w:pPr>
              <w:pStyle w:val="Tabletext"/>
              <w:rPr>
                <w:lang w:eastAsia="en-GB"/>
              </w:rPr>
            </w:pPr>
            <w:r>
              <w:rPr>
                <w:i/>
                <w:iCs/>
                <w:lang w:eastAsia="en-GB"/>
              </w:rPr>
              <w:t>Posible opción</w:t>
            </w:r>
            <w:r w:rsidR="00DB7EA6" w:rsidRPr="00114ED3">
              <w:rPr>
                <w:i/>
                <w:iCs/>
                <w:lang w:eastAsia="en-GB"/>
              </w:rPr>
              <w:t xml:space="preserve">: </w:t>
            </w:r>
            <w:r w:rsidR="002733C4">
              <w:rPr>
                <w:lang w:eastAsia="en-GB"/>
              </w:rPr>
              <w:t>–</w:t>
            </w:r>
            <w:r w:rsidR="00DB7EA6" w:rsidRPr="00114ED3">
              <w:rPr>
                <w:lang w:eastAsia="en-GB"/>
              </w:rPr>
              <w:t xml:space="preserve"> </w:t>
            </w:r>
            <w:r w:rsidR="00895F5B" w:rsidRPr="00114ED3">
              <w:rPr>
                <w:lang w:eastAsia="en-GB"/>
              </w:rPr>
              <w:t>En el nuevo marco estratégico se determinarán prioridades/temas/ámbitos de trabajo estratégicos comunes</w:t>
            </w:r>
            <w:bookmarkStart w:id="39" w:name="lt_pId067"/>
            <w:bookmarkEnd w:id="38"/>
            <w:r w:rsidR="00993503">
              <w:rPr>
                <w:lang w:eastAsia="en-GB"/>
              </w:rPr>
              <w:t>.</w:t>
            </w:r>
          </w:p>
          <w:p w14:paraId="79864C75" w14:textId="786F043D" w:rsidR="00993503" w:rsidRDefault="002733C4" w:rsidP="00993503">
            <w:pPr>
              <w:pStyle w:val="Tabletext"/>
              <w:ind w:left="313" w:hanging="313"/>
              <w:rPr>
                <w:b/>
                <w:bCs/>
                <w:color w:val="800000"/>
                <w:lang w:eastAsia="en-GB"/>
              </w:rPr>
            </w:pPr>
            <w:r>
              <w:rPr>
                <w:lang w:eastAsia="en-GB"/>
              </w:rPr>
              <w:t>–</w:t>
            </w:r>
            <w:r w:rsidR="00993503">
              <w:rPr>
                <w:lang w:eastAsia="en-GB"/>
              </w:rPr>
              <w:tab/>
            </w:r>
            <w:r w:rsidR="002E27BD" w:rsidRPr="00114ED3">
              <w:rPr>
                <w:lang w:eastAsia="en-GB"/>
              </w:rPr>
              <w:t>Al desarrollar las prioridades y/o temas</w:t>
            </w:r>
            <w:r w:rsidR="00114ED3">
              <w:rPr>
                <w:lang w:eastAsia="en-GB"/>
              </w:rPr>
              <w:t>,</w:t>
            </w:r>
            <w:r w:rsidR="002E27BD" w:rsidRPr="00114ED3">
              <w:rPr>
                <w:lang w:eastAsia="en-GB"/>
              </w:rPr>
              <w:t xml:space="preserve"> se tendrán en cuenta tanto un análisis de los temas y ámbitos de trabajo, como las correspondencias existentes entre ellos, para detectar sinergias</w:t>
            </w:r>
            <w:bookmarkEnd w:id="39"/>
            <w:r w:rsidR="00503347">
              <w:rPr>
                <w:lang w:eastAsia="en-GB"/>
              </w:rPr>
              <w:t>.</w:t>
            </w:r>
            <w:r w:rsidR="002E27BD" w:rsidRPr="00114ED3">
              <w:rPr>
                <w:b/>
                <w:bCs/>
                <w:color w:val="800000"/>
                <w:lang w:eastAsia="en-GB"/>
              </w:rPr>
              <w:t xml:space="preserve"> </w:t>
            </w:r>
            <w:bookmarkStart w:id="40" w:name="lt_pId068"/>
          </w:p>
          <w:p w14:paraId="34FDE105" w14:textId="36D44EBF" w:rsidR="00993503" w:rsidRDefault="00DB7EA6" w:rsidP="002733C4">
            <w:pPr>
              <w:pStyle w:val="Tabletext"/>
              <w:rPr>
                <w:b/>
                <w:bCs/>
                <w:lang w:eastAsia="en-GB"/>
              </w:rPr>
            </w:pPr>
            <w:r w:rsidRPr="00114ED3">
              <w:rPr>
                <w:b/>
                <w:bCs/>
                <w:lang w:eastAsia="en-GB"/>
              </w:rPr>
              <w:t>b</w:t>
            </w:r>
            <w:r w:rsidR="00F91A01">
              <w:rPr>
                <w:b/>
                <w:bCs/>
                <w:lang w:eastAsia="en-GB"/>
              </w:rPr>
              <w:t>)</w:t>
            </w:r>
            <w:r w:rsidRPr="00114ED3">
              <w:rPr>
                <w:b/>
                <w:bCs/>
                <w:lang w:eastAsia="en-GB"/>
              </w:rPr>
              <w:t xml:space="preserve"> </w:t>
            </w:r>
            <w:r w:rsidR="0012082C" w:rsidRPr="00114ED3">
              <w:rPr>
                <w:b/>
                <w:bCs/>
                <w:lang w:eastAsia="en-GB"/>
              </w:rPr>
              <w:t>Considerar la revisión de la estructura institucional y el modelo operativo de la</w:t>
            </w:r>
            <w:r w:rsidR="00993503">
              <w:rPr>
                <w:b/>
                <w:bCs/>
                <w:lang w:eastAsia="en-GB"/>
              </w:rPr>
              <w:t> </w:t>
            </w:r>
            <w:r w:rsidR="0012082C" w:rsidRPr="00114ED3">
              <w:rPr>
                <w:b/>
                <w:bCs/>
                <w:lang w:eastAsia="en-GB"/>
              </w:rPr>
              <w:t>UIT</w:t>
            </w:r>
            <w:r w:rsidR="00993503">
              <w:rPr>
                <w:b/>
                <w:bCs/>
                <w:lang w:eastAsia="en-GB"/>
              </w:rPr>
              <w:t>/</w:t>
            </w:r>
          </w:p>
          <w:p w14:paraId="7822B301" w14:textId="77777777" w:rsidR="00993503" w:rsidRDefault="00DB7EA6" w:rsidP="002733C4">
            <w:pPr>
              <w:pStyle w:val="Tabletext"/>
              <w:rPr>
                <w:b/>
                <w:bCs/>
                <w:lang w:eastAsia="en-GB"/>
              </w:rPr>
            </w:pPr>
            <w:r w:rsidRPr="00114ED3">
              <w:rPr>
                <w:b/>
                <w:bCs/>
                <w:lang w:eastAsia="en-GB"/>
              </w:rPr>
              <w:t xml:space="preserve">b.1 – </w:t>
            </w:r>
            <w:r w:rsidR="0012082C" w:rsidRPr="00114ED3">
              <w:rPr>
                <w:b/>
                <w:bCs/>
                <w:lang w:eastAsia="en-GB"/>
              </w:rPr>
              <w:t>Examinar el diseño de la organización en su totalidad, en favor de su idoneidad para el cumplimiento del mandato y la eliminación de las ineficiencias</w:t>
            </w:r>
            <w:bookmarkStart w:id="41" w:name="lt_pId069"/>
            <w:bookmarkEnd w:id="40"/>
          </w:p>
          <w:p w14:paraId="1ED10756" w14:textId="77777777" w:rsidR="00993503" w:rsidRDefault="00114ED3" w:rsidP="002733C4">
            <w:pPr>
              <w:pStyle w:val="Tabletext"/>
              <w:rPr>
                <w:lang w:eastAsia="en-GB"/>
              </w:rPr>
            </w:pPr>
            <w:r>
              <w:rPr>
                <w:i/>
                <w:iCs/>
                <w:lang w:eastAsia="en-GB"/>
              </w:rPr>
              <w:t>Posible opción A</w:t>
            </w:r>
            <w:r w:rsidR="00DB7EA6" w:rsidRPr="00114ED3">
              <w:rPr>
                <w:i/>
                <w:iCs/>
                <w:lang w:eastAsia="en-GB"/>
              </w:rPr>
              <w:t xml:space="preserve">: </w:t>
            </w:r>
            <w:r w:rsidR="002733C4">
              <w:rPr>
                <w:lang w:eastAsia="en-GB"/>
              </w:rPr>
              <w:t>–</w:t>
            </w:r>
            <w:r w:rsidR="00DB7EA6" w:rsidRPr="00114ED3">
              <w:rPr>
                <w:lang w:eastAsia="en-GB"/>
              </w:rPr>
              <w:t xml:space="preserve"> </w:t>
            </w:r>
            <w:r w:rsidR="0012082C" w:rsidRPr="00114ED3">
              <w:rPr>
                <w:lang w:eastAsia="en-GB"/>
              </w:rPr>
              <w:t>En el marco del nuevo Plan Estratégico, el GTC</w:t>
            </w:r>
            <w:r w:rsidR="002733C4">
              <w:rPr>
                <w:lang w:eastAsia="en-GB"/>
              </w:rPr>
              <w:t>–</w:t>
            </w:r>
            <w:r w:rsidR="0012082C" w:rsidRPr="00114ED3">
              <w:rPr>
                <w:lang w:eastAsia="en-GB"/>
              </w:rPr>
              <w:t>PEF considerará las recomendaciones y definirá opciones para los cambios propuestos</w:t>
            </w:r>
            <w:bookmarkStart w:id="42" w:name="lt_pId070"/>
            <w:bookmarkEnd w:id="41"/>
            <w:r w:rsidR="00993503">
              <w:rPr>
                <w:lang w:eastAsia="en-GB"/>
              </w:rPr>
              <w:t>.</w:t>
            </w:r>
          </w:p>
          <w:p w14:paraId="737CF186" w14:textId="77777777" w:rsidR="00993503" w:rsidRDefault="00114ED3" w:rsidP="002733C4">
            <w:pPr>
              <w:pStyle w:val="Tabletext"/>
              <w:rPr>
                <w:lang w:eastAsia="en-GB"/>
              </w:rPr>
            </w:pPr>
            <w:r>
              <w:rPr>
                <w:i/>
                <w:iCs/>
                <w:lang w:eastAsia="en-GB"/>
              </w:rPr>
              <w:t>Posible opción B</w:t>
            </w:r>
            <w:r w:rsidR="00DB7EA6" w:rsidRPr="00114ED3">
              <w:rPr>
                <w:i/>
                <w:iCs/>
                <w:lang w:eastAsia="en-GB"/>
              </w:rPr>
              <w:t xml:space="preserve">: </w:t>
            </w:r>
            <w:r w:rsidR="002733C4">
              <w:rPr>
                <w:lang w:eastAsia="en-GB"/>
              </w:rPr>
              <w:t>–</w:t>
            </w:r>
            <w:r w:rsidR="00DB7EA6" w:rsidRPr="00114ED3">
              <w:rPr>
                <w:lang w:eastAsia="en-GB"/>
              </w:rPr>
              <w:t xml:space="preserve"> </w:t>
            </w:r>
            <w:r w:rsidR="0012082C" w:rsidRPr="00114ED3">
              <w:rPr>
                <w:lang w:eastAsia="en-GB"/>
              </w:rPr>
              <w:t>Los Estados Miembros estudiarán un procedimiento específico para el examen de la gobernanza y la organización (definiendo el alcance de alto nivel y creando un equipo encargado de dicho examen)</w:t>
            </w:r>
            <w:bookmarkEnd w:id="42"/>
            <w:r w:rsidR="00993503">
              <w:rPr>
                <w:lang w:eastAsia="en-GB"/>
              </w:rPr>
              <w:t>.</w:t>
            </w:r>
            <w:bookmarkStart w:id="43" w:name="lt_pId071"/>
          </w:p>
          <w:p w14:paraId="6318669A" w14:textId="77777777" w:rsidR="00993503" w:rsidRDefault="00DB7EA6" w:rsidP="002733C4">
            <w:pPr>
              <w:pStyle w:val="Tabletext"/>
              <w:rPr>
                <w:lang w:eastAsia="en-GB"/>
              </w:rPr>
            </w:pPr>
            <w:r w:rsidRPr="00993503">
              <w:rPr>
                <w:b/>
                <w:bCs/>
                <w:lang w:eastAsia="en-GB"/>
              </w:rPr>
              <w:t>b.2</w:t>
            </w:r>
            <w:r w:rsidRPr="00114ED3">
              <w:rPr>
                <w:lang w:eastAsia="en-GB"/>
              </w:rPr>
              <w:t xml:space="preserve"> </w:t>
            </w:r>
            <w:r w:rsidRPr="00993503">
              <w:rPr>
                <w:b/>
                <w:bCs/>
                <w:lang w:eastAsia="en-GB"/>
              </w:rPr>
              <w:t xml:space="preserve">– </w:t>
            </w:r>
            <w:r w:rsidR="00C5648F" w:rsidRPr="00993503">
              <w:rPr>
                <w:b/>
                <w:bCs/>
                <w:lang w:eastAsia="en-GB"/>
              </w:rPr>
              <w:t>Empezar a crear equipos ágiles en torno a temas transversales</w:t>
            </w:r>
            <w:bookmarkStart w:id="44" w:name="lt_pId072"/>
            <w:bookmarkEnd w:id="43"/>
          </w:p>
          <w:p w14:paraId="3E4B9169" w14:textId="3445569C" w:rsidR="00993503" w:rsidRDefault="00114ED3" w:rsidP="002733C4">
            <w:pPr>
              <w:pStyle w:val="Tabletext"/>
              <w:rPr>
                <w:i/>
                <w:iCs/>
                <w:lang w:eastAsia="en-GB"/>
              </w:rPr>
            </w:pPr>
            <w:r>
              <w:rPr>
                <w:i/>
                <w:iCs/>
                <w:lang w:eastAsia="en-GB"/>
              </w:rPr>
              <w:t>Posible opción</w:t>
            </w:r>
            <w:r w:rsidR="00DB7EA6" w:rsidRPr="00114ED3">
              <w:rPr>
                <w:i/>
                <w:iCs/>
                <w:lang w:eastAsia="en-GB"/>
              </w:rPr>
              <w:t>:</w:t>
            </w:r>
            <w:bookmarkStart w:id="45" w:name="lt_pId073"/>
            <w:bookmarkEnd w:id="44"/>
          </w:p>
          <w:p w14:paraId="5E5217E7" w14:textId="6BEF012A" w:rsidR="00993503" w:rsidRDefault="002733C4" w:rsidP="00993503">
            <w:pPr>
              <w:pStyle w:val="Tabletext"/>
              <w:ind w:left="313" w:hanging="313"/>
              <w:rPr>
                <w:lang w:eastAsia="en-GB"/>
              </w:rPr>
            </w:pPr>
            <w:r>
              <w:rPr>
                <w:lang w:eastAsia="en-GB"/>
              </w:rPr>
              <w:t>–</w:t>
            </w:r>
            <w:r w:rsidR="00993503">
              <w:rPr>
                <w:lang w:eastAsia="en-GB"/>
              </w:rPr>
              <w:tab/>
            </w:r>
            <w:r w:rsidR="00C5648F" w:rsidRPr="00114ED3">
              <w:rPr>
                <w:lang w:eastAsia="en-GB"/>
              </w:rPr>
              <w:t>El GTC</w:t>
            </w:r>
            <w:r>
              <w:rPr>
                <w:lang w:eastAsia="en-GB"/>
              </w:rPr>
              <w:t>–</w:t>
            </w:r>
            <w:r w:rsidR="00C5648F" w:rsidRPr="00114ED3">
              <w:rPr>
                <w:lang w:eastAsia="en-GB"/>
              </w:rPr>
              <w:t xml:space="preserve">PEF determinará la lista de </w:t>
            </w:r>
            <w:r w:rsidR="00DC3D30">
              <w:rPr>
                <w:lang w:eastAsia="en-GB"/>
              </w:rPr>
              <w:t>ámbitos</w:t>
            </w:r>
            <w:r w:rsidR="00114ED3">
              <w:rPr>
                <w:lang w:eastAsia="en-GB"/>
              </w:rPr>
              <w:t>/</w:t>
            </w:r>
            <w:r w:rsidR="00C5648F" w:rsidRPr="00114ED3">
              <w:rPr>
                <w:lang w:eastAsia="en-GB"/>
              </w:rPr>
              <w:t>temas transversales</w:t>
            </w:r>
            <w:bookmarkStart w:id="46" w:name="lt_pId074"/>
            <w:bookmarkEnd w:id="45"/>
            <w:r w:rsidR="00993503">
              <w:rPr>
                <w:lang w:eastAsia="en-GB"/>
              </w:rPr>
              <w:t>.</w:t>
            </w:r>
          </w:p>
          <w:p w14:paraId="673CB06E" w14:textId="3DB63F10" w:rsidR="00DB7EA6" w:rsidRPr="00114ED3" w:rsidRDefault="002733C4" w:rsidP="00993503">
            <w:pPr>
              <w:pStyle w:val="Tabletext"/>
              <w:ind w:left="313" w:hanging="313"/>
              <w:rPr>
                <w:lang w:eastAsia="en-GB"/>
              </w:rPr>
            </w:pPr>
            <w:r>
              <w:rPr>
                <w:lang w:eastAsia="en-GB"/>
              </w:rPr>
              <w:t>–</w:t>
            </w:r>
            <w:r w:rsidR="00993503">
              <w:rPr>
                <w:lang w:eastAsia="en-GB"/>
              </w:rPr>
              <w:tab/>
            </w:r>
            <w:r w:rsidR="00C5648F" w:rsidRPr="00114ED3">
              <w:rPr>
                <w:lang w:eastAsia="en-GB"/>
              </w:rPr>
              <w:t>El GTC</w:t>
            </w:r>
            <w:r>
              <w:rPr>
                <w:lang w:eastAsia="en-GB"/>
              </w:rPr>
              <w:t>–</w:t>
            </w:r>
            <w:r w:rsidR="00C5648F" w:rsidRPr="00114ED3">
              <w:rPr>
                <w:lang w:eastAsia="en-GB"/>
              </w:rPr>
              <w:t>PEF estudiará formas de reforzar los temas transversales en el nuevo marco de planificación estratégica</w:t>
            </w:r>
            <w:bookmarkEnd w:id="46"/>
            <w:r w:rsidR="00C5648F" w:rsidRPr="00114ED3">
              <w:rPr>
                <w:lang w:eastAsia="en-GB"/>
              </w:rPr>
              <w:t>.</w:t>
            </w:r>
            <w:r w:rsidR="00C5648F" w:rsidRPr="00114ED3">
              <w:rPr>
                <w:b/>
                <w:bCs/>
                <w:color w:val="800000"/>
                <w:lang w:eastAsia="en-GB"/>
              </w:rPr>
              <w:t xml:space="preserve"> </w:t>
            </w:r>
          </w:p>
        </w:tc>
        <w:tc>
          <w:tcPr>
            <w:tcW w:w="1559" w:type="dxa"/>
            <w:tcBorders>
              <w:top w:val="nil"/>
              <w:left w:val="nil"/>
              <w:bottom w:val="nil"/>
              <w:right w:val="nil"/>
            </w:tcBorders>
            <w:shd w:val="clear" w:color="EDEDED" w:fill="EDEDED"/>
            <w:noWrap/>
            <w:vAlign w:val="center"/>
            <w:hideMark/>
          </w:tcPr>
          <w:p w14:paraId="1E49626D" w14:textId="77777777" w:rsidR="00DB7EA6" w:rsidRPr="002733C4" w:rsidRDefault="00D91982" w:rsidP="004260E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548DD4" w:themeColor="text2" w:themeTint="99"/>
                <w:sz w:val="22"/>
                <w:szCs w:val="22"/>
                <w:u w:val="single"/>
                <w:lang w:eastAsia="en-GB"/>
              </w:rPr>
            </w:pPr>
            <w:hyperlink r:id="rId16" w:history="1">
              <w:bookmarkStart w:id="47" w:name="lt_pId075"/>
              <w:r w:rsidR="00DB7EA6" w:rsidRPr="002733C4">
                <w:rPr>
                  <w:rFonts w:cs="Calibri"/>
                  <w:color w:val="548DD4" w:themeColor="text2" w:themeTint="99"/>
                  <w:sz w:val="22"/>
                  <w:szCs w:val="22"/>
                  <w:u w:val="single"/>
                  <w:lang w:eastAsia="en-GB"/>
                </w:rPr>
                <w:t>CWG-SFP-1/5</w:t>
              </w:r>
              <w:bookmarkEnd w:id="47"/>
            </w:hyperlink>
          </w:p>
        </w:tc>
        <w:tc>
          <w:tcPr>
            <w:tcW w:w="3515" w:type="dxa"/>
            <w:vMerge/>
            <w:tcBorders>
              <w:left w:val="nil"/>
              <w:bottom w:val="nil"/>
              <w:right w:val="nil"/>
            </w:tcBorders>
            <w:shd w:val="clear" w:color="auto" w:fill="auto"/>
            <w:hideMark/>
          </w:tcPr>
          <w:p w14:paraId="0051A9BF" w14:textId="77777777" w:rsidR="00DB7EA6" w:rsidRPr="00114ED3" w:rsidRDefault="00DB7EA6" w:rsidP="004260E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r>
    </w:tbl>
    <w:p w14:paraId="49825575" w14:textId="52D0D81F" w:rsidR="00993503" w:rsidRDefault="00993503">
      <w:r>
        <w:br w:type="page"/>
      </w:r>
    </w:p>
    <w:tbl>
      <w:tblPr>
        <w:tblW w:w="14572" w:type="dxa"/>
        <w:jc w:val="center"/>
        <w:tblLayout w:type="fixed"/>
        <w:tblLook w:val="04A0" w:firstRow="1" w:lastRow="0" w:firstColumn="1" w:lastColumn="0" w:noHBand="0" w:noVBand="1"/>
      </w:tblPr>
      <w:tblGrid>
        <w:gridCol w:w="1560"/>
        <w:gridCol w:w="7938"/>
        <w:gridCol w:w="1559"/>
        <w:gridCol w:w="3515"/>
      </w:tblGrid>
      <w:tr w:rsidR="00993503" w:rsidRPr="00993503" w14:paraId="334551D5" w14:textId="77777777" w:rsidTr="005D3F3D">
        <w:trPr>
          <w:tblHeader/>
          <w:jc w:val="center"/>
        </w:trPr>
        <w:tc>
          <w:tcPr>
            <w:tcW w:w="14572" w:type="dxa"/>
            <w:gridSpan w:val="4"/>
            <w:tcBorders>
              <w:top w:val="single" w:sz="8" w:space="0" w:color="FFFFFF"/>
              <w:left w:val="nil"/>
              <w:bottom w:val="single" w:sz="8" w:space="0" w:color="FFFFFF"/>
              <w:right w:val="nil"/>
            </w:tcBorders>
            <w:shd w:val="clear" w:color="auto" w:fill="8DB3E2" w:themeFill="text2" w:themeFillTint="66"/>
            <w:vAlign w:val="center"/>
          </w:tcPr>
          <w:p w14:paraId="32A9B303" w14:textId="65F6D288" w:rsidR="00993503" w:rsidRPr="00993503" w:rsidRDefault="00993503" w:rsidP="00993503">
            <w:pPr>
              <w:pStyle w:val="Tablehead"/>
              <w:jc w:val="left"/>
              <w:rPr>
                <w:rFonts w:cs="Calibri"/>
                <w:szCs w:val="22"/>
                <w:lang w:eastAsia="en-GB"/>
              </w:rPr>
            </w:pPr>
            <w:r>
              <w:rPr>
                <w:rFonts w:cs="Calibri"/>
                <w:szCs w:val="22"/>
                <w:lang w:eastAsia="en-GB"/>
              </w:rPr>
              <w:lastRenderedPageBreak/>
              <w:t>3</w:t>
            </w:r>
            <w:r>
              <w:rPr>
                <w:rFonts w:cs="Calibri"/>
                <w:szCs w:val="22"/>
                <w:lang w:eastAsia="en-GB"/>
              </w:rPr>
              <w:tab/>
              <w:t>Una UIT</w:t>
            </w:r>
          </w:p>
        </w:tc>
      </w:tr>
      <w:tr w:rsidR="00862CA6" w:rsidRPr="00993503" w14:paraId="378A0FF8" w14:textId="77777777" w:rsidTr="005D3F3D">
        <w:trPr>
          <w:tblHeader/>
          <w:jc w:val="center"/>
        </w:trPr>
        <w:tc>
          <w:tcPr>
            <w:tcW w:w="1560" w:type="dxa"/>
            <w:tcBorders>
              <w:top w:val="single" w:sz="8" w:space="0" w:color="FFFFFF"/>
              <w:left w:val="nil"/>
              <w:bottom w:val="single" w:sz="2" w:space="0" w:color="auto"/>
              <w:right w:val="nil"/>
            </w:tcBorders>
            <w:shd w:val="clear" w:color="auto" w:fill="auto"/>
            <w:vAlign w:val="center"/>
            <w:hideMark/>
          </w:tcPr>
          <w:p w14:paraId="115D3368" w14:textId="125D1F17" w:rsidR="00862CA6" w:rsidRPr="00993503" w:rsidRDefault="00862CA6" w:rsidP="00993503">
            <w:pPr>
              <w:pStyle w:val="Tabletext"/>
              <w:keepNext/>
              <w:keepLines/>
              <w:jc w:val="center"/>
              <w:rPr>
                <w:b/>
                <w:bCs/>
                <w:lang w:eastAsia="en-GB"/>
              </w:rPr>
            </w:pPr>
            <w:r w:rsidRPr="00993503">
              <w:rPr>
                <w:b/>
                <w:bCs/>
                <w:lang w:eastAsia="en-GB"/>
              </w:rPr>
              <w:t>Origen de las observaciones</w:t>
            </w:r>
          </w:p>
        </w:tc>
        <w:tc>
          <w:tcPr>
            <w:tcW w:w="7938" w:type="dxa"/>
            <w:tcBorders>
              <w:top w:val="single" w:sz="8" w:space="0" w:color="FFFFFF"/>
              <w:left w:val="nil"/>
              <w:bottom w:val="single" w:sz="2" w:space="0" w:color="auto"/>
              <w:right w:val="nil"/>
            </w:tcBorders>
            <w:shd w:val="clear" w:color="auto" w:fill="auto"/>
            <w:vAlign w:val="center"/>
            <w:hideMark/>
          </w:tcPr>
          <w:p w14:paraId="3F89DD38" w14:textId="2234FD4B" w:rsidR="00862CA6" w:rsidRPr="00993503" w:rsidRDefault="00862CA6" w:rsidP="00993503">
            <w:pPr>
              <w:pStyle w:val="Tabletext"/>
              <w:keepNext/>
              <w:keepLines/>
              <w:jc w:val="center"/>
              <w:rPr>
                <w:b/>
                <w:bCs/>
                <w:lang w:eastAsia="en-GB"/>
              </w:rPr>
            </w:pPr>
            <w:r w:rsidRPr="00993503">
              <w:rPr>
                <w:b/>
                <w:bCs/>
                <w:lang w:eastAsia="en-GB"/>
              </w:rPr>
              <w:t>Observaciones</w:t>
            </w:r>
          </w:p>
        </w:tc>
        <w:tc>
          <w:tcPr>
            <w:tcW w:w="1559" w:type="dxa"/>
            <w:tcBorders>
              <w:top w:val="single" w:sz="8" w:space="0" w:color="FFFFFF"/>
              <w:left w:val="nil"/>
              <w:bottom w:val="single" w:sz="2" w:space="0" w:color="auto"/>
              <w:right w:val="nil"/>
            </w:tcBorders>
            <w:shd w:val="clear" w:color="auto" w:fill="auto"/>
            <w:vAlign w:val="center"/>
            <w:hideMark/>
          </w:tcPr>
          <w:p w14:paraId="26F88F47" w14:textId="48F7973A" w:rsidR="00862CA6" w:rsidRPr="00993503" w:rsidRDefault="00862CA6" w:rsidP="00993503">
            <w:pPr>
              <w:pStyle w:val="Tabletext"/>
              <w:keepNext/>
              <w:keepLines/>
              <w:jc w:val="center"/>
              <w:rPr>
                <w:b/>
                <w:bCs/>
                <w:lang w:eastAsia="en-GB"/>
              </w:rPr>
            </w:pPr>
            <w:r w:rsidRPr="00993503">
              <w:rPr>
                <w:b/>
                <w:bCs/>
                <w:lang w:eastAsia="en-GB"/>
              </w:rPr>
              <w:t xml:space="preserve">Doc. del </w:t>
            </w:r>
            <w:r w:rsidR="00993503">
              <w:rPr>
                <w:b/>
                <w:bCs/>
                <w:lang w:eastAsia="en-GB"/>
              </w:rPr>
              <w:br/>
            </w:r>
            <w:r w:rsidRPr="00993503">
              <w:rPr>
                <w:b/>
                <w:bCs/>
                <w:lang w:eastAsia="en-GB"/>
              </w:rPr>
              <w:t>GTC-PEF</w:t>
            </w:r>
          </w:p>
        </w:tc>
        <w:tc>
          <w:tcPr>
            <w:tcW w:w="3515" w:type="dxa"/>
            <w:tcBorders>
              <w:top w:val="single" w:sz="8" w:space="0" w:color="FFFFFF"/>
              <w:left w:val="nil"/>
              <w:bottom w:val="single" w:sz="2" w:space="0" w:color="auto"/>
              <w:right w:val="nil"/>
            </w:tcBorders>
            <w:shd w:val="clear" w:color="auto" w:fill="auto"/>
            <w:vAlign w:val="center"/>
            <w:hideMark/>
          </w:tcPr>
          <w:p w14:paraId="289D59C8" w14:textId="785AE234" w:rsidR="00862CA6" w:rsidRPr="00993503" w:rsidRDefault="00862CA6" w:rsidP="00993503">
            <w:pPr>
              <w:pStyle w:val="Tabletext"/>
              <w:keepNext/>
              <w:keepLines/>
              <w:jc w:val="center"/>
              <w:rPr>
                <w:b/>
                <w:bCs/>
                <w:lang w:eastAsia="en-GB"/>
              </w:rPr>
            </w:pPr>
            <w:r w:rsidRPr="00993503">
              <w:rPr>
                <w:b/>
                <w:bCs/>
                <w:lang w:eastAsia="en-GB"/>
              </w:rPr>
              <w:t>Orientaciones del GTC-PEF</w:t>
            </w:r>
          </w:p>
        </w:tc>
      </w:tr>
      <w:tr w:rsidR="00DB7EA6" w:rsidRPr="00114ED3" w14:paraId="0727B8F6" w14:textId="77777777" w:rsidTr="005D3F3D">
        <w:trPr>
          <w:jc w:val="center"/>
        </w:trPr>
        <w:tc>
          <w:tcPr>
            <w:tcW w:w="1560" w:type="dxa"/>
            <w:tcBorders>
              <w:top w:val="single" w:sz="2" w:space="0" w:color="auto"/>
              <w:left w:val="nil"/>
              <w:bottom w:val="nil"/>
              <w:right w:val="nil"/>
            </w:tcBorders>
            <w:shd w:val="clear" w:color="EDEDED" w:fill="EDEDED"/>
            <w:hideMark/>
          </w:tcPr>
          <w:p w14:paraId="46936D6B" w14:textId="500C351C" w:rsidR="00DB7EA6" w:rsidRPr="00993503" w:rsidRDefault="00D8484D" w:rsidP="00C15CA8">
            <w:pPr>
              <w:pStyle w:val="Tabletext"/>
              <w:rPr>
                <w:lang w:eastAsia="en-GB"/>
              </w:rPr>
            </w:pPr>
            <w:r w:rsidRPr="00993503">
              <w:rPr>
                <w:lang w:eastAsia="en-GB"/>
              </w:rPr>
              <w:t>Consulta en línea:</w:t>
            </w:r>
          </w:p>
        </w:tc>
        <w:tc>
          <w:tcPr>
            <w:tcW w:w="7938" w:type="dxa"/>
            <w:tcBorders>
              <w:top w:val="single" w:sz="2" w:space="0" w:color="auto"/>
              <w:left w:val="nil"/>
              <w:bottom w:val="nil"/>
              <w:right w:val="nil"/>
            </w:tcBorders>
            <w:shd w:val="clear" w:color="EDEDED" w:fill="EDEDED"/>
            <w:hideMark/>
          </w:tcPr>
          <w:p w14:paraId="7093DDD3" w14:textId="35751E69" w:rsidR="0077517F" w:rsidRDefault="0077517F" w:rsidP="00993503">
            <w:pPr>
              <w:pStyle w:val="Tabletext"/>
              <w:ind w:left="313" w:hanging="313"/>
              <w:rPr>
                <w:rFonts w:cs="Calibri"/>
                <w:szCs w:val="22"/>
                <w:lang w:eastAsia="en-GB"/>
              </w:rPr>
            </w:pPr>
            <w:bookmarkStart w:id="48" w:name="lt_pId082"/>
            <w:r>
              <w:rPr>
                <w:rFonts w:cs="Calibri"/>
                <w:szCs w:val="22"/>
                <w:lang w:eastAsia="en-GB"/>
              </w:rPr>
              <w:t>–</w:t>
            </w:r>
            <w:r w:rsidR="00993503" w:rsidRPr="00993503">
              <w:rPr>
                <w:rFonts w:cs="Calibri"/>
                <w:szCs w:val="22"/>
                <w:lang w:eastAsia="en-GB"/>
              </w:rPr>
              <w:tab/>
            </w:r>
            <w:r w:rsidR="00D40311" w:rsidRPr="00993503">
              <w:rPr>
                <w:rFonts w:cs="Calibri"/>
                <w:szCs w:val="22"/>
                <w:lang w:eastAsia="en-GB"/>
              </w:rPr>
              <w:t xml:space="preserve">Se </w:t>
            </w:r>
            <w:r w:rsidR="00D40311" w:rsidRPr="00993503">
              <w:rPr>
                <w:szCs w:val="22"/>
                <w:lang w:eastAsia="en-GB"/>
              </w:rPr>
              <w:t>refrenda</w:t>
            </w:r>
            <w:r w:rsidR="00D40311" w:rsidRPr="00993503">
              <w:rPr>
                <w:rFonts w:cs="Calibri"/>
                <w:szCs w:val="22"/>
                <w:lang w:eastAsia="en-GB"/>
              </w:rPr>
              <w:t xml:space="preserve"> la </w:t>
            </w:r>
            <w:r w:rsidR="00D40311" w:rsidRPr="00993503">
              <w:rPr>
                <w:rFonts w:cs="Calibri"/>
                <w:b/>
                <w:bCs/>
                <w:szCs w:val="22"/>
                <w:lang w:eastAsia="en-GB"/>
              </w:rPr>
              <w:t>gran impor</w:t>
            </w:r>
            <w:r w:rsidR="00E6725A" w:rsidRPr="00993503">
              <w:rPr>
                <w:rFonts w:cs="Calibri"/>
                <w:b/>
                <w:bCs/>
                <w:szCs w:val="22"/>
                <w:lang w:eastAsia="en-GB"/>
              </w:rPr>
              <w:t>t</w:t>
            </w:r>
            <w:r w:rsidR="00D40311" w:rsidRPr="00993503">
              <w:rPr>
                <w:rFonts w:cs="Calibri"/>
                <w:b/>
                <w:bCs/>
                <w:szCs w:val="22"/>
                <w:lang w:eastAsia="en-GB"/>
              </w:rPr>
              <w:t>ancia de que el concepto de Una UIT</w:t>
            </w:r>
            <w:r w:rsidR="00D40311" w:rsidRPr="00993503">
              <w:rPr>
                <w:rFonts w:cs="Calibri"/>
                <w:szCs w:val="22"/>
                <w:lang w:eastAsia="en-GB"/>
              </w:rPr>
              <w:t xml:space="preserve"> siga orientando los trabajos en curso (quizás aclarando más el concepto)</w:t>
            </w:r>
            <w:bookmarkStart w:id="49" w:name="lt_pId083"/>
            <w:bookmarkEnd w:id="48"/>
            <w:r>
              <w:rPr>
                <w:rFonts w:cs="Calibri"/>
                <w:szCs w:val="22"/>
                <w:lang w:eastAsia="en-GB"/>
              </w:rPr>
              <w:t>.</w:t>
            </w:r>
          </w:p>
          <w:p w14:paraId="2883C12B" w14:textId="03C4D01F" w:rsidR="0077517F" w:rsidRDefault="0077517F" w:rsidP="00993503">
            <w:pPr>
              <w:pStyle w:val="Tabletext"/>
              <w:ind w:left="313" w:hanging="313"/>
              <w:rPr>
                <w:rFonts w:cs="Calibri"/>
                <w:b/>
                <w:bCs/>
                <w:szCs w:val="22"/>
                <w:lang w:eastAsia="en-GB"/>
              </w:rPr>
            </w:pPr>
            <w:r>
              <w:rPr>
                <w:rFonts w:cs="Calibri"/>
                <w:szCs w:val="22"/>
                <w:lang w:eastAsia="en-GB"/>
              </w:rPr>
              <w:t>–</w:t>
            </w:r>
            <w:r>
              <w:rPr>
                <w:rFonts w:cs="Calibri"/>
                <w:szCs w:val="22"/>
                <w:lang w:eastAsia="en-GB"/>
              </w:rPr>
              <w:tab/>
            </w:r>
            <w:r w:rsidR="00D40311" w:rsidRPr="00993503">
              <w:rPr>
                <w:rFonts w:cs="Calibri"/>
                <w:szCs w:val="22"/>
                <w:lang w:eastAsia="en-GB"/>
              </w:rPr>
              <w:t xml:space="preserve">El nuevo plan estratégico necesita </w:t>
            </w:r>
            <w:r w:rsidR="00D40311" w:rsidRPr="00993503">
              <w:rPr>
                <w:rFonts w:cs="Calibri"/>
                <w:b/>
                <w:bCs/>
                <w:szCs w:val="22"/>
                <w:lang w:eastAsia="en-GB"/>
              </w:rPr>
              <w:t>mejorar la cooperación entre los tres Sectores</w:t>
            </w:r>
            <w:r w:rsidR="00D40311" w:rsidRPr="00993503">
              <w:rPr>
                <w:rFonts w:cs="Calibri"/>
                <w:szCs w:val="22"/>
                <w:lang w:eastAsia="en-GB"/>
              </w:rPr>
              <w:t xml:space="preserve">, teniendo en cuanta las </w:t>
            </w:r>
            <w:r w:rsidR="00D40311" w:rsidRPr="00993503">
              <w:rPr>
                <w:rFonts w:cs="Calibri"/>
                <w:b/>
                <w:bCs/>
                <w:szCs w:val="22"/>
                <w:lang w:eastAsia="en-GB"/>
              </w:rPr>
              <w:t>eficiencias</w:t>
            </w:r>
            <w:r w:rsidR="00D40311" w:rsidRPr="00993503">
              <w:rPr>
                <w:rFonts w:cs="Calibri"/>
                <w:szCs w:val="22"/>
                <w:lang w:eastAsia="en-GB"/>
              </w:rPr>
              <w:t xml:space="preserve"> y las </w:t>
            </w:r>
            <w:r w:rsidR="00D40311" w:rsidRPr="00993503">
              <w:rPr>
                <w:rFonts w:cs="Calibri"/>
                <w:b/>
                <w:bCs/>
                <w:szCs w:val="22"/>
                <w:lang w:eastAsia="en-GB"/>
              </w:rPr>
              <w:t>sinergias</w:t>
            </w:r>
            <w:bookmarkStart w:id="50" w:name="lt_pId084"/>
            <w:bookmarkEnd w:id="49"/>
            <w:r>
              <w:rPr>
                <w:rFonts w:cs="Calibri"/>
                <w:b/>
                <w:bCs/>
                <w:szCs w:val="22"/>
                <w:lang w:eastAsia="en-GB"/>
              </w:rPr>
              <w:t>.</w:t>
            </w:r>
          </w:p>
          <w:p w14:paraId="20D970EC" w14:textId="4FB1CAED" w:rsidR="00DB7EA6" w:rsidRPr="00993503" w:rsidRDefault="0077517F" w:rsidP="00993503">
            <w:pPr>
              <w:pStyle w:val="Tabletext"/>
              <w:ind w:left="313" w:hanging="313"/>
              <w:rPr>
                <w:rFonts w:cs="Calibri"/>
                <w:b/>
                <w:color w:val="800000"/>
                <w:szCs w:val="22"/>
                <w:lang w:eastAsia="en-GB"/>
              </w:rPr>
            </w:pPr>
            <w:r>
              <w:rPr>
                <w:rFonts w:cs="Calibri"/>
                <w:szCs w:val="22"/>
                <w:lang w:eastAsia="en-GB"/>
              </w:rPr>
              <w:t>–</w:t>
            </w:r>
            <w:r>
              <w:rPr>
                <w:rFonts w:cs="Calibri"/>
                <w:szCs w:val="22"/>
                <w:lang w:eastAsia="en-GB"/>
              </w:rPr>
              <w:tab/>
            </w:r>
            <w:r w:rsidR="0040764F" w:rsidRPr="00993503">
              <w:rPr>
                <w:rFonts w:cs="Calibri"/>
                <w:szCs w:val="22"/>
                <w:lang w:eastAsia="en-GB"/>
              </w:rPr>
              <w:t>Se ha propuest</w:t>
            </w:r>
            <w:r w:rsidR="00DC3D30" w:rsidRPr="00993503">
              <w:rPr>
                <w:rFonts w:cs="Calibri"/>
                <w:szCs w:val="22"/>
                <w:lang w:eastAsia="en-GB"/>
              </w:rPr>
              <w:t>o</w:t>
            </w:r>
            <w:r w:rsidR="0040764F" w:rsidRPr="00993503">
              <w:rPr>
                <w:rFonts w:cs="Calibri"/>
                <w:szCs w:val="22"/>
                <w:lang w:eastAsia="en-GB"/>
              </w:rPr>
              <w:t xml:space="preserve"> </w:t>
            </w:r>
            <w:r w:rsidR="0040764F" w:rsidRPr="00993503">
              <w:rPr>
                <w:rFonts w:cs="Calibri"/>
                <w:b/>
                <w:bCs/>
                <w:szCs w:val="22"/>
                <w:lang w:eastAsia="en-GB"/>
              </w:rPr>
              <w:t>atribuir</w:t>
            </w:r>
            <w:r w:rsidR="0040764F" w:rsidRPr="00993503">
              <w:rPr>
                <w:rFonts w:cs="Calibri"/>
                <w:szCs w:val="22"/>
                <w:lang w:eastAsia="en-GB"/>
              </w:rPr>
              <w:t xml:space="preserve"> </w:t>
            </w:r>
            <w:r w:rsidR="0040764F" w:rsidRPr="00993503">
              <w:rPr>
                <w:rFonts w:cs="Calibri"/>
                <w:b/>
                <w:bCs/>
                <w:szCs w:val="22"/>
                <w:lang w:eastAsia="en-GB"/>
              </w:rPr>
              <w:t>recursos de manera flexible</w:t>
            </w:r>
            <w:r w:rsidR="0040764F" w:rsidRPr="00993503">
              <w:rPr>
                <w:rFonts w:cs="Calibri"/>
                <w:szCs w:val="22"/>
                <w:lang w:eastAsia="en-GB"/>
              </w:rPr>
              <w:t xml:space="preserve"> en lugar de asignarlos a cada Sector por separado</w:t>
            </w:r>
            <w:bookmarkEnd w:id="50"/>
            <w:r>
              <w:rPr>
                <w:rFonts w:cs="Calibri"/>
                <w:b/>
                <w:color w:val="800000"/>
                <w:szCs w:val="22"/>
                <w:lang w:eastAsia="en-GB"/>
              </w:rPr>
              <w:t>.</w:t>
            </w:r>
          </w:p>
        </w:tc>
        <w:tc>
          <w:tcPr>
            <w:tcW w:w="1559" w:type="dxa"/>
            <w:tcBorders>
              <w:top w:val="single" w:sz="2" w:space="0" w:color="auto"/>
              <w:left w:val="nil"/>
              <w:bottom w:val="nil"/>
              <w:right w:val="nil"/>
            </w:tcBorders>
            <w:shd w:val="clear" w:color="EDEDED" w:fill="EDEDED"/>
            <w:noWrap/>
            <w:vAlign w:val="center"/>
            <w:hideMark/>
          </w:tcPr>
          <w:p w14:paraId="50CDD969" w14:textId="77777777" w:rsidR="00DB7EA6" w:rsidRPr="00993503" w:rsidRDefault="00D91982" w:rsidP="004260E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548DD4" w:themeColor="text2" w:themeTint="99"/>
                <w:sz w:val="22"/>
                <w:szCs w:val="22"/>
                <w:u w:val="single"/>
                <w:lang w:eastAsia="en-GB"/>
              </w:rPr>
            </w:pPr>
            <w:hyperlink r:id="rId17" w:history="1">
              <w:bookmarkStart w:id="51" w:name="lt_pId085"/>
              <w:r w:rsidR="00DB7EA6" w:rsidRPr="00993503">
                <w:rPr>
                  <w:rFonts w:cs="Calibri"/>
                  <w:color w:val="548DD4" w:themeColor="text2" w:themeTint="99"/>
                  <w:sz w:val="22"/>
                  <w:szCs w:val="22"/>
                  <w:u w:val="single"/>
                  <w:lang w:eastAsia="en-GB"/>
                </w:rPr>
                <w:t>CWG-SFP-1/11</w:t>
              </w:r>
              <w:bookmarkEnd w:id="51"/>
            </w:hyperlink>
          </w:p>
        </w:tc>
        <w:tc>
          <w:tcPr>
            <w:tcW w:w="3515" w:type="dxa"/>
            <w:vMerge w:val="restart"/>
            <w:tcBorders>
              <w:top w:val="single" w:sz="2" w:space="0" w:color="auto"/>
              <w:left w:val="nil"/>
              <w:right w:val="nil"/>
            </w:tcBorders>
            <w:shd w:val="clear" w:color="auto" w:fill="FFFFFF" w:themeFill="background1"/>
            <w:noWrap/>
            <w:hideMark/>
          </w:tcPr>
          <w:p w14:paraId="37CBAB25" w14:textId="3C907A0D" w:rsidR="00307580" w:rsidRPr="00993503" w:rsidRDefault="002A544F" w:rsidP="00993503">
            <w:pPr>
              <w:pStyle w:val="Tabletext"/>
              <w:ind w:left="313" w:hanging="313"/>
              <w:rPr>
                <w:lang w:eastAsia="en-GB"/>
              </w:rPr>
            </w:pPr>
            <w:bookmarkStart w:id="52" w:name="lt_pId086"/>
            <w:r>
              <w:rPr>
                <w:lang w:eastAsia="en-GB"/>
              </w:rPr>
              <w:t>–</w:t>
            </w:r>
            <w:r w:rsidR="00993503">
              <w:rPr>
                <w:lang w:eastAsia="en-GB"/>
              </w:rPr>
              <w:tab/>
            </w:r>
            <w:r w:rsidR="00307580" w:rsidRPr="00993503">
              <w:rPr>
                <w:lang w:eastAsia="en-GB"/>
              </w:rPr>
              <w:t xml:space="preserve">Solicitar a la secretaría que siga </w:t>
            </w:r>
            <w:r w:rsidR="0008484D" w:rsidRPr="00993503">
              <w:rPr>
                <w:lang w:eastAsia="en-GB"/>
              </w:rPr>
              <w:t>aportando contribuciones</w:t>
            </w:r>
            <w:r w:rsidR="00307580" w:rsidRPr="00993503">
              <w:rPr>
                <w:lang w:eastAsia="en-GB"/>
              </w:rPr>
              <w:t xml:space="preserve"> para aclarar y reforzar el concepto de </w:t>
            </w:r>
            <w:r w:rsidR="0008484D" w:rsidRPr="00993503">
              <w:rPr>
                <w:lang w:eastAsia="en-GB"/>
              </w:rPr>
              <w:t>“</w:t>
            </w:r>
            <w:r w:rsidR="00307580" w:rsidRPr="00993503">
              <w:rPr>
                <w:lang w:eastAsia="en-GB"/>
              </w:rPr>
              <w:t>Una UIT</w:t>
            </w:r>
            <w:r w:rsidR="0008484D" w:rsidRPr="00993503">
              <w:rPr>
                <w:lang w:eastAsia="en-GB"/>
              </w:rPr>
              <w:t>”</w:t>
            </w:r>
            <w:r w:rsidR="00307580" w:rsidRPr="00993503">
              <w:rPr>
                <w:lang w:eastAsia="en-GB"/>
              </w:rPr>
              <w:t xml:space="preserve">, y al </w:t>
            </w:r>
            <w:r w:rsidR="0008484D" w:rsidRPr="00993503">
              <w:rPr>
                <w:lang w:eastAsia="en-GB"/>
              </w:rPr>
              <w:t>GTC</w:t>
            </w:r>
            <w:r w:rsidR="00503347">
              <w:rPr>
                <w:lang w:eastAsia="en-GB"/>
              </w:rPr>
              <w:t>-</w:t>
            </w:r>
            <w:r w:rsidR="0008484D" w:rsidRPr="00993503">
              <w:rPr>
                <w:lang w:eastAsia="en-GB"/>
              </w:rPr>
              <w:t>PEF</w:t>
            </w:r>
            <w:r w:rsidR="00307580" w:rsidRPr="00993503">
              <w:rPr>
                <w:lang w:eastAsia="en-GB"/>
              </w:rPr>
              <w:t xml:space="preserve"> que </w:t>
            </w:r>
            <w:r w:rsidR="0008484D" w:rsidRPr="00993503">
              <w:rPr>
                <w:lang w:eastAsia="en-GB"/>
              </w:rPr>
              <w:t>siga teniéndolo en cuenta a efectos de</w:t>
            </w:r>
            <w:r w:rsidR="00307580" w:rsidRPr="00993503">
              <w:rPr>
                <w:lang w:eastAsia="en-GB"/>
              </w:rPr>
              <w:t xml:space="preserve"> la elaboración del plan estratégico</w:t>
            </w:r>
            <w:r w:rsidR="00993503">
              <w:rPr>
                <w:lang w:eastAsia="en-GB"/>
              </w:rPr>
              <w:t>.</w:t>
            </w:r>
          </w:p>
          <w:p w14:paraId="1B716DBB" w14:textId="01AB035A" w:rsidR="00307580" w:rsidRPr="00993503" w:rsidRDefault="002A544F" w:rsidP="00993503">
            <w:pPr>
              <w:pStyle w:val="Tabletext"/>
              <w:ind w:left="313" w:hanging="313"/>
              <w:rPr>
                <w:lang w:eastAsia="en-GB"/>
              </w:rPr>
            </w:pPr>
            <w:r>
              <w:rPr>
                <w:lang w:eastAsia="en-GB"/>
              </w:rPr>
              <w:t>–</w:t>
            </w:r>
            <w:r w:rsidR="00993503">
              <w:rPr>
                <w:lang w:eastAsia="en-GB"/>
              </w:rPr>
              <w:tab/>
            </w:r>
            <w:r w:rsidR="00307580" w:rsidRPr="00993503">
              <w:rPr>
                <w:lang w:eastAsia="en-GB"/>
              </w:rPr>
              <w:t xml:space="preserve">Solicitar a la </w:t>
            </w:r>
            <w:r w:rsidR="0008484D" w:rsidRPr="00993503">
              <w:rPr>
                <w:lang w:eastAsia="en-GB"/>
              </w:rPr>
              <w:t>s</w:t>
            </w:r>
            <w:r w:rsidR="00307580" w:rsidRPr="00993503">
              <w:rPr>
                <w:lang w:eastAsia="en-GB"/>
              </w:rPr>
              <w:t xml:space="preserve">ecretaría que </w:t>
            </w:r>
            <w:r w:rsidR="000D7ED2" w:rsidRPr="00993503">
              <w:rPr>
                <w:lang w:eastAsia="en-GB"/>
              </w:rPr>
              <w:t>potencie</w:t>
            </w:r>
            <w:r w:rsidR="00307580" w:rsidRPr="00993503">
              <w:rPr>
                <w:lang w:eastAsia="en-GB"/>
              </w:rPr>
              <w:t xml:space="preserve"> las prioridades, los temas y l</w:t>
            </w:r>
            <w:r w:rsidR="000D7ED2" w:rsidRPr="00993503">
              <w:rPr>
                <w:lang w:eastAsia="en-GB"/>
              </w:rPr>
              <w:t>o</w:t>
            </w:r>
            <w:r w:rsidR="00307580" w:rsidRPr="00993503">
              <w:rPr>
                <w:lang w:eastAsia="en-GB"/>
              </w:rPr>
              <w:t>s á</w:t>
            </w:r>
            <w:r w:rsidR="000D7ED2" w:rsidRPr="00993503">
              <w:rPr>
                <w:lang w:eastAsia="en-GB"/>
              </w:rPr>
              <w:t>mbito</w:t>
            </w:r>
            <w:r w:rsidR="00307580" w:rsidRPr="00993503">
              <w:rPr>
                <w:lang w:eastAsia="en-GB"/>
              </w:rPr>
              <w:t xml:space="preserve">s de trabajo </w:t>
            </w:r>
            <w:r w:rsidR="000D7ED2" w:rsidRPr="00993503">
              <w:rPr>
                <w:lang w:eastAsia="en-GB"/>
              </w:rPr>
              <w:t>estratégicos intersectoriales y</w:t>
            </w:r>
            <w:r w:rsidR="00307580" w:rsidRPr="00993503">
              <w:rPr>
                <w:lang w:eastAsia="en-GB"/>
              </w:rPr>
              <w:t xml:space="preserve"> refleje el concepto de </w:t>
            </w:r>
            <w:r w:rsidR="000D7ED2" w:rsidRPr="00993503">
              <w:rPr>
                <w:lang w:eastAsia="en-GB"/>
              </w:rPr>
              <w:t>“</w:t>
            </w:r>
            <w:r w:rsidR="00307580" w:rsidRPr="00993503">
              <w:rPr>
                <w:lang w:eastAsia="en-GB"/>
              </w:rPr>
              <w:t>Una UIT</w:t>
            </w:r>
            <w:r w:rsidR="000D7ED2" w:rsidRPr="00993503">
              <w:rPr>
                <w:lang w:eastAsia="en-GB"/>
              </w:rPr>
              <w:t>”</w:t>
            </w:r>
            <w:r w:rsidR="00307580" w:rsidRPr="00993503">
              <w:rPr>
                <w:lang w:eastAsia="en-GB"/>
              </w:rPr>
              <w:t>,</w:t>
            </w:r>
            <w:r w:rsidR="000D7ED2" w:rsidRPr="00993503">
              <w:rPr>
                <w:lang w:eastAsia="en-GB"/>
              </w:rPr>
              <w:t xml:space="preserve"> reconociendo</w:t>
            </w:r>
            <w:r w:rsidR="00307580" w:rsidRPr="00993503">
              <w:rPr>
                <w:lang w:eastAsia="en-GB"/>
              </w:rPr>
              <w:t xml:space="preserve"> </w:t>
            </w:r>
            <w:r w:rsidR="000D7ED2" w:rsidRPr="00993503">
              <w:rPr>
                <w:lang w:eastAsia="en-GB"/>
              </w:rPr>
              <w:t xml:space="preserve">al mismo tiempo </w:t>
            </w:r>
            <w:r w:rsidR="00307580" w:rsidRPr="00993503">
              <w:rPr>
                <w:lang w:eastAsia="en-GB"/>
              </w:rPr>
              <w:t xml:space="preserve">la contribución de los Sectores de la UIT, </w:t>
            </w:r>
            <w:r w:rsidR="000D7ED2" w:rsidRPr="00993503">
              <w:rPr>
                <w:lang w:eastAsia="en-GB"/>
              </w:rPr>
              <w:t>a fin de</w:t>
            </w:r>
            <w:r w:rsidR="00307580" w:rsidRPr="00993503">
              <w:rPr>
                <w:lang w:eastAsia="en-GB"/>
              </w:rPr>
              <w:t xml:space="preserve"> articular los productos y servicios que la UIT puede </w:t>
            </w:r>
            <w:r w:rsidR="000D7ED2" w:rsidRPr="00993503">
              <w:rPr>
                <w:lang w:eastAsia="en-GB"/>
              </w:rPr>
              <w:t>ofrecer</w:t>
            </w:r>
            <w:r w:rsidR="00307580" w:rsidRPr="00993503">
              <w:rPr>
                <w:lang w:eastAsia="en-GB"/>
              </w:rPr>
              <w:t xml:space="preserve"> como organización</w:t>
            </w:r>
            <w:r w:rsidR="00993503">
              <w:rPr>
                <w:lang w:eastAsia="en-GB"/>
              </w:rPr>
              <w:t>.</w:t>
            </w:r>
          </w:p>
          <w:p w14:paraId="698B56C1" w14:textId="2507EB17" w:rsidR="000D7ED2" w:rsidRPr="00993503" w:rsidRDefault="002A544F" w:rsidP="00993503">
            <w:pPr>
              <w:pStyle w:val="Tabletext"/>
              <w:ind w:left="313" w:hanging="313"/>
              <w:rPr>
                <w:lang w:eastAsia="en-GB"/>
              </w:rPr>
            </w:pPr>
            <w:r>
              <w:rPr>
                <w:lang w:eastAsia="en-GB"/>
              </w:rPr>
              <w:t>–</w:t>
            </w:r>
            <w:r w:rsidR="00993503">
              <w:rPr>
                <w:lang w:eastAsia="en-GB"/>
              </w:rPr>
              <w:tab/>
            </w:r>
            <w:r w:rsidR="00307580" w:rsidRPr="00993503">
              <w:rPr>
                <w:lang w:eastAsia="en-GB"/>
              </w:rPr>
              <w:t xml:space="preserve">Solicitar a la </w:t>
            </w:r>
            <w:r w:rsidR="000D7ED2" w:rsidRPr="00993503">
              <w:rPr>
                <w:lang w:eastAsia="en-GB"/>
              </w:rPr>
              <w:t>s</w:t>
            </w:r>
            <w:r w:rsidR="00307580" w:rsidRPr="00993503">
              <w:rPr>
                <w:lang w:eastAsia="en-GB"/>
              </w:rPr>
              <w:t xml:space="preserve">ecretaría que aclare y considere si </w:t>
            </w:r>
            <w:r w:rsidR="000D7ED2" w:rsidRPr="00993503">
              <w:rPr>
                <w:lang w:eastAsia="en-GB"/>
              </w:rPr>
              <w:t>es posible flexibilizar el mecanismo de</w:t>
            </w:r>
            <w:r w:rsidR="00307580" w:rsidRPr="00993503">
              <w:rPr>
                <w:lang w:eastAsia="en-GB"/>
              </w:rPr>
              <w:t xml:space="preserve"> </w:t>
            </w:r>
            <w:r w:rsidR="0032248C" w:rsidRPr="00993503">
              <w:rPr>
                <w:lang w:eastAsia="en-GB"/>
              </w:rPr>
              <w:t xml:space="preserve">atribución </w:t>
            </w:r>
            <w:r w:rsidR="00307580" w:rsidRPr="00993503">
              <w:rPr>
                <w:lang w:eastAsia="en-GB"/>
              </w:rPr>
              <w:t>de recursos entre los Sectores</w:t>
            </w:r>
            <w:bookmarkEnd w:id="52"/>
            <w:r w:rsidR="00993503">
              <w:rPr>
                <w:lang w:eastAsia="en-GB"/>
              </w:rPr>
              <w:t>.</w:t>
            </w:r>
          </w:p>
          <w:p w14:paraId="041A7C85" w14:textId="098B7D50" w:rsidR="00DB7EA6" w:rsidRPr="00114ED3" w:rsidRDefault="00DB7EA6" w:rsidP="0030758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DB7EA6" w:rsidRPr="00114ED3" w14:paraId="6443FC5C" w14:textId="77777777" w:rsidTr="00993503">
        <w:trPr>
          <w:jc w:val="center"/>
        </w:trPr>
        <w:tc>
          <w:tcPr>
            <w:tcW w:w="1560" w:type="dxa"/>
            <w:tcBorders>
              <w:top w:val="nil"/>
              <w:left w:val="nil"/>
              <w:bottom w:val="single" w:sz="4" w:space="0" w:color="A5A5A5"/>
              <w:right w:val="nil"/>
            </w:tcBorders>
            <w:shd w:val="clear" w:color="auto" w:fill="auto"/>
            <w:hideMark/>
          </w:tcPr>
          <w:p w14:paraId="19EF6327" w14:textId="0FB71838" w:rsidR="00DB7EA6" w:rsidRPr="00993503" w:rsidRDefault="00D8484D" w:rsidP="00C15CA8">
            <w:pPr>
              <w:pStyle w:val="Tabletext"/>
              <w:rPr>
                <w:lang w:eastAsia="en-GB"/>
              </w:rPr>
            </w:pPr>
            <w:r w:rsidRPr="00993503">
              <w:rPr>
                <w:lang w:eastAsia="en-GB"/>
              </w:rPr>
              <w:t>Recs. / Conclusiones:</w:t>
            </w:r>
          </w:p>
        </w:tc>
        <w:tc>
          <w:tcPr>
            <w:tcW w:w="7938" w:type="dxa"/>
            <w:tcBorders>
              <w:top w:val="nil"/>
              <w:left w:val="nil"/>
              <w:bottom w:val="single" w:sz="4" w:space="0" w:color="A5A5A5"/>
              <w:right w:val="nil"/>
            </w:tcBorders>
            <w:shd w:val="clear" w:color="auto" w:fill="auto"/>
            <w:hideMark/>
          </w:tcPr>
          <w:p w14:paraId="0FBB81F9" w14:textId="0F14CD8B" w:rsidR="00DB7EA6" w:rsidRPr="00993503" w:rsidRDefault="00DB7EA6" w:rsidP="004260EB">
            <w:pPr>
              <w:tabs>
                <w:tab w:val="clear" w:pos="567"/>
                <w:tab w:val="clear" w:pos="1134"/>
                <w:tab w:val="clear" w:pos="1701"/>
                <w:tab w:val="clear" w:pos="2268"/>
                <w:tab w:val="clear" w:pos="2835"/>
              </w:tabs>
              <w:overflowPunct/>
              <w:autoSpaceDE/>
              <w:autoSpaceDN/>
              <w:adjustRightInd/>
              <w:spacing w:before="60"/>
              <w:textAlignment w:val="auto"/>
              <w:rPr>
                <w:rFonts w:cs="Calibri"/>
                <w:i/>
                <w:iCs/>
                <w:sz w:val="22"/>
                <w:szCs w:val="22"/>
                <w:lang w:eastAsia="en-GB"/>
              </w:rPr>
            </w:pPr>
            <w:bookmarkStart w:id="53" w:name="lt_pId091"/>
            <w:r w:rsidRPr="00993503">
              <w:rPr>
                <w:rFonts w:cs="Calibri"/>
                <w:i/>
                <w:iCs/>
                <w:sz w:val="22"/>
                <w:szCs w:val="22"/>
                <w:lang w:eastAsia="en-GB"/>
              </w:rPr>
              <w:t>(</w:t>
            </w:r>
            <w:r w:rsidR="00114ED3" w:rsidRPr="00993503">
              <w:rPr>
                <w:rFonts w:cs="Calibri"/>
                <w:i/>
                <w:iCs/>
                <w:sz w:val="22"/>
                <w:szCs w:val="22"/>
                <w:lang w:eastAsia="en-GB"/>
              </w:rPr>
              <w:t>Informe de McKinsey sobre cultura y competencias</w:t>
            </w:r>
            <w:r w:rsidRPr="00993503">
              <w:rPr>
                <w:rFonts w:cs="Calibri"/>
                <w:i/>
                <w:iCs/>
                <w:sz w:val="22"/>
                <w:szCs w:val="22"/>
                <w:lang w:eastAsia="en-GB"/>
              </w:rPr>
              <w:t>)</w:t>
            </w:r>
            <w:bookmarkEnd w:id="53"/>
          </w:p>
          <w:p w14:paraId="5A0C5B5C" w14:textId="77777777" w:rsidR="002A544F" w:rsidRDefault="00DB7EA6" w:rsidP="004260E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bookmarkStart w:id="54" w:name="lt_pId092"/>
            <w:r w:rsidRPr="00993503">
              <w:rPr>
                <w:rFonts w:cs="Calibri"/>
                <w:b/>
                <w:bCs/>
                <w:sz w:val="22"/>
                <w:szCs w:val="22"/>
                <w:lang w:eastAsia="en-GB"/>
              </w:rPr>
              <w:t xml:space="preserve">a.2 </w:t>
            </w:r>
            <w:r w:rsidR="002A544F">
              <w:rPr>
                <w:rFonts w:cs="Calibri"/>
                <w:b/>
                <w:bCs/>
                <w:sz w:val="22"/>
                <w:szCs w:val="22"/>
                <w:lang w:eastAsia="en-GB"/>
              </w:rPr>
              <w:t>–</w:t>
            </w:r>
            <w:r w:rsidRPr="00993503">
              <w:rPr>
                <w:rFonts w:cs="Calibri"/>
                <w:b/>
                <w:bCs/>
                <w:sz w:val="22"/>
                <w:szCs w:val="22"/>
                <w:lang w:eastAsia="en-GB"/>
              </w:rPr>
              <w:t xml:space="preserve"> </w:t>
            </w:r>
            <w:r w:rsidR="000C17B0" w:rsidRPr="00993503">
              <w:rPr>
                <w:rFonts w:cs="Calibri"/>
                <w:b/>
                <w:bCs/>
                <w:sz w:val="22"/>
                <w:szCs w:val="22"/>
                <w:lang w:eastAsia="en-GB"/>
              </w:rPr>
              <w:t>Acelerar las iniciativas encaminada</w:t>
            </w:r>
            <w:r w:rsidR="007D466B" w:rsidRPr="00993503">
              <w:rPr>
                <w:rFonts w:cs="Calibri"/>
                <w:b/>
                <w:bCs/>
                <w:sz w:val="22"/>
                <w:szCs w:val="22"/>
                <w:lang w:eastAsia="en-GB"/>
              </w:rPr>
              <w:t>s</w:t>
            </w:r>
            <w:r w:rsidR="000C17B0" w:rsidRPr="00993503">
              <w:rPr>
                <w:rFonts w:cs="Calibri"/>
                <w:b/>
                <w:bCs/>
                <w:sz w:val="22"/>
                <w:szCs w:val="22"/>
                <w:lang w:eastAsia="en-GB"/>
              </w:rPr>
              <w:t xml:space="preserve"> a detectar y aprovechar las sinergias </w:t>
            </w:r>
            <w:bookmarkEnd w:id="54"/>
            <w:r w:rsidR="007D466B" w:rsidRPr="00993503">
              <w:rPr>
                <w:rFonts w:cs="Calibri"/>
                <w:b/>
                <w:bCs/>
                <w:sz w:val="22"/>
                <w:szCs w:val="22"/>
                <w:lang w:eastAsia="en-GB"/>
              </w:rPr>
              <w:t>intersectoriales</w:t>
            </w:r>
            <w:bookmarkStart w:id="55" w:name="lt_pId093"/>
          </w:p>
          <w:p w14:paraId="1487855D" w14:textId="3A33AA9D" w:rsidR="002A544F" w:rsidRDefault="00DB7EA6" w:rsidP="004260E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93503">
              <w:rPr>
                <w:rFonts w:cs="Calibri"/>
                <w:sz w:val="22"/>
                <w:szCs w:val="22"/>
                <w:lang w:eastAsia="en-GB"/>
              </w:rPr>
              <w:t xml:space="preserve">a.2.1 </w:t>
            </w:r>
            <w:r w:rsidR="002A544F">
              <w:rPr>
                <w:rFonts w:cs="Calibri"/>
                <w:sz w:val="22"/>
                <w:szCs w:val="22"/>
                <w:lang w:eastAsia="en-GB"/>
              </w:rPr>
              <w:t xml:space="preserve">– </w:t>
            </w:r>
            <w:r w:rsidR="000C17B0" w:rsidRPr="00993503">
              <w:rPr>
                <w:rFonts w:cs="Calibri"/>
                <w:sz w:val="22"/>
                <w:szCs w:val="22"/>
                <w:lang w:eastAsia="en-GB"/>
              </w:rPr>
              <w:t>Definir la gobernanza adecuada para el equipo encargado del proyecto/a.2.2</w:t>
            </w:r>
            <w:r w:rsidR="002A544F">
              <w:rPr>
                <w:rFonts w:cs="Calibri"/>
                <w:sz w:val="22"/>
                <w:szCs w:val="22"/>
                <w:lang w:eastAsia="en-GB"/>
              </w:rPr>
              <w:t> – </w:t>
            </w:r>
            <w:r w:rsidR="000C17B0" w:rsidRPr="00993503">
              <w:rPr>
                <w:rFonts w:cs="Calibri"/>
                <w:sz w:val="22"/>
                <w:szCs w:val="22"/>
                <w:lang w:eastAsia="en-GB"/>
              </w:rPr>
              <w:t>Efectuar un análisis de las actividades e iniciativas existentes para detectar duplicidades y actividades de escaso rendimiento</w:t>
            </w:r>
            <w:r w:rsidR="00FB7001">
              <w:rPr>
                <w:rFonts w:cs="Calibri"/>
                <w:sz w:val="22"/>
                <w:szCs w:val="22"/>
                <w:lang w:eastAsia="en-GB"/>
              </w:rPr>
              <w:t>/</w:t>
            </w:r>
            <w:r w:rsidR="000C17B0" w:rsidRPr="00993503">
              <w:rPr>
                <w:rFonts w:cs="Calibri"/>
                <w:sz w:val="22"/>
                <w:szCs w:val="22"/>
                <w:lang w:eastAsia="en-GB"/>
              </w:rPr>
              <w:t>a.2.3</w:t>
            </w:r>
            <w:r w:rsidR="002A544F">
              <w:rPr>
                <w:rFonts w:cs="Calibri"/>
                <w:sz w:val="22"/>
                <w:szCs w:val="22"/>
                <w:lang w:eastAsia="en-GB"/>
              </w:rPr>
              <w:t xml:space="preserve"> –</w:t>
            </w:r>
            <w:r w:rsidR="000C17B0" w:rsidRPr="00993503">
              <w:rPr>
                <w:rFonts w:cs="Calibri"/>
                <w:sz w:val="22"/>
                <w:szCs w:val="22"/>
                <w:lang w:eastAsia="en-GB"/>
              </w:rPr>
              <w:t xml:space="preserve"> Discutir posibles colaboraciones para las actividades/iniciativas duplicadas, cancelar las de escaso rendimiento con la dirección y el equipo de proyecto respectivo y definir las medidas que cabe adoptar/a.2.4 </w:t>
            </w:r>
            <w:r w:rsidR="002A544F">
              <w:rPr>
                <w:rFonts w:cs="Calibri"/>
                <w:sz w:val="22"/>
                <w:szCs w:val="22"/>
                <w:lang w:eastAsia="en-GB"/>
              </w:rPr>
              <w:t xml:space="preserve">– </w:t>
            </w:r>
            <w:r w:rsidR="000C17B0" w:rsidRPr="00993503">
              <w:rPr>
                <w:rFonts w:cs="Calibri"/>
                <w:sz w:val="22"/>
                <w:szCs w:val="22"/>
                <w:lang w:eastAsia="en-GB"/>
              </w:rPr>
              <w:t>Aumentar la transparencia en torno a las actividades duplicadas para garantizar que estas se tengan en cuenta antes de poner en marcha nuevas actividades/iniciativas, por ejemplo, en el proceso de aprobación/a.2.5</w:t>
            </w:r>
            <w:r w:rsidR="002A544F">
              <w:rPr>
                <w:rFonts w:cs="Calibri"/>
                <w:sz w:val="22"/>
                <w:szCs w:val="22"/>
                <w:lang w:eastAsia="en-GB"/>
              </w:rPr>
              <w:t> – </w:t>
            </w:r>
            <w:r w:rsidR="000C17B0" w:rsidRPr="00993503">
              <w:rPr>
                <w:rFonts w:cs="Calibri"/>
                <w:sz w:val="22"/>
                <w:szCs w:val="22"/>
                <w:lang w:eastAsia="en-GB"/>
              </w:rPr>
              <w:t>Actualizar los análisis periódicamente, por ejemplo, al principio de cada ciclo de planificación estratégica</w:t>
            </w:r>
            <w:bookmarkStart w:id="56" w:name="lt_pId094"/>
            <w:bookmarkEnd w:id="55"/>
            <w:r w:rsidR="00FB7001">
              <w:rPr>
                <w:rFonts w:cs="Calibri"/>
                <w:sz w:val="22"/>
                <w:szCs w:val="22"/>
                <w:lang w:eastAsia="en-GB"/>
              </w:rPr>
              <w:t>.</w:t>
            </w:r>
          </w:p>
          <w:p w14:paraId="571C07C1" w14:textId="77777777" w:rsidR="002A544F" w:rsidRDefault="00114ED3" w:rsidP="00FB7001">
            <w:pPr>
              <w:tabs>
                <w:tab w:val="clear" w:pos="567"/>
                <w:tab w:val="clear" w:pos="1134"/>
                <w:tab w:val="clear" w:pos="1701"/>
                <w:tab w:val="clear" w:pos="2268"/>
                <w:tab w:val="clear" w:pos="2835"/>
              </w:tabs>
              <w:overflowPunct/>
              <w:autoSpaceDE/>
              <w:autoSpaceDN/>
              <w:adjustRightInd/>
              <w:spacing w:before="80"/>
              <w:textAlignment w:val="auto"/>
              <w:rPr>
                <w:rFonts w:cs="Calibri"/>
                <w:i/>
                <w:iCs/>
                <w:sz w:val="22"/>
                <w:szCs w:val="22"/>
                <w:lang w:eastAsia="en-GB"/>
              </w:rPr>
            </w:pPr>
            <w:r w:rsidRPr="00993503">
              <w:rPr>
                <w:rFonts w:cs="Calibri"/>
                <w:i/>
                <w:iCs/>
                <w:sz w:val="22"/>
                <w:szCs w:val="22"/>
                <w:lang w:eastAsia="en-GB"/>
              </w:rPr>
              <w:t>Posible opción</w:t>
            </w:r>
            <w:r w:rsidR="00DB7EA6" w:rsidRPr="00993503">
              <w:rPr>
                <w:rFonts w:cs="Calibri"/>
                <w:i/>
                <w:iCs/>
                <w:sz w:val="22"/>
                <w:szCs w:val="22"/>
                <w:lang w:eastAsia="en-GB"/>
              </w:rPr>
              <w:t>:</w:t>
            </w:r>
            <w:bookmarkStart w:id="57" w:name="lt_pId095"/>
            <w:bookmarkEnd w:id="56"/>
          </w:p>
          <w:p w14:paraId="000AF391" w14:textId="1B6DF1B2" w:rsidR="002A544F" w:rsidRDefault="002A544F" w:rsidP="002A544F">
            <w:pPr>
              <w:pStyle w:val="Tabletext"/>
              <w:ind w:left="313" w:hanging="313"/>
              <w:rPr>
                <w:rFonts w:cs="Calibri"/>
                <w:szCs w:val="22"/>
                <w:lang w:eastAsia="en-GB"/>
              </w:rPr>
            </w:pPr>
            <w:r>
              <w:rPr>
                <w:rFonts w:cs="Calibri"/>
                <w:szCs w:val="22"/>
                <w:lang w:eastAsia="en-GB"/>
              </w:rPr>
              <w:t>–</w:t>
            </w:r>
            <w:r>
              <w:rPr>
                <w:rFonts w:cs="Calibri"/>
                <w:szCs w:val="22"/>
                <w:lang w:eastAsia="en-GB"/>
              </w:rPr>
              <w:tab/>
            </w:r>
            <w:r w:rsidR="00F12BFB" w:rsidRPr="00993503">
              <w:rPr>
                <w:rFonts w:cs="Calibri"/>
                <w:szCs w:val="22"/>
                <w:lang w:eastAsia="en-GB"/>
              </w:rPr>
              <w:t>En el nuevo marco estratégico se determina</w:t>
            </w:r>
            <w:r w:rsidR="00307580" w:rsidRPr="00993503">
              <w:rPr>
                <w:rFonts w:cs="Calibri"/>
                <w:szCs w:val="22"/>
                <w:lang w:eastAsia="en-GB"/>
              </w:rPr>
              <w:t>rá</w:t>
            </w:r>
            <w:r w:rsidR="00F12BFB" w:rsidRPr="00993503">
              <w:rPr>
                <w:rFonts w:cs="Calibri"/>
                <w:szCs w:val="22"/>
                <w:lang w:eastAsia="en-GB"/>
              </w:rPr>
              <w:t>n prioridades/temas/ámbitos de trabajo estratégicos comunes</w:t>
            </w:r>
            <w:bookmarkStart w:id="58" w:name="lt_pId096"/>
            <w:bookmarkEnd w:id="57"/>
            <w:r w:rsidR="00FB7001">
              <w:rPr>
                <w:rFonts w:cs="Calibri"/>
                <w:szCs w:val="22"/>
                <w:lang w:eastAsia="en-GB"/>
              </w:rPr>
              <w:t>.</w:t>
            </w:r>
          </w:p>
          <w:p w14:paraId="09594404" w14:textId="15CC50EB" w:rsidR="002A544F" w:rsidRDefault="002A544F" w:rsidP="002A544F">
            <w:pPr>
              <w:pStyle w:val="Tabletext"/>
              <w:ind w:left="313" w:hanging="313"/>
              <w:rPr>
                <w:rFonts w:cs="Calibri"/>
                <w:b/>
                <w:bCs/>
                <w:color w:val="800000"/>
                <w:szCs w:val="22"/>
                <w:lang w:eastAsia="en-GB"/>
              </w:rPr>
            </w:pPr>
            <w:r>
              <w:rPr>
                <w:rFonts w:cs="Calibri"/>
                <w:szCs w:val="22"/>
                <w:lang w:eastAsia="en-GB"/>
              </w:rPr>
              <w:t>–</w:t>
            </w:r>
            <w:r>
              <w:rPr>
                <w:rFonts w:cs="Calibri"/>
                <w:szCs w:val="22"/>
                <w:lang w:eastAsia="en-GB"/>
              </w:rPr>
              <w:tab/>
            </w:r>
            <w:r w:rsidR="00F12BFB" w:rsidRPr="00993503">
              <w:rPr>
                <w:rFonts w:cs="Calibri"/>
                <w:szCs w:val="22"/>
                <w:lang w:eastAsia="en-GB"/>
              </w:rPr>
              <w:t>Al desarrollar las prioridades y/o temas</w:t>
            </w:r>
            <w:r w:rsidR="00307580" w:rsidRPr="00993503">
              <w:rPr>
                <w:rFonts w:cs="Calibri"/>
                <w:szCs w:val="22"/>
                <w:lang w:eastAsia="en-GB"/>
              </w:rPr>
              <w:t>,</w:t>
            </w:r>
            <w:r w:rsidR="00F12BFB" w:rsidRPr="00993503">
              <w:rPr>
                <w:rFonts w:cs="Calibri"/>
                <w:szCs w:val="22"/>
                <w:lang w:eastAsia="en-GB"/>
              </w:rPr>
              <w:t xml:space="preserve"> se tendrán en cuenta tanto un análisis de los temas y ámbitos de trabajo, como las correspondencias existentes entre ellos, para detectar sinergias</w:t>
            </w:r>
            <w:r w:rsidR="00DB7EA6" w:rsidRPr="00993503">
              <w:rPr>
                <w:rFonts w:cs="Calibri"/>
                <w:szCs w:val="22"/>
                <w:lang w:eastAsia="en-GB"/>
              </w:rPr>
              <w:t>.</w:t>
            </w:r>
            <w:bookmarkEnd w:id="58"/>
            <w:r w:rsidR="00DB7EA6" w:rsidRPr="00993503">
              <w:rPr>
                <w:rFonts w:cs="Calibri"/>
                <w:b/>
                <w:bCs/>
                <w:color w:val="800000"/>
                <w:szCs w:val="22"/>
                <w:lang w:eastAsia="en-GB"/>
              </w:rPr>
              <w:t xml:space="preserve"> </w:t>
            </w:r>
            <w:bookmarkStart w:id="59" w:name="lt_pId097"/>
          </w:p>
          <w:p w14:paraId="72E9FB11" w14:textId="77777777" w:rsidR="002A544F" w:rsidRDefault="00DB7EA6" w:rsidP="007051F8">
            <w:pPr>
              <w:pStyle w:val="Tabletext"/>
              <w:keepNext/>
              <w:keepLines/>
              <w:tabs>
                <w:tab w:val="left" w:pos="380"/>
              </w:tabs>
              <w:rPr>
                <w:rFonts w:cs="Calibri"/>
                <w:b/>
                <w:bCs/>
                <w:szCs w:val="22"/>
                <w:lang w:eastAsia="en-GB"/>
              </w:rPr>
            </w:pPr>
            <w:r w:rsidRPr="00993503">
              <w:rPr>
                <w:rFonts w:cs="Calibri"/>
                <w:b/>
                <w:bCs/>
                <w:szCs w:val="22"/>
                <w:lang w:eastAsia="en-GB"/>
              </w:rPr>
              <w:lastRenderedPageBreak/>
              <w:t xml:space="preserve">b.2 </w:t>
            </w:r>
            <w:r w:rsidR="002A544F">
              <w:rPr>
                <w:rFonts w:cs="Calibri"/>
                <w:b/>
                <w:bCs/>
                <w:szCs w:val="22"/>
                <w:lang w:eastAsia="en-GB"/>
              </w:rPr>
              <w:t>–</w:t>
            </w:r>
            <w:r w:rsidRPr="00993503">
              <w:rPr>
                <w:rFonts w:cs="Calibri"/>
                <w:b/>
                <w:bCs/>
                <w:szCs w:val="22"/>
                <w:lang w:eastAsia="en-GB"/>
              </w:rPr>
              <w:t xml:space="preserve"> </w:t>
            </w:r>
            <w:r w:rsidR="005624A6" w:rsidRPr="00F91A01">
              <w:rPr>
                <w:b/>
                <w:bCs/>
                <w:lang w:val="es-ES"/>
              </w:rPr>
              <w:t>Empezar</w:t>
            </w:r>
            <w:r w:rsidR="005624A6" w:rsidRPr="00993503">
              <w:rPr>
                <w:rFonts w:cs="Calibri"/>
                <w:b/>
                <w:bCs/>
                <w:szCs w:val="22"/>
                <w:lang w:eastAsia="en-GB"/>
              </w:rPr>
              <w:t xml:space="preserve"> a crear equipos ágiles en torno a temas transversales</w:t>
            </w:r>
            <w:bookmarkStart w:id="60" w:name="lt_pId098"/>
            <w:bookmarkEnd w:id="59"/>
          </w:p>
          <w:p w14:paraId="669B19AD" w14:textId="33703690" w:rsidR="002A544F" w:rsidRDefault="00DB7EA6" w:rsidP="007051F8">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i/>
                <w:iCs/>
                <w:sz w:val="22"/>
                <w:szCs w:val="22"/>
                <w:lang w:eastAsia="en-GB"/>
              </w:rPr>
            </w:pPr>
            <w:r w:rsidRPr="00993503">
              <w:rPr>
                <w:rFonts w:cs="Calibri"/>
                <w:i/>
                <w:iCs/>
                <w:sz w:val="22"/>
                <w:szCs w:val="22"/>
                <w:lang w:eastAsia="en-GB"/>
              </w:rPr>
              <w:t>(</w:t>
            </w:r>
            <w:r w:rsidR="00114ED3" w:rsidRPr="00993503">
              <w:rPr>
                <w:rFonts w:cs="Calibri"/>
                <w:i/>
                <w:iCs/>
                <w:sz w:val="22"/>
                <w:szCs w:val="22"/>
                <w:lang w:eastAsia="en-GB"/>
              </w:rPr>
              <w:t>Posible opción</w:t>
            </w:r>
            <w:r w:rsidRPr="00993503">
              <w:rPr>
                <w:rFonts w:cs="Calibri"/>
                <w:i/>
                <w:iCs/>
                <w:sz w:val="22"/>
                <w:szCs w:val="22"/>
                <w:lang w:eastAsia="en-GB"/>
              </w:rPr>
              <w:t xml:space="preserve"> </w:t>
            </w:r>
            <w:r w:rsidR="00307580" w:rsidRPr="00993503">
              <w:rPr>
                <w:rFonts w:cs="Calibri"/>
                <w:i/>
                <w:iCs/>
                <w:sz w:val="22"/>
                <w:szCs w:val="22"/>
                <w:lang w:eastAsia="en-GB"/>
              </w:rPr>
              <w:t>para el punto</w:t>
            </w:r>
            <w:r w:rsidRPr="00993503">
              <w:rPr>
                <w:rFonts w:cs="Calibri"/>
                <w:i/>
                <w:iCs/>
                <w:sz w:val="22"/>
                <w:szCs w:val="22"/>
                <w:lang w:eastAsia="en-GB"/>
              </w:rPr>
              <w:t xml:space="preserve"> b.2)</w:t>
            </w:r>
            <w:bookmarkStart w:id="61" w:name="lt_pId099"/>
            <w:bookmarkEnd w:id="60"/>
          </w:p>
          <w:p w14:paraId="378A8457" w14:textId="28A0846B" w:rsidR="007051F8" w:rsidRDefault="007051F8" w:rsidP="007051F8">
            <w:pPr>
              <w:pStyle w:val="Tabletext"/>
              <w:keepNext/>
              <w:keepLines/>
              <w:ind w:left="313" w:hanging="313"/>
              <w:rPr>
                <w:rFonts w:cs="Calibri"/>
                <w:szCs w:val="22"/>
                <w:lang w:eastAsia="en-GB"/>
              </w:rPr>
            </w:pPr>
            <w:r>
              <w:rPr>
                <w:rFonts w:cs="Calibri"/>
                <w:szCs w:val="22"/>
                <w:lang w:eastAsia="en-GB"/>
              </w:rPr>
              <w:t>–</w:t>
            </w:r>
            <w:r>
              <w:rPr>
                <w:rFonts w:cs="Calibri"/>
                <w:szCs w:val="22"/>
                <w:lang w:eastAsia="en-GB"/>
              </w:rPr>
              <w:tab/>
            </w:r>
            <w:r w:rsidR="002B7764" w:rsidRPr="00993503">
              <w:rPr>
                <w:rFonts w:cs="Calibri"/>
                <w:szCs w:val="22"/>
                <w:lang w:eastAsia="en-GB"/>
              </w:rPr>
              <w:t xml:space="preserve">El GTC-PEF determinará la lista de </w:t>
            </w:r>
            <w:r w:rsidR="00307580" w:rsidRPr="00993503">
              <w:rPr>
                <w:rFonts w:cs="Calibri"/>
                <w:szCs w:val="22"/>
                <w:lang w:eastAsia="en-GB"/>
              </w:rPr>
              <w:t>cuestiones/</w:t>
            </w:r>
            <w:r w:rsidR="002B7764" w:rsidRPr="00993503">
              <w:rPr>
                <w:rFonts w:cs="Calibri"/>
                <w:szCs w:val="22"/>
                <w:lang w:eastAsia="en-GB"/>
              </w:rPr>
              <w:t>temas transversales</w:t>
            </w:r>
            <w:bookmarkStart w:id="62" w:name="lt_pId100"/>
            <w:bookmarkEnd w:id="61"/>
            <w:r w:rsidR="001D1D21">
              <w:rPr>
                <w:rFonts w:cs="Calibri"/>
                <w:szCs w:val="22"/>
                <w:lang w:eastAsia="en-GB"/>
              </w:rPr>
              <w:t>.</w:t>
            </w:r>
          </w:p>
          <w:p w14:paraId="2775E6C7" w14:textId="2CA3995C" w:rsidR="00DB7EA6" w:rsidRPr="00993503" w:rsidRDefault="007051F8" w:rsidP="007051F8">
            <w:pPr>
              <w:pStyle w:val="Tabletext"/>
              <w:ind w:left="313" w:hanging="313"/>
              <w:rPr>
                <w:rFonts w:cs="Calibri"/>
                <w:szCs w:val="22"/>
                <w:lang w:eastAsia="en-GB"/>
              </w:rPr>
            </w:pPr>
            <w:r>
              <w:rPr>
                <w:rFonts w:cs="Calibri"/>
                <w:szCs w:val="22"/>
                <w:lang w:eastAsia="en-GB"/>
              </w:rPr>
              <w:t>–</w:t>
            </w:r>
            <w:r>
              <w:rPr>
                <w:rFonts w:cs="Calibri"/>
                <w:szCs w:val="22"/>
                <w:lang w:eastAsia="en-GB"/>
              </w:rPr>
              <w:tab/>
            </w:r>
            <w:r w:rsidR="002B7764" w:rsidRPr="00993503">
              <w:rPr>
                <w:rFonts w:cs="Calibri"/>
                <w:szCs w:val="22"/>
                <w:lang w:eastAsia="en-GB"/>
              </w:rPr>
              <w:t>El GTC-PEF estudiará formas de reforzar los temas transversales en el nuevo marco de planificación estratégica</w:t>
            </w:r>
            <w:bookmarkEnd w:id="62"/>
            <w:r w:rsidR="001D1D21">
              <w:rPr>
                <w:rFonts w:cs="Calibri"/>
                <w:szCs w:val="22"/>
                <w:lang w:eastAsia="en-GB"/>
              </w:rPr>
              <w:t>.</w:t>
            </w:r>
            <w:r w:rsidR="002B7764" w:rsidRPr="00993503">
              <w:rPr>
                <w:rFonts w:cs="Calibri"/>
                <w:b/>
                <w:bCs/>
                <w:color w:val="800000"/>
                <w:szCs w:val="22"/>
                <w:lang w:eastAsia="en-GB"/>
              </w:rPr>
              <w:t xml:space="preserve"> </w:t>
            </w:r>
          </w:p>
          <w:p w14:paraId="71233868" w14:textId="77777777" w:rsidR="00DB7EA6" w:rsidRPr="00993503" w:rsidRDefault="00DB7EA6" w:rsidP="004260EB">
            <w:pPr>
              <w:tabs>
                <w:tab w:val="clear" w:pos="567"/>
                <w:tab w:val="clear" w:pos="1134"/>
                <w:tab w:val="clear" w:pos="1701"/>
                <w:tab w:val="clear" w:pos="2268"/>
                <w:tab w:val="clear" w:pos="2835"/>
              </w:tabs>
              <w:overflowPunct/>
              <w:autoSpaceDE/>
              <w:autoSpaceDN/>
              <w:adjustRightInd/>
              <w:spacing w:before="60"/>
              <w:textAlignment w:val="auto"/>
              <w:rPr>
                <w:rFonts w:cs="Calibri"/>
                <w:i/>
                <w:iCs/>
                <w:sz w:val="22"/>
                <w:szCs w:val="22"/>
                <w:lang w:eastAsia="en-GB"/>
              </w:rPr>
            </w:pPr>
            <w:bookmarkStart w:id="63" w:name="lt_pId101"/>
            <w:r w:rsidRPr="00993503">
              <w:rPr>
                <w:rFonts w:cs="Calibri"/>
                <w:i/>
                <w:iCs/>
                <w:sz w:val="22"/>
                <w:szCs w:val="22"/>
                <w:lang w:eastAsia="en-GB"/>
              </w:rPr>
              <w:t>(</w:t>
            </w:r>
            <w:r w:rsidR="00307580" w:rsidRPr="00993503">
              <w:rPr>
                <w:rFonts w:cs="Calibri"/>
                <w:i/>
                <w:iCs/>
                <w:sz w:val="22"/>
                <w:szCs w:val="22"/>
                <w:lang w:eastAsia="en-GB"/>
              </w:rPr>
              <w:t>Informe de PwC sobre la presencia regional</w:t>
            </w:r>
            <w:r w:rsidRPr="00993503">
              <w:rPr>
                <w:rFonts w:cs="Calibri"/>
                <w:i/>
                <w:iCs/>
                <w:sz w:val="22"/>
                <w:szCs w:val="22"/>
                <w:lang w:eastAsia="en-GB"/>
              </w:rPr>
              <w:t>)</w:t>
            </w:r>
            <w:bookmarkEnd w:id="63"/>
          </w:p>
          <w:p w14:paraId="3D416CFF" w14:textId="29AD316C" w:rsidR="007051F8" w:rsidRDefault="00DB7EA6" w:rsidP="007051F8">
            <w:pPr>
              <w:pStyle w:val="Tabletext"/>
              <w:keepNext/>
              <w:keepLines/>
              <w:tabs>
                <w:tab w:val="left" w:pos="522"/>
              </w:tabs>
              <w:ind w:left="522" w:hanging="522"/>
              <w:rPr>
                <w:rFonts w:cs="Calibri"/>
                <w:b/>
                <w:bCs/>
                <w:szCs w:val="22"/>
                <w:lang w:eastAsia="en-GB"/>
              </w:rPr>
            </w:pPr>
            <w:r w:rsidRPr="00993503">
              <w:rPr>
                <w:rFonts w:cs="Calibri"/>
                <w:b/>
                <w:bCs/>
                <w:szCs w:val="22"/>
                <w:lang w:eastAsia="en-GB"/>
              </w:rPr>
              <w:t>1.3</w:t>
            </w:r>
            <w:r w:rsidR="007051F8">
              <w:rPr>
                <w:rFonts w:cs="Calibri"/>
                <w:b/>
                <w:bCs/>
                <w:szCs w:val="22"/>
                <w:lang w:eastAsia="en-GB"/>
              </w:rPr>
              <w:tab/>
            </w:r>
            <w:r w:rsidR="002B7764" w:rsidRPr="00993503">
              <w:rPr>
                <w:rFonts w:cs="Calibri"/>
                <w:b/>
                <w:bCs/>
                <w:szCs w:val="22"/>
                <w:lang w:eastAsia="en-GB"/>
              </w:rPr>
              <w:t>Definir prioridades para la cooperación con las UNCT</w:t>
            </w:r>
          </w:p>
          <w:p w14:paraId="67D45DE8" w14:textId="38B67880" w:rsidR="007051F8" w:rsidRDefault="00DB7EA6" w:rsidP="004260E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93503">
              <w:rPr>
                <w:rFonts w:cs="Calibri"/>
                <w:sz w:val="22"/>
                <w:szCs w:val="22"/>
                <w:lang w:eastAsia="en-GB"/>
              </w:rPr>
              <w:t>1.3.1</w:t>
            </w:r>
            <w:r w:rsidR="001D1D21">
              <w:rPr>
                <w:rFonts w:cs="Calibri"/>
                <w:sz w:val="22"/>
                <w:szCs w:val="22"/>
                <w:lang w:eastAsia="en-GB"/>
              </w:rPr>
              <w:tab/>
            </w:r>
            <w:r w:rsidR="002B7764" w:rsidRPr="00993503">
              <w:rPr>
                <w:rFonts w:cs="Calibri"/>
                <w:sz w:val="22"/>
                <w:szCs w:val="22"/>
                <w:lang w:eastAsia="en-GB"/>
              </w:rPr>
              <w:t>Priorizar la cooperación a nivel de país con las 131 UNCT que iniciarán las Evaluaciones Comunes de los Países en los próximos tres años</w:t>
            </w:r>
            <w:r w:rsidR="007051F8">
              <w:rPr>
                <w:rFonts w:cs="Calibri"/>
                <w:sz w:val="22"/>
                <w:szCs w:val="22"/>
                <w:lang w:eastAsia="en-GB"/>
              </w:rPr>
              <w:t>.</w:t>
            </w:r>
          </w:p>
          <w:p w14:paraId="1EC7ACC6" w14:textId="1CFC9EA8" w:rsidR="007051F8" w:rsidRDefault="00DB7EA6" w:rsidP="004260E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93503">
              <w:rPr>
                <w:rFonts w:cs="Calibri"/>
                <w:sz w:val="22"/>
                <w:szCs w:val="22"/>
                <w:lang w:eastAsia="en-GB"/>
              </w:rPr>
              <w:t>1.3.2</w:t>
            </w:r>
            <w:r w:rsidR="001D1D21">
              <w:rPr>
                <w:rFonts w:cs="Calibri"/>
                <w:sz w:val="22"/>
                <w:szCs w:val="22"/>
                <w:lang w:eastAsia="en-GB"/>
              </w:rPr>
              <w:tab/>
            </w:r>
            <w:r w:rsidR="002B7764" w:rsidRPr="00993503">
              <w:rPr>
                <w:rFonts w:cs="Calibri"/>
                <w:sz w:val="22"/>
                <w:szCs w:val="22"/>
                <w:lang w:eastAsia="en-GB"/>
              </w:rPr>
              <w:t>Estudiar la posibilidad de asociarse con el PNUD en el contexto de la Iniciativa de los Laboratorios de Aceleración</w:t>
            </w:r>
            <w:bookmarkStart w:id="64" w:name="lt_pId108"/>
            <w:r w:rsidR="007051F8">
              <w:rPr>
                <w:rFonts w:cs="Calibri"/>
                <w:sz w:val="22"/>
                <w:szCs w:val="22"/>
                <w:lang w:eastAsia="en-GB"/>
              </w:rPr>
              <w:t>.</w:t>
            </w:r>
          </w:p>
          <w:p w14:paraId="4F610B74" w14:textId="77777777" w:rsidR="007051F8" w:rsidRDefault="00114ED3" w:rsidP="00156D3C">
            <w:pPr>
              <w:tabs>
                <w:tab w:val="clear" w:pos="567"/>
                <w:tab w:val="clear" w:pos="1134"/>
                <w:tab w:val="clear" w:pos="1701"/>
                <w:tab w:val="clear" w:pos="2268"/>
                <w:tab w:val="clear" w:pos="2835"/>
              </w:tabs>
              <w:overflowPunct/>
              <w:autoSpaceDE/>
              <w:autoSpaceDN/>
              <w:adjustRightInd/>
              <w:spacing w:before="80"/>
              <w:textAlignment w:val="auto"/>
              <w:rPr>
                <w:rFonts w:cs="Calibri"/>
                <w:i/>
                <w:iCs/>
                <w:sz w:val="22"/>
                <w:szCs w:val="22"/>
                <w:lang w:eastAsia="en-GB"/>
              </w:rPr>
            </w:pPr>
            <w:r w:rsidRPr="00993503">
              <w:rPr>
                <w:rFonts w:cs="Calibri"/>
                <w:i/>
                <w:iCs/>
                <w:sz w:val="22"/>
                <w:szCs w:val="22"/>
                <w:lang w:eastAsia="en-GB"/>
              </w:rPr>
              <w:t>Posible opción</w:t>
            </w:r>
            <w:r w:rsidR="00DB7EA6" w:rsidRPr="00993503">
              <w:rPr>
                <w:rFonts w:cs="Calibri"/>
                <w:i/>
                <w:iCs/>
                <w:sz w:val="22"/>
                <w:szCs w:val="22"/>
                <w:lang w:eastAsia="en-GB"/>
              </w:rPr>
              <w:t>:</w:t>
            </w:r>
            <w:bookmarkStart w:id="65" w:name="lt_pId109"/>
            <w:bookmarkEnd w:id="64"/>
          </w:p>
          <w:p w14:paraId="6F37DEFF" w14:textId="32C35EC0" w:rsidR="00DB7EA6" w:rsidRPr="00993503" w:rsidRDefault="007051F8" w:rsidP="007051F8">
            <w:pPr>
              <w:pStyle w:val="Tabletext"/>
              <w:ind w:left="313" w:hanging="313"/>
              <w:rPr>
                <w:rFonts w:cs="Calibri"/>
                <w:szCs w:val="22"/>
                <w:lang w:eastAsia="en-GB"/>
              </w:rPr>
            </w:pPr>
            <w:r>
              <w:rPr>
                <w:rFonts w:cs="Calibri"/>
                <w:szCs w:val="22"/>
                <w:lang w:eastAsia="en-GB"/>
              </w:rPr>
              <w:t>–</w:t>
            </w:r>
            <w:r>
              <w:rPr>
                <w:rFonts w:cs="Calibri"/>
                <w:szCs w:val="22"/>
                <w:lang w:eastAsia="en-GB"/>
              </w:rPr>
              <w:tab/>
            </w:r>
            <w:r w:rsidR="00602516" w:rsidRPr="00993503">
              <w:rPr>
                <w:rFonts w:cs="Calibri"/>
                <w:szCs w:val="22"/>
                <w:lang w:eastAsia="en-GB"/>
              </w:rPr>
              <w:t>El GTC-PEF considerará la capacidad de la presencia regional para representar a la UIT en su totalidad ("Una UIT") y como parte de la familia de las Naciones Unidas, para afianzar las asociaciones relacionadas con las prioridades temáticas al elaborar el Plan Estratégico para 2024</w:t>
            </w:r>
            <w:r w:rsidR="00602516" w:rsidRPr="00993503">
              <w:rPr>
                <w:rFonts w:cs="Calibri"/>
                <w:szCs w:val="22"/>
                <w:lang w:eastAsia="en-GB"/>
              </w:rPr>
              <w:noBreakHyphen/>
              <w:t>2027.</w:t>
            </w:r>
            <w:bookmarkEnd w:id="65"/>
            <w:r w:rsidR="00DB7EA6" w:rsidRPr="00993503">
              <w:rPr>
                <w:rFonts w:cs="Calibri"/>
                <w:b/>
                <w:bCs/>
                <w:color w:val="800000"/>
                <w:szCs w:val="22"/>
                <w:lang w:eastAsia="en-GB"/>
              </w:rPr>
              <w:t xml:space="preserve"> </w:t>
            </w:r>
          </w:p>
          <w:p w14:paraId="4D72C829" w14:textId="77777777" w:rsidR="00DB7EA6" w:rsidRPr="00993503" w:rsidRDefault="00DB7EA6" w:rsidP="004260EB">
            <w:pPr>
              <w:tabs>
                <w:tab w:val="clear" w:pos="567"/>
                <w:tab w:val="clear" w:pos="1134"/>
                <w:tab w:val="clear" w:pos="1701"/>
                <w:tab w:val="clear" w:pos="2268"/>
                <w:tab w:val="clear" w:pos="2835"/>
              </w:tabs>
              <w:overflowPunct/>
              <w:autoSpaceDE/>
              <w:autoSpaceDN/>
              <w:adjustRightInd/>
              <w:spacing w:before="60"/>
              <w:textAlignment w:val="auto"/>
              <w:rPr>
                <w:rFonts w:cs="Calibri"/>
                <w:sz w:val="22"/>
                <w:szCs w:val="22"/>
                <w:lang w:eastAsia="en-GB"/>
              </w:rPr>
            </w:pPr>
            <w:bookmarkStart w:id="66" w:name="lt_pId110"/>
            <w:r w:rsidRPr="00993503">
              <w:rPr>
                <w:rFonts w:cs="Calibri"/>
                <w:i/>
                <w:iCs/>
                <w:sz w:val="22"/>
                <w:szCs w:val="22"/>
                <w:lang w:eastAsia="en-GB"/>
              </w:rPr>
              <w:t>(Dalberg)</w:t>
            </w:r>
            <w:bookmarkEnd w:id="66"/>
          </w:p>
          <w:p w14:paraId="4775998C" w14:textId="33A37380" w:rsidR="00DB7EA6" w:rsidRPr="00993503" w:rsidRDefault="007051F8" w:rsidP="007051F8">
            <w:pPr>
              <w:pStyle w:val="Tabletext"/>
              <w:ind w:left="313" w:hanging="313"/>
              <w:rPr>
                <w:rFonts w:cs="Calibri"/>
                <w:szCs w:val="22"/>
                <w:lang w:eastAsia="en-GB"/>
              </w:rPr>
            </w:pPr>
            <w:bookmarkStart w:id="67" w:name="lt_pId111"/>
            <w:r>
              <w:rPr>
                <w:rFonts w:cs="Calibri"/>
                <w:szCs w:val="22"/>
                <w:lang w:eastAsia="en-GB"/>
              </w:rPr>
              <w:t>–</w:t>
            </w:r>
            <w:r>
              <w:rPr>
                <w:rFonts w:cs="Calibri"/>
                <w:szCs w:val="22"/>
                <w:lang w:eastAsia="en-GB"/>
              </w:rPr>
              <w:tab/>
            </w:r>
            <w:r w:rsidR="00307580" w:rsidRPr="00993503">
              <w:rPr>
                <w:rFonts w:cs="Calibri"/>
                <w:szCs w:val="22"/>
                <w:lang w:eastAsia="en-GB"/>
              </w:rPr>
              <w:t>El GTC-PEF estudiará formas de crear sinergias entre los eventos de la UIT</w:t>
            </w:r>
            <w:bookmarkEnd w:id="67"/>
            <w:r w:rsidR="00156D3C">
              <w:rPr>
                <w:rFonts w:cs="Calibri"/>
                <w:szCs w:val="22"/>
                <w:lang w:eastAsia="en-GB"/>
              </w:rPr>
              <w:t>.</w:t>
            </w:r>
          </w:p>
          <w:p w14:paraId="059062BC" w14:textId="403AF5CF" w:rsidR="00DB7EA6" w:rsidRPr="00993503" w:rsidRDefault="00DB7EA6" w:rsidP="00BF10F5">
            <w:pPr>
              <w:tabs>
                <w:tab w:val="clear" w:pos="567"/>
                <w:tab w:val="clear" w:pos="1134"/>
                <w:tab w:val="clear" w:pos="1701"/>
                <w:tab w:val="clear" w:pos="2268"/>
                <w:tab w:val="clear" w:pos="2835"/>
              </w:tabs>
              <w:overflowPunct/>
              <w:autoSpaceDE/>
              <w:autoSpaceDN/>
              <w:adjustRightInd/>
              <w:spacing w:before="60"/>
              <w:textAlignment w:val="auto"/>
              <w:rPr>
                <w:rFonts w:cs="Calibri"/>
                <w:i/>
                <w:iCs/>
                <w:sz w:val="22"/>
                <w:szCs w:val="22"/>
                <w:lang w:eastAsia="en-GB"/>
              </w:rPr>
            </w:pPr>
            <w:bookmarkStart w:id="68" w:name="lt_pId112"/>
            <w:r w:rsidRPr="00993503">
              <w:rPr>
                <w:rFonts w:cs="Calibri"/>
                <w:i/>
                <w:iCs/>
                <w:sz w:val="22"/>
                <w:szCs w:val="22"/>
                <w:lang w:eastAsia="en-GB"/>
              </w:rPr>
              <w:t>(</w:t>
            </w:r>
            <w:r w:rsidR="00BF10F5" w:rsidRPr="00993503">
              <w:rPr>
                <w:rFonts w:cs="Calibri"/>
                <w:i/>
                <w:iCs/>
                <w:sz w:val="22"/>
                <w:szCs w:val="22"/>
                <w:lang w:eastAsia="en-GB"/>
              </w:rPr>
              <w:t>Novedades de las Naciones Unidas</w:t>
            </w:r>
            <w:r w:rsidRPr="00993503">
              <w:rPr>
                <w:rFonts w:cs="Calibri"/>
                <w:i/>
                <w:iCs/>
                <w:sz w:val="22"/>
                <w:szCs w:val="22"/>
                <w:lang w:eastAsia="en-GB"/>
              </w:rPr>
              <w:t>)</w:t>
            </w:r>
            <w:bookmarkEnd w:id="68"/>
          </w:p>
          <w:p w14:paraId="0F2875BB" w14:textId="154DDA78" w:rsidR="00DB7EA6" w:rsidRPr="00993503" w:rsidRDefault="007051F8" w:rsidP="007051F8">
            <w:pPr>
              <w:pStyle w:val="Tabletext"/>
              <w:ind w:left="313" w:hanging="313"/>
              <w:rPr>
                <w:rFonts w:cs="Calibri"/>
                <w:szCs w:val="22"/>
                <w:lang w:eastAsia="en-GB"/>
              </w:rPr>
            </w:pPr>
            <w:r>
              <w:rPr>
                <w:rFonts w:cs="Calibri"/>
                <w:szCs w:val="22"/>
                <w:lang w:eastAsia="en-GB"/>
              </w:rPr>
              <w:t>–</w:t>
            </w:r>
            <w:r>
              <w:rPr>
                <w:rFonts w:cs="Calibri"/>
                <w:szCs w:val="22"/>
                <w:lang w:eastAsia="en-GB"/>
              </w:rPr>
              <w:tab/>
            </w:r>
            <w:r w:rsidR="00602516" w:rsidRPr="00993503">
              <w:rPr>
                <w:rFonts w:cs="Calibri"/>
                <w:szCs w:val="22"/>
                <w:lang w:eastAsia="en-GB"/>
              </w:rPr>
              <w:t>La necesidad de "Una UIT" que articule claramente las cualidades, los servicios, los productos y las iniciativas que la UIT puede proporcionar, su importancia y el valor añadido que la UIT aporta con estos servicios.</w:t>
            </w:r>
            <w:r w:rsidR="00602516" w:rsidRPr="00993503">
              <w:rPr>
                <w:rFonts w:cs="Calibri"/>
                <w:b/>
                <w:color w:val="800000"/>
                <w:szCs w:val="22"/>
                <w:lang w:eastAsia="en-GB"/>
              </w:rPr>
              <w:t xml:space="preserve"> </w:t>
            </w:r>
          </w:p>
        </w:tc>
        <w:tc>
          <w:tcPr>
            <w:tcW w:w="1559" w:type="dxa"/>
            <w:tcBorders>
              <w:top w:val="nil"/>
              <w:left w:val="nil"/>
              <w:bottom w:val="single" w:sz="4" w:space="0" w:color="A5A5A5"/>
              <w:right w:val="nil"/>
            </w:tcBorders>
            <w:shd w:val="clear" w:color="auto" w:fill="auto"/>
            <w:vAlign w:val="center"/>
            <w:hideMark/>
          </w:tcPr>
          <w:p w14:paraId="1E393996" w14:textId="77777777" w:rsidR="00DB7EA6" w:rsidRPr="00993503" w:rsidRDefault="00D91982" w:rsidP="004260E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548DD4" w:themeColor="text2" w:themeTint="99"/>
                <w:sz w:val="22"/>
                <w:szCs w:val="22"/>
                <w:u w:val="single"/>
                <w:lang w:eastAsia="en-GB"/>
              </w:rPr>
            </w:pPr>
            <w:hyperlink r:id="rId18" w:history="1">
              <w:bookmarkStart w:id="69" w:name="lt_pId114"/>
              <w:r w:rsidR="00DB7EA6" w:rsidRPr="00993503">
                <w:rPr>
                  <w:rFonts w:cs="Calibri"/>
                  <w:color w:val="548DD4" w:themeColor="text2" w:themeTint="99"/>
                  <w:sz w:val="22"/>
                  <w:szCs w:val="22"/>
                  <w:u w:val="single"/>
                  <w:lang w:eastAsia="en-GB"/>
                </w:rPr>
                <w:t>CWG-SFP-1/5</w:t>
              </w:r>
              <w:bookmarkEnd w:id="69"/>
            </w:hyperlink>
          </w:p>
          <w:p w14:paraId="1463013E" w14:textId="77777777" w:rsidR="00DB7EA6" w:rsidRPr="00993503" w:rsidRDefault="00DB7EA6" w:rsidP="004260E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548DD4" w:themeColor="text2" w:themeTint="99"/>
                <w:sz w:val="22"/>
                <w:szCs w:val="22"/>
                <w:u w:val="single"/>
                <w:lang w:eastAsia="en-GB"/>
              </w:rPr>
            </w:pPr>
          </w:p>
          <w:p w14:paraId="35336185" w14:textId="77777777" w:rsidR="00DB7EA6" w:rsidRPr="00993503" w:rsidRDefault="00D91982" w:rsidP="004260E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548DD4" w:themeColor="text2" w:themeTint="99"/>
                <w:sz w:val="22"/>
                <w:szCs w:val="22"/>
                <w:u w:val="single"/>
                <w:lang w:eastAsia="en-GB"/>
              </w:rPr>
            </w:pPr>
            <w:hyperlink r:id="rId19" w:history="1">
              <w:bookmarkStart w:id="70" w:name="lt_pId115"/>
              <w:r w:rsidR="00DB7EA6" w:rsidRPr="00993503">
                <w:rPr>
                  <w:rStyle w:val="Hyperlink"/>
                  <w:rFonts w:cs="Calibri"/>
                  <w:color w:val="548DD4" w:themeColor="text2" w:themeTint="99"/>
                  <w:sz w:val="22"/>
                  <w:szCs w:val="22"/>
                  <w:lang w:eastAsia="en-GB"/>
                </w:rPr>
                <w:t>CWG-SFP-1/7</w:t>
              </w:r>
              <w:bookmarkEnd w:id="70"/>
            </w:hyperlink>
          </w:p>
        </w:tc>
        <w:tc>
          <w:tcPr>
            <w:tcW w:w="3515" w:type="dxa"/>
            <w:vMerge/>
            <w:tcBorders>
              <w:left w:val="nil"/>
              <w:bottom w:val="single" w:sz="4" w:space="0" w:color="A5A5A5"/>
              <w:right w:val="nil"/>
            </w:tcBorders>
            <w:shd w:val="clear" w:color="auto" w:fill="FFFFFF" w:themeFill="background1"/>
            <w:noWrap/>
            <w:vAlign w:val="bottom"/>
            <w:hideMark/>
          </w:tcPr>
          <w:p w14:paraId="0F30F56C" w14:textId="77777777" w:rsidR="00DB7EA6" w:rsidRPr="00114ED3" w:rsidRDefault="00DB7EA6" w:rsidP="004260EB">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p>
        </w:tc>
      </w:tr>
    </w:tbl>
    <w:p w14:paraId="290723CF" w14:textId="14114040" w:rsidR="00C15CA8" w:rsidRDefault="00C15CA8">
      <w:r>
        <w:br w:type="page"/>
      </w:r>
    </w:p>
    <w:tbl>
      <w:tblPr>
        <w:tblW w:w="14572" w:type="dxa"/>
        <w:jc w:val="center"/>
        <w:tblLayout w:type="fixed"/>
        <w:tblLook w:val="04A0" w:firstRow="1" w:lastRow="0" w:firstColumn="1" w:lastColumn="0" w:noHBand="0" w:noVBand="1"/>
      </w:tblPr>
      <w:tblGrid>
        <w:gridCol w:w="1560"/>
        <w:gridCol w:w="7938"/>
        <w:gridCol w:w="1559"/>
        <w:gridCol w:w="3515"/>
      </w:tblGrid>
      <w:tr w:rsidR="007051F8" w:rsidRPr="007051F8" w14:paraId="0189E0C3" w14:textId="77777777" w:rsidTr="005D3F3D">
        <w:trPr>
          <w:jc w:val="center"/>
        </w:trPr>
        <w:tc>
          <w:tcPr>
            <w:tcW w:w="14572" w:type="dxa"/>
            <w:gridSpan w:val="4"/>
            <w:tcBorders>
              <w:top w:val="single" w:sz="8" w:space="0" w:color="FFFFFF"/>
              <w:left w:val="nil"/>
              <w:bottom w:val="single" w:sz="8" w:space="0" w:color="FFFFFF"/>
              <w:right w:val="nil"/>
            </w:tcBorders>
            <w:shd w:val="clear" w:color="auto" w:fill="8DB3E2" w:themeFill="text2" w:themeFillTint="66"/>
            <w:vAlign w:val="center"/>
          </w:tcPr>
          <w:p w14:paraId="4B406C5C" w14:textId="2BADDF92" w:rsidR="007051F8" w:rsidRPr="007051F8" w:rsidRDefault="007051F8" w:rsidP="007051F8">
            <w:pPr>
              <w:pStyle w:val="Tablehead"/>
              <w:jc w:val="left"/>
              <w:rPr>
                <w:rFonts w:cs="Calibri"/>
                <w:szCs w:val="22"/>
                <w:lang w:eastAsia="en-GB"/>
              </w:rPr>
            </w:pPr>
            <w:r>
              <w:rPr>
                <w:rFonts w:cs="Calibri"/>
                <w:szCs w:val="22"/>
                <w:lang w:eastAsia="en-GB"/>
              </w:rPr>
              <w:lastRenderedPageBreak/>
              <w:t>4</w:t>
            </w:r>
            <w:r>
              <w:rPr>
                <w:rFonts w:cs="Calibri"/>
                <w:szCs w:val="22"/>
                <w:lang w:eastAsia="en-GB"/>
              </w:rPr>
              <w:tab/>
              <w:t>Visión/Misión</w:t>
            </w:r>
          </w:p>
        </w:tc>
      </w:tr>
      <w:tr w:rsidR="00862CA6" w:rsidRPr="00C15CA8" w14:paraId="22B117D6" w14:textId="77777777" w:rsidTr="005D3F3D">
        <w:trPr>
          <w:jc w:val="center"/>
        </w:trPr>
        <w:tc>
          <w:tcPr>
            <w:tcW w:w="1560" w:type="dxa"/>
            <w:tcBorders>
              <w:top w:val="single" w:sz="8" w:space="0" w:color="FFFFFF"/>
              <w:left w:val="nil"/>
              <w:bottom w:val="single" w:sz="2" w:space="0" w:color="auto"/>
              <w:right w:val="nil"/>
            </w:tcBorders>
            <w:shd w:val="clear" w:color="auto" w:fill="auto"/>
            <w:vAlign w:val="center"/>
            <w:hideMark/>
          </w:tcPr>
          <w:p w14:paraId="5987CACD" w14:textId="11A7E1CE" w:rsidR="00862CA6" w:rsidRPr="00C15CA8" w:rsidRDefault="00862CA6" w:rsidP="00C15CA8">
            <w:pPr>
              <w:pStyle w:val="Tabletext"/>
              <w:keepNext/>
              <w:keepLines/>
              <w:tabs>
                <w:tab w:val="left" w:pos="380"/>
              </w:tabs>
              <w:jc w:val="center"/>
              <w:rPr>
                <w:rFonts w:cs="Calibri"/>
                <w:b/>
                <w:bCs/>
                <w:szCs w:val="22"/>
                <w:lang w:eastAsia="en-GB"/>
              </w:rPr>
            </w:pPr>
            <w:r w:rsidRPr="00C15CA8">
              <w:rPr>
                <w:rFonts w:cs="Calibri"/>
                <w:b/>
                <w:bCs/>
                <w:szCs w:val="22"/>
                <w:lang w:eastAsia="en-GB"/>
              </w:rPr>
              <w:t>Origen de las observaciones</w:t>
            </w:r>
          </w:p>
        </w:tc>
        <w:tc>
          <w:tcPr>
            <w:tcW w:w="7938" w:type="dxa"/>
            <w:tcBorders>
              <w:top w:val="single" w:sz="8" w:space="0" w:color="FFFFFF"/>
              <w:left w:val="nil"/>
              <w:bottom w:val="single" w:sz="2" w:space="0" w:color="auto"/>
              <w:right w:val="nil"/>
            </w:tcBorders>
            <w:shd w:val="clear" w:color="auto" w:fill="auto"/>
            <w:vAlign w:val="center"/>
            <w:hideMark/>
          </w:tcPr>
          <w:p w14:paraId="497BF0DD" w14:textId="220099A5" w:rsidR="00862CA6" w:rsidRPr="00C15CA8" w:rsidRDefault="00862CA6" w:rsidP="00C15CA8">
            <w:pPr>
              <w:pStyle w:val="Tabletext"/>
              <w:keepNext/>
              <w:keepLines/>
              <w:tabs>
                <w:tab w:val="left" w:pos="380"/>
              </w:tabs>
              <w:jc w:val="center"/>
              <w:rPr>
                <w:rFonts w:cs="Calibri"/>
                <w:b/>
                <w:bCs/>
                <w:szCs w:val="22"/>
                <w:lang w:eastAsia="en-GB"/>
              </w:rPr>
            </w:pPr>
            <w:r w:rsidRPr="00C15CA8">
              <w:rPr>
                <w:rFonts w:cs="Calibri"/>
                <w:b/>
                <w:bCs/>
                <w:szCs w:val="22"/>
                <w:lang w:eastAsia="en-GB"/>
              </w:rPr>
              <w:t>Observaciones</w:t>
            </w:r>
          </w:p>
        </w:tc>
        <w:tc>
          <w:tcPr>
            <w:tcW w:w="1559" w:type="dxa"/>
            <w:tcBorders>
              <w:top w:val="single" w:sz="8" w:space="0" w:color="FFFFFF"/>
              <w:left w:val="nil"/>
              <w:bottom w:val="single" w:sz="2" w:space="0" w:color="auto"/>
              <w:right w:val="nil"/>
            </w:tcBorders>
            <w:shd w:val="clear" w:color="auto" w:fill="auto"/>
            <w:vAlign w:val="center"/>
            <w:hideMark/>
          </w:tcPr>
          <w:p w14:paraId="32D438AF" w14:textId="59C631EA" w:rsidR="00862CA6" w:rsidRPr="00C15CA8" w:rsidRDefault="00862CA6" w:rsidP="00C15CA8">
            <w:pPr>
              <w:pStyle w:val="Tabletext"/>
              <w:keepNext/>
              <w:keepLines/>
              <w:tabs>
                <w:tab w:val="left" w:pos="380"/>
              </w:tabs>
              <w:jc w:val="center"/>
              <w:rPr>
                <w:rFonts w:cs="Calibri"/>
                <w:b/>
                <w:bCs/>
                <w:szCs w:val="22"/>
                <w:lang w:eastAsia="en-GB"/>
              </w:rPr>
            </w:pPr>
            <w:r w:rsidRPr="00C15CA8">
              <w:rPr>
                <w:rFonts w:cs="Calibri"/>
                <w:b/>
                <w:bCs/>
                <w:szCs w:val="22"/>
                <w:lang w:eastAsia="en-GB"/>
              </w:rPr>
              <w:t xml:space="preserve">Doc. del </w:t>
            </w:r>
            <w:r w:rsidR="007051F8" w:rsidRPr="00C15CA8">
              <w:rPr>
                <w:rFonts w:cs="Calibri"/>
                <w:b/>
                <w:bCs/>
                <w:szCs w:val="22"/>
                <w:lang w:eastAsia="en-GB"/>
              </w:rPr>
              <w:br/>
            </w:r>
            <w:r w:rsidRPr="00C15CA8">
              <w:rPr>
                <w:rFonts w:cs="Calibri"/>
                <w:b/>
                <w:bCs/>
                <w:szCs w:val="22"/>
                <w:lang w:eastAsia="en-GB"/>
              </w:rPr>
              <w:t>GTC-PEF</w:t>
            </w:r>
          </w:p>
        </w:tc>
        <w:tc>
          <w:tcPr>
            <w:tcW w:w="3515" w:type="dxa"/>
            <w:tcBorders>
              <w:top w:val="single" w:sz="8" w:space="0" w:color="FFFFFF"/>
              <w:left w:val="nil"/>
              <w:bottom w:val="single" w:sz="2" w:space="0" w:color="auto"/>
              <w:right w:val="nil"/>
            </w:tcBorders>
            <w:shd w:val="clear" w:color="auto" w:fill="auto"/>
            <w:vAlign w:val="center"/>
            <w:hideMark/>
          </w:tcPr>
          <w:p w14:paraId="128F68B8" w14:textId="57607948" w:rsidR="00862CA6" w:rsidRPr="00C15CA8" w:rsidRDefault="00862CA6" w:rsidP="00C15CA8">
            <w:pPr>
              <w:pStyle w:val="Tabletext"/>
              <w:keepNext/>
              <w:keepLines/>
              <w:tabs>
                <w:tab w:val="left" w:pos="380"/>
              </w:tabs>
              <w:jc w:val="center"/>
              <w:rPr>
                <w:rFonts w:cs="Calibri"/>
                <w:b/>
                <w:bCs/>
                <w:szCs w:val="22"/>
                <w:lang w:eastAsia="en-GB"/>
              </w:rPr>
            </w:pPr>
            <w:r w:rsidRPr="00C15CA8">
              <w:rPr>
                <w:rFonts w:cs="Calibri"/>
                <w:b/>
                <w:bCs/>
                <w:szCs w:val="22"/>
                <w:lang w:eastAsia="en-GB"/>
              </w:rPr>
              <w:t>Orientaciones del GTC-PEF</w:t>
            </w:r>
          </w:p>
        </w:tc>
      </w:tr>
      <w:tr w:rsidR="00DB7EA6" w:rsidRPr="00114ED3" w14:paraId="7A41A009" w14:textId="77777777" w:rsidTr="005D3F3D">
        <w:trPr>
          <w:jc w:val="center"/>
        </w:trPr>
        <w:tc>
          <w:tcPr>
            <w:tcW w:w="1560" w:type="dxa"/>
            <w:tcBorders>
              <w:top w:val="single" w:sz="2" w:space="0" w:color="auto"/>
              <w:left w:val="nil"/>
              <w:bottom w:val="nil"/>
              <w:right w:val="nil"/>
            </w:tcBorders>
            <w:shd w:val="clear" w:color="EDEDED" w:fill="EDEDED"/>
            <w:hideMark/>
          </w:tcPr>
          <w:p w14:paraId="7EEC4108" w14:textId="1BE1A109" w:rsidR="00DB7EA6" w:rsidRPr="00C15CA8" w:rsidRDefault="00DC3D30" w:rsidP="00C15CA8">
            <w:pPr>
              <w:pStyle w:val="Tabletext"/>
              <w:ind w:left="-57"/>
              <w:rPr>
                <w:lang w:eastAsia="en-GB"/>
              </w:rPr>
            </w:pPr>
            <w:r w:rsidRPr="00C15CA8">
              <w:rPr>
                <w:lang w:eastAsia="en-GB"/>
              </w:rPr>
              <w:t>Contribuciones de Estados Miembros:</w:t>
            </w:r>
          </w:p>
        </w:tc>
        <w:tc>
          <w:tcPr>
            <w:tcW w:w="7938" w:type="dxa"/>
            <w:tcBorders>
              <w:top w:val="single" w:sz="2" w:space="0" w:color="auto"/>
              <w:left w:val="nil"/>
              <w:bottom w:val="nil"/>
              <w:right w:val="nil"/>
            </w:tcBorders>
            <w:shd w:val="clear" w:color="EDEDED" w:fill="EDEDED"/>
            <w:hideMark/>
          </w:tcPr>
          <w:p w14:paraId="2605EA9A" w14:textId="77777777" w:rsidR="00C15CA8" w:rsidRPr="00C15CA8" w:rsidRDefault="00AA6CCE" w:rsidP="00C15CA8">
            <w:pPr>
              <w:pStyle w:val="Tabletext"/>
              <w:rPr>
                <w:rFonts w:cs="Calibri"/>
                <w:i/>
                <w:iCs/>
                <w:szCs w:val="22"/>
                <w:lang w:eastAsia="en-GB"/>
              </w:rPr>
            </w:pPr>
            <w:bookmarkStart w:id="71" w:name="lt_pId122"/>
            <w:r w:rsidRPr="00C15CA8">
              <w:rPr>
                <w:rFonts w:cs="Calibri"/>
                <w:i/>
                <w:iCs/>
                <w:szCs w:val="22"/>
                <w:lang w:eastAsia="en-GB"/>
              </w:rPr>
              <w:t>Contribución de la Federación de Rusia</w:t>
            </w:r>
            <w:r w:rsidR="00DB7EA6" w:rsidRPr="00C15CA8">
              <w:rPr>
                <w:rFonts w:cs="Calibri"/>
                <w:i/>
                <w:iCs/>
                <w:szCs w:val="22"/>
                <w:lang w:eastAsia="en-GB"/>
              </w:rPr>
              <w:t>:</w:t>
            </w:r>
            <w:bookmarkStart w:id="72" w:name="lt_pId123"/>
            <w:bookmarkEnd w:id="71"/>
          </w:p>
          <w:p w14:paraId="4887DD5F" w14:textId="187C2D48" w:rsidR="00DB7EA6" w:rsidRPr="00C15CA8" w:rsidRDefault="00DB7EA6" w:rsidP="00C15CA8">
            <w:pPr>
              <w:pStyle w:val="Tabletext"/>
              <w:rPr>
                <w:rFonts w:cs="Calibri"/>
                <w:b/>
                <w:color w:val="800000"/>
                <w:szCs w:val="22"/>
                <w:lang w:eastAsia="en-GB"/>
              </w:rPr>
            </w:pPr>
            <w:r w:rsidRPr="00C15CA8">
              <w:rPr>
                <w:rFonts w:cs="Calibri"/>
                <w:szCs w:val="22"/>
                <w:lang w:eastAsia="en-GB"/>
              </w:rPr>
              <w:t>(...)</w:t>
            </w:r>
            <w:bookmarkEnd w:id="72"/>
            <w:r w:rsidR="00E6725A" w:rsidRPr="00C15CA8">
              <w:rPr>
                <w:rFonts w:cs="Calibri"/>
                <w:szCs w:val="22"/>
                <w:lang w:eastAsia="en-GB"/>
              </w:rPr>
              <w:t>En ese sentido, proponemos que la misión de la UIT para el periodo de planificación sea la siguiente: "Facilitar las relaciones pacíficas, la cooperación internacional entre los pueblos y el desarrollo económico y social estableciendo unos servicios de telecomunicaciones eficientes y accesibles a escala universal y velando por que la UIT desempeñe un papel rector a tal efecto"</w:t>
            </w:r>
            <w:r w:rsidR="00202610" w:rsidRPr="00202610">
              <w:rPr>
                <w:rFonts w:cs="Calibri"/>
                <w:bCs/>
                <w:szCs w:val="22"/>
                <w:lang w:eastAsia="en-GB"/>
              </w:rPr>
              <w:t>.</w:t>
            </w:r>
          </w:p>
        </w:tc>
        <w:tc>
          <w:tcPr>
            <w:tcW w:w="1559" w:type="dxa"/>
            <w:tcBorders>
              <w:top w:val="single" w:sz="2" w:space="0" w:color="auto"/>
              <w:left w:val="nil"/>
              <w:bottom w:val="nil"/>
              <w:right w:val="nil"/>
            </w:tcBorders>
            <w:shd w:val="clear" w:color="EDEDED" w:fill="EDEDED"/>
            <w:noWrap/>
            <w:vAlign w:val="center"/>
            <w:hideMark/>
          </w:tcPr>
          <w:p w14:paraId="1F445CF5" w14:textId="77777777" w:rsidR="00DB7EA6" w:rsidRPr="007051F8" w:rsidRDefault="00D91982" w:rsidP="004260E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4F81BD" w:themeColor="accent1"/>
                <w:sz w:val="22"/>
                <w:szCs w:val="22"/>
                <w:u w:val="single"/>
                <w:lang w:eastAsia="en-GB"/>
              </w:rPr>
            </w:pPr>
            <w:hyperlink r:id="rId20" w:history="1">
              <w:bookmarkStart w:id="73" w:name="lt_pId125"/>
              <w:r w:rsidR="00DB7EA6" w:rsidRPr="007051F8">
                <w:rPr>
                  <w:rFonts w:cs="Calibri"/>
                  <w:color w:val="4F81BD" w:themeColor="accent1"/>
                  <w:sz w:val="22"/>
                  <w:szCs w:val="22"/>
                  <w:u w:val="single"/>
                  <w:lang w:eastAsia="en-GB"/>
                </w:rPr>
                <w:t>CWG-SFP-1/8</w:t>
              </w:r>
              <w:bookmarkEnd w:id="73"/>
            </w:hyperlink>
          </w:p>
        </w:tc>
        <w:tc>
          <w:tcPr>
            <w:tcW w:w="3515" w:type="dxa"/>
            <w:vMerge w:val="restart"/>
            <w:tcBorders>
              <w:top w:val="single" w:sz="2" w:space="0" w:color="auto"/>
              <w:left w:val="nil"/>
              <w:right w:val="nil"/>
            </w:tcBorders>
            <w:shd w:val="clear" w:color="auto" w:fill="FFFFFF" w:themeFill="background1"/>
            <w:noWrap/>
            <w:hideMark/>
          </w:tcPr>
          <w:p w14:paraId="1CAED582" w14:textId="2B161814" w:rsidR="00DB7EA6" w:rsidRPr="00945CE4" w:rsidRDefault="00C15CA8" w:rsidP="00C15CA8">
            <w:pPr>
              <w:pStyle w:val="Tabletext"/>
              <w:ind w:left="313" w:hanging="313"/>
              <w:rPr>
                <w:rFonts w:cs="Calibri"/>
                <w:sz w:val="20"/>
                <w:lang w:eastAsia="en-GB"/>
              </w:rPr>
            </w:pPr>
            <w:bookmarkStart w:id="74" w:name="lt_pId126"/>
            <w:r>
              <w:rPr>
                <w:rFonts w:cs="Calibri"/>
                <w:sz w:val="20"/>
                <w:lang w:eastAsia="en-GB"/>
              </w:rPr>
              <w:t>–</w:t>
            </w:r>
            <w:r>
              <w:rPr>
                <w:rFonts w:cs="Calibri"/>
                <w:sz w:val="20"/>
                <w:lang w:eastAsia="en-GB"/>
              </w:rPr>
              <w:tab/>
            </w:r>
            <w:r w:rsidR="002D1265" w:rsidRPr="00C15CA8">
              <w:rPr>
                <w:lang w:eastAsia="en-GB"/>
              </w:rPr>
              <w:t>Solicitar a la secretaría que recopile nuevas contribuciones de miembros del GTC-PEF, con vistas a un</w:t>
            </w:r>
            <w:r w:rsidR="00945CE4" w:rsidRPr="00C15CA8">
              <w:rPr>
                <w:lang w:eastAsia="en-GB"/>
              </w:rPr>
              <w:t>a</w:t>
            </w:r>
            <w:r w:rsidR="002D1265" w:rsidRPr="00C15CA8">
              <w:rPr>
                <w:lang w:eastAsia="en-GB"/>
              </w:rPr>
              <w:t xml:space="preserve"> posible</w:t>
            </w:r>
            <w:r w:rsidR="00945CE4" w:rsidRPr="00C15CA8">
              <w:rPr>
                <w:lang w:eastAsia="en-GB"/>
              </w:rPr>
              <w:t xml:space="preserve"> modificación</w:t>
            </w:r>
            <w:r w:rsidR="002D1265" w:rsidRPr="00C15CA8">
              <w:rPr>
                <w:lang w:eastAsia="en-GB"/>
              </w:rPr>
              <w:t xml:space="preserve"> de la redacción, en consonancia con el ámbito y el mandato de la UIT,</w:t>
            </w:r>
            <w:r w:rsidR="00945CE4" w:rsidRPr="00C15CA8">
              <w:rPr>
                <w:lang w:eastAsia="en-GB"/>
              </w:rPr>
              <w:t xml:space="preserve"> y habida cuenta de</w:t>
            </w:r>
            <w:r w:rsidR="002D1265" w:rsidRPr="00C15CA8">
              <w:rPr>
                <w:lang w:eastAsia="en-GB"/>
              </w:rPr>
              <w:t xml:space="preserve"> la persistente brecha digital y el papel de la UIT </w:t>
            </w:r>
            <w:r w:rsidR="00945CE4" w:rsidRPr="00C15CA8">
              <w:rPr>
                <w:lang w:eastAsia="en-GB"/>
              </w:rPr>
              <w:t>en la ampliación de</w:t>
            </w:r>
            <w:r w:rsidR="002D1265" w:rsidRPr="00C15CA8">
              <w:rPr>
                <w:lang w:eastAsia="en-GB"/>
              </w:rPr>
              <w:t xml:space="preserve"> la conectividad </w:t>
            </w:r>
            <w:r w:rsidR="00862CA6" w:rsidRPr="00C15CA8">
              <w:rPr>
                <w:lang w:eastAsia="en-GB"/>
              </w:rPr>
              <w:t xml:space="preserve">a </w:t>
            </w:r>
            <w:r w:rsidR="00945CE4" w:rsidRPr="00C15CA8">
              <w:rPr>
                <w:lang w:eastAsia="en-GB"/>
              </w:rPr>
              <w:t xml:space="preserve">escala mundial </w:t>
            </w:r>
            <w:r w:rsidR="002D1265" w:rsidRPr="00C15CA8">
              <w:rPr>
                <w:lang w:eastAsia="en-GB"/>
              </w:rPr>
              <w:t xml:space="preserve">y el uso de las telecomunicaciones/TIC </w:t>
            </w:r>
            <w:r w:rsidR="00945CE4" w:rsidRPr="00C15CA8">
              <w:rPr>
                <w:lang w:eastAsia="en-GB"/>
              </w:rPr>
              <w:t>en favor d</w:t>
            </w:r>
            <w:r w:rsidR="002D1265" w:rsidRPr="00C15CA8">
              <w:rPr>
                <w:lang w:eastAsia="en-GB"/>
              </w:rPr>
              <w:t>el desarrollo social, económico y ambientalmente sostenible</w:t>
            </w:r>
            <w:bookmarkEnd w:id="74"/>
            <w:r w:rsidR="002456DD">
              <w:rPr>
                <w:lang w:eastAsia="en-GB"/>
              </w:rPr>
              <w:t>.</w:t>
            </w:r>
          </w:p>
        </w:tc>
      </w:tr>
      <w:tr w:rsidR="00DB7EA6" w:rsidRPr="00114ED3" w14:paraId="492BF27F" w14:textId="77777777" w:rsidTr="007051F8">
        <w:trPr>
          <w:jc w:val="center"/>
        </w:trPr>
        <w:tc>
          <w:tcPr>
            <w:tcW w:w="1560" w:type="dxa"/>
            <w:tcBorders>
              <w:top w:val="nil"/>
              <w:left w:val="nil"/>
              <w:bottom w:val="nil"/>
              <w:right w:val="nil"/>
            </w:tcBorders>
            <w:shd w:val="clear" w:color="auto" w:fill="auto"/>
            <w:hideMark/>
          </w:tcPr>
          <w:p w14:paraId="42A561DF" w14:textId="247315B7" w:rsidR="00DB7EA6" w:rsidRPr="00C15CA8" w:rsidRDefault="00D8484D" w:rsidP="00C15CA8">
            <w:pPr>
              <w:pStyle w:val="Tabletext"/>
              <w:ind w:left="-57"/>
              <w:rPr>
                <w:lang w:eastAsia="en-GB"/>
              </w:rPr>
            </w:pPr>
            <w:r w:rsidRPr="00C15CA8">
              <w:rPr>
                <w:lang w:eastAsia="en-GB"/>
              </w:rPr>
              <w:t>Consulta en línea:</w:t>
            </w:r>
          </w:p>
        </w:tc>
        <w:tc>
          <w:tcPr>
            <w:tcW w:w="7938" w:type="dxa"/>
            <w:tcBorders>
              <w:top w:val="nil"/>
              <w:left w:val="nil"/>
              <w:bottom w:val="nil"/>
              <w:right w:val="nil"/>
            </w:tcBorders>
            <w:shd w:val="clear" w:color="auto" w:fill="auto"/>
            <w:hideMark/>
          </w:tcPr>
          <w:p w14:paraId="5DA8715D" w14:textId="09DDC929" w:rsidR="00DB7EA6" w:rsidRPr="00C15CA8" w:rsidRDefault="00C15CA8" w:rsidP="00C15CA8">
            <w:pPr>
              <w:pStyle w:val="Tabletext"/>
              <w:tabs>
                <w:tab w:val="left" w:pos="417"/>
              </w:tabs>
              <w:ind w:left="417" w:hanging="417"/>
              <w:rPr>
                <w:rFonts w:cs="Calibri"/>
                <w:b/>
                <w:bCs/>
                <w:szCs w:val="22"/>
                <w:lang w:eastAsia="en-GB"/>
              </w:rPr>
            </w:pPr>
            <w:bookmarkStart w:id="75" w:name="lt_pId128"/>
            <w:r>
              <w:rPr>
                <w:rFonts w:cs="Calibri"/>
                <w:szCs w:val="22"/>
                <w:lang w:eastAsia="en-GB"/>
              </w:rPr>
              <w:t>–</w:t>
            </w:r>
            <w:r>
              <w:rPr>
                <w:rFonts w:cs="Calibri"/>
                <w:szCs w:val="22"/>
                <w:lang w:eastAsia="en-GB"/>
              </w:rPr>
              <w:tab/>
            </w:r>
            <w:r w:rsidR="00E6725A" w:rsidRPr="00C15CA8">
              <w:rPr>
                <w:rFonts w:cs="Calibri"/>
                <w:szCs w:val="22"/>
                <w:lang w:eastAsia="en-GB"/>
              </w:rPr>
              <w:t xml:space="preserve">Algunas opiniones afirman que </w:t>
            </w:r>
            <w:r w:rsidR="00E6725A" w:rsidRPr="00C15CA8">
              <w:rPr>
                <w:rFonts w:cs="Calibri"/>
                <w:b/>
                <w:bCs/>
                <w:szCs w:val="22"/>
                <w:lang w:eastAsia="en-GB"/>
              </w:rPr>
              <w:t>es necesario</w:t>
            </w:r>
            <w:r w:rsidR="00E6725A" w:rsidRPr="00C15CA8">
              <w:rPr>
                <w:rFonts w:cs="Calibri"/>
                <w:szCs w:val="22"/>
                <w:lang w:eastAsia="en-GB"/>
              </w:rPr>
              <w:t xml:space="preserve"> </w:t>
            </w:r>
            <w:r w:rsidR="00E6725A" w:rsidRPr="00C15CA8">
              <w:rPr>
                <w:rFonts w:cs="Calibri"/>
                <w:b/>
                <w:bCs/>
                <w:szCs w:val="22"/>
                <w:lang w:eastAsia="en-GB"/>
              </w:rPr>
              <w:t>revisar la visión/misión en vista de la evolución del panorama internacional/digital y</w:t>
            </w:r>
            <w:r w:rsidR="00E6725A" w:rsidRPr="00C15CA8">
              <w:rPr>
                <w:rFonts w:cs="Calibri"/>
                <w:szCs w:val="22"/>
                <w:lang w:eastAsia="en-GB"/>
              </w:rPr>
              <w:t xml:space="preserve"> de </w:t>
            </w:r>
            <w:r w:rsidR="00E6725A" w:rsidRPr="00C15CA8">
              <w:rPr>
                <w:rFonts w:cs="Calibri"/>
                <w:b/>
                <w:bCs/>
                <w:szCs w:val="22"/>
                <w:lang w:eastAsia="en-GB"/>
              </w:rPr>
              <w:t>los efectos de la COVID-19</w:t>
            </w:r>
            <w:bookmarkEnd w:id="75"/>
            <w:r w:rsidR="00F91A01">
              <w:rPr>
                <w:rFonts w:cs="Calibri"/>
                <w:b/>
                <w:bCs/>
                <w:szCs w:val="22"/>
                <w:lang w:eastAsia="en-GB"/>
              </w:rPr>
              <w:t>.</w:t>
            </w:r>
          </w:p>
          <w:p w14:paraId="2211F652" w14:textId="1C7AE038" w:rsidR="00DB7EA6" w:rsidRPr="00C15CA8" w:rsidRDefault="00C15CA8" w:rsidP="00C15CA8">
            <w:pPr>
              <w:pStyle w:val="Tabletext"/>
              <w:tabs>
                <w:tab w:val="left" w:pos="417"/>
              </w:tabs>
              <w:ind w:left="417" w:hanging="417"/>
              <w:rPr>
                <w:rFonts w:cs="Calibri"/>
                <w:b/>
                <w:color w:val="800000"/>
                <w:szCs w:val="22"/>
                <w:lang w:eastAsia="en-GB"/>
              </w:rPr>
            </w:pPr>
            <w:r>
              <w:rPr>
                <w:rFonts w:cs="Calibri"/>
                <w:szCs w:val="22"/>
                <w:lang w:eastAsia="en-GB"/>
              </w:rPr>
              <w:t>–</w:t>
            </w:r>
            <w:r>
              <w:rPr>
                <w:rFonts w:cs="Calibri"/>
                <w:szCs w:val="22"/>
                <w:lang w:eastAsia="en-GB"/>
              </w:rPr>
              <w:tab/>
            </w:r>
            <w:r w:rsidR="0081362F" w:rsidRPr="00C15CA8">
              <w:rPr>
                <w:rFonts w:cs="Calibri"/>
                <w:szCs w:val="22"/>
                <w:lang w:eastAsia="en-GB"/>
              </w:rPr>
              <w:t xml:space="preserve">Algunas opiniones consideran que la visión y la misión </w:t>
            </w:r>
            <w:r w:rsidR="0081362F" w:rsidRPr="00C15CA8">
              <w:rPr>
                <w:rFonts w:cs="Calibri"/>
                <w:b/>
                <w:bCs/>
                <w:szCs w:val="22"/>
                <w:lang w:eastAsia="en-GB"/>
              </w:rPr>
              <w:t>debe</w:t>
            </w:r>
            <w:r w:rsidR="00AA6CCE" w:rsidRPr="00C15CA8">
              <w:rPr>
                <w:rFonts w:cs="Calibri"/>
                <w:b/>
                <w:bCs/>
                <w:szCs w:val="22"/>
                <w:lang w:eastAsia="en-GB"/>
              </w:rPr>
              <w:t>n</w:t>
            </w:r>
            <w:r w:rsidR="0081362F" w:rsidRPr="00C15CA8">
              <w:rPr>
                <w:rFonts w:cs="Calibri"/>
                <w:b/>
                <w:bCs/>
                <w:szCs w:val="22"/>
                <w:lang w:eastAsia="en-GB"/>
              </w:rPr>
              <w:t xml:space="preserve"> seguir siendo de alto nivel</w:t>
            </w:r>
            <w:r w:rsidR="0081362F" w:rsidRPr="00C15CA8">
              <w:rPr>
                <w:rFonts w:cs="Calibri"/>
                <w:szCs w:val="22"/>
                <w:lang w:eastAsia="en-GB"/>
              </w:rPr>
              <w:t xml:space="preserve"> y que </w:t>
            </w:r>
            <w:r w:rsidR="0081362F" w:rsidRPr="00C15CA8">
              <w:rPr>
                <w:rFonts w:cs="Calibri"/>
                <w:b/>
                <w:bCs/>
                <w:szCs w:val="22"/>
                <w:lang w:eastAsia="en-GB"/>
              </w:rPr>
              <w:t>ya está</w:t>
            </w:r>
            <w:r w:rsidR="00AA6CCE" w:rsidRPr="00C15CA8">
              <w:rPr>
                <w:rFonts w:cs="Calibri"/>
                <w:b/>
                <w:bCs/>
                <w:szCs w:val="22"/>
                <w:lang w:eastAsia="en-GB"/>
              </w:rPr>
              <w:t>n</w:t>
            </w:r>
            <w:r w:rsidR="0081362F" w:rsidRPr="00C15CA8">
              <w:rPr>
                <w:rFonts w:cs="Calibri"/>
                <w:szCs w:val="22"/>
                <w:lang w:eastAsia="en-GB"/>
              </w:rPr>
              <w:t xml:space="preserve"> </w:t>
            </w:r>
            <w:r w:rsidR="0081362F" w:rsidRPr="00C15CA8">
              <w:rPr>
                <w:rFonts w:cs="Calibri"/>
                <w:b/>
                <w:bCs/>
                <w:szCs w:val="22"/>
                <w:lang w:eastAsia="en-GB"/>
              </w:rPr>
              <w:t>formulad</w:t>
            </w:r>
            <w:r w:rsidR="00AA6CCE" w:rsidRPr="00C15CA8">
              <w:rPr>
                <w:rFonts w:cs="Calibri"/>
                <w:b/>
                <w:bCs/>
                <w:szCs w:val="22"/>
                <w:lang w:eastAsia="en-GB"/>
              </w:rPr>
              <w:t>as</w:t>
            </w:r>
            <w:r w:rsidR="0081362F" w:rsidRPr="00C15CA8">
              <w:rPr>
                <w:rFonts w:cs="Calibri"/>
                <w:b/>
                <w:bCs/>
                <w:szCs w:val="22"/>
                <w:lang w:eastAsia="en-GB"/>
              </w:rPr>
              <w:t xml:space="preserve"> para adaptarse a los cambios en el entorno</w:t>
            </w:r>
            <w:r w:rsidR="00F91A01">
              <w:rPr>
                <w:rFonts w:cs="Calibri"/>
                <w:b/>
                <w:bCs/>
                <w:szCs w:val="22"/>
                <w:lang w:eastAsia="en-GB"/>
              </w:rPr>
              <w:t>.</w:t>
            </w:r>
            <w:r w:rsidR="0081362F" w:rsidRPr="00C15CA8">
              <w:rPr>
                <w:rFonts w:cs="Calibri"/>
                <w:b/>
                <w:bCs/>
                <w:color w:val="800000"/>
                <w:szCs w:val="22"/>
                <w:lang w:eastAsia="en-GB"/>
              </w:rPr>
              <w:t xml:space="preserve"> </w:t>
            </w:r>
          </w:p>
        </w:tc>
        <w:tc>
          <w:tcPr>
            <w:tcW w:w="1559" w:type="dxa"/>
            <w:tcBorders>
              <w:top w:val="nil"/>
              <w:left w:val="nil"/>
              <w:bottom w:val="nil"/>
              <w:right w:val="nil"/>
            </w:tcBorders>
            <w:shd w:val="clear" w:color="auto" w:fill="auto"/>
            <w:noWrap/>
            <w:vAlign w:val="center"/>
            <w:hideMark/>
          </w:tcPr>
          <w:p w14:paraId="26237318" w14:textId="77777777" w:rsidR="00DB7EA6" w:rsidRPr="007051F8" w:rsidRDefault="00D91982" w:rsidP="004260E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4F81BD" w:themeColor="accent1"/>
                <w:sz w:val="22"/>
                <w:szCs w:val="22"/>
                <w:u w:val="single"/>
                <w:lang w:eastAsia="en-GB"/>
              </w:rPr>
            </w:pPr>
            <w:hyperlink r:id="rId21" w:history="1">
              <w:bookmarkStart w:id="76" w:name="lt_pId130"/>
              <w:r w:rsidR="00DB7EA6" w:rsidRPr="007051F8">
                <w:rPr>
                  <w:rFonts w:cs="Calibri"/>
                  <w:color w:val="4F81BD" w:themeColor="accent1"/>
                  <w:sz w:val="22"/>
                  <w:szCs w:val="22"/>
                  <w:u w:val="single"/>
                  <w:lang w:eastAsia="en-GB"/>
                </w:rPr>
                <w:t>CWG-SFP-1/11</w:t>
              </w:r>
              <w:bookmarkEnd w:id="76"/>
            </w:hyperlink>
          </w:p>
        </w:tc>
        <w:tc>
          <w:tcPr>
            <w:tcW w:w="3515" w:type="dxa"/>
            <w:vMerge/>
            <w:tcBorders>
              <w:left w:val="nil"/>
              <w:bottom w:val="nil"/>
              <w:right w:val="nil"/>
            </w:tcBorders>
            <w:shd w:val="clear" w:color="auto" w:fill="FFFFFF" w:themeFill="background1"/>
            <w:noWrap/>
            <w:vAlign w:val="bottom"/>
            <w:hideMark/>
          </w:tcPr>
          <w:p w14:paraId="39032840" w14:textId="77777777" w:rsidR="00DB7EA6" w:rsidRPr="00114ED3" w:rsidRDefault="00DB7EA6" w:rsidP="004260EB">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p>
        </w:tc>
      </w:tr>
    </w:tbl>
    <w:p w14:paraId="270D0611" w14:textId="77777777" w:rsidR="00202610" w:rsidRPr="005D3F3D" w:rsidRDefault="00202610">
      <w:pPr>
        <w:rPr>
          <w:sz w:val="4"/>
          <w:szCs w:val="4"/>
        </w:rPr>
      </w:pPr>
    </w:p>
    <w:tbl>
      <w:tblPr>
        <w:tblW w:w="14572" w:type="dxa"/>
        <w:jc w:val="center"/>
        <w:tblLayout w:type="fixed"/>
        <w:tblLook w:val="04A0" w:firstRow="1" w:lastRow="0" w:firstColumn="1" w:lastColumn="0" w:noHBand="0" w:noVBand="1"/>
      </w:tblPr>
      <w:tblGrid>
        <w:gridCol w:w="1560"/>
        <w:gridCol w:w="7917"/>
        <w:gridCol w:w="1568"/>
        <w:gridCol w:w="3527"/>
      </w:tblGrid>
      <w:tr w:rsidR="00202610" w:rsidRPr="00202610" w14:paraId="55CA69E3" w14:textId="77777777" w:rsidTr="005D3F3D">
        <w:trPr>
          <w:trHeight w:val="555"/>
          <w:tblHeader/>
          <w:jc w:val="center"/>
        </w:trPr>
        <w:tc>
          <w:tcPr>
            <w:tcW w:w="14572" w:type="dxa"/>
            <w:gridSpan w:val="4"/>
            <w:tcBorders>
              <w:top w:val="single" w:sz="8" w:space="0" w:color="FFFFFF"/>
              <w:left w:val="nil"/>
              <w:bottom w:val="single" w:sz="8" w:space="0" w:color="FFFFFF"/>
              <w:right w:val="nil"/>
            </w:tcBorders>
            <w:shd w:val="clear" w:color="auto" w:fill="8DB3E2" w:themeFill="text2" w:themeFillTint="66"/>
            <w:vAlign w:val="center"/>
          </w:tcPr>
          <w:p w14:paraId="4031E928" w14:textId="56BAC8F9" w:rsidR="00202610" w:rsidRPr="00202610" w:rsidRDefault="00202610" w:rsidP="00202610">
            <w:pPr>
              <w:pStyle w:val="Tablehead"/>
              <w:jc w:val="left"/>
              <w:rPr>
                <w:rFonts w:cs="Calibri"/>
                <w:szCs w:val="22"/>
                <w:lang w:eastAsia="en-GB"/>
              </w:rPr>
            </w:pPr>
            <w:r>
              <w:rPr>
                <w:rFonts w:cs="Calibri"/>
                <w:szCs w:val="22"/>
                <w:lang w:eastAsia="en-GB"/>
              </w:rPr>
              <w:t>5</w:t>
            </w:r>
            <w:r>
              <w:rPr>
                <w:rFonts w:cs="Calibri"/>
                <w:szCs w:val="22"/>
                <w:lang w:eastAsia="en-GB"/>
              </w:rPr>
              <w:tab/>
              <w:t>Metas</w:t>
            </w:r>
          </w:p>
        </w:tc>
      </w:tr>
      <w:tr w:rsidR="00862CA6" w:rsidRPr="00202610" w14:paraId="7951FDE5" w14:textId="77777777" w:rsidTr="005D3F3D">
        <w:trPr>
          <w:trHeight w:val="555"/>
          <w:tblHeader/>
          <w:jc w:val="center"/>
        </w:trPr>
        <w:tc>
          <w:tcPr>
            <w:tcW w:w="1560" w:type="dxa"/>
            <w:tcBorders>
              <w:top w:val="single" w:sz="8" w:space="0" w:color="FFFFFF"/>
              <w:left w:val="nil"/>
              <w:bottom w:val="single" w:sz="2" w:space="0" w:color="auto"/>
              <w:right w:val="nil"/>
            </w:tcBorders>
            <w:shd w:val="clear" w:color="auto" w:fill="auto"/>
            <w:vAlign w:val="center"/>
            <w:hideMark/>
          </w:tcPr>
          <w:p w14:paraId="2335B48E" w14:textId="5D11C534" w:rsidR="00862CA6" w:rsidRPr="00202610" w:rsidRDefault="00862CA6" w:rsidP="00202610">
            <w:pPr>
              <w:pStyle w:val="Tabletext"/>
              <w:keepNext/>
              <w:keepLines/>
              <w:tabs>
                <w:tab w:val="left" w:pos="380"/>
              </w:tabs>
              <w:jc w:val="center"/>
              <w:rPr>
                <w:rFonts w:cs="Calibri"/>
                <w:b/>
                <w:bCs/>
                <w:szCs w:val="22"/>
                <w:lang w:eastAsia="en-GB"/>
              </w:rPr>
            </w:pPr>
            <w:r w:rsidRPr="00202610">
              <w:rPr>
                <w:rFonts w:cs="Calibri"/>
                <w:b/>
                <w:bCs/>
                <w:szCs w:val="22"/>
                <w:lang w:eastAsia="en-GB"/>
              </w:rPr>
              <w:t>Origen de las observaciones</w:t>
            </w:r>
          </w:p>
        </w:tc>
        <w:tc>
          <w:tcPr>
            <w:tcW w:w="7917" w:type="dxa"/>
            <w:tcBorders>
              <w:top w:val="single" w:sz="8" w:space="0" w:color="FFFFFF"/>
              <w:left w:val="nil"/>
              <w:bottom w:val="single" w:sz="2" w:space="0" w:color="auto"/>
              <w:right w:val="nil"/>
            </w:tcBorders>
            <w:shd w:val="clear" w:color="auto" w:fill="auto"/>
            <w:vAlign w:val="center"/>
            <w:hideMark/>
          </w:tcPr>
          <w:p w14:paraId="5E5C7F34" w14:textId="31929402" w:rsidR="00862CA6" w:rsidRPr="00202610" w:rsidRDefault="00862CA6" w:rsidP="00202610">
            <w:pPr>
              <w:pStyle w:val="Tabletext"/>
              <w:keepNext/>
              <w:keepLines/>
              <w:tabs>
                <w:tab w:val="left" w:pos="380"/>
              </w:tabs>
              <w:jc w:val="center"/>
              <w:rPr>
                <w:rFonts w:cs="Calibri"/>
                <w:b/>
                <w:bCs/>
                <w:szCs w:val="22"/>
                <w:lang w:eastAsia="en-GB"/>
              </w:rPr>
            </w:pPr>
            <w:r w:rsidRPr="00202610">
              <w:rPr>
                <w:rFonts w:cs="Calibri"/>
                <w:b/>
                <w:bCs/>
                <w:szCs w:val="22"/>
                <w:lang w:eastAsia="en-GB"/>
              </w:rPr>
              <w:t>Observaciones</w:t>
            </w:r>
          </w:p>
        </w:tc>
        <w:tc>
          <w:tcPr>
            <w:tcW w:w="1568" w:type="dxa"/>
            <w:tcBorders>
              <w:top w:val="single" w:sz="8" w:space="0" w:color="FFFFFF"/>
              <w:left w:val="nil"/>
              <w:bottom w:val="single" w:sz="2" w:space="0" w:color="auto"/>
              <w:right w:val="nil"/>
            </w:tcBorders>
            <w:shd w:val="clear" w:color="auto" w:fill="auto"/>
            <w:vAlign w:val="center"/>
            <w:hideMark/>
          </w:tcPr>
          <w:p w14:paraId="1D88E302" w14:textId="3C5513E2" w:rsidR="00862CA6" w:rsidRPr="00202610" w:rsidRDefault="00862CA6" w:rsidP="00202610">
            <w:pPr>
              <w:pStyle w:val="Tabletext"/>
              <w:keepNext/>
              <w:keepLines/>
              <w:tabs>
                <w:tab w:val="left" w:pos="380"/>
              </w:tabs>
              <w:jc w:val="center"/>
              <w:rPr>
                <w:rFonts w:cs="Calibri"/>
                <w:b/>
                <w:bCs/>
                <w:szCs w:val="22"/>
                <w:lang w:eastAsia="en-GB"/>
              </w:rPr>
            </w:pPr>
            <w:r w:rsidRPr="00202610">
              <w:rPr>
                <w:rFonts w:cs="Calibri"/>
                <w:b/>
                <w:bCs/>
                <w:szCs w:val="22"/>
                <w:lang w:eastAsia="en-GB"/>
              </w:rPr>
              <w:t xml:space="preserve">Doc. del </w:t>
            </w:r>
            <w:r w:rsidR="00202610" w:rsidRPr="00202610">
              <w:rPr>
                <w:rFonts w:cs="Calibri"/>
                <w:b/>
                <w:bCs/>
                <w:szCs w:val="22"/>
                <w:lang w:eastAsia="en-GB"/>
              </w:rPr>
              <w:br/>
            </w:r>
            <w:r w:rsidRPr="00202610">
              <w:rPr>
                <w:rFonts w:cs="Calibri"/>
                <w:b/>
                <w:bCs/>
                <w:szCs w:val="22"/>
                <w:lang w:eastAsia="en-GB"/>
              </w:rPr>
              <w:t>GTC-PEF</w:t>
            </w:r>
          </w:p>
        </w:tc>
        <w:tc>
          <w:tcPr>
            <w:tcW w:w="3527" w:type="dxa"/>
            <w:tcBorders>
              <w:top w:val="single" w:sz="8" w:space="0" w:color="FFFFFF"/>
              <w:left w:val="nil"/>
              <w:bottom w:val="single" w:sz="2" w:space="0" w:color="auto"/>
              <w:right w:val="nil"/>
            </w:tcBorders>
            <w:shd w:val="clear" w:color="auto" w:fill="auto"/>
            <w:vAlign w:val="center"/>
            <w:hideMark/>
          </w:tcPr>
          <w:p w14:paraId="27797388" w14:textId="506650BF" w:rsidR="00862CA6" w:rsidRPr="00202610" w:rsidRDefault="00862CA6" w:rsidP="00202610">
            <w:pPr>
              <w:pStyle w:val="Tabletext"/>
              <w:keepNext/>
              <w:keepLines/>
              <w:tabs>
                <w:tab w:val="left" w:pos="380"/>
              </w:tabs>
              <w:jc w:val="center"/>
              <w:rPr>
                <w:rFonts w:cs="Calibri"/>
                <w:b/>
                <w:bCs/>
                <w:szCs w:val="22"/>
                <w:lang w:eastAsia="en-GB"/>
              </w:rPr>
            </w:pPr>
            <w:r w:rsidRPr="00202610">
              <w:rPr>
                <w:rFonts w:cs="Calibri"/>
                <w:b/>
                <w:bCs/>
                <w:szCs w:val="22"/>
                <w:lang w:eastAsia="en-GB"/>
              </w:rPr>
              <w:t>Orientaciones del GTC-PEF</w:t>
            </w:r>
          </w:p>
        </w:tc>
      </w:tr>
      <w:tr w:rsidR="00DB7EA6" w:rsidRPr="00114ED3" w14:paraId="069524C2" w14:textId="77777777" w:rsidTr="005D3F3D">
        <w:trPr>
          <w:trHeight w:val="1095"/>
          <w:jc w:val="center"/>
        </w:trPr>
        <w:tc>
          <w:tcPr>
            <w:tcW w:w="1560" w:type="dxa"/>
            <w:tcBorders>
              <w:top w:val="single" w:sz="2" w:space="0" w:color="auto"/>
              <w:left w:val="nil"/>
              <w:bottom w:val="nil"/>
              <w:right w:val="nil"/>
            </w:tcBorders>
            <w:shd w:val="clear" w:color="EDEDED" w:fill="EDEDED"/>
            <w:hideMark/>
          </w:tcPr>
          <w:p w14:paraId="5986440F" w14:textId="1C217549" w:rsidR="00DB7EA6" w:rsidRPr="00202610" w:rsidRDefault="00DC3D30" w:rsidP="00202610">
            <w:pPr>
              <w:pStyle w:val="Tabletext"/>
              <w:ind w:left="-57"/>
              <w:rPr>
                <w:lang w:eastAsia="en-GB"/>
              </w:rPr>
            </w:pPr>
            <w:r w:rsidRPr="00202610">
              <w:rPr>
                <w:lang w:eastAsia="en-GB"/>
              </w:rPr>
              <w:t>Contribuciones de Estados Miembros:</w:t>
            </w:r>
          </w:p>
        </w:tc>
        <w:tc>
          <w:tcPr>
            <w:tcW w:w="7917" w:type="dxa"/>
            <w:tcBorders>
              <w:top w:val="single" w:sz="2" w:space="0" w:color="auto"/>
              <w:left w:val="nil"/>
              <w:bottom w:val="nil"/>
              <w:right w:val="nil"/>
            </w:tcBorders>
            <w:shd w:val="clear" w:color="EDEDED" w:fill="EDEDED"/>
            <w:hideMark/>
          </w:tcPr>
          <w:p w14:paraId="2544C854" w14:textId="77777777" w:rsidR="00202610" w:rsidRPr="00202610" w:rsidRDefault="00AA6CCE" w:rsidP="002456DD">
            <w:pPr>
              <w:tabs>
                <w:tab w:val="clear" w:pos="567"/>
                <w:tab w:val="clear" w:pos="1134"/>
                <w:tab w:val="clear" w:pos="1701"/>
                <w:tab w:val="clear" w:pos="2268"/>
                <w:tab w:val="clear" w:pos="2835"/>
              </w:tabs>
              <w:overflowPunct/>
              <w:autoSpaceDE/>
              <w:autoSpaceDN/>
              <w:adjustRightInd/>
              <w:spacing w:before="60"/>
              <w:textAlignment w:val="auto"/>
              <w:rPr>
                <w:rFonts w:cs="Calibri"/>
                <w:i/>
                <w:iCs/>
                <w:sz w:val="22"/>
                <w:szCs w:val="22"/>
                <w:lang w:eastAsia="en-GB"/>
              </w:rPr>
            </w:pPr>
            <w:bookmarkStart w:id="77" w:name="lt_pId137"/>
            <w:r w:rsidRPr="00202610">
              <w:rPr>
                <w:rFonts w:cs="Calibri"/>
                <w:i/>
                <w:iCs/>
                <w:sz w:val="22"/>
                <w:szCs w:val="22"/>
                <w:lang w:eastAsia="en-GB"/>
              </w:rPr>
              <w:t>Contribución de la Federación de Rusia</w:t>
            </w:r>
            <w:r w:rsidR="00DB7EA6" w:rsidRPr="00202610">
              <w:rPr>
                <w:rFonts w:cs="Calibri"/>
                <w:i/>
                <w:iCs/>
                <w:sz w:val="22"/>
                <w:szCs w:val="22"/>
                <w:lang w:eastAsia="en-GB"/>
              </w:rPr>
              <w:t>:</w:t>
            </w:r>
            <w:bookmarkStart w:id="78" w:name="lt_pId138"/>
            <w:bookmarkEnd w:id="77"/>
          </w:p>
          <w:p w14:paraId="0EEDD5AF" w14:textId="4DF56F71" w:rsidR="00DB7EA6" w:rsidRPr="00202610" w:rsidRDefault="00202610" w:rsidP="00202610">
            <w:pPr>
              <w:pStyle w:val="Tabletext"/>
              <w:tabs>
                <w:tab w:val="left" w:pos="417"/>
              </w:tabs>
              <w:ind w:left="417" w:hanging="417"/>
              <w:rPr>
                <w:rFonts w:cs="Calibri"/>
                <w:szCs w:val="22"/>
                <w:lang w:eastAsia="en-GB"/>
              </w:rPr>
            </w:pPr>
            <w:r w:rsidRPr="00202610">
              <w:rPr>
                <w:rFonts w:cs="Calibri"/>
                <w:szCs w:val="22"/>
                <w:lang w:eastAsia="en-GB"/>
              </w:rPr>
              <w:t>–</w:t>
            </w:r>
            <w:r w:rsidRPr="00202610">
              <w:rPr>
                <w:rFonts w:cs="Calibri"/>
                <w:szCs w:val="22"/>
                <w:lang w:eastAsia="en-GB"/>
              </w:rPr>
              <w:tab/>
            </w:r>
            <w:r w:rsidR="00402DED" w:rsidRPr="005D3F3D">
              <w:rPr>
                <w:rFonts w:cs="Calibri"/>
                <w:spacing w:val="-4"/>
                <w:szCs w:val="22"/>
                <w:lang w:eastAsia="en-GB"/>
              </w:rPr>
              <w:t>Las cinco metas estratégicas del Plan Estratégico de la UIT para 2020-2023 pueden mantenerse en el Plan Estratégico de la UIT para 2024-2027, lo que, entre otras cosas, garantizará la continuidad de las actividades de la UIT a largo plazo.</w:t>
            </w:r>
            <w:bookmarkEnd w:id="78"/>
          </w:p>
        </w:tc>
        <w:tc>
          <w:tcPr>
            <w:tcW w:w="1568" w:type="dxa"/>
            <w:tcBorders>
              <w:top w:val="single" w:sz="2" w:space="0" w:color="auto"/>
              <w:left w:val="nil"/>
              <w:bottom w:val="nil"/>
              <w:right w:val="nil"/>
            </w:tcBorders>
            <w:shd w:val="clear" w:color="EDEDED" w:fill="EDEDED"/>
            <w:noWrap/>
            <w:vAlign w:val="center"/>
            <w:hideMark/>
          </w:tcPr>
          <w:p w14:paraId="552B5312" w14:textId="77777777" w:rsidR="00DB7EA6" w:rsidRPr="00202610" w:rsidRDefault="00D91982" w:rsidP="004260E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548DD4" w:themeColor="text2" w:themeTint="99"/>
                <w:sz w:val="22"/>
                <w:szCs w:val="22"/>
                <w:u w:val="single"/>
                <w:lang w:eastAsia="en-GB"/>
              </w:rPr>
            </w:pPr>
            <w:hyperlink r:id="rId22" w:history="1">
              <w:bookmarkStart w:id="79" w:name="lt_pId139"/>
              <w:r w:rsidR="00DB7EA6" w:rsidRPr="00202610">
                <w:rPr>
                  <w:rFonts w:cs="Calibri"/>
                  <w:color w:val="548DD4" w:themeColor="text2" w:themeTint="99"/>
                  <w:sz w:val="22"/>
                  <w:szCs w:val="22"/>
                  <w:u w:val="single"/>
                  <w:lang w:eastAsia="en-GB"/>
                </w:rPr>
                <w:t>CWG-SFP-1/8</w:t>
              </w:r>
              <w:bookmarkEnd w:id="79"/>
            </w:hyperlink>
          </w:p>
        </w:tc>
        <w:tc>
          <w:tcPr>
            <w:tcW w:w="3527" w:type="dxa"/>
            <w:vMerge w:val="restart"/>
            <w:tcBorders>
              <w:top w:val="single" w:sz="2" w:space="0" w:color="auto"/>
              <w:left w:val="nil"/>
              <w:right w:val="nil"/>
            </w:tcBorders>
            <w:shd w:val="clear" w:color="auto" w:fill="FFFFFF" w:themeFill="background1"/>
            <w:noWrap/>
            <w:hideMark/>
          </w:tcPr>
          <w:p w14:paraId="5AC033BC" w14:textId="61C41120" w:rsidR="00945CE4" w:rsidRPr="002456DD" w:rsidRDefault="00202610" w:rsidP="00202610">
            <w:pPr>
              <w:pStyle w:val="Tabletext"/>
              <w:ind w:left="313" w:hanging="313"/>
              <w:rPr>
                <w:rFonts w:cs="Calibri"/>
                <w:szCs w:val="22"/>
                <w:lang w:eastAsia="en-GB"/>
              </w:rPr>
            </w:pPr>
            <w:bookmarkStart w:id="80" w:name="lt_pId140"/>
            <w:r w:rsidRPr="002456DD">
              <w:rPr>
                <w:rFonts w:cs="Calibri"/>
                <w:szCs w:val="22"/>
                <w:lang w:eastAsia="en-GB"/>
              </w:rPr>
              <w:t>–</w:t>
            </w:r>
            <w:r w:rsidRPr="002456DD">
              <w:rPr>
                <w:rFonts w:cs="Calibri"/>
                <w:szCs w:val="22"/>
                <w:lang w:eastAsia="en-GB"/>
              </w:rPr>
              <w:tab/>
            </w:r>
            <w:r w:rsidR="00945CE4" w:rsidRPr="002456DD">
              <w:rPr>
                <w:rFonts w:cs="Calibri"/>
                <w:szCs w:val="22"/>
                <w:lang w:eastAsia="en-GB"/>
              </w:rPr>
              <w:t xml:space="preserve">Habida cuenta de los resultados de la consulta en línea y las contribuciones al GTC-PEF, solicitar a la Secretaría que recopile nuevas contribuciones de los miembros y analice con más detenimiento la posibilidad de mantener, ajustar o agrupar las metas vigentes, </w:t>
            </w:r>
            <w:r w:rsidR="00862CA6" w:rsidRPr="002456DD">
              <w:rPr>
                <w:rFonts w:cs="Calibri"/>
                <w:szCs w:val="22"/>
                <w:lang w:eastAsia="en-GB"/>
              </w:rPr>
              <w:t>así como</w:t>
            </w:r>
            <w:r w:rsidR="00945CE4" w:rsidRPr="002456DD">
              <w:rPr>
                <w:rFonts w:cs="Calibri"/>
                <w:szCs w:val="22"/>
                <w:lang w:eastAsia="en-GB"/>
              </w:rPr>
              <w:t xml:space="preserve"> sus repercusiones, teniendo </w:t>
            </w:r>
            <w:r w:rsidR="00945CE4" w:rsidRPr="002456DD">
              <w:rPr>
                <w:rFonts w:cs="Calibri"/>
                <w:szCs w:val="22"/>
                <w:lang w:eastAsia="en-GB"/>
              </w:rPr>
              <w:lastRenderedPageBreak/>
              <w:t xml:space="preserve">presentes </w:t>
            </w:r>
            <w:r w:rsidR="00862CA6" w:rsidRPr="002456DD">
              <w:rPr>
                <w:rFonts w:cs="Calibri"/>
                <w:szCs w:val="22"/>
                <w:lang w:eastAsia="en-GB"/>
              </w:rPr>
              <w:t xml:space="preserve">tanto </w:t>
            </w:r>
            <w:r w:rsidR="00945CE4" w:rsidRPr="002456DD">
              <w:rPr>
                <w:rFonts w:cs="Calibri"/>
                <w:szCs w:val="22"/>
                <w:lang w:eastAsia="en-GB"/>
              </w:rPr>
              <w:t>los debates en curso relacionados con la Visión y la Misión, como la Constitución y el Convenio de la UIT</w:t>
            </w:r>
            <w:r w:rsidR="005D3F3D" w:rsidRPr="002456DD">
              <w:rPr>
                <w:rFonts w:cs="Calibri"/>
                <w:szCs w:val="22"/>
                <w:lang w:eastAsia="en-GB"/>
              </w:rPr>
              <w:t>.</w:t>
            </w:r>
          </w:p>
          <w:p w14:paraId="45D36DB6" w14:textId="77777777" w:rsidR="00945CE4" w:rsidRPr="002456DD" w:rsidRDefault="00945CE4" w:rsidP="004260EB">
            <w:pPr>
              <w:spacing w:before="0"/>
              <w:rPr>
                <w:rFonts w:cs="Calibri"/>
                <w:sz w:val="22"/>
                <w:szCs w:val="22"/>
                <w:lang w:eastAsia="en-GB"/>
              </w:rPr>
            </w:pPr>
          </w:p>
          <w:bookmarkEnd w:id="80"/>
          <w:p w14:paraId="7A1EB1BA" w14:textId="0DDA9D0F" w:rsidR="00DB7EA6" w:rsidRPr="00114ED3" w:rsidRDefault="00DB7EA6" w:rsidP="004260EB">
            <w:pPr>
              <w:spacing w:before="0"/>
              <w:rPr>
                <w:rFonts w:ascii="Times New Roman" w:hAnsi="Times New Roman"/>
                <w:sz w:val="20"/>
                <w:lang w:eastAsia="en-GB"/>
              </w:rPr>
            </w:pPr>
          </w:p>
        </w:tc>
      </w:tr>
      <w:tr w:rsidR="00DB7EA6" w:rsidRPr="00114ED3" w14:paraId="742DD951" w14:textId="77777777" w:rsidTr="00202610">
        <w:trPr>
          <w:trHeight w:val="1080"/>
          <w:jc w:val="center"/>
        </w:trPr>
        <w:tc>
          <w:tcPr>
            <w:tcW w:w="1560" w:type="dxa"/>
            <w:tcBorders>
              <w:top w:val="nil"/>
              <w:left w:val="nil"/>
              <w:bottom w:val="nil"/>
              <w:right w:val="nil"/>
            </w:tcBorders>
            <w:shd w:val="clear" w:color="auto" w:fill="auto"/>
            <w:hideMark/>
          </w:tcPr>
          <w:p w14:paraId="22AFE771" w14:textId="0B9B058D" w:rsidR="00DB7EA6" w:rsidRPr="00202610" w:rsidRDefault="00DC3D30" w:rsidP="00202610">
            <w:pPr>
              <w:pStyle w:val="Tabletext"/>
              <w:ind w:left="-57"/>
              <w:rPr>
                <w:lang w:eastAsia="en-GB"/>
              </w:rPr>
            </w:pPr>
            <w:r w:rsidRPr="00202610">
              <w:rPr>
                <w:lang w:eastAsia="en-GB"/>
              </w:rPr>
              <w:t>Contribuciones de Estados Miembros:</w:t>
            </w:r>
          </w:p>
        </w:tc>
        <w:tc>
          <w:tcPr>
            <w:tcW w:w="7917" w:type="dxa"/>
            <w:tcBorders>
              <w:top w:val="nil"/>
              <w:left w:val="nil"/>
              <w:bottom w:val="nil"/>
              <w:right w:val="nil"/>
            </w:tcBorders>
            <w:shd w:val="clear" w:color="auto" w:fill="auto"/>
            <w:hideMark/>
          </w:tcPr>
          <w:p w14:paraId="1CF95BAA" w14:textId="77777777" w:rsidR="00202610" w:rsidRPr="00202610" w:rsidRDefault="00945CE4" w:rsidP="00202610">
            <w:pPr>
              <w:pStyle w:val="Tabletext"/>
              <w:tabs>
                <w:tab w:val="left" w:pos="417"/>
              </w:tabs>
              <w:ind w:left="417" w:hanging="417"/>
              <w:rPr>
                <w:rFonts w:cs="Calibri"/>
                <w:i/>
                <w:iCs/>
                <w:szCs w:val="22"/>
                <w:lang w:eastAsia="en-GB"/>
              </w:rPr>
            </w:pPr>
            <w:bookmarkStart w:id="81" w:name="lt_pId142"/>
            <w:r w:rsidRPr="00202610">
              <w:rPr>
                <w:rFonts w:cs="Calibri"/>
                <w:i/>
                <w:iCs/>
                <w:szCs w:val="22"/>
                <w:lang w:eastAsia="en-GB"/>
              </w:rPr>
              <w:t xml:space="preserve">Contribución de </w:t>
            </w:r>
            <w:r w:rsidR="00DB7EA6" w:rsidRPr="00202610">
              <w:rPr>
                <w:rFonts w:cs="Calibri"/>
                <w:i/>
                <w:iCs/>
                <w:szCs w:val="22"/>
                <w:lang w:eastAsia="en-GB"/>
              </w:rPr>
              <w:t>China:</w:t>
            </w:r>
            <w:bookmarkStart w:id="82" w:name="lt_pId143"/>
            <w:bookmarkEnd w:id="81"/>
          </w:p>
          <w:p w14:paraId="514EA008" w14:textId="5989B2CD" w:rsidR="00DB7EA6" w:rsidRPr="00202610" w:rsidRDefault="00202610" w:rsidP="00202610">
            <w:pPr>
              <w:pStyle w:val="Tabletext"/>
              <w:tabs>
                <w:tab w:val="left" w:pos="417"/>
              </w:tabs>
              <w:ind w:left="417" w:hanging="417"/>
              <w:rPr>
                <w:rFonts w:cs="Calibri"/>
                <w:szCs w:val="22"/>
                <w:lang w:eastAsia="en-GB"/>
              </w:rPr>
            </w:pPr>
            <w:r w:rsidRPr="00202610">
              <w:rPr>
                <w:rFonts w:cs="Calibri"/>
                <w:szCs w:val="22"/>
                <w:lang w:eastAsia="en-GB"/>
              </w:rPr>
              <w:t>–</w:t>
            </w:r>
            <w:r w:rsidRPr="00202610">
              <w:rPr>
                <w:rFonts w:cs="Calibri"/>
                <w:szCs w:val="22"/>
                <w:lang w:eastAsia="en-GB"/>
              </w:rPr>
              <w:tab/>
            </w:r>
            <w:r w:rsidR="00402DED" w:rsidRPr="00202610">
              <w:rPr>
                <w:rFonts w:cs="Calibri"/>
                <w:szCs w:val="22"/>
                <w:lang w:eastAsia="en-GB"/>
              </w:rPr>
              <w:t>Considerar la posibilidad de incluir el aprovechamiento de las plataformas de reuniones internacionales de alto nivel existentes con miras a fomentar el consenso mundial en torno a la gobernanza digital en los "objetivos intersectoriales" del Plan Estratégico de la UIT para 2024-2027.</w:t>
            </w:r>
            <w:bookmarkEnd w:id="82"/>
          </w:p>
        </w:tc>
        <w:tc>
          <w:tcPr>
            <w:tcW w:w="1568" w:type="dxa"/>
            <w:tcBorders>
              <w:top w:val="nil"/>
              <w:left w:val="nil"/>
              <w:bottom w:val="nil"/>
              <w:right w:val="nil"/>
            </w:tcBorders>
            <w:shd w:val="clear" w:color="auto" w:fill="auto"/>
            <w:noWrap/>
            <w:vAlign w:val="center"/>
            <w:hideMark/>
          </w:tcPr>
          <w:p w14:paraId="505E45C5" w14:textId="77777777" w:rsidR="00DB7EA6" w:rsidRPr="00202610" w:rsidRDefault="00D91982" w:rsidP="004260E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548DD4" w:themeColor="text2" w:themeTint="99"/>
                <w:sz w:val="22"/>
                <w:szCs w:val="22"/>
                <w:u w:val="single"/>
                <w:lang w:eastAsia="en-GB"/>
              </w:rPr>
            </w:pPr>
            <w:hyperlink r:id="rId23" w:history="1">
              <w:bookmarkStart w:id="83" w:name="lt_pId144"/>
              <w:r w:rsidR="00DB7EA6" w:rsidRPr="00202610">
                <w:rPr>
                  <w:rFonts w:cs="Calibri"/>
                  <w:color w:val="548DD4" w:themeColor="text2" w:themeTint="99"/>
                  <w:sz w:val="22"/>
                  <w:szCs w:val="22"/>
                  <w:u w:val="single"/>
                  <w:lang w:eastAsia="en-GB"/>
                </w:rPr>
                <w:t>CWG-SFP-1/9</w:t>
              </w:r>
              <w:bookmarkEnd w:id="83"/>
            </w:hyperlink>
          </w:p>
        </w:tc>
        <w:tc>
          <w:tcPr>
            <w:tcW w:w="3527" w:type="dxa"/>
            <w:vMerge/>
            <w:tcBorders>
              <w:left w:val="nil"/>
              <w:right w:val="nil"/>
            </w:tcBorders>
            <w:shd w:val="clear" w:color="auto" w:fill="FFFFFF" w:themeFill="background1"/>
            <w:noWrap/>
            <w:vAlign w:val="bottom"/>
            <w:hideMark/>
          </w:tcPr>
          <w:p w14:paraId="4BA781DD" w14:textId="77777777" w:rsidR="00DB7EA6" w:rsidRPr="00114ED3" w:rsidRDefault="00DB7EA6" w:rsidP="004260EB">
            <w:pPr>
              <w:spacing w:before="0"/>
              <w:rPr>
                <w:rFonts w:ascii="Times New Roman" w:hAnsi="Times New Roman"/>
                <w:sz w:val="20"/>
                <w:lang w:eastAsia="en-GB"/>
              </w:rPr>
            </w:pPr>
          </w:p>
        </w:tc>
      </w:tr>
      <w:tr w:rsidR="00DB7EA6" w:rsidRPr="00114ED3" w14:paraId="6D0506CB" w14:textId="77777777" w:rsidTr="00202610">
        <w:trPr>
          <w:trHeight w:val="810"/>
          <w:jc w:val="center"/>
        </w:trPr>
        <w:tc>
          <w:tcPr>
            <w:tcW w:w="1560" w:type="dxa"/>
            <w:tcBorders>
              <w:top w:val="nil"/>
              <w:left w:val="nil"/>
              <w:bottom w:val="nil"/>
              <w:right w:val="nil"/>
            </w:tcBorders>
            <w:shd w:val="clear" w:color="EDEDED" w:fill="EDEDED"/>
            <w:hideMark/>
          </w:tcPr>
          <w:p w14:paraId="1DF6F70F" w14:textId="46CA5044" w:rsidR="00DB7EA6" w:rsidRPr="005D3F3D" w:rsidRDefault="00DC3D30" w:rsidP="005D3F3D">
            <w:pPr>
              <w:pStyle w:val="Tabletext"/>
              <w:ind w:left="-57"/>
              <w:rPr>
                <w:lang w:eastAsia="en-GB"/>
              </w:rPr>
            </w:pPr>
            <w:r w:rsidRPr="005D3F3D">
              <w:rPr>
                <w:lang w:eastAsia="en-GB"/>
              </w:rPr>
              <w:lastRenderedPageBreak/>
              <w:t>Contribuciones de Estados Miembros:</w:t>
            </w:r>
          </w:p>
        </w:tc>
        <w:tc>
          <w:tcPr>
            <w:tcW w:w="7917" w:type="dxa"/>
            <w:tcBorders>
              <w:top w:val="nil"/>
              <w:left w:val="nil"/>
              <w:bottom w:val="nil"/>
              <w:right w:val="nil"/>
            </w:tcBorders>
            <w:shd w:val="clear" w:color="EDEDED" w:fill="EDEDED"/>
            <w:hideMark/>
          </w:tcPr>
          <w:p w14:paraId="70A109AD" w14:textId="77777777" w:rsidR="005D3F3D" w:rsidRDefault="00945CE4" w:rsidP="00032D57">
            <w:pPr>
              <w:tabs>
                <w:tab w:val="clear" w:pos="567"/>
                <w:tab w:val="clear" w:pos="1134"/>
                <w:tab w:val="clear" w:pos="1701"/>
                <w:tab w:val="clear" w:pos="2268"/>
                <w:tab w:val="clear" w:pos="2835"/>
              </w:tabs>
              <w:overflowPunct/>
              <w:autoSpaceDE/>
              <w:autoSpaceDN/>
              <w:adjustRightInd/>
              <w:spacing w:before="80"/>
              <w:textAlignment w:val="auto"/>
              <w:rPr>
                <w:rFonts w:cs="Calibri"/>
                <w:i/>
                <w:iCs/>
                <w:sz w:val="22"/>
                <w:szCs w:val="22"/>
                <w:lang w:eastAsia="en-GB"/>
              </w:rPr>
            </w:pPr>
            <w:bookmarkStart w:id="84" w:name="lt_pId146"/>
            <w:r w:rsidRPr="005D3F3D">
              <w:rPr>
                <w:rFonts w:cs="Calibri"/>
                <w:i/>
                <w:iCs/>
                <w:sz w:val="22"/>
                <w:szCs w:val="22"/>
                <w:lang w:eastAsia="en-GB"/>
              </w:rPr>
              <w:t xml:space="preserve">Contribución de </w:t>
            </w:r>
            <w:r w:rsidR="00DB7EA6" w:rsidRPr="005D3F3D">
              <w:rPr>
                <w:rFonts w:cs="Calibri"/>
                <w:i/>
                <w:iCs/>
                <w:sz w:val="22"/>
                <w:szCs w:val="22"/>
                <w:lang w:eastAsia="en-GB"/>
              </w:rPr>
              <w:t>China:</w:t>
            </w:r>
            <w:bookmarkStart w:id="85" w:name="lt_pId147"/>
            <w:bookmarkEnd w:id="84"/>
            <w:r w:rsidR="005D3F3D">
              <w:rPr>
                <w:rFonts w:cs="Calibri"/>
                <w:i/>
                <w:iCs/>
                <w:sz w:val="22"/>
                <w:szCs w:val="22"/>
                <w:lang w:eastAsia="en-GB"/>
              </w:rPr>
              <w:t xml:space="preserve"> </w:t>
            </w:r>
          </w:p>
          <w:p w14:paraId="2670AD07" w14:textId="49A9000B" w:rsidR="00DB7EA6" w:rsidRPr="005D3F3D" w:rsidRDefault="005D3F3D" w:rsidP="005D3F3D">
            <w:pPr>
              <w:pStyle w:val="Tabletext"/>
              <w:tabs>
                <w:tab w:val="left" w:pos="417"/>
              </w:tabs>
              <w:ind w:left="417" w:hanging="417"/>
              <w:rPr>
                <w:rFonts w:cs="Calibri"/>
                <w:b/>
                <w:color w:val="800000"/>
                <w:szCs w:val="22"/>
                <w:lang w:eastAsia="en-GB"/>
              </w:rPr>
            </w:pPr>
            <w:r>
              <w:rPr>
                <w:rFonts w:cs="Calibri"/>
                <w:szCs w:val="22"/>
                <w:lang w:eastAsia="en-GB"/>
              </w:rPr>
              <w:t>–</w:t>
            </w:r>
            <w:r>
              <w:rPr>
                <w:rFonts w:cs="Calibri"/>
                <w:szCs w:val="22"/>
                <w:lang w:eastAsia="en-GB"/>
              </w:rPr>
              <w:tab/>
            </w:r>
            <w:r w:rsidR="00402DED" w:rsidRPr="005D3F3D">
              <w:rPr>
                <w:rFonts w:cs="Calibri"/>
                <w:szCs w:val="22"/>
                <w:lang w:eastAsia="en-GB"/>
              </w:rPr>
              <w:t>Considerar la posibilidad de incluir la mejor utilización de las TIC para la prevención y el control de las PHEIC, y la posterior recuperación, en las metas estratégicas del Plan Estratégico de la UIT para 2024-2027</w:t>
            </w:r>
            <w:r w:rsidR="00DB7EA6" w:rsidRPr="005D3F3D">
              <w:rPr>
                <w:rFonts w:cs="Calibri"/>
                <w:szCs w:val="22"/>
                <w:lang w:eastAsia="en-GB"/>
              </w:rPr>
              <w:t>.</w:t>
            </w:r>
            <w:bookmarkEnd w:id="85"/>
            <w:r w:rsidR="00DB7EA6" w:rsidRPr="005D3F3D">
              <w:rPr>
                <w:rFonts w:cs="Calibri"/>
                <w:b/>
                <w:color w:val="800000"/>
                <w:szCs w:val="22"/>
                <w:lang w:eastAsia="en-GB"/>
              </w:rPr>
              <w:t xml:space="preserve"> </w:t>
            </w:r>
          </w:p>
        </w:tc>
        <w:tc>
          <w:tcPr>
            <w:tcW w:w="1568" w:type="dxa"/>
            <w:tcBorders>
              <w:top w:val="nil"/>
              <w:left w:val="nil"/>
              <w:bottom w:val="nil"/>
              <w:right w:val="nil"/>
            </w:tcBorders>
            <w:shd w:val="clear" w:color="EDEDED" w:fill="EDEDED"/>
            <w:noWrap/>
            <w:vAlign w:val="center"/>
            <w:hideMark/>
          </w:tcPr>
          <w:p w14:paraId="4BAAB052" w14:textId="77777777" w:rsidR="00DB7EA6" w:rsidRPr="005D3F3D" w:rsidRDefault="00D91982" w:rsidP="004260E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548DD4" w:themeColor="text2" w:themeTint="99"/>
                <w:sz w:val="22"/>
                <w:szCs w:val="22"/>
                <w:u w:val="single"/>
                <w:lang w:eastAsia="en-GB"/>
              </w:rPr>
            </w:pPr>
            <w:hyperlink r:id="rId24" w:history="1">
              <w:bookmarkStart w:id="86" w:name="lt_pId148"/>
              <w:r w:rsidR="00DB7EA6" w:rsidRPr="005D3F3D">
                <w:rPr>
                  <w:rFonts w:cs="Calibri"/>
                  <w:color w:val="548DD4" w:themeColor="text2" w:themeTint="99"/>
                  <w:sz w:val="22"/>
                  <w:szCs w:val="22"/>
                  <w:u w:val="single"/>
                  <w:lang w:eastAsia="en-GB"/>
                </w:rPr>
                <w:t>CWG-SFP-1/10</w:t>
              </w:r>
              <w:bookmarkEnd w:id="86"/>
            </w:hyperlink>
          </w:p>
        </w:tc>
        <w:tc>
          <w:tcPr>
            <w:tcW w:w="3527" w:type="dxa"/>
            <w:vMerge/>
            <w:tcBorders>
              <w:left w:val="nil"/>
              <w:right w:val="nil"/>
            </w:tcBorders>
            <w:shd w:val="clear" w:color="auto" w:fill="FFFFFF" w:themeFill="background1"/>
            <w:noWrap/>
            <w:vAlign w:val="bottom"/>
            <w:hideMark/>
          </w:tcPr>
          <w:p w14:paraId="6E3B1E44" w14:textId="77777777" w:rsidR="00DB7EA6" w:rsidRPr="00114ED3" w:rsidRDefault="00DB7EA6" w:rsidP="004260EB">
            <w:pPr>
              <w:spacing w:before="0"/>
              <w:rPr>
                <w:rFonts w:ascii="Times New Roman" w:hAnsi="Times New Roman"/>
                <w:sz w:val="20"/>
                <w:lang w:eastAsia="en-GB"/>
              </w:rPr>
            </w:pPr>
          </w:p>
        </w:tc>
      </w:tr>
      <w:tr w:rsidR="00DB7EA6" w:rsidRPr="00114ED3" w14:paraId="25451325" w14:textId="77777777" w:rsidTr="00202610">
        <w:trPr>
          <w:trHeight w:val="231"/>
          <w:jc w:val="center"/>
        </w:trPr>
        <w:tc>
          <w:tcPr>
            <w:tcW w:w="1560" w:type="dxa"/>
            <w:tcBorders>
              <w:top w:val="nil"/>
              <w:left w:val="nil"/>
              <w:bottom w:val="nil"/>
              <w:right w:val="nil"/>
            </w:tcBorders>
            <w:shd w:val="clear" w:color="auto" w:fill="auto"/>
            <w:hideMark/>
          </w:tcPr>
          <w:p w14:paraId="74E28FC1" w14:textId="31732F27" w:rsidR="00DB7EA6" w:rsidRPr="005D3F3D" w:rsidRDefault="00D8484D" w:rsidP="005D3F3D">
            <w:pPr>
              <w:pStyle w:val="Tabletext"/>
              <w:ind w:left="-57"/>
              <w:rPr>
                <w:lang w:eastAsia="en-GB"/>
              </w:rPr>
            </w:pPr>
            <w:r w:rsidRPr="005D3F3D">
              <w:rPr>
                <w:lang w:eastAsia="en-GB"/>
              </w:rPr>
              <w:t>Consulta en línea:</w:t>
            </w:r>
          </w:p>
        </w:tc>
        <w:tc>
          <w:tcPr>
            <w:tcW w:w="7917" w:type="dxa"/>
            <w:tcBorders>
              <w:top w:val="nil"/>
              <w:left w:val="nil"/>
              <w:bottom w:val="nil"/>
              <w:right w:val="nil"/>
            </w:tcBorders>
            <w:shd w:val="clear" w:color="auto" w:fill="auto"/>
            <w:hideMark/>
          </w:tcPr>
          <w:p w14:paraId="2C8C392B" w14:textId="77777777" w:rsidR="005D3F3D" w:rsidRDefault="00572779" w:rsidP="00032D57">
            <w:pPr>
              <w:tabs>
                <w:tab w:val="clear" w:pos="567"/>
                <w:tab w:val="clear" w:pos="1134"/>
                <w:tab w:val="clear" w:pos="1701"/>
                <w:tab w:val="clear" w:pos="2268"/>
                <w:tab w:val="clear" w:pos="2835"/>
              </w:tabs>
              <w:overflowPunct/>
              <w:autoSpaceDE/>
              <w:autoSpaceDN/>
              <w:adjustRightInd/>
              <w:spacing w:before="80"/>
              <w:textAlignment w:val="auto"/>
              <w:rPr>
                <w:rFonts w:cs="Calibri"/>
                <w:sz w:val="22"/>
                <w:szCs w:val="22"/>
                <w:lang w:eastAsia="en-GB"/>
              </w:rPr>
            </w:pPr>
            <w:bookmarkStart w:id="87" w:name="lt_pId150"/>
            <w:r w:rsidRPr="005D3F3D">
              <w:rPr>
                <w:rFonts w:cs="Calibri"/>
                <w:sz w:val="22"/>
                <w:szCs w:val="22"/>
                <w:lang w:eastAsia="en-GB"/>
              </w:rPr>
              <w:t>Conclusiones generales</w:t>
            </w:r>
            <w:r w:rsidR="00DB7EA6" w:rsidRPr="005D3F3D">
              <w:rPr>
                <w:rFonts w:cs="Calibri"/>
                <w:sz w:val="22"/>
                <w:szCs w:val="22"/>
                <w:lang w:eastAsia="en-GB"/>
              </w:rPr>
              <w:t>:</w:t>
            </w:r>
            <w:bookmarkStart w:id="88" w:name="lt_pId151"/>
            <w:bookmarkEnd w:id="87"/>
          </w:p>
          <w:p w14:paraId="621E0D60" w14:textId="19980402" w:rsidR="005D3F3D" w:rsidRDefault="005D3F3D" w:rsidP="005D3F3D">
            <w:pPr>
              <w:pStyle w:val="Tabletext"/>
              <w:tabs>
                <w:tab w:val="left" w:pos="417"/>
              </w:tabs>
              <w:ind w:left="417" w:hanging="417"/>
              <w:rPr>
                <w:rFonts w:cs="Calibri"/>
                <w:b/>
                <w:bCs/>
                <w:szCs w:val="22"/>
                <w:lang w:eastAsia="en-GB"/>
              </w:rPr>
            </w:pPr>
            <w:r>
              <w:rPr>
                <w:rFonts w:cs="Calibri"/>
                <w:szCs w:val="22"/>
                <w:lang w:eastAsia="en-GB"/>
              </w:rPr>
              <w:t>–</w:t>
            </w:r>
            <w:r>
              <w:rPr>
                <w:rFonts w:cs="Calibri"/>
                <w:szCs w:val="22"/>
                <w:lang w:eastAsia="en-GB"/>
              </w:rPr>
              <w:tab/>
            </w:r>
            <w:r w:rsidR="00572779" w:rsidRPr="005D3F3D">
              <w:rPr>
                <w:rFonts w:cs="Calibri"/>
                <w:szCs w:val="22"/>
                <w:lang w:eastAsia="en-GB"/>
              </w:rPr>
              <w:t xml:space="preserve">Algunas opiniones refrendan que </w:t>
            </w:r>
            <w:r w:rsidR="00572779" w:rsidRPr="005D3F3D">
              <w:rPr>
                <w:rFonts w:cs="Calibri"/>
                <w:b/>
                <w:bCs/>
                <w:szCs w:val="22"/>
                <w:lang w:eastAsia="en-GB"/>
              </w:rPr>
              <w:t>las actuales metas</w:t>
            </w:r>
            <w:r w:rsidR="00572779" w:rsidRPr="005D3F3D">
              <w:rPr>
                <w:rFonts w:cs="Calibri"/>
                <w:szCs w:val="22"/>
                <w:lang w:eastAsia="en-GB"/>
              </w:rPr>
              <w:t xml:space="preserve"> </w:t>
            </w:r>
            <w:r w:rsidR="00572779" w:rsidRPr="005D3F3D">
              <w:rPr>
                <w:rFonts w:cs="Calibri"/>
                <w:b/>
                <w:bCs/>
                <w:szCs w:val="22"/>
                <w:lang w:eastAsia="en-GB"/>
              </w:rPr>
              <w:t>siguen siendo pertinentes</w:t>
            </w:r>
            <w:r w:rsidR="00572779" w:rsidRPr="005D3F3D">
              <w:rPr>
                <w:rFonts w:cs="Calibri"/>
                <w:szCs w:val="22"/>
                <w:lang w:eastAsia="en-GB"/>
              </w:rPr>
              <w:t xml:space="preserve"> y que constituyen </w:t>
            </w:r>
            <w:r w:rsidR="00572779" w:rsidRPr="005D3F3D">
              <w:rPr>
                <w:rFonts w:cs="Calibri"/>
                <w:b/>
                <w:bCs/>
                <w:szCs w:val="22"/>
                <w:lang w:eastAsia="en-GB"/>
              </w:rPr>
              <w:t>una buena base o fundamento</w:t>
            </w:r>
            <w:r w:rsidR="00572779" w:rsidRPr="005D3F3D">
              <w:rPr>
                <w:rFonts w:cs="Calibri"/>
                <w:szCs w:val="22"/>
                <w:lang w:eastAsia="en-GB"/>
              </w:rPr>
              <w:t xml:space="preserve">, por lo que </w:t>
            </w:r>
            <w:r w:rsidR="00572779" w:rsidRPr="005D3F3D">
              <w:rPr>
                <w:rFonts w:cs="Calibri"/>
                <w:b/>
                <w:bCs/>
                <w:szCs w:val="22"/>
                <w:lang w:eastAsia="en-GB"/>
              </w:rPr>
              <w:t>no es necesario modificarlas</w:t>
            </w:r>
            <w:bookmarkStart w:id="89" w:name="lt_pId152"/>
            <w:bookmarkEnd w:id="88"/>
            <w:r>
              <w:rPr>
                <w:rFonts w:cs="Calibri"/>
                <w:b/>
                <w:bCs/>
                <w:szCs w:val="22"/>
                <w:lang w:eastAsia="en-GB"/>
              </w:rPr>
              <w:t>.</w:t>
            </w:r>
          </w:p>
          <w:p w14:paraId="3CED24D0" w14:textId="77DE6E5B" w:rsidR="005D3F3D" w:rsidRDefault="005D3F3D" w:rsidP="005D3F3D">
            <w:pPr>
              <w:pStyle w:val="Tabletext"/>
              <w:tabs>
                <w:tab w:val="left" w:pos="417"/>
              </w:tabs>
              <w:ind w:left="417" w:hanging="417"/>
              <w:rPr>
                <w:rFonts w:cs="Calibri"/>
                <w:b/>
                <w:bCs/>
                <w:szCs w:val="22"/>
                <w:lang w:eastAsia="en-GB"/>
              </w:rPr>
            </w:pPr>
            <w:r>
              <w:rPr>
                <w:rFonts w:cs="Calibri"/>
                <w:szCs w:val="22"/>
                <w:lang w:eastAsia="en-GB"/>
              </w:rPr>
              <w:t>–</w:t>
            </w:r>
            <w:r>
              <w:rPr>
                <w:rFonts w:cs="Calibri"/>
                <w:szCs w:val="22"/>
                <w:lang w:eastAsia="en-GB"/>
              </w:rPr>
              <w:tab/>
            </w:r>
            <w:r w:rsidR="00572779" w:rsidRPr="005D3F3D">
              <w:rPr>
                <w:rFonts w:cs="Calibri"/>
                <w:szCs w:val="22"/>
                <w:lang w:eastAsia="en-GB"/>
              </w:rPr>
              <w:t xml:space="preserve">Algunas opiniones consideran necesario </w:t>
            </w:r>
            <w:r w:rsidR="00572779" w:rsidRPr="005D3F3D">
              <w:rPr>
                <w:rFonts w:cs="Calibri"/>
                <w:b/>
                <w:bCs/>
                <w:szCs w:val="22"/>
                <w:lang w:eastAsia="en-GB"/>
              </w:rPr>
              <w:t>evaluar las actuales metas y adaptarlas al entorno que cambia rápidamente</w:t>
            </w:r>
            <w:bookmarkStart w:id="90" w:name="lt_pId153"/>
            <w:bookmarkEnd w:id="89"/>
            <w:r>
              <w:rPr>
                <w:rFonts w:cs="Calibri"/>
                <w:b/>
                <w:bCs/>
                <w:szCs w:val="22"/>
                <w:lang w:eastAsia="en-GB"/>
              </w:rPr>
              <w:t>.</w:t>
            </w:r>
          </w:p>
          <w:bookmarkEnd w:id="90"/>
          <w:p w14:paraId="32B1E29D" w14:textId="4C9FEA3B" w:rsidR="00DB7EA6" w:rsidRPr="005D3F3D" w:rsidRDefault="005D3F3D" w:rsidP="005D3F3D">
            <w:pPr>
              <w:pStyle w:val="Tabletext"/>
              <w:tabs>
                <w:tab w:val="left" w:pos="417"/>
              </w:tabs>
              <w:ind w:left="417" w:hanging="417"/>
              <w:rPr>
                <w:rFonts w:cs="Calibri"/>
                <w:b/>
                <w:color w:val="800000"/>
                <w:szCs w:val="22"/>
                <w:lang w:eastAsia="en-GB"/>
              </w:rPr>
            </w:pPr>
            <w:r>
              <w:rPr>
                <w:rFonts w:cs="Calibri"/>
                <w:szCs w:val="22"/>
                <w:lang w:eastAsia="en-GB"/>
              </w:rPr>
              <w:t>–</w:t>
            </w:r>
            <w:r>
              <w:rPr>
                <w:rFonts w:cs="Calibri"/>
                <w:szCs w:val="22"/>
                <w:lang w:eastAsia="en-GB"/>
              </w:rPr>
              <w:tab/>
            </w:r>
            <w:r w:rsidR="00572779" w:rsidRPr="005D3F3D">
              <w:rPr>
                <w:rFonts w:cs="Calibri"/>
                <w:szCs w:val="22"/>
                <w:lang w:eastAsia="en-GB"/>
              </w:rPr>
              <w:t xml:space="preserve">Algunas opiniones proponen </w:t>
            </w:r>
            <w:r w:rsidR="00572779" w:rsidRPr="005D3F3D">
              <w:rPr>
                <w:rFonts w:cs="Calibri"/>
                <w:b/>
                <w:bCs/>
                <w:szCs w:val="22"/>
                <w:lang w:eastAsia="en-GB"/>
              </w:rPr>
              <w:t>revisar las metas y posiblemente fusionar algunas</w:t>
            </w:r>
            <w:r>
              <w:rPr>
                <w:rFonts w:cs="Calibri"/>
                <w:szCs w:val="22"/>
                <w:lang w:eastAsia="en-GB"/>
              </w:rPr>
              <w:t>.</w:t>
            </w:r>
          </w:p>
        </w:tc>
        <w:tc>
          <w:tcPr>
            <w:tcW w:w="1568" w:type="dxa"/>
            <w:tcBorders>
              <w:top w:val="nil"/>
              <w:left w:val="nil"/>
              <w:bottom w:val="nil"/>
              <w:right w:val="nil"/>
            </w:tcBorders>
            <w:shd w:val="clear" w:color="auto" w:fill="auto"/>
            <w:noWrap/>
            <w:vAlign w:val="center"/>
            <w:hideMark/>
          </w:tcPr>
          <w:p w14:paraId="6D4F727B" w14:textId="77777777" w:rsidR="00DB7EA6" w:rsidRPr="005D3F3D" w:rsidRDefault="00D91982" w:rsidP="004260E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548DD4" w:themeColor="text2" w:themeTint="99"/>
                <w:sz w:val="22"/>
                <w:szCs w:val="22"/>
                <w:u w:val="single"/>
                <w:lang w:eastAsia="en-GB"/>
              </w:rPr>
            </w:pPr>
            <w:hyperlink r:id="rId25" w:history="1">
              <w:bookmarkStart w:id="91" w:name="lt_pId154"/>
              <w:r w:rsidR="00DB7EA6" w:rsidRPr="005D3F3D">
                <w:rPr>
                  <w:rFonts w:cs="Calibri"/>
                  <w:color w:val="548DD4" w:themeColor="text2" w:themeTint="99"/>
                  <w:sz w:val="22"/>
                  <w:szCs w:val="22"/>
                  <w:u w:val="single"/>
                  <w:lang w:eastAsia="en-GB"/>
                </w:rPr>
                <w:t>CWG-SFP-1/11</w:t>
              </w:r>
              <w:bookmarkEnd w:id="91"/>
            </w:hyperlink>
          </w:p>
        </w:tc>
        <w:tc>
          <w:tcPr>
            <w:tcW w:w="3527" w:type="dxa"/>
            <w:vMerge/>
            <w:tcBorders>
              <w:left w:val="nil"/>
              <w:right w:val="nil"/>
            </w:tcBorders>
            <w:shd w:val="clear" w:color="auto" w:fill="FFFFFF" w:themeFill="background1"/>
            <w:noWrap/>
            <w:vAlign w:val="bottom"/>
            <w:hideMark/>
          </w:tcPr>
          <w:p w14:paraId="1BE7C389" w14:textId="77777777" w:rsidR="00DB7EA6" w:rsidRPr="00114ED3" w:rsidRDefault="00DB7EA6" w:rsidP="004260EB">
            <w:pPr>
              <w:spacing w:before="0"/>
              <w:rPr>
                <w:rFonts w:cs="Calibri"/>
                <w:sz w:val="20"/>
                <w:lang w:eastAsia="en-GB"/>
              </w:rPr>
            </w:pPr>
          </w:p>
        </w:tc>
      </w:tr>
      <w:tr w:rsidR="00DB7EA6" w:rsidRPr="00114ED3" w14:paraId="62514034" w14:textId="77777777" w:rsidTr="00202610">
        <w:trPr>
          <w:trHeight w:val="810"/>
          <w:jc w:val="center"/>
        </w:trPr>
        <w:tc>
          <w:tcPr>
            <w:tcW w:w="1560" w:type="dxa"/>
            <w:tcBorders>
              <w:top w:val="nil"/>
              <w:left w:val="nil"/>
              <w:bottom w:val="nil"/>
              <w:right w:val="nil"/>
            </w:tcBorders>
            <w:shd w:val="clear" w:color="EDEDED" w:fill="EDEDED"/>
            <w:hideMark/>
          </w:tcPr>
          <w:p w14:paraId="65FC4B01" w14:textId="5099283A" w:rsidR="00DB7EA6" w:rsidRPr="005D3F3D" w:rsidRDefault="00D8484D" w:rsidP="005D3F3D">
            <w:pPr>
              <w:pStyle w:val="Tabletext"/>
              <w:ind w:left="-57"/>
              <w:rPr>
                <w:lang w:eastAsia="en-GB"/>
              </w:rPr>
            </w:pPr>
            <w:r w:rsidRPr="005D3F3D">
              <w:rPr>
                <w:lang w:eastAsia="en-GB"/>
              </w:rPr>
              <w:t>Recs. / Conclusiones:</w:t>
            </w:r>
          </w:p>
        </w:tc>
        <w:tc>
          <w:tcPr>
            <w:tcW w:w="7917" w:type="dxa"/>
            <w:tcBorders>
              <w:top w:val="nil"/>
              <w:left w:val="nil"/>
              <w:bottom w:val="nil"/>
              <w:right w:val="nil"/>
            </w:tcBorders>
            <w:shd w:val="clear" w:color="EDEDED" w:fill="EDEDED"/>
            <w:hideMark/>
          </w:tcPr>
          <w:p w14:paraId="19D6DFD8" w14:textId="77777777" w:rsidR="005D3F3D" w:rsidRDefault="00114ED3" w:rsidP="004260EB">
            <w:pPr>
              <w:tabs>
                <w:tab w:val="clear" w:pos="567"/>
                <w:tab w:val="clear" w:pos="1134"/>
                <w:tab w:val="clear" w:pos="1701"/>
                <w:tab w:val="clear" w:pos="2268"/>
                <w:tab w:val="clear" w:pos="2835"/>
              </w:tabs>
              <w:overflowPunct/>
              <w:autoSpaceDE/>
              <w:autoSpaceDN/>
              <w:adjustRightInd/>
              <w:spacing w:before="0"/>
              <w:textAlignment w:val="auto"/>
              <w:rPr>
                <w:rFonts w:cs="Calibri"/>
                <w:i/>
                <w:iCs/>
                <w:sz w:val="22"/>
                <w:szCs w:val="22"/>
                <w:lang w:eastAsia="en-GB"/>
              </w:rPr>
            </w:pPr>
            <w:bookmarkStart w:id="92" w:name="lt_pId157"/>
            <w:r w:rsidRPr="005D3F3D">
              <w:rPr>
                <w:rFonts w:cs="Calibri"/>
                <w:i/>
                <w:iCs/>
                <w:sz w:val="22"/>
                <w:szCs w:val="22"/>
                <w:lang w:eastAsia="en-GB"/>
              </w:rPr>
              <w:t>Posible opción</w:t>
            </w:r>
            <w:r w:rsidR="00DB7EA6" w:rsidRPr="005D3F3D">
              <w:rPr>
                <w:rFonts w:cs="Calibri"/>
                <w:i/>
                <w:iCs/>
                <w:sz w:val="22"/>
                <w:szCs w:val="22"/>
                <w:lang w:eastAsia="en-GB"/>
              </w:rPr>
              <w:t>:</w:t>
            </w:r>
            <w:bookmarkStart w:id="93" w:name="lt_pId158"/>
            <w:bookmarkEnd w:id="92"/>
          </w:p>
          <w:bookmarkEnd w:id="93"/>
          <w:p w14:paraId="1AD65A07" w14:textId="04B5FAEB" w:rsidR="00DB7EA6" w:rsidRPr="005D3F3D" w:rsidRDefault="005D3F3D" w:rsidP="005D3F3D">
            <w:pPr>
              <w:pStyle w:val="Tabletext"/>
              <w:tabs>
                <w:tab w:val="left" w:pos="417"/>
              </w:tabs>
              <w:ind w:left="417" w:hanging="417"/>
              <w:rPr>
                <w:rFonts w:cs="Calibri"/>
                <w:b/>
                <w:color w:val="800000"/>
                <w:szCs w:val="22"/>
                <w:lang w:eastAsia="en-GB"/>
              </w:rPr>
            </w:pPr>
            <w:r>
              <w:rPr>
                <w:rFonts w:cs="Calibri"/>
                <w:szCs w:val="22"/>
                <w:lang w:eastAsia="en-GB"/>
              </w:rPr>
              <w:t>–</w:t>
            </w:r>
            <w:r>
              <w:rPr>
                <w:rFonts w:cs="Calibri"/>
                <w:szCs w:val="22"/>
                <w:lang w:eastAsia="en-GB"/>
              </w:rPr>
              <w:tab/>
            </w:r>
            <w:r w:rsidR="00572779" w:rsidRPr="005D3F3D">
              <w:rPr>
                <w:rFonts w:cs="Calibri"/>
                <w:szCs w:val="22"/>
                <w:lang w:eastAsia="en-GB"/>
              </w:rPr>
              <w:t>Las metas 4 y 5 (innovación y alianzas) son más medios que fines, y la recopilación de datos relativos a sus finalidades se ha revelado sumamente compleja</w:t>
            </w:r>
            <w:r w:rsidRPr="005D3F3D">
              <w:rPr>
                <w:rFonts w:cs="Calibri"/>
                <w:b/>
                <w:szCs w:val="22"/>
                <w:lang w:eastAsia="en-GB"/>
              </w:rPr>
              <w:t>.</w:t>
            </w:r>
          </w:p>
        </w:tc>
        <w:tc>
          <w:tcPr>
            <w:tcW w:w="1568" w:type="dxa"/>
            <w:tcBorders>
              <w:top w:val="single" w:sz="4" w:space="0" w:color="8EA9DB"/>
              <w:left w:val="nil"/>
              <w:bottom w:val="single" w:sz="4" w:space="0" w:color="8EA9DB"/>
              <w:right w:val="nil"/>
            </w:tcBorders>
            <w:shd w:val="clear" w:color="EDEDED" w:fill="EDEDED"/>
            <w:noWrap/>
            <w:vAlign w:val="center"/>
            <w:hideMark/>
          </w:tcPr>
          <w:p w14:paraId="2C489144" w14:textId="77777777" w:rsidR="00DB7EA6" w:rsidRPr="005D3F3D" w:rsidRDefault="00D91982" w:rsidP="004260E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548DD4" w:themeColor="text2" w:themeTint="99"/>
                <w:sz w:val="22"/>
                <w:szCs w:val="22"/>
                <w:u w:val="single"/>
                <w:lang w:eastAsia="en-GB"/>
              </w:rPr>
            </w:pPr>
            <w:hyperlink r:id="rId26" w:history="1">
              <w:bookmarkStart w:id="94" w:name="lt_pId159"/>
              <w:r w:rsidR="00DB7EA6" w:rsidRPr="005D3F3D">
                <w:rPr>
                  <w:rFonts w:cs="Calibri"/>
                  <w:color w:val="548DD4" w:themeColor="text2" w:themeTint="99"/>
                  <w:sz w:val="22"/>
                  <w:szCs w:val="22"/>
                  <w:u w:val="single"/>
                  <w:lang w:eastAsia="en-GB"/>
                </w:rPr>
                <w:t>CWG-SFP-1/4</w:t>
              </w:r>
              <w:bookmarkEnd w:id="94"/>
            </w:hyperlink>
          </w:p>
        </w:tc>
        <w:tc>
          <w:tcPr>
            <w:tcW w:w="3527" w:type="dxa"/>
            <w:vMerge/>
            <w:tcBorders>
              <w:left w:val="nil"/>
              <w:bottom w:val="nil"/>
              <w:right w:val="nil"/>
            </w:tcBorders>
            <w:shd w:val="clear" w:color="auto" w:fill="FFFFFF" w:themeFill="background1"/>
            <w:noWrap/>
            <w:hideMark/>
          </w:tcPr>
          <w:p w14:paraId="76F9A58E" w14:textId="77777777" w:rsidR="00DB7EA6" w:rsidRPr="00114ED3" w:rsidRDefault="00DB7EA6" w:rsidP="004260EB">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p>
        </w:tc>
      </w:tr>
    </w:tbl>
    <w:p w14:paraId="4DD81558" w14:textId="642F862F" w:rsidR="005D3F3D" w:rsidRDefault="005D3F3D">
      <w:r>
        <w:br w:type="page"/>
      </w:r>
    </w:p>
    <w:tbl>
      <w:tblPr>
        <w:tblW w:w="14572" w:type="dxa"/>
        <w:jc w:val="center"/>
        <w:tblLayout w:type="fixed"/>
        <w:tblLook w:val="04A0" w:firstRow="1" w:lastRow="0" w:firstColumn="1" w:lastColumn="0" w:noHBand="0" w:noVBand="1"/>
      </w:tblPr>
      <w:tblGrid>
        <w:gridCol w:w="1596"/>
        <w:gridCol w:w="7895"/>
        <w:gridCol w:w="1566"/>
        <w:gridCol w:w="3515"/>
      </w:tblGrid>
      <w:tr w:rsidR="005D3F3D" w:rsidRPr="00114ED3" w14:paraId="11B3E214" w14:textId="77777777" w:rsidTr="005D3F3D">
        <w:trPr>
          <w:trHeight w:val="555"/>
          <w:jc w:val="center"/>
        </w:trPr>
        <w:tc>
          <w:tcPr>
            <w:tcW w:w="14572" w:type="dxa"/>
            <w:gridSpan w:val="4"/>
            <w:tcBorders>
              <w:top w:val="single" w:sz="8" w:space="0" w:color="FFFFFF"/>
              <w:left w:val="nil"/>
              <w:bottom w:val="single" w:sz="8" w:space="0" w:color="FFFFFF"/>
              <w:right w:val="nil"/>
            </w:tcBorders>
            <w:shd w:val="clear" w:color="auto" w:fill="8DB3E2" w:themeFill="text2" w:themeFillTint="66"/>
            <w:vAlign w:val="center"/>
          </w:tcPr>
          <w:p w14:paraId="2B5C5EF7" w14:textId="3529A35D" w:rsidR="005D3F3D" w:rsidRPr="005D3F3D" w:rsidRDefault="005D3F3D" w:rsidP="005D3F3D">
            <w:pPr>
              <w:pStyle w:val="Tablehead"/>
              <w:jc w:val="left"/>
              <w:rPr>
                <w:rFonts w:cs="Calibri"/>
                <w:sz w:val="20"/>
                <w:lang w:eastAsia="en-GB"/>
              </w:rPr>
            </w:pPr>
            <w:r w:rsidRPr="005D3F3D">
              <w:rPr>
                <w:rFonts w:cs="Calibri"/>
                <w:sz w:val="20"/>
                <w:lang w:eastAsia="en-GB"/>
              </w:rPr>
              <w:lastRenderedPageBreak/>
              <w:t>6</w:t>
            </w:r>
            <w:r w:rsidRPr="005D3F3D">
              <w:rPr>
                <w:rFonts w:cs="Calibri"/>
                <w:sz w:val="20"/>
                <w:lang w:eastAsia="en-GB"/>
              </w:rPr>
              <w:tab/>
              <w:t>Finalidades</w:t>
            </w:r>
          </w:p>
        </w:tc>
      </w:tr>
      <w:tr w:rsidR="00862CA6" w:rsidRPr="005D3F3D" w14:paraId="54F0F2F7" w14:textId="77777777" w:rsidTr="007C1F49">
        <w:trPr>
          <w:trHeight w:val="555"/>
          <w:jc w:val="center"/>
        </w:trPr>
        <w:tc>
          <w:tcPr>
            <w:tcW w:w="1596" w:type="dxa"/>
            <w:tcBorders>
              <w:top w:val="single" w:sz="8" w:space="0" w:color="FFFFFF"/>
              <w:left w:val="nil"/>
              <w:bottom w:val="single" w:sz="2" w:space="0" w:color="auto"/>
              <w:right w:val="nil"/>
            </w:tcBorders>
            <w:shd w:val="clear" w:color="auto" w:fill="auto"/>
            <w:vAlign w:val="center"/>
            <w:hideMark/>
          </w:tcPr>
          <w:p w14:paraId="747DF864" w14:textId="11630C5C" w:rsidR="00862CA6" w:rsidRPr="005D3F3D" w:rsidRDefault="00862CA6" w:rsidP="005D3F3D">
            <w:pPr>
              <w:pStyle w:val="Tabletext"/>
              <w:tabs>
                <w:tab w:val="left" w:pos="380"/>
              </w:tabs>
              <w:jc w:val="center"/>
              <w:rPr>
                <w:rFonts w:cs="Calibri"/>
                <w:b/>
                <w:bCs/>
                <w:szCs w:val="22"/>
                <w:lang w:eastAsia="en-GB"/>
              </w:rPr>
            </w:pPr>
            <w:r w:rsidRPr="005D3F3D">
              <w:rPr>
                <w:rFonts w:cs="Calibri"/>
                <w:b/>
                <w:bCs/>
                <w:szCs w:val="22"/>
                <w:lang w:eastAsia="en-GB"/>
              </w:rPr>
              <w:t>Origen de las observaciones</w:t>
            </w:r>
          </w:p>
        </w:tc>
        <w:tc>
          <w:tcPr>
            <w:tcW w:w="7895" w:type="dxa"/>
            <w:tcBorders>
              <w:top w:val="single" w:sz="8" w:space="0" w:color="FFFFFF"/>
              <w:left w:val="nil"/>
              <w:bottom w:val="single" w:sz="2" w:space="0" w:color="auto"/>
              <w:right w:val="nil"/>
            </w:tcBorders>
            <w:shd w:val="clear" w:color="auto" w:fill="auto"/>
            <w:vAlign w:val="center"/>
            <w:hideMark/>
          </w:tcPr>
          <w:p w14:paraId="1FAEFF67" w14:textId="1F0D07C0" w:rsidR="00862CA6" w:rsidRPr="005D3F3D" w:rsidRDefault="00862CA6" w:rsidP="005D3F3D">
            <w:pPr>
              <w:pStyle w:val="Tabletext"/>
              <w:tabs>
                <w:tab w:val="left" w:pos="380"/>
              </w:tabs>
              <w:jc w:val="center"/>
              <w:rPr>
                <w:rFonts w:cs="Calibri"/>
                <w:b/>
                <w:bCs/>
                <w:szCs w:val="22"/>
                <w:lang w:eastAsia="en-GB"/>
              </w:rPr>
            </w:pPr>
            <w:r w:rsidRPr="005D3F3D">
              <w:rPr>
                <w:rFonts w:cs="Calibri"/>
                <w:b/>
                <w:bCs/>
                <w:szCs w:val="22"/>
                <w:lang w:eastAsia="en-GB"/>
              </w:rPr>
              <w:t>Observaciones</w:t>
            </w:r>
          </w:p>
        </w:tc>
        <w:tc>
          <w:tcPr>
            <w:tcW w:w="1566" w:type="dxa"/>
            <w:tcBorders>
              <w:top w:val="single" w:sz="8" w:space="0" w:color="FFFFFF"/>
              <w:left w:val="nil"/>
              <w:bottom w:val="single" w:sz="2" w:space="0" w:color="auto"/>
              <w:right w:val="nil"/>
            </w:tcBorders>
            <w:shd w:val="clear" w:color="auto" w:fill="auto"/>
            <w:vAlign w:val="center"/>
            <w:hideMark/>
          </w:tcPr>
          <w:p w14:paraId="1788DBA0" w14:textId="0A3F0161" w:rsidR="00862CA6" w:rsidRPr="005D3F3D" w:rsidRDefault="00862CA6" w:rsidP="005D3F3D">
            <w:pPr>
              <w:pStyle w:val="Tabletext"/>
              <w:tabs>
                <w:tab w:val="left" w:pos="380"/>
              </w:tabs>
              <w:jc w:val="center"/>
              <w:rPr>
                <w:rFonts w:cs="Calibri"/>
                <w:b/>
                <w:bCs/>
                <w:szCs w:val="22"/>
                <w:lang w:eastAsia="en-GB"/>
              </w:rPr>
            </w:pPr>
            <w:r w:rsidRPr="005D3F3D">
              <w:rPr>
                <w:rFonts w:cs="Calibri"/>
                <w:b/>
                <w:bCs/>
                <w:szCs w:val="22"/>
                <w:lang w:eastAsia="en-GB"/>
              </w:rPr>
              <w:t>Doc. del GTC-PEF</w:t>
            </w:r>
          </w:p>
        </w:tc>
        <w:tc>
          <w:tcPr>
            <w:tcW w:w="3515" w:type="dxa"/>
            <w:tcBorders>
              <w:top w:val="single" w:sz="8" w:space="0" w:color="FFFFFF"/>
              <w:left w:val="nil"/>
              <w:bottom w:val="single" w:sz="2" w:space="0" w:color="auto"/>
              <w:right w:val="nil"/>
            </w:tcBorders>
            <w:shd w:val="clear" w:color="auto" w:fill="auto"/>
            <w:vAlign w:val="center"/>
            <w:hideMark/>
          </w:tcPr>
          <w:p w14:paraId="785E4E5B" w14:textId="4CD0B729" w:rsidR="00862CA6" w:rsidRPr="005D3F3D" w:rsidRDefault="00862CA6" w:rsidP="005D3F3D">
            <w:pPr>
              <w:pStyle w:val="Tabletext"/>
              <w:tabs>
                <w:tab w:val="left" w:pos="380"/>
              </w:tabs>
              <w:jc w:val="center"/>
              <w:rPr>
                <w:rFonts w:cs="Calibri"/>
                <w:b/>
                <w:bCs/>
                <w:szCs w:val="22"/>
                <w:lang w:eastAsia="en-GB"/>
              </w:rPr>
            </w:pPr>
            <w:r w:rsidRPr="005D3F3D">
              <w:rPr>
                <w:rFonts w:cs="Calibri"/>
                <w:b/>
                <w:bCs/>
                <w:szCs w:val="22"/>
                <w:lang w:eastAsia="en-GB"/>
              </w:rPr>
              <w:t>Orientaciones del GTC-PEF</w:t>
            </w:r>
          </w:p>
        </w:tc>
      </w:tr>
      <w:tr w:rsidR="00DB7EA6" w:rsidRPr="00114ED3" w14:paraId="2B1CCF43" w14:textId="77777777" w:rsidTr="007C1F49">
        <w:trPr>
          <w:trHeight w:val="2175"/>
          <w:jc w:val="center"/>
        </w:trPr>
        <w:tc>
          <w:tcPr>
            <w:tcW w:w="1596" w:type="dxa"/>
            <w:tcBorders>
              <w:top w:val="single" w:sz="2" w:space="0" w:color="auto"/>
              <w:left w:val="nil"/>
              <w:bottom w:val="nil"/>
              <w:right w:val="nil"/>
            </w:tcBorders>
            <w:shd w:val="clear" w:color="EDEDED" w:fill="EDEDED"/>
            <w:hideMark/>
          </w:tcPr>
          <w:p w14:paraId="3AA5DBF3" w14:textId="02A2789E" w:rsidR="00DB7EA6" w:rsidRPr="005D3F3D" w:rsidRDefault="00DC3D30" w:rsidP="005D3F3D">
            <w:pPr>
              <w:pStyle w:val="Tabletext"/>
              <w:ind w:left="-57"/>
              <w:rPr>
                <w:lang w:eastAsia="en-GB"/>
              </w:rPr>
            </w:pPr>
            <w:r w:rsidRPr="005D3F3D">
              <w:rPr>
                <w:lang w:eastAsia="en-GB"/>
              </w:rPr>
              <w:t>Contribuciones de Estados Miembros:</w:t>
            </w:r>
          </w:p>
        </w:tc>
        <w:tc>
          <w:tcPr>
            <w:tcW w:w="7895" w:type="dxa"/>
            <w:tcBorders>
              <w:top w:val="single" w:sz="2" w:space="0" w:color="auto"/>
              <w:left w:val="nil"/>
              <w:bottom w:val="nil"/>
              <w:right w:val="nil"/>
            </w:tcBorders>
            <w:shd w:val="clear" w:color="EDEDED" w:fill="EDEDED"/>
            <w:hideMark/>
          </w:tcPr>
          <w:p w14:paraId="347DDFD3" w14:textId="77777777" w:rsidR="005E125E" w:rsidRPr="005E125E" w:rsidRDefault="00AA6CCE" w:rsidP="00032D57">
            <w:pPr>
              <w:tabs>
                <w:tab w:val="clear" w:pos="567"/>
                <w:tab w:val="clear" w:pos="1134"/>
                <w:tab w:val="clear" w:pos="1701"/>
                <w:tab w:val="clear" w:pos="2268"/>
                <w:tab w:val="clear" w:pos="2835"/>
              </w:tabs>
              <w:overflowPunct/>
              <w:autoSpaceDE/>
              <w:autoSpaceDN/>
              <w:adjustRightInd/>
              <w:spacing w:before="80"/>
              <w:textAlignment w:val="auto"/>
              <w:rPr>
                <w:rFonts w:cs="Calibri"/>
                <w:i/>
                <w:iCs/>
                <w:sz w:val="22"/>
                <w:szCs w:val="22"/>
                <w:lang w:eastAsia="en-GB"/>
              </w:rPr>
            </w:pPr>
            <w:bookmarkStart w:id="95" w:name="lt_pId166"/>
            <w:r w:rsidRPr="005E125E">
              <w:rPr>
                <w:rFonts w:cs="Calibri"/>
                <w:i/>
                <w:iCs/>
                <w:sz w:val="22"/>
                <w:szCs w:val="22"/>
                <w:lang w:eastAsia="en-GB"/>
              </w:rPr>
              <w:t>Contribución de la Federación de Rusia</w:t>
            </w:r>
            <w:r w:rsidR="00DB7EA6" w:rsidRPr="005E125E">
              <w:rPr>
                <w:rFonts w:cs="Calibri"/>
                <w:i/>
                <w:iCs/>
                <w:sz w:val="22"/>
                <w:szCs w:val="22"/>
                <w:lang w:eastAsia="en-GB"/>
              </w:rPr>
              <w:t>:</w:t>
            </w:r>
            <w:bookmarkStart w:id="96" w:name="lt_pId167"/>
            <w:bookmarkEnd w:id="95"/>
          </w:p>
          <w:bookmarkEnd w:id="96"/>
          <w:p w14:paraId="07F3DA8A" w14:textId="35D710C9" w:rsidR="00DB7EA6" w:rsidRPr="005E125E" w:rsidRDefault="005E125E" w:rsidP="005E125E">
            <w:pPr>
              <w:pStyle w:val="Tabletext"/>
              <w:tabs>
                <w:tab w:val="left" w:pos="417"/>
              </w:tabs>
              <w:ind w:left="417" w:hanging="417"/>
              <w:rPr>
                <w:rFonts w:cs="Calibri"/>
                <w:b/>
                <w:color w:val="800000"/>
                <w:szCs w:val="22"/>
                <w:lang w:eastAsia="en-GB"/>
              </w:rPr>
            </w:pPr>
            <w:r>
              <w:rPr>
                <w:rFonts w:cs="Calibri"/>
                <w:szCs w:val="22"/>
                <w:lang w:eastAsia="en-GB"/>
              </w:rPr>
              <w:t>–</w:t>
            </w:r>
            <w:r>
              <w:rPr>
                <w:rFonts w:cs="Calibri"/>
                <w:szCs w:val="22"/>
                <w:lang w:eastAsia="en-GB"/>
              </w:rPr>
              <w:tab/>
            </w:r>
            <w:r w:rsidR="00D11653" w:rsidRPr="005E125E">
              <w:rPr>
                <w:rFonts w:cs="Calibri"/>
                <w:szCs w:val="22"/>
                <w:lang w:eastAsia="en-GB"/>
              </w:rPr>
              <w:t xml:space="preserve">Las "finalidades de la Unión" (entendidas como el efecto y el impacto a largo plazo del </w:t>
            </w:r>
            <w:r w:rsidR="00D11653" w:rsidRPr="005E125E">
              <w:rPr>
                <w:lang w:val="es-ES"/>
              </w:rPr>
              <w:t>trabajo</w:t>
            </w:r>
            <w:r w:rsidR="00D11653" w:rsidRPr="005E125E">
              <w:rPr>
                <w:rFonts w:cs="Calibri"/>
                <w:szCs w:val="22"/>
                <w:lang w:eastAsia="en-GB"/>
              </w:rPr>
              <w:t xml:space="preserve"> de la UIT en todos los ámbitos de la sociedad) pueden dar una indicación de los progresos logrados para alcanzar las metas estratégicas de la organización, pero, al mismo tiempo, deben estar vinculadas a los ODS, conforme a lo estipulado en la Resolución 71 (Rev.</w:t>
            </w:r>
            <w:r w:rsidRPr="005E125E">
              <w:rPr>
                <w:rFonts w:cs="Calibri"/>
                <w:szCs w:val="22"/>
                <w:lang w:eastAsia="en-GB"/>
              </w:rPr>
              <w:t> </w:t>
            </w:r>
            <w:r w:rsidR="00D11653" w:rsidRPr="005E125E">
              <w:rPr>
                <w:rFonts w:cs="Calibri"/>
                <w:szCs w:val="22"/>
                <w:lang w:eastAsia="en-GB"/>
              </w:rPr>
              <w:t xml:space="preserve">Dubái, 2018). Esas finalidades tienen por objeto indicar la dirección en la cual la Unión debe orientar su atención y materializar la visión de la UIT de un mundo interconectado. En ese sentido, la sección 3 del Plan Estratégico actual de la UIT debería acortarse significativamente o eliminarse por completo, ya que es demasiado densa y la información pertinente podría incluirse en el apartado dedicado a las finalidades. </w:t>
            </w:r>
          </w:p>
        </w:tc>
        <w:tc>
          <w:tcPr>
            <w:tcW w:w="1566" w:type="dxa"/>
            <w:tcBorders>
              <w:top w:val="single" w:sz="2" w:space="0" w:color="auto"/>
              <w:left w:val="nil"/>
              <w:bottom w:val="nil"/>
              <w:right w:val="nil"/>
            </w:tcBorders>
            <w:shd w:val="clear" w:color="EDEDED" w:fill="EDEDED"/>
            <w:noWrap/>
            <w:vAlign w:val="center"/>
            <w:hideMark/>
          </w:tcPr>
          <w:p w14:paraId="31138AC5" w14:textId="77777777" w:rsidR="00DB7EA6" w:rsidRPr="005E125E" w:rsidRDefault="00D91982" w:rsidP="004260E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4F81BD" w:themeColor="accent1"/>
                <w:sz w:val="22"/>
                <w:szCs w:val="22"/>
                <w:u w:val="single"/>
                <w:lang w:eastAsia="en-GB"/>
              </w:rPr>
            </w:pPr>
            <w:hyperlink r:id="rId27" w:history="1">
              <w:bookmarkStart w:id="97" w:name="lt_pId170"/>
              <w:r w:rsidR="00DB7EA6" w:rsidRPr="005E125E">
                <w:rPr>
                  <w:rFonts w:cs="Calibri"/>
                  <w:color w:val="4F81BD" w:themeColor="accent1"/>
                  <w:sz w:val="22"/>
                  <w:szCs w:val="22"/>
                  <w:u w:val="single"/>
                  <w:lang w:eastAsia="en-GB"/>
                </w:rPr>
                <w:t>CWG-SFP-1/8</w:t>
              </w:r>
              <w:bookmarkEnd w:id="97"/>
            </w:hyperlink>
          </w:p>
        </w:tc>
        <w:tc>
          <w:tcPr>
            <w:tcW w:w="3515" w:type="dxa"/>
            <w:vMerge w:val="restart"/>
            <w:tcBorders>
              <w:top w:val="single" w:sz="2" w:space="0" w:color="auto"/>
              <w:left w:val="nil"/>
              <w:right w:val="nil"/>
            </w:tcBorders>
            <w:shd w:val="clear" w:color="auto" w:fill="FFFFFF" w:themeFill="background1"/>
            <w:noWrap/>
            <w:hideMark/>
          </w:tcPr>
          <w:p w14:paraId="07CC18C8" w14:textId="7F357723" w:rsidR="006A5101" w:rsidRPr="00711250" w:rsidRDefault="005E125E" w:rsidP="00F91A01">
            <w:pPr>
              <w:pStyle w:val="Tabletext"/>
              <w:tabs>
                <w:tab w:val="left" w:pos="390"/>
              </w:tabs>
              <w:ind w:left="390" w:hanging="390"/>
              <w:rPr>
                <w:rFonts w:cs="Calibri"/>
                <w:szCs w:val="22"/>
                <w:lang w:eastAsia="en-GB"/>
              </w:rPr>
            </w:pPr>
            <w:bookmarkStart w:id="98" w:name="lt_pId171"/>
            <w:r w:rsidRPr="00711250">
              <w:rPr>
                <w:rFonts w:cs="Calibri"/>
                <w:szCs w:val="22"/>
                <w:lang w:eastAsia="en-GB"/>
              </w:rPr>
              <w:t>–</w:t>
            </w:r>
            <w:r w:rsidRPr="00711250">
              <w:rPr>
                <w:rFonts w:cs="Calibri"/>
                <w:szCs w:val="22"/>
                <w:lang w:eastAsia="en-GB"/>
              </w:rPr>
              <w:tab/>
            </w:r>
            <w:r w:rsidR="006A5101" w:rsidRPr="00711250">
              <w:rPr>
                <w:rFonts w:cs="Calibri"/>
                <w:szCs w:val="22"/>
                <w:lang w:eastAsia="en-GB"/>
              </w:rPr>
              <w:t xml:space="preserve">Solicitar a la secretaría que aporte </w:t>
            </w:r>
            <w:r w:rsidR="006A5101" w:rsidRPr="00F91A01">
              <w:rPr>
                <w:lang w:val="fr-FR"/>
              </w:rPr>
              <w:t>contribuciones</w:t>
            </w:r>
            <w:r w:rsidR="006A5101" w:rsidRPr="00711250">
              <w:rPr>
                <w:rFonts w:cs="Calibri"/>
                <w:szCs w:val="22"/>
                <w:lang w:eastAsia="en-GB"/>
              </w:rPr>
              <w:t xml:space="preserve"> con miras a la revisión de las finalidades vigentes, conforme a las enseñanzas extraídas, </w:t>
            </w:r>
            <w:r w:rsidR="00862CA6" w:rsidRPr="00711250">
              <w:rPr>
                <w:rFonts w:cs="Calibri"/>
                <w:szCs w:val="22"/>
                <w:lang w:eastAsia="en-GB"/>
              </w:rPr>
              <w:t>considerando de lo siguiente</w:t>
            </w:r>
            <w:r w:rsidR="006A5101" w:rsidRPr="00711250">
              <w:rPr>
                <w:rFonts w:cs="Calibri"/>
                <w:szCs w:val="22"/>
                <w:lang w:eastAsia="en-GB"/>
              </w:rPr>
              <w:t>:</w:t>
            </w:r>
          </w:p>
          <w:p w14:paraId="3BDF72E5" w14:textId="54491B8B" w:rsidR="006A5101" w:rsidRPr="00711250" w:rsidRDefault="00F91A01" w:rsidP="00F91A01">
            <w:pPr>
              <w:pStyle w:val="Tabletext"/>
              <w:tabs>
                <w:tab w:val="left" w:pos="390"/>
              </w:tabs>
              <w:ind w:left="780" w:hanging="390"/>
              <w:rPr>
                <w:rFonts w:cs="Calibri"/>
                <w:szCs w:val="22"/>
                <w:lang w:eastAsia="en-GB"/>
              </w:rPr>
            </w:pPr>
            <w:r w:rsidRPr="00F91A01">
              <w:rPr>
                <w:rFonts w:cs="Calibri"/>
                <w:szCs w:val="22"/>
                <w:lang w:eastAsia="en-GB"/>
              </w:rPr>
              <w:t>•</w:t>
            </w:r>
            <w:r w:rsidR="005E125E" w:rsidRPr="00711250">
              <w:rPr>
                <w:rFonts w:cs="Calibri"/>
                <w:szCs w:val="22"/>
                <w:lang w:eastAsia="en-GB"/>
              </w:rPr>
              <w:tab/>
            </w:r>
            <w:r w:rsidR="006A5101" w:rsidRPr="00711250">
              <w:rPr>
                <w:rFonts w:cs="Calibri"/>
                <w:szCs w:val="22"/>
                <w:lang w:eastAsia="en-GB"/>
              </w:rPr>
              <w:t>las finalidades deben ser específicas, medibles, orientadas a la acción, realistas y limitadas en el tiempo (SMART, por sus siglas en inglés),</w:t>
            </w:r>
          </w:p>
          <w:p w14:paraId="55BF689A" w14:textId="405FAAD9" w:rsidR="00DB7EA6" w:rsidRPr="00711250" w:rsidRDefault="00F91A01" w:rsidP="00F91A01">
            <w:pPr>
              <w:pStyle w:val="Tabletext"/>
              <w:tabs>
                <w:tab w:val="left" w:pos="390"/>
              </w:tabs>
              <w:ind w:left="780" w:hanging="390"/>
              <w:rPr>
                <w:rFonts w:asciiTheme="minorHAnsi" w:hAnsiTheme="minorHAnsi" w:cstheme="minorHAnsi"/>
                <w:szCs w:val="22"/>
                <w:lang w:eastAsia="en-GB"/>
              </w:rPr>
            </w:pPr>
            <w:r w:rsidRPr="00F91A01">
              <w:rPr>
                <w:rFonts w:cs="Calibri"/>
                <w:szCs w:val="22"/>
                <w:lang w:eastAsia="en-GB"/>
              </w:rPr>
              <w:t>•</w:t>
            </w:r>
            <w:r w:rsidR="005E125E" w:rsidRPr="00711250">
              <w:rPr>
                <w:rFonts w:cs="Calibri"/>
                <w:szCs w:val="22"/>
                <w:lang w:eastAsia="en-GB"/>
              </w:rPr>
              <w:tab/>
            </w:r>
            <w:r w:rsidR="006A5101" w:rsidRPr="00711250">
              <w:rPr>
                <w:rFonts w:cs="Calibri"/>
                <w:szCs w:val="22"/>
                <w:lang w:eastAsia="en-GB"/>
              </w:rPr>
              <w:t>las finalidades deben tener en cuenta las diferencias en términos regionales y de desarrollo</w:t>
            </w:r>
            <w:bookmarkEnd w:id="98"/>
            <w:r w:rsidR="005E125E" w:rsidRPr="00711250">
              <w:rPr>
                <w:rFonts w:cs="Calibri"/>
                <w:szCs w:val="22"/>
                <w:lang w:eastAsia="en-GB"/>
              </w:rPr>
              <w:t>.</w:t>
            </w:r>
          </w:p>
        </w:tc>
      </w:tr>
      <w:tr w:rsidR="00DB7EA6" w:rsidRPr="00114ED3" w14:paraId="05B5C7C1" w14:textId="77777777" w:rsidTr="007C1F49">
        <w:trPr>
          <w:trHeight w:val="737"/>
          <w:jc w:val="center"/>
        </w:trPr>
        <w:tc>
          <w:tcPr>
            <w:tcW w:w="1596" w:type="dxa"/>
            <w:tcBorders>
              <w:top w:val="nil"/>
              <w:left w:val="nil"/>
              <w:bottom w:val="nil"/>
              <w:right w:val="nil"/>
            </w:tcBorders>
            <w:shd w:val="clear" w:color="auto" w:fill="auto"/>
            <w:hideMark/>
          </w:tcPr>
          <w:p w14:paraId="65104F84" w14:textId="2233CC0B" w:rsidR="00DB7EA6" w:rsidRPr="005D3F3D" w:rsidRDefault="00D8484D" w:rsidP="005D3F3D">
            <w:pPr>
              <w:pStyle w:val="Tabletext"/>
              <w:ind w:left="-57"/>
              <w:rPr>
                <w:lang w:eastAsia="en-GB"/>
              </w:rPr>
            </w:pPr>
            <w:r w:rsidRPr="005D3F3D">
              <w:rPr>
                <w:lang w:eastAsia="en-GB"/>
              </w:rPr>
              <w:t>Recs. / Conclusiones:</w:t>
            </w:r>
          </w:p>
        </w:tc>
        <w:tc>
          <w:tcPr>
            <w:tcW w:w="7895" w:type="dxa"/>
            <w:tcBorders>
              <w:top w:val="nil"/>
              <w:left w:val="nil"/>
              <w:bottom w:val="nil"/>
              <w:right w:val="nil"/>
            </w:tcBorders>
            <w:shd w:val="clear" w:color="auto" w:fill="auto"/>
            <w:hideMark/>
          </w:tcPr>
          <w:p w14:paraId="49F52A28" w14:textId="77777777" w:rsidR="005E125E" w:rsidRDefault="00FD7693" w:rsidP="00032D57">
            <w:pPr>
              <w:tabs>
                <w:tab w:val="clear" w:pos="567"/>
                <w:tab w:val="clear" w:pos="1134"/>
                <w:tab w:val="clear" w:pos="1701"/>
                <w:tab w:val="clear" w:pos="2268"/>
                <w:tab w:val="clear" w:pos="2835"/>
              </w:tabs>
              <w:overflowPunct/>
              <w:autoSpaceDE/>
              <w:autoSpaceDN/>
              <w:adjustRightInd/>
              <w:spacing w:before="80"/>
              <w:textAlignment w:val="auto"/>
              <w:rPr>
                <w:rFonts w:cs="Calibri"/>
                <w:i/>
                <w:iCs/>
                <w:sz w:val="22"/>
                <w:szCs w:val="22"/>
                <w:lang w:eastAsia="en-GB"/>
              </w:rPr>
            </w:pPr>
            <w:bookmarkStart w:id="99" w:name="lt_pId176"/>
            <w:r w:rsidRPr="005E125E">
              <w:rPr>
                <w:rFonts w:cs="Calibri"/>
                <w:i/>
                <w:iCs/>
                <w:sz w:val="22"/>
                <w:szCs w:val="22"/>
                <w:lang w:eastAsia="en-GB"/>
              </w:rPr>
              <w:t>Posibles opciones</w:t>
            </w:r>
            <w:r w:rsidR="00DB7EA6" w:rsidRPr="005E125E">
              <w:rPr>
                <w:rFonts w:cs="Calibri"/>
                <w:i/>
                <w:iCs/>
                <w:sz w:val="22"/>
                <w:szCs w:val="22"/>
                <w:lang w:eastAsia="en-GB"/>
              </w:rPr>
              <w:t>:</w:t>
            </w:r>
            <w:bookmarkStart w:id="100" w:name="lt_pId177"/>
            <w:bookmarkEnd w:id="99"/>
          </w:p>
          <w:p w14:paraId="449157B2" w14:textId="600E8761" w:rsidR="005E125E" w:rsidRDefault="005E125E" w:rsidP="005E125E">
            <w:pPr>
              <w:pStyle w:val="Tabletext"/>
              <w:tabs>
                <w:tab w:val="left" w:pos="417"/>
              </w:tabs>
              <w:ind w:left="417" w:hanging="417"/>
              <w:rPr>
                <w:rFonts w:cs="Calibri"/>
                <w:szCs w:val="22"/>
                <w:lang w:eastAsia="en-GB"/>
              </w:rPr>
            </w:pPr>
            <w:r>
              <w:rPr>
                <w:rFonts w:cs="Calibri"/>
                <w:szCs w:val="22"/>
                <w:lang w:eastAsia="en-GB"/>
              </w:rPr>
              <w:t>–</w:t>
            </w:r>
            <w:r>
              <w:rPr>
                <w:rFonts w:cs="Calibri"/>
                <w:szCs w:val="22"/>
                <w:lang w:eastAsia="en-GB"/>
              </w:rPr>
              <w:tab/>
            </w:r>
            <w:r w:rsidR="00D11653" w:rsidRPr="005E125E">
              <w:rPr>
                <w:rFonts w:cs="Calibri"/>
                <w:szCs w:val="22"/>
                <w:lang w:eastAsia="en-GB"/>
              </w:rPr>
              <w:t>Sólo se pueden añadir nuevas finalidades si existen una o varias fuentes de datos fiables o si se ha previsto empezar a medirlos en un futuro próximo</w:t>
            </w:r>
            <w:bookmarkStart w:id="101" w:name="lt_pId178"/>
            <w:bookmarkEnd w:id="100"/>
            <w:r>
              <w:rPr>
                <w:rFonts w:cs="Calibri"/>
                <w:szCs w:val="22"/>
                <w:lang w:eastAsia="en-GB"/>
              </w:rPr>
              <w:t>.</w:t>
            </w:r>
          </w:p>
          <w:p w14:paraId="79018345" w14:textId="286C6FBA" w:rsidR="005E125E" w:rsidRDefault="005E125E" w:rsidP="005E125E">
            <w:pPr>
              <w:pStyle w:val="Tabletext"/>
              <w:tabs>
                <w:tab w:val="left" w:pos="417"/>
              </w:tabs>
              <w:ind w:left="417" w:hanging="417"/>
              <w:rPr>
                <w:rFonts w:cs="Calibri"/>
                <w:szCs w:val="22"/>
                <w:lang w:eastAsia="en-GB"/>
              </w:rPr>
            </w:pPr>
            <w:r>
              <w:rPr>
                <w:rFonts w:cs="Calibri"/>
                <w:szCs w:val="22"/>
                <w:lang w:eastAsia="en-GB"/>
              </w:rPr>
              <w:t>–</w:t>
            </w:r>
            <w:r>
              <w:rPr>
                <w:rFonts w:cs="Calibri"/>
                <w:szCs w:val="22"/>
                <w:lang w:eastAsia="en-GB"/>
              </w:rPr>
              <w:tab/>
            </w:r>
            <w:r w:rsidR="00D11653" w:rsidRPr="005E125E">
              <w:rPr>
                <w:rFonts w:cs="Calibri"/>
                <w:szCs w:val="22"/>
                <w:lang w:eastAsia="en-GB"/>
              </w:rPr>
              <w:t>L</w:t>
            </w:r>
            <w:r w:rsidR="000A7EB6" w:rsidRPr="005E125E">
              <w:rPr>
                <w:rFonts w:cs="Calibri"/>
                <w:szCs w:val="22"/>
                <w:lang w:eastAsia="en-GB"/>
              </w:rPr>
              <w:t>a</w:t>
            </w:r>
            <w:r w:rsidR="00D11653" w:rsidRPr="005E125E">
              <w:rPr>
                <w:rFonts w:cs="Calibri"/>
                <w:szCs w:val="22"/>
                <w:lang w:eastAsia="en-GB"/>
              </w:rPr>
              <w:t xml:space="preserve">s </w:t>
            </w:r>
            <w:r w:rsidR="000A7EB6" w:rsidRPr="005E125E">
              <w:rPr>
                <w:rFonts w:cs="Calibri"/>
                <w:szCs w:val="22"/>
                <w:lang w:eastAsia="en-GB"/>
              </w:rPr>
              <w:t xml:space="preserve">finalidades </w:t>
            </w:r>
            <w:r w:rsidR="00D11653" w:rsidRPr="005E125E">
              <w:rPr>
                <w:rFonts w:cs="Calibri"/>
                <w:szCs w:val="22"/>
                <w:lang w:eastAsia="en-GB"/>
              </w:rPr>
              <w:t>han de ser SMART (para ser significativos)</w:t>
            </w:r>
            <w:bookmarkStart w:id="102" w:name="lt_pId179"/>
            <w:bookmarkEnd w:id="101"/>
            <w:r>
              <w:rPr>
                <w:rFonts w:cs="Calibri"/>
                <w:szCs w:val="22"/>
                <w:lang w:eastAsia="en-GB"/>
              </w:rPr>
              <w:t>.</w:t>
            </w:r>
          </w:p>
          <w:p w14:paraId="0D38E4A3" w14:textId="034DAB31" w:rsidR="005E125E" w:rsidRDefault="005E125E" w:rsidP="005E125E">
            <w:pPr>
              <w:pStyle w:val="Tabletext"/>
              <w:tabs>
                <w:tab w:val="left" w:pos="417"/>
              </w:tabs>
              <w:ind w:left="417" w:hanging="417"/>
              <w:rPr>
                <w:rFonts w:cs="Calibri"/>
                <w:szCs w:val="22"/>
                <w:lang w:eastAsia="en-GB"/>
              </w:rPr>
            </w:pPr>
            <w:r>
              <w:rPr>
                <w:rFonts w:cs="Calibri"/>
                <w:szCs w:val="22"/>
                <w:lang w:eastAsia="en-GB"/>
              </w:rPr>
              <w:t>–</w:t>
            </w:r>
            <w:r>
              <w:rPr>
                <w:rFonts w:cs="Calibri"/>
                <w:szCs w:val="22"/>
                <w:lang w:eastAsia="en-GB"/>
              </w:rPr>
              <w:tab/>
            </w:r>
            <w:r w:rsidR="000A7EB6" w:rsidRPr="005E125E">
              <w:rPr>
                <w:rFonts w:cs="Calibri"/>
                <w:szCs w:val="22"/>
                <w:lang w:eastAsia="en-GB"/>
              </w:rPr>
              <w:t>Al establecer</w:t>
            </w:r>
            <w:r w:rsidR="00D11653" w:rsidRPr="005E125E">
              <w:rPr>
                <w:rFonts w:cs="Calibri"/>
                <w:szCs w:val="22"/>
                <w:lang w:eastAsia="en-GB"/>
              </w:rPr>
              <w:t xml:space="preserve"> en este momento (mediados de 2021)</w:t>
            </w:r>
            <w:r w:rsidR="000A7EB6" w:rsidRPr="005E125E">
              <w:rPr>
                <w:rFonts w:cs="Calibri"/>
                <w:szCs w:val="22"/>
                <w:lang w:eastAsia="en-GB"/>
              </w:rPr>
              <w:t xml:space="preserve"> </w:t>
            </w:r>
            <w:r w:rsidR="00D11653" w:rsidRPr="005E125E">
              <w:rPr>
                <w:rFonts w:cs="Calibri"/>
                <w:szCs w:val="22"/>
                <w:lang w:eastAsia="en-GB"/>
              </w:rPr>
              <w:t>finalidades para 2024-2027, estas deberían ser realistas (no muy conservadoras, pero tampoco inalcanzables)</w:t>
            </w:r>
            <w:bookmarkStart w:id="103" w:name="lt_pId180"/>
            <w:bookmarkEnd w:id="102"/>
            <w:r>
              <w:rPr>
                <w:rFonts w:cs="Calibri"/>
                <w:szCs w:val="22"/>
                <w:lang w:eastAsia="en-GB"/>
              </w:rPr>
              <w:t>.</w:t>
            </w:r>
          </w:p>
          <w:p w14:paraId="66DD10B1" w14:textId="775497BA" w:rsidR="005E125E" w:rsidRDefault="005E125E" w:rsidP="005E125E">
            <w:pPr>
              <w:pStyle w:val="Tabletext"/>
              <w:tabs>
                <w:tab w:val="left" w:pos="417"/>
              </w:tabs>
              <w:ind w:left="417" w:hanging="417"/>
              <w:rPr>
                <w:rFonts w:cs="Calibri"/>
                <w:szCs w:val="22"/>
                <w:lang w:eastAsia="en-GB"/>
              </w:rPr>
            </w:pPr>
            <w:r>
              <w:rPr>
                <w:rFonts w:cs="Calibri"/>
                <w:szCs w:val="22"/>
                <w:lang w:eastAsia="en-GB"/>
              </w:rPr>
              <w:t>–</w:t>
            </w:r>
            <w:r>
              <w:rPr>
                <w:rFonts w:cs="Calibri"/>
                <w:szCs w:val="22"/>
                <w:lang w:eastAsia="en-GB"/>
              </w:rPr>
              <w:tab/>
            </w:r>
            <w:r w:rsidR="00D11653" w:rsidRPr="005E125E">
              <w:rPr>
                <w:rFonts w:cs="Calibri"/>
                <w:szCs w:val="22"/>
                <w:lang w:eastAsia="en-GB"/>
              </w:rPr>
              <w:t>Para las finalidades conviene utilizar datos de la UIT (encuesta sobre reglamentación STAT, etc.) o de fuentes reconocidas</w:t>
            </w:r>
            <w:bookmarkStart w:id="104" w:name="lt_pId181"/>
            <w:bookmarkEnd w:id="103"/>
            <w:r>
              <w:rPr>
                <w:rFonts w:cs="Calibri"/>
                <w:szCs w:val="22"/>
                <w:lang w:eastAsia="en-GB"/>
              </w:rPr>
              <w:t>.</w:t>
            </w:r>
          </w:p>
          <w:p w14:paraId="114DD135" w14:textId="77C262C8" w:rsidR="005E125E" w:rsidRDefault="005E125E" w:rsidP="005E125E">
            <w:pPr>
              <w:pStyle w:val="Tabletext"/>
              <w:tabs>
                <w:tab w:val="left" w:pos="417"/>
              </w:tabs>
              <w:ind w:left="417" w:hanging="417"/>
              <w:rPr>
                <w:rFonts w:cs="Calibri"/>
                <w:szCs w:val="22"/>
                <w:lang w:eastAsia="en-GB"/>
              </w:rPr>
            </w:pPr>
            <w:r>
              <w:rPr>
                <w:rFonts w:cs="Calibri"/>
                <w:szCs w:val="22"/>
                <w:lang w:eastAsia="en-GB"/>
              </w:rPr>
              <w:t>–</w:t>
            </w:r>
            <w:r>
              <w:rPr>
                <w:rFonts w:cs="Calibri"/>
                <w:szCs w:val="22"/>
                <w:lang w:eastAsia="en-GB"/>
              </w:rPr>
              <w:tab/>
            </w:r>
            <w:r w:rsidR="00D11653" w:rsidRPr="005E125E">
              <w:rPr>
                <w:rFonts w:cs="Calibri"/>
                <w:szCs w:val="22"/>
                <w:lang w:eastAsia="en-GB"/>
              </w:rPr>
              <w:t>Para las finalidades conviene tener en cuenta las diferencias en términos regionales y de desarrollo; en general, conviene evitar los promedios mundiales</w:t>
            </w:r>
            <w:bookmarkStart w:id="105" w:name="lt_pId182"/>
            <w:bookmarkEnd w:id="104"/>
            <w:r>
              <w:rPr>
                <w:rFonts w:cs="Calibri"/>
                <w:szCs w:val="22"/>
                <w:lang w:eastAsia="en-GB"/>
              </w:rPr>
              <w:t>.</w:t>
            </w:r>
          </w:p>
          <w:p w14:paraId="0EDA5F0B" w14:textId="5BE84DBD" w:rsidR="005E125E" w:rsidRDefault="005E125E" w:rsidP="005E125E">
            <w:pPr>
              <w:pStyle w:val="Tabletext"/>
              <w:tabs>
                <w:tab w:val="left" w:pos="417"/>
              </w:tabs>
              <w:ind w:left="417" w:hanging="417"/>
              <w:rPr>
                <w:rFonts w:cs="Calibri"/>
                <w:b/>
                <w:color w:val="800000"/>
                <w:szCs w:val="22"/>
                <w:lang w:eastAsia="en-GB"/>
              </w:rPr>
            </w:pPr>
            <w:r>
              <w:rPr>
                <w:rFonts w:cs="Calibri"/>
                <w:szCs w:val="22"/>
                <w:lang w:eastAsia="en-GB"/>
              </w:rPr>
              <w:t>–</w:t>
            </w:r>
            <w:r>
              <w:rPr>
                <w:rFonts w:cs="Calibri"/>
                <w:szCs w:val="22"/>
                <w:lang w:eastAsia="en-GB"/>
              </w:rPr>
              <w:tab/>
            </w:r>
            <w:r w:rsidR="00D11653" w:rsidRPr="005E125E">
              <w:rPr>
                <w:rFonts w:cs="Calibri"/>
                <w:szCs w:val="22"/>
                <w:lang w:eastAsia="en-GB"/>
              </w:rPr>
              <w:t>Es necesario que las finalidades y los IFR reflejen los principios de la GBR, lo que significa que, en última instancia, deberían priorizar la eficacia, en lugar de centrarse en los resultados y/o las medidas conexas</w:t>
            </w:r>
            <w:r w:rsidR="00DB7EA6" w:rsidRPr="005E125E">
              <w:rPr>
                <w:rFonts w:cs="Calibri"/>
                <w:szCs w:val="22"/>
                <w:lang w:eastAsia="en-GB"/>
              </w:rPr>
              <w:t>.</w:t>
            </w:r>
            <w:bookmarkEnd w:id="105"/>
            <w:r w:rsidR="00DB7EA6" w:rsidRPr="005E125E">
              <w:rPr>
                <w:rFonts w:cs="Calibri"/>
                <w:b/>
                <w:color w:val="800000"/>
                <w:szCs w:val="22"/>
                <w:lang w:eastAsia="en-GB"/>
              </w:rPr>
              <w:t xml:space="preserve"> </w:t>
            </w:r>
            <w:bookmarkStart w:id="106" w:name="lt_pId183"/>
          </w:p>
          <w:p w14:paraId="2326A042" w14:textId="7AAE615E" w:rsidR="00DB7EA6" w:rsidRPr="005E125E" w:rsidRDefault="000A7EB6" w:rsidP="00711250">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E125E">
              <w:rPr>
                <w:rFonts w:cs="Calibri"/>
                <w:i/>
                <w:iCs/>
                <w:sz w:val="22"/>
                <w:szCs w:val="22"/>
                <w:lang w:eastAsia="en-GB"/>
              </w:rPr>
              <w:t>(véase también el tema de la presencia regional infra y la recomendación de establecer finalidades a nivel regional)</w:t>
            </w:r>
            <w:bookmarkEnd w:id="106"/>
          </w:p>
        </w:tc>
        <w:tc>
          <w:tcPr>
            <w:tcW w:w="1566" w:type="dxa"/>
            <w:tcBorders>
              <w:top w:val="nil"/>
              <w:left w:val="nil"/>
              <w:bottom w:val="nil"/>
              <w:right w:val="nil"/>
            </w:tcBorders>
            <w:shd w:val="clear" w:color="auto" w:fill="auto"/>
            <w:noWrap/>
            <w:vAlign w:val="center"/>
            <w:hideMark/>
          </w:tcPr>
          <w:p w14:paraId="1BDEB847" w14:textId="77777777" w:rsidR="00DB7EA6" w:rsidRPr="005E125E" w:rsidRDefault="00D91982" w:rsidP="004260E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4F81BD" w:themeColor="accent1"/>
                <w:sz w:val="22"/>
                <w:szCs w:val="22"/>
                <w:u w:val="single"/>
                <w:lang w:eastAsia="en-GB"/>
              </w:rPr>
            </w:pPr>
            <w:hyperlink r:id="rId28" w:history="1">
              <w:bookmarkStart w:id="107" w:name="lt_pId184"/>
              <w:r w:rsidR="00DB7EA6" w:rsidRPr="005E125E">
                <w:rPr>
                  <w:rFonts w:cs="Calibri"/>
                  <w:color w:val="4F81BD" w:themeColor="accent1"/>
                  <w:sz w:val="22"/>
                  <w:szCs w:val="22"/>
                  <w:u w:val="single"/>
                  <w:lang w:eastAsia="en-GB"/>
                </w:rPr>
                <w:t>CWG-SFP-1/4</w:t>
              </w:r>
              <w:bookmarkEnd w:id="107"/>
            </w:hyperlink>
          </w:p>
        </w:tc>
        <w:tc>
          <w:tcPr>
            <w:tcW w:w="3515" w:type="dxa"/>
            <w:vMerge/>
            <w:tcBorders>
              <w:left w:val="nil"/>
              <w:bottom w:val="nil"/>
              <w:right w:val="nil"/>
            </w:tcBorders>
            <w:shd w:val="clear" w:color="auto" w:fill="FFFFFF" w:themeFill="background1"/>
            <w:noWrap/>
            <w:hideMark/>
          </w:tcPr>
          <w:p w14:paraId="4A504D64" w14:textId="77777777" w:rsidR="00DB7EA6" w:rsidRPr="00114ED3" w:rsidRDefault="00DB7EA6" w:rsidP="004260EB">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p>
        </w:tc>
      </w:tr>
    </w:tbl>
    <w:p w14:paraId="0CDC7E81" w14:textId="77777777" w:rsidR="007C1F49" w:rsidRPr="007C1F49" w:rsidRDefault="007C1F49">
      <w:pPr>
        <w:rPr>
          <w:sz w:val="6"/>
          <w:szCs w:val="6"/>
        </w:rPr>
      </w:pPr>
    </w:p>
    <w:tbl>
      <w:tblPr>
        <w:tblW w:w="14572" w:type="dxa"/>
        <w:jc w:val="center"/>
        <w:tblLayout w:type="fixed"/>
        <w:tblLook w:val="04A0" w:firstRow="1" w:lastRow="0" w:firstColumn="1" w:lastColumn="0" w:noHBand="0" w:noVBand="1"/>
      </w:tblPr>
      <w:tblGrid>
        <w:gridCol w:w="1523"/>
        <w:gridCol w:w="8038"/>
        <w:gridCol w:w="1496"/>
        <w:gridCol w:w="3515"/>
      </w:tblGrid>
      <w:tr w:rsidR="007C1F49" w:rsidRPr="00630D73" w14:paraId="7DCFC423" w14:textId="77777777" w:rsidTr="007C1F49">
        <w:trPr>
          <w:trHeight w:val="555"/>
          <w:tblHeader/>
          <w:jc w:val="center"/>
        </w:trPr>
        <w:tc>
          <w:tcPr>
            <w:tcW w:w="14572" w:type="dxa"/>
            <w:gridSpan w:val="4"/>
            <w:tcBorders>
              <w:top w:val="single" w:sz="8" w:space="0" w:color="FFFFFF"/>
              <w:left w:val="nil"/>
              <w:bottom w:val="single" w:sz="8" w:space="0" w:color="FFFFFF"/>
              <w:right w:val="nil"/>
            </w:tcBorders>
            <w:shd w:val="clear" w:color="auto" w:fill="8DB3E2" w:themeFill="text2" w:themeFillTint="66"/>
            <w:vAlign w:val="center"/>
          </w:tcPr>
          <w:p w14:paraId="0FEC784C" w14:textId="77777777" w:rsidR="007C1F49" w:rsidRPr="00630D73" w:rsidRDefault="007C1F49" w:rsidP="008813E6">
            <w:pPr>
              <w:pStyle w:val="Tablehead"/>
              <w:jc w:val="left"/>
              <w:rPr>
                <w:rFonts w:cs="Calibri"/>
                <w:szCs w:val="22"/>
                <w:lang w:eastAsia="en-GB"/>
              </w:rPr>
            </w:pPr>
            <w:r w:rsidRPr="00630D73">
              <w:rPr>
                <w:rFonts w:cs="Calibri"/>
                <w:szCs w:val="22"/>
                <w:lang w:eastAsia="en-GB"/>
              </w:rPr>
              <w:t>7</w:t>
            </w:r>
            <w:r w:rsidRPr="00630D73">
              <w:rPr>
                <w:rFonts w:cs="Calibri"/>
                <w:szCs w:val="22"/>
                <w:lang w:eastAsia="en-GB"/>
              </w:rPr>
              <w:tab/>
              <w:t>Presencia regional</w:t>
            </w:r>
          </w:p>
        </w:tc>
      </w:tr>
      <w:tr w:rsidR="00862CA6" w:rsidRPr="005128D4" w14:paraId="5E38918B" w14:textId="77777777" w:rsidTr="007C1F49">
        <w:trPr>
          <w:trHeight w:val="555"/>
          <w:tblHeader/>
          <w:jc w:val="center"/>
        </w:trPr>
        <w:tc>
          <w:tcPr>
            <w:tcW w:w="1523" w:type="dxa"/>
            <w:tcBorders>
              <w:top w:val="single" w:sz="8" w:space="0" w:color="FFFFFF"/>
              <w:left w:val="nil"/>
              <w:bottom w:val="single" w:sz="2" w:space="0" w:color="auto"/>
              <w:right w:val="nil"/>
            </w:tcBorders>
            <w:shd w:val="clear" w:color="auto" w:fill="auto"/>
            <w:vAlign w:val="center"/>
            <w:hideMark/>
          </w:tcPr>
          <w:p w14:paraId="7A81DB5D" w14:textId="6BB405CB" w:rsidR="00862CA6" w:rsidRPr="005128D4" w:rsidRDefault="00862CA6" w:rsidP="005128D4">
            <w:pPr>
              <w:pStyle w:val="Tabletext"/>
              <w:tabs>
                <w:tab w:val="left" w:pos="380"/>
              </w:tabs>
              <w:jc w:val="center"/>
              <w:rPr>
                <w:rFonts w:cs="Calibri"/>
                <w:b/>
                <w:bCs/>
                <w:szCs w:val="22"/>
                <w:lang w:eastAsia="en-GB"/>
              </w:rPr>
            </w:pPr>
            <w:r w:rsidRPr="005128D4">
              <w:rPr>
                <w:rFonts w:cs="Calibri"/>
                <w:b/>
                <w:bCs/>
                <w:szCs w:val="22"/>
                <w:lang w:eastAsia="en-GB"/>
              </w:rPr>
              <w:t>Origen de las observaciones</w:t>
            </w:r>
          </w:p>
        </w:tc>
        <w:tc>
          <w:tcPr>
            <w:tcW w:w="8038" w:type="dxa"/>
            <w:tcBorders>
              <w:top w:val="single" w:sz="8" w:space="0" w:color="FFFFFF"/>
              <w:left w:val="nil"/>
              <w:bottom w:val="single" w:sz="2" w:space="0" w:color="auto"/>
              <w:right w:val="nil"/>
            </w:tcBorders>
            <w:shd w:val="clear" w:color="auto" w:fill="auto"/>
            <w:vAlign w:val="center"/>
            <w:hideMark/>
          </w:tcPr>
          <w:p w14:paraId="62C97445" w14:textId="1E83434C" w:rsidR="00862CA6" w:rsidRPr="005128D4" w:rsidRDefault="00862CA6" w:rsidP="005128D4">
            <w:pPr>
              <w:pStyle w:val="Tabletext"/>
              <w:tabs>
                <w:tab w:val="left" w:pos="380"/>
              </w:tabs>
              <w:jc w:val="center"/>
              <w:rPr>
                <w:rFonts w:cs="Calibri"/>
                <w:b/>
                <w:bCs/>
                <w:szCs w:val="22"/>
                <w:lang w:eastAsia="en-GB"/>
              </w:rPr>
            </w:pPr>
            <w:r w:rsidRPr="005128D4">
              <w:rPr>
                <w:rFonts w:cs="Calibri"/>
                <w:b/>
                <w:bCs/>
                <w:szCs w:val="22"/>
                <w:lang w:eastAsia="en-GB"/>
              </w:rPr>
              <w:t>Observaciones</w:t>
            </w:r>
          </w:p>
        </w:tc>
        <w:tc>
          <w:tcPr>
            <w:tcW w:w="1496" w:type="dxa"/>
            <w:tcBorders>
              <w:top w:val="single" w:sz="8" w:space="0" w:color="FFFFFF"/>
              <w:left w:val="nil"/>
              <w:bottom w:val="single" w:sz="2" w:space="0" w:color="auto"/>
              <w:right w:val="nil"/>
            </w:tcBorders>
            <w:shd w:val="clear" w:color="auto" w:fill="auto"/>
            <w:vAlign w:val="center"/>
            <w:hideMark/>
          </w:tcPr>
          <w:p w14:paraId="657E7413" w14:textId="54E1320E" w:rsidR="00862CA6" w:rsidRPr="005128D4" w:rsidRDefault="00862CA6" w:rsidP="005128D4">
            <w:pPr>
              <w:pStyle w:val="Tabletext"/>
              <w:tabs>
                <w:tab w:val="left" w:pos="380"/>
              </w:tabs>
              <w:jc w:val="center"/>
              <w:rPr>
                <w:rFonts w:cs="Calibri"/>
                <w:b/>
                <w:bCs/>
                <w:szCs w:val="22"/>
                <w:lang w:eastAsia="en-GB"/>
              </w:rPr>
            </w:pPr>
            <w:r w:rsidRPr="005128D4">
              <w:rPr>
                <w:rFonts w:cs="Calibri"/>
                <w:b/>
                <w:bCs/>
                <w:szCs w:val="22"/>
                <w:lang w:eastAsia="en-GB"/>
              </w:rPr>
              <w:t xml:space="preserve">Doc. del </w:t>
            </w:r>
            <w:r w:rsidR="005128D4">
              <w:rPr>
                <w:rFonts w:cs="Calibri"/>
                <w:b/>
                <w:bCs/>
                <w:szCs w:val="22"/>
                <w:lang w:eastAsia="en-GB"/>
              </w:rPr>
              <w:br/>
            </w:r>
            <w:r w:rsidRPr="005128D4">
              <w:rPr>
                <w:rFonts w:cs="Calibri"/>
                <w:b/>
                <w:bCs/>
                <w:szCs w:val="22"/>
                <w:lang w:eastAsia="en-GB"/>
              </w:rPr>
              <w:t>GTC-PEF</w:t>
            </w:r>
          </w:p>
        </w:tc>
        <w:tc>
          <w:tcPr>
            <w:tcW w:w="3515" w:type="dxa"/>
            <w:tcBorders>
              <w:top w:val="single" w:sz="8" w:space="0" w:color="FFFFFF"/>
              <w:left w:val="nil"/>
              <w:bottom w:val="single" w:sz="2" w:space="0" w:color="auto"/>
              <w:right w:val="nil"/>
            </w:tcBorders>
            <w:shd w:val="clear" w:color="auto" w:fill="auto"/>
            <w:vAlign w:val="center"/>
            <w:hideMark/>
          </w:tcPr>
          <w:p w14:paraId="3F37E427" w14:textId="5E675D19" w:rsidR="00862CA6" w:rsidRPr="005128D4" w:rsidRDefault="00862CA6" w:rsidP="005128D4">
            <w:pPr>
              <w:pStyle w:val="Tabletext"/>
              <w:tabs>
                <w:tab w:val="left" w:pos="380"/>
              </w:tabs>
              <w:jc w:val="center"/>
              <w:rPr>
                <w:rFonts w:cs="Calibri"/>
                <w:b/>
                <w:bCs/>
                <w:szCs w:val="22"/>
                <w:lang w:eastAsia="en-GB"/>
              </w:rPr>
            </w:pPr>
            <w:r w:rsidRPr="005128D4">
              <w:rPr>
                <w:rFonts w:cs="Calibri"/>
                <w:b/>
                <w:bCs/>
                <w:szCs w:val="22"/>
                <w:lang w:eastAsia="en-GB"/>
              </w:rPr>
              <w:t>Orientaciones del GTC-PEF</w:t>
            </w:r>
          </w:p>
        </w:tc>
      </w:tr>
      <w:tr w:rsidR="00DB7EA6" w:rsidRPr="00114ED3" w14:paraId="3EF9BC73" w14:textId="77777777" w:rsidTr="007C1F49">
        <w:trPr>
          <w:trHeight w:val="2715"/>
          <w:jc w:val="center"/>
        </w:trPr>
        <w:tc>
          <w:tcPr>
            <w:tcW w:w="1523" w:type="dxa"/>
            <w:tcBorders>
              <w:top w:val="single" w:sz="2" w:space="0" w:color="auto"/>
              <w:left w:val="nil"/>
              <w:bottom w:val="nil"/>
              <w:right w:val="nil"/>
            </w:tcBorders>
            <w:shd w:val="clear" w:color="EDEDED" w:fill="EDEDED"/>
            <w:hideMark/>
          </w:tcPr>
          <w:p w14:paraId="3B34787C" w14:textId="6885C9CA" w:rsidR="00DB7EA6" w:rsidRPr="005128D4" w:rsidRDefault="00DC3D30" w:rsidP="005128D4">
            <w:pPr>
              <w:pStyle w:val="Tabletext"/>
              <w:ind w:left="-57"/>
              <w:rPr>
                <w:lang w:eastAsia="en-GB"/>
              </w:rPr>
            </w:pPr>
            <w:r w:rsidRPr="005128D4">
              <w:rPr>
                <w:lang w:eastAsia="en-GB"/>
              </w:rPr>
              <w:t>Contribuciones de Estados Miembros:</w:t>
            </w:r>
          </w:p>
        </w:tc>
        <w:tc>
          <w:tcPr>
            <w:tcW w:w="8038" w:type="dxa"/>
            <w:tcBorders>
              <w:top w:val="single" w:sz="2" w:space="0" w:color="auto"/>
              <w:left w:val="nil"/>
              <w:bottom w:val="nil"/>
              <w:right w:val="nil"/>
            </w:tcBorders>
            <w:shd w:val="clear" w:color="EDEDED" w:fill="EDEDED"/>
            <w:hideMark/>
          </w:tcPr>
          <w:p w14:paraId="01AB50D1" w14:textId="77777777" w:rsidR="005128D4" w:rsidRPr="005128D4" w:rsidRDefault="00AA6CCE" w:rsidP="00032D57">
            <w:pPr>
              <w:tabs>
                <w:tab w:val="clear" w:pos="567"/>
                <w:tab w:val="clear" w:pos="1134"/>
                <w:tab w:val="clear" w:pos="1701"/>
                <w:tab w:val="clear" w:pos="2268"/>
                <w:tab w:val="clear" w:pos="2835"/>
              </w:tabs>
              <w:overflowPunct/>
              <w:autoSpaceDE/>
              <w:autoSpaceDN/>
              <w:adjustRightInd/>
              <w:spacing w:before="80"/>
              <w:textAlignment w:val="auto"/>
              <w:rPr>
                <w:rFonts w:cs="Calibri"/>
                <w:i/>
                <w:iCs/>
                <w:sz w:val="22"/>
                <w:szCs w:val="22"/>
                <w:lang w:eastAsia="en-GB"/>
              </w:rPr>
            </w:pPr>
            <w:bookmarkStart w:id="108" w:name="lt_pId191"/>
            <w:r w:rsidRPr="005128D4">
              <w:rPr>
                <w:rFonts w:cs="Calibri"/>
                <w:i/>
                <w:iCs/>
                <w:sz w:val="22"/>
                <w:szCs w:val="22"/>
                <w:lang w:eastAsia="en-GB"/>
              </w:rPr>
              <w:t>Contribución de la Federación de Rusia</w:t>
            </w:r>
            <w:r w:rsidR="00DB7EA6" w:rsidRPr="005128D4">
              <w:rPr>
                <w:rFonts w:cs="Calibri"/>
                <w:i/>
                <w:iCs/>
                <w:sz w:val="22"/>
                <w:szCs w:val="22"/>
                <w:lang w:eastAsia="en-GB"/>
              </w:rPr>
              <w:t>:</w:t>
            </w:r>
            <w:bookmarkStart w:id="109" w:name="lt_pId192"/>
            <w:bookmarkEnd w:id="108"/>
          </w:p>
          <w:bookmarkEnd w:id="109"/>
          <w:p w14:paraId="66FEF19B" w14:textId="30C10882" w:rsidR="00DB7EA6" w:rsidRPr="005128D4" w:rsidRDefault="005128D4" w:rsidP="005128D4">
            <w:pPr>
              <w:pStyle w:val="Tabletext"/>
              <w:tabs>
                <w:tab w:val="left" w:pos="417"/>
              </w:tabs>
              <w:ind w:left="417" w:hanging="417"/>
              <w:rPr>
                <w:rFonts w:cs="Calibri"/>
                <w:b/>
                <w:color w:val="800000"/>
                <w:szCs w:val="22"/>
                <w:lang w:eastAsia="en-GB"/>
              </w:rPr>
            </w:pPr>
            <w:r w:rsidRPr="005128D4">
              <w:rPr>
                <w:rFonts w:cs="Calibri"/>
                <w:szCs w:val="22"/>
                <w:lang w:eastAsia="en-GB"/>
              </w:rPr>
              <w:t>–</w:t>
            </w:r>
            <w:r w:rsidRPr="005128D4">
              <w:rPr>
                <w:rFonts w:cs="Calibri"/>
                <w:szCs w:val="22"/>
                <w:lang w:eastAsia="en-GB"/>
              </w:rPr>
              <w:tab/>
            </w:r>
            <w:r w:rsidR="009948D4" w:rsidRPr="00032D57">
              <w:rPr>
                <w:rFonts w:cs="Calibri"/>
                <w:spacing w:val="-4"/>
                <w:szCs w:val="22"/>
                <w:lang w:eastAsia="en-GB"/>
              </w:rPr>
              <w:t xml:space="preserve">El Plan Estratégico de la UIT podría enriquecerse si reflejara mejor el papel de la presencia regional como una de las funciones más importantes de la Unión. La presencia regional ayuda a evaluar con mayor precisión los problemas y necesidades de las regiones y facilita su resolución. Los objetivos y ámbitos principales de estas actividades deberían incluirse en el Plan Estratégico como parte del concepto de "Una UIT" y no solo en el marco de los objetivos de los Sectores. A tal efecto es necesario, en primer lugar, resolver la cuestión de la modificación de la subordinación administrativa de las oficinas regionales/zonales. </w:t>
            </w:r>
            <w:bookmarkStart w:id="110" w:name="lt_pId196"/>
            <w:r w:rsidR="009948D4" w:rsidRPr="00032D57">
              <w:rPr>
                <w:rFonts w:cs="Calibri"/>
                <w:spacing w:val="-4"/>
                <w:szCs w:val="22"/>
                <w:lang w:eastAsia="en-GB"/>
              </w:rPr>
              <w:t>Al elaborar los puntos correspondientes del plan, conviene tener en cuenta la</w:t>
            </w:r>
            <w:r w:rsidR="004A03D7" w:rsidRPr="00032D57">
              <w:rPr>
                <w:rFonts w:cs="Calibri"/>
                <w:spacing w:val="-4"/>
                <w:szCs w:val="22"/>
                <w:lang w:eastAsia="en-GB"/>
              </w:rPr>
              <w:t>s</w:t>
            </w:r>
            <w:r w:rsidR="009948D4" w:rsidRPr="00032D57">
              <w:rPr>
                <w:rFonts w:cs="Calibri"/>
                <w:spacing w:val="-4"/>
                <w:szCs w:val="22"/>
                <w:lang w:eastAsia="en-GB"/>
              </w:rPr>
              <w:t xml:space="preserve"> opini</w:t>
            </w:r>
            <w:r w:rsidR="004A03D7" w:rsidRPr="00032D57">
              <w:rPr>
                <w:rFonts w:cs="Calibri"/>
                <w:spacing w:val="-4"/>
                <w:szCs w:val="22"/>
                <w:lang w:eastAsia="en-GB"/>
              </w:rPr>
              <w:t>ones</w:t>
            </w:r>
            <w:r w:rsidR="009948D4" w:rsidRPr="00032D57">
              <w:rPr>
                <w:rFonts w:cs="Calibri"/>
                <w:spacing w:val="-4"/>
                <w:szCs w:val="22"/>
                <w:lang w:eastAsia="en-GB"/>
              </w:rPr>
              <w:t xml:space="preserve"> de las organizaciones regionales de telecomunicaciones (véanse las Resoluciones 58 (Rev. Busán, 2014) y 25 (Rev. Dubái, 2018) de la Conferencia de Plenipotenciarios)</w:t>
            </w:r>
            <w:r w:rsidR="00DB7EA6" w:rsidRPr="00032D57">
              <w:rPr>
                <w:rFonts w:cs="Calibri"/>
                <w:spacing w:val="-4"/>
                <w:szCs w:val="22"/>
                <w:lang w:eastAsia="en-GB"/>
              </w:rPr>
              <w:t>.</w:t>
            </w:r>
            <w:bookmarkEnd w:id="110"/>
            <w:r w:rsidR="00DB7EA6" w:rsidRPr="005128D4">
              <w:rPr>
                <w:rFonts w:cs="Calibri"/>
                <w:b/>
                <w:color w:val="800000"/>
                <w:szCs w:val="22"/>
                <w:lang w:eastAsia="en-GB"/>
              </w:rPr>
              <w:t xml:space="preserve"> </w:t>
            </w:r>
          </w:p>
        </w:tc>
        <w:tc>
          <w:tcPr>
            <w:tcW w:w="1496" w:type="dxa"/>
            <w:tcBorders>
              <w:top w:val="single" w:sz="2" w:space="0" w:color="auto"/>
              <w:left w:val="nil"/>
              <w:bottom w:val="nil"/>
              <w:right w:val="nil"/>
            </w:tcBorders>
            <w:shd w:val="clear" w:color="EDEDED" w:fill="EDEDED"/>
            <w:noWrap/>
            <w:vAlign w:val="center"/>
            <w:hideMark/>
          </w:tcPr>
          <w:p w14:paraId="5D87A8DD" w14:textId="77777777" w:rsidR="00DB7EA6" w:rsidRPr="005128D4" w:rsidRDefault="00D91982" w:rsidP="004260E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548DD4" w:themeColor="text2" w:themeTint="99"/>
                <w:sz w:val="22"/>
                <w:szCs w:val="22"/>
                <w:u w:val="single"/>
                <w:lang w:eastAsia="en-GB"/>
              </w:rPr>
            </w:pPr>
            <w:hyperlink r:id="rId29" w:history="1">
              <w:bookmarkStart w:id="111" w:name="lt_pId197"/>
              <w:r w:rsidR="00DB7EA6" w:rsidRPr="005128D4">
                <w:rPr>
                  <w:rFonts w:cs="Calibri"/>
                  <w:color w:val="548DD4" w:themeColor="text2" w:themeTint="99"/>
                  <w:sz w:val="22"/>
                  <w:szCs w:val="22"/>
                  <w:u w:val="single"/>
                  <w:lang w:eastAsia="en-GB"/>
                </w:rPr>
                <w:t>CWG-SFP-1/8</w:t>
              </w:r>
              <w:bookmarkEnd w:id="111"/>
            </w:hyperlink>
          </w:p>
        </w:tc>
        <w:tc>
          <w:tcPr>
            <w:tcW w:w="3515" w:type="dxa"/>
            <w:vMerge w:val="restart"/>
            <w:tcBorders>
              <w:top w:val="single" w:sz="2" w:space="0" w:color="auto"/>
              <w:left w:val="nil"/>
              <w:right w:val="nil"/>
            </w:tcBorders>
            <w:shd w:val="clear" w:color="auto" w:fill="FFFFFF" w:themeFill="background1"/>
            <w:noWrap/>
            <w:hideMark/>
          </w:tcPr>
          <w:p w14:paraId="489275B9" w14:textId="08FD9841" w:rsidR="000A7EB6" w:rsidRPr="00630D73" w:rsidRDefault="005128D4" w:rsidP="005128D4">
            <w:pPr>
              <w:pStyle w:val="Tabletext"/>
              <w:ind w:left="313" w:hanging="313"/>
              <w:rPr>
                <w:rFonts w:cs="Calibri"/>
                <w:szCs w:val="22"/>
                <w:lang w:eastAsia="en-GB"/>
              </w:rPr>
            </w:pPr>
            <w:bookmarkStart w:id="112" w:name="lt_pId198"/>
            <w:r w:rsidRPr="00630D73">
              <w:rPr>
                <w:rFonts w:cs="Calibri"/>
                <w:szCs w:val="22"/>
                <w:lang w:eastAsia="en-GB"/>
              </w:rPr>
              <w:t>–</w:t>
            </w:r>
            <w:r w:rsidRPr="00630D73">
              <w:rPr>
                <w:rFonts w:cs="Calibri"/>
                <w:szCs w:val="22"/>
                <w:lang w:eastAsia="en-GB"/>
              </w:rPr>
              <w:tab/>
            </w:r>
            <w:r w:rsidR="000A7EB6" w:rsidRPr="00630D73">
              <w:rPr>
                <w:rFonts w:cs="Calibri"/>
                <w:szCs w:val="22"/>
                <w:lang w:eastAsia="en-GB"/>
              </w:rPr>
              <w:t>Acordar que el papel de la presencia regional de la UIT debe reflejarse en el nuevo plan estratégico</w:t>
            </w:r>
            <w:r w:rsidRPr="00630D73">
              <w:rPr>
                <w:rFonts w:cs="Calibri"/>
                <w:szCs w:val="22"/>
                <w:lang w:eastAsia="en-GB"/>
              </w:rPr>
              <w:t>.</w:t>
            </w:r>
          </w:p>
          <w:p w14:paraId="6679DD8B" w14:textId="03C69F5A" w:rsidR="00BF10F5" w:rsidRPr="00630D73" w:rsidRDefault="005128D4" w:rsidP="005128D4">
            <w:pPr>
              <w:pStyle w:val="Tabletext"/>
              <w:ind w:left="313" w:hanging="313"/>
              <w:rPr>
                <w:rFonts w:ascii="Times New Roman" w:hAnsi="Times New Roman"/>
                <w:szCs w:val="22"/>
                <w:lang w:eastAsia="en-GB"/>
              </w:rPr>
            </w:pPr>
            <w:r w:rsidRPr="00630D73">
              <w:rPr>
                <w:rFonts w:cs="Calibri"/>
                <w:szCs w:val="22"/>
                <w:lang w:eastAsia="en-GB"/>
              </w:rPr>
              <w:t>–</w:t>
            </w:r>
            <w:r w:rsidRPr="00630D73">
              <w:rPr>
                <w:rFonts w:cs="Calibri"/>
                <w:szCs w:val="22"/>
                <w:lang w:eastAsia="en-GB"/>
              </w:rPr>
              <w:tab/>
            </w:r>
            <w:r w:rsidR="000A7EB6" w:rsidRPr="00630D73">
              <w:rPr>
                <w:rFonts w:cs="Calibri"/>
                <w:szCs w:val="22"/>
                <w:lang w:eastAsia="en-GB"/>
              </w:rPr>
              <w:t xml:space="preserve">Dar seguimiento a las discusiones en curso entre los Estados Miembros e </w:t>
            </w:r>
            <w:r w:rsidR="00BF10F5" w:rsidRPr="00630D73">
              <w:rPr>
                <w:rFonts w:cs="Calibri"/>
                <w:szCs w:val="22"/>
                <w:lang w:eastAsia="en-GB"/>
              </w:rPr>
              <w:t>integrar</w:t>
            </w:r>
            <w:r w:rsidR="000A7EB6" w:rsidRPr="00630D73">
              <w:rPr>
                <w:rFonts w:cs="Calibri"/>
                <w:szCs w:val="22"/>
                <w:lang w:eastAsia="en-GB"/>
              </w:rPr>
              <w:t xml:space="preserve"> las conclusiones sobre el papel de la presencia regional de la UIT en el nuevo plan estratégico, teniendo </w:t>
            </w:r>
            <w:r w:rsidR="00BF10F5" w:rsidRPr="00630D73">
              <w:rPr>
                <w:rFonts w:cs="Calibri"/>
                <w:szCs w:val="22"/>
                <w:lang w:eastAsia="en-GB"/>
              </w:rPr>
              <w:t>presentes</w:t>
            </w:r>
            <w:r w:rsidR="000A7EB6" w:rsidRPr="00630D73">
              <w:rPr>
                <w:rFonts w:cs="Calibri"/>
                <w:szCs w:val="22"/>
                <w:lang w:eastAsia="en-GB"/>
              </w:rPr>
              <w:t xml:space="preserve"> la Constitución y el Convenio de la UIT</w:t>
            </w:r>
            <w:bookmarkEnd w:id="112"/>
            <w:r w:rsidRPr="00630D73">
              <w:rPr>
                <w:rFonts w:cs="Calibri"/>
                <w:szCs w:val="22"/>
                <w:lang w:eastAsia="en-GB"/>
              </w:rPr>
              <w:t>.</w:t>
            </w:r>
          </w:p>
          <w:p w14:paraId="38661328" w14:textId="6C9AD7AA" w:rsidR="00DB7EA6" w:rsidRPr="00114ED3" w:rsidRDefault="00DB7EA6" w:rsidP="000A7EB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DB7EA6" w:rsidRPr="00114ED3" w14:paraId="3D19C0FD" w14:textId="77777777" w:rsidTr="007C1F49">
        <w:trPr>
          <w:trHeight w:val="1883"/>
          <w:jc w:val="center"/>
        </w:trPr>
        <w:tc>
          <w:tcPr>
            <w:tcW w:w="1523" w:type="dxa"/>
            <w:tcBorders>
              <w:top w:val="nil"/>
              <w:left w:val="nil"/>
              <w:bottom w:val="nil"/>
              <w:right w:val="nil"/>
            </w:tcBorders>
            <w:shd w:val="clear" w:color="auto" w:fill="auto"/>
            <w:hideMark/>
          </w:tcPr>
          <w:p w14:paraId="0DBF563B" w14:textId="6EC34FD0" w:rsidR="00DB7EA6" w:rsidRPr="005128D4" w:rsidRDefault="00D8484D" w:rsidP="005128D4">
            <w:pPr>
              <w:pStyle w:val="Tabletext"/>
              <w:ind w:left="-57"/>
              <w:rPr>
                <w:lang w:eastAsia="en-GB"/>
              </w:rPr>
            </w:pPr>
            <w:r w:rsidRPr="005128D4">
              <w:rPr>
                <w:lang w:eastAsia="en-GB"/>
              </w:rPr>
              <w:t>Consulta en línea:</w:t>
            </w:r>
          </w:p>
        </w:tc>
        <w:tc>
          <w:tcPr>
            <w:tcW w:w="8038" w:type="dxa"/>
            <w:tcBorders>
              <w:top w:val="nil"/>
              <w:left w:val="nil"/>
              <w:bottom w:val="nil"/>
              <w:right w:val="nil"/>
            </w:tcBorders>
            <w:shd w:val="clear" w:color="auto" w:fill="auto"/>
            <w:hideMark/>
          </w:tcPr>
          <w:p w14:paraId="009385AC" w14:textId="77777777" w:rsidR="007C1F49" w:rsidRDefault="00FC0C4A" w:rsidP="00032D57">
            <w:pPr>
              <w:tabs>
                <w:tab w:val="clear" w:pos="567"/>
                <w:tab w:val="clear" w:pos="1134"/>
                <w:tab w:val="clear" w:pos="1701"/>
                <w:tab w:val="clear" w:pos="2268"/>
                <w:tab w:val="clear" w:pos="2835"/>
              </w:tabs>
              <w:overflowPunct/>
              <w:autoSpaceDE/>
              <w:autoSpaceDN/>
              <w:adjustRightInd/>
              <w:spacing w:before="80"/>
              <w:textAlignment w:val="auto"/>
              <w:rPr>
                <w:rFonts w:cs="Calibri"/>
                <w:sz w:val="22"/>
                <w:szCs w:val="22"/>
                <w:lang w:eastAsia="en-GB"/>
              </w:rPr>
            </w:pPr>
            <w:bookmarkStart w:id="113" w:name="lt_pId201"/>
            <w:r w:rsidRPr="005128D4">
              <w:rPr>
                <w:rFonts w:cs="Calibri"/>
                <w:sz w:val="22"/>
                <w:szCs w:val="22"/>
                <w:lang w:eastAsia="en-GB"/>
              </w:rPr>
              <w:t>Conclusiones generales</w:t>
            </w:r>
            <w:r w:rsidR="00DB7EA6" w:rsidRPr="005128D4">
              <w:rPr>
                <w:rFonts w:cs="Calibri"/>
                <w:sz w:val="22"/>
                <w:szCs w:val="22"/>
                <w:lang w:eastAsia="en-GB"/>
              </w:rPr>
              <w:t>:</w:t>
            </w:r>
            <w:bookmarkStart w:id="114" w:name="lt_pId202"/>
            <w:bookmarkEnd w:id="113"/>
          </w:p>
          <w:p w14:paraId="56BDB7DA" w14:textId="454D4526" w:rsidR="007C1F49" w:rsidRDefault="007C1F49" w:rsidP="00032D57">
            <w:pPr>
              <w:pStyle w:val="Tabletext"/>
              <w:tabs>
                <w:tab w:val="left" w:pos="417"/>
              </w:tabs>
              <w:spacing w:after="40"/>
              <w:ind w:left="420" w:hanging="420"/>
              <w:rPr>
                <w:rFonts w:cs="Calibri"/>
                <w:b/>
                <w:bCs/>
                <w:szCs w:val="22"/>
                <w:lang w:eastAsia="en-GB"/>
              </w:rPr>
            </w:pPr>
            <w:r>
              <w:rPr>
                <w:rFonts w:cs="Calibri"/>
                <w:szCs w:val="22"/>
                <w:lang w:eastAsia="en-GB"/>
              </w:rPr>
              <w:t>–</w:t>
            </w:r>
            <w:r>
              <w:rPr>
                <w:rFonts w:cs="Calibri"/>
                <w:szCs w:val="22"/>
                <w:lang w:eastAsia="en-GB"/>
              </w:rPr>
              <w:tab/>
            </w:r>
            <w:r w:rsidR="00FC0C4A" w:rsidRPr="005128D4">
              <w:rPr>
                <w:rFonts w:cs="Calibri"/>
                <w:szCs w:val="22"/>
                <w:lang w:eastAsia="en-GB"/>
              </w:rPr>
              <w:t xml:space="preserve">El </w:t>
            </w:r>
            <w:r w:rsidR="00FC0C4A" w:rsidRPr="005128D4">
              <w:rPr>
                <w:rFonts w:cs="Calibri"/>
                <w:b/>
                <w:bCs/>
                <w:szCs w:val="22"/>
                <w:lang w:eastAsia="en-GB"/>
              </w:rPr>
              <w:t>examen continuo tras el informe de PwC</w:t>
            </w:r>
            <w:r w:rsidR="00FC0C4A" w:rsidRPr="005128D4">
              <w:rPr>
                <w:rFonts w:cs="Calibri"/>
                <w:szCs w:val="22"/>
                <w:lang w:eastAsia="en-GB"/>
              </w:rPr>
              <w:t xml:space="preserve"> </w:t>
            </w:r>
            <w:r w:rsidR="00FC0C4A" w:rsidRPr="005128D4">
              <w:rPr>
                <w:rFonts w:cs="Calibri"/>
                <w:b/>
                <w:bCs/>
                <w:szCs w:val="22"/>
                <w:lang w:eastAsia="en-GB"/>
              </w:rPr>
              <w:t>aún se está estudiando</w:t>
            </w:r>
            <w:bookmarkStart w:id="115" w:name="lt_pId203"/>
            <w:bookmarkEnd w:id="114"/>
            <w:r>
              <w:rPr>
                <w:rFonts w:cs="Calibri"/>
                <w:b/>
                <w:bCs/>
                <w:szCs w:val="22"/>
                <w:lang w:eastAsia="en-GB"/>
              </w:rPr>
              <w:t>.</w:t>
            </w:r>
          </w:p>
          <w:p w14:paraId="09F2D165" w14:textId="4062AABB" w:rsidR="007C1F49" w:rsidRDefault="007C1F49" w:rsidP="00032D57">
            <w:pPr>
              <w:pStyle w:val="Tabletext"/>
              <w:tabs>
                <w:tab w:val="left" w:pos="417"/>
              </w:tabs>
              <w:spacing w:after="40"/>
              <w:ind w:left="420" w:hanging="420"/>
              <w:rPr>
                <w:rFonts w:cs="Calibri"/>
                <w:szCs w:val="22"/>
                <w:lang w:eastAsia="en-GB"/>
              </w:rPr>
            </w:pPr>
            <w:r>
              <w:rPr>
                <w:rFonts w:cs="Calibri"/>
                <w:szCs w:val="22"/>
                <w:lang w:eastAsia="en-GB"/>
              </w:rPr>
              <w:t>–</w:t>
            </w:r>
            <w:r>
              <w:rPr>
                <w:rFonts w:cs="Calibri"/>
                <w:szCs w:val="22"/>
                <w:lang w:eastAsia="en-GB"/>
              </w:rPr>
              <w:tab/>
            </w:r>
            <w:r w:rsidR="001D0307" w:rsidRPr="005128D4">
              <w:rPr>
                <w:rFonts w:cs="Calibri"/>
                <w:szCs w:val="22"/>
                <w:lang w:eastAsia="en-GB"/>
              </w:rPr>
              <w:t xml:space="preserve">Es preciso </w:t>
            </w:r>
            <w:r w:rsidR="001D0307" w:rsidRPr="005128D4">
              <w:rPr>
                <w:rFonts w:cs="Calibri"/>
                <w:b/>
                <w:bCs/>
                <w:szCs w:val="22"/>
                <w:lang w:eastAsia="en-GB"/>
              </w:rPr>
              <w:t xml:space="preserve">aclarar la función </w:t>
            </w:r>
            <w:r w:rsidR="001D0307" w:rsidRPr="005128D4">
              <w:rPr>
                <w:rFonts w:cs="Calibri"/>
                <w:szCs w:val="22"/>
                <w:lang w:eastAsia="en-GB"/>
              </w:rPr>
              <w:t>y el</w:t>
            </w:r>
            <w:r w:rsidR="001D0307" w:rsidRPr="005128D4">
              <w:rPr>
                <w:rFonts w:cs="Calibri"/>
                <w:b/>
                <w:bCs/>
                <w:szCs w:val="22"/>
                <w:lang w:eastAsia="en-GB"/>
              </w:rPr>
              <w:t xml:space="preserve"> mandato</w:t>
            </w:r>
            <w:r w:rsidR="001D0307" w:rsidRPr="005128D4">
              <w:rPr>
                <w:rFonts w:cs="Calibri"/>
                <w:szCs w:val="22"/>
                <w:lang w:eastAsia="en-GB"/>
              </w:rPr>
              <w:t xml:space="preserve"> de las oficinas regionales</w:t>
            </w:r>
            <w:bookmarkStart w:id="116" w:name="lt_pId204"/>
            <w:bookmarkEnd w:id="115"/>
            <w:r>
              <w:rPr>
                <w:rFonts w:cs="Calibri"/>
                <w:szCs w:val="22"/>
                <w:lang w:eastAsia="en-GB"/>
              </w:rPr>
              <w:t>.</w:t>
            </w:r>
          </w:p>
          <w:p w14:paraId="068301A4" w14:textId="243C9F4D" w:rsidR="007C1F49" w:rsidRDefault="007C1F49" w:rsidP="00032D57">
            <w:pPr>
              <w:pStyle w:val="Tabletext"/>
              <w:tabs>
                <w:tab w:val="left" w:pos="417"/>
              </w:tabs>
              <w:spacing w:after="40"/>
              <w:ind w:left="420" w:hanging="420"/>
              <w:rPr>
                <w:rFonts w:cs="Calibri"/>
                <w:b/>
                <w:bCs/>
                <w:szCs w:val="22"/>
                <w:lang w:eastAsia="en-GB"/>
              </w:rPr>
            </w:pPr>
            <w:r>
              <w:rPr>
                <w:rFonts w:cs="Calibri"/>
                <w:szCs w:val="22"/>
                <w:lang w:eastAsia="en-GB"/>
              </w:rPr>
              <w:t>–</w:t>
            </w:r>
            <w:r>
              <w:rPr>
                <w:rFonts w:cs="Calibri"/>
                <w:szCs w:val="22"/>
                <w:lang w:eastAsia="en-GB"/>
              </w:rPr>
              <w:tab/>
            </w:r>
            <w:r w:rsidR="001D0307" w:rsidRPr="005128D4">
              <w:rPr>
                <w:rFonts w:cs="Calibri"/>
                <w:szCs w:val="22"/>
                <w:lang w:eastAsia="en-GB"/>
              </w:rPr>
              <w:t xml:space="preserve">Es necesario que presencia regional se </w:t>
            </w:r>
            <w:r w:rsidR="001D0307" w:rsidRPr="005128D4">
              <w:rPr>
                <w:rFonts w:cs="Calibri"/>
                <w:b/>
                <w:bCs/>
                <w:szCs w:val="22"/>
                <w:lang w:eastAsia="en-GB"/>
              </w:rPr>
              <w:t>corresponda con las metas estratégicas generales</w:t>
            </w:r>
            <w:bookmarkStart w:id="117" w:name="lt_pId205"/>
            <w:bookmarkEnd w:id="116"/>
            <w:r>
              <w:rPr>
                <w:rFonts w:cs="Calibri"/>
                <w:b/>
                <w:bCs/>
                <w:szCs w:val="22"/>
                <w:lang w:eastAsia="en-GB"/>
              </w:rPr>
              <w:t>.</w:t>
            </w:r>
          </w:p>
          <w:p w14:paraId="54B9F1E6" w14:textId="44B81EDF" w:rsidR="007C1F49" w:rsidRDefault="007C1F49" w:rsidP="00032D57">
            <w:pPr>
              <w:pStyle w:val="Tabletext"/>
              <w:tabs>
                <w:tab w:val="left" w:pos="417"/>
              </w:tabs>
              <w:spacing w:after="40"/>
              <w:ind w:left="420" w:hanging="420"/>
              <w:rPr>
                <w:rFonts w:cs="Calibri"/>
                <w:b/>
                <w:bCs/>
                <w:szCs w:val="22"/>
                <w:lang w:eastAsia="en-GB"/>
              </w:rPr>
            </w:pPr>
            <w:r>
              <w:rPr>
                <w:rFonts w:cs="Calibri"/>
                <w:szCs w:val="22"/>
                <w:lang w:eastAsia="en-GB"/>
              </w:rPr>
              <w:t>–</w:t>
            </w:r>
            <w:r>
              <w:rPr>
                <w:rFonts w:cs="Calibri"/>
                <w:szCs w:val="22"/>
                <w:lang w:eastAsia="en-GB"/>
              </w:rPr>
              <w:tab/>
            </w:r>
            <w:r w:rsidR="000A7EB6" w:rsidRPr="005128D4">
              <w:rPr>
                <w:rFonts w:cs="Calibri"/>
                <w:szCs w:val="22"/>
                <w:lang w:eastAsia="en-GB"/>
              </w:rPr>
              <w:t>En important</w:t>
            </w:r>
            <w:r w:rsidR="001D0307" w:rsidRPr="005128D4">
              <w:rPr>
                <w:rFonts w:cs="Calibri"/>
                <w:szCs w:val="22"/>
                <w:lang w:eastAsia="en-GB"/>
              </w:rPr>
              <w:t xml:space="preserve">e </w:t>
            </w:r>
            <w:r w:rsidR="001D0307" w:rsidRPr="005128D4">
              <w:rPr>
                <w:rFonts w:cs="Calibri"/>
                <w:b/>
                <w:bCs/>
                <w:szCs w:val="22"/>
                <w:lang w:eastAsia="en-GB"/>
              </w:rPr>
              <w:t>colaborar con las Naciones Unidas a escala regional</w:t>
            </w:r>
            <w:bookmarkStart w:id="118" w:name="lt_pId206"/>
            <w:bookmarkEnd w:id="117"/>
            <w:r>
              <w:rPr>
                <w:rFonts w:cs="Calibri"/>
                <w:b/>
                <w:bCs/>
                <w:szCs w:val="22"/>
                <w:lang w:eastAsia="en-GB"/>
              </w:rPr>
              <w:t>.</w:t>
            </w:r>
          </w:p>
          <w:p w14:paraId="7E618DCD" w14:textId="668518F1" w:rsidR="007C1F49" w:rsidRDefault="007C1F49" w:rsidP="00032D57">
            <w:pPr>
              <w:pStyle w:val="Tabletext"/>
              <w:tabs>
                <w:tab w:val="left" w:pos="417"/>
              </w:tabs>
              <w:spacing w:after="40"/>
              <w:ind w:left="420" w:hanging="420"/>
              <w:rPr>
                <w:rFonts w:cs="Calibri"/>
                <w:b/>
                <w:bCs/>
                <w:szCs w:val="22"/>
                <w:lang w:eastAsia="en-GB"/>
              </w:rPr>
            </w:pPr>
            <w:r>
              <w:rPr>
                <w:rFonts w:cs="Calibri"/>
                <w:szCs w:val="22"/>
                <w:lang w:eastAsia="en-GB"/>
              </w:rPr>
              <w:t>–</w:t>
            </w:r>
            <w:r>
              <w:rPr>
                <w:rFonts w:cs="Calibri"/>
                <w:szCs w:val="22"/>
                <w:lang w:eastAsia="en-GB"/>
              </w:rPr>
              <w:tab/>
            </w:r>
            <w:r w:rsidR="001D0307" w:rsidRPr="005128D4">
              <w:rPr>
                <w:rFonts w:cs="Calibri"/>
                <w:szCs w:val="22"/>
                <w:lang w:eastAsia="en-GB"/>
              </w:rPr>
              <w:t xml:space="preserve">Algunas propuestas consideran necesario </w:t>
            </w:r>
            <w:r w:rsidR="001D0307" w:rsidRPr="005128D4">
              <w:rPr>
                <w:rFonts w:cs="Calibri"/>
                <w:b/>
                <w:bCs/>
                <w:szCs w:val="22"/>
                <w:lang w:eastAsia="en-GB"/>
              </w:rPr>
              <w:t>reforzarlas con recursos financieros</w:t>
            </w:r>
            <w:bookmarkStart w:id="119" w:name="lt_pId207"/>
            <w:bookmarkEnd w:id="118"/>
            <w:r>
              <w:rPr>
                <w:rFonts w:cs="Calibri"/>
                <w:b/>
                <w:bCs/>
                <w:szCs w:val="22"/>
                <w:lang w:eastAsia="en-GB"/>
              </w:rPr>
              <w:t>.</w:t>
            </w:r>
          </w:p>
          <w:p w14:paraId="28B2B60F" w14:textId="77777777" w:rsidR="00DB7EA6" w:rsidRDefault="007C1F49" w:rsidP="00032D57">
            <w:pPr>
              <w:pStyle w:val="Tabletext"/>
              <w:tabs>
                <w:tab w:val="left" w:pos="417"/>
              </w:tabs>
              <w:spacing w:after="40"/>
              <w:ind w:left="420" w:hanging="420"/>
              <w:rPr>
                <w:rFonts w:cs="Calibri"/>
                <w:spacing w:val="-6"/>
                <w:szCs w:val="22"/>
                <w:lang w:eastAsia="en-GB"/>
              </w:rPr>
            </w:pPr>
            <w:r>
              <w:rPr>
                <w:rFonts w:cs="Calibri"/>
                <w:szCs w:val="22"/>
                <w:lang w:eastAsia="en-GB"/>
              </w:rPr>
              <w:t>–</w:t>
            </w:r>
            <w:r>
              <w:rPr>
                <w:rFonts w:cs="Calibri"/>
                <w:szCs w:val="22"/>
                <w:lang w:eastAsia="en-GB"/>
              </w:rPr>
              <w:tab/>
            </w:r>
            <w:r w:rsidR="001D0307" w:rsidRPr="00032D57">
              <w:rPr>
                <w:rFonts w:cs="Calibri"/>
                <w:spacing w:val="-6"/>
                <w:szCs w:val="22"/>
                <w:lang w:eastAsia="en-GB"/>
              </w:rPr>
              <w:t xml:space="preserve">Otras propuestas consideran necesario </w:t>
            </w:r>
            <w:r w:rsidR="001D0307" w:rsidRPr="00032D57">
              <w:rPr>
                <w:rFonts w:cs="Calibri"/>
                <w:b/>
                <w:bCs/>
                <w:spacing w:val="-6"/>
                <w:szCs w:val="22"/>
                <w:lang w:eastAsia="en-GB"/>
              </w:rPr>
              <w:t>otorgar mayor autoridad a la Secretaría General, no sólo al Sector de Desarrollo</w:t>
            </w:r>
            <w:r w:rsidR="001D0307" w:rsidRPr="00032D57">
              <w:rPr>
                <w:rFonts w:cs="Calibri"/>
                <w:spacing w:val="-6"/>
                <w:szCs w:val="22"/>
                <w:lang w:eastAsia="en-GB"/>
              </w:rPr>
              <w:t xml:space="preserve"> / o </w:t>
            </w:r>
            <w:r w:rsidR="001D0307" w:rsidRPr="00032D57">
              <w:rPr>
                <w:rFonts w:cs="Calibri"/>
                <w:b/>
                <w:bCs/>
                <w:spacing w:val="-6"/>
                <w:szCs w:val="22"/>
                <w:lang w:eastAsia="en-GB"/>
              </w:rPr>
              <w:t>que las oficinas regionales/zonales dependan de la Secretaría General</w:t>
            </w:r>
            <w:r w:rsidR="001D0307" w:rsidRPr="00032D57">
              <w:rPr>
                <w:rFonts w:cs="Calibri"/>
                <w:spacing w:val="-6"/>
                <w:szCs w:val="22"/>
                <w:lang w:eastAsia="en-GB"/>
              </w:rPr>
              <w:t xml:space="preserve"> (de conformidad con el concepto de “Una</w:t>
            </w:r>
            <w:r w:rsidR="00F91A01" w:rsidRPr="00032D57">
              <w:rPr>
                <w:rFonts w:cs="Calibri"/>
                <w:spacing w:val="-6"/>
                <w:szCs w:val="22"/>
                <w:lang w:eastAsia="en-GB"/>
              </w:rPr>
              <w:t> </w:t>
            </w:r>
            <w:r w:rsidR="001D0307" w:rsidRPr="00032D57">
              <w:rPr>
                <w:rFonts w:cs="Calibri"/>
                <w:spacing w:val="-6"/>
                <w:szCs w:val="22"/>
                <w:lang w:eastAsia="en-GB"/>
              </w:rPr>
              <w:t>UIT”)</w:t>
            </w:r>
            <w:bookmarkEnd w:id="119"/>
            <w:r w:rsidRPr="00032D57">
              <w:rPr>
                <w:rFonts w:cs="Calibri"/>
                <w:spacing w:val="-6"/>
                <w:szCs w:val="22"/>
                <w:lang w:eastAsia="en-GB"/>
              </w:rPr>
              <w:t>.</w:t>
            </w:r>
          </w:p>
          <w:p w14:paraId="005BCFBB" w14:textId="6CFEB25F" w:rsidR="00032D57" w:rsidRPr="005128D4" w:rsidRDefault="00032D57" w:rsidP="00032D57">
            <w:pPr>
              <w:pStyle w:val="Tabletext"/>
              <w:tabs>
                <w:tab w:val="left" w:pos="417"/>
              </w:tabs>
              <w:spacing w:before="40" w:after="40"/>
              <w:ind w:left="420" w:hanging="420"/>
              <w:rPr>
                <w:rFonts w:cs="Calibri"/>
                <w:b/>
                <w:color w:val="800000"/>
                <w:szCs w:val="22"/>
                <w:lang w:eastAsia="en-GB"/>
              </w:rPr>
            </w:pPr>
          </w:p>
        </w:tc>
        <w:tc>
          <w:tcPr>
            <w:tcW w:w="1496" w:type="dxa"/>
            <w:tcBorders>
              <w:top w:val="nil"/>
              <w:left w:val="nil"/>
              <w:bottom w:val="nil"/>
              <w:right w:val="nil"/>
            </w:tcBorders>
            <w:shd w:val="clear" w:color="auto" w:fill="auto"/>
            <w:noWrap/>
            <w:vAlign w:val="center"/>
            <w:hideMark/>
          </w:tcPr>
          <w:p w14:paraId="5D3CF88C" w14:textId="77777777" w:rsidR="00DB7EA6" w:rsidRPr="005128D4" w:rsidRDefault="00D91982" w:rsidP="007C1F49">
            <w:pPr>
              <w:tabs>
                <w:tab w:val="clear" w:pos="567"/>
                <w:tab w:val="clear" w:pos="1134"/>
                <w:tab w:val="clear" w:pos="1701"/>
                <w:tab w:val="clear" w:pos="2268"/>
                <w:tab w:val="clear" w:pos="2835"/>
              </w:tabs>
              <w:overflowPunct/>
              <w:autoSpaceDE/>
              <w:autoSpaceDN/>
              <w:adjustRightInd/>
              <w:spacing w:before="0"/>
              <w:ind w:left="-57"/>
              <w:jc w:val="center"/>
              <w:textAlignment w:val="auto"/>
              <w:rPr>
                <w:rFonts w:cs="Calibri"/>
                <w:color w:val="548DD4" w:themeColor="text2" w:themeTint="99"/>
                <w:sz w:val="22"/>
                <w:szCs w:val="22"/>
                <w:u w:val="single"/>
                <w:lang w:eastAsia="en-GB"/>
              </w:rPr>
            </w:pPr>
            <w:hyperlink r:id="rId30" w:history="1">
              <w:bookmarkStart w:id="120" w:name="lt_pId208"/>
              <w:r w:rsidR="00DB7EA6" w:rsidRPr="005128D4">
                <w:rPr>
                  <w:rFonts w:cs="Calibri"/>
                  <w:color w:val="548DD4" w:themeColor="text2" w:themeTint="99"/>
                  <w:sz w:val="22"/>
                  <w:szCs w:val="22"/>
                  <w:u w:val="single"/>
                  <w:lang w:eastAsia="en-GB"/>
                </w:rPr>
                <w:t>CWG-SFP-1/11</w:t>
              </w:r>
              <w:bookmarkEnd w:id="120"/>
            </w:hyperlink>
          </w:p>
        </w:tc>
        <w:tc>
          <w:tcPr>
            <w:tcW w:w="3515" w:type="dxa"/>
            <w:vMerge/>
            <w:tcBorders>
              <w:left w:val="nil"/>
              <w:right w:val="nil"/>
            </w:tcBorders>
            <w:shd w:val="clear" w:color="auto" w:fill="FFFFFF" w:themeFill="background1"/>
            <w:noWrap/>
            <w:hideMark/>
          </w:tcPr>
          <w:p w14:paraId="0717F4DF" w14:textId="77777777" w:rsidR="00DB7EA6" w:rsidRPr="00114ED3" w:rsidRDefault="00DB7EA6" w:rsidP="004260E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DB7EA6" w:rsidRPr="00114ED3" w14:paraId="36583233" w14:textId="77777777" w:rsidTr="007C1F49">
        <w:trPr>
          <w:trHeight w:val="89"/>
          <w:jc w:val="center"/>
        </w:trPr>
        <w:tc>
          <w:tcPr>
            <w:tcW w:w="1523" w:type="dxa"/>
            <w:tcBorders>
              <w:top w:val="nil"/>
              <w:left w:val="nil"/>
              <w:bottom w:val="nil"/>
              <w:right w:val="nil"/>
            </w:tcBorders>
            <w:shd w:val="clear" w:color="EDEDED" w:fill="EDEDED"/>
            <w:hideMark/>
          </w:tcPr>
          <w:p w14:paraId="200D89AC" w14:textId="387CEEA4" w:rsidR="00DB7EA6" w:rsidRPr="005128D4" w:rsidRDefault="00D8484D" w:rsidP="00630D73">
            <w:pPr>
              <w:pStyle w:val="Tabletext"/>
              <w:keepNext/>
              <w:keepLines/>
              <w:ind w:left="-57"/>
              <w:rPr>
                <w:lang w:eastAsia="en-GB"/>
              </w:rPr>
            </w:pPr>
            <w:r w:rsidRPr="005128D4">
              <w:rPr>
                <w:lang w:eastAsia="en-GB"/>
              </w:rPr>
              <w:lastRenderedPageBreak/>
              <w:t>Recs. / Conclusiones:</w:t>
            </w:r>
          </w:p>
        </w:tc>
        <w:tc>
          <w:tcPr>
            <w:tcW w:w="8038" w:type="dxa"/>
            <w:tcBorders>
              <w:top w:val="nil"/>
              <w:left w:val="nil"/>
              <w:bottom w:val="nil"/>
              <w:right w:val="nil"/>
            </w:tcBorders>
            <w:shd w:val="clear" w:color="EDEDED" w:fill="EDEDED"/>
            <w:hideMark/>
          </w:tcPr>
          <w:p w14:paraId="2B1FA540" w14:textId="781346E3" w:rsidR="00032D57" w:rsidRDefault="00032D57" w:rsidP="00BB4C0E">
            <w:pPr>
              <w:pStyle w:val="Tabletext"/>
              <w:ind w:left="636" w:hanging="636"/>
              <w:rPr>
                <w:rFonts w:cs="Calibri"/>
                <w:b/>
                <w:bCs/>
                <w:szCs w:val="22"/>
                <w:lang w:eastAsia="en-GB"/>
              </w:rPr>
            </w:pPr>
            <w:bookmarkStart w:id="121" w:name="lt_pId211"/>
            <w:r w:rsidRPr="005128D4">
              <w:rPr>
                <w:rFonts w:cs="Calibri"/>
                <w:i/>
                <w:iCs/>
                <w:szCs w:val="22"/>
                <w:lang w:eastAsia="en-GB"/>
              </w:rPr>
              <w:t>(Informe de PwC sobre la presencia regional)</w:t>
            </w:r>
            <w:bookmarkEnd w:id="121"/>
          </w:p>
          <w:p w14:paraId="2E770169" w14:textId="0A424361" w:rsidR="00BB4C0E" w:rsidRDefault="00DB7EA6" w:rsidP="00BB4C0E">
            <w:pPr>
              <w:pStyle w:val="Tabletext"/>
              <w:ind w:left="636" w:hanging="636"/>
              <w:rPr>
                <w:rFonts w:cs="Calibri"/>
                <w:b/>
                <w:bCs/>
                <w:szCs w:val="22"/>
                <w:lang w:eastAsia="en-GB"/>
              </w:rPr>
            </w:pPr>
            <w:r w:rsidRPr="005128D4">
              <w:rPr>
                <w:rFonts w:cs="Calibri"/>
                <w:b/>
                <w:bCs/>
                <w:szCs w:val="22"/>
                <w:lang w:eastAsia="en-GB"/>
              </w:rPr>
              <w:t>1.1</w:t>
            </w:r>
            <w:bookmarkStart w:id="122" w:name="lt_pId213"/>
            <w:r w:rsidR="00BB4C0E">
              <w:rPr>
                <w:rFonts w:cs="Calibri"/>
                <w:b/>
                <w:bCs/>
                <w:szCs w:val="22"/>
                <w:lang w:eastAsia="en-GB"/>
              </w:rPr>
              <w:tab/>
            </w:r>
            <w:r w:rsidR="000667C5" w:rsidRPr="005128D4">
              <w:rPr>
                <w:rFonts w:cs="Calibri"/>
                <w:b/>
                <w:bCs/>
                <w:szCs w:val="22"/>
                <w:lang w:eastAsia="en-GB"/>
              </w:rPr>
              <w:t>Reforzar el posicionamiento de la UIT como conformadora/ejecutora</w:t>
            </w:r>
            <w:r w:rsidRPr="005128D4">
              <w:rPr>
                <w:rFonts w:cs="Calibri"/>
                <w:b/>
                <w:bCs/>
                <w:szCs w:val="22"/>
                <w:lang w:eastAsia="en-GB"/>
              </w:rPr>
              <w:t xml:space="preserve">: </w:t>
            </w:r>
          </w:p>
          <w:p w14:paraId="0854A46B" w14:textId="54661B02" w:rsidR="00630D73" w:rsidRDefault="00DB7EA6" w:rsidP="00BB4C0E">
            <w:pPr>
              <w:pStyle w:val="Tabletext"/>
              <w:ind w:left="636" w:hanging="636"/>
              <w:rPr>
                <w:rFonts w:cs="Calibri"/>
                <w:szCs w:val="22"/>
                <w:lang w:eastAsia="en-GB"/>
              </w:rPr>
            </w:pPr>
            <w:r w:rsidRPr="005128D4">
              <w:rPr>
                <w:rFonts w:cs="Calibri"/>
                <w:szCs w:val="22"/>
                <w:lang w:eastAsia="en-GB"/>
              </w:rPr>
              <w:t>1.1.1</w:t>
            </w:r>
            <w:bookmarkEnd w:id="122"/>
            <w:r w:rsidR="00BB4C0E">
              <w:rPr>
                <w:rFonts w:cs="Calibri"/>
                <w:szCs w:val="22"/>
                <w:lang w:eastAsia="en-GB"/>
              </w:rPr>
              <w:tab/>
            </w:r>
            <w:r w:rsidR="00BF10F5" w:rsidRPr="005128D4">
              <w:rPr>
                <w:rFonts w:cs="Calibri"/>
                <w:szCs w:val="22"/>
                <w:lang w:eastAsia="en-GB"/>
              </w:rPr>
              <w:t>Explicar el mandato, la misión y la contribución prevista de la presencia regional</w:t>
            </w:r>
            <w:bookmarkStart w:id="123" w:name="lt_pId215"/>
          </w:p>
          <w:p w14:paraId="0FBF74DD" w14:textId="77777777" w:rsidR="00630D73" w:rsidRDefault="00114ED3" w:rsidP="00630D73">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i/>
                <w:iCs/>
                <w:sz w:val="22"/>
                <w:szCs w:val="22"/>
                <w:lang w:eastAsia="en-GB"/>
              </w:rPr>
            </w:pPr>
            <w:r w:rsidRPr="005128D4">
              <w:rPr>
                <w:rFonts w:cs="Calibri"/>
                <w:i/>
                <w:iCs/>
                <w:sz w:val="22"/>
                <w:szCs w:val="22"/>
                <w:lang w:eastAsia="en-GB"/>
              </w:rPr>
              <w:t>Posible opción</w:t>
            </w:r>
            <w:r w:rsidR="00DB7EA6" w:rsidRPr="005128D4">
              <w:rPr>
                <w:rFonts w:cs="Calibri"/>
                <w:i/>
                <w:iCs/>
                <w:sz w:val="22"/>
                <w:szCs w:val="22"/>
                <w:lang w:eastAsia="en-GB"/>
              </w:rPr>
              <w:t>:</w:t>
            </w:r>
            <w:bookmarkStart w:id="124" w:name="lt_pId216"/>
            <w:bookmarkEnd w:id="123"/>
          </w:p>
          <w:p w14:paraId="1652B67C" w14:textId="6C2702FA" w:rsidR="00630D73" w:rsidRDefault="00630D73" w:rsidP="00630D73">
            <w:pPr>
              <w:pStyle w:val="Tabletext"/>
              <w:tabs>
                <w:tab w:val="left" w:pos="417"/>
              </w:tabs>
              <w:ind w:left="417" w:hanging="417"/>
              <w:rPr>
                <w:rFonts w:cs="Calibri"/>
                <w:b/>
                <w:color w:val="800000"/>
                <w:szCs w:val="22"/>
                <w:lang w:eastAsia="en-GB"/>
              </w:rPr>
            </w:pPr>
            <w:r>
              <w:rPr>
                <w:rFonts w:cs="Calibri"/>
                <w:szCs w:val="22"/>
                <w:lang w:eastAsia="en-GB"/>
              </w:rPr>
              <w:t>–</w:t>
            </w:r>
            <w:r>
              <w:rPr>
                <w:rFonts w:cs="Calibri"/>
                <w:szCs w:val="22"/>
                <w:lang w:eastAsia="en-GB"/>
              </w:rPr>
              <w:tab/>
            </w:r>
            <w:r w:rsidR="00EA6721" w:rsidRPr="005128D4">
              <w:rPr>
                <w:rFonts w:cs="Calibri"/>
                <w:szCs w:val="22"/>
                <w:lang w:eastAsia="en-GB"/>
              </w:rPr>
              <w:t>El GTC-PEF tomará en consideración la recomendación de integrar la presencia regional a efectos de la elaboración del Plan Estratégico para 2024-2027</w:t>
            </w:r>
            <w:bookmarkEnd w:id="124"/>
            <w:r w:rsidR="00F91A01">
              <w:rPr>
                <w:rFonts w:cs="Calibri"/>
                <w:szCs w:val="22"/>
                <w:lang w:eastAsia="en-GB"/>
              </w:rPr>
              <w:t>.</w:t>
            </w:r>
            <w:r w:rsidR="00DB7EA6" w:rsidRPr="005128D4">
              <w:rPr>
                <w:rFonts w:cs="Calibri"/>
                <w:b/>
                <w:color w:val="800000"/>
                <w:szCs w:val="22"/>
                <w:lang w:eastAsia="en-GB"/>
              </w:rPr>
              <w:t xml:space="preserve"> </w:t>
            </w:r>
          </w:p>
          <w:p w14:paraId="2B170B9D" w14:textId="005514E2" w:rsidR="00630D73" w:rsidRDefault="00DB7EA6" w:rsidP="00BB4C0E">
            <w:pPr>
              <w:pStyle w:val="Tabletext"/>
              <w:ind w:left="636" w:hanging="636"/>
              <w:rPr>
                <w:rFonts w:cs="Calibri"/>
                <w:b/>
                <w:bCs/>
                <w:szCs w:val="22"/>
                <w:lang w:eastAsia="en-GB"/>
              </w:rPr>
            </w:pPr>
            <w:r w:rsidRPr="005128D4">
              <w:rPr>
                <w:rFonts w:cs="Calibri"/>
                <w:b/>
                <w:bCs/>
                <w:szCs w:val="22"/>
                <w:lang w:eastAsia="en-GB"/>
              </w:rPr>
              <w:t>1.4</w:t>
            </w:r>
            <w:r w:rsidR="00BB4C0E">
              <w:rPr>
                <w:rFonts w:cs="Calibri"/>
                <w:b/>
                <w:bCs/>
                <w:szCs w:val="22"/>
                <w:lang w:eastAsia="en-GB"/>
              </w:rPr>
              <w:tab/>
            </w:r>
            <w:r w:rsidR="00EA6721" w:rsidRPr="005128D4">
              <w:rPr>
                <w:rFonts w:cs="Calibri"/>
                <w:b/>
                <w:bCs/>
                <w:szCs w:val="22"/>
                <w:lang w:eastAsia="en-GB"/>
              </w:rPr>
              <w:t>Consolidar la planificación estratégica a nivel de cada oficina exterior</w:t>
            </w:r>
          </w:p>
          <w:p w14:paraId="0F2E4FB0" w14:textId="6F7C9868" w:rsidR="00630D73" w:rsidRDefault="00DB7EA6" w:rsidP="00BB4C0E">
            <w:pPr>
              <w:pStyle w:val="Tabletext"/>
              <w:tabs>
                <w:tab w:val="left" w:pos="636"/>
              </w:tabs>
              <w:rPr>
                <w:rFonts w:cs="Calibri"/>
                <w:szCs w:val="22"/>
                <w:lang w:eastAsia="en-GB"/>
              </w:rPr>
            </w:pPr>
            <w:r w:rsidRPr="005128D4">
              <w:rPr>
                <w:rFonts w:cs="Calibri"/>
                <w:szCs w:val="22"/>
                <w:lang w:eastAsia="en-GB"/>
              </w:rPr>
              <w:t>1.4.1</w:t>
            </w:r>
            <w:r w:rsidR="00BB4C0E">
              <w:rPr>
                <w:rFonts w:cs="Calibri"/>
                <w:szCs w:val="22"/>
                <w:lang w:eastAsia="en-GB"/>
              </w:rPr>
              <w:tab/>
            </w:r>
            <w:r w:rsidR="0009712E" w:rsidRPr="00F91A01">
              <w:rPr>
                <w:lang w:val="es-ES"/>
              </w:rPr>
              <w:t>Elaborar</w:t>
            </w:r>
            <w:r w:rsidR="0009712E" w:rsidRPr="005128D4">
              <w:rPr>
                <w:rFonts w:cs="Calibri"/>
                <w:szCs w:val="22"/>
                <w:lang w:eastAsia="en-GB"/>
              </w:rPr>
              <w:t xml:space="preserve"> un marco de resultados armonizado con las Iniciativas Regionales</w:t>
            </w:r>
          </w:p>
          <w:p w14:paraId="643CCED2" w14:textId="71DDB3DC" w:rsidR="00630D73" w:rsidRDefault="00DB7EA6" w:rsidP="00BB4C0E">
            <w:pPr>
              <w:pStyle w:val="Tabletext"/>
              <w:tabs>
                <w:tab w:val="left" w:pos="636"/>
              </w:tabs>
              <w:rPr>
                <w:rFonts w:cs="Calibri"/>
                <w:szCs w:val="22"/>
                <w:lang w:eastAsia="en-GB"/>
              </w:rPr>
            </w:pPr>
            <w:r w:rsidRPr="005128D4">
              <w:rPr>
                <w:rFonts w:cs="Calibri"/>
                <w:szCs w:val="22"/>
                <w:lang w:eastAsia="en-GB"/>
              </w:rPr>
              <w:t>1.4.3</w:t>
            </w:r>
            <w:r w:rsidR="00BB4C0E">
              <w:rPr>
                <w:rFonts w:cs="Calibri"/>
                <w:szCs w:val="22"/>
                <w:lang w:eastAsia="en-GB"/>
              </w:rPr>
              <w:tab/>
            </w:r>
            <w:r w:rsidR="0009712E" w:rsidRPr="00F91A01">
              <w:rPr>
                <w:lang w:val="es-ES"/>
              </w:rPr>
              <w:t>Consolidar</w:t>
            </w:r>
            <w:r w:rsidR="0009712E" w:rsidRPr="005128D4">
              <w:rPr>
                <w:rFonts w:cs="Calibri"/>
                <w:szCs w:val="22"/>
                <w:lang w:eastAsia="en-GB"/>
              </w:rPr>
              <w:t xml:space="preserve"> las finalidades regionales en la preparación del próximo Plan Estratégico</w:t>
            </w:r>
            <w:bookmarkStart w:id="125" w:name="lt_pId223"/>
          </w:p>
          <w:p w14:paraId="078D0FC9" w14:textId="77777777" w:rsidR="00630D73" w:rsidRDefault="00114ED3" w:rsidP="00630D73">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i/>
                <w:iCs/>
                <w:sz w:val="22"/>
                <w:szCs w:val="22"/>
                <w:lang w:eastAsia="en-GB"/>
              </w:rPr>
            </w:pPr>
            <w:r w:rsidRPr="005128D4">
              <w:rPr>
                <w:rFonts w:cs="Calibri"/>
                <w:i/>
                <w:iCs/>
                <w:sz w:val="22"/>
                <w:szCs w:val="22"/>
                <w:lang w:eastAsia="en-GB"/>
              </w:rPr>
              <w:t>Posible opción</w:t>
            </w:r>
            <w:r w:rsidR="00DB7EA6" w:rsidRPr="005128D4">
              <w:rPr>
                <w:rFonts w:cs="Calibri"/>
                <w:i/>
                <w:iCs/>
                <w:sz w:val="22"/>
                <w:szCs w:val="22"/>
                <w:lang w:eastAsia="en-GB"/>
              </w:rPr>
              <w:t>:</w:t>
            </w:r>
            <w:bookmarkStart w:id="126" w:name="lt_pId224"/>
            <w:bookmarkEnd w:id="125"/>
          </w:p>
          <w:p w14:paraId="16EE8169" w14:textId="0C7D5A20" w:rsidR="00BB4C0E" w:rsidRDefault="00BB4C0E" w:rsidP="00BB4C0E">
            <w:pPr>
              <w:pStyle w:val="Tabletext"/>
              <w:tabs>
                <w:tab w:val="left" w:pos="417"/>
              </w:tabs>
              <w:ind w:left="417" w:hanging="417"/>
              <w:rPr>
                <w:rFonts w:cs="Calibri"/>
                <w:szCs w:val="22"/>
                <w:lang w:eastAsia="en-GB"/>
              </w:rPr>
            </w:pPr>
            <w:r>
              <w:rPr>
                <w:rFonts w:cs="Calibri"/>
                <w:szCs w:val="22"/>
                <w:lang w:eastAsia="en-GB"/>
              </w:rPr>
              <w:t>–</w:t>
            </w:r>
            <w:r>
              <w:rPr>
                <w:rFonts w:cs="Calibri"/>
                <w:szCs w:val="22"/>
                <w:lang w:eastAsia="en-GB"/>
              </w:rPr>
              <w:tab/>
            </w:r>
            <w:r w:rsidR="0009712E" w:rsidRPr="005128D4">
              <w:rPr>
                <w:rFonts w:cs="Calibri"/>
                <w:szCs w:val="22"/>
                <w:lang w:eastAsia="en-GB"/>
              </w:rPr>
              <w:t>El GTC-PEF tendrá en cuenta las finalidades regionales al elaborar el Plan Estratégico para 2024</w:t>
            </w:r>
            <w:r w:rsidR="0009712E" w:rsidRPr="005128D4">
              <w:rPr>
                <w:rFonts w:cs="Calibri"/>
                <w:szCs w:val="22"/>
                <w:lang w:eastAsia="en-GB"/>
              </w:rPr>
              <w:noBreakHyphen/>
              <w:t>2027</w:t>
            </w:r>
            <w:r w:rsidR="002A205B">
              <w:rPr>
                <w:rFonts w:cs="Calibri"/>
                <w:szCs w:val="22"/>
                <w:lang w:eastAsia="en-GB"/>
              </w:rPr>
              <w:t>.</w:t>
            </w:r>
            <w:r w:rsidR="00BF10F5" w:rsidRPr="005128D4">
              <w:rPr>
                <w:rFonts w:cs="Calibri"/>
                <w:szCs w:val="22"/>
                <w:lang w:eastAsia="en-GB"/>
              </w:rPr>
              <w:t xml:space="preserve"> </w:t>
            </w:r>
          </w:p>
          <w:p w14:paraId="39E4992B" w14:textId="0328594A" w:rsidR="00A46B6B" w:rsidRPr="005128D4" w:rsidRDefault="00BF10F5" w:rsidP="00BB4C0E">
            <w:pPr>
              <w:pStyle w:val="Tabletext"/>
              <w:tabs>
                <w:tab w:val="left" w:pos="417"/>
              </w:tabs>
              <w:ind w:left="417" w:hanging="417"/>
              <w:rPr>
                <w:rFonts w:cs="Calibri"/>
                <w:b/>
                <w:color w:val="800000"/>
                <w:szCs w:val="22"/>
                <w:lang w:eastAsia="en-GB"/>
              </w:rPr>
            </w:pPr>
            <w:r w:rsidRPr="005128D4">
              <w:rPr>
                <w:rFonts w:cs="Calibri"/>
                <w:szCs w:val="22"/>
                <w:lang w:eastAsia="en-GB"/>
              </w:rPr>
              <w:t>(</w:t>
            </w:r>
            <w:r w:rsidR="00BB4C0E">
              <w:rPr>
                <w:rFonts w:cs="Calibri"/>
                <w:i/>
                <w:iCs/>
                <w:szCs w:val="22"/>
                <w:lang w:eastAsia="en-GB"/>
              </w:rPr>
              <w:t>N</w:t>
            </w:r>
            <w:r w:rsidRPr="00BB4C0E">
              <w:rPr>
                <w:rFonts w:cs="Calibri"/>
                <w:i/>
                <w:iCs/>
                <w:szCs w:val="22"/>
                <w:lang w:eastAsia="en-GB"/>
              </w:rPr>
              <w:t>ovedades de las Naciones Unidas</w:t>
            </w:r>
            <w:r w:rsidRPr="005128D4">
              <w:rPr>
                <w:rFonts w:cs="Calibri"/>
                <w:szCs w:val="22"/>
                <w:lang w:eastAsia="en-GB"/>
              </w:rPr>
              <w:t>)</w:t>
            </w:r>
            <w:r w:rsidR="0009712E" w:rsidRPr="005128D4">
              <w:rPr>
                <w:rFonts w:cs="Calibri"/>
                <w:szCs w:val="22"/>
                <w:lang w:eastAsia="en-GB"/>
              </w:rPr>
              <w:t>.</w:t>
            </w:r>
            <w:bookmarkEnd w:id="126"/>
            <w:r w:rsidR="00DB7EA6" w:rsidRPr="005128D4">
              <w:rPr>
                <w:rFonts w:cs="Calibri"/>
                <w:szCs w:val="22"/>
                <w:lang w:eastAsia="en-GB"/>
              </w:rPr>
              <w:t xml:space="preserve"> </w:t>
            </w:r>
            <w:r w:rsidR="00DB7EA6" w:rsidRPr="005128D4">
              <w:rPr>
                <w:rFonts w:cs="Calibri"/>
                <w:b/>
                <w:color w:val="800000"/>
                <w:szCs w:val="22"/>
                <w:lang w:eastAsia="en-GB"/>
              </w:rPr>
              <w:t xml:space="preserve"> </w:t>
            </w:r>
            <w:bookmarkStart w:id="127" w:name="lt_pId225"/>
          </w:p>
          <w:p w14:paraId="42674435" w14:textId="672B94F8" w:rsidR="00DB7EA6" w:rsidRPr="005128D4" w:rsidRDefault="00BB4C0E" w:rsidP="00BB4C0E">
            <w:pPr>
              <w:pStyle w:val="Tabletext"/>
              <w:tabs>
                <w:tab w:val="left" w:pos="417"/>
              </w:tabs>
              <w:ind w:left="417" w:hanging="417"/>
              <w:rPr>
                <w:rFonts w:cs="Calibri"/>
                <w:b/>
                <w:color w:val="800000"/>
                <w:szCs w:val="22"/>
                <w:lang w:eastAsia="en-GB"/>
              </w:rPr>
            </w:pPr>
            <w:r>
              <w:rPr>
                <w:rFonts w:cs="Calibri"/>
                <w:szCs w:val="22"/>
                <w:lang w:eastAsia="en-GB"/>
              </w:rPr>
              <w:t>–</w:t>
            </w:r>
            <w:r>
              <w:rPr>
                <w:rFonts w:cs="Calibri"/>
                <w:szCs w:val="22"/>
                <w:lang w:eastAsia="en-GB"/>
              </w:rPr>
              <w:tab/>
            </w:r>
            <w:r w:rsidR="00A46B6B" w:rsidRPr="005128D4">
              <w:rPr>
                <w:rFonts w:cs="Calibri"/>
                <w:szCs w:val="22"/>
                <w:lang w:eastAsia="en-GB"/>
              </w:rPr>
              <w:t>La necesidad de mejorar los vínculos entre la UIT y las Naciones Unidas (incluidas las Oficinas Regionales de la UIT y los UNCT), para definir con mayor precisión el papel fundamental de las TIC en el sistema de las Naciones Unidas para el desarrollo, con el fin de ayudar a los países a definir las principales lagunas y prioridades de los ODS.</w:t>
            </w:r>
            <w:r w:rsidR="00A46B6B" w:rsidRPr="005128D4">
              <w:rPr>
                <w:rFonts w:cs="Calibri"/>
                <w:szCs w:val="22"/>
                <w:lang w:eastAsia="en-GB"/>
              </w:rPr>
              <w:cr/>
            </w:r>
            <w:bookmarkEnd w:id="127"/>
            <w:r w:rsidR="00DB7EA6" w:rsidRPr="005128D4">
              <w:rPr>
                <w:rFonts w:cs="Calibri"/>
                <w:b/>
                <w:color w:val="800000"/>
                <w:szCs w:val="22"/>
                <w:lang w:eastAsia="en-GB"/>
              </w:rPr>
              <w:t xml:space="preserve"> </w:t>
            </w:r>
          </w:p>
        </w:tc>
        <w:bookmarkStart w:id="128" w:name="lt_pId226"/>
        <w:tc>
          <w:tcPr>
            <w:tcW w:w="1496" w:type="dxa"/>
            <w:tcBorders>
              <w:top w:val="nil"/>
              <w:left w:val="nil"/>
              <w:bottom w:val="nil"/>
              <w:right w:val="nil"/>
            </w:tcBorders>
            <w:shd w:val="clear" w:color="EDEDED" w:fill="EDEDED"/>
            <w:vAlign w:val="center"/>
            <w:hideMark/>
          </w:tcPr>
          <w:p w14:paraId="0EB06BFD" w14:textId="47573D92" w:rsidR="00DB7EA6" w:rsidRPr="005128D4" w:rsidRDefault="00A614A0" w:rsidP="00630D73">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548DD4" w:themeColor="text2" w:themeTint="99"/>
                <w:sz w:val="22"/>
                <w:szCs w:val="22"/>
                <w:u w:val="single"/>
                <w:lang w:eastAsia="en-GB"/>
              </w:rPr>
            </w:pPr>
            <w:r>
              <w:rPr>
                <w:rFonts w:cs="Calibri"/>
                <w:color w:val="548DD4" w:themeColor="text2" w:themeTint="99"/>
                <w:sz w:val="22"/>
                <w:szCs w:val="22"/>
                <w:u w:val="single"/>
                <w:lang w:eastAsia="en-GB"/>
              </w:rPr>
              <w:fldChar w:fldCharType="begin"/>
            </w:r>
            <w:r>
              <w:rPr>
                <w:rFonts w:cs="Calibri"/>
                <w:color w:val="548DD4" w:themeColor="text2" w:themeTint="99"/>
                <w:sz w:val="22"/>
                <w:szCs w:val="22"/>
                <w:u w:val="single"/>
                <w:lang w:eastAsia="en-GB"/>
              </w:rPr>
              <w:instrText xml:space="preserve"> HYPERLINK "https://www.itu.int/md/S21-CWGSFP1-C-0005/en" </w:instrText>
            </w:r>
            <w:r>
              <w:rPr>
                <w:rFonts w:cs="Calibri"/>
                <w:color w:val="548DD4" w:themeColor="text2" w:themeTint="99"/>
                <w:sz w:val="22"/>
                <w:szCs w:val="22"/>
                <w:u w:val="single"/>
                <w:lang w:eastAsia="en-GB"/>
              </w:rPr>
            </w:r>
            <w:r>
              <w:rPr>
                <w:rFonts w:cs="Calibri"/>
                <w:color w:val="548DD4" w:themeColor="text2" w:themeTint="99"/>
                <w:sz w:val="22"/>
                <w:szCs w:val="22"/>
                <w:u w:val="single"/>
                <w:lang w:eastAsia="en-GB"/>
              </w:rPr>
              <w:fldChar w:fldCharType="separate"/>
            </w:r>
            <w:r w:rsidR="00DB7EA6" w:rsidRPr="00A614A0">
              <w:rPr>
                <w:rStyle w:val="Hyperlink"/>
                <w:rFonts w:cs="Calibri"/>
                <w:sz w:val="22"/>
                <w:szCs w:val="22"/>
                <w:lang w:eastAsia="en-GB"/>
              </w:rPr>
              <w:t>CWG-SFP-1/5</w:t>
            </w:r>
            <w:bookmarkEnd w:id="128"/>
            <w:r>
              <w:rPr>
                <w:rFonts w:cs="Calibri"/>
                <w:color w:val="548DD4" w:themeColor="text2" w:themeTint="99"/>
                <w:sz w:val="22"/>
                <w:szCs w:val="22"/>
                <w:u w:val="single"/>
                <w:lang w:eastAsia="en-GB"/>
              </w:rPr>
              <w:fldChar w:fldCharType="end"/>
            </w:r>
          </w:p>
          <w:p w14:paraId="212B8E5F" w14:textId="77777777" w:rsidR="00DB7EA6" w:rsidRPr="005128D4" w:rsidRDefault="00DB7EA6" w:rsidP="00630D73">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548DD4" w:themeColor="text2" w:themeTint="99"/>
                <w:sz w:val="22"/>
                <w:szCs w:val="22"/>
                <w:u w:val="single"/>
                <w:lang w:eastAsia="en-GB"/>
              </w:rPr>
            </w:pPr>
          </w:p>
          <w:p w14:paraId="1F01949A" w14:textId="77777777" w:rsidR="00DB7EA6" w:rsidRPr="005128D4" w:rsidRDefault="00D91982" w:rsidP="00630D73">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548DD4" w:themeColor="text2" w:themeTint="99"/>
                <w:sz w:val="22"/>
                <w:szCs w:val="22"/>
                <w:u w:val="single"/>
                <w:lang w:eastAsia="en-GB"/>
              </w:rPr>
            </w:pPr>
            <w:hyperlink r:id="rId31" w:history="1">
              <w:bookmarkStart w:id="129" w:name="lt_pId227"/>
              <w:r w:rsidR="00DB7EA6" w:rsidRPr="005128D4">
                <w:rPr>
                  <w:rStyle w:val="Hyperlink"/>
                  <w:rFonts w:cs="Calibri"/>
                  <w:color w:val="548DD4" w:themeColor="text2" w:themeTint="99"/>
                  <w:sz w:val="22"/>
                  <w:szCs w:val="22"/>
                  <w:lang w:eastAsia="en-GB"/>
                </w:rPr>
                <w:t>CWG-SFP-1/7</w:t>
              </w:r>
              <w:bookmarkEnd w:id="129"/>
            </w:hyperlink>
          </w:p>
        </w:tc>
        <w:tc>
          <w:tcPr>
            <w:tcW w:w="3515" w:type="dxa"/>
            <w:vMerge/>
            <w:tcBorders>
              <w:left w:val="nil"/>
              <w:bottom w:val="nil"/>
              <w:right w:val="nil"/>
            </w:tcBorders>
            <w:shd w:val="clear" w:color="auto" w:fill="FFFFFF" w:themeFill="background1"/>
            <w:noWrap/>
            <w:vAlign w:val="bottom"/>
            <w:hideMark/>
          </w:tcPr>
          <w:p w14:paraId="1AAE935E" w14:textId="77777777" w:rsidR="00DB7EA6" w:rsidRPr="00114ED3" w:rsidRDefault="00DB7EA6" w:rsidP="004260EB">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p>
        </w:tc>
      </w:tr>
    </w:tbl>
    <w:p w14:paraId="101F8A35" w14:textId="16FAEEBD" w:rsidR="00DB7EA6" w:rsidRDefault="00DB7EA6" w:rsidP="004260EB">
      <w:pPr>
        <w:tabs>
          <w:tab w:val="clear" w:pos="567"/>
          <w:tab w:val="clear" w:pos="1134"/>
          <w:tab w:val="clear" w:pos="1701"/>
          <w:tab w:val="clear" w:pos="2268"/>
          <w:tab w:val="clear" w:pos="2835"/>
        </w:tabs>
        <w:overflowPunct/>
        <w:autoSpaceDE/>
        <w:autoSpaceDN/>
        <w:adjustRightInd/>
        <w:spacing w:before="0"/>
        <w:textAlignment w:val="auto"/>
        <w:rPr>
          <w:b/>
          <w:color w:val="FFFFFF" w:themeColor="background1"/>
        </w:rPr>
      </w:pPr>
    </w:p>
    <w:p w14:paraId="33A58222" w14:textId="5286F29B" w:rsidR="00F27570" w:rsidRDefault="00F27570" w:rsidP="004260EB">
      <w:pPr>
        <w:tabs>
          <w:tab w:val="clear" w:pos="567"/>
          <w:tab w:val="clear" w:pos="1134"/>
          <w:tab w:val="clear" w:pos="1701"/>
          <w:tab w:val="clear" w:pos="2268"/>
          <w:tab w:val="clear" w:pos="2835"/>
        </w:tabs>
        <w:overflowPunct/>
        <w:autoSpaceDE/>
        <w:autoSpaceDN/>
        <w:adjustRightInd/>
        <w:spacing w:before="0"/>
        <w:textAlignment w:val="auto"/>
        <w:rPr>
          <w:b/>
          <w:color w:val="FFFFFF" w:themeColor="background1"/>
        </w:rPr>
      </w:pPr>
      <w:r>
        <w:rPr>
          <w:b/>
          <w:color w:val="FFFFFF" w:themeColor="background1"/>
        </w:rPr>
        <w:br w:type="page"/>
      </w:r>
    </w:p>
    <w:tbl>
      <w:tblPr>
        <w:tblW w:w="14572" w:type="dxa"/>
        <w:jc w:val="center"/>
        <w:tblLook w:val="04A0" w:firstRow="1" w:lastRow="0" w:firstColumn="1" w:lastColumn="0" w:noHBand="0" w:noVBand="1"/>
      </w:tblPr>
      <w:tblGrid>
        <w:gridCol w:w="1523"/>
        <w:gridCol w:w="8052"/>
        <w:gridCol w:w="1484"/>
        <w:gridCol w:w="3513"/>
      </w:tblGrid>
      <w:tr w:rsidR="00F27570" w:rsidRPr="00F27570" w14:paraId="008B48FC" w14:textId="77777777" w:rsidTr="00F27570">
        <w:trPr>
          <w:jc w:val="center"/>
        </w:trPr>
        <w:tc>
          <w:tcPr>
            <w:tcW w:w="14572" w:type="dxa"/>
            <w:gridSpan w:val="4"/>
            <w:tcBorders>
              <w:top w:val="single" w:sz="8" w:space="0" w:color="FFFFFF"/>
              <w:left w:val="nil"/>
              <w:bottom w:val="single" w:sz="2" w:space="0" w:color="auto"/>
              <w:right w:val="nil"/>
            </w:tcBorders>
            <w:shd w:val="clear" w:color="auto" w:fill="8DB3E2" w:themeFill="text2" w:themeFillTint="66"/>
            <w:vAlign w:val="center"/>
          </w:tcPr>
          <w:p w14:paraId="0F1054A0" w14:textId="6D124935" w:rsidR="00F27570" w:rsidRPr="00F27570" w:rsidRDefault="00F27570" w:rsidP="00F27570">
            <w:pPr>
              <w:pStyle w:val="Tablehead"/>
              <w:jc w:val="left"/>
              <w:rPr>
                <w:rFonts w:cs="Calibri"/>
                <w:szCs w:val="22"/>
                <w:lang w:eastAsia="en-GB"/>
              </w:rPr>
            </w:pPr>
            <w:r>
              <w:rPr>
                <w:rFonts w:cs="Calibri"/>
                <w:szCs w:val="22"/>
                <w:lang w:eastAsia="en-GB"/>
              </w:rPr>
              <w:lastRenderedPageBreak/>
              <w:t>8</w:t>
            </w:r>
            <w:r>
              <w:rPr>
                <w:rFonts w:cs="Calibri"/>
                <w:szCs w:val="22"/>
                <w:lang w:eastAsia="en-GB"/>
              </w:rPr>
              <w:tab/>
            </w:r>
            <w:r w:rsidRPr="00F27570">
              <w:rPr>
                <w:rFonts w:cs="Calibri"/>
                <w:szCs w:val="22"/>
                <w:lang w:eastAsia="en-GB"/>
              </w:rPr>
              <w:t>Vinculación con el Plan Financiero</w:t>
            </w:r>
          </w:p>
        </w:tc>
      </w:tr>
      <w:tr w:rsidR="00862CA6" w:rsidRPr="00F27570" w14:paraId="5C93B89D" w14:textId="77777777" w:rsidTr="00F27570">
        <w:trPr>
          <w:jc w:val="center"/>
        </w:trPr>
        <w:tc>
          <w:tcPr>
            <w:tcW w:w="1523" w:type="dxa"/>
            <w:tcBorders>
              <w:top w:val="single" w:sz="8" w:space="0" w:color="FFFFFF"/>
              <w:left w:val="nil"/>
              <w:bottom w:val="single" w:sz="2" w:space="0" w:color="auto"/>
              <w:right w:val="nil"/>
            </w:tcBorders>
            <w:shd w:val="clear" w:color="auto" w:fill="auto"/>
            <w:vAlign w:val="center"/>
            <w:hideMark/>
          </w:tcPr>
          <w:p w14:paraId="691BCBD0" w14:textId="6D17525B" w:rsidR="00862CA6" w:rsidRPr="00F27570" w:rsidRDefault="00862CA6" w:rsidP="00F27570">
            <w:pPr>
              <w:pStyle w:val="Tabletext"/>
              <w:tabs>
                <w:tab w:val="left" w:pos="380"/>
              </w:tabs>
              <w:jc w:val="center"/>
              <w:rPr>
                <w:rFonts w:cs="Calibri"/>
                <w:b/>
                <w:bCs/>
                <w:szCs w:val="22"/>
                <w:lang w:eastAsia="en-GB"/>
              </w:rPr>
            </w:pPr>
            <w:r w:rsidRPr="00F27570">
              <w:rPr>
                <w:rFonts w:cs="Calibri"/>
                <w:b/>
                <w:bCs/>
                <w:szCs w:val="22"/>
                <w:lang w:eastAsia="en-GB"/>
              </w:rPr>
              <w:t>Origen de las observaciones</w:t>
            </w:r>
          </w:p>
        </w:tc>
        <w:tc>
          <w:tcPr>
            <w:tcW w:w="8052" w:type="dxa"/>
            <w:tcBorders>
              <w:top w:val="single" w:sz="8" w:space="0" w:color="FFFFFF"/>
              <w:left w:val="nil"/>
              <w:bottom w:val="single" w:sz="2" w:space="0" w:color="auto"/>
              <w:right w:val="nil"/>
            </w:tcBorders>
            <w:shd w:val="clear" w:color="auto" w:fill="auto"/>
            <w:vAlign w:val="center"/>
            <w:hideMark/>
          </w:tcPr>
          <w:p w14:paraId="6A66C9F2" w14:textId="73A48289" w:rsidR="00862CA6" w:rsidRPr="00F27570" w:rsidRDefault="00862CA6" w:rsidP="00F27570">
            <w:pPr>
              <w:pStyle w:val="Tabletext"/>
              <w:tabs>
                <w:tab w:val="left" w:pos="380"/>
              </w:tabs>
              <w:jc w:val="center"/>
              <w:rPr>
                <w:rFonts w:cs="Calibri"/>
                <w:b/>
                <w:bCs/>
                <w:szCs w:val="22"/>
                <w:lang w:eastAsia="en-GB"/>
              </w:rPr>
            </w:pPr>
            <w:r w:rsidRPr="00F27570">
              <w:rPr>
                <w:rFonts w:cs="Calibri"/>
                <w:b/>
                <w:bCs/>
                <w:szCs w:val="22"/>
                <w:lang w:eastAsia="en-GB"/>
              </w:rPr>
              <w:t>Observaciones</w:t>
            </w:r>
          </w:p>
        </w:tc>
        <w:tc>
          <w:tcPr>
            <w:tcW w:w="1484" w:type="dxa"/>
            <w:tcBorders>
              <w:top w:val="single" w:sz="8" w:space="0" w:color="FFFFFF"/>
              <w:left w:val="nil"/>
              <w:bottom w:val="single" w:sz="2" w:space="0" w:color="auto"/>
              <w:right w:val="nil"/>
            </w:tcBorders>
            <w:shd w:val="clear" w:color="auto" w:fill="auto"/>
            <w:vAlign w:val="center"/>
            <w:hideMark/>
          </w:tcPr>
          <w:p w14:paraId="045E2B86" w14:textId="37A51BF8" w:rsidR="00862CA6" w:rsidRPr="00F27570" w:rsidRDefault="00862CA6" w:rsidP="00F27570">
            <w:pPr>
              <w:pStyle w:val="Tabletext"/>
              <w:tabs>
                <w:tab w:val="left" w:pos="380"/>
              </w:tabs>
              <w:jc w:val="center"/>
              <w:rPr>
                <w:rFonts w:cs="Calibri"/>
                <w:b/>
                <w:bCs/>
                <w:szCs w:val="22"/>
                <w:lang w:eastAsia="en-GB"/>
              </w:rPr>
            </w:pPr>
            <w:r w:rsidRPr="00F27570">
              <w:rPr>
                <w:rFonts w:cs="Calibri"/>
                <w:b/>
                <w:bCs/>
                <w:szCs w:val="22"/>
                <w:lang w:eastAsia="en-GB"/>
              </w:rPr>
              <w:t>Doc. del GTC-PEF</w:t>
            </w:r>
          </w:p>
        </w:tc>
        <w:tc>
          <w:tcPr>
            <w:tcW w:w="3513" w:type="dxa"/>
            <w:tcBorders>
              <w:top w:val="single" w:sz="8" w:space="0" w:color="FFFFFF"/>
              <w:left w:val="nil"/>
              <w:bottom w:val="single" w:sz="2" w:space="0" w:color="auto"/>
              <w:right w:val="nil"/>
            </w:tcBorders>
            <w:shd w:val="clear" w:color="auto" w:fill="auto"/>
            <w:vAlign w:val="center"/>
            <w:hideMark/>
          </w:tcPr>
          <w:p w14:paraId="2BB868A8" w14:textId="1F769981" w:rsidR="00862CA6" w:rsidRPr="00F27570" w:rsidRDefault="00862CA6" w:rsidP="00F27570">
            <w:pPr>
              <w:pStyle w:val="Tabletext"/>
              <w:tabs>
                <w:tab w:val="left" w:pos="380"/>
              </w:tabs>
              <w:jc w:val="center"/>
              <w:rPr>
                <w:rFonts w:cs="Calibri"/>
                <w:b/>
                <w:bCs/>
                <w:szCs w:val="22"/>
                <w:lang w:eastAsia="en-GB"/>
              </w:rPr>
            </w:pPr>
            <w:r w:rsidRPr="00F27570">
              <w:rPr>
                <w:rFonts w:cs="Calibri"/>
                <w:b/>
                <w:bCs/>
                <w:szCs w:val="22"/>
                <w:lang w:eastAsia="en-GB"/>
              </w:rPr>
              <w:t>Orientaciones del GTC-PEF</w:t>
            </w:r>
          </w:p>
        </w:tc>
      </w:tr>
      <w:tr w:rsidR="00DB7EA6" w:rsidRPr="00114ED3" w14:paraId="5A0C9E3D" w14:textId="77777777" w:rsidTr="00F27570">
        <w:trPr>
          <w:jc w:val="center"/>
        </w:trPr>
        <w:tc>
          <w:tcPr>
            <w:tcW w:w="1523" w:type="dxa"/>
            <w:tcBorders>
              <w:top w:val="single" w:sz="2" w:space="0" w:color="auto"/>
              <w:left w:val="nil"/>
              <w:bottom w:val="nil"/>
              <w:right w:val="nil"/>
            </w:tcBorders>
            <w:shd w:val="clear" w:color="EDEDED" w:fill="EDEDED"/>
            <w:hideMark/>
          </w:tcPr>
          <w:p w14:paraId="2A1E5918" w14:textId="26A9BB7E" w:rsidR="00DB7EA6" w:rsidRPr="00F27570" w:rsidRDefault="00D8484D" w:rsidP="00F27570">
            <w:pPr>
              <w:pStyle w:val="Tabletext"/>
              <w:keepNext/>
              <w:keepLines/>
              <w:ind w:left="-57"/>
              <w:rPr>
                <w:lang w:eastAsia="en-GB"/>
              </w:rPr>
            </w:pPr>
            <w:r w:rsidRPr="00F27570">
              <w:rPr>
                <w:lang w:eastAsia="en-GB"/>
              </w:rPr>
              <w:t>Consulta en línea:</w:t>
            </w:r>
          </w:p>
        </w:tc>
        <w:tc>
          <w:tcPr>
            <w:tcW w:w="8052" w:type="dxa"/>
            <w:tcBorders>
              <w:top w:val="single" w:sz="2" w:space="0" w:color="auto"/>
              <w:left w:val="nil"/>
              <w:bottom w:val="nil"/>
              <w:right w:val="nil"/>
            </w:tcBorders>
            <w:shd w:val="clear" w:color="EDEDED" w:fill="EDEDED"/>
            <w:hideMark/>
          </w:tcPr>
          <w:p w14:paraId="0676223A" w14:textId="71D499E4" w:rsidR="00F27570" w:rsidRDefault="00F27570" w:rsidP="00F27570">
            <w:pPr>
              <w:pStyle w:val="Tabletext"/>
              <w:tabs>
                <w:tab w:val="left" w:pos="417"/>
              </w:tabs>
              <w:ind w:left="417" w:hanging="417"/>
              <w:rPr>
                <w:rFonts w:cs="Calibri"/>
                <w:szCs w:val="22"/>
                <w:lang w:eastAsia="en-GB"/>
              </w:rPr>
            </w:pPr>
            <w:bookmarkStart w:id="130" w:name="lt_pId234"/>
            <w:r>
              <w:rPr>
                <w:rFonts w:cs="Calibri"/>
                <w:szCs w:val="22"/>
                <w:lang w:eastAsia="en-GB"/>
              </w:rPr>
              <w:t>–</w:t>
            </w:r>
            <w:r>
              <w:rPr>
                <w:rFonts w:cs="Calibri"/>
                <w:szCs w:val="22"/>
                <w:lang w:eastAsia="en-GB"/>
              </w:rPr>
              <w:tab/>
            </w:r>
            <w:r w:rsidR="00560432" w:rsidRPr="00F27570">
              <w:rPr>
                <w:rFonts w:cs="Calibri"/>
                <w:szCs w:val="22"/>
                <w:lang w:eastAsia="en-GB"/>
              </w:rPr>
              <w:t xml:space="preserve">Se refrenda la </w:t>
            </w:r>
            <w:r w:rsidR="00560432" w:rsidRPr="00F27570">
              <w:rPr>
                <w:rFonts w:cs="Calibri"/>
                <w:b/>
                <w:bCs/>
                <w:szCs w:val="22"/>
                <w:lang w:eastAsia="en-GB"/>
              </w:rPr>
              <w:t>necesidad de seguir mejorando las metodologías para la plena</w:t>
            </w:r>
            <w:r w:rsidR="00560432" w:rsidRPr="00F27570">
              <w:rPr>
                <w:rFonts w:cs="Calibri"/>
                <w:szCs w:val="22"/>
                <w:lang w:eastAsia="en-GB"/>
              </w:rPr>
              <w:t xml:space="preserve"> </w:t>
            </w:r>
            <w:r w:rsidR="00560432" w:rsidRPr="00F27570">
              <w:rPr>
                <w:rFonts w:cs="Calibri"/>
                <w:b/>
                <w:bCs/>
                <w:szCs w:val="22"/>
                <w:lang w:eastAsia="en-GB"/>
              </w:rPr>
              <w:t>aplicación de la GBR/PBR</w:t>
            </w:r>
            <w:r w:rsidR="00DB7EA6" w:rsidRPr="00F27570">
              <w:rPr>
                <w:rFonts w:cs="Calibri"/>
                <w:szCs w:val="22"/>
                <w:lang w:eastAsia="en-GB"/>
              </w:rPr>
              <w:t>:</w:t>
            </w:r>
            <w:bookmarkEnd w:id="130"/>
          </w:p>
          <w:p w14:paraId="143AEC4D" w14:textId="65F43EA3" w:rsidR="00F27570" w:rsidRDefault="00F27570" w:rsidP="00F27570">
            <w:pPr>
              <w:pStyle w:val="Tabletext"/>
              <w:tabs>
                <w:tab w:val="left" w:pos="417"/>
              </w:tabs>
              <w:ind w:left="417" w:hanging="417"/>
              <w:rPr>
                <w:rFonts w:cs="Calibri"/>
                <w:b/>
                <w:bCs/>
                <w:szCs w:val="22"/>
                <w:lang w:eastAsia="en-GB"/>
              </w:rPr>
            </w:pPr>
            <w:bookmarkStart w:id="131" w:name="lt_pId235"/>
            <w:r>
              <w:rPr>
                <w:rFonts w:cs="Calibri"/>
                <w:szCs w:val="22"/>
                <w:lang w:eastAsia="en-GB"/>
              </w:rPr>
              <w:t>–</w:t>
            </w:r>
            <w:r>
              <w:rPr>
                <w:rFonts w:cs="Calibri"/>
                <w:szCs w:val="22"/>
                <w:lang w:eastAsia="en-GB"/>
              </w:rPr>
              <w:tab/>
            </w:r>
            <w:r w:rsidR="00560432" w:rsidRPr="00F27570">
              <w:rPr>
                <w:rFonts w:cs="Calibri"/>
                <w:szCs w:val="22"/>
                <w:lang w:eastAsia="en-GB"/>
              </w:rPr>
              <w:t xml:space="preserve">Debe existir un </w:t>
            </w:r>
            <w:r w:rsidR="00560432" w:rsidRPr="00F27570">
              <w:rPr>
                <w:rFonts w:cs="Calibri"/>
                <w:b/>
                <w:bCs/>
                <w:szCs w:val="22"/>
                <w:lang w:eastAsia="en-GB"/>
              </w:rPr>
              <w:t>vínculo directo con las prioridades estratégicas</w:t>
            </w:r>
            <w:r w:rsidR="00560432" w:rsidRPr="00F27570">
              <w:rPr>
                <w:rFonts w:cs="Calibri"/>
                <w:szCs w:val="22"/>
                <w:lang w:eastAsia="en-GB"/>
              </w:rPr>
              <w:t xml:space="preserve"> identificadas </w:t>
            </w:r>
            <w:r w:rsidR="00560432" w:rsidRPr="00F27570">
              <w:rPr>
                <w:rFonts w:cs="Calibri"/>
                <w:b/>
                <w:bCs/>
                <w:szCs w:val="22"/>
                <w:lang w:eastAsia="en-GB"/>
              </w:rPr>
              <w:t>y la atribución de recursos humanos y financieros</w:t>
            </w:r>
            <w:bookmarkEnd w:id="131"/>
            <w:r w:rsidR="008813E6">
              <w:rPr>
                <w:rFonts w:cs="Calibri"/>
                <w:b/>
                <w:bCs/>
                <w:szCs w:val="22"/>
                <w:lang w:eastAsia="en-GB"/>
              </w:rPr>
              <w:t>.</w:t>
            </w:r>
          </w:p>
          <w:p w14:paraId="1C253569" w14:textId="6613EA0D" w:rsidR="00F27570" w:rsidRDefault="00F27570" w:rsidP="00F27570">
            <w:pPr>
              <w:pStyle w:val="Tabletext"/>
              <w:tabs>
                <w:tab w:val="left" w:pos="417"/>
              </w:tabs>
              <w:ind w:left="417" w:hanging="417"/>
              <w:rPr>
                <w:rFonts w:cs="Calibri"/>
                <w:szCs w:val="22"/>
                <w:lang w:eastAsia="en-GB"/>
              </w:rPr>
            </w:pPr>
            <w:bookmarkStart w:id="132" w:name="lt_pId236"/>
            <w:r>
              <w:rPr>
                <w:rFonts w:cs="Calibri"/>
                <w:szCs w:val="22"/>
                <w:lang w:eastAsia="en-GB"/>
              </w:rPr>
              <w:t>–</w:t>
            </w:r>
            <w:r>
              <w:rPr>
                <w:rFonts w:cs="Calibri"/>
                <w:szCs w:val="22"/>
                <w:lang w:eastAsia="en-GB"/>
              </w:rPr>
              <w:tab/>
            </w:r>
            <w:r w:rsidR="00560432" w:rsidRPr="00F27570">
              <w:rPr>
                <w:rFonts w:cs="Calibri"/>
                <w:b/>
                <w:bCs/>
                <w:szCs w:val="22"/>
                <w:lang w:eastAsia="en-GB"/>
              </w:rPr>
              <w:t xml:space="preserve">No debe quedar ningún componente sin financiar </w:t>
            </w:r>
            <w:r w:rsidR="00560432" w:rsidRPr="00F27570">
              <w:rPr>
                <w:rFonts w:cs="Calibri"/>
                <w:szCs w:val="22"/>
                <w:lang w:eastAsia="en-GB"/>
              </w:rPr>
              <w:t>o sin medir</w:t>
            </w:r>
            <w:bookmarkStart w:id="133" w:name="lt_pId237"/>
            <w:bookmarkEnd w:id="132"/>
            <w:r w:rsidR="008813E6">
              <w:rPr>
                <w:rFonts w:cs="Calibri"/>
                <w:szCs w:val="22"/>
                <w:lang w:eastAsia="en-GB"/>
              </w:rPr>
              <w:t>.</w:t>
            </w:r>
          </w:p>
          <w:p w14:paraId="38D956CB" w14:textId="2506D1B6" w:rsidR="00F27570" w:rsidRDefault="00F27570" w:rsidP="00F27570">
            <w:pPr>
              <w:pStyle w:val="Tabletext"/>
              <w:tabs>
                <w:tab w:val="left" w:pos="417"/>
              </w:tabs>
              <w:ind w:left="417" w:hanging="417"/>
              <w:rPr>
                <w:rFonts w:cs="Calibri"/>
                <w:szCs w:val="22"/>
                <w:lang w:eastAsia="en-GB"/>
              </w:rPr>
            </w:pPr>
            <w:r>
              <w:rPr>
                <w:rFonts w:cs="Calibri"/>
                <w:szCs w:val="22"/>
                <w:lang w:eastAsia="en-GB"/>
              </w:rPr>
              <w:t>–</w:t>
            </w:r>
            <w:r>
              <w:rPr>
                <w:rFonts w:cs="Calibri"/>
                <w:szCs w:val="22"/>
                <w:lang w:eastAsia="en-GB"/>
              </w:rPr>
              <w:tab/>
            </w:r>
            <w:r w:rsidR="00560432" w:rsidRPr="00F27570">
              <w:rPr>
                <w:rFonts w:cs="Calibri"/>
                <w:b/>
                <w:bCs/>
                <w:szCs w:val="22"/>
                <w:lang w:eastAsia="en-GB"/>
              </w:rPr>
              <w:t>Importancia de aplicar todas las recomendaciones de los órganos de supervisión</w:t>
            </w:r>
            <w:r w:rsidR="00560432" w:rsidRPr="00F27570">
              <w:rPr>
                <w:rFonts w:cs="Calibri"/>
                <w:szCs w:val="22"/>
                <w:lang w:eastAsia="en-GB"/>
              </w:rPr>
              <w:t xml:space="preserve"> internos y externos</w:t>
            </w:r>
            <w:bookmarkStart w:id="134" w:name="lt_pId238"/>
            <w:bookmarkEnd w:id="133"/>
            <w:r w:rsidR="008813E6">
              <w:rPr>
                <w:rFonts w:cs="Calibri"/>
                <w:szCs w:val="22"/>
                <w:lang w:eastAsia="en-GB"/>
              </w:rPr>
              <w:t>.</w:t>
            </w:r>
          </w:p>
          <w:p w14:paraId="694CC36F" w14:textId="11A7F68E" w:rsidR="00DB7EA6" w:rsidRPr="00F27570" w:rsidRDefault="00F27570" w:rsidP="00F27570">
            <w:pPr>
              <w:pStyle w:val="Tabletext"/>
              <w:tabs>
                <w:tab w:val="left" w:pos="417"/>
              </w:tabs>
              <w:ind w:left="417" w:hanging="417"/>
              <w:rPr>
                <w:rFonts w:cs="Calibri"/>
                <w:b/>
                <w:color w:val="800000"/>
                <w:szCs w:val="22"/>
                <w:lang w:eastAsia="en-GB"/>
              </w:rPr>
            </w:pPr>
            <w:r>
              <w:rPr>
                <w:rFonts w:cs="Calibri"/>
                <w:szCs w:val="22"/>
                <w:lang w:eastAsia="en-GB"/>
              </w:rPr>
              <w:t>–</w:t>
            </w:r>
            <w:r>
              <w:rPr>
                <w:rFonts w:cs="Calibri"/>
                <w:szCs w:val="22"/>
                <w:lang w:eastAsia="en-GB"/>
              </w:rPr>
              <w:tab/>
            </w:r>
            <w:r w:rsidR="00560432" w:rsidRPr="00F27570">
              <w:rPr>
                <w:rFonts w:cs="Calibri"/>
                <w:szCs w:val="22"/>
                <w:lang w:eastAsia="en-GB"/>
              </w:rPr>
              <w:t xml:space="preserve">La existencia de </w:t>
            </w:r>
            <w:r w:rsidR="00560432" w:rsidRPr="00F27570">
              <w:rPr>
                <w:rFonts w:cs="Calibri"/>
                <w:b/>
                <w:bCs/>
                <w:szCs w:val="22"/>
                <w:lang w:eastAsia="en-GB"/>
              </w:rPr>
              <w:t>diferentes ciclos de los Sectores dificulta la sincronización</w:t>
            </w:r>
            <w:bookmarkEnd w:id="134"/>
            <w:r w:rsidR="008813E6">
              <w:rPr>
                <w:rFonts w:cs="Calibri"/>
                <w:b/>
                <w:bCs/>
                <w:szCs w:val="22"/>
                <w:lang w:eastAsia="en-GB"/>
              </w:rPr>
              <w:t>.</w:t>
            </w:r>
            <w:r w:rsidR="00DB7EA6" w:rsidRPr="00F27570">
              <w:rPr>
                <w:rFonts w:cs="Calibri"/>
                <w:b/>
                <w:color w:val="800000"/>
                <w:szCs w:val="22"/>
                <w:lang w:eastAsia="en-GB"/>
              </w:rPr>
              <w:t xml:space="preserve"> </w:t>
            </w:r>
          </w:p>
        </w:tc>
        <w:tc>
          <w:tcPr>
            <w:tcW w:w="1484" w:type="dxa"/>
            <w:tcBorders>
              <w:top w:val="single" w:sz="2" w:space="0" w:color="auto"/>
              <w:left w:val="nil"/>
              <w:bottom w:val="nil"/>
              <w:right w:val="nil"/>
            </w:tcBorders>
            <w:shd w:val="clear" w:color="EDEDED" w:fill="EDEDED"/>
            <w:noWrap/>
            <w:vAlign w:val="center"/>
            <w:hideMark/>
          </w:tcPr>
          <w:p w14:paraId="40F271BC" w14:textId="77777777" w:rsidR="00DB7EA6" w:rsidRPr="008813E6" w:rsidRDefault="00D91982" w:rsidP="008813E6">
            <w:pPr>
              <w:tabs>
                <w:tab w:val="clear" w:pos="567"/>
                <w:tab w:val="clear" w:pos="1134"/>
                <w:tab w:val="clear" w:pos="1701"/>
                <w:tab w:val="clear" w:pos="2268"/>
                <w:tab w:val="clear" w:pos="2835"/>
              </w:tabs>
              <w:overflowPunct/>
              <w:autoSpaceDE/>
              <w:autoSpaceDN/>
              <w:adjustRightInd/>
              <w:spacing w:before="0"/>
              <w:ind w:left="-57"/>
              <w:jc w:val="center"/>
              <w:textAlignment w:val="auto"/>
              <w:rPr>
                <w:rFonts w:cs="Calibri"/>
                <w:color w:val="548DD4" w:themeColor="text2" w:themeTint="99"/>
                <w:sz w:val="22"/>
                <w:szCs w:val="22"/>
                <w:u w:val="single"/>
                <w:lang w:eastAsia="en-GB"/>
              </w:rPr>
            </w:pPr>
            <w:hyperlink r:id="rId32" w:history="1">
              <w:bookmarkStart w:id="135" w:name="lt_pId239"/>
              <w:r w:rsidR="00DB7EA6" w:rsidRPr="008813E6">
                <w:rPr>
                  <w:rFonts w:cs="Calibri"/>
                  <w:color w:val="548DD4" w:themeColor="text2" w:themeTint="99"/>
                  <w:sz w:val="22"/>
                  <w:szCs w:val="22"/>
                  <w:u w:val="single"/>
                  <w:lang w:eastAsia="en-GB"/>
                </w:rPr>
                <w:t>CWG-SFP-1/11</w:t>
              </w:r>
              <w:bookmarkEnd w:id="135"/>
            </w:hyperlink>
          </w:p>
        </w:tc>
        <w:tc>
          <w:tcPr>
            <w:tcW w:w="3513" w:type="dxa"/>
            <w:vMerge w:val="restart"/>
            <w:tcBorders>
              <w:top w:val="single" w:sz="2" w:space="0" w:color="auto"/>
              <w:left w:val="nil"/>
              <w:right w:val="nil"/>
            </w:tcBorders>
            <w:shd w:val="clear" w:color="auto" w:fill="FFFFFF" w:themeFill="background1"/>
            <w:noWrap/>
            <w:hideMark/>
          </w:tcPr>
          <w:p w14:paraId="3EF2D2E6" w14:textId="77777777" w:rsidR="00F27570" w:rsidRDefault="00F27570" w:rsidP="00F27570">
            <w:pPr>
              <w:pStyle w:val="Tabletext"/>
              <w:ind w:left="313" w:hanging="313"/>
              <w:rPr>
                <w:rFonts w:cs="Calibri"/>
                <w:szCs w:val="22"/>
                <w:lang w:eastAsia="en-GB"/>
              </w:rPr>
            </w:pPr>
            <w:bookmarkStart w:id="136" w:name="lt_pId240"/>
            <w:r>
              <w:rPr>
                <w:rFonts w:cs="Calibri"/>
                <w:szCs w:val="22"/>
                <w:lang w:eastAsia="en-GB"/>
              </w:rPr>
              <w:t>–</w:t>
            </w:r>
            <w:r>
              <w:rPr>
                <w:rFonts w:cs="Calibri"/>
                <w:szCs w:val="22"/>
                <w:lang w:eastAsia="en-GB"/>
              </w:rPr>
              <w:tab/>
            </w:r>
            <w:r w:rsidR="0032248C" w:rsidRPr="00F27570">
              <w:rPr>
                <w:rFonts w:cs="Calibri"/>
                <w:szCs w:val="22"/>
                <w:lang w:eastAsia="en-GB"/>
              </w:rPr>
              <w:t xml:space="preserve">Solicitar a la secretaría que tenga en cuenta los siguientes principios a la hora de concebir </w:t>
            </w:r>
            <w:r w:rsidR="004A03D7" w:rsidRPr="00F27570">
              <w:rPr>
                <w:rFonts w:cs="Calibri"/>
                <w:szCs w:val="22"/>
                <w:lang w:eastAsia="en-GB"/>
              </w:rPr>
              <w:t>los vínculos</w:t>
            </w:r>
            <w:r w:rsidR="0032248C" w:rsidRPr="00F27570">
              <w:rPr>
                <w:rFonts w:cs="Calibri"/>
                <w:szCs w:val="22"/>
                <w:lang w:eastAsia="en-GB"/>
              </w:rPr>
              <w:t xml:space="preserve"> e</w:t>
            </w:r>
            <w:r w:rsidR="004A03D7" w:rsidRPr="00F27570">
              <w:rPr>
                <w:rFonts w:cs="Calibri"/>
                <w:szCs w:val="22"/>
                <w:lang w:eastAsia="en-GB"/>
              </w:rPr>
              <w:t>ntre</w:t>
            </w:r>
            <w:r w:rsidR="0032248C" w:rsidRPr="00F27570">
              <w:rPr>
                <w:rFonts w:cs="Calibri"/>
                <w:szCs w:val="22"/>
                <w:lang w:eastAsia="en-GB"/>
              </w:rPr>
              <w:t xml:space="preserve"> los planes estratégico y financiero:</w:t>
            </w:r>
            <w:bookmarkEnd w:id="136"/>
            <w:r w:rsidR="0032248C" w:rsidRPr="00F27570">
              <w:rPr>
                <w:rFonts w:cs="Calibri"/>
                <w:szCs w:val="22"/>
                <w:lang w:eastAsia="en-GB"/>
              </w:rPr>
              <w:t xml:space="preserve"> </w:t>
            </w:r>
          </w:p>
          <w:p w14:paraId="69CB30BA" w14:textId="1C6EFCEC" w:rsidR="0032248C" w:rsidRPr="00F27570" w:rsidRDefault="00DB7EA6" w:rsidP="00F27570">
            <w:pPr>
              <w:pStyle w:val="Tabletext"/>
              <w:tabs>
                <w:tab w:val="left" w:pos="318"/>
              </w:tabs>
              <w:ind w:left="636" w:hanging="318"/>
              <w:rPr>
                <w:rFonts w:cs="Calibri"/>
                <w:szCs w:val="22"/>
                <w:lang w:eastAsia="en-GB"/>
              </w:rPr>
            </w:pPr>
            <w:bookmarkStart w:id="137" w:name="lt_pId241"/>
            <w:r w:rsidRPr="00F27570">
              <w:rPr>
                <w:rFonts w:cs="Calibri"/>
                <w:szCs w:val="22"/>
                <w:lang w:eastAsia="en-GB"/>
              </w:rPr>
              <w:t>a</w:t>
            </w:r>
            <w:r w:rsidR="00F27570">
              <w:rPr>
                <w:rFonts w:cs="Calibri"/>
                <w:szCs w:val="22"/>
                <w:lang w:eastAsia="en-GB"/>
              </w:rPr>
              <w:t>)</w:t>
            </w:r>
            <w:r w:rsidR="00F27570">
              <w:rPr>
                <w:rFonts w:cs="Calibri"/>
                <w:szCs w:val="22"/>
                <w:lang w:eastAsia="en-GB"/>
              </w:rPr>
              <w:tab/>
            </w:r>
            <w:r w:rsidR="0032248C" w:rsidRPr="00F27570">
              <w:rPr>
                <w:rFonts w:cs="Calibri"/>
                <w:szCs w:val="22"/>
                <w:lang w:eastAsia="en-GB"/>
              </w:rPr>
              <w:t>Vinculación directa entre las prioridades estratégicas, incluidos los temas transversales, y la atribución de recursos financieros y humanos</w:t>
            </w:r>
            <w:r w:rsidR="00F27570">
              <w:rPr>
                <w:rFonts w:cs="Calibri"/>
                <w:szCs w:val="22"/>
                <w:lang w:eastAsia="en-GB"/>
              </w:rPr>
              <w:t>.</w:t>
            </w:r>
          </w:p>
          <w:p w14:paraId="34DC6E4C" w14:textId="2B2DE2FF" w:rsidR="0032248C" w:rsidRPr="00F27570" w:rsidRDefault="00DB7EA6" w:rsidP="00F27570">
            <w:pPr>
              <w:pStyle w:val="Tabletext"/>
              <w:tabs>
                <w:tab w:val="left" w:pos="318"/>
              </w:tabs>
              <w:ind w:left="636" w:hanging="318"/>
              <w:rPr>
                <w:rFonts w:cs="Calibri"/>
                <w:szCs w:val="22"/>
                <w:lang w:eastAsia="en-GB"/>
              </w:rPr>
            </w:pPr>
            <w:bookmarkStart w:id="138" w:name="lt_pId242"/>
            <w:bookmarkEnd w:id="137"/>
            <w:r w:rsidRPr="00F27570">
              <w:rPr>
                <w:rFonts w:cs="Calibri"/>
                <w:szCs w:val="22"/>
                <w:lang w:eastAsia="en-GB"/>
              </w:rPr>
              <w:t>b</w:t>
            </w:r>
            <w:r w:rsidR="00F27570">
              <w:rPr>
                <w:rFonts w:cs="Calibri"/>
                <w:szCs w:val="22"/>
                <w:lang w:eastAsia="en-GB"/>
              </w:rPr>
              <w:t>)</w:t>
            </w:r>
            <w:r w:rsidR="00F27570">
              <w:rPr>
                <w:rFonts w:cs="Calibri"/>
                <w:szCs w:val="22"/>
                <w:lang w:eastAsia="en-GB"/>
              </w:rPr>
              <w:tab/>
            </w:r>
            <w:r w:rsidR="004A03D7" w:rsidRPr="00F27570">
              <w:rPr>
                <w:rFonts w:cs="Calibri"/>
                <w:szCs w:val="22"/>
                <w:lang w:eastAsia="en-GB"/>
              </w:rPr>
              <w:t>No debe quedar ningún componente sin financiar</w:t>
            </w:r>
            <w:r w:rsidR="00F27570">
              <w:rPr>
                <w:rFonts w:cs="Calibri"/>
                <w:szCs w:val="22"/>
                <w:lang w:eastAsia="en-GB"/>
              </w:rPr>
              <w:t>.</w:t>
            </w:r>
          </w:p>
          <w:p w14:paraId="30020F2A" w14:textId="55C9BC3D" w:rsidR="00DB7EA6" w:rsidRPr="00114ED3" w:rsidRDefault="0032248C" w:rsidP="00F27570">
            <w:pPr>
              <w:pStyle w:val="Tabletext"/>
              <w:rPr>
                <w:rFonts w:ascii="Times New Roman" w:hAnsi="Times New Roman"/>
                <w:sz w:val="20"/>
                <w:lang w:eastAsia="en-GB"/>
              </w:rPr>
            </w:pPr>
            <w:r w:rsidRPr="00F27570">
              <w:rPr>
                <w:rFonts w:cs="Calibri"/>
                <w:szCs w:val="22"/>
                <w:lang w:eastAsia="en-GB"/>
              </w:rPr>
              <w:t>(véase también la solicitud de aclaración anterior, relativa a la posibilidad de flexibilizar el mecanismo de atribución de recursos entre los Sectores</w:t>
            </w:r>
            <w:bookmarkStart w:id="139" w:name="lt_pId243"/>
            <w:bookmarkEnd w:id="138"/>
            <w:r w:rsidR="00DB7EA6" w:rsidRPr="00F27570">
              <w:rPr>
                <w:rFonts w:cs="Calibri"/>
                <w:szCs w:val="22"/>
                <w:lang w:eastAsia="en-GB"/>
              </w:rPr>
              <w:t>)</w:t>
            </w:r>
            <w:bookmarkEnd w:id="139"/>
          </w:p>
        </w:tc>
      </w:tr>
      <w:tr w:rsidR="00DB7EA6" w:rsidRPr="00114ED3" w14:paraId="386DC227" w14:textId="77777777" w:rsidTr="00F27570">
        <w:trPr>
          <w:jc w:val="center"/>
        </w:trPr>
        <w:tc>
          <w:tcPr>
            <w:tcW w:w="1523" w:type="dxa"/>
            <w:tcBorders>
              <w:top w:val="nil"/>
              <w:left w:val="nil"/>
              <w:bottom w:val="nil"/>
              <w:right w:val="nil"/>
            </w:tcBorders>
            <w:shd w:val="clear" w:color="auto" w:fill="auto"/>
            <w:hideMark/>
          </w:tcPr>
          <w:p w14:paraId="2037588A" w14:textId="2F324DE5" w:rsidR="00DB7EA6" w:rsidRPr="00F27570" w:rsidRDefault="00D8484D" w:rsidP="00F27570">
            <w:pPr>
              <w:pStyle w:val="Tabletext"/>
              <w:keepNext/>
              <w:keepLines/>
              <w:ind w:left="-57"/>
              <w:rPr>
                <w:lang w:eastAsia="en-GB"/>
              </w:rPr>
            </w:pPr>
            <w:r w:rsidRPr="00F27570">
              <w:rPr>
                <w:lang w:eastAsia="en-GB"/>
              </w:rPr>
              <w:t>Recs. / Conclusiones:</w:t>
            </w:r>
          </w:p>
        </w:tc>
        <w:tc>
          <w:tcPr>
            <w:tcW w:w="8052" w:type="dxa"/>
            <w:tcBorders>
              <w:top w:val="nil"/>
              <w:left w:val="nil"/>
              <w:bottom w:val="nil"/>
              <w:right w:val="nil"/>
            </w:tcBorders>
            <w:shd w:val="clear" w:color="auto" w:fill="auto"/>
            <w:hideMark/>
          </w:tcPr>
          <w:p w14:paraId="5E2F986F" w14:textId="77777777" w:rsidR="008813E6" w:rsidRDefault="00DB7EA6" w:rsidP="008813E6">
            <w:pPr>
              <w:pStyle w:val="Tabletext"/>
              <w:tabs>
                <w:tab w:val="left" w:pos="417"/>
              </w:tabs>
              <w:ind w:left="417" w:hanging="417"/>
              <w:rPr>
                <w:rFonts w:cs="Calibri"/>
                <w:i/>
                <w:iCs/>
                <w:szCs w:val="22"/>
                <w:lang w:eastAsia="en-GB"/>
              </w:rPr>
            </w:pPr>
            <w:bookmarkStart w:id="140" w:name="lt_pId246"/>
            <w:r w:rsidRPr="00F27570">
              <w:rPr>
                <w:rFonts w:cs="Calibri"/>
                <w:i/>
                <w:iCs/>
                <w:szCs w:val="22"/>
                <w:lang w:eastAsia="en-GB"/>
              </w:rPr>
              <w:t>(</w:t>
            </w:r>
            <w:r w:rsidR="00114ED3" w:rsidRPr="00F27570">
              <w:rPr>
                <w:rFonts w:cs="Calibri"/>
                <w:i/>
                <w:iCs/>
                <w:szCs w:val="22"/>
                <w:lang w:eastAsia="en-GB"/>
              </w:rPr>
              <w:t>Informe de McKinsey sobre cultura y competencias</w:t>
            </w:r>
            <w:r w:rsidRPr="00F27570">
              <w:rPr>
                <w:rFonts w:cs="Calibri"/>
                <w:i/>
                <w:iCs/>
                <w:szCs w:val="22"/>
                <w:lang w:eastAsia="en-GB"/>
              </w:rPr>
              <w:t>)</w:t>
            </w:r>
            <w:bookmarkStart w:id="141" w:name="lt_pId247"/>
            <w:bookmarkEnd w:id="140"/>
          </w:p>
          <w:p w14:paraId="7FE94EAC" w14:textId="73AA6B57" w:rsidR="008813E6" w:rsidRDefault="00F27570" w:rsidP="008813E6">
            <w:pPr>
              <w:pStyle w:val="Tabletext"/>
              <w:tabs>
                <w:tab w:val="left" w:pos="417"/>
              </w:tabs>
              <w:ind w:left="417" w:hanging="417"/>
              <w:rPr>
                <w:rFonts w:cs="Calibri"/>
                <w:szCs w:val="22"/>
                <w:lang w:eastAsia="en-GB"/>
              </w:rPr>
            </w:pPr>
            <w:r>
              <w:rPr>
                <w:rFonts w:cs="Calibri"/>
                <w:szCs w:val="22"/>
                <w:lang w:eastAsia="en-GB"/>
              </w:rPr>
              <w:t>–</w:t>
            </w:r>
            <w:r w:rsidR="008813E6">
              <w:rPr>
                <w:rFonts w:cs="Calibri"/>
                <w:szCs w:val="22"/>
                <w:lang w:eastAsia="en-GB"/>
              </w:rPr>
              <w:tab/>
            </w:r>
            <w:r w:rsidR="00560432" w:rsidRPr="00F27570">
              <w:rPr>
                <w:rFonts w:cs="Calibri"/>
                <w:szCs w:val="22"/>
                <w:lang w:eastAsia="en-GB"/>
              </w:rPr>
              <w:t>Se propone un plan de transformación de la UIT basado en 9 iniciativas estructurales</w:t>
            </w:r>
            <w:bookmarkStart w:id="142" w:name="lt_pId248"/>
            <w:bookmarkEnd w:id="141"/>
            <w:r w:rsidR="008813E6">
              <w:rPr>
                <w:rFonts w:cs="Calibri"/>
                <w:szCs w:val="22"/>
                <w:lang w:eastAsia="en-GB"/>
              </w:rPr>
              <w:t>.</w:t>
            </w:r>
          </w:p>
          <w:p w14:paraId="3CF3865E" w14:textId="70196E72" w:rsidR="00DB7EA6" w:rsidRPr="00F27570" w:rsidRDefault="00F27570" w:rsidP="008813E6">
            <w:pPr>
              <w:pStyle w:val="Tabletext"/>
              <w:tabs>
                <w:tab w:val="left" w:pos="417"/>
              </w:tabs>
              <w:ind w:left="417" w:hanging="417"/>
              <w:rPr>
                <w:rFonts w:cs="Calibri"/>
                <w:b/>
                <w:color w:val="800000"/>
                <w:szCs w:val="22"/>
                <w:lang w:eastAsia="en-GB"/>
              </w:rPr>
            </w:pPr>
            <w:r>
              <w:rPr>
                <w:rFonts w:cs="Calibri"/>
                <w:szCs w:val="22"/>
                <w:lang w:eastAsia="en-GB"/>
              </w:rPr>
              <w:t>–</w:t>
            </w:r>
            <w:bookmarkEnd w:id="142"/>
            <w:r w:rsidR="008813E6">
              <w:rPr>
                <w:rFonts w:cs="Calibri"/>
                <w:szCs w:val="22"/>
                <w:lang w:eastAsia="en-GB"/>
              </w:rPr>
              <w:tab/>
            </w:r>
            <w:r w:rsidR="00560432" w:rsidRPr="00F27570">
              <w:rPr>
                <w:rFonts w:cs="Calibri"/>
                <w:b/>
                <w:bCs/>
                <w:szCs w:val="22"/>
                <w:lang w:eastAsia="en-GB"/>
              </w:rPr>
              <w:t xml:space="preserve">Considerar las necesidades de recursos del plan de transformación </w:t>
            </w:r>
            <w:r w:rsidR="00560432" w:rsidRPr="00F27570">
              <w:rPr>
                <w:rFonts w:cs="Calibri"/>
                <w:szCs w:val="22"/>
                <w:lang w:eastAsia="en-GB"/>
              </w:rPr>
              <w:t>en el Plan Financiero para 2024</w:t>
            </w:r>
            <w:r>
              <w:rPr>
                <w:rFonts w:cs="Calibri"/>
                <w:szCs w:val="22"/>
                <w:lang w:eastAsia="en-GB"/>
              </w:rPr>
              <w:t>-</w:t>
            </w:r>
            <w:r w:rsidR="00560432" w:rsidRPr="00F27570">
              <w:rPr>
                <w:rFonts w:cs="Calibri"/>
                <w:szCs w:val="22"/>
                <w:lang w:eastAsia="en-GB"/>
              </w:rPr>
              <w:t>27</w:t>
            </w:r>
            <w:r w:rsidR="008813E6">
              <w:rPr>
                <w:rFonts w:cs="Calibri"/>
                <w:szCs w:val="22"/>
                <w:lang w:eastAsia="en-GB"/>
              </w:rPr>
              <w:t>.</w:t>
            </w:r>
          </w:p>
        </w:tc>
        <w:tc>
          <w:tcPr>
            <w:tcW w:w="1484" w:type="dxa"/>
            <w:tcBorders>
              <w:top w:val="nil"/>
              <w:left w:val="nil"/>
              <w:bottom w:val="nil"/>
              <w:right w:val="nil"/>
            </w:tcBorders>
            <w:shd w:val="clear" w:color="auto" w:fill="auto"/>
            <w:noWrap/>
            <w:vAlign w:val="center"/>
            <w:hideMark/>
          </w:tcPr>
          <w:p w14:paraId="65768E7A" w14:textId="77777777" w:rsidR="00DB7EA6" w:rsidRPr="008813E6" w:rsidRDefault="00D91982" w:rsidP="004260E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548DD4" w:themeColor="text2" w:themeTint="99"/>
                <w:sz w:val="22"/>
                <w:szCs w:val="22"/>
                <w:u w:val="single"/>
                <w:lang w:eastAsia="en-GB"/>
              </w:rPr>
            </w:pPr>
            <w:hyperlink r:id="rId33" w:history="1">
              <w:bookmarkStart w:id="143" w:name="lt_pId249"/>
              <w:r w:rsidR="00DB7EA6" w:rsidRPr="008813E6">
                <w:rPr>
                  <w:rFonts w:cs="Calibri"/>
                  <w:color w:val="548DD4" w:themeColor="text2" w:themeTint="99"/>
                  <w:sz w:val="22"/>
                  <w:szCs w:val="22"/>
                  <w:u w:val="single"/>
                  <w:lang w:eastAsia="en-GB"/>
                </w:rPr>
                <w:t>CWG-SFP-1/5</w:t>
              </w:r>
              <w:bookmarkEnd w:id="143"/>
            </w:hyperlink>
          </w:p>
        </w:tc>
        <w:tc>
          <w:tcPr>
            <w:tcW w:w="3513" w:type="dxa"/>
            <w:vMerge/>
            <w:tcBorders>
              <w:left w:val="nil"/>
              <w:bottom w:val="nil"/>
              <w:right w:val="nil"/>
            </w:tcBorders>
            <w:shd w:val="clear" w:color="auto" w:fill="FFFFFF" w:themeFill="background1"/>
            <w:noWrap/>
            <w:vAlign w:val="bottom"/>
            <w:hideMark/>
          </w:tcPr>
          <w:p w14:paraId="1044BF5B" w14:textId="77777777" w:rsidR="00DB7EA6" w:rsidRPr="00114ED3" w:rsidRDefault="00DB7EA6" w:rsidP="004260EB">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p>
        </w:tc>
      </w:tr>
    </w:tbl>
    <w:p w14:paraId="416621E8" w14:textId="5E2CF0F8" w:rsidR="008813E6" w:rsidRDefault="008813E6">
      <w:r>
        <w:br w:type="page"/>
      </w:r>
    </w:p>
    <w:tbl>
      <w:tblPr>
        <w:tblW w:w="14572" w:type="dxa"/>
        <w:jc w:val="center"/>
        <w:tblLook w:val="04A0" w:firstRow="1" w:lastRow="0" w:firstColumn="1" w:lastColumn="0" w:noHBand="0" w:noVBand="1"/>
      </w:tblPr>
      <w:tblGrid>
        <w:gridCol w:w="1523"/>
        <w:gridCol w:w="8066"/>
        <w:gridCol w:w="1484"/>
        <w:gridCol w:w="3499"/>
      </w:tblGrid>
      <w:tr w:rsidR="008813E6" w:rsidRPr="008813E6" w14:paraId="491A6F82" w14:textId="77777777" w:rsidTr="008813E6">
        <w:trPr>
          <w:trHeight w:val="555"/>
          <w:jc w:val="center"/>
        </w:trPr>
        <w:tc>
          <w:tcPr>
            <w:tcW w:w="14572" w:type="dxa"/>
            <w:gridSpan w:val="4"/>
            <w:tcBorders>
              <w:top w:val="single" w:sz="8" w:space="0" w:color="FFFFFF"/>
              <w:left w:val="nil"/>
              <w:bottom w:val="single" w:sz="8" w:space="0" w:color="FFFFFF"/>
              <w:right w:val="nil"/>
            </w:tcBorders>
            <w:shd w:val="clear" w:color="auto" w:fill="8DB3E2" w:themeFill="text2" w:themeFillTint="66"/>
            <w:vAlign w:val="center"/>
          </w:tcPr>
          <w:p w14:paraId="314542A5" w14:textId="4FC36402" w:rsidR="008813E6" w:rsidRPr="008813E6" w:rsidRDefault="008813E6" w:rsidP="008813E6">
            <w:pPr>
              <w:pStyle w:val="Tablehead"/>
              <w:jc w:val="left"/>
              <w:rPr>
                <w:rFonts w:cs="Calibri"/>
                <w:szCs w:val="22"/>
                <w:lang w:eastAsia="en-GB"/>
              </w:rPr>
            </w:pPr>
            <w:r>
              <w:rPr>
                <w:rFonts w:cs="Calibri"/>
                <w:szCs w:val="22"/>
                <w:lang w:eastAsia="en-GB"/>
              </w:rPr>
              <w:lastRenderedPageBreak/>
              <w:t>9</w:t>
            </w:r>
            <w:r>
              <w:rPr>
                <w:rFonts w:cs="Calibri"/>
                <w:szCs w:val="22"/>
                <w:lang w:eastAsia="en-GB"/>
              </w:rPr>
              <w:tab/>
            </w:r>
            <w:r w:rsidRPr="008813E6">
              <w:rPr>
                <w:rFonts w:cs="Calibri"/>
                <w:szCs w:val="22"/>
                <w:lang w:eastAsia="en-GB"/>
              </w:rPr>
              <w:t>Novedades a escala de las Naciones Unidas</w:t>
            </w:r>
          </w:p>
        </w:tc>
      </w:tr>
      <w:tr w:rsidR="00862CA6" w:rsidRPr="008813E6" w14:paraId="2FCE8821" w14:textId="77777777" w:rsidTr="008813E6">
        <w:trPr>
          <w:trHeight w:val="555"/>
          <w:jc w:val="center"/>
        </w:trPr>
        <w:tc>
          <w:tcPr>
            <w:tcW w:w="1523" w:type="dxa"/>
            <w:tcBorders>
              <w:top w:val="single" w:sz="8" w:space="0" w:color="FFFFFF"/>
              <w:left w:val="nil"/>
              <w:bottom w:val="single" w:sz="2" w:space="0" w:color="auto"/>
              <w:right w:val="nil"/>
            </w:tcBorders>
            <w:shd w:val="clear" w:color="auto" w:fill="auto"/>
            <w:vAlign w:val="center"/>
            <w:hideMark/>
          </w:tcPr>
          <w:p w14:paraId="49CDEFDE" w14:textId="7CD6DFA9" w:rsidR="00862CA6" w:rsidRPr="008813E6" w:rsidRDefault="00862CA6" w:rsidP="008813E6">
            <w:pPr>
              <w:pStyle w:val="Tabletext"/>
              <w:tabs>
                <w:tab w:val="left" w:pos="380"/>
              </w:tabs>
              <w:jc w:val="center"/>
              <w:rPr>
                <w:rFonts w:cs="Calibri"/>
                <w:b/>
                <w:bCs/>
                <w:szCs w:val="22"/>
                <w:lang w:eastAsia="en-GB"/>
              </w:rPr>
            </w:pPr>
            <w:r w:rsidRPr="008813E6">
              <w:rPr>
                <w:rFonts w:cs="Calibri"/>
                <w:b/>
                <w:bCs/>
                <w:szCs w:val="22"/>
                <w:lang w:eastAsia="en-GB"/>
              </w:rPr>
              <w:t>Origen de las observaciones</w:t>
            </w:r>
          </w:p>
        </w:tc>
        <w:tc>
          <w:tcPr>
            <w:tcW w:w="8066" w:type="dxa"/>
            <w:tcBorders>
              <w:top w:val="single" w:sz="8" w:space="0" w:color="FFFFFF"/>
              <w:left w:val="nil"/>
              <w:bottom w:val="single" w:sz="2" w:space="0" w:color="auto"/>
              <w:right w:val="nil"/>
            </w:tcBorders>
            <w:shd w:val="clear" w:color="auto" w:fill="auto"/>
            <w:vAlign w:val="center"/>
            <w:hideMark/>
          </w:tcPr>
          <w:p w14:paraId="7C77EA97" w14:textId="2E1F1B55" w:rsidR="00862CA6" w:rsidRPr="008813E6" w:rsidRDefault="00862CA6" w:rsidP="008813E6">
            <w:pPr>
              <w:pStyle w:val="Tabletext"/>
              <w:tabs>
                <w:tab w:val="left" w:pos="380"/>
              </w:tabs>
              <w:jc w:val="center"/>
              <w:rPr>
                <w:rFonts w:cs="Calibri"/>
                <w:b/>
                <w:bCs/>
                <w:szCs w:val="22"/>
                <w:lang w:eastAsia="en-GB"/>
              </w:rPr>
            </w:pPr>
            <w:r w:rsidRPr="008813E6">
              <w:rPr>
                <w:rFonts w:cs="Calibri"/>
                <w:b/>
                <w:bCs/>
                <w:szCs w:val="22"/>
                <w:lang w:eastAsia="en-GB"/>
              </w:rPr>
              <w:t>Observaciones</w:t>
            </w:r>
          </w:p>
        </w:tc>
        <w:tc>
          <w:tcPr>
            <w:tcW w:w="1484" w:type="dxa"/>
            <w:tcBorders>
              <w:top w:val="single" w:sz="8" w:space="0" w:color="FFFFFF"/>
              <w:left w:val="nil"/>
              <w:bottom w:val="single" w:sz="2" w:space="0" w:color="auto"/>
              <w:right w:val="nil"/>
            </w:tcBorders>
            <w:shd w:val="clear" w:color="auto" w:fill="auto"/>
            <w:vAlign w:val="center"/>
            <w:hideMark/>
          </w:tcPr>
          <w:p w14:paraId="1F6FA5FB" w14:textId="0F8EF2EB" w:rsidR="00862CA6" w:rsidRPr="008813E6" w:rsidRDefault="00862CA6" w:rsidP="008813E6">
            <w:pPr>
              <w:pStyle w:val="Tabletext"/>
              <w:tabs>
                <w:tab w:val="left" w:pos="380"/>
              </w:tabs>
              <w:jc w:val="center"/>
              <w:rPr>
                <w:rFonts w:cs="Calibri"/>
                <w:b/>
                <w:bCs/>
                <w:szCs w:val="22"/>
                <w:lang w:eastAsia="en-GB"/>
              </w:rPr>
            </w:pPr>
            <w:r w:rsidRPr="008813E6">
              <w:rPr>
                <w:rFonts w:cs="Calibri"/>
                <w:b/>
                <w:bCs/>
                <w:szCs w:val="22"/>
                <w:lang w:eastAsia="en-GB"/>
              </w:rPr>
              <w:t xml:space="preserve">Doc. del </w:t>
            </w:r>
            <w:r w:rsidR="008813E6">
              <w:rPr>
                <w:rFonts w:cs="Calibri"/>
                <w:b/>
                <w:bCs/>
                <w:szCs w:val="22"/>
                <w:lang w:eastAsia="en-GB"/>
              </w:rPr>
              <w:br/>
            </w:r>
            <w:r w:rsidRPr="008813E6">
              <w:rPr>
                <w:rFonts w:cs="Calibri"/>
                <w:b/>
                <w:bCs/>
                <w:szCs w:val="22"/>
                <w:lang w:eastAsia="en-GB"/>
              </w:rPr>
              <w:t>GTC-PEF</w:t>
            </w:r>
          </w:p>
        </w:tc>
        <w:tc>
          <w:tcPr>
            <w:tcW w:w="3499" w:type="dxa"/>
            <w:tcBorders>
              <w:top w:val="single" w:sz="8" w:space="0" w:color="FFFFFF"/>
              <w:left w:val="nil"/>
              <w:bottom w:val="single" w:sz="2" w:space="0" w:color="auto"/>
              <w:right w:val="nil"/>
            </w:tcBorders>
            <w:shd w:val="clear" w:color="auto" w:fill="auto"/>
            <w:vAlign w:val="center"/>
            <w:hideMark/>
          </w:tcPr>
          <w:p w14:paraId="193F633B" w14:textId="7441E866" w:rsidR="00862CA6" w:rsidRPr="008813E6" w:rsidRDefault="00862CA6" w:rsidP="008813E6">
            <w:pPr>
              <w:pStyle w:val="Tabletext"/>
              <w:tabs>
                <w:tab w:val="left" w:pos="380"/>
              </w:tabs>
              <w:jc w:val="center"/>
              <w:rPr>
                <w:rFonts w:cs="Calibri"/>
                <w:b/>
                <w:bCs/>
                <w:szCs w:val="22"/>
                <w:lang w:eastAsia="en-GB"/>
              </w:rPr>
            </w:pPr>
            <w:r w:rsidRPr="008813E6">
              <w:rPr>
                <w:rFonts w:cs="Calibri"/>
                <w:b/>
                <w:bCs/>
                <w:szCs w:val="22"/>
                <w:lang w:eastAsia="en-GB"/>
              </w:rPr>
              <w:t>Orientaciones del GTC-PEF</w:t>
            </w:r>
          </w:p>
        </w:tc>
      </w:tr>
      <w:tr w:rsidR="00DB7EA6" w:rsidRPr="00114ED3" w14:paraId="357706F2" w14:textId="77777777" w:rsidTr="008813E6">
        <w:trPr>
          <w:trHeight w:val="3795"/>
          <w:jc w:val="center"/>
        </w:trPr>
        <w:tc>
          <w:tcPr>
            <w:tcW w:w="1523" w:type="dxa"/>
            <w:tcBorders>
              <w:top w:val="single" w:sz="2" w:space="0" w:color="auto"/>
              <w:left w:val="nil"/>
              <w:right w:val="nil"/>
            </w:tcBorders>
            <w:shd w:val="clear" w:color="EDEDED" w:fill="EDEDED"/>
            <w:hideMark/>
          </w:tcPr>
          <w:p w14:paraId="21492E96" w14:textId="29247167" w:rsidR="00DB7EA6" w:rsidRPr="008813E6" w:rsidRDefault="00D8484D" w:rsidP="00436F90">
            <w:pPr>
              <w:tabs>
                <w:tab w:val="clear" w:pos="567"/>
                <w:tab w:val="clear" w:pos="1134"/>
                <w:tab w:val="clear" w:pos="1701"/>
                <w:tab w:val="clear" w:pos="2268"/>
                <w:tab w:val="clear" w:pos="2835"/>
              </w:tabs>
              <w:overflowPunct/>
              <w:autoSpaceDE/>
              <w:autoSpaceDN/>
              <w:adjustRightInd/>
              <w:spacing w:before="80"/>
              <w:textAlignment w:val="auto"/>
              <w:rPr>
                <w:rFonts w:cs="Calibri"/>
                <w:sz w:val="22"/>
                <w:szCs w:val="22"/>
                <w:lang w:eastAsia="en-GB"/>
              </w:rPr>
            </w:pPr>
            <w:r w:rsidRPr="008813E6">
              <w:rPr>
                <w:rFonts w:cs="Calibri"/>
                <w:sz w:val="22"/>
                <w:szCs w:val="22"/>
                <w:lang w:eastAsia="en-GB"/>
              </w:rPr>
              <w:t>Recs. / Conclusiones:</w:t>
            </w:r>
          </w:p>
        </w:tc>
        <w:tc>
          <w:tcPr>
            <w:tcW w:w="8066" w:type="dxa"/>
            <w:tcBorders>
              <w:top w:val="single" w:sz="2" w:space="0" w:color="auto"/>
              <w:left w:val="nil"/>
              <w:right w:val="nil"/>
            </w:tcBorders>
            <w:shd w:val="clear" w:color="EDEDED" w:fill="EDEDED"/>
            <w:hideMark/>
          </w:tcPr>
          <w:p w14:paraId="331B7405" w14:textId="77777777" w:rsidR="008813E6" w:rsidRDefault="00114ED3" w:rsidP="00436F90">
            <w:pPr>
              <w:tabs>
                <w:tab w:val="clear" w:pos="567"/>
                <w:tab w:val="clear" w:pos="1134"/>
                <w:tab w:val="clear" w:pos="1701"/>
                <w:tab w:val="clear" w:pos="2268"/>
                <w:tab w:val="clear" w:pos="2835"/>
              </w:tabs>
              <w:overflowPunct/>
              <w:autoSpaceDE/>
              <w:autoSpaceDN/>
              <w:adjustRightInd/>
              <w:spacing w:before="80"/>
              <w:textAlignment w:val="auto"/>
              <w:rPr>
                <w:rFonts w:cs="Calibri"/>
                <w:i/>
                <w:iCs/>
                <w:sz w:val="22"/>
                <w:szCs w:val="22"/>
                <w:lang w:eastAsia="en-GB"/>
              </w:rPr>
            </w:pPr>
            <w:bookmarkStart w:id="144" w:name="lt_pId257"/>
            <w:r w:rsidRPr="008813E6">
              <w:rPr>
                <w:rFonts w:cs="Calibri"/>
                <w:i/>
                <w:iCs/>
                <w:sz w:val="22"/>
                <w:szCs w:val="22"/>
                <w:lang w:eastAsia="en-GB"/>
              </w:rPr>
              <w:t>Posible opción</w:t>
            </w:r>
            <w:r w:rsidR="00DB7EA6" w:rsidRPr="008813E6">
              <w:rPr>
                <w:rFonts w:cs="Calibri"/>
                <w:i/>
                <w:iCs/>
                <w:sz w:val="22"/>
                <w:szCs w:val="22"/>
                <w:lang w:eastAsia="en-GB"/>
              </w:rPr>
              <w:t>:</w:t>
            </w:r>
            <w:bookmarkStart w:id="145" w:name="lt_pId258"/>
            <w:bookmarkEnd w:id="144"/>
          </w:p>
          <w:p w14:paraId="6DE235BB" w14:textId="57B3EF13" w:rsidR="008813E6" w:rsidRDefault="008813E6" w:rsidP="008813E6">
            <w:pPr>
              <w:pStyle w:val="Tabletext"/>
              <w:tabs>
                <w:tab w:val="left" w:pos="417"/>
              </w:tabs>
              <w:ind w:left="417" w:hanging="417"/>
              <w:rPr>
                <w:rFonts w:cs="Calibri"/>
                <w:szCs w:val="22"/>
                <w:lang w:eastAsia="en-GB"/>
              </w:rPr>
            </w:pPr>
            <w:r>
              <w:rPr>
                <w:rFonts w:cs="Calibri"/>
                <w:szCs w:val="22"/>
                <w:lang w:eastAsia="en-GB"/>
              </w:rPr>
              <w:t>–</w:t>
            </w:r>
            <w:r>
              <w:rPr>
                <w:rFonts w:cs="Calibri"/>
                <w:szCs w:val="22"/>
                <w:lang w:eastAsia="en-GB"/>
              </w:rPr>
              <w:tab/>
            </w:r>
            <w:r w:rsidR="00592DCC" w:rsidRPr="008813E6">
              <w:rPr>
                <w:rFonts w:cs="Calibri"/>
                <w:szCs w:val="22"/>
                <w:lang w:eastAsia="en-GB"/>
              </w:rPr>
              <w:t xml:space="preserve">Los </w:t>
            </w:r>
            <w:r w:rsidR="00592DCC" w:rsidRPr="008813E6">
              <w:rPr>
                <w:rFonts w:cs="Calibri"/>
                <w:b/>
                <w:bCs/>
                <w:szCs w:val="22"/>
                <w:lang w:eastAsia="en-GB"/>
              </w:rPr>
              <w:t xml:space="preserve">trabajos de todo el sistema de las Naciones Unidas sobre las tecnologías digitales y cómo las estrategias de la UIT pueden </w:t>
            </w:r>
            <w:r w:rsidR="00176D4F" w:rsidRPr="008813E6">
              <w:rPr>
                <w:rFonts w:cs="Calibri"/>
                <w:b/>
                <w:bCs/>
                <w:szCs w:val="22"/>
                <w:lang w:eastAsia="en-GB"/>
              </w:rPr>
              <w:t>abordar</w:t>
            </w:r>
            <w:r w:rsidR="00592DCC" w:rsidRPr="008813E6">
              <w:rPr>
                <w:rFonts w:cs="Calibri"/>
                <w:b/>
                <w:bCs/>
                <w:szCs w:val="22"/>
                <w:lang w:eastAsia="en-GB"/>
              </w:rPr>
              <w:t xml:space="preserve"> lagunas y oportunidades</w:t>
            </w:r>
            <w:r w:rsidR="00592DCC" w:rsidRPr="008813E6">
              <w:rPr>
                <w:rFonts w:cs="Calibri"/>
                <w:szCs w:val="22"/>
                <w:lang w:eastAsia="en-GB"/>
              </w:rPr>
              <w:t xml:space="preserve"> </w:t>
            </w:r>
            <w:r w:rsidR="000554C8" w:rsidRPr="008813E6">
              <w:rPr>
                <w:rFonts w:cs="Calibri"/>
                <w:szCs w:val="22"/>
                <w:lang w:eastAsia="en-GB"/>
              </w:rPr>
              <w:t>conexas</w:t>
            </w:r>
            <w:r w:rsidR="00592DCC" w:rsidRPr="008813E6">
              <w:rPr>
                <w:rFonts w:cs="Calibri"/>
                <w:szCs w:val="22"/>
                <w:lang w:eastAsia="en-GB"/>
              </w:rPr>
              <w:t>.</w:t>
            </w:r>
            <w:bookmarkStart w:id="146" w:name="lt_pId259"/>
            <w:bookmarkEnd w:id="145"/>
          </w:p>
          <w:p w14:paraId="514B2357" w14:textId="3B188694" w:rsidR="008813E6" w:rsidRDefault="008813E6" w:rsidP="008813E6">
            <w:pPr>
              <w:pStyle w:val="Tabletext"/>
              <w:tabs>
                <w:tab w:val="left" w:pos="417"/>
              </w:tabs>
              <w:ind w:left="417" w:hanging="417"/>
              <w:rPr>
                <w:rFonts w:cs="Calibri"/>
                <w:szCs w:val="22"/>
                <w:lang w:eastAsia="en-GB"/>
              </w:rPr>
            </w:pPr>
            <w:r>
              <w:rPr>
                <w:rFonts w:cs="Calibri"/>
                <w:szCs w:val="22"/>
                <w:lang w:eastAsia="en-GB"/>
              </w:rPr>
              <w:t>–</w:t>
            </w:r>
            <w:r>
              <w:rPr>
                <w:rFonts w:cs="Calibri"/>
                <w:szCs w:val="22"/>
                <w:lang w:eastAsia="en-GB"/>
              </w:rPr>
              <w:tab/>
            </w:r>
            <w:r w:rsidR="00592DCC" w:rsidRPr="008813E6">
              <w:rPr>
                <w:rFonts w:cs="Calibri"/>
                <w:szCs w:val="22"/>
                <w:lang w:eastAsia="en-GB"/>
              </w:rPr>
              <w:t xml:space="preserve">Que </w:t>
            </w:r>
            <w:r w:rsidR="00592DCC" w:rsidRPr="008813E6">
              <w:rPr>
                <w:rFonts w:cs="Calibri"/>
                <w:b/>
                <w:bCs/>
                <w:szCs w:val="22"/>
                <w:lang w:eastAsia="en-GB"/>
              </w:rPr>
              <w:t>la digitalización se ha convertido en una de las principales prioridades de todo el sistema de las Naciones Unidas</w:t>
            </w:r>
            <w:r w:rsidR="00592DCC" w:rsidRPr="008813E6">
              <w:rPr>
                <w:rFonts w:cs="Calibri"/>
                <w:szCs w:val="22"/>
                <w:lang w:eastAsia="en-GB"/>
              </w:rPr>
              <w:t xml:space="preserve">, creando </w:t>
            </w:r>
            <w:r w:rsidR="00592DCC" w:rsidRPr="008813E6">
              <w:rPr>
                <w:rFonts w:cs="Calibri"/>
                <w:b/>
                <w:bCs/>
                <w:szCs w:val="22"/>
                <w:lang w:eastAsia="en-GB"/>
              </w:rPr>
              <w:t>posibles paralelismos con los mandatos de la UIT</w:t>
            </w:r>
            <w:r w:rsidR="00592DCC" w:rsidRPr="008813E6">
              <w:rPr>
                <w:rFonts w:cs="Calibri"/>
                <w:szCs w:val="22"/>
                <w:lang w:eastAsia="en-GB"/>
              </w:rPr>
              <w:t xml:space="preserve"> en el ámbito técnico (por ejemplo, la conectividad universal) y, a su vez, </w:t>
            </w:r>
            <w:r w:rsidR="00592DCC" w:rsidRPr="008813E6">
              <w:rPr>
                <w:rFonts w:cs="Calibri"/>
                <w:b/>
                <w:bCs/>
                <w:szCs w:val="22"/>
                <w:lang w:eastAsia="en-GB"/>
              </w:rPr>
              <w:t>brindando oportunidades para reforzar el papel rector de la UIT</w:t>
            </w:r>
            <w:r w:rsidR="00592DCC" w:rsidRPr="008813E6">
              <w:rPr>
                <w:rFonts w:cs="Calibri"/>
                <w:szCs w:val="22"/>
                <w:lang w:eastAsia="en-GB"/>
              </w:rPr>
              <w:t xml:space="preserve"> en la esfera de las TIC dentro del sistema de las Naciones Unidas y fuera de él (por ejemplo, en el contexto del siguiente aspecto sometido por el Grupo de Trabajo a la consideración y orientación del HLCM)</w:t>
            </w:r>
            <w:bookmarkStart w:id="147" w:name="lt_pId260"/>
            <w:bookmarkEnd w:id="146"/>
            <w:r>
              <w:rPr>
                <w:rFonts w:cs="Calibri"/>
                <w:szCs w:val="22"/>
                <w:lang w:eastAsia="en-GB"/>
              </w:rPr>
              <w:t>.</w:t>
            </w:r>
          </w:p>
          <w:p w14:paraId="5E3A1E67" w14:textId="1B5E08E4" w:rsidR="008813E6" w:rsidRDefault="008813E6" w:rsidP="008813E6">
            <w:pPr>
              <w:pStyle w:val="Tabletext"/>
              <w:tabs>
                <w:tab w:val="left" w:pos="417"/>
              </w:tabs>
              <w:ind w:left="417" w:hanging="417"/>
              <w:rPr>
                <w:rFonts w:cs="Calibri"/>
                <w:szCs w:val="22"/>
                <w:lang w:eastAsia="en-GB"/>
              </w:rPr>
            </w:pPr>
            <w:r>
              <w:rPr>
                <w:rFonts w:cs="Calibri"/>
                <w:szCs w:val="22"/>
                <w:lang w:eastAsia="en-GB"/>
              </w:rPr>
              <w:t>–</w:t>
            </w:r>
            <w:r>
              <w:rPr>
                <w:rFonts w:cs="Calibri"/>
                <w:szCs w:val="22"/>
                <w:lang w:eastAsia="en-GB"/>
              </w:rPr>
              <w:tab/>
            </w:r>
            <w:r w:rsidR="00592DCC" w:rsidRPr="008813E6">
              <w:rPr>
                <w:rFonts w:cs="Calibri"/>
                <w:szCs w:val="22"/>
                <w:lang w:eastAsia="en-GB"/>
              </w:rPr>
              <w:t xml:space="preserve">Seguir </w:t>
            </w:r>
            <w:r w:rsidR="00592DCC" w:rsidRPr="008813E6">
              <w:rPr>
                <w:rFonts w:cs="Calibri"/>
                <w:b/>
                <w:bCs/>
                <w:szCs w:val="22"/>
                <w:lang w:eastAsia="en-GB"/>
              </w:rPr>
              <w:t>reforzando y creando sinergias en todo el sistema de las Naciones Unidas</w:t>
            </w:r>
            <w:r w:rsidR="00592DCC" w:rsidRPr="008813E6">
              <w:rPr>
                <w:rFonts w:cs="Calibri"/>
                <w:szCs w:val="22"/>
                <w:lang w:eastAsia="en-GB"/>
              </w:rPr>
              <w:t>, a través de iniciativas conjuntas que promuevan las TIC como instrumentos propicios para cumplir la Agenda 2030, incluidas las actividades relativas al cambio climático</w:t>
            </w:r>
            <w:r w:rsidR="00DB7EA6" w:rsidRPr="008813E6">
              <w:rPr>
                <w:rFonts w:cs="Calibri"/>
                <w:szCs w:val="22"/>
                <w:lang w:eastAsia="en-GB"/>
              </w:rPr>
              <w:t>.</w:t>
            </w:r>
            <w:bookmarkStart w:id="148" w:name="lt_pId261"/>
            <w:bookmarkEnd w:id="147"/>
          </w:p>
          <w:p w14:paraId="0F8CE6BE" w14:textId="1F6EF850" w:rsidR="00DB7EA6" w:rsidRPr="008813E6" w:rsidRDefault="008813E6" w:rsidP="008813E6">
            <w:pPr>
              <w:pStyle w:val="Tabletext"/>
              <w:tabs>
                <w:tab w:val="left" w:pos="417"/>
              </w:tabs>
              <w:ind w:left="417" w:hanging="417"/>
              <w:rPr>
                <w:rFonts w:cs="Calibri"/>
                <w:b/>
                <w:color w:val="800000"/>
                <w:szCs w:val="22"/>
                <w:lang w:eastAsia="en-GB"/>
              </w:rPr>
            </w:pPr>
            <w:r>
              <w:rPr>
                <w:rFonts w:cs="Calibri"/>
                <w:szCs w:val="22"/>
                <w:lang w:eastAsia="en-GB"/>
              </w:rPr>
              <w:t>–</w:t>
            </w:r>
            <w:r>
              <w:rPr>
                <w:rFonts w:cs="Calibri"/>
                <w:szCs w:val="22"/>
                <w:lang w:eastAsia="en-GB"/>
              </w:rPr>
              <w:tab/>
            </w:r>
            <w:r w:rsidR="00592DCC" w:rsidRPr="008813E6">
              <w:rPr>
                <w:rFonts w:cs="Calibri"/>
                <w:szCs w:val="22"/>
                <w:lang w:eastAsia="en-GB"/>
              </w:rPr>
              <w:t xml:space="preserve">La necesidad de </w:t>
            </w:r>
            <w:r w:rsidR="00592DCC" w:rsidRPr="008813E6">
              <w:rPr>
                <w:rFonts w:cs="Calibri"/>
                <w:b/>
                <w:bCs/>
                <w:szCs w:val="22"/>
                <w:lang w:eastAsia="en-GB"/>
              </w:rPr>
              <w:t>mejorar los vínculos entre la UIT y las Naciones Unidas</w:t>
            </w:r>
            <w:r w:rsidR="00592DCC" w:rsidRPr="008813E6">
              <w:rPr>
                <w:rFonts w:cs="Calibri"/>
                <w:szCs w:val="22"/>
                <w:lang w:eastAsia="en-GB"/>
              </w:rPr>
              <w:t xml:space="preserve"> (incluidas las Oficinas Regionales de la UIT y los UNCT), para definir con mayor precisión el papel fundamental de las TIC en el sistema de las Naciones Unidas para el desarrollo, con el fin de ayudar a los países a definir las principales lagunas y prioridades de los ODS</w:t>
            </w:r>
            <w:r w:rsidR="00DB7EA6" w:rsidRPr="008813E6">
              <w:rPr>
                <w:rFonts w:cs="Calibri"/>
                <w:szCs w:val="22"/>
                <w:lang w:eastAsia="en-GB"/>
              </w:rPr>
              <w:t>.</w:t>
            </w:r>
            <w:bookmarkEnd w:id="148"/>
            <w:r w:rsidR="00DB7EA6" w:rsidRPr="008813E6">
              <w:rPr>
                <w:rFonts w:cs="Calibri"/>
                <w:b/>
                <w:color w:val="800000"/>
                <w:szCs w:val="22"/>
                <w:lang w:eastAsia="en-GB"/>
              </w:rPr>
              <w:t xml:space="preserve"> </w:t>
            </w:r>
          </w:p>
        </w:tc>
        <w:tc>
          <w:tcPr>
            <w:tcW w:w="1484" w:type="dxa"/>
            <w:tcBorders>
              <w:top w:val="single" w:sz="2" w:space="0" w:color="auto"/>
              <w:left w:val="nil"/>
              <w:right w:val="nil"/>
            </w:tcBorders>
            <w:shd w:val="clear" w:color="EDEDED" w:fill="EDEDED"/>
            <w:noWrap/>
            <w:vAlign w:val="center"/>
            <w:hideMark/>
          </w:tcPr>
          <w:p w14:paraId="2B7CCDFB" w14:textId="77777777" w:rsidR="00DB7EA6" w:rsidRPr="008813E6" w:rsidRDefault="00D91982" w:rsidP="004260E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u w:val="single"/>
                <w:lang w:eastAsia="en-GB"/>
              </w:rPr>
            </w:pPr>
            <w:hyperlink r:id="rId34" w:history="1">
              <w:bookmarkStart w:id="149" w:name="lt_pId262"/>
              <w:r w:rsidR="00DB7EA6" w:rsidRPr="008813E6">
                <w:rPr>
                  <w:rFonts w:cs="Calibri"/>
                  <w:color w:val="548DD4" w:themeColor="text2" w:themeTint="99"/>
                  <w:sz w:val="22"/>
                  <w:szCs w:val="22"/>
                  <w:u w:val="single"/>
                  <w:lang w:eastAsia="en-GB"/>
                </w:rPr>
                <w:t>CWG-SFP-1/7</w:t>
              </w:r>
              <w:bookmarkEnd w:id="149"/>
            </w:hyperlink>
          </w:p>
        </w:tc>
        <w:tc>
          <w:tcPr>
            <w:tcW w:w="3499" w:type="dxa"/>
            <w:tcBorders>
              <w:top w:val="single" w:sz="2" w:space="0" w:color="auto"/>
              <w:left w:val="nil"/>
              <w:right w:val="nil"/>
            </w:tcBorders>
            <w:shd w:val="clear" w:color="EDEDED" w:fill="EDEDED"/>
            <w:noWrap/>
            <w:hideMark/>
          </w:tcPr>
          <w:p w14:paraId="09F73BCF" w14:textId="1D83F8DB" w:rsidR="00176D4F" w:rsidRPr="008813E6" w:rsidRDefault="008813E6" w:rsidP="00436F90">
            <w:pPr>
              <w:pStyle w:val="Tabletext"/>
              <w:spacing w:before="80"/>
              <w:ind w:left="312" w:hanging="312"/>
              <w:rPr>
                <w:rFonts w:cs="Calibri"/>
                <w:szCs w:val="22"/>
                <w:lang w:eastAsia="en-GB"/>
              </w:rPr>
            </w:pPr>
            <w:bookmarkStart w:id="150" w:name="lt_pId263"/>
            <w:r>
              <w:rPr>
                <w:rFonts w:cs="Calibri"/>
                <w:szCs w:val="22"/>
                <w:lang w:eastAsia="en-GB"/>
              </w:rPr>
              <w:t>–</w:t>
            </w:r>
            <w:r>
              <w:rPr>
                <w:rFonts w:cs="Calibri"/>
                <w:szCs w:val="22"/>
                <w:lang w:eastAsia="en-GB"/>
              </w:rPr>
              <w:tab/>
            </w:r>
            <w:r w:rsidR="00176D4F" w:rsidRPr="008813E6">
              <w:rPr>
                <w:rFonts w:cs="Calibri"/>
                <w:szCs w:val="22"/>
                <w:lang w:eastAsia="en-GB"/>
              </w:rPr>
              <w:t>Solicitar a la secretaría que proporcione información actualizada sobre los debates en curso a nivel de las Naciones Unidas</w:t>
            </w:r>
            <w:r>
              <w:rPr>
                <w:rFonts w:cs="Calibri"/>
                <w:szCs w:val="22"/>
                <w:lang w:eastAsia="en-GB"/>
              </w:rPr>
              <w:t>.</w:t>
            </w:r>
          </w:p>
          <w:p w14:paraId="2A7D5046" w14:textId="50109C6D" w:rsidR="00176D4F" w:rsidRPr="008813E6" w:rsidRDefault="008813E6" w:rsidP="008813E6">
            <w:pPr>
              <w:pStyle w:val="Tabletext"/>
              <w:ind w:left="313" w:hanging="313"/>
              <w:rPr>
                <w:rFonts w:cs="Calibri"/>
                <w:szCs w:val="22"/>
                <w:lang w:eastAsia="en-GB"/>
              </w:rPr>
            </w:pPr>
            <w:r>
              <w:rPr>
                <w:rFonts w:cs="Calibri"/>
                <w:szCs w:val="22"/>
                <w:lang w:eastAsia="en-GB"/>
              </w:rPr>
              <w:t>–</w:t>
            </w:r>
            <w:r>
              <w:rPr>
                <w:rFonts w:cs="Calibri"/>
                <w:szCs w:val="22"/>
                <w:lang w:eastAsia="en-GB"/>
              </w:rPr>
              <w:tab/>
            </w:r>
            <w:r w:rsidR="00176D4F" w:rsidRPr="008813E6">
              <w:rPr>
                <w:rFonts w:cs="Calibri"/>
                <w:szCs w:val="22"/>
                <w:lang w:eastAsia="en-GB"/>
              </w:rPr>
              <w:t>Solicitar a la secretaría que aporte contribuciones para definir con mayor precisión el papel de la UIT en el sistema de las Naciones Unidas (teniendo en cuenta la Agenda 2030 y la contribución de la UIT a los ODS y al proceso de la CMSI)</w:t>
            </w:r>
            <w:bookmarkEnd w:id="150"/>
            <w:r>
              <w:rPr>
                <w:rFonts w:cs="Calibri"/>
                <w:szCs w:val="22"/>
                <w:lang w:eastAsia="en-GB"/>
              </w:rPr>
              <w:t>.</w:t>
            </w:r>
          </w:p>
          <w:p w14:paraId="6DF6F08B" w14:textId="1596007E" w:rsidR="00DB7EA6" w:rsidRPr="008813E6" w:rsidRDefault="00DB7EA6" w:rsidP="00176D4F">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r>
    </w:tbl>
    <w:p w14:paraId="47EBDE31" w14:textId="5105C856" w:rsidR="008813E6" w:rsidRDefault="008813E6">
      <w:r>
        <w:br w:type="page"/>
      </w:r>
    </w:p>
    <w:tbl>
      <w:tblPr>
        <w:tblW w:w="14572" w:type="dxa"/>
        <w:jc w:val="center"/>
        <w:tblLayout w:type="fixed"/>
        <w:tblLook w:val="04A0" w:firstRow="1" w:lastRow="0" w:firstColumn="1" w:lastColumn="0" w:noHBand="0" w:noVBand="1"/>
      </w:tblPr>
      <w:tblGrid>
        <w:gridCol w:w="1560"/>
        <w:gridCol w:w="8029"/>
        <w:gridCol w:w="1540"/>
        <w:gridCol w:w="3443"/>
      </w:tblGrid>
      <w:tr w:rsidR="008813E6" w:rsidRPr="008813E6" w14:paraId="4BD6AC2F" w14:textId="77777777" w:rsidTr="008813E6">
        <w:trPr>
          <w:trHeight w:val="555"/>
          <w:jc w:val="center"/>
        </w:trPr>
        <w:tc>
          <w:tcPr>
            <w:tcW w:w="14572" w:type="dxa"/>
            <w:gridSpan w:val="4"/>
            <w:tcBorders>
              <w:top w:val="single" w:sz="8" w:space="0" w:color="FFFFFF"/>
              <w:left w:val="nil"/>
              <w:bottom w:val="single" w:sz="8" w:space="0" w:color="FFFFFF"/>
              <w:right w:val="nil"/>
            </w:tcBorders>
            <w:shd w:val="clear" w:color="auto" w:fill="8DB3E2" w:themeFill="text2" w:themeFillTint="66"/>
            <w:vAlign w:val="center"/>
          </w:tcPr>
          <w:p w14:paraId="6F0271DA" w14:textId="4D61BCFD" w:rsidR="008813E6" w:rsidRPr="008813E6" w:rsidRDefault="008813E6" w:rsidP="008813E6">
            <w:pPr>
              <w:pStyle w:val="Tablehead"/>
              <w:jc w:val="left"/>
              <w:rPr>
                <w:rFonts w:cs="Calibri"/>
                <w:b w:val="0"/>
                <w:bCs/>
                <w:szCs w:val="22"/>
                <w:lang w:eastAsia="en-GB"/>
              </w:rPr>
            </w:pPr>
            <w:r w:rsidRPr="008813E6">
              <w:rPr>
                <w:rFonts w:cs="Calibri"/>
                <w:szCs w:val="22"/>
                <w:lang w:eastAsia="en-GB"/>
              </w:rPr>
              <w:lastRenderedPageBreak/>
              <w:t>10</w:t>
            </w:r>
            <w:r w:rsidRPr="008813E6">
              <w:rPr>
                <w:rFonts w:cs="Calibri"/>
                <w:szCs w:val="22"/>
                <w:lang w:eastAsia="en-GB"/>
              </w:rPr>
              <w:tab/>
              <w:t>Marco de resultados de la UIT</w:t>
            </w:r>
          </w:p>
        </w:tc>
      </w:tr>
      <w:tr w:rsidR="00862CA6" w:rsidRPr="008813E6" w14:paraId="75A7BC00" w14:textId="77777777" w:rsidTr="008813E6">
        <w:trPr>
          <w:trHeight w:val="555"/>
          <w:jc w:val="center"/>
        </w:trPr>
        <w:tc>
          <w:tcPr>
            <w:tcW w:w="1560" w:type="dxa"/>
            <w:tcBorders>
              <w:top w:val="single" w:sz="8" w:space="0" w:color="FFFFFF"/>
              <w:left w:val="nil"/>
              <w:bottom w:val="single" w:sz="2" w:space="0" w:color="auto"/>
              <w:right w:val="nil"/>
            </w:tcBorders>
            <w:shd w:val="clear" w:color="auto" w:fill="auto"/>
            <w:vAlign w:val="center"/>
            <w:hideMark/>
          </w:tcPr>
          <w:p w14:paraId="2B68B71C" w14:textId="7922041F" w:rsidR="00862CA6" w:rsidRPr="008813E6" w:rsidRDefault="00862CA6" w:rsidP="008813E6">
            <w:pPr>
              <w:pStyle w:val="Tabletext"/>
              <w:tabs>
                <w:tab w:val="left" w:pos="380"/>
              </w:tabs>
              <w:jc w:val="center"/>
              <w:rPr>
                <w:rFonts w:cs="Calibri"/>
                <w:b/>
                <w:bCs/>
                <w:szCs w:val="22"/>
                <w:lang w:eastAsia="en-GB"/>
              </w:rPr>
            </w:pPr>
            <w:r w:rsidRPr="008813E6">
              <w:rPr>
                <w:rFonts w:cs="Calibri"/>
                <w:b/>
                <w:bCs/>
                <w:szCs w:val="22"/>
                <w:lang w:eastAsia="en-GB"/>
              </w:rPr>
              <w:t>Origen de las observaciones</w:t>
            </w:r>
          </w:p>
        </w:tc>
        <w:tc>
          <w:tcPr>
            <w:tcW w:w="8029" w:type="dxa"/>
            <w:tcBorders>
              <w:top w:val="single" w:sz="8" w:space="0" w:color="FFFFFF"/>
              <w:left w:val="nil"/>
              <w:bottom w:val="single" w:sz="2" w:space="0" w:color="auto"/>
              <w:right w:val="nil"/>
            </w:tcBorders>
            <w:shd w:val="clear" w:color="auto" w:fill="auto"/>
            <w:vAlign w:val="center"/>
            <w:hideMark/>
          </w:tcPr>
          <w:p w14:paraId="6B45716E" w14:textId="42C026A3" w:rsidR="00862CA6" w:rsidRPr="008813E6" w:rsidRDefault="00862CA6" w:rsidP="008813E6">
            <w:pPr>
              <w:pStyle w:val="Tabletext"/>
              <w:tabs>
                <w:tab w:val="left" w:pos="380"/>
              </w:tabs>
              <w:jc w:val="center"/>
              <w:rPr>
                <w:rFonts w:cs="Calibri"/>
                <w:b/>
                <w:bCs/>
                <w:szCs w:val="22"/>
                <w:lang w:eastAsia="en-GB"/>
              </w:rPr>
            </w:pPr>
            <w:r w:rsidRPr="008813E6">
              <w:rPr>
                <w:rFonts w:cs="Calibri"/>
                <w:b/>
                <w:bCs/>
                <w:szCs w:val="22"/>
                <w:lang w:eastAsia="en-GB"/>
              </w:rPr>
              <w:t>Observaciones</w:t>
            </w:r>
          </w:p>
        </w:tc>
        <w:tc>
          <w:tcPr>
            <w:tcW w:w="1540" w:type="dxa"/>
            <w:tcBorders>
              <w:top w:val="single" w:sz="8" w:space="0" w:color="FFFFFF"/>
              <w:left w:val="nil"/>
              <w:bottom w:val="single" w:sz="2" w:space="0" w:color="auto"/>
              <w:right w:val="nil"/>
            </w:tcBorders>
            <w:shd w:val="clear" w:color="auto" w:fill="auto"/>
            <w:vAlign w:val="center"/>
            <w:hideMark/>
          </w:tcPr>
          <w:p w14:paraId="621D7501" w14:textId="4594578D" w:rsidR="00862CA6" w:rsidRPr="008813E6" w:rsidRDefault="00862CA6" w:rsidP="008813E6">
            <w:pPr>
              <w:pStyle w:val="Tabletext"/>
              <w:tabs>
                <w:tab w:val="left" w:pos="380"/>
              </w:tabs>
              <w:jc w:val="center"/>
              <w:rPr>
                <w:rFonts w:cs="Calibri"/>
                <w:b/>
                <w:bCs/>
                <w:szCs w:val="22"/>
                <w:lang w:eastAsia="en-GB"/>
              </w:rPr>
            </w:pPr>
            <w:r w:rsidRPr="008813E6">
              <w:rPr>
                <w:rFonts w:cs="Calibri"/>
                <w:b/>
                <w:bCs/>
                <w:szCs w:val="22"/>
                <w:lang w:eastAsia="en-GB"/>
              </w:rPr>
              <w:t xml:space="preserve">Doc. del </w:t>
            </w:r>
            <w:r w:rsidR="008813E6">
              <w:rPr>
                <w:rFonts w:cs="Calibri"/>
                <w:b/>
                <w:bCs/>
                <w:szCs w:val="22"/>
                <w:lang w:eastAsia="en-GB"/>
              </w:rPr>
              <w:br/>
            </w:r>
            <w:r w:rsidRPr="008813E6">
              <w:rPr>
                <w:rFonts w:cs="Calibri"/>
                <w:b/>
                <w:bCs/>
                <w:szCs w:val="22"/>
                <w:lang w:eastAsia="en-GB"/>
              </w:rPr>
              <w:t>GTC-PEF</w:t>
            </w:r>
          </w:p>
        </w:tc>
        <w:tc>
          <w:tcPr>
            <w:tcW w:w="3443" w:type="dxa"/>
            <w:tcBorders>
              <w:top w:val="single" w:sz="8" w:space="0" w:color="FFFFFF"/>
              <w:left w:val="nil"/>
              <w:bottom w:val="single" w:sz="2" w:space="0" w:color="auto"/>
              <w:right w:val="nil"/>
            </w:tcBorders>
            <w:shd w:val="clear" w:color="auto" w:fill="auto"/>
            <w:vAlign w:val="center"/>
            <w:hideMark/>
          </w:tcPr>
          <w:p w14:paraId="1F1EA4DF" w14:textId="717A8EA7" w:rsidR="00862CA6" w:rsidRPr="008813E6" w:rsidRDefault="00862CA6" w:rsidP="008813E6">
            <w:pPr>
              <w:pStyle w:val="Tabletext"/>
              <w:tabs>
                <w:tab w:val="left" w:pos="380"/>
              </w:tabs>
              <w:jc w:val="center"/>
              <w:rPr>
                <w:rFonts w:cs="Calibri"/>
                <w:b/>
                <w:bCs/>
                <w:szCs w:val="22"/>
                <w:lang w:eastAsia="en-GB"/>
              </w:rPr>
            </w:pPr>
            <w:r w:rsidRPr="008813E6">
              <w:rPr>
                <w:rFonts w:cs="Calibri"/>
                <w:b/>
                <w:bCs/>
                <w:szCs w:val="22"/>
                <w:lang w:eastAsia="en-GB"/>
              </w:rPr>
              <w:t>Orientaciones del GTC-PEF</w:t>
            </w:r>
          </w:p>
        </w:tc>
      </w:tr>
      <w:tr w:rsidR="00DB7EA6" w:rsidRPr="00A70143" w14:paraId="6CAD800C" w14:textId="77777777" w:rsidTr="008813E6">
        <w:trPr>
          <w:trHeight w:val="2445"/>
          <w:jc w:val="center"/>
        </w:trPr>
        <w:tc>
          <w:tcPr>
            <w:tcW w:w="1560" w:type="dxa"/>
            <w:tcBorders>
              <w:top w:val="single" w:sz="2" w:space="0" w:color="auto"/>
              <w:left w:val="nil"/>
              <w:bottom w:val="single" w:sz="4" w:space="0" w:color="A5A5A5"/>
              <w:right w:val="nil"/>
            </w:tcBorders>
            <w:shd w:val="clear" w:color="EDEDED" w:fill="EDEDED"/>
            <w:hideMark/>
          </w:tcPr>
          <w:p w14:paraId="3EE446A8" w14:textId="3294D928" w:rsidR="00DB7EA6" w:rsidRPr="008813E6" w:rsidRDefault="00DC3D30" w:rsidP="00436F90">
            <w:pPr>
              <w:tabs>
                <w:tab w:val="clear" w:pos="567"/>
                <w:tab w:val="clear" w:pos="1134"/>
                <w:tab w:val="clear" w:pos="1701"/>
                <w:tab w:val="clear" w:pos="2268"/>
                <w:tab w:val="clear" w:pos="2835"/>
              </w:tabs>
              <w:overflowPunct/>
              <w:autoSpaceDE/>
              <w:autoSpaceDN/>
              <w:adjustRightInd/>
              <w:spacing w:before="80"/>
              <w:ind w:left="-57"/>
              <w:textAlignment w:val="auto"/>
              <w:rPr>
                <w:rFonts w:cs="Calibri"/>
                <w:sz w:val="22"/>
                <w:szCs w:val="22"/>
                <w:lang w:eastAsia="en-GB"/>
              </w:rPr>
            </w:pPr>
            <w:r w:rsidRPr="008813E6">
              <w:rPr>
                <w:rFonts w:cs="Calibri"/>
                <w:sz w:val="22"/>
                <w:szCs w:val="22"/>
                <w:lang w:eastAsia="en-GB"/>
              </w:rPr>
              <w:t>Contribuciones de Estados Miembros:</w:t>
            </w:r>
          </w:p>
        </w:tc>
        <w:tc>
          <w:tcPr>
            <w:tcW w:w="8029" w:type="dxa"/>
            <w:tcBorders>
              <w:top w:val="single" w:sz="2" w:space="0" w:color="auto"/>
              <w:left w:val="nil"/>
              <w:bottom w:val="single" w:sz="4" w:space="0" w:color="A5A5A5"/>
              <w:right w:val="nil"/>
            </w:tcBorders>
            <w:shd w:val="clear" w:color="EDEDED" w:fill="EDEDED"/>
            <w:hideMark/>
          </w:tcPr>
          <w:p w14:paraId="617C83C9" w14:textId="77777777" w:rsidR="008813E6" w:rsidRDefault="00AA6CCE" w:rsidP="00436F90">
            <w:pPr>
              <w:tabs>
                <w:tab w:val="clear" w:pos="567"/>
                <w:tab w:val="clear" w:pos="1134"/>
                <w:tab w:val="clear" w:pos="1701"/>
                <w:tab w:val="clear" w:pos="2268"/>
                <w:tab w:val="clear" w:pos="2835"/>
              </w:tabs>
              <w:overflowPunct/>
              <w:autoSpaceDE/>
              <w:autoSpaceDN/>
              <w:adjustRightInd/>
              <w:spacing w:before="80"/>
              <w:textAlignment w:val="auto"/>
              <w:rPr>
                <w:rFonts w:cs="Calibri"/>
                <w:i/>
                <w:iCs/>
                <w:sz w:val="22"/>
                <w:szCs w:val="22"/>
                <w:lang w:eastAsia="en-GB"/>
              </w:rPr>
            </w:pPr>
            <w:bookmarkStart w:id="151" w:name="lt_pId271"/>
            <w:r w:rsidRPr="008813E6">
              <w:rPr>
                <w:rFonts w:cs="Calibri"/>
                <w:i/>
                <w:iCs/>
                <w:sz w:val="22"/>
                <w:szCs w:val="22"/>
                <w:lang w:eastAsia="en-GB"/>
              </w:rPr>
              <w:t>Contribución de la Federación de Rusia</w:t>
            </w:r>
            <w:r w:rsidR="00DB7EA6" w:rsidRPr="008813E6">
              <w:rPr>
                <w:rFonts w:cs="Calibri"/>
                <w:i/>
                <w:iCs/>
                <w:sz w:val="22"/>
                <w:szCs w:val="22"/>
                <w:lang w:eastAsia="en-GB"/>
              </w:rPr>
              <w:t>:</w:t>
            </w:r>
            <w:bookmarkStart w:id="152" w:name="lt_pId272"/>
            <w:bookmarkEnd w:id="151"/>
          </w:p>
          <w:bookmarkEnd w:id="152"/>
          <w:p w14:paraId="56778235" w14:textId="6DD798FB" w:rsidR="00DB7EA6" w:rsidRPr="008813E6" w:rsidRDefault="00852852" w:rsidP="00852852">
            <w:pPr>
              <w:pStyle w:val="Tabletext"/>
              <w:tabs>
                <w:tab w:val="left" w:pos="417"/>
              </w:tabs>
              <w:ind w:left="417" w:hanging="417"/>
              <w:rPr>
                <w:rFonts w:cs="Calibri"/>
                <w:b/>
                <w:color w:val="800000"/>
                <w:szCs w:val="22"/>
                <w:lang w:eastAsia="en-GB"/>
              </w:rPr>
            </w:pPr>
            <w:r>
              <w:rPr>
                <w:rFonts w:cs="Calibri"/>
                <w:szCs w:val="22"/>
                <w:lang w:eastAsia="en-GB"/>
              </w:rPr>
              <w:t>–</w:t>
            </w:r>
            <w:r>
              <w:rPr>
                <w:rFonts w:cs="Calibri"/>
                <w:szCs w:val="22"/>
                <w:lang w:eastAsia="en-GB"/>
              </w:rPr>
              <w:tab/>
            </w:r>
            <w:r w:rsidR="006772F0" w:rsidRPr="008813E6">
              <w:rPr>
                <w:rFonts w:cs="Calibri"/>
                <w:szCs w:val="22"/>
                <w:lang w:eastAsia="en-GB"/>
              </w:rPr>
              <w:t xml:space="preserve">Las cuestiones relacionadas con la </w:t>
            </w:r>
            <w:r w:rsidR="006772F0" w:rsidRPr="008813E6">
              <w:rPr>
                <w:rFonts w:cs="Calibri"/>
                <w:b/>
                <w:bCs/>
                <w:szCs w:val="22"/>
                <w:lang w:eastAsia="en-GB"/>
              </w:rPr>
              <w:t>formulación de los resultados sectoriales e intersectoriales siguen siendo complejas y requieren un examen más exhaustivo</w:t>
            </w:r>
            <w:r w:rsidR="006772F0" w:rsidRPr="008813E6">
              <w:rPr>
                <w:rFonts w:cs="Calibri"/>
                <w:szCs w:val="22"/>
                <w:lang w:eastAsia="en-GB"/>
              </w:rPr>
              <w:t xml:space="preserve">. A los Estados Miembros les costará evaluar adecuadamente el grado de aplicación del Plan Estratégico si estos no se formulan de forma precisa y </w:t>
            </w:r>
            <w:r w:rsidR="006772F0" w:rsidRPr="008813E6">
              <w:rPr>
                <w:rFonts w:cs="Calibri"/>
                <w:b/>
                <w:bCs/>
                <w:szCs w:val="22"/>
                <w:lang w:eastAsia="en-GB"/>
              </w:rPr>
              <w:t>no se establece una</w:t>
            </w:r>
            <w:r w:rsidR="006772F0" w:rsidRPr="008813E6">
              <w:rPr>
                <w:rFonts w:cs="Calibri"/>
                <w:szCs w:val="22"/>
                <w:lang w:eastAsia="en-GB"/>
              </w:rPr>
              <w:t xml:space="preserve"> </w:t>
            </w:r>
            <w:r w:rsidR="006772F0" w:rsidRPr="008813E6">
              <w:rPr>
                <w:rFonts w:cs="Calibri"/>
                <w:b/>
                <w:bCs/>
                <w:szCs w:val="22"/>
                <w:lang w:eastAsia="en-GB"/>
              </w:rPr>
              <w:t>correspondencia clara entre los resultados en cuestión y los indicadores</w:t>
            </w:r>
            <w:r w:rsidR="006772F0" w:rsidRPr="008813E6">
              <w:rPr>
                <w:rFonts w:cs="Calibri"/>
                <w:szCs w:val="22"/>
                <w:lang w:eastAsia="en-GB"/>
              </w:rPr>
              <w:t xml:space="preserve"> utilizados para evaluar la aplicación real del Plan Estratégico. Por consiguiente, de conformidad con la Resolución 151 (Rev. Dubái, 2018) de la Conferencia de Plenipotenciarios, es </w:t>
            </w:r>
            <w:r w:rsidR="006772F0" w:rsidRPr="008813E6">
              <w:rPr>
                <w:rFonts w:cs="Calibri"/>
                <w:b/>
                <w:bCs/>
                <w:szCs w:val="22"/>
                <w:lang w:eastAsia="en-GB"/>
              </w:rPr>
              <w:t>necesario seguir elaborando "un marco de resultados de la UIT exhaustivo a fin de facilitar la ejecución de los planes estratégico, financiero y operacional y el presupuesto</w:t>
            </w:r>
            <w:r w:rsidR="006772F0" w:rsidRPr="008813E6">
              <w:rPr>
                <w:rFonts w:cs="Calibri"/>
                <w:szCs w:val="22"/>
                <w:lang w:eastAsia="en-GB"/>
              </w:rPr>
              <w:t xml:space="preserve">, y mejorar la capacidad de los </w:t>
            </w:r>
            <w:r w:rsidR="006772F0" w:rsidRPr="008813E6">
              <w:rPr>
                <w:rFonts w:cs="Calibri"/>
                <w:b/>
                <w:bCs/>
                <w:szCs w:val="22"/>
                <w:lang w:eastAsia="en-GB"/>
              </w:rPr>
              <w:t>Miembros de la Unión de evaluar los progresos realizados en la consecución</w:t>
            </w:r>
            <w:r w:rsidR="006772F0" w:rsidRPr="008813E6">
              <w:rPr>
                <w:rFonts w:cs="Calibri"/>
                <w:szCs w:val="22"/>
                <w:lang w:eastAsia="en-GB"/>
              </w:rPr>
              <w:t xml:space="preserve"> de los objetivos de la</w:t>
            </w:r>
            <w:r>
              <w:rPr>
                <w:rFonts w:cs="Calibri"/>
                <w:szCs w:val="22"/>
                <w:lang w:eastAsia="en-GB"/>
              </w:rPr>
              <w:t> </w:t>
            </w:r>
            <w:r w:rsidR="006772F0" w:rsidRPr="008813E6">
              <w:rPr>
                <w:rFonts w:cs="Calibri"/>
                <w:szCs w:val="22"/>
                <w:lang w:eastAsia="en-GB"/>
              </w:rPr>
              <w:t>UIT".</w:t>
            </w:r>
          </w:p>
        </w:tc>
        <w:tc>
          <w:tcPr>
            <w:tcW w:w="1540" w:type="dxa"/>
            <w:tcBorders>
              <w:top w:val="single" w:sz="2" w:space="0" w:color="auto"/>
              <w:left w:val="nil"/>
              <w:bottom w:val="single" w:sz="4" w:space="0" w:color="A5A5A5"/>
              <w:right w:val="nil"/>
            </w:tcBorders>
            <w:shd w:val="clear" w:color="EDEDED" w:fill="EDEDED"/>
            <w:noWrap/>
            <w:vAlign w:val="center"/>
            <w:hideMark/>
          </w:tcPr>
          <w:p w14:paraId="41CB09AA" w14:textId="77777777" w:rsidR="00DB7EA6" w:rsidRPr="008813E6" w:rsidRDefault="00D91982" w:rsidP="004260E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u w:val="single"/>
                <w:lang w:eastAsia="en-GB"/>
              </w:rPr>
            </w:pPr>
            <w:hyperlink r:id="rId35" w:history="1">
              <w:bookmarkStart w:id="153" w:name="lt_pId275"/>
              <w:r w:rsidR="00DB7EA6" w:rsidRPr="008813E6">
                <w:rPr>
                  <w:rFonts w:cs="Calibri"/>
                  <w:color w:val="548DD4" w:themeColor="text2" w:themeTint="99"/>
                  <w:sz w:val="22"/>
                  <w:szCs w:val="22"/>
                  <w:u w:val="single"/>
                  <w:lang w:eastAsia="en-GB"/>
                </w:rPr>
                <w:t>CWG-SFP-1/8</w:t>
              </w:r>
              <w:bookmarkEnd w:id="153"/>
            </w:hyperlink>
          </w:p>
        </w:tc>
        <w:tc>
          <w:tcPr>
            <w:tcW w:w="3443" w:type="dxa"/>
            <w:tcBorders>
              <w:top w:val="single" w:sz="2" w:space="0" w:color="auto"/>
              <w:left w:val="nil"/>
              <w:bottom w:val="single" w:sz="4" w:space="0" w:color="A5A5A5"/>
              <w:right w:val="nil"/>
            </w:tcBorders>
            <w:shd w:val="clear" w:color="EDEDED" w:fill="EDEDED"/>
            <w:noWrap/>
            <w:hideMark/>
          </w:tcPr>
          <w:p w14:paraId="253E9381" w14:textId="4FE84F00" w:rsidR="00DB7EA6" w:rsidRPr="008813E6" w:rsidRDefault="00852852" w:rsidP="00436F90">
            <w:pPr>
              <w:pStyle w:val="Tabletext"/>
              <w:spacing w:before="80"/>
              <w:ind w:left="312" w:hanging="312"/>
              <w:rPr>
                <w:rFonts w:cs="Calibri"/>
                <w:b/>
                <w:color w:val="800000"/>
                <w:szCs w:val="22"/>
                <w:lang w:eastAsia="en-GB"/>
              </w:rPr>
            </w:pPr>
            <w:bookmarkStart w:id="154" w:name="lt_pId276"/>
            <w:r>
              <w:rPr>
                <w:rFonts w:cs="Calibri"/>
                <w:szCs w:val="22"/>
                <w:lang w:eastAsia="en-GB"/>
              </w:rPr>
              <w:t>–</w:t>
            </w:r>
            <w:r>
              <w:rPr>
                <w:rFonts w:cs="Calibri"/>
                <w:szCs w:val="22"/>
                <w:lang w:eastAsia="en-GB"/>
              </w:rPr>
              <w:tab/>
            </w:r>
            <w:r w:rsidR="004241E1" w:rsidRPr="008813E6">
              <w:rPr>
                <w:rFonts w:cs="Calibri"/>
                <w:szCs w:val="22"/>
                <w:lang w:eastAsia="en-GB"/>
              </w:rPr>
              <w:t>Solicitar a la secretaría que siga</w:t>
            </w:r>
            <w:r w:rsidR="004241E1" w:rsidRPr="008813E6">
              <w:rPr>
                <w:szCs w:val="22"/>
              </w:rPr>
              <w:t xml:space="preserve"> </w:t>
            </w:r>
            <w:r w:rsidR="004241E1" w:rsidRPr="008813E6">
              <w:rPr>
                <w:rFonts w:cs="Calibri"/>
                <w:szCs w:val="22"/>
                <w:lang w:eastAsia="en-GB"/>
              </w:rPr>
              <w:t xml:space="preserve">desarrollando el marco de resultados de la UIT, habida cuenta de las propuestas de los miembros y considerando la necesidad de facilitar la ejecución de los planes estratégico, financiero y operacional y el presupuesto, y de mejorar la capacidad de los miembros de evaluar los progresos realizados en la consecución de </w:t>
            </w:r>
            <w:r w:rsidR="000554C8" w:rsidRPr="008813E6">
              <w:rPr>
                <w:rFonts w:cs="Calibri"/>
                <w:szCs w:val="22"/>
                <w:lang w:eastAsia="en-GB"/>
              </w:rPr>
              <w:t>las metas</w:t>
            </w:r>
            <w:r w:rsidR="004241E1" w:rsidRPr="008813E6">
              <w:rPr>
                <w:rFonts w:cs="Calibri"/>
                <w:szCs w:val="22"/>
                <w:lang w:eastAsia="en-GB"/>
              </w:rPr>
              <w:t xml:space="preserve"> de la</w:t>
            </w:r>
            <w:r>
              <w:rPr>
                <w:rFonts w:cs="Calibri"/>
                <w:szCs w:val="22"/>
                <w:lang w:eastAsia="en-GB"/>
              </w:rPr>
              <w:t> </w:t>
            </w:r>
            <w:r w:rsidR="004241E1" w:rsidRPr="008813E6">
              <w:rPr>
                <w:rFonts w:cs="Calibri"/>
                <w:szCs w:val="22"/>
                <w:lang w:eastAsia="en-GB"/>
              </w:rPr>
              <w:t>UIT</w:t>
            </w:r>
            <w:bookmarkEnd w:id="154"/>
            <w:r>
              <w:rPr>
                <w:rFonts w:cs="Calibri"/>
                <w:szCs w:val="22"/>
                <w:lang w:eastAsia="en-GB"/>
              </w:rPr>
              <w:t>.</w:t>
            </w:r>
          </w:p>
        </w:tc>
      </w:tr>
    </w:tbl>
    <w:p w14:paraId="1E2B9BD4" w14:textId="77777777" w:rsidR="00852852" w:rsidRDefault="00852852" w:rsidP="00411C49">
      <w:pPr>
        <w:pStyle w:val="Reasons"/>
      </w:pPr>
    </w:p>
    <w:p w14:paraId="0A05CBEA" w14:textId="77777777" w:rsidR="00852852" w:rsidRDefault="00852852">
      <w:pPr>
        <w:jc w:val="center"/>
      </w:pPr>
      <w:r>
        <w:t>______________</w:t>
      </w:r>
    </w:p>
    <w:p w14:paraId="57163170" w14:textId="5001E3A6" w:rsidR="00DB7EA6" w:rsidRPr="00A70143" w:rsidRDefault="00DB7EA6" w:rsidP="004260EB">
      <w:pPr>
        <w:spacing w:before="840"/>
        <w:jc w:val="center"/>
      </w:pPr>
    </w:p>
    <w:sectPr w:rsidR="00DB7EA6" w:rsidRPr="00A70143" w:rsidSect="00DB7EA6">
      <w:headerReference w:type="default" r:id="rId36"/>
      <w:footerReference w:type="default" r:id="rId37"/>
      <w:headerReference w:type="first" r:id="rId38"/>
      <w:footerReference w:type="first" r:id="rId39"/>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91B8D" w14:textId="77777777" w:rsidR="008813E6" w:rsidRDefault="008813E6">
      <w:r>
        <w:separator/>
      </w:r>
    </w:p>
  </w:endnote>
  <w:endnote w:type="continuationSeparator" w:id="0">
    <w:p w14:paraId="4C94E1E8" w14:textId="77777777" w:rsidR="008813E6" w:rsidRDefault="0088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D2518" w14:textId="77777777" w:rsidR="008813E6" w:rsidRPr="0047167B" w:rsidRDefault="008813E6">
    <w:pPr>
      <w:pStyle w:val="Footer"/>
      <w:rPr>
        <w:color w:val="F2F2F2" w:themeColor="background1" w:themeShade="F2"/>
      </w:rPr>
    </w:pPr>
    <w:r w:rsidRPr="0047167B">
      <w:rPr>
        <w:color w:val="F2F2F2" w:themeColor="background1" w:themeShade="F2"/>
      </w:rPr>
      <w:fldChar w:fldCharType="begin"/>
    </w:r>
    <w:r w:rsidRPr="0047167B">
      <w:rPr>
        <w:color w:val="F2F2F2" w:themeColor="background1" w:themeShade="F2"/>
      </w:rPr>
      <w:instrText xml:space="preserve"> FILENAME \p  \* MERGEFORMAT </w:instrText>
    </w:r>
    <w:r w:rsidRPr="0047167B">
      <w:rPr>
        <w:color w:val="F2F2F2" w:themeColor="background1" w:themeShade="F2"/>
      </w:rPr>
      <w:fldChar w:fldCharType="separate"/>
    </w:r>
    <w:r>
      <w:rPr>
        <w:color w:val="F2F2F2" w:themeColor="background1" w:themeShade="F2"/>
      </w:rPr>
      <w:t>\\blue\dfs\APPXCHG\APP\CONF\RefDocs\495332\eRef495332.docx</w:t>
    </w:r>
    <w:r w:rsidRPr="0047167B">
      <w:rPr>
        <w:color w:val="F2F2F2" w:themeColor="background1" w:themeShade="F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ABE94" w14:textId="77777777" w:rsidR="008813E6" w:rsidRDefault="008813E6">
    <w:pPr>
      <w:spacing w:after="120"/>
      <w:jc w:val="center"/>
    </w:pPr>
    <w:r w:rsidRPr="00757AA6">
      <w:t xml:space="preserve">• </w:t>
    </w:r>
    <w:hyperlink r:id="rId1" w:history="1">
      <w:r w:rsidRPr="00757AA6">
        <w:rPr>
          <w:rStyle w:val="Hyperlink"/>
        </w:rPr>
        <w:t>http://www.itu.int/council</w:t>
      </w:r>
    </w:hyperlink>
    <w:r w:rsidRPr="00757AA6">
      <w:t xml:space="preserve"> •</w:t>
    </w:r>
  </w:p>
  <w:p w14:paraId="0C9DDD81" w14:textId="77777777" w:rsidR="008813E6" w:rsidRPr="0047167B" w:rsidRDefault="008813E6" w:rsidP="008813E6">
    <w:pPr>
      <w:pStyle w:val="Footer"/>
      <w:rPr>
        <w:color w:val="F2F2F2" w:themeColor="background1" w:themeShade="F2"/>
      </w:rPr>
    </w:pPr>
    <w:r w:rsidRPr="0047167B">
      <w:rPr>
        <w:color w:val="F2F2F2" w:themeColor="background1" w:themeShade="F2"/>
      </w:rPr>
      <w:fldChar w:fldCharType="begin"/>
    </w:r>
    <w:r w:rsidRPr="0047167B">
      <w:rPr>
        <w:color w:val="F2F2F2" w:themeColor="background1" w:themeShade="F2"/>
      </w:rPr>
      <w:instrText xml:space="preserve"> FILENAME \p \* MERGEFORMAT </w:instrText>
    </w:r>
    <w:r w:rsidRPr="0047167B">
      <w:rPr>
        <w:color w:val="F2F2F2" w:themeColor="background1" w:themeShade="F2"/>
      </w:rPr>
      <w:fldChar w:fldCharType="separate"/>
    </w:r>
    <w:r>
      <w:rPr>
        <w:color w:val="F2F2F2" w:themeColor="background1" w:themeShade="F2"/>
      </w:rPr>
      <w:t>\\blue\dfs\APPXCHG\APP\CONF\RefDocs\495332\eRef495332.docx</w:t>
    </w:r>
    <w:r w:rsidRPr="0047167B">
      <w:rPr>
        <w:color w:val="F2F2F2" w:themeColor="background1" w:themeShade="F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4D2F" w14:textId="6E7B1AB2" w:rsidR="008813E6" w:rsidRPr="00A614A0" w:rsidRDefault="00773E0E" w:rsidP="002A6EB6">
    <w:pPr>
      <w:pStyle w:val="Footer"/>
      <w:rPr>
        <w:color w:val="F2F2F2" w:themeColor="background1" w:themeShade="F2"/>
        <w:lang w:val="en-GB"/>
      </w:rPr>
    </w:pPr>
    <w:r w:rsidRPr="00A614A0">
      <w:rPr>
        <w:color w:val="F2F2F2" w:themeColor="background1" w:themeShade="F2"/>
      </w:rPr>
      <w:fldChar w:fldCharType="begin"/>
    </w:r>
    <w:r w:rsidRPr="00A614A0">
      <w:rPr>
        <w:color w:val="F2F2F2" w:themeColor="background1" w:themeShade="F2"/>
      </w:rPr>
      <w:instrText xml:space="preserve"> FILENAME \p  \* MERGEFORMAT </w:instrText>
    </w:r>
    <w:r w:rsidRPr="00A614A0">
      <w:rPr>
        <w:color w:val="F2F2F2" w:themeColor="background1" w:themeShade="F2"/>
      </w:rPr>
      <w:fldChar w:fldCharType="separate"/>
    </w:r>
    <w:r w:rsidR="008813E6" w:rsidRPr="00A614A0">
      <w:rPr>
        <w:color w:val="F2F2F2" w:themeColor="background1" w:themeShade="F2"/>
      </w:rPr>
      <w:t>P:\ESP\SG\CONSEIL\CWG-SFP\CWG-SFP1\000\012S.docx</w:t>
    </w:r>
    <w:r w:rsidRPr="00A614A0">
      <w:rPr>
        <w:color w:val="F2F2F2" w:themeColor="background1" w:themeShade="F2"/>
      </w:rPr>
      <w:fldChar w:fldCharType="end"/>
    </w:r>
    <w:r w:rsidR="008813E6" w:rsidRPr="00A614A0">
      <w:rPr>
        <w:color w:val="F2F2F2" w:themeColor="background1" w:themeShade="F2"/>
      </w:rPr>
      <w:t xml:space="preserve"> (495332)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3C17" w14:textId="270B2417" w:rsidR="008813E6" w:rsidRPr="00A614A0" w:rsidRDefault="00773E0E" w:rsidP="002A6EB6">
    <w:pPr>
      <w:pStyle w:val="Footer"/>
      <w:rPr>
        <w:color w:val="F2F2F2" w:themeColor="background1" w:themeShade="F2"/>
        <w:lang w:val="en-GB"/>
      </w:rPr>
    </w:pPr>
    <w:r w:rsidRPr="00A614A0">
      <w:rPr>
        <w:color w:val="F2F2F2" w:themeColor="background1" w:themeShade="F2"/>
      </w:rPr>
      <w:fldChar w:fldCharType="begin"/>
    </w:r>
    <w:r w:rsidRPr="00A614A0">
      <w:rPr>
        <w:color w:val="F2F2F2" w:themeColor="background1" w:themeShade="F2"/>
      </w:rPr>
      <w:instrText xml:space="preserve"> FILENAME \p  \* MERGEFORMAT </w:instrText>
    </w:r>
    <w:r w:rsidRPr="00A614A0">
      <w:rPr>
        <w:color w:val="F2F2F2" w:themeColor="background1" w:themeShade="F2"/>
      </w:rPr>
      <w:fldChar w:fldCharType="separate"/>
    </w:r>
    <w:r w:rsidR="008813E6" w:rsidRPr="00A614A0">
      <w:rPr>
        <w:color w:val="F2F2F2" w:themeColor="background1" w:themeShade="F2"/>
      </w:rPr>
      <w:t>P:\ESP\SG\CONSEIL\CWG-SFP\CWG-SFP1\000\012S.docx</w:t>
    </w:r>
    <w:r w:rsidRPr="00A614A0">
      <w:rPr>
        <w:color w:val="F2F2F2" w:themeColor="background1" w:themeShade="F2"/>
      </w:rPr>
      <w:fldChar w:fldCharType="end"/>
    </w:r>
    <w:r w:rsidR="008813E6" w:rsidRPr="00A614A0">
      <w:rPr>
        <w:color w:val="F2F2F2" w:themeColor="background1" w:themeShade="F2"/>
      </w:rPr>
      <w:t xml:space="preserve"> (495332)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C41C3" w14:textId="77777777" w:rsidR="008813E6" w:rsidRDefault="008813E6">
      <w:r>
        <w:t>____________________</w:t>
      </w:r>
    </w:p>
  </w:footnote>
  <w:footnote w:type="continuationSeparator" w:id="0">
    <w:p w14:paraId="1B921FB8" w14:textId="77777777" w:rsidR="008813E6" w:rsidRDefault="00881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A3AE8" w14:textId="77777777" w:rsidR="008813E6" w:rsidRPr="002662ED" w:rsidRDefault="008813E6" w:rsidP="008813E6">
    <w:pPr>
      <w:pStyle w:val="Header"/>
    </w:pPr>
    <w:r w:rsidRPr="002662ED">
      <w:fldChar w:fldCharType="begin"/>
    </w:r>
    <w:r w:rsidRPr="002662ED">
      <w:instrText>PAGE</w:instrText>
    </w:r>
    <w:r w:rsidRPr="002662ED">
      <w:fldChar w:fldCharType="separate"/>
    </w:r>
    <w:r w:rsidRPr="002662ED">
      <w:rPr>
        <w:noProof/>
      </w:rPr>
      <w:t>9</w:t>
    </w:r>
    <w:r w:rsidRPr="002662ED">
      <w:rPr>
        <w:noProof/>
      </w:rPr>
      <w:fldChar w:fldCharType="end"/>
    </w:r>
  </w:p>
  <w:p w14:paraId="303284E3" w14:textId="77777777" w:rsidR="008813E6" w:rsidRPr="00623AE3" w:rsidRDefault="008813E6" w:rsidP="008813E6">
    <w:pPr>
      <w:pStyle w:val="Header"/>
      <w:rPr>
        <w:bCs/>
      </w:rPr>
    </w:pPr>
    <w:r w:rsidRPr="002662ED">
      <w:rPr>
        <w:noProof/>
      </w:rPr>
      <w:t>CWG-SFP-1</w:t>
    </w:r>
    <w:r w:rsidRPr="002662ED">
      <w:rPr>
        <w:bCs/>
      </w:rPr>
      <w:t>/12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3C5C" w14:textId="77777777" w:rsidR="008813E6" w:rsidRDefault="008813E6" w:rsidP="007657F0">
    <w:pPr>
      <w:pStyle w:val="Header"/>
    </w:pPr>
    <w:r>
      <w:fldChar w:fldCharType="begin"/>
    </w:r>
    <w:r>
      <w:instrText>PAGE</w:instrText>
    </w:r>
    <w:r>
      <w:fldChar w:fldCharType="separate"/>
    </w:r>
    <w:r>
      <w:rPr>
        <w:noProof/>
      </w:rPr>
      <w:t>2</w:t>
    </w:r>
    <w:r>
      <w:rPr>
        <w:noProof/>
      </w:rPr>
      <w:fldChar w:fldCharType="end"/>
    </w:r>
  </w:p>
  <w:p w14:paraId="754B129D" w14:textId="71E213FF" w:rsidR="008813E6" w:rsidRDefault="008813E6" w:rsidP="00615250">
    <w:pPr>
      <w:pStyle w:val="Header"/>
      <w:spacing w:after="240"/>
    </w:pPr>
    <w:r w:rsidRPr="0015635A">
      <w:t>CWG-SFP-1\</w:t>
    </w:r>
    <w:r>
      <w:t>12</w:t>
    </w:r>
    <w:r w:rsidRPr="0015635A">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EE40" w14:textId="77777777" w:rsidR="008813E6" w:rsidRPr="002662ED" w:rsidRDefault="008813E6" w:rsidP="00DB7EA6">
    <w:pPr>
      <w:pStyle w:val="Header"/>
    </w:pPr>
    <w:r w:rsidRPr="002662ED">
      <w:fldChar w:fldCharType="begin"/>
    </w:r>
    <w:r w:rsidRPr="002662ED">
      <w:instrText>PAGE</w:instrText>
    </w:r>
    <w:r w:rsidRPr="002662ED">
      <w:fldChar w:fldCharType="separate"/>
    </w:r>
    <w:r>
      <w:t>13</w:t>
    </w:r>
    <w:r w:rsidRPr="002662ED">
      <w:rPr>
        <w:noProof/>
      </w:rPr>
      <w:fldChar w:fldCharType="end"/>
    </w:r>
  </w:p>
  <w:p w14:paraId="6689BD94" w14:textId="77777777" w:rsidR="008813E6" w:rsidRPr="00623AE3" w:rsidRDefault="008813E6" w:rsidP="00DB7EA6">
    <w:pPr>
      <w:pStyle w:val="Header"/>
      <w:rPr>
        <w:bCs/>
      </w:rPr>
    </w:pPr>
    <w:r w:rsidRPr="002662ED">
      <w:rPr>
        <w:noProof/>
      </w:rPr>
      <w:t>CWG-SFP-1</w:t>
    </w:r>
    <w:r w:rsidRPr="002662ED">
      <w:rPr>
        <w:bCs/>
      </w:rPr>
      <w:t>/12</w:t>
    </w:r>
  </w:p>
  <w:p w14:paraId="1E12641A" w14:textId="77777777" w:rsidR="008813E6" w:rsidRDefault="008813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D5361"/>
    <w:multiLevelType w:val="hybridMultilevel"/>
    <w:tmpl w:val="E76817BE"/>
    <w:lvl w:ilvl="0" w:tplc="DD0EDFA2">
      <w:start w:val="1"/>
      <w:numFmt w:val="decimal"/>
      <w:lvlText w:val="%1."/>
      <w:lvlJc w:val="left"/>
      <w:pPr>
        <w:ind w:left="720" w:hanging="360"/>
      </w:pPr>
    </w:lvl>
    <w:lvl w:ilvl="1" w:tplc="CE5AE880" w:tentative="1">
      <w:start w:val="1"/>
      <w:numFmt w:val="lowerLetter"/>
      <w:lvlText w:val="%2."/>
      <w:lvlJc w:val="left"/>
      <w:pPr>
        <w:ind w:left="1440" w:hanging="360"/>
      </w:pPr>
    </w:lvl>
    <w:lvl w:ilvl="2" w:tplc="27229932" w:tentative="1">
      <w:start w:val="1"/>
      <w:numFmt w:val="lowerRoman"/>
      <w:lvlText w:val="%3."/>
      <w:lvlJc w:val="right"/>
      <w:pPr>
        <w:ind w:left="2160" w:hanging="180"/>
      </w:pPr>
    </w:lvl>
    <w:lvl w:ilvl="3" w:tplc="970AC228" w:tentative="1">
      <w:start w:val="1"/>
      <w:numFmt w:val="decimal"/>
      <w:lvlText w:val="%4."/>
      <w:lvlJc w:val="left"/>
      <w:pPr>
        <w:ind w:left="2880" w:hanging="360"/>
      </w:pPr>
    </w:lvl>
    <w:lvl w:ilvl="4" w:tplc="15A262F4" w:tentative="1">
      <w:start w:val="1"/>
      <w:numFmt w:val="lowerLetter"/>
      <w:lvlText w:val="%5."/>
      <w:lvlJc w:val="left"/>
      <w:pPr>
        <w:ind w:left="3600" w:hanging="360"/>
      </w:pPr>
    </w:lvl>
    <w:lvl w:ilvl="5" w:tplc="80745DF6" w:tentative="1">
      <w:start w:val="1"/>
      <w:numFmt w:val="lowerRoman"/>
      <w:lvlText w:val="%6."/>
      <w:lvlJc w:val="right"/>
      <w:pPr>
        <w:ind w:left="4320" w:hanging="180"/>
      </w:pPr>
    </w:lvl>
    <w:lvl w:ilvl="6" w:tplc="1E040A68" w:tentative="1">
      <w:start w:val="1"/>
      <w:numFmt w:val="decimal"/>
      <w:lvlText w:val="%7."/>
      <w:lvlJc w:val="left"/>
      <w:pPr>
        <w:ind w:left="5040" w:hanging="360"/>
      </w:pPr>
    </w:lvl>
    <w:lvl w:ilvl="7" w:tplc="B8EE2328" w:tentative="1">
      <w:start w:val="1"/>
      <w:numFmt w:val="lowerLetter"/>
      <w:lvlText w:val="%8."/>
      <w:lvlJc w:val="left"/>
      <w:pPr>
        <w:ind w:left="5760" w:hanging="360"/>
      </w:pPr>
    </w:lvl>
    <w:lvl w:ilvl="8" w:tplc="0C8A7186"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40"/>
    <w:rsid w:val="000007D1"/>
    <w:rsid w:val="000301E1"/>
    <w:rsid w:val="00032D57"/>
    <w:rsid w:val="000554C8"/>
    <w:rsid w:val="000667C5"/>
    <w:rsid w:val="0008484D"/>
    <w:rsid w:val="00093EEB"/>
    <w:rsid w:val="0009712E"/>
    <w:rsid w:val="000A636A"/>
    <w:rsid w:val="000A7EB6"/>
    <w:rsid w:val="000B0D00"/>
    <w:rsid w:val="000B7C15"/>
    <w:rsid w:val="000C17B0"/>
    <w:rsid w:val="000D1D0F"/>
    <w:rsid w:val="000D7ED2"/>
    <w:rsid w:val="000F5290"/>
    <w:rsid w:val="0010165C"/>
    <w:rsid w:val="00114ED3"/>
    <w:rsid w:val="0012082C"/>
    <w:rsid w:val="00146BFB"/>
    <w:rsid w:val="0015635A"/>
    <w:rsid w:val="00156D3C"/>
    <w:rsid w:val="0016484F"/>
    <w:rsid w:val="00172675"/>
    <w:rsid w:val="00176D4F"/>
    <w:rsid w:val="001D0307"/>
    <w:rsid w:val="001D1D21"/>
    <w:rsid w:val="001F14A2"/>
    <w:rsid w:val="00202610"/>
    <w:rsid w:val="00223CC4"/>
    <w:rsid w:val="0023616C"/>
    <w:rsid w:val="002379CE"/>
    <w:rsid w:val="002456DD"/>
    <w:rsid w:val="00245FFF"/>
    <w:rsid w:val="002733C4"/>
    <w:rsid w:val="00276F28"/>
    <w:rsid w:val="002801AA"/>
    <w:rsid w:val="002A205B"/>
    <w:rsid w:val="002A544F"/>
    <w:rsid w:val="002A6EB6"/>
    <w:rsid w:val="002B7764"/>
    <w:rsid w:val="002C4676"/>
    <w:rsid w:val="002C70B0"/>
    <w:rsid w:val="002D1265"/>
    <w:rsid w:val="002E27BD"/>
    <w:rsid w:val="002F3CC4"/>
    <w:rsid w:val="00307580"/>
    <w:rsid w:val="0032248C"/>
    <w:rsid w:val="003328C2"/>
    <w:rsid w:val="003862E2"/>
    <w:rsid w:val="003A57D4"/>
    <w:rsid w:val="003A584C"/>
    <w:rsid w:val="00402DED"/>
    <w:rsid w:val="0040764F"/>
    <w:rsid w:val="00417B0B"/>
    <w:rsid w:val="004241E1"/>
    <w:rsid w:val="004260EB"/>
    <w:rsid w:val="00436F90"/>
    <w:rsid w:val="004A03D7"/>
    <w:rsid w:val="00503347"/>
    <w:rsid w:val="005077C3"/>
    <w:rsid w:val="005128D4"/>
    <w:rsid w:val="00513630"/>
    <w:rsid w:val="005238DE"/>
    <w:rsid w:val="005437B0"/>
    <w:rsid w:val="005534BE"/>
    <w:rsid w:val="00560125"/>
    <w:rsid w:val="00560432"/>
    <w:rsid w:val="005624A6"/>
    <w:rsid w:val="00572779"/>
    <w:rsid w:val="00577BBA"/>
    <w:rsid w:val="00585553"/>
    <w:rsid w:val="00592DCC"/>
    <w:rsid w:val="005A1840"/>
    <w:rsid w:val="005B34D9"/>
    <w:rsid w:val="005D0CCF"/>
    <w:rsid w:val="005D3F3D"/>
    <w:rsid w:val="005E125E"/>
    <w:rsid w:val="005F3BCB"/>
    <w:rsid w:val="005F410F"/>
    <w:rsid w:val="0060149A"/>
    <w:rsid w:val="00601924"/>
    <w:rsid w:val="00602516"/>
    <w:rsid w:val="00612004"/>
    <w:rsid w:val="00615250"/>
    <w:rsid w:val="006268A1"/>
    <w:rsid w:val="00630D73"/>
    <w:rsid w:val="006447EA"/>
    <w:rsid w:val="0064731F"/>
    <w:rsid w:val="00647A60"/>
    <w:rsid w:val="00653ADF"/>
    <w:rsid w:val="00664572"/>
    <w:rsid w:val="006710F6"/>
    <w:rsid w:val="006772F0"/>
    <w:rsid w:val="006A5101"/>
    <w:rsid w:val="006B42B7"/>
    <w:rsid w:val="006C1B56"/>
    <w:rsid w:val="006C2382"/>
    <w:rsid w:val="006D3BEE"/>
    <w:rsid w:val="006D4761"/>
    <w:rsid w:val="006E2EDC"/>
    <w:rsid w:val="007051F8"/>
    <w:rsid w:val="00711250"/>
    <w:rsid w:val="00726872"/>
    <w:rsid w:val="00745DEE"/>
    <w:rsid w:val="00760F1C"/>
    <w:rsid w:val="007657F0"/>
    <w:rsid w:val="0077252D"/>
    <w:rsid w:val="00773E0E"/>
    <w:rsid w:val="0077517F"/>
    <w:rsid w:val="00784346"/>
    <w:rsid w:val="007955DA"/>
    <w:rsid w:val="007C1F49"/>
    <w:rsid w:val="007D466B"/>
    <w:rsid w:val="007E5DD3"/>
    <w:rsid w:val="007F350B"/>
    <w:rsid w:val="0081362F"/>
    <w:rsid w:val="00813859"/>
    <w:rsid w:val="00820BE4"/>
    <w:rsid w:val="008345F1"/>
    <w:rsid w:val="008451E8"/>
    <w:rsid w:val="00852852"/>
    <w:rsid w:val="00862366"/>
    <w:rsid w:val="00862CA6"/>
    <w:rsid w:val="008813E6"/>
    <w:rsid w:val="00885ACD"/>
    <w:rsid w:val="00895F5B"/>
    <w:rsid w:val="008D5C3F"/>
    <w:rsid w:val="00913B9C"/>
    <w:rsid w:val="00942821"/>
    <w:rsid w:val="00945CE4"/>
    <w:rsid w:val="00956E77"/>
    <w:rsid w:val="00960031"/>
    <w:rsid w:val="00993503"/>
    <w:rsid w:val="009948D4"/>
    <w:rsid w:val="009A3420"/>
    <w:rsid w:val="009A4490"/>
    <w:rsid w:val="009F4811"/>
    <w:rsid w:val="009F7496"/>
    <w:rsid w:val="00A10A19"/>
    <w:rsid w:val="00A46B6B"/>
    <w:rsid w:val="00A614A0"/>
    <w:rsid w:val="00A70143"/>
    <w:rsid w:val="00AA390C"/>
    <w:rsid w:val="00AA6CCE"/>
    <w:rsid w:val="00AC6B4D"/>
    <w:rsid w:val="00AF5CF4"/>
    <w:rsid w:val="00B0200A"/>
    <w:rsid w:val="00B22710"/>
    <w:rsid w:val="00B2551B"/>
    <w:rsid w:val="00B574DB"/>
    <w:rsid w:val="00B66DCC"/>
    <w:rsid w:val="00B826C2"/>
    <w:rsid w:val="00B8298E"/>
    <w:rsid w:val="00BB4C0E"/>
    <w:rsid w:val="00BD0723"/>
    <w:rsid w:val="00BD2518"/>
    <w:rsid w:val="00BD5F5C"/>
    <w:rsid w:val="00BE368E"/>
    <w:rsid w:val="00BF10F5"/>
    <w:rsid w:val="00BF1D1C"/>
    <w:rsid w:val="00C15CA8"/>
    <w:rsid w:val="00C20C59"/>
    <w:rsid w:val="00C23E60"/>
    <w:rsid w:val="00C2727F"/>
    <w:rsid w:val="00C55B1F"/>
    <w:rsid w:val="00C5648F"/>
    <w:rsid w:val="00C67387"/>
    <w:rsid w:val="00CC2414"/>
    <w:rsid w:val="00CF0345"/>
    <w:rsid w:val="00CF0675"/>
    <w:rsid w:val="00CF1A67"/>
    <w:rsid w:val="00D11653"/>
    <w:rsid w:val="00D11B26"/>
    <w:rsid w:val="00D2750E"/>
    <w:rsid w:val="00D40311"/>
    <w:rsid w:val="00D62446"/>
    <w:rsid w:val="00D80440"/>
    <w:rsid w:val="00D8484D"/>
    <w:rsid w:val="00D91982"/>
    <w:rsid w:val="00DA4EA2"/>
    <w:rsid w:val="00DB7EA6"/>
    <w:rsid w:val="00DC3D30"/>
    <w:rsid w:val="00DC3D3E"/>
    <w:rsid w:val="00DC6DB2"/>
    <w:rsid w:val="00DE2C90"/>
    <w:rsid w:val="00DE3B24"/>
    <w:rsid w:val="00E019EC"/>
    <w:rsid w:val="00E06947"/>
    <w:rsid w:val="00E3592D"/>
    <w:rsid w:val="00E4619F"/>
    <w:rsid w:val="00E6725A"/>
    <w:rsid w:val="00E72930"/>
    <w:rsid w:val="00E92DE8"/>
    <w:rsid w:val="00EA6721"/>
    <w:rsid w:val="00EB1212"/>
    <w:rsid w:val="00EC5489"/>
    <w:rsid w:val="00ED2DB8"/>
    <w:rsid w:val="00ED65AB"/>
    <w:rsid w:val="00EF0426"/>
    <w:rsid w:val="00F04843"/>
    <w:rsid w:val="00F12850"/>
    <w:rsid w:val="00F12BFB"/>
    <w:rsid w:val="00F27332"/>
    <w:rsid w:val="00F27570"/>
    <w:rsid w:val="00F33BF4"/>
    <w:rsid w:val="00F551CF"/>
    <w:rsid w:val="00F7105E"/>
    <w:rsid w:val="00F75F57"/>
    <w:rsid w:val="00F82FEE"/>
    <w:rsid w:val="00F91A01"/>
    <w:rsid w:val="00FB6C99"/>
    <w:rsid w:val="00FB7001"/>
    <w:rsid w:val="00FB7FB7"/>
    <w:rsid w:val="00FC0C4A"/>
    <w:rsid w:val="00FD57D3"/>
    <w:rsid w:val="00FD769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3B97F02"/>
  <w15:docId w15:val="{07356043-492D-474F-ACDB-46EC8C40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link w:val="Heading2Char"/>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0B0D00"/>
    <w:rPr>
      <w:position w:val="6"/>
      <w:sz w:val="16"/>
    </w:rPr>
  </w:style>
  <w:style w:type="paragraph" w:styleId="FootnoteText">
    <w:name w:val="footnote text"/>
    <w:aliases w:val="ALTS FOOTNOTE,Char1,DN,DNV,DNV-FT,Footnote Text Char Char1,Footnote Text Char Char1 Char1 Char Char,Footnote Text Char1,Footnote Text Char1 Char1 Char1 Char,Footnote Text Char1 Char1 Char1 Char Char Char1,Footnote Text Char4 Char Char,fn"/>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5A1840"/>
    <w:rPr>
      <w:color w:val="605E5C"/>
      <w:shd w:val="clear" w:color="auto" w:fill="E1DFDD"/>
    </w:rPr>
  </w:style>
  <w:style w:type="character" w:customStyle="1" w:styleId="Heading2Char">
    <w:name w:val="Heading 2 Char"/>
    <w:basedOn w:val="DefaultParagraphFont"/>
    <w:link w:val="Heading2"/>
    <w:rsid w:val="00DB7EA6"/>
    <w:rPr>
      <w:rFonts w:ascii="Calibri" w:hAnsi="Calibri"/>
      <w:b/>
      <w:sz w:val="24"/>
      <w:lang w:val="es-ES_tradnl" w:eastAsia="en-US"/>
    </w:rPr>
  </w:style>
  <w:style w:type="character" w:customStyle="1" w:styleId="FooterChar">
    <w:name w:val="Footer Char"/>
    <w:basedOn w:val="DefaultParagraphFont"/>
    <w:link w:val="Footer"/>
    <w:rsid w:val="00DB7EA6"/>
    <w:rPr>
      <w:rFonts w:ascii="Calibri" w:hAnsi="Calibri"/>
      <w:caps/>
      <w:noProof/>
      <w:sz w:val="16"/>
      <w:lang w:val="es-ES_tradnl" w:eastAsia="en-US"/>
    </w:rPr>
  </w:style>
  <w:style w:type="character" w:customStyle="1" w:styleId="HeaderChar">
    <w:name w:val="Header Char"/>
    <w:basedOn w:val="DefaultParagraphFont"/>
    <w:link w:val="Header"/>
    <w:rsid w:val="00DB7EA6"/>
    <w:rPr>
      <w:rFonts w:ascii="Calibri" w:hAnsi="Calibri"/>
      <w:sz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WGSFP1-C-0005/en" TargetMode="External"/><Relationship Id="rId18" Type="http://schemas.openxmlformats.org/officeDocument/2006/relationships/hyperlink" Target="https://www.itu.int/md/S21-CWGSFP1-C-0005/en" TargetMode="External"/><Relationship Id="rId26" Type="http://schemas.openxmlformats.org/officeDocument/2006/relationships/hyperlink" Target="https://www.itu.int/md/S21-CWGSFP1-C-0004/en" TargetMode="External"/><Relationship Id="rId39" Type="http://schemas.openxmlformats.org/officeDocument/2006/relationships/footer" Target="footer4.xml"/><Relationship Id="rId21" Type="http://schemas.openxmlformats.org/officeDocument/2006/relationships/hyperlink" Target="https://www.itu.int/md/S21-CWGSFP1-C-0011/en" TargetMode="External"/><Relationship Id="rId34" Type="http://schemas.openxmlformats.org/officeDocument/2006/relationships/hyperlink" Target="https://www.itu.int/md/S21-CWGSFP1-C-0007/e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1-CWGSFP1-C-0005/en" TargetMode="External"/><Relationship Id="rId20" Type="http://schemas.openxmlformats.org/officeDocument/2006/relationships/hyperlink" Target="https://www.itu.int/md/S21-CWGSFP1-C-0008/en" TargetMode="External"/><Relationship Id="rId29" Type="http://schemas.openxmlformats.org/officeDocument/2006/relationships/hyperlink" Target="https://www.itu.int/md/S21-CWGSFP1-C-0008/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tu.int/md/S21-CWGSFP1-C-0010/en" TargetMode="External"/><Relationship Id="rId32" Type="http://schemas.openxmlformats.org/officeDocument/2006/relationships/hyperlink" Target="https://www.itu.int/md/S21-CWGSFP1-C-0011/en" TargetMode="Externa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21-CWGSFP1-C-0011/en" TargetMode="External"/><Relationship Id="rId23" Type="http://schemas.openxmlformats.org/officeDocument/2006/relationships/hyperlink" Target="https://www.itu.int/md/S21-CWGSFP1-C-0009/en" TargetMode="External"/><Relationship Id="rId28" Type="http://schemas.openxmlformats.org/officeDocument/2006/relationships/hyperlink" Target="https://www.itu.int/md/S21-CWGSFP1-C-0004/en" TargetMode="External"/><Relationship Id="rId36"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s://www.itu.int/md/S21-CWGSFP1-C-0007/en" TargetMode="External"/><Relationship Id="rId31" Type="http://schemas.openxmlformats.org/officeDocument/2006/relationships/hyperlink" Target="https://www.itu.int/md/S21-CWGSFP1-C-0007/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md/S21-CWGSFP1-C-0008/en" TargetMode="External"/><Relationship Id="rId22" Type="http://schemas.openxmlformats.org/officeDocument/2006/relationships/hyperlink" Target="https://www.itu.int/md/S21-CWGSFP1-C-0008/en" TargetMode="External"/><Relationship Id="rId27" Type="http://schemas.openxmlformats.org/officeDocument/2006/relationships/hyperlink" Target="https://www.itu.int/md/S21-CWGSFP1-C-0008/en" TargetMode="External"/><Relationship Id="rId30" Type="http://schemas.openxmlformats.org/officeDocument/2006/relationships/hyperlink" Target="https://www.itu.int/md/S21-CWGSFP1-C-0011/en" TargetMode="External"/><Relationship Id="rId35" Type="http://schemas.openxmlformats.org/officeDocument/2006/relationships/hyperlink" Target="https://www.itu.int/md/S21-CWGSFP1-C-0008/en"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tu.int/md/S21-CWGSFP1-C-0011/en" TargetMode="External"/><Relationship Id="rId17" Type="http://schemas.openxmlformats.org/officeDocument/2006/relationships/hyperlink" Target="https://www.itu.int/md/S21-CWGSFP1-C-0011/en" TargetMode="External"/><Relationship Id="rId25" Type="http://schemas.openxmlformats.org/officeDocument/2006/relationships/hyperlink" Target="https://www.itu.int/md/S21-CWGSFP1-C-0011/en" TargetMode="External"/><Relationship Id="rId33" Type="http://schemas.openxmlformats.org/officeDocument/2006/relationships/hyperlink" Target="https://www.itu.int/md/S21-CWGSFP1-C-0005/en" TargetMode="External"/><Relationship Id="rId3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B4ECE-2FFD-418C-B4B6-34A06311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PS_C21.dotx</Template>
  <TotalTime>3</TotalTime>
  <Pages>14</Pages>
  <Words>3498</Words>
  <Characters>21365</Characters>
  <Application>Microsoft Office Word</Application>
  <DocSecurity>0</DocSecurity>
  <Lines>178</Lines>
  <Paragraphs>49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Contribución de la República Popular de China - Recomendaciones encaminadas a incluir el aprovechamiento de las plataformas de reuniones internacionales de alto nivel existentes para fomentar el consenso mundial en torno a la gobernanza digital en los obj</vt:lpstr>
    </vt:vector>
  </TitlesOfParts>
  <Manager>Secretaría General - Pool</Manager>
  <Company>Unión Internacional de Telecomunicaciones (UIT)</Company>
  <LinksUpToDate>false</LinksUpToDate>
  <CharactersWithSpaces>24814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Principios/directrices para la elaboración del proyecto de plan estratégico para 2024–2027</dc:title>
  <dc:subject>Counciil Working Group for Strategic and Financial Plans 2024-2027</dc:subject>
  <dc:creator>Spanish83</dc:creator>
  <cp:keywords>CWG-SFP, CWG, CWGs &amp; EGs</cp:keywords>
  <dc:description/>
  <cp:lastModifiedBy>Xue, Kun</cp:lastModifiedBy>
  <cp:revision>3</cp:revision>
  <cp:lastPrinted>2006-03-24T09:51:00Z</cp:lastPrinted>
  <dcterms:created xsi:type="dcterms:W3CDTF">2021-10-11T13:33:00Z</dcterms:created>
  <dcterms:modified xsi:type="dcterms:W3CDTF">2021-10-11T13:35:00Z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