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C81327" w14:paraId="38FD7E05" w14:textId="77777777" w:rsidTr="00821479">
        <w:trPr>
          <w:cantSplit/>
        </w:trPr>
        <w:tc>
          <w:tcPr>
            <w:tcW w:w="6911" w:type="dxa"/>
          </w:tcPr>
          <w:p w14:paraId="1CA22095" w14:textId="62B6C88A" w:rsidR="00821479" w:rsidRPr="00C81327" w:rsidRDefault="0076356D" w:rsidP="00760588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C81327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C81327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="00760588" w:rsidRPr="00C81327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</w:t>
            </w:r>
            <w:r w:rsidRPr="00C81327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202</w:t>
            </w:r>
            <w:r w:rsidR="00DF2730" w:rsidRPr="00C81327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C81327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C81327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81327">
              <w:rPr>
                <w:noProof/>
                <w:lang w:val="ru-RU" w:eastAsia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C81327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1040F67C" w:rsidR="00821479" w:rsidRPr="00C81327" w:rsidRDefault="00DF2730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C81327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</w:t>
            </w:r>
            <w:r w:rsidR="00821479" w:rsidRPr="00C81327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</w:t>
            </w:r>
            <w:r w:rsidRPr="00C81327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Виртуальное собрание, </w:t>
            </w:r>
            <w:proofErr w:type="gramStart"/>
            <w:r w:rsidRPr="00C81327">
              <w:rPr>
                <w:rFonts w:eastAsia="Calibri" w:cs="Calibri"/>
                <w:b/>
                <w:color w:val="000000"/>
                <w:szCs w:val="24"/>
                <w:lang w:val="ru-RU"/>
              </w:rPr>
              <w:t>29−30</w:t>
            </w:r>
            <w:proofErr w:type="gramEnd"/>
            <w:r w:rsidRPr="00C81327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сентября 2021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C81327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C81327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C81327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C81327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C81327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C81327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7F885B4E" w:rsidR="00821479" w:rsidRPr="00C81327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81327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C81327">
              <w:rPr>
                <w:b/>
                <w:bCs/>
                <w:szCs w:val="22"/>
                <w:lang w:val="ru-RU"/>
              </w:rPr>
              <w:t>CWG-SFP-</w:t>
            </w:r>
            <w:r w:rsidR="00DF2730" w:rsidRPr="00C81327">
              <w:rPr>
                <w:b/>
                <w:bCs/>
                <w:szCs w:val="22"/>
                <w:lang w:val="ru-RU"/>
              </w:rPr>
              <w:t>1</w:t>
            </w:r>
            <w:r w:rsidR="0076356D" w:rsidRPr="00C81327">
              <w:rPr>
                <w:b/>
                <w:bCs/>
                <w:szCs w:val="22"/>
                <w:lang w:val="ru-RU"/>
              </w:rPr>
              <w:t>/</w:t>
            </w:r>
            <w:r w:rsidR="003A166B" w:rsidRPr="00C81327">
              <w:rPr>
                <w:b/>
                <w:bCs/>
                <w:szCs w:val="22"/>
                <w:lang w:val="ru-RU"/>
              </w:rPr>
              <w:t>12</w:t>
            </w:r>
            <w:r w:rsidR="00821479" w:rsidRPr="00C8132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C81327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C81327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67FD7577" w:rsidR="00821479" w:rsidRPr="00C81327" w:rsidRDefault="003A166B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81327">
              <w:rPr>
                <w:b/>
                <w:bCs/>
                <w:szCs w:val="22"/>
                <w:lang w:val="ru-RU"/>
              </w:rPr>
              <w:t>30 сентября</w:t>
            </w:r>
            <w:r w:rsidR="00EA72A3" w:rsidRPr="00C81327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C81327">
              <w:rPr>
                <w:b/>
                <w:bCs/>
                <w:szCs w:val="22"/>
                <w:lang w:val="ru-RU"/>
              </w:rPr>
              <w:t>20</w:t>
            </w:r>
            <w:r w:rsidR="00DF2730" w:rsidRPr="00C81327">
              <w:rPr>
                <w:b/>
                <w:bCs/>
                <w:szCs w:val="22"/>
                <w:lang w:val="ru-RU"/>
              </w:rPr>
              <w:t>21</w:t>
            </w:r>
            <w:r w:rsidR="00821479" w:rsidRPr="00C8132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C81327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C81327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C81327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8132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F2730" w:rsidRPr="00C81327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0C2F86D5" w:rsidR="00DF2730" w:rsidRPr="00C81327" w:rsidRDefault="00DF2730" w:rsidP="00DF2730">
            <w:pPr>
              <w:pStyle w:val="Title1"/>
              <w:rPr>
                <w:lang w:val="ru-RU"/>
              </w:rPr>
            </w:pPr>
          </w:p>
        </w:tc>
      </w:tr>
      <w:tr w:rsidR="003A166B" w:rsidRPr="00C81327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16D48B2D" w:rsidR="003A166B" w:rsidRPr="00C81327" w:rsidRDefault="003A166B" w:rsidP="003A166B">
            <w:pPr>
              <w:pStyle w:val="Source"/>
              <w:rPr>
                <w:lang w:val="ru-RU"/>
              </w:rPr>
            </w:pPr>
            <w:r w:rsidRPr="00C81327">
              <w:rPr>
                <w:bCs/>
                <w:lang w:val="ru-RU"/>
              </w:rPr>
              <w:t>Вклад Председателя РГС-СФП</w:t>
            </w:r>
          </w:p>
        </w:tc>
      </w:tr>
      <w:tr w:rsidR="003A166B" w:rsidRPr="00C81327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2A783E7A" w:rsidR="003A166B" w:rsidRPr="00C81327" w:rsidRDefault="00F72CBB" w:rsidP="003A166B">
            <w:pPr>
              <w:pStyle w:val="Title1"/>
              <w:rPr>
                <w:szCs w:val="22"/>
                <w:lang w:val="ru-RU"/>
              </w:rPr>
            </w:pPr>
            <w:bookmarkStart w:id="1" w:name="lt_pId012"/>
            <w:r w:rsidRPr="00C81327">
              <w:rPr>
                <w:bCs/>
                <w:lang w:val="ru-RU"/>
              </w:rPr>
              <w:t xml:space="preserve">принципы/руководящие указания </w:t>
            </w:r>
            <w:r w:rsidR="003A166B" w:rsidRPr="00C81327">
              <w:rPr>
                <w:bCs/>
                <w:lang w:val="ru-RU"/>
              </w:rPr>
              <w:br/>
            </w:r>
            <w:r w:rsidRPr="00C81327">
              <w:rPr>
                <w:bCs/>
                <w:lang w:val="ru-RU"/>
              </w:rPr>
              <w:t>по разработке проекта стратегического плана на</w:t>
            </w:r>
            <w:r w:rsidR="003A166B" w:rsidRPr="00C81327">
              <w:rPr>
                <w:bCs/>
                <w:lang w:val="ru-RU"/>
              </w:rPr>
              <w:t xml:space="preserve"> </w:t>
            </w:r>
            <w:proofErr w:type="gramStart"/>
            <w:r w:rsidR="003A166B" w:rsidRPr="00C81327">
              <w:rPr>
                <w:bCs/>
                <w:lang w:val="ru-RU"/>
              </w:rPr>
              <w:t>2024−2027</w:t>
            </w:r>
            <w:bookmarkEnd w:id="1"/>
            <w:proofErr w:type="gramEnd"/>
            <w:r w:rsidRPr="00C81327">
              <w:rPr>
                <w:bCs/>
                <w:lang w:val="ru-RU"/>
              </w:rPr>
              <w:t> годы</w:t>
            </w:r>
          </w:p>
        </w:tc>
      </w:tr>
    </w:tbl>
    <w:p w14:paraId="00A57327" w14:textId="77777777" w:rsidR="00DF2730" w:rsidRPr="00C81327" w:rsidRDefault="00DF2730">
      <w:pPr>
        <w:rPr>
          <w:lang w:val="ru-RU"/>
        </w:rPr>
      </w:pPr>
    </w:p>
    <w:p w14:paraId="4FF949BA" w14:textId="77777777" w:rsidR="007F5014" w:rsidRPr="00C81327" w:rsidRDefault="007F5014" w:rsidP="007F5014">
      <w:pPr>
        <w:rPr>
          <w:lang w:val="ru-RU"/>
        </w:rPr>
      </w:pPr>
      <w:bookmarkStart w:id="2" w:name="lt_pId053"/>
    </w:p>
    <w:p w14:paraId="4EDCE6C3" w14:textId="1CE20D9D" w:rsidR="002B21CD" w:rsidRPr="00C81327" w:rsidRDefault="002B21CD" w:rsidP="008303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HAnsi"/>
          <w:lang w:val="ru-RU"/>
        </w:rPr>
      </w:pPr>
    </w:p>
    <w:bookmarkEnd w:id="2"/>
    <w:p w14:paraId="389935A1" w14:textId="77777777" w:rsidR="003A166B" w:rsidRPr="00C81327" w:rsidRDefault="003A16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HAnsi"/>
          <w:lang w:val="ru-RU"/>
        </w:rPr>
        <w:sectPr w:rsidR="003A166B" w:rsidRPr="00C81327" w:rsidSect="00821479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</w:sectPr>
      </w:pPr>
    </w:p>
    <w:p w14:paraId="0114C16F" w14:textId="6472717F" w:rsidR="003A166B" w:rsidRPr="00C81327" w:rsidRDefault="00B446BA" w:rsidP="001E13A0">
      <w:pPr>
        <w:pStyle w:val="Heading2"/>
        <w:pBdr>
          <w:top w:val="single" w:sz="4" w:space="3" w:color="548DD4" w:themeColor="text2" w:themeTint="99"/>
          <w:left w:val="single" w:sz="4" w:space="1" w:color="548DD4" w:themeColor="text2" w:themeTint="99"/>
          <w:bottom w:val="single" w:sz="4" w:space="3" w:color="548DD4" w:themeColor="text2" w:themeTint="99"/>
          <w:right w:val="single" w:sz="4" w:space="1" w:color="548DD4" w:themeColor="text2" w:themeTint="99"/>
        </w:pBdr>
        <w:shd w:val="clear" w:color="auto" w:fill="548DD4" w:themeFill="text2" w:themeFillTint="99"/>
        <w:tabs>
          <w:tab w:val="clear" w:pos="794"/>
        </w:tabs>
        <w:spacing w:before="0"/>
        <w:ind w:left="624" w:right="57" w:hanging="567"/>
        <w:rPr>
          <w:color w:val="FFFFFF" w:themeColor="background1"/>
          <w:lang w:val="ru-RU"/>
        </w:rPr>
      </w:pPr>
      <w:r w:rsidRPr="00C81327">
        <w:rPr>
          <w:color w:val="FFFFFF" w:themeColor="background1"/>
          <w:lang w:val="ru-RU"/>
        </w:rPr>
        <w:lastRenderedPageBreak/>
        <w:t>1</w:t>
      </w:r>
      <w:r w:rsidRPr="00C81327">
        <w:rPr>
          <w:color w:val="FFFFFF" w:themeColor="background1"/>
          <w:lang w:val="ru-RU"/>
        </w:rPr>
        <w:tab/>
      </w:r>
      <w:r w:rsidR="00F72CBB" w:rsidRPr="00C81327">
        <w:rPr>
          <w:color w:val="FFFFFF" w:themeColor="background1"/>
          <w:lang w:val="ru-RU"/>
        </w:rPr>
        <w:t>Упрощение и ясность</w:t>
      </w:r>
    </w:p>
    <w:tbl>
      <w:tblPr>
        <w:tblW w:w="1456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50"/>
        <w:gridCol w:w="7654"/>
        <w:gridCol w:w="1418"/>
        <w:gridCol w:w="3940"/>
      </w:tblGrid>
      <w:tr w:rsidR="003A166B" w:rsidRPr="00C81327" w14:paraId="371F7CB0" w14:textId="77777777" w:rsidTr="00036B36">
        <w:trPr>
          <w:tblHeader/>
        </w:trPr>
        <w:tc>
          <w:tcPr>
            <w:tcW w:w="1550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44D6517" w14:textId="1FBAF268" w:rsidR="003A166B" w:rsidRPr="00C81327" w:rsidRDefault="006273C4" w:rsidP="003A166B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Источник вклада </w:t>
            </w:r>
          </w:p>
        </w:tc>
        <w:tc>
          <w:tcPr>
            <w:tcW w:w="7654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82BEBCF" w14:textId="2BBEA60B" w:rsidR="003A166B" w:rsidRPr="00C81327" w:rsidRDefault="006273C4" w:rsidP="003A166B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Вклады 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8026257" w14:textId="0921AD83" w:rsidR="003A166B" w:rsidRPr="00C81327" w:rsidRDefault="003C13BD" w:rsidP="003A166B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Док.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  <w:r w:rsidRPr="00C81327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940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E8388B0" w14:textId="685D5053" w:rsidR="003A166B" w:rsidRPr="00C81327" w:rsidRDefault="003C13BD" w:rsidP="003A166B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Указания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</w:p>
        </w:tc>
      </w:tr>
      <w:tr w:rsidR="003A166B" w:rsidRPr="00DF140D" w14:paraId="1EF97F8D" w14:textId="77777777" w:rsidTr="00036B36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4DFF40FB" w14:textId="1DF83362" w:rsidR="003A166B" w:rsidRPr="00C81327" w:rsidRDefault="003C13BD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Онлайновые консультации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3DCFA3EE" w14:textId="34A927C2" w:rsidR="000C6451" w:rsidRPr="00C81327" w:rsidRDefault="0014436C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070FFB" w:rsidRPr="00C81327">
              <w:rPr>
                <w:rFonts w:cs="Calibri"/>
                <w:sz w:val="20"/>
                <w:lang w:val="ru-RU" w:eastAsia="en-GB"/>
              </w:rPr>
              <w:t xml:space="preserve">В ряде вкладов предлагается внести больше </w:t>
            </w:r>
            <w:r w:rsidR="00070FFB" w:rsidRPr="00C81327">
              <w:rPr>
                <w:rFonts w:cs="Calibri"/>
                <w:b/>
                <w:bCs/>
                <w:sz w:val="20"/>
                <w:lang w:val="ru-RU" w:eastAsia="en-GB"/>
              </w:rPr>
              <w:t>ясности</w:t>
            </w:r>
            <w:r w:rsidR="00070FFB" w:rsidRPr="00C81327">
              <w:rPr>
                <w:rFonts w:cs="Calibri"/>
                <w:sz w:val="20"/>
                <w:lang w:val="ru-RU" w:eastAsia="en-GB"/>
              </w:rPr>
              <w:t xml:space="preserve"> (в отношении взаимосвязей </w:t>
            </w:r>
            <w:r w:rsidR="00070FFB" w:rsidRPr="00C81327">
              <w:rPr>
                <w:rFonts w:cs="Calibri"/>
                <w:sz w:val="20"/>
                <w:lang w:val="ru-RU" w:eastAsia="en-GB"/>
              </w:rPr>
              <w:br/>
              <w:t xml:space="preserve">между элементами структуры и </w:t>
            </w:r>
            <w:r w:rsidR="007735B7" w:rsidRPr="00C81327">
              <w:rPr>
                <w:rFonts w:cs="Calibri"/>
                <w:sz w:val="20"/>
                <w:lang w:val="ru-RU" w:eastAsia="en-GB"/>
              </w:rPr>
              <w:t>увязки</w:t>
            </w:r>
            <w:r w:rsidR="00070FFB" w:rsidRPr="00C81327">
              <w:rPr>
                <w:rFonts w:cs="Calibri"/>
                <w:sz w:val="20"/>
                <w:lang w:val="ru-RU" w:eastAsia="en-GB"/>
              </w:rPr>
              <w:t xml:space="preserve"> с </w:t>
            </w:r>
            <w:r w:rsidR="007735B7" w:rsidRPr="00C81327">
              <w:rPr>
                <w:rFonts w:cs="Calibri"/>
                <w:sz w:val="20"/>
                <w:lang w:val="ru-RU" w:eastAsia="en-GB"/>
              </w:rPr>
              <w:t>Ф</w:t>
            </w:r>
            <w:r w:rsidR="00070FFB" w:rsidRPr="00C81327">
              <w:rPr>
                <w:rFonts w:cs="Calibri"/>
                <w:sz w:val="20"/>
                <w:lang w:val="ru-RU" w:eastAsia="en-GB"/>
              </w:rPr>
              <w:t xml:space="preserve">инансовым планом) и </w:t>
            </w:r>
            <w:r w:rsidR="00070FFB" w:rsidRPr="00C81327">
              <w:rPr>
                <w:rFonts w:cs="Calibri"/>
                <w:b/>
                <w:bCs/>
                <w:sz w:val="20"/>
                <w:lang w:val="ru-RU" w:eastAsia="en-GB"/>
              </w:rPr>
              <w:t>упростить различные элементы</w:t>
            </w:r>
          </w:p>
          <w:p w14:paraId="3A1493AA" w14:textId="7576F24A" w:rsidR="000C6451" w:rsidRPr="00C81327" w:rsidRDefault="0014436C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070FFB" w:rsidRPr="00C81327">
              <w:rPr>
                <w:rFonts w:cs="Calibri"/>
                <w:sz w:val="20"/>
                <w:lang w:val="ru-RU" w:eastAsia="en-GB"/>
              </w:rPr>
              <w:t>Также предлагается</w:t>
            </w:r>
            <w:r w:rsidR="00070FFB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не концентрировать внимание на многочисленных </w:t>
            </w:r>
            <w:r w:rsidR="00755F18" w:rsidRPr="00C81327">
              <w:rPr>
                <w:rFonts w:cs="Calibri"/>
                <w:b/>
                <w:bCs/>
                <w:sz w:val="20"/>
                <w:lang w:val="ru-RU" w:eastAsia="en-GB"/>
              </w:rPr>
              <w:t>видах деятельности</w:t>
            </w:r>
          </w:p>
          <w:p w14:paraId="546CBD3E" w14:textId="4FED278E" w:rsidR="003A166B" w:rsidRPr="00C81327" w:rsidRDefault="0014436C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070FFB" w:rsidRPr="00C81327">
              <w:rPr>
                <w:rFonts w:cs="Calibri"/>
                <w:sz w:val="20"/>
                <w:lang w:val="ru-RU" w:eastAsia="en-GB"/>
              </w:rPr>
              <w:t>Еще одно предложение –</w:t>
            </w:r>
            <w:r w:rsidR="00070FFB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консолидировать приоритеты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  <w:hideMark/>
          </w:tcPr>
          <w:p w14:paraId="6AA4C81D" w14:textId="77777777" w:rsidR="003A166B" w:rsidRPr="00C81327" w:rsidRDefault="00DF140D" w:rsidP="00E424D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12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CWG-SFP-1/11</w:t>
              </w:r>
            </w:hyperlink>
          </w:p>
        </w:tc>
        <w:tc>
          <w:tcPr>
            <w:tcW w:w="3940" w:type="dxa"/>
            <w:vMerge w:val="restart"/>
            <w:tcBorders>
              <w:top w:val="nil"/>
              <w:left w:val="nil"/>
              <w:right w:val="nil"/>
            </w:tcBorders>
            <w:shd w:val="clear" w:color="EDEDED" w:fill="EDEDED"/>
            <w:noWrap/>
            <w:hideMark/>
          </w:tcPr>
          <w:p w14:paraId="4E9E0382" w14:textId="22F05CB1" w:rsidR="003A166B" w:rsidRPr="00C81327" w:rsidRDefault="0014436C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0C7F2A" w:rsidRPr="00C81327">
              <w:rPr>
                <w:rFonts w:cs="Calibri"/>
                <w:sz w:val="20"/>
                <w:lang w:val="ru-RU" w:eastAsia="en-GB"/>
              </w:rPr>
              <w:t>Предложить секретариату представлять входные материалы и оценивать их в ходе предстоящих виртуальных консультаций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, </w:t>
            </w:r>
            <w:r w:rsidR="006E7127" w:rsidRPr="00C81327">
              <w:rPr>
                <w:rFonts w:cs="Calibri"/>
                <w:sz w:val="20"/>
                <w:lang w:val="ru-RU" w:eastAsia="en-GB"/>
              </w:rPr>
              <w:t>относительно упрощения и уточнения стратегической основы</w:t>
            </w:r>
            <w:r w:rsidR="00815943" w:rsidRPr="00C81327">
              <w:rPr>
                <w:rFonts w:cs="Calibri"/>
                <w:sz w:val="20"/>
                <w:lang w:val="ru-RU" w:eastAsia="en-GB"/>
              </w:rPr>
              <w:t>, рассмотрения связей и различных элементов проектов Стратегического и Финансового планов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, </w:t>
            </w:r>
            <w:r w:rsidR="00815943" w:rsidRPr="00C81327">
              <w:rPr>
                <w:rFonts w:cs="Calibri"/>
                <w:sz w:val="20"/>
                <w:lang w:val="ru-RU" w:eastAsia="en-GB"/>
              </w:rPr>
              <w:t>для оптимизации отражения стратегических приоритетов организации</w:t>
            </w:r>
          </w:p>
        </w:tc>
      </w:tr>
      <w:tr w:rsidR="003A166B" w:rsidRPr="00C81327" w14:paraId="5A2AE9CF" w14:textId="77777777" w:rsidTr="00036B36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57ECB" w14:textId="723A6C49" w:rsidR="003A166B" w:rsidRPr="00C81327" w:rsidRDefault="00815943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Рек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. / </w:t>
            </w:r>
            <w:r w:rsidRPr="00C81327">
              <w:rPr>
                <w:rFonts w:cs="Calibri"/>
                <w:sz w:val="20"/>
                <w:lang w:val="ru-RU" w:eastAsia="en-GB"/>
              </w:rPr>
              <w:t>Выводы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973B1" w14:textId="3A59E3F9" w:rsidR="000C6451" w:rsidRPr="00C81327" w:rsidRDefault="003A166B" w:rsidP="00E424D8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i/>
                <w:iCs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(</w:t>
            </w:r>
            <w:r w:rsidR="00417C35"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Отчет 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McKinsey </w:t>
            </w:r>
            <w:r w:rsidR="00EF69D4" w:rsidRPr="00C81327">
              <w:rPr>
                <w:rFonts w:cs="Calibri"/>
                <w:i/>
                <w:iCs/>
                <w:sz w:val="20"/>
                <w:lang w:val="ru-RU" w:eastAsia="en-GB"/>
              </w:rPr>
              <w:t>"Культура и навыки"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)</w:t>
            </w:r>
          </w:p>
          <w:p w14:paraId="430DD6AB" w14:textId="55D7478D" w:rsidR="000C6451" w:rsidRPr="00C81327" w:rsidRDefault="003A166B" w:rsidP="00E424D8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>c.1</w:t>
            </w:r>
            <w:r w:rsidR="0014436C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–</w:t>
            </w: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</w:t>
            </w:r>
            <w:r w:rsidR="000C6451" w:rsidRPr="00C81327">
              <w:rPr>
                <w:rFonts w:cs="Calibri"/>
                <w:b/>
                <w:bCs/>
                <w:sz w:val="20"/>
                <w:lang w:val="ru-RU" w:eastAsia="en-GB"/>
              </w:rPr>
              <w:t>Укрепить практическое применение механизма постановки целей для обеспечения связи со стратегическими целями и управление последствиями</w:t>
            </w:r>
          </w:p>
          <w:p w14:paraId="22FFA948" w14:textId="60F1B6E0" w:rsidR="000C6451" w:rsidRPr="00C81327" w:rsidRDefault="00C43173" w:rsidP="00E424D8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Вариант для рассмотрения</w:t>
            </w:r>
            <w:r w:rsidR="003A166B" w:rsidRPr="00C81327">
              <w:rPr>
                <w:rFonts w:cs="Calibri"/>
                <w:i/>
                <w:iCs/>
                <w:sz w:val="20"/>
                <w:lang w:val="ru-RU" w:eastAsia="en-GB"/>
              </w:rPr>
              <w:t>:</w:t>
            </w:r>
            <w:r w:rsidR="003A166B" w:rsidRPr="00C81327">
              <w:rPr>
                <w:rFonts w:cs="Calibri"/>
                <w:i/>
                <w:iCs/>
                <w:sz w:val="20"/>
                <w:lang w:val="ru-RU" w:eastAsia="en-GB"/>
              </w:rPr>
              <w:br/>
            </w:r>
            <w:r w:rsidR="0014436C"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106D24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0C6451" w:rsidRPr="00C81327">
              <w:rPr>
                <w:rFonts w:cs="Calibri"/>
                <w:sz w:val="20"/>
                <w:lang w:val="ru-RU" w:eastAsia="en-GB"/>
              </w:rPr>
              <w:t>РГС-СФП предлагается рассмотреть вопрос об упрощении и уточнении новой стратегической основы, чтобы обеспечить возможность детализации и раскрытия стратегических целей/задач до целей подразделений и индивидуальных целей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.</w:t>
            </w:r>
          </w:p>
          <w:p w14:paraId="55DA849F" w14:textId="79911F44" w:rsidR="000C6451" w:rsidRPr="00C81327" w:rsidRDefault="003A166B" w:rsidP="00E424D8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ind w:left="603" w:hanging="603"/>
              <w:textAlignment w:val="auto"/>
              <w:rPr>
                <w:rFonts w:cs="Calibri"/>
                <w:i/>
                <w:iCs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(</w:t>
            </w:r>
            <w:r w:rsidR="00815943"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Отчет 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PwC </w:t>
            </w:r>
            <w:r w:rsidR="00815943" w:rsidRPr="00C81327">
              <w:rPr>
                <w:rFonts w:cs="Calibri"/>
                <w:i/>
                <w:iCs/>
                <w:sz w:val="20"/>
                <w:lang w:val="ru-RU" w:eastAsia="en-GB"/>
              </w:rPr>
              <w:t>о региональном присутствии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)</w:t>
            </w:r>
          </w:p>
          <w:p w14:paraId="6158768A" w14:textId="230D71FC" w:rsidR="000C6451" w:rsidRPr="00C81327" w:rsidRDefault="003A166B" w:rsidP="00E424D8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ind w:left="603" w:hanging="603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>1.2</w:t>
            </w:r>
            <w:r w:rsidR="000C6451" w:rsidRPr="00C81327">
              <w:rPr>
                <w:rFonts w:cs="Calibri"/>
                <w:b/>
                <w:bCs/>
                <w:sz w:val="20"/>
                <w:lang w:val="ru-RU" w:eastAsia="en-GB"/>
              </w:rPr>
              <w:tab/>
              <w:t>Уточнение направленности программ</w:t>
            </w:r>
          </w:p>
          <w:p w14:paraId="66E74ABB" w14:textId="77777777" w:rsidR="000C6451" w:rsidRPr="00C81327" w:rsidRDefault="003A166B" w:rsidP="00E424D8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ind w:left="603" w:hanging="603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>1.2.1</w:t>
            </w:r>
            <w:r w:rsidR="000C6451" w:rsidRPr="00C81327">
              <w:rPr>
                <w:rFonts w:cs="Calibri"/>
                <w:b/>
                <w:bCs/>
                <w:sz w:val="20"/>
                <w:lang w:val="ru-RU" w:eastAsia="en-GB"/>
              </w:rPr>
              <w:tab/>
              <w:t>Разработка согласованной стратегической основы в рамках организации в целом</w:t>
            </w:r>
          </w:p>
          <w:p w14:paraId="213C6C07" w14:textId="77777777" w:rsidR="000C6451" w:rsidRPr="00C81327" w:rsidRDefault="003A166B" w:rsidP="00E424D8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ind w:left="603" w:hanging="603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>1.2.2</w:t>
            </w:r>
            <w:r w:rsidR="000C6451" w:rsidRPr="00C81327">
              <w:rPr>
                <w:rFonts w:cs="Calibri"/>
                <w:b/>
                <w:bCs/>
                <w:sz w:val="20"/>
                <w:lang w:val="ru-RU" w:eastAsia="en-GB"/>
              </w:rPr>
              <w:tab/>
              <w:t>Уточнение приоритетов программ на глобальном уровне</w:t>
            </w:r>
          </w:p>
          <w:p w14:paraId="226B1B85" w14:textId="7BACFA36" w:rsidR="003A166B" w:rsidRPr="00C81327" w:rsidRDefault="00C43173" w:rsidP="00E424D8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Вариант для рассмотрения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br/>
            </w:r>
            <w:r w:rsidR="0014436C"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D4468E" w:rsidRPr="00C81327">
              <w:rPr>
                <w:rFonts w:cs="Calibri"/>
                <w:sz w:val="20"/>
                <w:lang w:val="ru-RU" w:eastAsia="en-GB"/>
              </w:rPr>
              <w:t xml:space="preserve">РГС-СФП предлагается уточнить и упростить стратегическую основу, лучше увязывая цели и </w:t>
            </w:r>
            <w:r w:rsidR="007735B7" w:rsidRPr="00C81327">
              <w:rPr>
                <w:rFonts w:cs="Calibri"/>
                <w:sz w:val="20"/>
                <w:lang w:val="ru-RU" w:eastAsia="en-GB"/>
              </w:rPr>
              <w:t>целевые показатели</w:t>
            </w:r>
            <w:r w:rsidR="00D4468E" w:rsidRPr="00C81327">
              <w:rPr>
                <w:rFonts w:cs="Calibri"/>
                <w:sz w:val="20"/>
                <w:lang w:val="ru-RU" w:eastAsia="en-GB"/>
              </w:rPr>
              <w:t>, а также тематические приоритеты на глобальном и региональном уровнях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706C" w14:textId="77777777" w:rsidR="003A166B" w:rsidRPr="00C81327" w:rsidRDefault="00DF140D" w:rsidP="00E424D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13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CWG-SFP-1/5</w:t>
              </w:r>
            </w:hyperlink>
          </w:p>
        </w:tc>
        <w:tc>
          <w:tcPr>
            <w:tcW w:w="39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8E11" w14:textId="77777777" w:rsidR="003A166B" w:rsidRPr="00C81327" w:rsidRDefault="003A166B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</w:p>
        </w:tc>
      </w:tr>
    </w:tbl>
    <w:p w14:paraId="3B588D8C" w14:textId="15112393" w:rsidR="003A166B" w:rsidRPr="00C81327" w:rsidRDefault="003A166B" w:rsidP="003A166B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78F47226" w14:textId="1E2EE0DB" w:rsidR="00036B36" w:rsidRPr="00C81327" w:rsidRDefault="00036B36" w:rsidP="00036B36">
      <w:pPr>
        <w:pStyle w:val="Heading2"/>
        <w:pBdr>
          <w:top w:val="single" w:sz="4" w:space="3" w:color="548DD4" w:themeColor="text2" w:themeTint="99"/>
          <w:left w:val="single" w:sz="4" w:space="1" w:color="548DD4" w:themeColor="text2" w:themeTint="99"/>
          <w:bottom w:val="single" w:sz="4" w:space="3" w:color="548DD4" w:themeColor="text2" w:themeTint="99"/>
          <w:right w:val="single" w:sz="4" w:space="1" w:color="548DD4" w:themeColor="text2" w:themeTint="99"/>
        </w:pBdr>
        <w:shd w:val="clear" w:color="auto" w:fill="548DD4" w:themeFill="text2" w:themeFillTint="99"/>
        <w:tabs>
          <w:tab w:val="clear" w:pos="794"/>
        </w:tabs>
        <w:spacing w:before="0"/>
        <w:ind w:left="624" w:right="57" w:hanging="567"/>
        <w:rPr>
          <w:color w:val="FFFFFF" w:themeColor="background1"/>
          <w:lang w:val="ru-RU"/>
        </w:rPr>
      </w:pPr>
      <w:r w:rsidRPr="00C81327">
        <w:rPr>
          <w:color w:val="FFFFFF" w:themeColor="background1"/>
          <w:lang w:val="ru-RU"/>
        </w:rPr>
        <w:t>2</w:t>
      </w:r>
      <w:r w:rsidRPr="00C81327">
        <w:rPr>
          <w:color w:val="FFFFFF" w:themeColor="background1"/>
          <w:lang w:val="ru-RU"/>
        </w:rPr>
        <w:tab/>
      </w:r>
      <w:r w:rsidR="0014436C" w:rsidRPr="00C81327">
        <w:rPr>
          <w:color w:val="FFFFFF" w:themeColor="background1"/>
          <w:lang w:val="ru-RU"/>
        </w:rPr>
        <w:t>Основная направленность</w:t>
      </w:r>
    </w:p>
    <w:tbl>
      <w:tblPr>
        <w:tblW w:w="1456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44"/>
        <w:gridCol w:w="7660"/>
        <w:gridCol w:w="1425"/>
        <w:gridCol w:w="3933"/>
      </w:tblGrid>
      <w:tr w:rsidR="0014436C" w:rsidRPr="00C81327" w14:paraId="38B46FBB" w14:textId="77777777" w:rsidTr="00036B36">
        <w:trPr>
          <w:tblHeader/>
        </w:trPr>
        <w:tc>
          <w:tcPr>
            <w:tcW w:w="1544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246A41A7" w14:textId="4E23FE7F" w:rsidR="0014436C" w:rsidRPr="00C81327" w:rsidRDefault="0014436C" w:rsidP="0014436C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Источник вклада </w:t>
            </w:r>
          </w:p>
        </w:tc>
        <w:tc>
          <w:tcPr>
            <w:tcW w:w="7660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B6577D1" w14:textId="215423B7" w:rsidR="0014436C" w:rsidRPr="00C81327" w:rsidRDefault="0014436C" w:rsidP="0014436C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Вклады </w:t>
            </w:r>
          </w:p>
        </w:tc>
        <w:tc>
          <w:tcPr>
            <w:tcW w:w="1425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EB23FBB" w14:textId="58588C38" w:rsidR="0014436C" w:rsidRPr="00C81327" w:rsidRDefault="0014436C" w:rsidP="0014436C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Док.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  <w:r w:rsidRPr="00C81327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933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743A241" w14:textId="4C5F7209" w:rsidR="0014436C" w:rsidRPr="00C81327" w:rsidRDefault="0014436C" w:rsidP="0014436C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Указания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</w:p>
        </w:tc>
      </w:tr>
      <w:tr w:rsidR="003A166B" w:rsidRPr="00DF140D" w14:paraId="4BEEFE54" w14:textId="77777777" w:rsidTr="00036B36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7D2F23C9" w14:textId="70BED132" w:rsidR="003A166B" w:rsidRPr="00C81327" w:rsidRDefault="0014436C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Вклады Государств-Членов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147CC178" w14:textId="19C02736" w:rsidR="003A166B" w:rsidRPr="00C81327" w:rsidRDefault="00303B74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Вклад Российской Федерации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  <w:r w:rsidR="003A166B" w:rsidRPr="00C81327">
              <w:rPr>
                <w:rFonts w:cs="Calibri"/>
                <w:i/>
                <w:iCs/>
                <w:sz w:val="20"/>
                <w:lang w:val="ru-RU" w:eastAsia="en-GB"/>
              </w:rPr>
              <w:br/>
            </w:r>
            <w:r w:rsidR="0014436C"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Стратегический план </w:t>
            </w: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>не должен быть слишком объ</w:t>
            </w:r>
            <w:r w:rsidR="00C740A1" w:rsidRPr="00C81327">
              <w:rPr>
                <w:rFonts w:cs="Calibri"/>
                <w:b/>
                <w:bCs/>
                <w:sz w:val="20"/>
                <w:lang w:val="ru-RU" w:eastAsia="en-GB"/>
              </w:rPr>
              <w:t>е</w:t>
            </w: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>мным и</w:t>
            </w:r>
            <w:r w:rsidR="00243942" w:rsidRPr="00C81327">
              <w:rPr>
                <w:rFonts w:cs="Calibri"/>
                <w:b/>
                <w:bCs/>
                <w:sz w:val="20"/>
                <w:lang w:val="ru-RU" w:eastAsia="en-GB"/>
              </w:rPr>
              <w:t>ли</w:t>
            </w: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чрезмерно детализированным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, что не только затрудняет прочтение, анализ и контроль его исполнения, но уравнивает главные направления деятельности МСЭ со </w:t>
            </w:r>
            <w:r w:rsidRPr="00C81327">
              <w:rPr>
                <w:rFonts w:cs="Calibri"/>
                <w:sz w:val="20"/>
                <w:lang w:val="ru-RU" w:eastAsia="en-GB"/>
              </w:rPr>
              <w:lastRenderedPageBreak/>
              <w:t>второстепенными и</w:t>
            </w:r>
            <w:r w:rsidR="0014436C" w:rsidRPr="00C81327">
              <w:rPr>
                <w:rFonts w:cs="Calibri"/>
                <w:sz w:val="20"/>
                <w:lang w:val="ru-RU" w:eastAsia="en-GB"/>
              </w:rPr>
              <w:t>, в конечном счете,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 приводит к распылению ресурсов. Не следует включать в </w:t>
            </w:r>
            <w:r w:rsidR="0014436C" w:rsidRPr="00C81327">
              <w:rPr>
                <w:rFonts w:cs="Calibri"/>
                <w:sz w:val="20"/>
                <w:lang w:val="ru-RU" w:eastAsia="en-GB"/>
              </w:rPr>
              <w:t>С</w:t>
            </w:r>
            <w:r w:rsidRPr="00C81327">
              <w:rPr>
                <w:rFonts w:cs="Calibri"/>
                <w:sz w:val="20"/>
                <w:lang w:val="ru-RU" w:eastAsia="en-GB"/>
              </w:rPr>
              <w:t>тратегический план МСЭ направления деятельности и задачи, не обеспеченные финансированием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  <w:hideMark/>
          </w:tcPr>
          <w:p w14:paraId="1116DE5B" w14:textId="77777777" w:rsidR="003A166B" w:rsidRPr="00C81327" w:rsidRDefault="00DF140D" w:rsidP="00E424D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14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CWG-SFP-1/8</w:t>
              </w:r>
            </w:hyperlink>
          </w:p>
        </w:tc>
        <w:tc>
          <w:tcPr>
            <w:tcW w:w="39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B3CBD5" w14:textId="1DD322C6" w:rsidR="00D4468E" w:rsidRPr="00C81327" w:rsidRDefault="0014436C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Предложить секретариату представить </w:t>
            </w:r>
            <w:r w:rsidR="007735B7" w:rsidRPr="00C81327">
              <w:rPr>
                <w:rFonts w:cs="Calibri"/>
                <w:sz w:val="20"/>
                <w:lang w:val="ru-RU" w:eastAsia="en-GB"/>
              </w:rPr>
              <w:t xml:space="preserve">входные </w:t>
            </w:r>
            <w:r w:rsidRPr="00C81327">
              <w:rPr>
                <w:rFonts w:cs="Calibri"/>
                <w:sz w:val="20"/>
                <w:lang w:val="ru-RU" w:eastAsia="en-GB"/>
              </w:rPr>
              <w:t>материалы по следующим вопросам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  <w:p w14:paraId="36C866F1" w14:textId="30E282A2" w:rsidR="00D4468E" w:rsidRPr="00C81327" w:rsidRDefault="003A166B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lastRenderedPageBreak/>
              <w:t xml:space="preserve">i) </w:t>
            </w:r>
            <w:r w:rsidR="0014436C" w:rsidRPr="00C81327">
              <w:rPr>
                <w:rFonts w:cs="Calibri"/>
                <w:sz w:val="20"/>
                <w:lang w:val="ru-RU" w:eastAsia="en-GB"/>
              </w:rPr>
              <w:t>как поддерживать Стратегический план на высоком уровне, признавая при этом роль и мандаты Секторов МСЭ</w:t>
            </w:r>
            <w:r w:rsidR="00C81327">
              <w:rPr>
                <w:rFonts w:cs="Calibri"/>
                <w:sz w:val="20"/>
                <w:lang w:val="ru-RU" w:eastAsia="en-GB"/>
              </w:rPr>
              <w:t>;</w:t>
            </w:r>
          </w:p>
          <w:p w14:paraId="355D00A8" w14:textId="2A0EDE15" w:rsidR="003A166B" w:rsidRPr="00C81327" w:rsidRDefault="003A166B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 w:val="20"/>
                <w:lang w:val="ru-RU" w:eastAsia="en-GB"/>
              </w:rPr>
            </w:pPr>
            <w:proofErr w:type="spellStart"/>
            <w:r w:rsidRPr="00C81327">
              <w:rPr>
                <w:rFonts w:cs="Calibri"/>
                <w:sz w:val="20"/>
                <w:lang w:val="ru-RU" w:eastAsia="en-GB"/>
              </w:rPr>
              <w:t>ii</w:t>
            </w:r>
            <w:proofErr w:type="spellEnd"/>
            <w:r w:rsidRPr="00C81327">
              <w:rPr>
                <w:rFonts w:cs="Calibri"/>
                <w:sz w:val="20"/>
                <w:lang w:val="ru-RU" w:eastAsia="en-GB"/>
              </w:rPr>
              <w:t xml:space="preserve">) </w:t>
            </w:r>
            <w:r w:rsidR="00E84811" w:rsidRPr="00C81327">
              <w:rPr>
                <w:rFonts w:cs="Calibri"/>
                <w:sz w:val="20"/>
                <w:lang w:val="ru-RU" w:eastAsia="en-GB"/>
              </w:rPr>
              <w:t xml:space="preserve">как на основании </w:t>
            </w:r>
            <w:r w:rsidR="005F6970" w:rsidRPr="00C81327">
              <w:rPr>
                <w:rFonts w:cs="Calibri"/>
                <w:sz w:val="20"/>
                <w:lang w:val="ru-RU" w:eastAsia="en-GB"/>
              </w:rPr>
              <w:t xml:space="preserve">стратегических приоритетов определить основные предметы/темы работы с учетом </w:t>
            </w:r>
            <w:r w:rsidR="00EF69D4" w:rsidRPr="00C81327">
              <w:rPr>
                <w:rFonts w:cs="Calibri"/>
                <w:sz w:val="20"/>
                <w:lang w:val="ru-RU" w:eastAsia="en-GB"/>
              </w:rPr>
              <w:t xml:space="preserve">сквозных тем, по мере возможностей стремясь </w:t>
            </w:r>
            <w:r w:rsidR="005A235F" w:rsidRPr="00C81327">
              <w:rPr>
                <w:rFonts w:cs="Calibri"/>
                <w:sz w:val="20"/>
                <w:lang w:val="ru-RU" w:eastAsia="en-GB"/>
              </w:rPr>
              <w:t xml:space="preserve">усилить синергию </w:t>
            </w:r>
            <w:r w:rsidR="00907253" w:rsidRPr="00C81327">
              <w:rPr>
                <w:rFonts w:cs="Calibri"/>
                <w:sz w:val="20"/>
                <w:lang w:val="ru-RU" w:eastAsia="en-GB"/>
              </w:rPr>
              <w:t>между Секторами</w:t>
            </w:r>
          </w:p>
        </w:tc>
      </w:tr>
      <w:tr w:rsidR="003A166B" w:rsidRPr="00C81327" w14:paraId="3FB94A1F" w14:textId="77777777" w:rsidTr="00036B36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FB96E" w14:textId="46147C3C" w:rsidR="003A166B" w:rsidRPr="00C81327" w:rsidRDefault="00243942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lastRenderedPageBreak/>
              <w:t>Онлайновые консультации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D41A" w14:textId="15D53C55" w:rsidR="00D4468E" w:rsidRPr="00C81327" w:rsidRDefault="00D21522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070FFB" w:rsidRPr="00C81327">
              <w:rPr>
                <w:rFonts w:cs="Calibri"/>
                <w:sz w:val="20"/>
                <w:lang w:val="ru-RU" w:eastAsia="en-GB"/>
              </w:rPr>
              <w:t xml:space="preserve">Стратегический план </w:t>
            </w:r>
            <w:r w:rsidR="00070FFB" w:rsidRPr="00C81327">
              <w:rPr>
                <w:rFonts w:cs="Calibri"/>
                <w:b/>
                <w:bCs/>
                <w:sz w:val="20"/>
                <w:lang w:val="ru-RU" w:eastAsia="en-GB"/>
              </w:rPr>
              <w:t>не полностью ориентирован</w:t>
            </w:r>
            <w:r w:rsidR="00070FFB" w:rsidRPr="00C81327">
              <w:rPr>
                <w:rFonts w:cs="Calibri"/>
                <w:sz w:val="20"/>
                <w:lang w:val="ru-RU" w:eastAsia="en-GB"/>
              </w:rPr>
              <w:t xml:space="preserve"> на достижение основных целей, </w:t>
            </w:r>
            <w:r w:rsidR="00070FFB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чрезмерен по объему </w:t>
            </w:r>
            <w:r w:rsidR="00070FFB" w:rsidRPr="00C81327">
              <w:rPr>
                <w:rFonts w:cs="Calibri"/>
                <w:sz w:val="20"/>
                <w:lang w:val="ru-RU" w:eastAsia="en-GB"/>
              </w:rPr>
              <w:t>и</w:t>
            </w:r>
            <w:r w:rsidR="00070FFB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перегружен </w:t>
            </w:r>
            <w:r w:rsidR="00243942" w:rsidRPr="00C81327">
              <w:rPr>
                <w:rFonts w:cs="Calibri"/>
                <w:b/>
                <w:bCs/>
                <w:sz w:val="20"/>
                <w:lang w:val="ru-RU" w:eastAsia="en-GB"/>
              </w:rPr>
              <w:t>подробностями</w:t>
            </w:r>
          </w:p>
          <w:p w14:paraId="2FFACE39" w14:textId="6F01218A" w:rsidR="00D4468E" w:rsidRPr="00C81327" w:rsidRDefault="00D21522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070FFB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Необходимо сосредоточиться </w:t>
            </w:r>
            <w:r w:rsidR="00070FFB" w:rsidRPr="00C81327">
              <w:rPr>
                <w:rFonts w:cs="Calibri"/>
                <w:sz w:val="20"/>
                <w:lang w:val="ru-RU" w:eastAsia="en-GB"/>
              </w:rPr>
              <w:t>на основной миссии и сфере деятельности</w:t>
            </w:r>
          </w:p>
          <w:p w14:paraId="4C996D6D" w14:textId="0DFC9419" w:rsidR="003A166B" w:rsidRPr="00C81327" w:rsidRDefault="00D21522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070FFB" w:rsidRPr="00C81327">
              <w:rPr>
                <w:rFonts w:cs="Calibri"/>
                <w:sz w:val="20"/>
                <w:lang w:val="ru-RU" w:eastAsia="en-GB"/>
              </w:rPr>
              <w:t xml:space="preserve">Стратегический план должен </w:t>
            </w:r>
            <w:r w:rsidR="00070FFB" w:rsidRPr="00C81327">
              <w:rPr>
                <w:rFonts w:cs="Calibri"/>
                <w:b/>
                <w:bCs/>
                <w:sz w:val="20"/>
                <w:lang w:val="ru-RU" w:eastAsia="en-GB"/>
              </w:rPr>
              <w:t>оставаться обобщенным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DED7" w14:textId="77777777" w:rsidR="003A166B" w:rsidRPr="00C81327" w:rsidRDefault="00DF140D" w:rsidP="00E424D8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15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CWG-SFP-1/11</w:t>
              </w:r>
            </w:hyperlink>
          </w:p>
        </w:tc>
        <w:tc>
          <w:tcPr>
            <w:tcW w:w="39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BBB2" w14:textId="77777777" w:rsidR="003A166B" w:rsidRPr="00C81327" w:rsidRDefault="003A166B" w:rsidP="00E424D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 w:val="20"/>
                <w:lang w:val="ru-RU" w:eastAsia="en-GB"/>
              </w:rPr>
            </w:pPr>
          </w:p>
        </w:tc>
      </w:tr>
      <w:tr w:rsidR="003A166B" w:rsidRPr="00C81327" w14:paraId="6DBD2699" w14:textId="77777777" w:rsidTr="00036B36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425D526A" w14:textId="46E918F4" w:rsidR="003A166B" w:rsidRPr="00C81327" w:rsidRDefault="00243942" w:rsidP="00106D24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Рек. / Выводы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0E29598A" w14:textId="263524FF" w:rsidR="00D4468E" w:rsidRPr="00C81327" w:rsidRDefault="003A166B" w:rsidP="00106D24">
            <w:pPr>
              <w:tabs>
                <w:tab w:val="left" w:pos="420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i/>
                <w:iCs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(</w:t>
            </w:r>
            <w:r w:rsidR="00243942"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Отчет McKinsey </w:t>
            </w:r>
            <w:r w:rsidR="00EF69D4" w:rsidRPr="00C81327">
              <w:rPr>
                <w:rFonts w:cs="Calibri"/>
                <w:i/>
                <w:iCs/>
                <w:sz w:val="20"/>
                <w:lang w:val="ru-RU" w:eastAsia="en-GB"/>
              </w:rPr>
              <w:t>"К</w:t>
            </w:r>
            <w:r w:rsidR="00243942" w:rsidRPr="00C81327">
              <w:rPr>
                <w:rFonts w:cs="Calibri"/>
                <w:i/>
                <w:iCs/>
                <w:sz w:val="20"/>
                <w:lang w:val="ru-RU" w:eastAsia="en-GB"/>
              </w:rPr>
              <w:t>ультур</w:t>
            </w:r>
            <w:r w:rsidR="00EF69D4" w:rsidRPr="00C81327">
              <w:rPr>
                <w:rFonts w:cs="Calibri"/>
                <w:i/>
                <w:iCs/>
                <w:sz w:val="20"/>
                <w:lang w:val="ru-RU" w:eastAsia="en-GB"/>
              </w:rPr>
              <w:t>а</w:t>
            </w:r>
            <w:r w:rsidR="00243942"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 и навык</w:t>
            </w:r>
            <w:r w:rsidR="00EF69D4" w:rsidRPr="00C81327">
              <w:rPr>
                <w:rFonts w:cs="Calibri"/>
                <w:i/>
                <w:iCs/>
                <w:sz w:val="20"/>
                <w:lang w:val="ru-RU" w:eastAsia="en-GB"/>
              </w:rPr>
              <w:t>и"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)</w:t>
            </w:r>
          </w:p>
          <w:p w14:paraId="73A7A78C" w14:textId="0911CBCB" w:rsidR="00D4468E" w:rsidRPr="00C81327" w:rsidRDefault="003A166B" w:rsidP="00106D24">
            <w:pPr>
              <w:overflowPunct/>
              <w:autoSpaceDE/>
              <w:autoSpaceDN/>
              <w:adjustRightInd/>
              <w:spacing w:before="20" w:after="20"/>
              <w:ind w:left="425" w:hanging="425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proofErr w:type="gramStart"/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>a</w:t>
            </w:r>
            <w:proofErr w:type="gramEnd"/>
            <w:r w:rsidR="00D4468E" w:rsidRPr="00C81327">
              <w:rPr>
                <w:rFonts w:cs="Calibri"/>
                <w:b/>
                <w:bCs/>
                <w:sz w:val="20"/>
                <w:lang w:val="ru-RU" w:eastAsia="en-GB"/>
              </w:rPr>
              <w:tab/>
              <w:t>Рассмотреть возможность пересмотра и более тесной увязки мандатов МСЭ и Секторов</w:t>
            </w:r>
          </w:p>
          <w:p w14:paraId="17A9BCF3" w14:textId="08DAD246" w:rsidR="00D4468E" w:rsidRPr="00C81327" w:rsidRDefault="003A166B" w:rsidP="00106D24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a.1 </w:t>
            </w:r>
            <w:r w:rsidR="00D21522" w:rsidRPr="00C81327">
              <w:rPr>
                <w:rFonts w:cs="Calibri"/>
                <w:b/>
                <w:bCs/>
                <w:sz w:val="20"/>
                <w:lang w:val="ru-RU" w:eastAsia="en-GB"/>
              </w:rPr>
              <w:t>−</w:t>
            </w: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</w:t>
            </w:r>
            <w:r w:rsidR="00D4468E" w:rsidRPr="00C81327">
              <w:rPr>
                <w:rFonts w:cs="Calibri"/>
                <w:b/>
                <w:bCs/>
                <w:sz w:val="20"/>
                <w:lang w:val="ru-RU" w:eastAsia="en-GB"/>
              </w:rPr>
              <w:t>Начать процесс пересмотра мандата МСЭ и всех Секторов – с запросом мнений внешних структур</w:t>
            </w:r>
          </w:p>
          <w:p w14:paraId="79B1B4DC" w14:textId="0BDF8A0F" w:rsidR="00106D24" w:rsidRPr="00C81327" w:rsidRDefault="00C43173" w:rsidP="00106D24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Вариант A для рассмотрения</w:t>
            </w:r>
            <w:r w:rsidR="003A166B"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: </w:t>
            </w:r>
            <w:r w:rsidR="00D21522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A151BF" w:rsidRPr="00C81327">
              <w:rPr>
                <w:rFonts w:cs="Calibri"/>
                <w:sz w:val="20"/>
                <w:lang w:val="ru-RU" w:eastAsia="en-GB"/>
              </w:rPr>
              <w:t xml:space="preserve">РГС-СФП предлагается учесть рекомендации при разработке </w:t>
            </w:r>
            <w:r w:rsidR="007735B7" w:rsidRPr="00C81327">
              <w:rPr>
                <w:rFonts w:cs="Calibri"/>
                <w:sz w:val="20"/>
                <w:lang w:val="ru-RU" w:eastAsia="en-GB"/>
              </w:rPr>
              <w:t>С</w:t>
            </w:r>
            <w:r w:rsidR="00A151BF" w:rsidRPr="00C81327">
              <w:rPr>
                <w:rFonts w:cs="Calibri"/>
                <w:sz w:val="20"/>
                <w:lang w:val="ru-RU" w:eastAsia="en-GB"/>
              </w:rPr>
              <w:t>тратегического плана МСЭ на 2024–2027 годы</w:t>
            </w:r>
            <w:r w:rsidR="00A151BF" w:rsidRPr="00C81327">
              <w:rPr>
                <w:rFonts w:cs="Calibri"/>
                <w:sz w:val="20"/>
                <w:lang w:val="ru-RU" w:eastAsia="en-GB"/>
              </w:rPr>
              <w:br/>
              <w:t>− Новая стратегическая основа для обеспечения лучшей связи мандатов Секторов с мандатом МСЭ</w:t>
            </w:r>
            <w:r w:rsidR="00A151BF" w:rsidRPr="00C81327">
              <w:rPr>
                <w:rFonts w:cs="Calibri"/>
                <w:sz w:val="20"/>
                <w:lang w:val="ru-RU" w:eastAsia="en-GB"/>
              </w:rPr>
              <w:br/>
              <w:t>− Предлагается запросить мнения всех заинтересованных сторон (например, путем проведения открытых консультаций)</w:t>
            </w:r>
          </w:p>
          <w:p w14:paraId="466DF11C" w14:textId="65701163" w:rsidR="00A151BF" w:rsidRPr="00C81327" w:rsidRDefault="00C43173" w:rsidP="00106D24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Вариант </w:t>
            </w:r>
            <w:r w:rsidR="003A166B" w:rsidRPr="00C81327">
              <w:rPr>
                <w:rFonts w:cs="Calibri"/>
                <w:i/>
                <w:iCs/>
                <w:sz w:val="20"/>
                <w:lang w:val="ru-RU" w:eastAsia="en-GB"/>
              </w:rPr>
              <w:t>B</w:t>
            </w:r>
            <w:r w:rsidR="005009C3"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 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для рассмотрения</w:t>
            </w:r>
            <w:r w:rsidR="003A166B"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: </w:t>
            </w:r>
            <w:r w:rsidR="00D21522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A151BF" w:rsidRPr="00C81327">
              <w:rPr>
                <w:rFonts w:cs="Calibri"/>
                <w:sz w:val="20"/>
                <w:lang w:val="ru-RU" w:eastAsia="en-GB"/>
              </w:rPr>
              <w:t xml:space="preserve">Государствам-Членам предлагается рассмотреть любой другой процесс пересмотра мандата МСЭ и </w:t>
            </w:r>
            <w:r w:rsidR="00243942" w:rsidRPr="00C81327">
              <w:rPr>
                <w:rFonts w:cs="Calibri"/>
                <w:sz w:val="20"/>
                <w:lang w:val="ru-RU" w:eastAsia="en-GB"/>
              </w:rPr>
              <w:t xml:space="preserve">каждого из </w:t>
            </w:r>
            <w:r w:rsidR="00A151BF" w:rsidRPr="00C81327">
              <w:rPr>
                <w:rFonts w:cs="Calibri"/>
                <w:sz w:val="20"/>
                <w:lang w:val="ru-RU" w:eastAsia="en-GB"/>
              </w:rPr>
              <w:t xml:space="preserve">Секторов и дать поручения </w:t>
            </w:r>
            <w:r w:rsidR="007735B7" w:rsidRPr="00C81327">
              <w:rPr>
                <w:rFonts w:cs="Calibri"/>
                <w:sz w:val="20"/>
                <w:lang w:val="ru-RU" w:eastAsia="en-GB"/>
              </w:rPr>
              <w:t>с</w:t>
            </w:r>
            <w:r w:rsidR="00A151BF" w:rsidRPr="00C81327">
              <w:rPr>
                <w:rFonts w:cs="Calibri"/>
                <w:sz w:val="20"/>
                <w:lang w:val="ru-RU" w:eastAsia="en-GB"/>
              </w:rPr>
              <w:t>екретариату по любым дальнейшим действиям</w:t>
            </w:r>
          </w:p>
          <w:p w14:paraId="3E62438A" w14:textId="40187598" w:rsidR="00D4468E" w:rsidRPr="00C81327" w:rsidRDefault="003A166B" w:rsidP="00106D24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a.2 </w:t>
            </w:r>
            <w:r w:rsidR="00D21522" w:rsidRPr="00C81327">
              <w:rPr>
                <w:rFonts w:cs="Calibri"/>
                <w:b/>
                <w:bCs/>
                <w:sz w:val="20"/>
                <w:lang w:val="ru-RU" w:eastAsia="en-GB"/>
              </w:rPr>
              <w:t>−</w:t>
            </w: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</w:t>
            </w:r>
            <w:r w:rsidR="00D4468E" w:rsidRPr="00C81327">
              <w:rPr>
                <w:rFonts w:cs="Calibri"/>
                <w:b/>
                <w:bCs/>
                <w:sz w:val="20"/>
                <w:lang w:val="ru-RU" w:eastAsia="en-GB"/>
              </w:rPr>
              <w:t>Активизировать усилия по выявлению и использованию синергии между Секторами</w:t>
            </w:r>
          </w:p>
          <w:p w14:paraId="45AC7378" w14:textId="7886C63D" w:rsidR="00D4468E" w:rsidRPr="00C81327" w:rsidRDefault="00C43173" w:rsidP="00106D24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Вариант для рассмотрения</w:t>
            </w:r>
            <w:r w:rsidR="003A166B"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: </w:t>
            </w:r>
            <w:r w:rsidR="00975BDC" w:rsidRPr="00C81327">
              <w:rPr>
                <w:rFonts w:cs="Calibri"/>
                <w:i/>
                <w:iCs/>
                <w:sz w:val="20"/>
                <w:lang w:val="ru-RU" w:eastAsia="en-GB"/>
              </w:rPr>
              <w:br/>
            </w:r>
            <w:r w:rsidR="00D21522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A151BF" w:rsidRPr="00C81327">
              <w:rPr>
                <w:rFonts w:cs="Calibri"/>
                <w:sz w:val="20"/>
                <w:lang w:val="ru-RU" w:eastAsia="en-GB"/>
              </w:rPr>
              <w:t>В новой стратегической основе предлагается определить общие стратегические приоритеты / темы / направления работы</w:t>
            </w:r>
            <w:r w:rsidR="00A151BF" w:rsidRPr="00C81327">
              <w:rPr>
                <w:rFonts w:cs="Calibri"/>
                <w:sz w:val="20"/>
                <w:lang w:val="ru-RU" w:eastAsia="en-GB"/>
              </w:rPr>
              <w:br/>
            </w:r>
            <w:r w:rsidR="00243942"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A151BF" w:rsidRPr="00C81327">
              <w:rPr>
                <w:rFonts w:cs="Calibri"/>
                <w:sz w:val="20"/>
                <w:lang w:val="ru-RU" w:eastAsia="en-GB"/>
              </w:rPr>
              <w:t xml:space="preserve"> При разработке приоритетов / тем предлагается учитывать анализ и сопоставление тем и направлений работы для выявления синергии</w:t>
            </w:r>
          </w:p>
          <w:p w14:paraId="0945084A" w14:textId="77777777" w:rsidR="00A151BF" w:rsidRPr="00C81327" w:rsidRDefault="003A166B" w:rsidP="00106D24">
            <w:pPr>
              <w:overflowPunct/>
              <w:autoSpaceDE/>
              <w:autoSpaceDN/>
              <w:adjustRightInd/>
              <w:spacing w:before="20" w:after="20"/>
              <w:ind w:left="425" w:hanging="425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proofErr w:type="gramStart"/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>b</w:t>
            </w:r>
            <w:proofErr w:type="gramEnd"/>
            <w:r w:rsidR="00D4468E" w:rsidRPr="00C81327">
              <w:rPr>
                <w:rFonts w:cs="Calibri"/>
                <w:b/>
                <w:bCs/>
                <w:sz w:val="20"/>
                <w:lang w:val="ru-RU" w:eastAsia="en-GB"/>
              </w:rPr>
              <w:tab/>
            </w:r>
            <w:r w:rsidR="00A151BF" w:rsidRPr="00C81327">
              <w:rPr>
                <w:rFonts w:cs="Calibri"/>
                <w:b/>
                <w:bCs/>
                <w:sz w:val="20"/>
                <w:lang w:val="ru-RU" w:eastAsia="en-GB"/>
              </w:rPr>
              <w:t>Рассмотреть возможность пересмотра организационной структуры и операционной модели МСЭ</w:t>
            </w:r>
          </w:p>
          <w:p w14:paraId="5D7AD635" w14:textId="0B84989D" w:rsidR="00D4468E" w:rsidRPr="00C81327" w:rsidRDefault="003A166B" w:rsidP="00106D24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b.1 – </w:t>
            </w:r>
            <w:r w:rsidR="00A151BF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Проанализировать всю организационную структуру </w:t>
            </w:r>
            <w:r w:rsidR="00243942" w:rsidRPr="00C81327">
              <w:rPr>
                <w:rFonts w:cs="Calibri"/>
                <w:b/>
                <w:bCs/>
                <w:sz w:val="20"/>
                <w:lang w:val="ru-RU" w:eastAsia="en-GB"/>
              </w:rPr>
              <w:t>с целью</w:t>
            </w:r>
            <w:r w:rsidR="00A151BF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обеспечения наилучшего соответствия для выполнения мандата и устранения неэффективности</w:t>
            </w:r>
          </w:p>
          <w:p w14:paraId="1C0A1A50" w14:textId="2F473C9E" w:rsidR="003C4BC2" w:rsidRPr="00C81327" w:rsidRDefault="00C43173" w:rsidP="00106D24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lastRenderedPageBreak/>
              <w:t>Вариант A для рассмотрения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  <w:r w:rsidR="003A166B"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 </w:t>
            </w:r>
            <w:r w:rsidR="00243942"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A151BF" w:rsidRPr="00C81327">
              <w:rPr>
                <w:rFonts w:cs="Calibri"/>
                <w:sz w:val="20"/>
                <w:lang w:val="ru-RU" w:eastAsia="en-GB"/>
              </w:rPr>
              <w:t>В рамках нового Стратегического плана РГС-СФП предлагается учесть рекомендации и определить варианты предлагаемых изменений</w:t>
            </w:r>
          </w:p>
          <w:p w14:paraId="1C5D3969" w14:textId="0D424493" w:rsidR="00A151BF" w:rsidRPr="00C81327" w:rsidRDefault="00C43173" w:rsidP="00106D24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Вариант B для рассмотрения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  <w:r w:rsidR="003A166B"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 </w:t>
            </w:r>
            <w:r w:rsidR="00243942"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A151BF" w:rsidRPr="00C81327">
              <w:rPr>
                <w:rFonts w:cs="Calibri"/>
                <w:sz w:val="20"/>
                <w:lang w:val="ru-RU" w:eastAsia="en-GB"/>
              </w:rPr>
              <w:t>Государствам-Членам предлагается рассмотреть возможность формирования специального процесса анализа управления и организационной работы (определение общего круга ведения и формирование группы по анализу управления/организационной работы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)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br/>
            </w:r>
            <w:r w:rsidR="003A166B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b.2 – </w:t>
            </w:r>
            <w:r w:rsidR="00A151BF" w:rsidRPr="00C81327">
              <w:rPr>
                <w:rFonts w:cs="Calibri"/>
                <w:b/>
                <w:bCs/>
                <w:sz w:val="20"/>
                <w:lang w:val="ru-RU" w:eastAsia="en-GB"/>
              </w:rPr>
              <w:t>Начать формировать группы</w:t>
            </w:r>
            <w:r w:rsidR="00755F18" w:rsidRPr="00C81327">
              <w:rPr>
                <w:rFonts w:cs="Calibri"/>
                <w:b/>
                <w:bCs/>
                <w:sz w:val="20"/>
                <w:lang w:val="ru-RU" w:eastAsia="en-GB"/>
              </w:rPr>
              <w:t>, использующие гибкие методы управления</w:t>
            </w:r>
            <w:r w:rsidR="00A151BF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</w:t>
            </w:r>
            <w:r w:rsidR="00755F18" w:rsidRPr="00C81327">
              <w:rPr>
                <w:rFonts w:cs="Calibri"/>
                <w:b/>
                <w:bCs/>
                <w:sz w:val="20"/>
                <w:lang w:val="ru-RU" w:eastAsia="en-GB"/>
              </w:rPr>
              <w:t>(</w:t>
            </w:r>
            <w:r w:rsidR="00A151BF" w:rsidRPr="00C81327">
              <w:rPr>
                <w:rFonts w:cs="Calibri"/>
                <w:b/>
                <w:bCs/>
                <w:sz w:val="20"/>
                <w:lang w:val="ru-RU" w:eastAsia="en-GB"/>
              </w:rPr>
              <w:t>ГМУ</w:t>
            </w:r>
            <w:r w:rsidR="00755F18" w:rsidRPr="00C81327">
              <w:rPr>
                <w:rFonts w:cs="Calibri"/>
                <w:b/>
                <w:bCs/>
                <w:sz w:val="20"/>
                <w:lang w:val="ru-RU" w:eastAsia="en-GB"/>
              </w:rPr>
              <w:t>),</w:t>
            </w:r>
            <w:r w:rsidR="00A151BF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по сквозным темам</w:t>
            </w:r>
          </w:p>
          <w:p w14:paraId="112F8D78" w14:textId="34CFA2AD" w:rsidR="003A166B" w:rsidRPr="00C81327" w:rsidRDefault="00C43173" w:rsidP="00106D24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Вариант для рассмотрения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br/>
            </w:r>
            <w:r w:rsidR="00243942"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A151BF" w:rsidRPr="00C81327">
              <w:rPr>
                <w:rFonts w:cs="Calibri"/>
                <w:sz w:val="20"/>
                <w:lang w:val="ru-RU" w:eastAsia="en-GB"/>
              </w:rPr>
              <w:t>РГС-СФП предлагается определить перечень сквозных тем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br/>
            </w:r>
            <w:r w:rsidR="00243942"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A151BF" w:rsidRPr="00C81327">
              <w:rPr>
                <w:rFonts w:cs="Calibri"/>
                <w:sz w:val="20"/>
                <w:lang w:val="ru-RU" w:eastAsia="en-GB"/>
              </w:rPr>
              <w:t>РГС-СФП предлагается рассмотреть способы укрепления сквозных тем в новой основе стратегического планирования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  <w:hideMark/>
          </w:tcPr>
          <w:p w14:paraId="6852E9B7" w14:textId="77777777" w:rsidR="003A166B" w:rsidRPr="00C81327" w:rsidRDefault="00DF140D" w:rsidP="00106D2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16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CWG-SFP-1/5</w:t>
              </w:r>
            </w:hyperlink>
          </w:p>
        </w:tc>
        <w:tc>
          <w:tcPr>
            <w:tcW w:w="393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D095D" w14:textId="77777777" w:rsidR="003A166B" w:rsidRPr="00C81327" w:rsidRDefault="003A166B" w:rsidP="00106D24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Calibri"/>
                <w:sz w:val="20"/>
                <w:lang w:val="ru-RU" w:eastAsia="en-GB"/>
              </w:rPr>
            </w:pPr>
          </w:p>
        </w:tc>
      </w:tr>
    </w:tbl>
    <w:p w14:paraId="1DDEE02D" w14:textId="07D79AA9" w:rsidR="00036B36" w:rsidRPr="00C81327" w:rsidRDefault="00036B36" w:rsidP="00143187">
      <w:pPr>
        <w:spacing w:before="0"/>
        <w:rPr>
          <w:lang w:val="ru-RU"/>
        </w:rPr>
      </w:pPr>
    </w:p>
    <w:p w14:paraId="578058D2" w14:textId="4FE94506" w:rsidR="00036B36" w:rsidRPr="00C81327" w:rsidRDefault="00036B36" w:rsidP="00036B36">
      <w:pPr>
        <w:pStyle w:val="Heading2"/>
        <w:pBdr>
          <w:top w:val="single" w:sz="4" w:space="3" w:color="548DD4" w:themeColor="text2" w:themeTint="99"/>
          <w:left w:val="single" w:sz="4" w:space="1" w:color="548DD4" w:themeColor="text2" w:themeTint="99"/>
          <w:bottom w:val="single" w:sz="4" w:space="3" w:color="548DD4" w:themeColor="text2" w:themeTint="99"/>
          <w:right w:val="single" w:sz="4" w:space="1" w:color="548DD4" w:themeColor="text2" w:themeTint="99"/>
        </w:pBdr>
        <w:shd w:val="clear" w:color="auto" w:fill="548DD4" w:themeFill="text2" w:themeFillTint="99"/>
        <w:tabs>
          <w:tab w:val="clear" w:pos="794"/>
        </w:tabs>
        <w:spacing w:before="0"/>
        <w:ind w:left="624" w:right="57" w:hanging="567"/>
        <w:rPr>
          <w:color w:val="FFFFFF" w:themeColor="background1"/>
          <w:lang w:val="ru-RU"/>
        </w:rPr>
      </w:pPr>
      <w:r w:rsidRPr="00C81327">
        <w:rPr>
          <w:color w:val="FFFFFF" w:themeColor="background1"/>
          <w:lang w:val="ru-RU"/>
        </w:rPr>
        <w:t>3</w:t>
      </w:r>
      <w:r w:rsidRPr="00C81327">
        <w:rPr>
          <w:color w:val="FFFFFF" w:themeColor="background1"/>
          <w:lang w:val="ru-RU"/>
        </w:rPr>
        <w:tab/>
      </w:r>
      <w:r w:rsidR="00EF69D4" w:rsidRPr="00C81327">
        <w:rPr>
          <w:color w:val="FFFFFF" w:themeColor="background1"/>
          <w:lang w:val="ru-RU"/>
        </w:rPr>
        <w:t>Единый МСЭ</w:t>
      </w:r>
    </w:p>
    <w:tbl>
      <w:tblPr>
        <w:tblW w:w="1454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44"/>
        <w:gridCol w:w="7657"/>
        <w:gridCol w:w="1428"/>
        <w:gridCol w:w="3919"/>
      </w:tblGrid>
      <w:tr w:rsidR="00907253" w:rsidRPr="00C81327" w14:paraId="5C0A29D1" w14:textId="77777777" w:rsidTr="009808C5">
        <w:trPr>
          <w:tblHeader/>
        </w:trPr>
        <w:tc>
          <w:tcPr>
            <w:tcW w:w="1544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47585A8" w14:textId="7FB765A7" w:rsidR="00907253" w:rsidRPr="00C81327" w:rsidRDefault="00907253" w:rsidP="00907253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Источник вклада </w:t>
            </w:r>
          </w:p>
        </w:tc>
        <w:tc>
          <w:tcPr>
            <w:tcW w:w="7657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B95855A" w14:textId="23B4004C" w:rsidR="00907253" w:rsidRPr="00C81327" w:rsidRDefault="00907253" w:rsidP="00907253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Вклады </w:t>
            </w:r>
          </w:p>
        </w:tc>
        <w:tc>
          <w:tcPr>
            <w:tcW w:w="1428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229A956" w14:textId="740CC776" w:rsidR="00907253" w:rsidRPr="00C81327" w:rsidRDefault="00907253" w:rsidP="00907253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Док.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  <w:r w:rsidRPr="00C81327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919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3520156" w14:textId="076A8A27" w:rsidR="00907253" w:rsidRPr="00C81327" w:rsidRDefault="00907253" w:rsidP="00907253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Указания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</w:p>
        </w:tc>
      </w:tr>
      <w:tr w:rsidR="003A166B" w:rsidRPr="00DF140D" w14:paraId="710668CC" w14:textId="77777777" w:rsidTr="009808C5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0CF30E25" w14:textId="51ED4F0F" w:rsidR="003A166B" w:rsidRPr="00C81327" w:rsidRDefault="00907253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Онлайновые консультации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6304D1E3" w14:textId="1DB27941" w:rsidR="002072EA" w:rsidRPr="00C81327" w:rsidRDefault="00D21522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6E6B4E" w:rsidRPr="00C81327">
              <w:rPr>
                <w:rFonts w:cs="Calibri"/>
                <w:sz w:val="20"/>
                <w:lang w:val="ru-RU" w:eastAsia="en-GB"/>
              </w:rPr>
              <w:t xml:space="preserve">Выражено согласие в отношении того, что </w:t>
            </w:r>
            <w:r w:rsidR="006E6B4E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концепция "Единый МСЭ" имеет большое значение для продолжения текущей работы </w:t>
            </w:r>
            <w:r w:rsidR="006E6B4E" w:rsidRPr="00C81327">
              <w:rPr>
                <w:rFonts w:cs="Calibri"/>
                <w:sz w:val="20"/>
                <w:lang w:val="ru-RU" w:eastAsia="en-GB"/>
              </w:rPr>
              <w:t>(возможно, с дальнейшим уточнением этой концепции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)</w:t>
            </w:r>
          </w:p>
          <w:p w14:paraId="6FF9CA15" w14:textId="6D83108D" w:rsidR="002072EA" w:rsidRPr="00C81327" w:rsidRDefault="00907253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6E6B4E" w:rsidRPr="00C81327">
              <w:rPr>
                <w:rFonts w:cs="Calibri"/>
                <w:sz w:val="20"/>
                <w:lang w:val="ru-RU" w:eastAsia="en-GB"/>
              </w:rPr>
              <w:t xml:space="preserve">В новом </w:t>
            </w:r>
            <w:r w:rsidR="007735B7" w:rsidRPr="00C81327">
              <w:rPr>
                <w:rFonts w:cs="Calibri"/>
                <w:sz w:val="20"/>
                <w:lang w:val="ru-RU" w:eastAsia="en-GB"/>
              </w:rPr>
              <w:t>С</w:t>
            </w:r>
            <w:r w:rsidR="006E6B4E" w:rsidRPr="00C81327">
              <w:rPr>
                <w:rFonts w:cs="Calibri"/>
                <w:sz w:val="20"/>
                <w:lang w:val="ru-RU" w:eastAsia="en-GB"/>
              </w:rPr>
              <w:t xml:space="preserve">тратегическом плане необходимо уделить внимание </w:t>
            </w:r>
            <w:r w:rsidR="006E6B4E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укреплению сотрудничества между тремя Секторами </w:t>
            </w:r>
            <w:r w:rsidR="006E6B4E" w:rsidRPr="00C81327">
              <w:rPr>
                <w:rFonts w:cs="Calibri"/>
                <w:sz w:val="20"/>
                <w:lang w:val="ru-RU" w:eastAsia="en-GB"/>
              </w:rPr>
              <w:t xml:space="preserve">с учетом </w:t>
            </w:r>
            <w:r w:rsidR="006E6B4E" w:rsidRPr="00C81327">
              <w:rPr>
                <w:rFonts w:cs="Calibri"/>
                <w:b/>
                <w:bCs/>
                <w:sz w:val="20"/>
                <w:lang w:val="ru-RU" w:eastAsia="en-GB"/>
              </w:rPr>
              <w:t>эффективности</w:t>
            </w:r>
            <w:r w:rsidR="006E6B4E" w:rsidRPr="00C81327">
              <w:rPr>
                <w:rFonts w:cs="Calibri"/>
                <w:sz w:val="20"/>
                <w:lang w:val="ru-RU" w:eastAsia="en-GB"/>
              </w:rPr>
              <w:t xml:space="preserve"> и </w:t>
            </w:r>
            <w:r w:rsidR="006E6B4E" w:rsidRPr="00C81327">
              <w:rPr>
                <w:rFonts w:cs="Calibri"/>
                <w:b/>
                <w:bCs/>
                <w:sz w:val="20"/>
                <w:lang w:val="ru-RU" w:eastAsia="en-GB"/>
              </w:rPr>
              <w:t>синергии</w:t>
            </w:r>
          </w:p>
          <w:p w14:paraId="63726566" w14:textId="7F32A783" w:rsidR="003A166B" w:rsidRPr="00C81327" w:rsidRDefault="00D21522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6E6B4E" w:rsidRPr="00C81327">
              <w:rPr>
                <w:rFonts w:cs="Calibri"/>
                <w:sz w:val="20"/>
                <w:lang w:val="ru-RU" w:eastAsia="en-GB"/>
              </w:rPr>
              <w:t>Предложение о</w:t>
            </w:r>
            <w:r w:rsidR="006E6B4E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гибком распределении ресурсов </w:t>
            </w:r>
            <w:r w:rsidR="006E6B4E" w:rsidRPr="00C81327">
              <w:rPr>
                <w:rFonts w:cs="Calibri"/>
                <w:sz w:val="20"/>
                <w:lang w:val="ru-RU" w:eastAsia="en-GB"/>
              </w:rPr>
              <w:t>вместо раздельного управления Секторами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  <w:hideMark/>
          </w:tcPr>
          <w:p w14:paraId="36A8F098" w14:textId="77777777" w:rsidR="003A166B" w:rsidRPr="00C81327" w:rsidRDefault="00DF140D" w:rsidP="00036B3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17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CWG-SFP-1/11</w:t>
              </w:r>
            </w:hyperlink>
          </w:p>
        </w:tc>
        <w:tc>
          <w:tcPr>
            <w:tcW w:w="391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14:paraId="06B339A8" w14:textId="76509AA1" w:rsidR="002072EA" w:rsidRPr="00C81327" w:rsidRDefault="00D21522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F14D90" w:rsidRPr="00C81327">
              <w:rPr>
                <w:rFonts w:cs="Calibri"/>
                <w:sz w:val="20"/>
                <w:lang w:val="ru-RU" w:eastAsia="en-GB"/>
              </w:rPr>
              <w:t>Предложить секретариату далее разрабатывать входные материалы для уточнения и укрепления концепции "Единого МСЭ", а РГС-СФП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AA44CE" w:rsidRPr="00C81327">
              <w:rPr>
                <w:rFonts w:cs="Calibri"/>
                <w:sz w:val="20"/>
                <w:lang w:val="ru-RU" w:eastAsia="en-GB"/>
              </w:rPr>
              <w:t xml:space="preserve">далее </w:t>
            </w:r>
            <w:r w:rsidR="007735B7" w:rsidRPr="00C81327">
              <w:rPr>
                <w:rFonts w:cs="Calibri"/>
                <w:sz w:val="20"/>
                <w:lang w:val="ru-RU" w:eastAsia="en-GB"/>
              </w:rPr>
              <w:t>учитывать</w:t>
            </w:r>
            <w:r w:rsidR="00AA44CE" w:rsidRPr="00C81327">
              <w:rPr>
                <w:rFonts w:cs="Calibri"/>
                <w:sz w:val="20"/>
                <w:lang w:val="ru-RU" w:eastAsia="en-GB"/>
              </w:rPr>
              <w:t xml:space="preserve"> ее для разработки Стратегического плана</w:t>
            </w:r>
          </w:p>
          <w:p w14:paraId="2B9969EB" w14:textId="550F55F3" w:rsidR="002072EA" w:rsidRPr="00C81327" w:rsidRDefault="00D21522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DC4917" w:rsidRPr="00C81327">
              <w:rPr>
                <w:rFonts w:cs="Calibri"/>
                <w:sz w:val="20"/>
                <w:lang w:val="ru-RU" w:eastAsia="en-GB"/>
              </w:rPr>
              <w:t xml:space="preserve">Предложить секретариату использовать </w:t>
            </w:r>
            <w:proofErr w:type="spellStart"/>
            <w:r w:rsidR="00DC4917" w:rsidRPr="00C81327">
              <w:rPr>
                <w:rFonts w:cs="Calibri"/>
                <w:sz w:val="20"/>
                <w:lang w:val="ru-RU" w:eastAsia="en-GB"/>
              </w:rPr>
              <w:t>межсекторальные</w:t>
            </w:r>
            <w:proofErr w:type="spellEnd"/>
            <w:r w:rsidR="00DC4917" w:rsidRPr="00C81327">
              <w:rPr>
                <w:rFonts w:cs="Calibri"/>
                <w:sz w:val="20"/>
                <w:lang w:val="ru-RU" w:eastAsia="en-GB"/>
              </w:rPr>
              <w:t xml:space="preserve"> стратегические приоритеты/темы/области работы и отразить концепцию "Единого МСЭ", признавая вклад Секторов МСЭ</w:t>
            </w:r>
            <w:r w:rsidR="007034A2" w:rsidRPr="00C81327">
              <w:rPr>
                <w:rFonts w:cs="Calibri"/>
                <w:sz w:val="20"/>
                <w:lang w:val="ru-RU" w:eastAsia="en-GB"/>
              </w:rPr>
              <w:t xml:space="preserve"> и обладая возможностью определить, какие продукты и услуги МСЭ как организация в состоянии предоставить</w:t>
            </w:r>
          </w:p>
          <w:p w14:paraId="0A22B856" w14:textId="0A3E39A6" w:rsidR="003A166B" w:rsidRPr="00C81327" w:rsidRDefault="007735B7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9A5E84" w:rsidRPr="00C81327">
              <w:rPr>
                <w:rFonts w:cs="Calibri"/>
                <w:sz w:val="20"/>
                <w:lang w:val="ru-RU" w:eastAsia="en-GB"/>
              </w:rPr>
              <w:t xml:space="preserve">Предложить секретариату уточнить и рассмотреть вопрос о наличии </w:t>
            </w:r>
            <w:r w:rsidR="009A5E84" w:rsidRPr="00C81327">
              <w:rPr>
                <w:rFonts w:cs="Calibri"/>
                <w:sz w:val="20"/>
                <w:lang w:val="ru-RU" w:eastAsia="en-GB"/>
              </w:rPr>
              <w:lastRenderedPageBreak/>
              <w:t>возможностей более гибкого распределения ресурсов по Секторам</w:t>
            </w:r>
          </w:p>
        </w:tc>
      </w:tr>
      <w:tr w:rsidR="003A166B" w:rsidRPr="00C81327" w14:paraId="2FDBB9FB" w14:textId="77777777" w:rsidTr="009808C5">
        <w:tc>
          <w:tcPr>
            <w:tcW w:w="154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hideMark/>
          </w:tcPr>
          <w:p w14:paraId="1DEF44BC" w14:textId="662AF50B" w:rsidR="003A166B" w:rsidRPr="00C81327" w:rsidRDefault="00907253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Рек. / Выводы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hideMark/>
          </w:tcPr>
          <w:p w14:paraId="7F2CA60D" w14:textId="24035A03" w:rsidR="003A166B" w:rsidRPr="00C81327" w:rsidRDefault="003A166B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i/>
                <w:iCs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(</w:t>
            </w:r>
            <w:r w:rsidR="00907253" w:rsidRPr="00C81327">
              <w:rPr>
                <w:rFonts w:cs="Calibri"/>
                <w:i/>
                <w:iCs/>
                <w:sz w:val="20"/>
                <w:lang w:val="ru-RU" w:eastAsia="en-GB"/>
              </w:rPr>
              <w:t>Отчет McKinsey "Культура и навыки"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)</w:t>
            </w:r>
          </w:p>
          <w:p w14:paraId="39EF7A12" w14:textId="456576E3" w:rsidR="002072EA" w:rsidRPr="00C81327" w:rsidRDefault="003A166B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a.2 </w:t>
            </w:r>
            <w:r w:rsidR="00D21522" w:rsidRPr="00C81327">
              <w:rPr>
                <w:rFonts w:cs="Calibri"/>
                <w:b/>
                <w:bCs/>
                <w:sz w:val="20"/>
                <w:lang w:val="ru-RU" w:eastAsia="en-GB"/>
              </w:rPr>
              <w:t>−</w:t>
            </w: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</w:t>
            </w:r>
            <w:r w:rsidR="002072EA" w:rsidRPr="00C81327">
              <w:rPr>
                <w:rFonts w:cs="Calibri"/>
                <w:b/>
                <w:bCs/>
                <w:sz w:val="20"/>
                <w:lang w:val="ru-RU" w:eastAsia="en-GB"/>
              </w:rPr>
              <w:t>Активизировать усилия по выявлению и использованию синергии между Секторами</w:t>
            </w:r>
          </w:p>
          <w:p w14:paraId="7EFD9154" w14:textId="7A048E77" w:rsidR="002072EA" w:rsidRPr="00C81327" w:rsidRDefault="003A166B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 xml:space="preserve">a.2.1 </w:t>
            </w:r>
            <w:r w:rsidR="00E424D8" w:rsidRPr="00C81327">
              <w:rPr>
                <w:rFonts w:cs="Calibri"/>
                <w:sz w:val="20"/>
                <w:lang w:val="ru-RU" w:eastAsia="en-GB"/>
              </w:rPr>
              <w:t xml:space="preserve">− </w:t>
            </w:r>
            <w:r w:rsidR="002072EA" w:rsidRPr="00C81327">
              <w:rPr>
                <w:rFonts w:cs="Calibri"/>
                <w:sz w:val="20"/>
                <w:lang w:val="ru-RU" w:eastAsia="en-GB"/>
              </w:rPr>
              <w:t xml:space="preserve">Определить надлежащее управление для команды, отвечающей за инициативу 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/ a.2.2 </w:t>
            </w:r>
            <w:r w:rsidR="007F36E8" w:rsidRPr="00C81327">
              <w:rPr>
                <w:rFonts w:cs="Calibri"/>
                <w:sz w:val="20"/>
                <w:lang w:val="ru-RU" w:eastAsia="en-GB"/>
              </w:rPr>
              <w:t xml:space="preserve">− </w:t>
            </w:r>
            <w:r w:rsidR="002072EA" w:rsidRPr="00C81327">
              <w:rPr>
                <w:rFonts w:cs="Calibri"/>
                <w:sz w:val="20"/>
                <w:lang w:val="ru-RU" w:eastAsia="en-GB"/>
              </w:rPr>
              <w:t>Провести анализ существующих мероприятий и инициатив для выявления дублирующих и неэффективных мероприятий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/ a.2.3 </w:t>
            </w:r>
            <w:r w:rsidR="007F36E8" w:rsidRPr="00C81327">
              <w:rPr>
                <w:rFonts w:cs="Calibri"/>
                <w:sz w:val="20"/>
                <w:lang w:val="ru-RU" w:eastAsia="en-GB"/>
              </w:rPr>
              <w:t xml:space="preserve">− </w:t>
            </w:r>
            <w:r w:rsidR="002072EA" w:rsidRPr="00C81327">
              <w:rPr>
                <w:rFonts w:cs="Calibri"/>
                <w:sz w:val="20"/>
                <w:lang w:val="ru-RU" w:eastAsia="en-GB"/>
              </w:rPr>
              <w:t>Обсудить с руководством и соответствующей проектной командой потенциальные возможности сотрудничества для мероприятий/инициатив, в отношении которых выявлено дублирование, и отмены неэффективных мероприятий и определить действия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 / </w:t>
            </w:r>
            <w:r w:rsidRPr="00C81327">
              <w:rPr>
                <w:rFonts w:cs="Calibri"/>
                <w:sz w:val="20"/>
                <w:lang w:val="ru-RU" w:eastAsia="en-GB"/>
              </w:rPr>
              <w:lastRenderedPageBreak/>
              <w:t>a.2.4</w:t>
            </w:r>
            <w:r w:rsidR="007F36E8" w:rsidRPr="00C81327">
              <w:rPr>
                <w:rFonts w:cs="Calibri"/>
                <w:sz w:val="20"/>
                <w:lang w:val="ru-RU" w:eastAsia="en-GB"/>
              </w:rPr>
              <w:t> − </w:t>
            </w:r>
            <w:r w:rsidR="002072EA" w:rsidRPr="00C81327">
              <w:rPr>
                <w:rFonts w:cs="Calibri"/>
                <w:sz w:val="20"/>
                <w:lang w:val="ru-RU" w:eastAsia="en-GB"/>
              </w:rPr>
              <w:t>Обеспечить прозрачность в отношении случаев</w:t>
            </w:r>
            <w:r w:rsidR="00E424D8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2072EA" w:rsidRPr="00C81327">
              <w:rPr>
                <w:rFonts w:cs="Calibri"/>
                <w:sz w:val="20"/>
                <w:lang w:val="ru-RU" w:eastAsia="en-GB"/>
              </w:rPr>
              <w:t xml:space="preserve">дублирования, с тем чтобы обеспечить их учет перед началом новой деятельности/инициатив, например, в процессе утверждения 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/ a.2.5 </w:t>
            </w:r>
            <w:r w:rsidR="007F36E8" w:rsidRPr="00C81327">
              <w:rPr>
                <w:rFonts w:cs="Calibri"/>
                <w:sz w:val="20"/>
                <w:lang w:val="ru-RU" w:eastAsia="en-GB"/>
              </w:rPr>
              <w:t xml:space="preserve">− </w:t>
            </w:r>
            <w:r w:rsidR="002072EA" w:rsidRPr="00C81327">
              <w:rPr>
                <w:rFonts w:cs="Calibri"/>
                <w:sz w:val="20"/>
                <w:lang w:val="ru-RU" w:eastAsia="en-GB"/>
              </w:rPr>
              <w:t>Регулярно обновлять данные</w:t>
            </w:r>
            <w:r w:rsidR="00907253" w:rsidRPr="00C81327">
              <w:rPr>
                <w:rFonts w:cs="Calibri"/>
                <w:sz w:val="20"/>
                <w:lang w:val="ru-RU" w:eastAsia="en-GB"/>
              </w:rPr>
              <w:t xml:space="preserve"> анализа</w:t>
            </w:r>
            <w:r w:rsidR="002072EA" w:rsidRPr="00C81327">
              <w:rPr>
                <w:rFonts w:cs="Calibri"/>
                <w:sz w:val="20"/>
                <w:lang w:val="ru-RU" w:eastAsia="en-GB"/>
              </w:rPr>
              <w:t>, например, в начале каждого цикла стратегического планирования</w:t>
            </w:r>
          </w:p>
          <w:p w14:paraId="0D7C2208" w14:textId="675A3DC7" w:rsidR="002072EA" w:rsidRPr="00C81327" w:rsidRDefault="002072EA" w:rsidP="002072E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Вариант для рассмотрения</w:t>
            </w:r>
            <w:r w:rsidRPr="00C81327">
              <w:rPr>
                <w:rFonts w:cs="Calibri"/>
                <w:sz w:val="20"/>
                <w:lang w:val="ru-RU" w:eastAsia="en-GB"/>
              </w:rPr>
              <w:t>:</w:t>
            </w:r>
            <w:r w:rsidRPr="00C81327">
              <w:rPr>
                <w:rFonts w:cs="Calibri"/>
                <w:sz w:val="20"/>
                <w:lang w:val="ru-RU" w:eastAsia="en-GB"/>
              </w:rPr>
              <w:br/>
            </w:r>
            <w:r w:rsidR="00D21522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Pr="00C81327">
              <w:rPr>
                <w:rFonts w:cs="Calibri"/>
                <w:sz w:val="20"/>
                <w:lang w:val="ru-RU" w:eastAsia="en-GB"/>
              </w:rPr>
              <w:t>В новой стратегической основе предлагается определить общие стратегические приоритеты / темы / направления работы</w:t>
            </w:r>
            <w:r w:rsidRPr="00C81327">
              <w:rPr>
                <w:rFonts w:cs="Calibri"/>
                <w:sz w:val="20"/>
                <w:lang w:val="ru-RU" w:eastAsia="en-GB"/>
              </w:rPr>
              <w:br/>
              <w:t>− При разработке приоритетов / тем предлагается учитывать анализ и сопоставление тем и направлений работы для выявления синергии</w:t>
            </w:r>
          </w:p>
          <w:p w14:paraId="4C17D7DB" w14:textId="5BCF31D9" w:rsidR="002072EA" w:rsidRPr="00C81327" w:rsidRDefault="003A166B" w:rsidP="002072E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b.2 </w:t>
            </w:r>
            <w:r w:rsidR="00D21522" w:rsidRPr="00C81327">
              <w:rPr>
                <w:rFonts w:cs="Calibri"/>
                <w:b/>
                <w:bCs/>
                <w:sz w:val="20"/>
                <w:lang w:val="ru-RU" w:eastAsia="en-GB"/>
              </w:rPr>
              <w:t>−</w:t>
            </w: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</w:t>
            </w:r>
            <w:r w:rsidR="002072EA" w:rsidRPr="00C81327">
              <w:rPr>
                <w:rFonts w:cs="Calibri"/>
                <w:b/>
                <w:bCs/>
                <w:sz w:val="20"/>
                <w:lang w:val="ru-RU" w:eastAsia="en-GB"/>
              </w:rPr>
              <w:t>Начать формировать группы ГМУ по сквозным темам</w:t>
            </w:r>
          </w:p>
          <w:p w14:paraId="6EEB450B" w14:textId="0C00E518" w:rsidR="003A166B" w:rsidRPr="00C81327" w:rsidRDefault="003A166B" w:rsidP="002072E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(</w:t>
            </w:r>
            <w:r w:rsidR="00907253"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Вариант для рассмотрения по 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b.2)</w:t>
            </w:r>
            <w:r w:rsidRPr="00C81327">
              <w:rPr>
                <w:rFonts w:cs="Calibri"/>
                <w:b/>
                <w:bCs/>
                <w:i/>
                <w:iCs/>
                <w:sz w:val="20"/>
                <w:lang w:val="ru-RU" w:eastAsia="en-GB"/>
              </w:rPr>
              <w:br/>
            </w:r>
            <w:r w:rsidR="00D21522" w:rsidRPr="00C81327">
              <w:rPr>
                <w:rFonts w:cs="Calibri"/>
                <w:sz w:val="20"/>
                <w:lang w:val="ru-RU" w:eastAsia="en-GB"/>
              </w:rPr>
              <w:t>−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2072EA" w:rsidRPr="00C81327">
              <w:rPr>
                <w:rFonts w:cs="Calibri"/>
                <w:sz w:val="20"/>
                <w:lang w:val="ru-RU" w:eastAsia="en-GB"/>
              </w:rPr>
              <w:t>РГС-СФП предлагается определить перечень сквозных тем</w:t>
            </w:r>
            <w:r w:rsidR="002072EA" w:rsidRPr="00C81327">
              <w:rPr>
                <w:rFonts w:cs="Calibri"/>
                <w:sz w:val="20"/>
                <w:lang w:val="ru-RU" w:eastAsia="en-GB"/>
              </w:rPr>
              <w:br/>
              <w:t>− РГС-СФП предлагается рассмотреть способы укрепления сквозных тем в новой основе стратегического планирования</w:t>
            </w:r>
          </w:p>
          <w:p w14:paraId="52C4AECE" w14:textId="1FB7D909" w:rsidR="003A166B" w:rsidRPr="00C81327" w:rsidRDefault="003A166B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i/>
                <w:iCs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(</w:t>
            </w:r>
            <w:r w:rsidR="00907253"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Отчет 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 xml:space="preserve">PwC </w:t>
            </w:r>
            <w:r w:rsidR="00907253" w:rsidRPr="00C81327">
              <w:rPr>
                <w:rFonts w:cs="Calibri"/>
                <w:i/>
                <w:iCs/>
                <w:sz w:val="20"/>
                <w:lang w:val="ru-RU" w:eastAsia="en-GB"/>
              </w:rPr>
              <w:t>о региональном присутствии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)</w:t>
            </w:r>
          </w:p>
          <w:p w14:paraId="7FCA885D" w14:textId="7614EAA8" w:rsidR="002072EA" w:rsidRPr="00C81327" w:rsidRDefault="003A166B" w:rsidP="002072EA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>1.3</w:t>
            </w:r>
            <w:r w:rsidR="002072EA" w:rsidRPr="00C81327">
              <w:rPr>
                <w:rFonts w:cs="Calibri"/>
                <w:b/>
                <w:bCs/>
                <w:sz w:val="20"/>
                <w:lang w:val="ru-RU" w:eastAsia="en-GB"/>
              </w:rPr>
              <w:tab/>
              <w:t>Определение приоритетов для участия страновых групп ООН</w:t>
            </w:r>
          </w:p>
          <w:p w14:paraId="25F851AE" w14:textId="50A4EE15" w:rsidR="002072EA" w:rsidRPr="00C81327" w:rsidRDefault="003A166B" w:rsidP="002072EA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1.3.1</w:t>
            </w:r>
            <w:r w:rsidR="002072EA" w:rsidRPr="00C81327">
              <w:rPr>
                <w:rFonts w:cs="Calibri"/>
                <w:sz w:val="20"/>
                <w:lang w:val="ru-RU" w:eastAsia="en-GB"/>
              </w:rPr>
              <w:tab/>
              <w:t>Установление приоритетов взаимодействия на уровне стран со 131 страновой группой ООН, которые будут проводить общие страновые оценки в предстоящие три года</w:t>
            </w:r>
            <w:r w:rsidRPr="00C81327">
              <w:rPr>
                <w:rFonts w:cs="Calibri"/>
                <w:sz w:val="20"/>
                <w:lang w:val="ru-RU" w:eastAsia="en-GB"/>
              </w:rPr>
              <w:br/>
              <w:t>1.3.2</w:t>
            </w:r>
            <w:r w:rsidR="002072EA" w:rsidRPr="00C81327">
              <w:rPr>
                <w:rFonts w:cs="Calibri"/>
                <w:sz w:val="20"/>
                <w:lang w:val="ru-RU" w:eastAsia="en-GB"/>
              </w:rPr>
              <w:tab/>
              <w:t>Изучение возможностей партнерства с ПРООН в контексте Инициативы по лабораториям ускорения</w:t>
            </w:r>
          </w:p>
          <w:p w14:paraId="5E72FFC2" w14:textId="19618F7B" w:rsidR="003A166B" w:rsidRPr="00C81327" w:rsidRDefault="002072EA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Вариант для рассмотрения</w:t>
            </w:r>
            <w:r w:rsidRPr="00C81327">
              <w:rPr>
                <w:rFonts w:cs="Calibri"/>
                <w:sz w:val="20"/>
                <w:lang w:val="ru-RU" w:eastAsia="en-GB"/>
              </w:rPr>
              <w:t>:</w:t>
            </w:r>
            <w:r w:rsidRPr="00C81327">
              <w:rPr>
                <w:rFonts w:cs="Calibri"/>
                <w:sz w:val="20"/>
                <w:lang w:val="ru-RU" w:eastAsia="en-GB"/>
              </w:rPr>
              <w:br/>
            </w:r>
            <w:r w:rsidR="00D21522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F65A8A" w:rsidRPr="00C81327">
              <w:rPr>
                <w:rFonts w:cs="Calibri"/>
                <w:sz w:val="20"/>
                <w:lang w:val="ru-RU" w:eastAsia="en-GB"/>
              </w:rPr>
              <w:t xml:space="preserve">При разработке Стратегического плана на </w:t>
            </w:r>
            <w:proofErr w:type="gramStart"/>
            <w:r w:rsidR="00F65A8A" w:rsidRPr="00C81327">
              <w:rPr>
                <w:rFonts w:cs="Calibri"/>
                <w:sz w:val="20"/>
                <w:lang w:val="ru-RU" w:eastAsia="en-GB"/>
              </w:rPr>
              <w:t>2024−2027</w:t>
            </w:r>
            <w:proofErr w:type="gramEnd"/>
            <w:r w:rsidR="00F65A8A" w:rsidRPr="00C81327">
              <w:rPr>
                <w:rFonts w:cs="Calibri"/>
                <w:sz w:val="20"/>
                <w:lang w:val="ru-RU" w:eastAsia="en-GB"/>
              </w:rPr>
              <w:t xml:space="preserve"> годы РГС-СФП предлагается рассмотреть способность регионального присутствия представлять МСЭ в целом (концепция "Единого МСЭ"), а также как учреждение в системе ООН для укрепления партнерств по тематическим приоритетам</w:t>
            </w:r>
          </w:p>
          <w:p w14:paraId="7CCA9708" w14:textId="77777777" w:rsidR="003A166B" w:rsidRPr="00C81327" w:rsidRDefault="003A166B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(</w:t>
            </w:r>
            <w:proofErr w:type="spellStart"/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Dalberg</w:t>
            </w:r>
            <w:proofErr w:type="spellEnd"/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)</w:t>
            </w:r>
          </w:p>
          <w:p w14:paraId="0310FAC8" w14:textId="50205D42" w:rsidR="003A166B" w:rsidRPr="00C81327" w:rsidRDefault="00D21522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907253" w:rsidRPr="00C81327">
              <w:rPr>
                <w:rFonts w:cs="Calibri"/>
                <w:sz w:val="20"/>
                <w:lang w:val="ru-RU" w:eastAsia="en-GB"/>
              </w:rPr>
              <w:t>РГС-СФП предлагается рассмотреть способы получения синергии между мероприятиями МСЭ</w:t>
            </w:r>
          </w:p>
          <w:p w14:paraId="3D717B49" w14:textId="16037704" w:rsidR="003A166B" w:rsidRPr="00C81327" w:rsidRDefault="003A166B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i/>
                <w:iCs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(</w:t>
            </w:r>
            <w:r w:rsidR="009A5E84" w:rsidRPr="00C81327">
              <w:rPr>
                <w:rFonts w:cs="Calibri"/>
                <w:i/>
                <w:iCs/>
                <w:sz w:val="20"/>
                <w:lang w:val="ru-RU" w:eastAsia="en-GB"/>
              </w:rPr>
              <w:t>Разработки на уровне ООН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)</w:t>
            </w:r>
          </w:p>
          <w:p w14:paraId="459374F1" w14:textId="1CAAF5E2" w:rsidR="003A166B" w:rsidRPr="00C81327" w:rsidRDefault="00D21522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F65A8A" w:rsidRPr="00C81327">
              <w:rPr>
                <w:rFonts w:cs="Calibri"/>
                <w:sz w:val="20"/>
                <w:lang w:val="ru-RU" w:eastAsia="en-GB"/>
              </w:rPr>
              <w:t>Необходимость подхода "Единый МСЭ", четко определяющего сильные стороны, услуги, продукты и инициативы, которые может обеспечить МСЭ, их важность и ту пользу, которую МСЭ приносит благодаря этим услугам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4FA0EBA" w14:textId="77777777" w:rsidR="003A166B" w:rsidRPr="00C81327" w:rsidRDefault="00DF140D" w:rsidP="00036B3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18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CWG-SFP-1/5</w:t>
              </w:r>
            </w:hyperlink>
          </w:p>
          <w:p w14:paraId="4813D2DB" w14:textId="77777777" w:rsidR="003A166B" w:rsidRPr="00C81327" w:rsidRDefault="003A166B" w:rsidP="00036B3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</w:p>
          <w:p w14:paraId="3B8CFADE" w14:textId="77777777" w:rsidR="003A166B" w:rsidRPr="00C81327" w:rsidRDefault="00DF140D" w:rsidP="00036B3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19" w:history="1">
              <w:r w:rsidR="003A166B" w:rsidRPr="00C81327">
                <w:rPr>
                  <w:rStyle w:val="Hyperlink"/>
                  <w:rFonts w:cs="Calibri"/>
                  <w:color w:val="548DD4" w:themeColor="text2" w:themeTint="99"/>
                  <w:sz w:val="20"/>
                  <w:lang w:val="ru-RU" w:eastAsia="en-GB"/>
                </w:rPr>
                <w:t>CWG-SFP-1/7</w:t>
              </w:r>
            </w:hyperlink>
          </w:p>
        </w:tc>
        <w:tc>
          <w:tcPr>
            <w:tcW w:w="3919" w:type="dxa"/>
            <w:vMerge/>
            <w:tcBorders>
              <w:left w:val="nil"/>
              <w:bottom w:val="single" w:sz="4" w:space="0" w:color="A5A5A5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80F24A" w14:textId="77777777" w:rsidR="003A166B" w:rsidRPr="00C81327" w:rsidRDefault="003A166B" w:rsidP="00036B36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</w:p>
        </w:tc>
      </w:tr>
    </w:tbl>
    <w:p w14:paraId="54FBBA75" w14:textId="77777777" w:rsidR="00036B36" w:rsidRPr="00C81327" w:rsidRDefault="00036B36" w:rsidP="00143187">
      <w:pPr>
        <w:spacing w:before="0"/>
        <w:rPr>
          <w:lang w:val="ru-RU"/>
        </w:rPr>
      </w:pPr>
    </w:p>
    <w:p w14:paraId="1B7A9566" w14:textId="6E111368" w:rsidR="003A166B" w:rsidRPr="00C81327" w:rsidRDefault="006505EB" w:rsidP="006505EB">
      <w:pPr>
        <w:pStyle w:val="Heading2"/>
        <w:pBdr>
          <w:top w:val="single" w:sz="4" w:space="3" w:color="548DD4" w:themeColor="text2" w:themeTint="99"/>
          <w:left w:val="single" w:sz="4" w:space="1" w:color="548DD4" w:themeColor="text2" w:themeTint="99"/>
          <w:bottom w:val="single" w:sz="4" w:space="3" w:color="548DD4" w:themeColor="text2" w:themeTint="99"/>
          <w:right w:val="single" w:sz="4" w:space="1" w:color="548DD4" w:themeColor="text2" w:themeTint="99"/>
        </w:pBdr>
        <w:shd w:val="clear" w:color="auto" w:fill="548DD4" w:themeFill="text2" w:themeFillTint="99"/>
        <w:tabs>
          <w:tab w:val="clear" w:pos="794"/>
        </w:tabs>
        <w:spacing w:before="0"/>
        <w:ind w:left="624" w:right="57" w:hanging="567"/>
        <w:rPr>
          <w:color w:val="FFFFFF" w:themeColor="background1"/>
          <w:lang w:val="ru-RU"/>
        </w:rPr>
      </w:pPr>
      <w:r w:rsidRPr="00C81327">
        <w:rPr>
          <w:color w:val="FFFFFF" w:themeColor="background1"/>
          <w:lang w:val="ru-RU"/>
        </w:rPr>
        <w:t>4</w:t>
      </w:r>
      <w:r w:rsidRPr="00C81327">
        <w:rPr>
          <w:color w:val="FFFFFF" w:themeColor="background1"/>
          <w:lang w:val="ru-RU"/>
        </w:rPr>
        <w:tab/>
      </w:r>
      <w:r w:rsidR="009A5E84" w:rsidRPr="00C81327">
        <w:rPr>
          <w:color w:val="FFFFFF" w:themeColor="background1"/>
          <w:lang w:val="ru-RU"/>
        </w:rPr>
        <w:t>Концепция</w:t>
      </w:r>
      <w:r w:rsidR="003A166B" w:rsidRPr="00C81327">
        <w:rPr>
          <w:color w:val="FFFFFF" w:themeColor="background1"/>
          <w:lang w:val="ru-RU"/>
        </w:rPr>
        <w:t xml:space="preserve"> / </w:t>
      </w:r>
      <w:r w:rsidR="009A5E84" w:rsidRPr="00C81327">
        <w:rPr>
          <w:color w:val="FFFFFF" w:themeColor="background1"/>
          <w:lang w:val="ru-RU"/>
        </w:rPr>
        <w:t>миссия</w:t>
      </w:r>
    </w:p>
    <w:tbl>
      <w:tblPr>
        <w:tblW w:w="1454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44"/>
        <w:gridCol w:w="7657"/>
        <w:gridCol w:w="1428"/>
        <w:gridCol w:w="3919"/>
      </w:tblGrid>
      <w:tr w:rsidR="009A5E84" w:rsidRPr="00C81327" w14:paraId="7E6AB5BC" w14:textId="77777777" w:rsidTr="00AF4D39">
        <w:trPr>
          <w:tblHeader/>
        </w:trPr>
        <w:tc>
          <w:tcPr>
            <w:tcW w:w="1544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7BE2849" w14:textId="77777777" w:rsidR="009A5E84" w:rsidRPr="00C81327" w:rsidRDefault="009A5E84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Источник вклада </w:t>
            </w:r>
          </w:p>
        </w:tc>
        <w:tc>
          <w:tcPr>
            <w:tcW w:w="7657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51C45EB" w14:textId="77777777" w:rsidR="009A5E84" w:rsidRPr="00C81327" w:rsidRDefault="009A5E84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Вклады </w:t>
            </w:r>
          </w:p>
        </w:tc>
        <w:tc>
          <w:tcPr>
            <w:tcW w:w="1428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8B33A91" w14:textId="77777777" w:rsidR="009A5E84" w:rsidRPr="00C81327" w:rsidRDefault="009A5E84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Док.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  <w:r w:rsidRPr="00C81327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919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EDA7942" w14:textId="77777777" w:rsidR="009A5E84" w:rsidRPr="00C81327" w:rsidRDefault="009A5E84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Указания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</w:p>
        </w:tc>
      </w:tr>
      <w:tr w:rsidR="003A166B" w:rsidRPr="00DF140D" w14:paraId="33CD458A" w14:textId="77777777" w:rsidTr="009808C5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7B36062F" w14:textId="58DC1976" w:rsidR="003A166B" w:rsidRPr="00C81327" w:rsidRDefault="009A5E84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Вклады Государств-Членов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62982532" w14:textId="4ECA1948" w:rsidR="003A166B" w:rsidRPr="00C81327" w:rsidRDefault="002072EA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Вклад Российской Федерации</w:t>
            </w:r>
            <w:r w:rsidRPr="00C81327">
              <w:rPr>
                <w:rFonts w:cs="Calibri"/>
                <w:sz w:val="20"/>
                <w:lang w:val="ru-RU" w:eastAsia="en-GB"/>
              </w:rPr>
              <w:t>: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br/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(...)</w:t>
            </w:r>
            <w:r w:rsidR="00B2206E" w:rsidRPr="00C81327">
              <w:rPr>
                <w:rFonts w:cs="Calibri"/>
                <w:sz w:val="20"/>
                <w:lang w:val="ru-RU" w:eastAsia="en-GB"/>
              </w:rPr>
              <w:t xml:space="preserve"> В связи с этим на планируемый период предлагается следующая формулировка </w:t>
            </w:r>
            <w:r w:rsidR="007735B7" w:rsidRPr="00C81327">
              <w:rPr>
                <w:rFonts w:cs="Calibri"/>
                <w:sz w:val="20"/>
                <w:lang w:val="ru-RU" w:eastAsia="en-GB"/>
              </w:rPr>
              <w:t>м</w:t>
            </w:r>
            <w:r w:rsidR="00B2206E" w:rsidRPr="00C81327">
              <w:rPr>
                <w:rFonts w:cs="Calibri"/>
                <w:sz w:val="20"/>
                <w:lang w:val="ru-RU" w:eastAsia="en-GB"/>
              </w:rPr>
              <w:t>иссии МСЭ: "Поддержание и расширение мирных связей, международного сотрудничества и социально-экономического развития народов с помощью эффективно действующей и доступной всем электросвязи/ИКТ путем обеспечения лидирующей роли МСЭ в этом направлении"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  <w:hideMark/>
          </w:tcPr>
          <w:p w14:paraId="01D7CD34" w14:textId="77777777" w:rsidR="003A166B" w:rsidRPr="00C81327" w:rsidRDefault="00DF140D" w:rsidP="0083283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4F81BD" w:themeColor="accent1"/>
                <w:sz w:val="20"/>
                <w:u w:val="single"/>
                <w:lang w:val="ru-RU" w:eastAsia="en-GB"/>
              </w:rPr>
            </w:pPr>
            <w:hyperlink r:id="rId20" w:history="1">
              <w:r w:rsidR="003A166B" w:rsidRPr="00C81327">
                <w:rPr>
                  <w:rFonts w:cs="Calibri"/>
                  <w:color w:val="4F81BD" w:themeColor="accent1"/>
                  <w:sz w:val="20"/>
                  <w:u w:val="single"/>
                  <w:lang w:val="ru-RU" w:eastAsia="en-GB"/>
                </w:rPr>
                <w:t>CWG-SFP-1/8</w:t>
              </w:r>
            </w:hyperlink>
          </w:p>
        </w:tc>
        <w:tc>
          <w:tcPr>
            <w:tcW w:w="391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14:paraId="4EE7F5CB" w14:textId="1A7A59EC" w:rsidR="003A166B" w:rsidRPr="00C81327" w:rsidRDefault="007A25EA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375FC2" w:rsidRPr="00C81327">
              <w:rPr>
                <w:rFonts w:cs="Calibri"/>
                <w:sz w:val="20"/>
                <w:lang w:val="ru-RU" w:eastAsia="en-GB"/>
              </w:rPr>
              <w:t xml:space="preserve">Предложить секретариату провести сбор дополнительных входных материалов у членов </w:t>
            </w:r>
            <w:r w:rsidR="00375FC2" w:rsidRPr="00C81327">
              <w:rPr>
                <w:bCs/>
                <w:sz w:val="20"/>
                <w:szCs w:val="18"/>
                <w:lang w:val="ru-RU"/>
              </w:rPr>
              <w:t>РГС-СФП</w:t>
            </w:r>
            <w:r w:rsidR="00375FC2" w:rsidRPr="00C81327">
              <w:rPr>
                <w:rFonts w:cs="Calibri"/>
                <w:sz w:val="20"/>
                <w:lang w:val="ru-RU" w:eastAsia="en-GB"/>
              </w:rPr>
              <w:t>, ввиду потенциального уточнения формулировок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, </w:t>
            </w:r>
            <w:r w:rsidR="00375FC2" w:rsidRPr="00C81327">
              <w:rPr>
                <w:rFonts w:cs="Calibri"/>
                <w:sz w:val="20"/>
                <w:lang w:val="ru-RU" w:eastAsia="en-GB"/>
              </w:rPr>
              <w:t>в соответствии с</w:t>
            </w:r>
            <w:r w:rsidR="00947DA6" w:rsidRPr="00C81327">
              <w:rPr>
                <w:rFonts w:cs="Calibri"/>
                <w:sz w:val="20"/>
                <w:lang w:val="ru-RU" w:eastAsia="en-GB"/>
              </w:rPr>
              <w:t xml:space="preserve">о сферой деятельности и мандатом МСЭ, принимая во внимание сохраняющийся цифровой разрыв и роль МСЭ в распространении по всему миру </w:t>
            </w:r>
            <w:r w:rsidR="00D87D2A" w:rsidRPr="00C81327">
              <w:rPr>
                <w:rFonts w:cs="Calibri"/>
                <w:sz w:val="20"/>
                <w:lang w:val="ru-RU" w:eastAsia="en-GB"/>
              </w:rPr>
              <w:t>возможности установления соединений и использовании электросвязи/ИКТ для социально-экономического и экологически устойчивого развития</w:t>
            </w:r>
          </w:p>
        </w:tc>
      </w:tr>
      <w:tr w:rsidR="003A166B" w:rsidRPr="00C81327" w14:paraId="4FA68702" w14:textId="77777777" w:rsidTr="009808C5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192FA" w14:textId="703C72E0" w:rsidR="003A166B" w:rsidRPr="00C81327" w:rsidRDefault="009A5E84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Онлайновые консультации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0647A" w14:textId="64714A01" w:rsidR="003A166B" w:rsidRPr="00C81327" w:rsidRDefault="007A25EA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C01E2B" w:rsidRPr="00C81327">
              <w:rPr>
                <w:rFonts w:cs="Calibri"/>
                <w:sz w:val="20"/>
                <w:lang w:val="ru-RU" w:eastAsia="en-GB"/>
              </w:rPr>
              <w:t>Высказывались мнения, что</w:t>
            </w:r>
            <w:r w:rsidR="007735B7" w:rsidRPr="00C81327">
              <w:rPr>
                <w:rFonts w:cs="Calibri"/>
                <w:sz w:val="20"/>
                <w:lang w:val="ru-RU" w:eastAsia="en-GB"/>
              </w:rPr>
              <w:t>,</w:t>
            </w:r>
            <w:r w:rsidR="00C01E2B" w:rsidRPr="00C81327">
              <w:rPr>
                <w:rFonts w:cs="Calibri"/>
                <w:sz w:val="20"/>
                <w:lang w:val="ru-RU" w:eastAsia="en-GB"/>
              </w:rPr>
              <w:t xml:space="preserve"> ввиду </w:t>
            </w:r>
            <w:r w:rsidR="00C01E2B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изменения ситуации в международных отношениях/цифровой среде </w:t>
            </w:r>
            <w:r w:rsidR="00C01E2B" w:rsidRPr="00C81327">
              <w:rPr>
                <w:rFonts w:cs="Calibri"/>
                <w:sz w:val="20"/>
                <w:lang w:val="ru-RU" w:eastAsia="en-GB"/>
              </w:rPr>
              <w:t xml:space="preserve">и </w:t>
            </w:r>
            <w:r w:rsidR="00C01E2B" w:rsidRPr="00C81327">
              <w:rPr>
                <w:rFonts w:cs="Calibri"/>
                <w:b/>
                <w:bCs/>
                <w:sz w:val="20"/>
                <w:lang w:val="ru-RU" w:eastAsia="en-GB"/>
              </w:rPr>
              <w:t>влияния COVID-19</w:t>
            </w:r>
            <w:r w:rsidR="007735B7" w:rsidRPr="00C81327">
              <w:rPr>
                <w:rFonts w:cs="Calibri"/>
                <w:b/>
                <w:bCs/>
                <w:sz w:val="20"/>
                <w:lang w:val="ru-RU" w:eastAsia="en-GB"/>
              </w:rPr>
              <w:t>,</w:t>
            </w:r>
            <w:r w:rsidR="00C01E2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C01E2B" w:rsidRPr="00C81327">
              <w:rPr>
                <w:rFonts w:cs="Calibri"/>
                <w:b/>
                <w:bCs/>
                <w:sz w:val="20"/>
                <w:lang w:val="ru-RU" w:eastAsia="en-GB"/>
              </w:rPr>
              <w:t>требуется пересмотр концепции/миссии</w:t>
            </w:r>
          </w:p>
          <w:p w14:paraId="7E3B661F" w14:textId="20C15C1A" w:rsidR="003A166B" w:rsidRPr="00C81327" w:rsidRDefault="007A25EA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C01E2B" w:rsidRPr="00C81327">
              <w:rPr>
                <w:rFonts w:cs="Calibri"/>
                <w:sz w:val="20"/>
                <w:lang w:val="ru-RU" w:eastAsia="en-GB"/>
              </w:rPr>
              <w:t xml:space="preserve">Также высказывались мнения, что концепция и миссия </w:t>
            </w:r>
            <w:r w:rsidR="00C01E2B" w:rsidRPr="00C81327">
              <w:rPr>
                <w:rFonts w:cs="Calibri"/>
                <w:b/>
                <w:bCs/>
                <w:sz w:val="20"/>
                <w:lang w:val="ru-RU" w:eastAsia="en-GB"/>
              </w:rPr>
              <w:t>должны оставаться обобщенными</w:t>
            </w:r>
            <w:r w:rsidR="00C01E2B" w:rsidRPr="00C81327">
              <w:rPr>
                <w:rFonts w:cs="Calibri"/>
                <w:sz w:val="20"/>
                <w:lang w:val="ru-RU" w:eastAsia="en-GB"/>
              </w:rPr>
              <w:t xml:space="preserve"> и что они уже </w:t>
            </w:r>
            <w:r w:rsidR="00C01E2B" w:rsidRPr="00C81327">
              <w:rPr>
                <w:rFonts w:cs="Calibri"/>
                <w:b/>
                <w:bCs/>
                <w:sz w:val="20"/>
                <w:lang w:val="ru-RU" w:eastAsia="en-GB"/>
              </w:rPr>
              <w:t>сформулированы таким образом, чтобы</w:t>
            </w:r>
            <w:r w:rsidR="00C01E2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C01E2B" w:rsidRPr="00C81327">
              <w:rPr>
                <w:rFonts w:cs="Calibri"/>
                <w:b/>
                <w:bCs/>
                <w:sz w:val="20"/>
                <w:lang w:val="ru-RU" w:eastAsia="en-GB"/>
              </w:rPr>
              <w:t>адаптироваться к меняющимся условиям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B03E" w14:textId="77777777" w:rsidR="003A166B" w:rsidRPr="00C81327" w:rsidRDefault="00DF140D" w:rsidP="0083283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4F81BD" w:themeColor="accent1"/>
                <w:sz w:val="20"/>
                <w:u w:val="single"/>
                <w:lang w:val="ru-RU" w:eastAsia="en-GB"/>
              </w:rPr>
            </w:pPr>
            <w:hyperlink r:id="rId21" w:history="1">
              <w:r w:rsidR="003A166B" w:rsidRPr="00C81327">
                <w:rPr>
                  <w:rFonts w:cs="Calibri"/>
                  <w:color w:val="4F81BD" w:themeColor="accent1"/>
                  <w:sz w:val="20"/>
                  <w:u w:val="single"/>
                  <w:lang w:val="ru-RU" w:eastAsia="en-GB"/>
                </w:rPr>
                <w:t>CWG-SFP-1/11</w:t>
              </w:r>
            </w:hyperlink>
          </w:p>
        </w:tc>
        <w:tc>
          <w:tcPr>
            <w:tcW w:w="3919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7B1377" w14:textId="77777777" w:rsidR="003A166B" w:rsidRPr="00C81327" w:rsidRDefault="003A166B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</w:p>
        </w:tc>
      </w:tr>
    </w:tbl>
    <w:p w14:paraId="243CA7CA" w14:textId="77777777" w:rsidR="006505EB" w:rsidRPr="00C81327" w:rsidRDefault="006505EB" w:rsidP="00143187">
      <w:pPr>
        <w:spacing w:before="0"/>
        <w:rPr>
          <w:lang w:val="ru-RU"/>
        </w:rPr>
      </w:pPr>
    </w:p>
    <w:p w14:paraId="42963C35" w14:textId="1DEF498D" w:rsidR="003A166B" w:rsidRPr="00C81327" w:rsidRDefault="00832837" w:rsidP="006505EB">
      <w:pPr>
        <w:pStyle w:val="Heading2"/>
        <w:pBdr>
          <w:top w:val="single" w:sz="4" w:space="3" w:color="548DD4" w:themeColor="text2" w:themeTint="99"/>
          <w:left w:val="single" w:sz="4" w:space="1" w:color="548DD4" w:themeColor="text2" w:themeTint="99"/>
          <w:bottom w:val="single" w:sz="4" w:space="3" w:color="548DD4" w:themeColor="text2" w:themeTint="99"/>
          <w:right w:val="single" w:sz="4" w:space="1" w:color="548DD4" w:themeColor="text2" w:themeTint="99"/>
        </w:pBdr>
        <w:shd w:val="clear" w:color="auto" w:fill="548DD4" w:themeFill="text2" w:themeFillTint="99"/>
        <w:tabs>
          <w:tab w:val="clear" w:pos="794"/>
        </w:tabs>
        <w:spacing w:before="0"/>
        <w:ind w:left="624" w:right="57" w:hanging="567"/>
        <w:rPr>
          <w:color w:val="FFFFFF" w:themeColor="background1"/>
          <w:lang w:val="ru-RU"/>
        </w:rPr>
      </w:pPr>
      <w:r w:rsidRPr="00C81327">
        <w:rPr>
          <w:color w:val="FFFFFF" w:themeColor="background1"/>
          <w:lang w:val="ru-RU"/>
        </w:rPr>
        <w:t>5</w:t>
      </w:r>
      <w:r w:rsidRPr="00C81327">
        <w:rPr>
          <w:color w:val="FFFFFF" w:themeColor="background1"/>
          <w:lang w:val="ru-RU"/>
        </w:rPr>
        <w:tab/>
      </w:r>
      <w:proofErr w:type="gramStart"/>
      <w:r w:rsidR="00DB2367" w:rsidRPr="00C81327">
        <w:rPr>
          <w:color w:val="FFFFFF" w:themeColor="background1"/>
          <w:lang w:val="ru-RU"/>
        </w:rPr>
        <w:t>Цели</w:t>
      </w:r>
      <w:proofErr w:type="gramEnd"/>
    </w:p>
    <w:tbl>
      <w:tblPr>
        <w:tblW w:w="1454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44"/>
        <w:gridCol w:w="7657"/>
        <w:gridCol w:w="1428"/>
        <w:gridCol w:w="3919"/>
      </w:tblGrid>
      <w:tr w:rsidR="00DB2367" w:rsidRPr="00C81327" w14:paraId="3BE4AC66" w14:textId="77777777" w:rsidTr="00AF4D39">
        <w:trPr>
          <w:tblHeader/>
        </w:trPr>
        <w:tc>
          <w:tcPr>
            <w:tcW w:w="1544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2D62BC84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Источник вклада </w:t>
            </w:r>
          </w:p>
        </w:tc>
        <w:tc>
          <w:tcPr>
            <w:tcW w:w="7657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FE6E94C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Вклады </w:t>
            </w:r>
          </w:p>
        </w:tc>
        <w:tc>
          <w:tcPr>
            <w:tcW w:w="1428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890DE2E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Док.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  <w:r w:rsidRPr="00C81327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919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8A84ED3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Указания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</w:p>
        </w:tc>
      </w:tr>
      <w:tr w:rsidR="003A166B" w:rsidRPr="00DF140D" w14:paraId="560604CD" w14:textId="77777777" w:rsidTr="00832837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232AF8FE" w14:textId="67637E0B" w:rsidR="003A166B" w:rsidRPr="00C81327" w:rsidRDefault="009A5E84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Вклады Государств-Членов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429EF2D4" w14:textId="3A38B074" w:rsidR="003A166B" w:rsidRPr="00C81327" w:rsidRDefault="00B2206E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Вклад Российской Федерации</w:t>
            </w:r>
            <w:r w:rsidRPr="00C81327">
              <w:rPr>
                <w:rFonts w:cs="Calibri"/>
                <w:sz w:val="20"/>
                <w:lang w:val="ru-RU" w:eastAsia="en-GB"/>
              </w:rPr>
              <w:t>: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Пять общих стратегических целей </w:t>
            </w:r>
            <w:r w:rsidR="00261283" w:rsidRPr="00C81327">
              <w:rPr>
                <w:rFonts w:cs="Calibri"/>
                <w:sz w:val="20"/>
                <w:lang w:val="ru-RU" w:eastAsia="en-GB"/>
              </w:rPr>
              <w:t>в Стратегическом плане МСЭ на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proofErr w:type="gramStart"/>
            <w:r w:rsidRPr="00C81327">
              <w:rPr>
                <w:rFonts w:cs="Calibri"/>
                <w:sz w:val="20"/>
                <w:lang w:val="ru-RU" w:eastAsia="en-GB"/>
              </w:rPr>
              <w:t>2020−2023</w:t>
            </w:r>
            <w:proofErr w:type="gramEnd"/>
            <w:r w:rsidRPr="00C81327">
              <w:rPr>
                <w:rFonts w:cs="Calibri"/>
                <w:sz w:val="20"/>
                <w:lang w:val="ru-RU" w:eastAsia="en-GB"/>
              </w:rPr>
              <w:t xml:space="preserve"> г</w:t>
            </w:r>
            <w:r w:rsidR="00E175EC" w:rsidRPr="00C81327">
              <w:rPr>
                <w:rFonts w:cs="Calibri"/>
                <w:sz w:val="20"/>
                <w:lang w:val="ru-RU" w:eastAsia="en-GB"/>
              </w:rPr>
              <w:t>оды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 могут быть сохранены в </w:t>
            </w:r>
            <w:r w:rsidR="00261283" w:rsidRPr="00C81327">
              <w:rPr>
                <w:rFonts w:cs="Calibri"/>
                <w:sz w:val="20"/>
                <w:lang w:val="ru-RU" w:eastAsia="en-GB"/>
              </w:rPr>
              <w:t>Стратегическом плане МСЭ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 на 2024−2027 г</w:t>
            </w:r>
            <w:r w:rsidR="00E175EC" w:rsidRPr="00C81327">
              <w:rPr>
                <w:rFonts w:cs="Calibri"/>
                <w:sz w:val="20"/>
                <w:lang w:val="ru-RU" w:eastAsia="en-GB"/>
              </w:rPr>
              <w:t>оды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, что, </w:t>
            </w:r>
            <w:r w:rsidR="002812A1" w:rsidRPr="00C81327">
              <w:rPr>
                <w:rFonts w:cs="Calibri"/>
                <w:sz w:val="20"/>
                <w:lang w:val="ru-RU" w:eastAsia="en-GB"/>
              </w:rPr>
              <w:t xml:space="preserve">помимо </w:t>
            </w:r>
            <w:r w:rsidRPr="00C81327">
              <w:rPr>
                <w:rFonts w:cs="Calibri"/>
                <w:sz w:val="20"/>
                <w:lang w:val="ru-RU" w:eastAsia="en-GB"/>
              </w:rPr>
              <w:t>прочего, позволит обеспечить преемственность в деятельности МСЭ в долгосрочной перспективе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  <w:hideMark/>
          </w:tcPr>
          <w:p w14:paraId="66D67E96" w14:textId="77777777" w:rsidR="003A166B" w:rsidRPr="00C81327" w:rsidRDefault="00DF140D" w:rsidP="0083283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22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CWG-SFP-1/8</w:t>
              </w:r>
            </w:hyperlink>
          </w:p>
        </w:tc>
        <w:tc>
          <w:tcPr>
            <w:tcW w:w="391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14:paraId="4DC33CF3" w14:textId="6F7B9982" w:rsidR="003A166B" w:rsidRPr="00C81327" w:rsidRDefault="007A25EA" w:rsidP="00832837">
            <w:pPr>
              <w:spacing w:before="40" w:after="40"/>
              <w:rPr>
                <w:rFonts w:ascii="Times New Roman" w:hAnsi="Times New Roman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261283" w:rsidRPr="00C81327">
              <w:rPr>
                <w:rFonts w:cs="Calibri"/>
                <w:sz w:val="20"/>
                <w:lang w:val="ru-RU" w:eastAsia="en-GB"/>
              </w:rPr>
              <w:t>Учитывая результаты онлайновых консультаций и вклады для РГС-СФП, предложить секретариату провести сбор дополнительных входных материалов у членов и далее проанализировать возможность и последствия сохранения, корректировки или группирования существующих целей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, </w:t>
            </w:r>
            <w:r w:rsidR="00261283" w:rsidRPr="00C81327">
              <w:rPr>
                <w:rFonts w:cs="Calibri"/>
                <w:sz w:val="20"/>
                <w:lang w:val="ru-RU" w:eastAsia="en-GB"/>
              </w:rPr>
              <w:t>принимая во внимание ведущиеся обсуждения</w:t>
            </w:r>
            <w:r w:rsidR="00405AF4" w:rsidRPr="00C81327">
              <w:rPr>
                <w:rFonts w:cs="Calibri"/>
                <w:sz w:val="20"/>
                <w:lang w:val="ru-RU" w:eastAsia="en-GB"/>
              </w:rPr>
              <w:t>, касающиеся концепции и миссии, и памятуя об Уставе и Конвенции МСЭ</w:t>
            </w:r>
          </w:p>
        </w:tc>
      </w:tr>
      <w:tr w:rsidR="003A166B" w:rsidRPr="00C81327" w14:paraId="52E451DA" w14:textId="77777777" w:rsidTr="00832837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31419" w14:textId="3F28F275" w:rsidR="003A166B" w:rsidRPr="00C81327" w:rsidRDefault="009A5E84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Вклады Государств-Членов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6E4F0" w14:textId="2BD62F0E" w:rsidR="003A166B" w:rsidRPr="00C81327" w:rsidRDefault="00B2206E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Вклад Китая</w:t>
            </w:r>
            <w:r w:rsidRPr="00C81327">
              <w:rPr>
                <w:rFonts w:cs="Calibri"/>
                <w:sz w:val="20"/>
                <w:lang w:val="ru-RU" w:eastAsia="en-GB"/>
              </w:rPr>
              <w:t>: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Pr="00C81327">
              <w:rPr>
                <w:rFonts w:cs="Calibri"/>
                <w:sz w:val="20"/>
                <w:lang w:val="ru-RU" w:eastAsia="en-GB"/>
              </w:rPr>
              <w:t>Рассмотреть возможность включения вопроса об использовании существующих платформ для проведения международных собраний высокого уровня в целях содействия достижению глобального консенсуса по цифровому управлению в "</w:t>
            </w:r>
            <w:proofErr w:type="spellStart"/>
            <w:r w:rsidRPr="00C81327">
              <w:rPr>
                <w:rFonts w:cs="Calibri"/>
                <w:sz w:val="20"/>
                <w:lang w:val="ru-RU" w:eastAsia="en-GB"/>
              </w:rPr>
              <w:t>межсекторальные</w:t>
            </w:r>
            <w:proofErr w:type="spellEnd"/>
            <w:r w:rsidRPr="00C81327">
              <w:rPr>
                <w:rFonts w:cs="Calibri"/>
                <w:sz w:val="20"/>
                <w:lang w:val="ru-RU" w:eastAsia="en-GB"/>
              </w:rPr>
              <w:t xml:space="preserve"> задачи" Стратегического плана МСЭ на 2024–2027 годы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AD91" w14:textId="77777777" w:rsidR="003A166B" w:rsidRPr="00C81327" w:rsidRDefault="00DF140D" w:rsidP="0083283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23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CWG-SFP-1/9</w:t>
              </w:r>
            </w:hyperlink>
          </w:p>
        </w:tc>
        <w:tc>
          <w:tcPr>
            <w:tcW w:w="3919" w:type="dxa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A4808C" w14:textId="77777777" w:rsidR="003A166B" w:rsidRPr="00C81327" w:rsidRDefault="003A166B" w:rsidP="00832837">
            <w:pPr>
              <w:spacing w:before="40" w:after="40"/>
              <w:rPr>
                <w:rFonts w:ascii="Times New Roman" w:hAnsi="Times New Roman"/>
                <w:sz w:val="20"/>
                <w:lang w:val="ru-RU" w:eastAsia="en-GB"/>
              </w:rPr>
            </w:pPr>
          </w:p>
        </w:tc>
      </w:tr>
      <w:tr w:rsidR="003A166B" w:rsidRPr="00C81327" w14:paraId="0E6DE447" w14:textId="77777777" w:rsidTr="00832837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1C24ED9E" w14:textId="58AA9031" w:rsidR="003A166B" w:rsidRPr="00C81327" w:rsidRDefault="009A5E84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Вклады Государств-Членов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4FBC7C92" w14:textId="52D7E88D" w:rsidR="003A166B" w:rsidRPr="00C81327" w:rsidRDefault="00B2206E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Вклад Китая</w:t>
            </w:r>
            <w:r w:rsidRPr="00C81327">
              <w:rPr>
                <w:rFonts w:cs="Calibri"/>
                <w:sz w:val="20"/>
                <w:lang w:val="ru-RU" w:eastAsia="en-GB"/>
              </w:rPr>
              <w:t>: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Рассмотреть возможность включения вопроса о более эффективном использовании ИКТ в целях предотвращения ЧСЗМЗ, борьбы с ними и восстановления после них в </w:t>
            </w:r>
            <w:r w:rsidRPr="00C81327">
              <w:rPr>
                <w:rFonts w:cs="Calibri"/>
                <w:sz w:val="20"/>
                <w:lang w:val="ru-RU" w:eastAsia="en-GB"/>
              </w:rPr>
              <w:lastRenderedPageBreak/>
              <w:t xml:space="preserve">стратегические цели, предусмотренные Стратегическим планом МСЭ на </w:t>
            </w:r>
            <w:proofErr w:type="gramStart"/>
            <w:r w:rsidRPr="00C81327">
              <w:rPr>
                <w:rFonts w:cs="Calibri"/>
                <w:sz w:val="20"/>
                <w:lang w:val="ru-RU" w:eastAsia="en-GB"/>
              </w:rPr>
              <w:t>2024−2027</w:t>
            </w:r>
            <w:proofErr w:type="gramEnd"/>
            <w:r w:rsidRPr="00C81327">
              <w:rPr>
                <w:rFonts w:cs="Calibri"/>
                <w:sz w:val="20"/>
                <w:lang w:val="ru-RU" w:eastAsia="en-GB"/>
              </w:rPr>
              <w:t> годы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  <w:hideMark/>
          </w:tcPr>
          <w:p w14:paraId="0D03D365" w14:textId="77777777" w:rsidR="003A166B" w:rsidRPr="00C81327" w:rsidRDefault="00DF140D" w:rsidP="0083283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24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CWG-SFP-1/10</w:t>
              </w:r>
            </w:hyperlink>
          </w:p>
        </w:tc>
        <w:tc>
          <w:tcPr>
            <w:tcW w:w="3919" w:type="dxa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181D0" w14:textId="77777777" w:rsidR="003A166B" w:rsidRPr="00C81327" w:rsidRDefault="003A166B" w:rsidP="00832837">
            <w:pPr>
              <w:spacing w:before="40" w:after="40"/>
              <w:rPr>
                <w:rFonts w:ascii="Times New Roman" w:hAnsi="Times New Roman"/>
                <w:sz w:val="20"/>
                <w:lang w:val="ru-RU" w:eastAsia="en-GB"/>
              </w:rPr>
            </w:pPr>
          </w:p>
        </w:tc>
      </w:tr>
      <w:tr w:rsidR="003A166B" w:rsidRPr="00C81327" w14:paraId="065B9AE5" w14:textId="77777777" w:rsidTr="00832837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B37DC" w14:textId="313639E5" w:rsidR="003A166B" w:rsidRPr="00C81327" w:rsidRDefault="009A5E84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Онлайновые консультации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F6D8D" w14:textId="24CB1C80" w:rsidR="003133CA" w:rsidRPr="00C81327" w:rsidRDefault="00CC4ACB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Общие выводы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  <w:p w14:paraId="54045B22" w14:textId="3EBA1CDB" w:rsidR="003133CA" w:rsidRPr="00C81327" w:rsidRDefault="007A25EA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0675B" w:rsidRPr="00C81327">
              <w:rPr>
                <w:rFonts w:cs="Calibri"/>
                <w:sz w:val="20"/>
                <w:lang w:val="ru-RU" w:eastAsia="en-GB"/>
              </w:rPr>
              <w:t xml:space="preserve">Мнения, подтверждающие, что </w:t>
            </w:r>
            <w:r w:rsidR="00E0675B" w:rsidRPr="00C81327">
              <w:rPr>
                <w:rFonts w:cs="Calibri"/>
                <w:b/>
                <w:bCs/>
                <w:sz w:val="20"/>
                <w:lang w:val="ru-RU" w:eastAsia="en-GB"/>
              </w:rPr>
              <w:t>текущие цели</w:t>
            </w:r>
            <w:r w:rsidR="00E0675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0675B" w:rsidRPr="00C81327">
              <w:rPr>
                <w:rFonts w:cs="Calibri"/>
                <w:b/>
                <w:bCs/>
                <w:sz w:val="20"/>
                <w:lang w:val="ru-RU" w:eastAsia="en-GB"/>
              </w:rPr>
              <w:t>остаются актуальными</w:t>
            </w:r>
            <w:r w:rsidR="00E0675B" w:rsidRPr="00C81327">
              <w:rPr>
                <w:rFonts w:cs="Calibri"/>
                <w:sz w:val="20"/>
                <w:lang w:val="ru-RU" w:eastAsia="en-GB"/>
              </w:rPr>
              <w:t xml:space="preserve"> и </w:t>
            </w:r>
            <w:r w:rsidR="00E0675B" w:rsidRPr="00C81327">
              <w:rPr>
                <w:rFonts w:cs="Calibri"/>
                <w:b/>
                <w:bCs/>
                <w:sz w:val="20"/>
                <w:lang w:val="ru-RU" w:eastAsia="en-GB"/>
              </w:rPr>
              <w:t>представляют собой хорошую основу</w:t>
            </w:r>
            <w:r w:rsidR="00E0675B" w:rsidRPr="00C81327">
              <w:rPr>
                <w:rFonts w:cs="Calibri"/>
                <w:sz w:val="20"/>
                <w:lang w:val="ru-RU" w:eastAsia="en-GB"/>
              </w:rPr>
              <w:t xml:space="preserve">, поэтому </w:t>
            </w:r>
            <w:r w:rsidR="00E0675B" w:rsidRPr="00C81327">
              <w:rPr>
                <w:rFonts w:cs="Calibri"/>
                <w:b/>
                <w:bCs/>
                <w:sz w:val="20"/>
                <w:lang w:val="ru-RU" w:eastAsia="en-GB"/>
              </w:rPr>
              <w:t>нет необходимости в их изменении</w:t>
            </w:r>
          </w:p>
          <w:p w14:paraId="46E1A49C" w14:textId="6674E208" w:rsidR="003133CA" w:rsidRPr="00C81327" w:rsidRDefault="007A25EA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0675B" w:rsidRPr="00C81327">
              <w:rPr>
                <w:rFonts w:cs="Calibri"/>
                <w:sz w:val="20"/>
                <w:lang w:val="ru-RU" w:eastAsia="en-GB"/>
              </w:rPr>
              <w:t xml:space="preserve">Мнения о </w:t>
            </w:r>
            <w:r w:rsidR="00E0675B" w:rsidRPr="00C81327">
              <w:rPr>
                <w:rFonts w:cs="Calibri"/>
                <w:b/>
                <w:bCs/>
                <w:sz w:val="20"/>
                <w:lang w:val="ru-RU" w:eastAsia="en-GB"/>
              </w:rPr>
              <w:t>необходимости оценки</w:t>
            </w:r>
            <w:r w:rsidR="00E0675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0675B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текущих целей </w:t>
            </w:r>
            <w:r w:rsidR="00E0675B" w:rsidRPr="00C81327">
              <w:rPr>
                <w:rFonts w:cs="Calibri"/>
                <w:sz w:val="20"/>
                <w:lang w:val="ru-RU" w:eastAsia="en-GB"/>
              </w:rPr>
              <w:t>и</w:t>
            </w:r>
            <w:r w:rsidR="00E0675B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их согласования</w:t>
            </w:r>
            <w:r w:rsidR="00E0675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0675B" w:rsidRPr="00C81327">
              <w:rPr>
                <w:rFonts w:cs="Calibri"/>
                <w:b/>
                <w:bCs/>
                <w:sz w:val="20"/>
                <w:lang w:val="ru-RU" w:eastAsia="en-GB"/>
              </w:rPr>
              <w:t>с быстро меняющимися условиями</w:t>
            </w:r>
          </w:p>
          <w:p w14:paraId="7CFAB202" w14:textId="4AAEC6CE" w:rsidR="003A166B" w:rsidRPr="00C81327" w:rsidRDefault="007A25EA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0675B" w:rsidRPr="00C81327">
              <w:rPr>
                <w:rFonts w:cs="Calibri"/>
                <w:sz w:val="20"/>
                <w:lang w:val="ru-RU" w:eastAsia="en-GB"/>
              </w:rPr>
              <w:t xml:space="preserve">Мнения с предложением </w:t>
            </w:r>
            <w:r w:rsidR="00E0675B" w:rsidRPr="00C81327">
              <w:rPr>
                <w:rFonts w:cs="Calibri"/>
                <w:b/>
                <w:bCs/>
                <w:sz w:val="20"/>
                <w:lang w:val="ru-RU" w:eastAsia="en-GB"/>
              </w:rPr>
              <w:t>пересмотреть</w:t>
            </w:r>
            <w:r w:rsidR="00E0675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0675B" w:rsidRPr="00C81327">
              <w:rPr>
                <w:rFonts w:cs="Calibri"/>
                <w:b/>
                <w:bCs/>
                <w:sz w:val="20"/>
                <w:lang w:val="ru-RU" w:eastAsia="en-GB"/>
              </w:rPr>
              <w:t>цели и, возможно, объединить некоторые из них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F4AF" w14:textId="77777777" w:rsidR="003A166B" w:rsidRPr="00C81327" w:rsidRDefault="00DF140D" w:rsidP="0083283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25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CWG-SFP-1/11</w:t>
              </w:r>
            </w:hyperlink>
          </w:p>
        </w:tc>
        <w:tc>
          <w:tcPr>
            <w:tcW w:w="3919" w:type="dxa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369E16" w14:textId="77777777" w:rsidR="003A166B" w:rsidRPr="00C81327" w:rsidRDefault="003A166B" w:rsidP="00832837">
            <w:pPr>
              <w:spacing w:before="40" w:after="40"/>
              <w:rPr>
                <w:rFonts w:cs="Calibri"/>
                <w:sz w:val="20"/>
                <w:lang w:val="ru-RU" w:eastAsia="en-GB"/>
              </w:rPr>
            </w:pPr>
          </w:p>
        </w:tc>
      </w:tr>
      <w:tr w:rsidR="003A166B" w:rsidRPr="00C81327" w14:paraId="764FD5AF" w14:textId="77777777" w:rsidTr="00832837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0352020F" w14:textId="59E8348E" w:rsidR="003A166B" w:rsidRPr="00C81327" w:rsidRDefault="00DB2367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Рек. / Выводы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7C25BC22" w14:textId="5E61D436" w:rsidR="003A166B" w:rsidRPr="00C81327" w:rsidRDefault="003133CA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Вариант для рассмотрения</w:t>
            </w:r>
            <w:r w:rsidRPr="00C81327">
              <w:rPr>
                <w:rFonts w:cs="Calibri"/>
                <w:sz w:val="20"/>
                <w:lang w:val="ru-RU" w:eastAsia="en-GB"/>
              </w:rPr>
              <w:t>:</w:t>
            </w:r>
            <w:r w:rsidRPr="00C81327">
              <w:rPr>
                <w:rFonts w:cs="Calibri"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C35658" w:rsidRPr="00C81327">
              <w:rPr>
                <w:rFonts w:cs="Calibri"/>
                <w:sz w:val="20"/>
                <w:lang w:val="ru-RU" w:eastAsia="en-GB"/>
              </w:rPr>
              <w:t>Цели 4 и 5 (Инновации и партнерство) являются скорее средствами, чем целями, и сбор данных по ним оказался весьма затруднен</w:t>
            </w:r>
          </w:p>
        </w:tc>
        <w:tc>
          <w:tcPr>
            <w:tcW w:w="142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EDEDED" w:fill="EDEDED"/>
            <w:noWrap/>
            <w:vAlign w:val="center"/>
            <w:hideMark/>
          </w:tcPr>
          <w:p w14:paraId="4EAF5785" w14:textId="77777777" w:rsidR="003A166B" w:rsidRPr="00C81327" w:rsidRDefault="00DF140D" w:rsidP="0083283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26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CWG-SFP-1/4</w:t>
              </w:r>
            </w:hyperlink>
          </w:p>
        </w:tc>
        <w:tc>
          <w:tcPr>
            <w:tcW w:w="3919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7BD5AC4" w14:textId="77777777" w:rsidR="003A166B" w:rsidRPr="00C81327" w:rsidRDefault="003A166B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</w:p>
        </w:tc>
      </w:tr>
    </w:tbl>
    <w:p w14:paraId="7C1CDC0D" w14:textId="77777777" w:rsidR="006505EB" w:rsidRPr="00C81327" w:rsidRDefault="006505EB" w:rsidP="00143187">
      <w:pPr>
        <w:spacing w:before="0"/>
        <w:rPr>
          <w:lang w:val="ru-RU"/>
        </w:rPr>
      </w:pPr>
    </w:p>
    <w:p w14:paraId="6FC59B86" w14:textId="05F7D29B" w:rsidR="003A166B" w:rsidRPr="00C81327" w:rsidRDefault="00832837" w:rsidP="006505EB">
      <w:pPr>
        <w:pStyle w:val="Heading2"/>
        <w:pBdr>
          <w:top w:val="single" w:sz="4" w:space="3" w:color="548DD4" w:themeColor="text2" w:themeTint="99"/>
          <w:left w:val="single" w:sz="4" w:space="1" w:color="548DD4" w:themeColor="text2" w:themeTint="99"/>
          <w:bottom w:val="single" w:sz="4" w:space="3" w:color="548DD4" w:themeColor="text2" w:themeTint="99"/>
          <w:right w:val="single" w:sz="4" w:space="1" w:color="548DD4" w:themeColor="text2" w:themeTint="99"/>
        </w:pBdr>
        <w:shd w:val="clear" w:color="auto" w:fill="548DD4" w:themeFill="text2" w:themeFillTint="99"/>
        <w:tabs>
          <w:tab w:val="clear" w:pos="794"/>
        </w:tabs>
        <w:spacing w:before="0"/>
        <w:ind w:left="624" w:right="57" w:hanging="567"/>
        <w:rPr>
          <w:color w:val="FFFFFF" w:themeColor="background1"/>
          <w:lang w:val="ru-RU"/>
        </w:rPr>
      </w:pPr>
      <w:r w:rsidRPr="00C81327">
        <w:rPr>
          <w:color w:val="FFFFFF" w:themeColor="background1"/>
          <w:lang w:val="ru-RU"/>
        </w:rPr>
        <w:t>6</w:t>
      </w:r>
      <w:r w:rsidRPr="00C81327">
        <w:rPr>
          <w:color w:val="FFFFFF" w:themeColor="background1"/>
          <w:lang w:val="ru-RU"/>
        </w:rPr>
        <w:tab/>
      </w:r>
      <w:r w:rsidR="00636671" w:rsidRPr="00C81327">
        <w:rPr>
          <w:color w:val="FFFFFF" w:themeColor="background1"/>
          <w:lang w:val="ru-RU"/>
        </w:rPr>
        <w:t>Целевые показатели</w:t>
      </w:r>
    </w:p>
    <w:tbl>
      <w:tblPr>
        <w:tblW w:w="1454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44"/>
        <w:gridCol w:w="7657"/>
        <w:gridCol w:w="1428"/>
        <w:gridCol w:w="3919"/>
      </w:tblGrid>
      <w:tr w:rsidR="00DB2367" w:rsidRPr="00C81327" w14:paraId="01B6BD3A" w14:textId="77777777" w:rsidTr="00AF4D39">
        <w:trPr>
          <w:tblHeader/>
        </w:trPr>
        <w:tc>
          <w:tcPr>
            <w:tcW w:w="1544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EB6A44A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Источник вклада </w:t>
            </w:r>
          </w:p>
        </w:tc>
        <w:tc>
          <w:tcPr>
            <w:tcW w:w="7657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FC97F8D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Вклады </w:t>
            </w:r>
          </w:p>
        </w:tc>
        <w:tc>
          <w:tcPr>
            <w:tcW w:w="1428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02F27CE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Док.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  <w:r w:rsidRPr="00C81327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919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2C16CCAC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Указания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</w:p>
        </w:tc>
      </w:tr>
      <w:tr w:rsidR="003A166B" w:rsidRPr="00DF140D" w14:paraId="3F41667A" w14:textId="77777777" w:rsidTr="009808C5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3F1A71A6" w14:textId="69EE0E68" w:rsidR="003A166B" w:rsidRPr="00C81327" w:rsidRDefault="009A5E84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Вклады Государств-Членов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7486CCC3" w14:textId="40015977" w:rsidR="003A166B" w:rsidRPr="00C81327" w:rsidRDefault="003133CA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Вклад Российской Федерации</w:t>
            </w:r>
            <w:r w:rsidRPr="00C81327">
              <w:rPr>
                <w:rFonts w:cs="Calibri"/>
                <w:sz w:val="20"/>
                <w:lang w:val="ru-RU" w:eastAsia="en-GB"/>
              </w:rPr>
              <w:t>: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C35658" w:rsidRPr="00C81327">
              <w:rPr>
                <w:rFonts w:cs="Calibri"/>
                <w:sz w:val="20"/>
                <w:lang w:val="ru-RU" w:eastAsia="en-GB"/>
              </w:rPr>
              <w:t>"Целевые показатели Союза" (как результаты долгосрочного воздействия работы МСЭ на все стороны жизни общества), могут служить указанием на прогресс в достижении стратегических целей Союза, но одновременно они должны быть увязаны с ЦУР, в соответствии с Резолюцией 71</w:t>
            </w:r>
            <w:r w:rsidR="00FA0212" w:rsidRPr="00C81327">
              <w:rPr>
                <w:rFonts w:cs="Calibri"/>
                <w:sz w:val="20"/>
                <w:lang w:val="ru-RU" w:eastAsia="en-GB"/>
              </w:rPr>
              <w:t xml:space="preserve"> (Пересм. Дубай</w:t>
            </w:r>
            <w:r w:rsidR="00C35658" w:rsidRPr="00C81327">
              <w:rPr>
                <w:rFonts w:cs="Calibri"/>
                <w:sz w:val="20"/>
                <w:lang w:val="ru-RU" w:eastAsia="en-GB"/>
              </w:rPr>
              <w:t xml:space="preserve">, </w:t>
            </w:r>
            <w:r w:rsidR="00FA0212" w:rsidRPr="00C81327">
              <w:rPr>
                <w:rFonts w:cs="Calibri"/>
                <w:sz w:val="20"/>
                <w:lang w:val="ru-RU" w:eastAsia="en-GB"/>
              </w:rPr>
              <w:t>2018 г.). З</w:t>
            </w:r>
            <w:r w:rsidR="00C35658" w:rsidRPr="00C81327">
              <w:rPr>
                <w:rFonts w:cs="Calibri"/>
                <w:sz w:val="20"/>
                <w:lang w:val="ru-RU" w:eastAsia="en-GB"/>
              </w:rPr>
              <w:t>амысел</w:t>
            </w:r>
            <w:r w:rsidR="00FA0212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C35658" w:rsidRPr="00C81327">
              <w:rPr>
                <w:rFonts w:cs="Calibri"/>
                <w:sz w:val="20"/>
                <w:lang w:val="ru-RU" w:eastAsia="en-GB"/>
              </w:rPr>
              <w:t xml:space="preserve">таких целевых показателей состоит в том, чтобы задавать направление, на котором Союзу следует сосредоточить свое внимание, и претворять в жизнь концепцию МСЭ в отношении взаимосвязанного мира. В связи с этим </w:t>
            </w:r>
            <w:r w:rsidR="001267FE" w:rsidRPr="00C81327">
              <w:rPr>
                <w:rFonts w:cs="Calibri"/>
                <w:sz w:val="20"/>
                <w:lang w:val="ru-RU" w:eastAsia="en-GB"/>
              </w:rPr>
              <w:t>р</w:t>
            </w:r>
            <w:r w:rsidR="00C35658" w:rsidRPr="00C81327">
              <w:rPr>
                <w:rFonts w:cs="Calibri"/>
                <w:sz w:val="20"/>
                <w:lang w:val="ru-RU" w:eastAsia="en-GB"/>
              </w:rPr>
              <w:t xml:space="preserve">аздел 3 действующего </w:t>
            </w:r>
            <w:r w:rsidR="00FA0212" w:rsidRPr="00C81327">
              <w:rPr>
                <w:rFonts w:cs="Calibri"/>
                <w:sz w:val="20"/>
                <w:lang w:val="ru-RU" w:eastAsia="en-GB"/>
              </w:rPr>
              <w:t>Стратегического плана</w:t>
            </w:r>
            <w:r w:rsidR="00C35658" w:rsidRPr="00C81327">
              <w:rPr>
                <w:rFonts w:cs="Calibri"/>
                <w:sz w:val="20"/>
                <w:lang w:val="ru-RU" w:eastAsia="en-GB"/>
              </w:rPr>
              <w:t xml:space="preserve"> МСЭ должен быть существенно сокращен или даже удален, так как он слишком перегружен, а релевантная информация из него должна найти отражение в разделе </w:t>
            </w:r>
            <w:r w:rsidR="002829ED" w:rsidRPr="00C81327">
              <w:rPr>
                <w:rFonts w:cs="Calibri"/>
                <w:sz w:val="20"/>
                <w:lang w:val="ru-RU" w:eastAsia="en-GB"/>
              </w:rPr>
              <w:t>"</w:t>
            </w:r>
            <w:r w:rsidR="00C35658" w:rsidRPr="00C81327">
              <w:rPr>
                <w:rFonts w:cs="Calibri"/>
                <w:sz w:val="20"/>
                <w:lang w:val="ru-RU" w:eastAsia="en-GB"/>
              </w:rPr>
              <w:t>Целевые показатели"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  <w:hideMark/>
          </w:tcPr>
          <w:p w14:paraId="726A3E69" w14:textId="77777777" w:rsidR="003A166B" w:rsidRPr="00C81327" w:rsidRDefault="00DF140D" w:rsidP="0083283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4F81BD" w:themeColor="accent1"/>
                <w:sz w:val="20"/>
                <w:u w:val="single"/>
                <w:lang w:val="ru-RU" w:eastAsia="en-GB"/>
              </w:rPr>
            </w:pPr>
            <w:hyperlink r:id="rId27" w:history="1">
              <w:r w:rsidR="003A166B" w:rsidRPr="00C81327">
                <w:rPr>
                  <w:rFonts w:cs="Calibri"/>
                  <w:color w:val="4F81BD" w:themeColor="accent1"/>
                  <w:sz w:val="20"/>
                  <w:u w:val="single"/>
                  <w:lang w:val="ru-RU" w:eastAsia="en-GB"/>
                </w:rPr>
                <w:t>CWG-SFP-1/8</w:t>
              </w:r>
            </w:hyperlink>
          </w:p>
        </w:tc>
        <w:tc>
          <w:tcPr>
            <w:tcW w:w="391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14:paraId="39089C21" w14:textId="2805B693" w:rsidR="007F36E8" w:rsidRPr="00C81327" w:rsidRDefault="007A25EA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485D5A" w:rsidRPr="00C81327">
              <w:rPr>
                <w:rFonts w:cs="Calibri"/>
                <w:sz w:val="20"/>
                <w:lang w:val="ru-RU" w:eastAsia="en-GB"/>
              </w:rPr>
              <w:t>Предложить секретариату представить входные материалы для рассмотрения имеющегося комплекса целевых показателей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, </w:t>
            </w:r>
            <w:r w:rsidR="00485D5A" w:rsidRPr="00C81327">
              <w:rPr>
                <w:rFonts w:cs="Calibri"/>
                <w:sz w:val="20"/>
                <w:lang w:val="ru-RU" w:eastAsia="en-GB"/>
              </w:rPr>
              <w:t>в соответствии с извлеченными уроками, в частности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  <w:p w14:paraId="42CDA8A4" w14:textId="2ABA8314" w:rsidR="007F36E8" w:rsidRPr="00C81327" w:rsidRDefault="007A25EA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485D5A" w:rsidRPr="00C81327">
              <w:rPr>
                <w:rFonts w:cs="Calibri"/>
                <w:sz w:val="20"/>
                <w:lang w:val="ru-RU" w:eastAsia="en-GB"/>
              </w:rPr>
              <w:t xml:space="preserve">Целевые показатели должны соответствовать критериям SMART 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(</w:t>
            </w:r>
            <w:r w:rsidR="00485D5A" w:rsidRPr="00C81327">
              <w:rPr>
                <w:rFonts w:cs="Calibri"/>
                <w:sz w:val="20"/>
                <w:lang w:val="ru-RU" w:eastAsia="en-GB"/>
              </w:rPr>
              <w:t>быть конкретными, поддающимися измерению, ориентированными на действия, реалистичными, иметь временные рамки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)</w:t>
            </w:r>
          </w:p>
          <w:p w14:paraId="70E93FCC" w14:textId="0FD164A4" w:rsidR="003A166B" w:rsidRPr="00C81327" w:rsidRDefault="007A25EA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847C2C" w:rsidRPr="00C81327">
              <w:rPr>
                <w:rFonts w:cs="Calibri"/>
                <w:sz w:val="20"/>
                <w:lang w:val="ru-RU" w:eastAsia="en-GB"/>
              </w:rPr>
              <w:t>Целевые показатели должны учитывать региональные различия и разницу в уровнях развития</w:t>
            </w:r>
          </w:p>
        </w:tc>
      </w:tr>
      <w:tr w:rsidR="003A166B" w:rsidRPr="00C81327" w14:paraId="22777E5A" w14:textId="77777777" w:rsidTr="009808C5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2B235" w14:textId="431F180A" w:rsidR="003A166B" w:rsidRPr="00C81327" w:rsidRDefault="00DB2367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Рек. / Выводы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7339" w14:textId="0ED207D2" w:rsidR="003133CA" w:rsidRPr="00C81327" w:rsidRDefault="003133CA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Варианты для рассмотрения</w:t>
            </w:r>
            <w:r w:rsidRPr="00C81327">
              <w:rPr>
                <w:rFonts w:cs="Calibri"/>
                <w:sz w:val="20"/>
                <w:lang w:val="ru-RU" w:eastAsia="en-GB"/>
              </w:rPr>
              <w:t>:</w:t>
            </w:r>
            <w:r w:rsidRPr="00C81327">
              <w:rPr>
                <w:rFonts w:cs="Calibri"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AD785B" w:rsidRPr="00C81327">
              <w:rPr>
                <w:rFonts w:cs="Calibri"/>
                <w:sz w:val="20"/>
                <w:lang w:val="ru-RU" w:eastAsia="en-GB"/>
              </w:rPr>
              <w:t>Новые целевые показатели могут быть добавлены только в случае наличия надежного источника(</w:t>
            </w:r>
            <w:proofErr w:type="spellStart"/>
            <w:r w:rsidR="00AD785B" w:rsidRPr="00C81327">
              <w:rPr>
                <w:rFonts w:cs="Calibri"/>
                <w:sz w:val="20"/>
                <w:lang w:val="ru-RU" w:eastAsia="en-GB"/>
              </w:rPr>
              <w:t>ов</w:t>
            </w:r>
            <w:proofErr w:type="spellEnd"/>
            <w:r w:rsidR="00AD785B" w:rsidRPr="00C81327">
              <w:rPr>
                <w:rFonts w:cs="Calibri"/>
                <w:sz w:val="20"/>
                <w:lang w:val="ru-RU" w:eastAsia="en-GB"/>
              </w:rPr>
              <w:t>) данных или в случае наличия планов начать их измерение в ближайшем будущем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AD785B" w:rsidRPr="00C81327">
              <w:rPr>
                <w:rFonts w:cs="Calibri"/>
                <w:sz w:val="20"/>
                <w:lang w:val="ru-RU" w:eastAsia="en-GB"/>
              </w:rPr>
              <w:t xml:space="preserve">Целевые показатели должны соответствовать критериям SMART (чтобы быть </w:t>
            </w:r>
            <w:r w:rsidR="00AD785B" w:rsidRPr="00C81327">
              <w:rPr>
                <w:rFonts w:cs="Calibri"/>
                <w:sz w:val="20"/>
                <w:lang w:val="ru-RU" w:eastAsia="en-GB"/>
              </w:rPr>
              <w:lastRenderedPageBreak/>
              <w:t>значимыми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)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AD785B" w:rsidRPr="00C81327">
              <w:rPr>
                <w:rFonts w:cs="Calibri"/>
                <w:sz w:val="20"/>
                <w:lang w:val="ru-RU" w:eastAsia="en-GB"/>
              </w:rPr>
              <w:t>Следует помнить, что в настоящий момент (в середине 2021 г.) ведется работа по установлению целевых показателей на период 2024−2027 годов, поэтому целевые показатели должны быть реалистичными (не чрезмерно осторожными, но при этом достижимыми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)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AD785B" w:rsidRPr="00C81327">
              <w:rPr>
                <w:rFonts w:cs="Calibri"/>
                <w:sz w:val="20"/>
                <w:lang w:val="ru-RU" w:eastAsia="en-GB"/>
              </w:rPr>
              <w:t>В целевых показателях должны использоваться данные МСЭ (регуляторный обзор STATS и пр.) или данные из признанных источников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AD785B" w:rsidRPr="00C81327">
              <w:rPr>
                <w:rFonts w:cs="Calibri"/>
                <w:sz w:val="20"/>
                <w:lang w:val="ru-RU" w:eastAsia="en-GB"/>
              </w:rPr>
              <w:t>Целевые показатели должны учитывать региональные различия и разницу в уровнях развития – в целом следует избегать усредненных мировых показателей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AD785B" w:rsidRPr="00C81327">
              <w:rPr>
                <w:rFonts w:cs="Calibri"/>
                <w:sz w:val="20"/>
                <w:lang w:val="ru-RU" w:eastAsia="en-GB"/>
              </w:rPr>
              <w:t xml:space="preserve">Целевые показатели и KPI </w:t>
            </w:r>
            <w:r w:rsidR="00775A59" w:rsidRPr="00C81327">
              <w:rPr>
                <w:rFonts w:cs="Calibri"/>
                <w:sz w:val="20"/>
                <w:lang w:val="ru-RU" w:eastAsia="en-GB"/>
              </w:rPr>
              <w:t xml:space="preserve">должны </w:t>
            </w:r>
            <w:r w:rsidR="00AD785B" w:rsidRPr="00C81327">
              <w:rPr>
                <w:rFonts w:cs="Calibri"/>
                <w:sz w:val="20"/>
                <w:lang w:val="ru-RU" w:eastAsia="en-GB"/>
              </w:rPr>
              <w:t>отража</w:t>
            </w:r>
            <w:r w:rsidR="00775A59" w:rsidRPr="00C81327">
              <w:rPr>
                <w:rFonts w:cs="Calibri"/>
                <w:sz w:val="20"/>
                <w:lang w:val="ru-RU" w:eastAsia="en-GB"/>
              </w:rPr>
              <w:t>ть</w:t>
            </w:r>
            <w:r w:rsidR="00AD785B" w:rsidRPr="00C81327">
              <w:rPr>
                <w:rFonts w:cs="Calibri"/>
                <w:sz w:val="20"/>
                <w:lang w:val="ru-RU" w:eastAsia="en-GB"/>
              </w:rPr>
              <w:t xml:space="preserve"> принципы управления, ориентированного на результаты, в том смысле, что в конечном </w:t>
            </w:r>
            <w:r w:rsidR="00775A59" w:rsidRPr="00C81327">
              <w:rPr>
                <w:rFonts w:cs="Calibri"/>
                <w:sz w:val="20"/>
                <w:lang w:val="ru-RU" w:eastAsia="en-GB"/>
              </w:rPr>
              <w:t>счете</w:t>
            </w:r>
            <w:r w:rsidR="00AD785B" w:rsidRPr="00C81327">
              <w:rPr>
                <w:rFonts w:cs="Calibri"/>
                <w:sz w:val="20"/>
                <w:lang w:val="ru-RU" w:eastAsia="en-GB"/>
              </w:rPr>
              <w:t xml:space="preserve"> они должны быть ориентированы на воздействие, а не на намеченные результаты деятельности/предпринятые действия</w:t>
            </w:r>
          </w:p>
          <w:p w14:paraId="4FDE0227" w14:textId="2935A2C3" w:rsidR="003A166B" w:rsidRPr="00C81327" w:rsidRDefault="003A166B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(</w:t>
            </w:r>
            <w:r w:rsidR="00775A59" w:rsidRPr="00C81327">
              <w:rPr>
                <w:rFonts w:cs="Calibri"/>
                <w:i/>
                <w:iCs/>
                <w:sz w:val="20"/>
                <w:lang w:val="ru-RU" w:eastAsia="en-GB"/>
              </w:rPr>
              <w:t>см. также ниже тему регионального присутствия и рекомендацию об установлении целевых показателей на региональном уровне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67F7" w14:textId="77777777" w:rsidR="003A166B" w:rsidRPr="00C81327" w:rsidRDefault="00DF140D" w:rsidP="00832837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4F81BD" w:themeColor="accent1"/>
                <w:sz w:val="20"/>
                <w:u w:val="single"/>
                <w:lang w:val="ru-RU" w:eastAsia="en-GB"/>
              </w:rPr>
            </w:pPr>
            <w:hyperlink r:id="rId28" w:history="1">
              <w:r w:rsidR="003A166B" w:rsidRPr="00C81327">
                <w:rPr>
                  <w:rFonts w:cs="Calibri"/>
                  <w:color w:val="4F81BD" w:themeColor="accent1"/>
                  <w:sz w:val="20"/>
                  <w:u w:val="single"/>
                  <w:lang w:val="ru-RU" w:eastAsia="en-GB"/>
                </w:rPr>
                <w:t>CWG-SFP-1/4</w:t>
              </w:r>
            </w:hyperlink>
          </w:p>
        </w:tc>
        <w:tc>
          <w:tcPr>
            <w:tcW w:w="3919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1722162" w14:textId="77777777" w:rsidR="003A166B" w:rsidRPr="00C81327" w:rsidRDefault="003A166B" w:rsidP="0083283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</w:p>
        </w:tc>
      </w:tr>
    </w:tbl>
    <w:p w14:paraId="5D36FCB0" w14:textId="036B2DFE" w:rsidR="003A166B" w:rsidRPr="00C81327" w:rsidRDefault="003A166B" w:rsidP="00143187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2188DC68" w14:textId="73212D94" w:rsidR="003A166B" w:rsidRPr="00C81327" w:rsidRDefault="009808C5" w:rsidP="006505EB">
      <w:pPr>
        <w:pStyle w:val="Heading2"/>
        <w:pBdr>
          <w:top w:val="single" w:sz="4" w:space="3" w:color="548DD4" w:themeColor="text2" w:themeTint="99"/>
          <w:left w:val="single" w:sz="4" w:space="1" w:color="548DD4" w:themeColor="text2" w:themeTint="99"/>
          <w:bottom w:val="single" w:sz="4" w:space="3" w:color="548DD4" w:themeColor="text2" w:themeTint="99"/>
          <w:right w:val="single" w:sz="4" w:space="1" w:color="548DD4" w:themeColor="text2" w:themeTint="99"/>
        </w:pBdr>
        <w:shd w:val="clear" w:color="auto" w:fill="548DD4" w:themeFill="text2" w:themeFillTint="99"/>
        <w:tabs>
          <w:tab w:val="clear" w:pos="794"/>
        </w:tabs>
        <w:spacing w:before="0"/>
        <w:ind w:left="624" w:right="57" w:hanging="567"/>
        <w:rPr>
          <w:color w:val="FFFFFF" w:themeColor="background1"/>
          <w:lang w:val="ru-RU"/>
        </w:rPr>
      </w:pPr>
      <w:r w:rsidRPr="00C81327">
        <w:rPr>
          <w:color w:val="FFFFFF" w:themeColor="background1"/>
          <w:lang w:val="ru-RU"/>
        </w:rPr>
        <w:t>7</w:t>
      </w:r>
      <w:r w:rsidRPr="00C81327">
        <w:rPr>
          <w:color w:val="FFFFFF" w:themeColor="background1"/>
          <w:lang w:val="ru-RU"/>
        </w:rPr>
        <w:tab/>
      </w:r>
      <w:r w:rsidR="00847C2C" w:rsidRPr="00C81327">
        <w:rPr>
          <w:color w:val="FFFFFF" w:themeColor="background1"/>
          <w:lang w:val="ru-RU"/>
        </w:rPr>
        <w:t>Региональное присутствие</w:t>
      </w:r>
    </w:p>
    <w:tbl>
      <w:tblPr>
        <w:tblW w:w="1454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44"/>
        <w:gridCol w:w="7657"/>
        <w:gridCol w:w="1428"/>
        <w:gridCol w:w="3919"/>
      </w:tblGrid>
      <w:tr w:rsidR="00DB2367" w:rsidRPr="00C81327" w14:paraId="551CE800" w14:textId="77777777" w:rsidTr="00AF4D39">
        <w:trPr>
          <w:tblHeader/>
        </w:trPr>
        <w:tc>
          <w:tcPr>
            <w:tcW w:w="1544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A861AA8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Источник вклада </w:t>
            </w:r>
          </w:p>
        </w:tc>
        <w:tc>
          <w:tcPr>
            <w:tcW w:w="7657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5B98EE6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Вклады </w:t>
            </w:r>
          </w:p>
        </w:tc>
        <w:tc>
          <w:tcPr>
            <w:tcW w:w="1428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AAC05AB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Док.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  <w:r w:rsidRPr="00C81327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919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4622B1D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Указания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</w:p>
        </w:tc>
      </w:tr>
      <w:tr w:rsidR="003A166B" w:rsidRPr="00DF140D" w14:paraId="5F334E50" w14:textId="77777777" w:rsidTr="009808C5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19BDB754" w14:textId="0BB070BF" w:rsidR="003A166B" w:rsidRPr="00C81327" w:rsidRDefault="009A5E84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Вклады Государств-Членов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1E2ECE82" w14:textId="2A82B1BF" w:rsidR="003A166B" w:rsidRPr="00C81327" w:rsidRDefault="003133C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Вклад Российской Федерации</w:t>
            </w:r>
            <w:r w:rsidRPr="00C81327">
              <w:rPr>
                <w:rFonts w:cs="Calibri"/>
                <w:sz w:val="20"/>
                <w:lang w:val="ru-RU" w:eastAsia="en-GB"/>
              </w:rPr>
              <w:t>: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9E2CE3" w:rsidRPr="00C81327">
              <w:rPr>
                <w:rFonts w:cs="Calibri"/>
                <w:sz w:val="20"/>
                <w:lang w:val="ru-RU" w:eastAsia="en-GB"/>
              </w:rPr>
              <w:t xml:space="preserve">Стратегический план МСЭ выиграет, если он будет лучше отражать роль регионального присутствия как одной из важнейших функций МСЭ. Региональное присутствие позволяет лучше оценивать проблемы и потребности регионов и оказывать содействие в их решении. Основные задачи и направления этой деятельности следует включать в стратегический план как часть работы "Единого МСЭ", а не только в качестве задач </w:t>
            </w:r>
            <w:r w:rsidR="00BF5253" w:rsidRPr="00C81327">
              <w:rPr>
                <w:rFonts w:cs="Calibri"/>
                <w:sz w:val="20"/>
                <w:lang w:val="ru-RU" w:eastAsia="en-GB"/>
              </w:rPr>
              <w:t>С</w:t>
            </w:r>
            <w:r w:rsidR="009E2CE3" w:rsidRPr="00C81327">
              <w:rPr>
                <w:rFonts w:cs="Calibri"/>
                <w:sz w:val="20"/>
                <w:lang w:val="ru-RU" w:eastAsia="en-GB"/>
              </w:rPr>
              <w:t xml:space="preserve">екторов. Для этого надо прежде всего решить вопрос об изменении административного подчинения региональных/зональных отделений. При подготовке соответствующих пунктов плана следует учитывать мнения </w:t>
            </w:r>
            <w:r w:rsidR="00BF5253" w:rsidRPr="00C81327">
              <w:rPr>
                <w:rFonts w:cs="Calibri"/>
                <w:sz w:val="20"/>
                <w:lang w:val="ru-RU" w:eastAsia="en-GB"/>
              </w:rPr>
              <w:t>р</w:t>
            </w:r>
            <w:r w:rsidR="009E2CE3" w:rsidRPr="00C81327">
              <w:rPr>
                <w:rFonts w:cs="Calibri"/>
                <w:sz w:val="20"/>
                <w:lang w:val="ru-RU" w:eastAsia="en-GB"/>
              </w:rPr>
              <w:t xml:space="preserve">егиональных организаций электросвязи (см. Резолюции 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58 (</w:t>
            </w:r>
            <w:r w:rsidR="009E2CE3" w:rsidRPr="00C81327">
              <w:rPr>
                <w:rFonts w:cs="Calibri"/>
                <w:sz w:val="20"/>
                <w:lang w:val="ru-RU" w:eastAsia="en-GB"/>
              </w:rPr>
              <w:t>Пересм. Пусан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, 2014</w:t>
            </w:r>
            <w:r w:rsidR="009E2CE3" w:rsidRPr="00C81327">
              <w:rPr>
                <w:rFonts w:cs="Calibri"/>
                <w:sz w:val="20"/>
                <w:lang w:val="ru-RU" w:eastAsia="en-GB"/>
              </w:rPr>
              <w:t> г.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) </w:t>
            </w:r>
            <w:r w:rsidR="009E2CE3" w:rsidRPr="00C81327">
              <w:rPr>
                <w:rFonts w:cs="Calibri"/>
                <w:sz w:val="20"/>
                <w:lang w:val="ru-RU" w:eastAsia="en-GB"/>
              </w:rPr>
              <w:t>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25 (</w:t>
            </w:r>
            <w:r w:rsidR="009E2CE3" w:rsidRPr="00C81327">
              <w:rPr>
                <w:rFonts w:cs="Calibri"/>
                <w:sz w:val="20"/>
                <w:lang w:val="ru-RU" w:eastAsia="en-GB"/>
              </w:rPr>
              <w:t xml:space="preserve">Пересм. Дубай, 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2018</w:t>
            </w:r>
            <w:r w:rsidR="009E2CE3" w:rsidRPr="00C81327">
              <w:rPr>
                <w:rFonts w:cs="Calibri"/>
                <w:sz w:val="20"/>
                <w:lang w:val="ru-RU" w:eastAsia="en-GB"/>
              </w:rPr>
              <w:t> г.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)</w:t>
            </w:r>
            <w:r w:rsidR="00BF5253" w:rsidRPr="00C81327">
              <w:rPr>
                <w:rFonts w:cs="Calibri"/>
                <w:sz w:val="20"/>
                <w:lang w:val="ru-RU" w:eastAsia="en-GB"/>
              </w:rPr>
              <w:t xml:space="preserve"> ПК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  <w:hideMark/>
          </w:tcPr>
          <w:p w14:paraId="04B52586" w14:textId="77777777" w:rsidR="003A166B" w:rsidRPr="00C81327" w:rsidRDefault="00DF140D" w:rsidP="009808C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29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CWG-SFP-1/8</w:t>
              </w:r>
            </w:hyperlink>
          </w:p>
        </w:tc>
        <w:tc>
          <w:tcPr>
            <w:tcW w:w="391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14:paraId="346D466B" w14:textId="1D2A9700" w:rsidR="003A166B" w:rsidRPr="00C81327" w:rsidRDefault="007A25E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5E5EDF" w:rsidRPr="00C81327">
              <w:rPr>
                <w:rFonts w:cs="Calibri"/>
                <w:sz w:val="20"/>
                <w:lang w:val="ru-RU" w:eastAsia="en-GB"/>
              </w:rPr>
              <w:t xml:space="preserve">Согласиться с тем, что роль регионального присутствия МСЭ следует отразить в новом Стратегическом плане 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br/>
            </w:r>
            <w:r w:rsidR="005E5EDF"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5E5EDF" w:rsidRPr="00C81327">
              <w:rPr>
                <w:rFonts w:cs="Calibri"/>
                <w:sz w:val="20"/>
                <w:lang w:val="ru-RU" w:eastAsia="en-GB"/>
              </w:rPr>
              <w:t xml:space="preserve">Принять последующие меры по обсуждениям, ведущимся Государствами-Членами, и включить выводы </w:t>
            </w:r>
            <w:r w:rsidR="00776DDE" w:rsidRPr="00C81327">
              <w:rPr>
                <w:rFonts w:cs="Calibri"/>
                <w:sz w:val="20"/>
                <w:lang w:val="ru-RU" w:eastAsia="en-GB"/>
              </w:rPr>
              <w:t>о роли регионального присутствия МСЭ в новый Стратегический план, памятуя об Уставе и Конвенции МСЭ</w:t>
            </w:r>
          </w:p>
        </w:tc>
      </w:tr>
      <w:tr w:rsidR="003A166B" w:rsidRPr="00C81327" w14:paraId="340EF891" w14:textId="77777777" w:rsidTr="009808C5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02BED" w14:textId="2C0F9D8A" w:rsidR="003A166B" w:rsidRPr="00C81327" w:rsidRDefault="009A5E84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Онлайновые консультации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A706" w14:textId="7E3FDB11" w:rsidR="003133CA" w:rsidRPr="00C81327" w:rsidRDefault="00EA5676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Общие выводы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  <w:p w14:paraId="3DC9B499" w14:textId="73FC8AED" w:rsidR="003133CA" w:rsidRPr="00C81327" w:rsidRDefault="007A25E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A5676" w:rsidRPr="00C81327">
              <w:rPr>
                <w:rFonts w:cs="Calibri"/>
                <w:sz w:val="20"/>
                <w:lang w:val="ru-RU" w:eastAsia="en-GB"/>
              </w:rPr>
              <w:t xml:space="preserve">Обсуждение </w:t>
            </w:r>
            <w:r w:rsidR="00EA5676" w:rsidRPr="00C81327">
              <w:rPr>
                <w:rFonts w:cs="Calibri"/>
                <w:b/>
                <w:bCs/>
                <w:sz w:val="20"/>
                <w:lang w:val="ru-RU" w:eastAsia="en-GB"/>
              </w:rPr>
              <w:t>отчета PwC</w:t>
            </w:r>
            <w:r w:rsidR="00EA5676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A5676" w:rsidRPr="00C81327">
              <w:rPr>
                <w:rFonts w:cs="Calibri"/>
                <w:b/>
                <w:bCs/>
                <w:sz w:val="20"/>
                <w:lang w:val="ru-RU" w:eastAsia="en-GB"/>
              </w:rPr>
              <w:t>все еще продолжается</w:t>
            </w:r>
          </w:p>
          <w:p w14:paraId="7AA5FC94" w14:textId="5F2F18C0" w:rsidR="003133CA" w:rsidRPr="00C81327" w:rsidRDefault="007A25E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lastRenderedPageBreak/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A5676" w:rsidRPr="00C81327">
              <w:rPr>
                <w:rFonts w:cs="Calibri"/>
                <w:sz w:val="20"/>
                <w:lang w:val="ru-RU" w:eastAsia="en-GB"/>
              </w:rPr>
              <w:t xml:space="preserve">Необходимо </w:t>
            </w:r>
            <w:r w:rsidR="00EA5676" w:rsidRPr="00C81327">
              <w:rPr>
                <w:rFonts w:cs="Calibri"/>
                <w:b/>
                <w:bCs/>
                <w:sz w:val="20"/>
                <w:lang w:val="ru-RU" w:eastAsia="en-GB"/>
              </w:rPr>
              <w:t>уточнить</w:t>
            </w:r>
            <w:r w:rsidR="00EA5676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A5676" w:rsidRPr="00C81327">
              <w:rPr>
                <w:rFonts w:cs="Calibri"/>
                <w:b/>
                <w:bCs/>
                <w:sz w:val="20"/>
                <w:lang w:val="ru-RU" w:eastAsia="en-GB"/>
              </w:rPr>
              <w:t>роль</w:t>
            </w:r>
            <w:r w:rsidR="00EA5676" w:rsidRPr="00C81327">
              <w:rPr>
                <w:rFonts w:cs="Calibri"/>
                <w:sz w:val="20"/>
                <w:lang w:val="ru-RU" w:eastAsia="en-GB"/>
              </w:rPr>
              <w:t xml:space="preserve"> и </w:t>
            </w:r>
            <w:r w:rsidR="00EA5676" w:rsidRPr="00C81327">
              <w:rPr>
                <w:rFonts w:cs="Calibri"/>
                <w:b/>
                <w:bCs/>
                <w:sz w:val="20"/>
                <w:lang w:val="ru-RU" w:eastAsia="en-GB"/>
              </w:rPr>
              <w:t>полномочия</w:t>
            </w:r>
            <w:r w:rsidR="00EA5676" w:rsidRPr="00C81327">
              <w:rPr>
                <w:rFonts w:cs="Calibri"/>
                <w:sz w:val="20"/>
                <w:lang w:val="ru-RU" w:eastAsia="en-GB"/>
              </w:rPr>
              <w:t xml:space="preserve"> региональных отделений</w:t>
            </w:r>
          </w:p>
          <w:p w14:paraId="19937B27" w14:textId="6D04925E" w:rsidR="003133CA" w:rsidRPr="00C81327" w:rsidRDefault="007A25E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A5676" w:rsidRPr="00C81327">
              <w:rPr>
                <w:rFonts w:cs="Calibri"/>
                <w:sz w:val="20"/>
                <w:lang w:val="ru-RU" w:eastAsia="en-GB"/>
              </w:rPr>
              <w:t xml:space="preserve">Необходимо, чтобы </w:t>
            </w:r>
            <w:r w:rsidR="00EA5676" w:rsidRPr="00C81327">
              <w:rPr>
                <w:rFonts w:cs="Calibri"/>
                <w:b/>
                <w:bCs/>
                <w:sz w:val="20"/>
                <w:lang w:val="ru-RU" w:eastAsia="en-GB"/>
              </w:rPr>
              <w:t>региональное присутствие</w:t>
            </w:r>
            <w:r w:rsidR="00EA5676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A5676" w:rsidRPr="00C81327">
              <w:rPr>
                <w:rFonts w:cs="Calibri"/>
                <w:b/>
                <w:bCs/>
                <w:sz w:val="20"/>
                <w:lang w:val="ru-RU" w:eastAsia="en-GB"/>
              </w:rPr>
              <w:t>отражало общие стратегические цели</w:t>
            </w:r>
          </w:p>
          <w:p w14:paraId="4A532F36" w14:textId="08EBEF94" w:rsidR="003133CA" w:rsidRPr="00C81327" w:rsidRDefault="007A25E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BF5253" w:rsidRPr="00C81327">
              <w:rPr>
                <w:rFonts w:cs="Calibri"/>
                <w:sz w:val="20"/>
                <w:lang w:val="ru-RU" w:eastAsia="en-GB"/>
              </w:rPr>
              <w:t>Значение</w:t>
            </w:r>
            <w:r w:rsidR="00EA5676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A5676" w:rsidRPr="00C81327">
              <w:rPr>
                <w:rFonts w:cs="Calibri"/>
                <w:b/>
                <w:bCs/>
                <w:sz w:val="20"/>
                <w:lang w:val="ru-RU" w:eastAsia="en-GB"/>
              </w:rPr>
              <w:t>сотрудничества с ООН на региональном уровне</w:t>
            </w:r>
          </w:p>
          <w:p w14:paraId="47C5CFA3" w14:textId="29CB8829" w:rsidR="003133CA" w:rsidRPr="00C81327" w:rsidRDefault="007A25E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A5676" w:rsidRPr="00C81327">
              <w:rPr>
                <w:rFonts w:cs="Calibri"/>
                <w:sz w:val="20"/>
                <w:lang w:val="ru-RU" w:eastAsia="en-GB"/>
              </w:rPr>
              <w:t xml:space="preserve">Некоторые предложения указывают на необходимость </w:t>
            </w:r>
            <w:r w:rsidR="00EA5676" w:rsidRPr="00C81327">
              <w:rPr>
                <w:rFonts w:cs="Calibri"/>
                <w:b/>
                <w:bCs/>
                <w:sz w:val="20"/>
                <w:lang w:val="ru-RU" w:eastAsia="en-GB"/>
              </w:rPr>
              <w:t>дальнейшего укрепления финансовых ресурсов</w:t>
            </w:r>
          </w:p>
          <w:p w14:paraId="74B20D45" w14:textId="05EFA914" w:rsidR="003A166B" w:rsidRPr="00C81327" w:rsidRDefault="007A25E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A5676" w:rsidRPr="00C81327">
              <w:rPr>
                <w:rFonts w:cs="Calibri"/>
                <w:sz w:val="20"/>
                <w:lang w:val="ru-RU" w:eastAsia="en-GB"/>
              </w:rPr>
              <w:t xml:space="preserve">В других предложениях предусматривается </w:t>
            </w:r>
            <w:r w:rsidR="00EA5676" w:rsidRPr="00C81327">
              <w:rPr>
                <w:rFonts w:cs="Calibri"/>
                <w:b/>
                <w:bCs/>
                <w:sz w:val="20"/>
                <w:lang w:val="ru-RU" w:eastAsia="en-GB"/>
              </w:rPr>
              <w:t>делегирование более широких полномочий Генеральному секретариату, а не только Сектору развития</w:t>
            </w:r>
            <w:r w:rsidR="00EA5676" w:rsidRPr="00C81327">
              <w:rPr>
                <w:rFonts w:cs="Calibri"/>
                <w:sz w:val="20"/>
                <w:lang w:val="ru-RU" w:eastAsia="en-GB"/>
              </w:rPr>
              <w:t xml:space="preserve">, или </w:t>
            </w:r>
            <w:r w:rsidR="00EA5676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передача региональных/зональных отделений под управление Генерального секретариата </w:t>
            </w:r>
            <w:r w:rsidR="00EA5676" w:rsidRPr="00C81327">
              <w:rPr>
                <w:rFonts w:cs="Calibri"/>
                <w:sz w:val="20"/>
                <w:lang w:val="ru-RU" w:eastAsia="en-GB"/>
              </w:rPr>
              <w:t>(в соответствии с концепцией "Единый МСЭ"</w:t>
            </w:r>
            <w:r w:rsidR="001B39EC" w:rsidRPr="00C81327">
              <w:rPr>
                <w:rFonts w:cs="Calibri"/>
                <w:sz w:val="20"/>
                <w:lang w:val="ru-RU" w:eastAsia="en-GB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F8AA" w14:textId="77777777" w:rsidR="003A166B" w:rsidRPr="00C81327" w:rsidRDefault="00DF140D" w:rsidP="009808C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30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CWG-SFP-1/11</w:t>
              </w:r>
            </w:hyperlink>
          </w:p>
        </w:tc>
        <w:tc>
          <w:tcPr>
            <w:tcW w:w="3919" w:type="dxa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14:paraId="2C57817A" w14:textId="77777777" w:rsidR="003A166B" w:rsidRPr="00C81327" w:rsidRDefault="003A166B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 w:val="20"/>
                <w:lang w:val="ru-RU" w:eastAsia="en-GB"/>
              </w:rPr>
            </w:pPr>
          </w:p>
        </w:tc>
      </w:tr>
      <w:tr w:rsidR="003A166B" w:rsidRPr="00C81327" w14:paraId="1805518A" w14:textId="77777777" w:rsidTr="009808C5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3D62A4F3" w14:textId="1E73FA3D" w:rsidR="003A166B" w:rsidRPr="00C81327" w:rsidRDefault="00DB2367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Рек. / Выводы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0467BB9F" w14:textId="78242EC9" w:rsidR="0061262A" w:rsidRPr="00C81327" w:rsidRDefault="003A166B" w:rsidP="003133CA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(</w:t>
            </w:r>
            <w:r w:rsidR="00DB2367" w:rsidRPr="00C81327">
              <w:rPr>
                <w:rFonts w:cs="Calibri"/>
                <w:i/>
                <w:iCs/>
                <w:sz w:val="20"/>
                <w:lang w:val="ru-RU" w:eastAsia="en-GB"/>
              </w:rPr>
              <w:t>Отчет PwC о региональном присутствии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)</w:t>
            </w:r>
            <w:r w:rsidRPr="00C81327">
              <w:rPr>
                <w:rFonts w:cs="Calibri"/>
                <w:sz w:val="20"/>
                <w:lang w:val="ru-RU" w:eastAsia="en-GB"/>
              </w:rPr>
              <w:br/>
            </w: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>1.1</w:t>
            </w:r>
            <w:r w:rsidR="003133CA" w:rsidRPr="00C81327">
              <w:rPr>
                <w:rFonts w:cs="Calibri"/>
                <w:b/>
                <w:bCs/>
                <w:sz w:val="20"/>
                <w:lang w:val="ru-RU" w:eastAsia="en-GB"/>
              </w:rPr>
              <w:tab/>
            </w:r>
            <w:r w:rsidR="0061262A" w:rsidRPr="00C81327">
              <w:rPr>
                <w:rFonts w:cs="Calibri"/>
                <w:b/>
                <w:bCs/>
                <w:sz w:val="20"/>
                <w:lang w:val="ru-RU" w:eastAsia="en-GB"/>
              </w:rPr>
              <w:t>Укрепление позиции МСЭ как создателя/деятеля</w:t>
            </w:r>
          </w:p>
          <w:p w14:paraId="1AE2D811" w14:textId="2A0DD310" w:rsidR="003133CA" w:rsidRPr="00C81327" w:rsidRDefault="003A166B" w:rsidP="003133CA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1.1.1</w:t>
            </w:r>
            <w:r w:rsidR="0061262A" w:rsidRPr="00C81327">
              <w:rPr>
                <w:rFonts w:cs="Calibri"/>
                <w:sz w:val="20"/>
                <w:lang w:val="ru-RU" w:eastAsia="en-GB"/>
              </w:rPr>
              <w:tab/>
              <w:t>Формулировка мандата, роли и ожидаемого вклада регионального присутствия</w:t>
            </w:r>
          </w:p>
          <w:p w14:paraId="19B60FB9" w14:textId="77777777" w:rsidR="0061262A" w:rsidRPr="00C81327" w:rsidRDefault="003133CA" w:rsidP="003133CA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Вариант для рассмотрения</w:t>
            </w:r>
            <w:r w:rsidRPr="00C81327">
              <w:rPr>
                <w:rFonts w:cs="Calibri"/>
                <w:sz w:val="20"/>
                <w:lang w:val="ru-RU" w:eastAsia="en-GB"/>
              </w:rPr>
              <w:t>:</w:t>
            </w:r>
            <w:r w:rsidRPr="00C81327">
              <w:rPr>
                <w:rFonts w:cs="Calibri"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61262A" w:rsidRPr="00C81327">
              <w:rPr>
                <w:rFonts w:cs="Calibri"/>
                <w:sz w:val="20"/>
                <w:lang w:val="ru-RU" w:eastAsia="en-GB"/>
              </w:rPr>
              <w:t xml:space="preserve">При разработке Стратегического плана на </w:t>
            </w:r>
            <w:proofErr w:type="gramStart"/>
            <w:r w:rsidR="0061262A" w:rsidRPr="00C81327">
              <w:rPr>
                <w:rFonts w:cs="Calibri"/>
                <w:sz w:val="20"/>
                <w:lang w:val="ru-RU" w:eastAsia="en-GB"/>
              </w:rPr>
              <w:t>2024−2027</w:t>
            </w:r>
            <w:proofErr w:type="gramEnd"/>
            <w:r w:rsidR="0061262A" w:rsidRPr="00C81327">
              <w:rPr>
                <w:rFonts w:cs="Calibri"/>
                <w:sz w:val="20"/>
                <w:lang w:val="ru-RU" w:eastAsia="en-GB"/>
              </w:rPr>
              <w:t xml:space="preserve"> годы РГС-СФП предлагается принять во внимание рекомендацию по интеграции регионального присутствия</w:t>
            </w:r>
          </w:p>
          <w:p w14:paraId="479A55A8" w14:textId="3DD168B1" w:rsidR="003133CA" w:rsidRPr="00C81327" w:rsidRDefault="003A166B" w:rsidP="0061262A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ind w:left="603" w:hanging="603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>1.4</w:t>
            </w:r>
            <w:r w:rsidR="003133CA" w:rsidRPr="00C81327">
              <w:rPr>
                <w:rFonts w:cs="Calibri"/>
                <w:b/>
                <w:bCs/>
                <w:sz w:val="20"/>
                <w:lang w:val="ru-RU" w:eastAsia="en-GB"/>
              </w:rPr>
              <w:tab/>
            </w:r>
            <w:r w:rsidR="0061262A" w:rsidRPr="00C81327">
              <w:rPr>
                <w:rFonts w:cs="Calibri"/>
                <w:b/>
                <w:bCs/>
                <w:sz w:val="20"/>
                <w:lang w:val="ru-RU" w:eastAsia="en-GB"/>
              </w:rPr>
              <w:t>Консолидация стратегического планирования на уровне каждого отделения на местах</w:t>
            </w:r>
          </w:p>
          <w:p w14:paraId="63B11534" w14:textId="00830980" w:rsidR="003133CA" w:rsidRPr="00C81327" w:rsidRDefault="003A166B" w:rsidP="003133CA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1.4.1</w:t>
            </w:r>
            <w:r w:rsidR="003133CA" w:rsidRPr="00C81327">
              <w:rPr>
                <w:rFonts w:cs="Calibri"/>
                <w:sz w:val="20"/>
                <w:lang w:val="ru-RU" w:eastAsia="en-GB"/>
              </w:rPr>
              <w:tab/>
            </w:r>
            <w:r w:rsidR="0061262A" w:rsidRPr="00C81327">
              <w:rPr>
                <w:rFonts w:cs="Calibri"/>
                <w:sz w:val="20"/>
                <w:lang w:val="ru-RU" w:eastAsia="en-GB"/>
              </w:rPr>
              <w:t>Разработка системы результатов, согласованной с региональными инициативами</w:t>
            </w:r>
          </w:p>
          <w:p w14:paraId="713DAAD2" w14:textId="100EE820" w:rsidR="003133CA" w:rsidRPr="00C81327" w:rsidRDefault="003A166B" w:rsidP="003133CA">
            <w:pPr>
              <w:tabs>
                <w:tab w:val="clear" w:pos="794"/>
                <w:tab w:val="left" w:pos="603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1.4.3</w:t>
            </w:r>
            <w:r w:rsidR="003133CA" w:rsidRPr="00C81327">
              <w:rPr>
                <w:rFonts w:cs="Calibri"/>
                <w:sz w:val="20"/>
                <w:lang w:val="ru-RU" w:eastAsia="en-GB"/>
              </w:rPr>
              <w:tab/>
            </w:r>
            <w:r w:rsidR="0061262A" w:rsidRPr="00C81327">
              <w:rPr>
                <w:rFonts w:cs="Calibri"/>
                <w:sz w:val="20"/>
                <w:lang w:val="ru-RU" w:eastAsia="en-GB"/>
              </w:rPr>
              <w:t>Консолидация региональных целе</w:t>
            </w:r>
            <w:r w:rsidR="00BF5253" w:rsidRPr="00C81327">
              <w:rPr>
                <w:rFonts w:cs="Calibri"/>
                <w:sz w:val="20"/>
                <w:lang w:val="ru-RU" w:eastAsia="en-GB"/>
              </w:rPr>
              <w:t>вых показателей</w:t>
            </w:r>
            <w:r w:rsidR="0061262A" w:rsidRPr="00C81327">
              <w:rPr>
                <w:rFonts w:cs="Calibri"/>
                <w:sz w:val="20"/>
                <w:lang w:val="ru-RU" w:eastAsia="en-GB"/>
              </w:rPr>
              <w:t xml:space="preserve"> при подготовке очередного Стратегического плана</w:t>
            </w:r>
          </w:p>
          <w:p w14:paraId="0C5EC2B1" w14:textId="448540B4" w:rsidR="003A166B" w:rsidRPr="00C81327" w:rsidRDefault="003133C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Вариант для рассмотрения</w:t>
            </w:r>
            <w:r w:rsidRPr="00C81327">
              <w:rPr>
                <w:rFonts w:cs="Calibri"/>
                <w:sz w:val="20"/>
                <w:lang w:val="ru-RU" w:eastAsia="en-GB"/>
              </w:rPr>
              <w:t>:</w:t>
            </w:r>
            <w:r w:rsidRPr="00C81327">
              <w:rPr>
                <w:rFonts w:cs="Calibri"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1A408D" w:rsidRPr="00C81327">
              <w:rPr>
                <w:rFonts w:cs="Calibri"/>
                <w:sz w:val="20"/>
                <w:lang w:val="ru-RU" w:eastAsia="en-GB"/>
              </w:rPr>
              <w:t>При разработке Стратегического плана на 2024−2027 годы РГС-СФП предлагается принять во внимание региональные цели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(</w:t>
            </w:r>
            <w:r w:rsidR="00147C64" w:rsidRPr="00C81327">
              <w:rPr>
                <w:rFonts w:cs="Calibri"/>
                <w:sz w:val="20"/>
                <w:lang w:val="ru-RU" w:eastAsia="en-GB"/>
              </w:rPr>
              <w:t>система развития ООН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)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1A408D" w:rsidRPr="00C81327">
              <w:rPr>
                <w:rFonts w:cs="Calibri"/>
                <w:sz w:val="20"/>
                <w:lang w:val="ru-RU" w:eastAsia="en-GB"/>
              </w:rPr>
              <w:t xml:space="preserve">Необходимость укрепления связей МСЭ-ООН (включая региональные отделения МСЭ и СГООН) для более точного отражения </w:t>
            </w:r>
            <w:r w:rsidR="00147C64" w:rsidRPr="00C81327">
              <w:rPr>
                <w:rFonts w:cs="Calibri"/>
                <w:sz w:val="20"/>
                <w:lang w:val="ru-RU" w:eastAsia="en-GB"/>
              </w:rPr>
              <w:t>важнейшей</w:t>
            </w:r>
            <w:r w:rsidR="001A408D" w:rsidRPr="00C81327">
              <w:rPr>
                <w:rFonts w:cs="Calibri"/>
                <w:sz w:val="20"/>
                <w:lang w:val="ru-RU" w:eastAsia="en-GB"/>
              </w:rPr>
              <w:t xml:space="preserve"> роли ИКТ в системе развития ООН, чтобы поддержать страны в решении наиболее приоритетных задач и проблем в процессе достижения ЦУР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vAlign w:val="center"/>
            <w:hideMark/>
          </w:tcPr>
          <w:p w14:paraId="2A5FAD8F" w14:textId="36A37716" w:rsidR="003A166B" w:rsidRPr="00C81327" w:rsidRDefault="00DF140D" w:rsidP="009808C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31" w:history="1">
              <w:r w:rsidR="003A166B" w:rsidRPr="00DF140D">
                <w:rPr>
                  <w:rStyle w:val="Hyperlink"/>
                  <w:rFonts w:cs="Calibri"/>
                  <w:sz w:val="20"/>
                  <w:lang w:val="ru-RU" w:eastAsia="en-GB"/>
                </w:rPr>
                <w:t>CWG-SFP-1/5</w:t>
              </w:r>
            </w:hyperlink>
          </w:p>
          <w:p w14:paraId="339215B3" w14:textId="77777777" w:rsidR="003A166B" w:rsidRPr="00C81327" w:rsidRDefault="003A166B" w:rsidP="009808C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</w:p>
          <w:p w14:paraId="06574A33" w14:textId="77777777" w:rsidR="003A166B" w:rsidRPr="00C81327" w:rsidRDefault="00DF140D" w:rsidP="009808C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32" w:history="1">
              <w:r w:rsidR="003A166B" w:rsidRPr="00C81327">
                <w:rPr>
                  <w:rStyle w:val="Hyperlink"/>
                  <w:rFonts w:cs="Calibri"/>
                  <w:color w:val="548DD4" w:themeColor="text2" w:themeTint="99"/>
                  <w:sz w:val="20"/>
                  <w:lang w:val="ru-RU" w:eastAsia="en-GB"/>
                </w:rPr>
                <w:t>CWG-SFP-1/7</w:t>
              </w:r>
            </w:hyperlink>
          </w:p>
        </w:tc>
        <w:tc>
          <w:tcPr>
            <w:tcW w:w="3919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C635A8" w14:textId="77777777" w:rsidR="003A166B" w:rsidRPr="00C81327" w:rsidRDefault="003A166B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</w:p>
        </w:tc>
      </w:tr>
    </w:tbl>
    <w:p w14:paraId="23E5F9DC" w14:textId="77777777" w:rsidR="003A166B" w:rsidRPr="00C81327" w:rsidRDefault="003A166B" w:rsidP="003A166B">
      <w:pPr>
        <w:overflowPunct/>
        <w:autoSpaceDE/>
        <w:autoSpaceDN/>
        <w:adjustRightInd/>
        <w:spacing w:before="0"/>
        <w:textAlignment w:val="auto"/>
        <w:rPr>
          <w:b/>
          <w:color w:val="FFFFFF" w:themeColor="background1"/>
          <w:lang w:val="ru-RU"/>
        </w:rPr>
      </w:pPr>
    </w:p>
    <w:p w14:paraId="48AF451D" w14:textId="5B7DDC59" w:rsidR="003A166B" w:rsidRPr="00C81327" w:rsidRDefault="009808C5" w:rsidP="006505EB">
      <w:pPr>
        <w:pStyle w:val="Heading2"/>
        <w:pBdr>
          <w:top w:val="single" w:sz="4" w:space="3" w:color="548DD4" w:themeColor="text2" w:themeTint="99"/>
          <w:left w:val="single" w:sz="4" w:space="1" w:color="548DD4" w:themeColor="text2" w:themeTint="99"/>
          <w:bottom w:val="single" w:sz="4" w:space="3" w:color="548DD4" w:themeColor="text2" w:themeTint="99"/>
          <w:right w:val="single" w:sz="4" w:space="1" w:color="548DD4" w:themeColor="text2" w:themeTint="99"/>
        </w:pBdr>
        <w:shd w:val="clear" w:color="auto" w:fill="548DD4" w:themeFill="text2" w:themeFillTint="99"/>
        <w:tabs>
          <w:tab w:val="clear" w:pos="794"/>
        </w:tabs>
        <w:spacing w:before="0"/>
        <w:ind w:left="624" w:right="57" w:hanging="567"/>
        <w:rPr>
          <w:color w:val="FFFFFF" w:themeColor="background1"/>
          <w:lang w:val="ru-RU"/>
        </w:rPr>
      </w:pPr>
      <w:r w:rsidRPr="00C81327">
        <w:rPr>
          <w:color w:val="FFFFFF" w:themeColor="background1"/>
          <w:lang w:val="ru-RU"/>
        </w:rPr>
        <w:lastRenderedPageBreak/>
        <w:t>8</w:t>
      </w:r>
      <w:r w:rsidRPr="00C81327">
        <w:rPr>
          <w:color w:val="FFFFFF" w:themeColor="background1"/>
          <w:lang w:val="ru-RU"/>
        </w:rPr>
        <w:tab/>
      </w:r>
      <w:r w:rsidR="005D1A61" w:rsidRPr="00C81327">
        <w:rPr>
          <w:color w:val="FFFFFF" w:themeColor="background1"/>
          <w:lang w:val="ru-RU"/>
        </w:rPr>
        <w:t>Увязка с Финансовым планом</w:t>
      </w:r>
    </w:p>
    <w:tbl>
      <w:tblPr>
        <w:tblW w:w="1454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44"/>
        <w:gridCol w:w="7658"/>
        <w:gridCol w:w="1428"/>
        <w:gridCol w:w="3918"/>
      </w:tblGrid>
      <w:tr w:rsidR="00DB2367" w:rsidRPr="00C81327" w14:paraId="6AAF38B3" w14:textId="77777777" w:rsidTr="00DB2367">
        <w:trPr>
          <w:tblHeader/>
        </w:trPr>
        <w:tc>
          <w:tcPr>
            <w:tcW w:w="1544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0FD3A7D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Источник вклада </w:t>
            </w:r>
          </w:p>
        </w:tc>
        <w:tc>
          <w:tcPr>
            <w:tcW w:w="7658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DB9BC3B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Вклады </w:t>
            </w:r>
          </w:p>
        </w:tc>
        <w:tc>
          <w:tcPr>
            <w:tcW w:w="1428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976EFB5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Док.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  <w:r w:rsidRPr="00C81327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918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2D6EF82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Указания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</w:p>
        </w:tc>
      </w:tr>
      <w:tr w:rsidR="003A166B" w:rsidRPr="00DF140D" w14:paraId="1A7BF2BB" w14:textId="77777777" w:rsidTr="00DB2367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1E82B1D3" w14:textId="30FA64A0" w:rsidR="003A166B" w:rsidRPr="00C81327" w:rsidRDefault="009A5E84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Онлайновые консультации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hideMark/>
          </w:tcPr>
          <w:p w14:paraId="655212DD" w14:textId="00795F3D" w:rsidR="003133CA" w:rsidRPr="00C81327" w:rsidRDefault="007A25E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C95D61" w:rsidRPr="00C81327">
              <w:rPr>
                <w:rFonts w:cs="Calibri"/>
                <w:sz w:val="20"/>
                <w:lang w:val="ru-RU" w:eastAsia="en-GB"/>
              </w:rPr>
              <w:t xml:space="preserve">Соглашение о </w:t>
            </w:r>
            <w:r w:rsidR="00C95D61" w:rsidRPr="00C81327">
              <w:rPr>
                <w:rFonts w:cs="Calibri"/>
                <w:b/>
                <w:bCs/>
                <w:sz w:val="20"/>
                <w:lang w:val="ru-RU" w:eastAsia="en-GB"/>
              </w:rPr>
              <w:t>необходимости дальнейшего совершенствования методик в целях полной реализации УОР/БОР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  <w:p w14:paraId="14E46869" w14:textId="77777777" w:rsidR="00C95D61" w:rsidRPr="00C81327" w:rsidRDefault="007A25E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C95D61" w:rsidRPr="00C81327">
              <w:rPr>
                <w:rFonts w:cs="Calibri"/>
                <w:sz w:val="20"/>
                <w:lang w:val="ru-RU" w:eastAsia="en-GB"/>
              </w:rPr>
              <w:t xml:space="preserve">Должна быть установлена </w:t>
            </w:r>
            <w:r w:rsidR="00C95D61" w:rsidRPr="00C81327">
              <w:rPr>
                <w:rFonts w:cs="Calibri"/>
                <w:b/>
                <w:bCs/>
                <w:sz w:val="20"/>
                <w:lang w:val="ru-RU" w:eastAsia="en-GB"/>
              </w:rPr>
              <w:t>прямая связь между</w:t>
            </w:r>
            <w:r w:rsidR="00C95D61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C95D61" w:rsidRPr="00C81327">
              <w:rPr>
                <w:rFonts w:cs="Calibri"/>
                <w:b/>
                <w:bCs/>
                <w:sz w:val="20"/>
                <w:lang w:val="ru-RU" w:eastAsia="en-GB"/>
              </w:rPr>
              <w:t>выбранными стратегическими приоритетами</w:t>
            </w:r>
            <w:r w:rsidR="00C95D61" w:rsidRPr="00C81327">
              <w:rPr>
                <w:rFonts w:cs="Calibri"/>
                <w:sz w:val="20"/>
                <w:lang w:val="ru-RU" w:eastAsia="en-GB"/>
              </w:rPr>
              <w:t xml:space="preserve"> и </w:t>
            </w:r>
            <w:r w:rsidR="00C95D61" w:rsidRPr="00C81327">
              <w:rPr>
                <w:rFonts w:cs="Calibri"/>
                <w:b/>
                <w:bCs/>
                <w:sz w:val="20"/>
                <w:lang w:val="ru-RU" w:eastAsia="en-GB"/>
              </w:rPr>
              <w:t>распределением финансовых и людских ресурсов</w:t>
            </w:r>
          </w:p>
          <w:p w14:paraId="43D08DC8" w14:textId="77777777" w:rsidR="00C95D61" w:rsidRPr="00C81327" w:rsidRDefault="007A25E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C95D61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Ни один элемент не должен оставаться без финансирования </w:t>
            </w:r>
            <w:r w:rsidR="00C95D61" w:rsidRPr="00C81327">
              <w:rPr>
                <w:rFonts w:cs="Calibri"/>
                <w:sz w:val="20"/>
                <w:lang w:val="ru-RU" w:eastAsia="en-GB"/>
              </w:rPr>
              <w:t>или измерения</w:t>
            </w:r>
          </w:p>
          <w:p w14:paraId="69C0F610" w14:textId="313630BE" w:rsidR="00C95D61" w:rsidRPr="00C81327" w:rsidRDefault="007A25E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C95D61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Важно выполнять все рекомендации органов </w:t>
            </w:r>
            <w:r w:rsidR="00C95D61" w:rsidRPr="00C81327">
              <w:rPr>
                <w:rFonts w:cs="Calibri"/>
                <w:sz w:val="20"/>
                <w:lang w:val="ru-RU" w:eastAsia="en-GB"/>
              </w:rPr>
              <w:t>внутреннего и внешнего</w:t>
            </w:r>
            <w:r w:rsidR="00C95D61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контроля</w:t>
            </w:r>
          </w:p>
          <w:p w14:paraId="16ECAC3E" w14:textId="33667608" w:rsidR="003A166B" w:rsidRPr="00C81327" w:rsidRDefault="007A25E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C95D61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Проблема несоответствия рабочих циклов Секторов </w:t>
            </w:r>
            <w:r w:rsidR="00C95D61" w:rsidRPr="00C81327">
              <w:rPr>
                <w:rFonts w:cs="Calibri"/>
                <w:sz w:val="20"/>
                <w:lang w:val="ru-RU" w:eastAsia="en-GB"/>
              </w:rPr>
              <w:t>препятствует синхронизации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center"/>
            <w:hideMark/>
          </w:tcPr>
          <w:p w14:paraId="10989008" w14:textId="77777777" w:rsidR="003A166B" w:rsidRPr="00C81327" w:rsidRDefault="00DF140D" w:rsidP="009808C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33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CWG-SFP-1/11</w:t>
              </w:r>
            </w:hyperlink>
          </w:p>
        </w:tc>
        <w:tc>
          <w:tcPr>
            <w:tcW w:w="391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14:paraId="6EED79CE" w14:textId="5D2CDD7E" w:rsidR="003133CA" w:rsidRPr="00C81327" w:rsidRDefault="007A25EA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5D1A61" w:rsidRPr="00C81327">
              <w:rPr>
                <w:rFonts w:cs="Calibri"/>
                <w:sz w:val="20"/>
                <w:lang w:val="ru-RU" w:eastAsia="en-GB"/>
              </w:rPr>
              <w:t xml:space="preserve">Предложить секретариату учитывать следующие принципы при </w:t>
            </w:r>
            <w:r w:rsidR="00BB5263" w:rsidRPr="00C81327">
              <w:rPr>
                <w:rFonts w:cs="Calibri"/>
                <w:sz w:val="20"/>
                <w:lang w:val="ru-RU" w:eastAsia="en-GB"/>
              </w:rPr>
              <w:t>проектировании увязки Финансового и Стратегического планов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  <w:p w14:paraId="14276EF6" w14:textId="61C1B29C" w:rsidR="003133CA" w:rsidRPr="00C81327" w:rsidRDefault="003A166B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a</w:t>
            </w:r>
            <w:r w:rsidR="003133CA" w:rsidRPr="00C81327">
              <w:rPr>
                <w:rFonts w:cs="Calibri"/>
                <w:sz w:val="20"/>
                <w:lang w:val="ru-RU" w:eastAsia="en-GB"/>
              </w:rPr>
              <w:t>)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BB5263" w:rsidRPr="00C81327">
              <w:rPr>
                <w:rFonts w:cs="Calibri"/>
                <w:sz w:val="20"/>
                <w:lang w:val="ru-RU" w:eastAsia="en-GB"/>
              </w:rPr>
              <w:t>прямая увязка между стратегическими приоритетами, включая сквозные темы, и распределением финансовых и людских ресурсов;</w:t>
            </w:r>
          </w:p>
          <w:p w14:paraId="47DA3DA6" w14:textId="3DDCBA0D" w:rsidR="003A166B" w:rsidRPr="00C81327" w:rsidRDefault="003A166B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b</w:t>
            </w:r>
            <w:r w:rsidR="003133CA" w:rsidRPr="00C81327">
              <w:rPr>
                <w:rFonts w:cs="Calibri"/>
                <w:sz w:val="20"/>
                <w:lang w:val="ru-RU" w:eastAsia="en-GB"/>
              </w:rPr>
              <w:t>)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BB5263" w:rsidRPr="00C81327">
              <w:rPr>
                <w:rFonts w:cs="Calibri"/>
                <w:sz w:val="20"/>
                <w:lang w:val="ru-RU" w:eastAsia="en-GB"/>
              </w:rPr>
              <w:t>ни один элемент не должен оставаться без финансирования</w:t>
            </w:r>
            <w:r w:rsidRPr="00C81327">
              <w:rPr>
                <w:rFonts w:cs="Calibri"/>
                <w:sz w:val="20"/>
                <w:lang w:val="ru-RU" w:eastAsia="en-GB"/>
              </w:rPr>
              <w:br/>
              <w:t>(</w:t>
            </w:r>
            <w:r w:rsidR="00E00F7F" w:rsidRPr="00C81327">
              <w:rPr>
                <w:rFonts w:cs="Calibri"/>
                <w:sz w:val="20"/>
                <w:lang w:val="ru-RU" w:eastAsia="en-GB"/>
              </w:rPr>
              <w:t>с</w:t>
            </w:r>
            <w:r w:rsidR="00BB5263" w:rsidRPr="00C81327">
              <w:rPr>
                <w:rFonts w:cs="Calibri"/>
                <w:sz w:val="20"/>
                <w:lang w:val="ru-RU" w:eastAsia="en-GB"/>
              </w:rPr>
              <w:t xml:space="preserve">м. </w:t>
            </w:r>
            <w:r w:rsidR="00E00F7F" w:rsidRPr="00C81327">
              <w:rPr>
                <w:rFonts w:cs="Calibri"/>
                <w:sz w:val="20"/>
                <w:lang w:val="ru-RU" w:eastAsia="en-GB"/>
              </w:rPr>
              <w:t>т</w:t>
            </w:r>
            <w:r w:rsidR="00BB5263" w:rsidRPr="00C81327">
              <w:rPr>
                <w:rFonts w:cs="Calibri"/>
                <w:sz w:val="20"/>
                <w:lang w:val="ru-RU" w:eastAsia="en-GB"/>
              </w:rPr>
              <w:t xml:space="preserve">акже выше предложение об уточнении того, существуют ли возможности </w:t>
            </w:r>
            <w:r w:rsidR="00E00F7F" w:rsidRPr="00C81327">
              <w:rPr>
                <w:rFonts w:cs="Calibri"/>
                <w:sz w:val="20"/>
                <w:lang w:val="ru-RU" w:eastAsia="en-GB"/>
              </w:rPr>
              <w:t>более гибкого распределения ресурсов по Секторам</w:t>
            </w:r>
            <w:r w:rsidRPr="00C81327">
              <w:rPr>
                <w:rFonts w:cs="Calibri"/>
                <w:sz w:val="20"/>
                <w:lang w:val="ru-RU" w:eastAsia="en-GB"/>
              </w:rPr>
              <w:t>)</w:t>
            </w:r>
          </w:p>
        </w:tc>
      </w:tr>
      <w:tr w:rsidR="003A166B" w:rsidRPr="00C81327" w14:paraId="3D6EBA86" w14:textId="77777777" w:rsidTr="00DB2367"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D3F2E" w14:textId="401B12D1" w:rsidR="003A166B" w:rsidRPr="00C81327" w:rsidRDefault="00DB2367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Рек. / Выводы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B9FA7" w14:textId="5B5082A2" w:rsidR="003A166B" w:rsidRPr="00C81327" w:rsidRDefault="003A166B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(</w:t>
            </w:r>
            <w:r w:rsidR="00DB2367" w:rsidRPr="00C81327">
              <w:rPr>
                <w:rFonts w:cs="Calibri"/>
                <w:i/>
                <w:iCs/>
                <w:sz w:val="20"/>
                <w:lang w:val="ru-RU" w:eastAsia="en-GB"/>
              </w:rPr>
              <w:t>Отчет McKinsey "Культура и навыки"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)</w:t>
            </w:r>
            <w:r w:rsidRPr="00C81327">
              <w:rPr>
                <w:rFonts w:cs="Calibri"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987230" w:rsidRPr="00C81327">
              <w:rPr>
                <w:rFonts w:cs="Calibri"/>
                <w:sz w:val="20"/>
                <w:lang w:val="ru-RU" w:eastAsia="en-GB"/>
              </w:rPr>
              <w:t>Предлагаемый план трансформации МСЭ, основанный на 9 структурных инициативах</w:t>
            </w:r>
            <w:r w:rsidRPr="00C81327">
              <w:rPr>
                <w:rFonts w:cs="Calibri"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987230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Предлагается учесть потребности в ресурсах плана трансформации </w:t>
            </w:r>
            <w:r w:rsidR="00987230" w:rsidRPr="00C81327">
              <w:rPr>
                <w:rFonts w:cs="Calibri"/>
                <w:sz w:val="20"/>
                <w:lang w:val="ru-RU" w:eastAsia="en-GB"/>
              </w:rPr>
              <w:t xml:space="preserve">в Финансовом плане на </w:t>
            </w:r>
            <w:proofErr w:type="gramStart"/>
            <w:r w:rsidR="00987230" w:rsidRPr="00C81327">
              <w:rPr>
                <w:rFonts w:cs="Calibri"/>
                <w:sz w:val="20"/>
                <w:lang w:val="ru-RU" w:eastAsia="en-GB"/>
              </w:rPr>
              <w:t>2024−2027</w:t>
            </w:r>
            <w:proofErr w:type="gramEnd"/>
            <w:r w:rsidR="00987230" w:rsidRPr="00C81327">
              <w:rPr>
                <w:rFonts w:cs="Calibri"/>
                <w:sz w:val="20"/>
                <w:lang w:val="ru-RU" w:eastAsia="en-GB"/>
              </w:rPr>
              <w:t xml:space="preserve"> годы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C6CC" w14:textId="77777777" w:rsidR="003A166B" w:rsidRPr="00C81327" w:rsidRDefault="00DF140D" w:rsidP="009808C5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color w:val="548DD4" w:themeColor="text2" w:themeTint="99"/>
                <w:sz w:val="20"/>
                <w:u w:val="single"/>
                <w:lang w:val="ru-RU" w:eastAsia="en-GB"/>
              </w:rPr>
            </w:pPr>
            <w:hyperlink r:id="rId34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CWG-SFP-1/5</w:t>
              </w:r>
            </w:hyperlink>
          </w:p>
        </w:tc>
        <w:tc>
          <w:tcPr>
            <w:tcW w:w="391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8F66FC" w14:textId="77777777" w:rsidR="003A166B" w:rsidRPr="00C81327" w:rsidRDefault="003A166B" w:rsidP="009808C5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</w:p>
        </w:tc>
      </w:tr>
    </w:tbl>
    <w:p w14:paraId="22C60210" w14:textId="77777777" w:rsidR="006505EB" w:rsidRPr="00C81327" w:rsidRDefault="006505EB" w:rsidP="00143187">
      <w:pPr>
        <w:spacing w:before="0"/>
        <w:rPr>
          <w:lang w:val="ru-RU" w:eastAsia="en-GB"/>
        </w:rPr>
      </w:pPr>
    </w:p>
    <w:p w14:paraId="5BF66C83" w14:textId="65C0B1F0" w:rsidR="003A166B" w:rsidRPr="00C81327" w:rsidRDefault="009808C5" w:rsidP="006505EB">
      <w:pPr>
        <w:pStyle w:val="Heading2"/>
        <w:pBdr>
          <w:top w:val="single" w:sz="4" w:space="3" w:color="548DD4" w:themeColor="text2" w:themeTint="99"/>
          <w:left w:val="single" w:sz="4" w:space="1" w:color="548DD4" w:themeColor="text2" w:themeTint="99"/>
          <w:bottom w:val="single" w:sz="4" w:space="3" w:color="548DD4" w:themeColor="text2" w:themeTint="99"/>
          <w:right w:val="single" w:sz="4" w:space="1" w:color="548DD4" w:themeColor="text2" w:themeTint="99"/>
        </w:pBdr>
        <w:shd w:val="clear" w:color="auto" w:fill="548DD4" w:themeFill="text2" w:themeFillTint="99"/>
        <w:tabs>
          <w:tab w:val="clear" w:pos="794"/>
        </w:tabs>
        <w:spacing w:before="0"/>
        <w:ind w:left="624" w:right="57" w:hanging="567"/>
        <w:rPr>
          <w:color w:val="FFFFFF" w:themeColor="background1"/>
          <w:lang w:val="ru-RU"/>
        </w:rPr>
      </w:pPr>
      <w:r w:rsidRPr="00C81327">
        <w:rPr>
          <w:color w:val="FFFFFF" w:themeColor="background1"/>
          <w:lang w:val="ru-RU"/>
        </w:rPr>
        <w:t>9</w:t>
      </w:r>
      <w:r w:rsidRPr="00C81327">
        <w:rPr>
          <w:color w:val="FFFFFF" w:themeColor="background1"/>
          <w:lang w:val="ru-RU"/>
        </w:rPr>
        <w:tab/>
      </w:r>
      <w:r w:rsidR="00E00F7F" w:rsidRPr="00C81327">
        <w:rPr>
          <w:color w:val="FFFFFF" w:themeColor="background1"/>
          <w:lang w:val="ru-RU"/>
        </w:rPr>
        <w:t>Разработки на уровне ООН</w:t>
      </w:r>
    </w:p>
    <w:tbl>
      <w:tblPr>
        <w:tblW w:w="1454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44"/>
        <w:gridCol w:w="7658"/>
        <w:gridCol w:w="1428"/>
        <w:gridCol w:w="3918"/>
      </w:tblGrid>
      <w:tr w:rsidR="00DB2367" w:rsidRPr="00C81327" w14:paraId="182C8E0D" w14:textId="77777777" w:rsidTr="00DB2367">
        <w:trPr>
          <w:tblHeader/>
        </w:trPr>
        <w:tc>
          <w:tcPr>
            <w:tcW w:w="1544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F1F0923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Источник вклада </w:t>
            </w:r>
          </w:p>
        </w:tc>
        <w:tc>
          <w:tcPr>
            <w:tcW w:w="7658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4AE62F3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Вклады </w:t>
            </w:r>
          </w:p>
        </w:tc>
        <w:tc>
          <w:tcPr>
            <w:tcW w:w="1428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116D8F2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Док.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  <w:r w:rsidRPr="00C81327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918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48D9F7F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Указания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</w:p>
        </w:tc>
      </w:tr>
      <w:tr w:rsidR="003A166B" w:rsidRPr="00DF140D" w14:paraId="19A6829C" w14:textId="77777777" w:rsidTr="00DB2367">
        <w:tc>
          <w:tcPr>
            <w:tcW w:w="154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hideMark/>
          </w:tcPr>
          <w:p w14:paraId="53D72432" w14:textId="47093E8C" w:rsidR="003A166B" w:rsidRPr="00C81327" w:rsidRDefault="00DB2367" w:rsidP="005009C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Рек. / Выводы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hideMark/>
          </w:tcPr>
          <w:p w14:paraId="7F9484BA" w14:textId="4B01C2BB" w:rsidR="003A166B" w:rsidRPr="00C81327" w:rsidRDefault="003133CA" w:rsidP="005009C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Вариант для рассмотрения</w:t>
            </w:r>
            <w:r w:rsidRPr="00C81327">
              <w:rPr>
                <w:rFonts w:cs="Calibri"/>
                <w:sz w:val="20"/>
                <w:lang w:val="ru-RU" w:eastAsia="en-GB"/>
              </w:rPr>
              <w:t>:</w:t>
            </w:r>
            <w:r w:rsidRPr="00C81327">
              <w:rPr>
                <w:rFonts w:cs="Calibri"/>
                <w:sz w:val="20"/>
                <w:lang w:val="ru-RU" w:eastAsia="en-GB"/>
              </w:rPr>
              <w:br/>
            </w:r>
            <w:r w:rsidR="00FB4DCE"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334C28" w:rsidRPr="00C81327">
              <w:rPr>
                <w:rFonts w:cs="Calibri"/>
                <w:b/>
                <w:bCs/>
                <w:sz w:val="20"/>
                <w:lang w:val="ru-RU" w:eastAsia="en-GB"/>
              </w:rPr>
              <w:t>Работа в рамках ООН по внедрению цифровых технологий</w:t>
            </w:r>
            <w:r w:rsidR="00334C28" w:rsidRPr="00C81327">
              <w:rPr>
                <w:rFonts w:cs="Calibri"/>
                <w:sz w:val="20"/>
                <w:lang w:val="ru-RU" w:eastAsia="en-GB"/>
              </w:rPr>
              <w:t xml:space="preserve"> и </w:t>
            </w:r>
            <w:r w:rsidR="00334C28" w:rsidRPr="00C81327">
              <w:rPr>
                <w:rFonts w:cs="Calibri"/>
                <w:b/>
                <w:bCs/>
                <w:sz w:val="20"/>
                <w:lang w:val="ru-RU" w:eastAsia="en-GB"/>
              </w:rPr>
              <w:t>то, как стратегии МСЭ могут помочь в устранении недостатков и использовании возможностей</w:t>
            </w:r>
            <w:r w:rsidR="00334C28" w:rsidRPr="00C81327">
              <w:rPr>
                <w:rFonts w:cs="Calibri"/>
                <w:sz w:val="20"/>
                <w:lang w:val="ru-RU" w:eastAsia="en-GB"/>
              </w:rPr>
              <w:t>, которые они открывают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br/>
            </w:r>
            <w:r w:rsidR="00FB4DCE" w:rsidRPr="00C81327">
              <w:rPr>
                <w:rFonts w:cs="Calibri"/>
                <w:sz w:val="20"/>
                <w:lang w:val="ru-RU" w:eastAsia="en-GB"/>
              </w:rPr>
              <w:t>–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334C28" w:rsidRPr="00C81327">
              <w:rPr>
                <w:rFonts w:cs="Calibri"/>
                <w:b/>
                <w:bCs/>
                <w:sz w:val="20"/>
                <w:lang w:val="ru-RU" w:eastAsia="en-GB"/>
              </w:rPr>
              <w:t>Цифровизация становится одним из главных приоритетов в системе ООН, что создает возможные параллели с мандатами МСЭ</w:t>
            </w:r>
            <w:r w:rsidR="00334C28" w:rsidRPr="00C81327">
              <w:rPr>
                <w:rFonts w:cs="Calibri"/>
                <w:sz w:val="20"/>
                <w:lang w:val="ru-RU" w:eastAsia="en-GB"/>
              </w:rPr>
              <w:t xml:space="preserve"> в технической сфере (например, универсальная возможность установления соединений) и в то же время </w:t>
            </w:r>
            <w:r w:rsidR="00334C28" w:rsidRPr="00C81327">
              <w:rPr>
                <w:rFonts w:cs="Calibri"/>
                <w:b/>
                <w:bCs/>
                <w:sz w:val="20"/>
                <w:lang w:val="ru-RU" w:eastAsia="en-GB"/>
              </w:rPr>
              <w:t>открывает</w:t>
            </w:r>
            <w:r w:rsidR="00334C28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334C28" w:rsidRPr="00C81327">
              <w:rPr>
                <w:rFonts w:cs="Calibri"/>
                <w:b/>
                <w:bCs/>
                <w:sz w:val="20"/>
                <w:lang w:val="ru-RU" w:eastAsia="en-GB"/>
              </w:rPr>
              <w:t>возможности</w:t>
            </w:r>
            <w:r w:rsidR="00334C28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334C28" w:rsidRPr="00C81327">
              <w:rPr>
                <w:rFonts w:cs="Calibri"/>
                <w:b/>
                <w:bCs/>
                <w:sz w:val="20"/>
                <w:lang w:val="ru-RU" w:eastAsia="en-GB"/>
              </w:rPr>
              <w:t>для усиления ведущей роли МСЭ</w:t>
            </w:r>
            <w:r w:rsidR="00334C28" w:rsidRPr="00C81327">
              <w:rPr>
                <w:rFonts w:cs="Calibri"/>
                <w:sz w:val="20"/>
                <w:lang w:val="ru-RU" w:eastAsia="en-GB"/>
              </w:rPr>
              <w:t xml:space="preserve"> в сфере ИКТ в системе ООН и за ее пределами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)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334C28" w:rsidRPr="00C81327">
              <w:rPr>
                <w:rFonts w:cs="Calibri"/>
                <w:sz w:val="20"/>
                <w:lang w:val="ru-RU" w:eastAsia="en-GB"/>
              </w:rPr>
              <w:t xml:space="preserve">Продолжение </w:t>
            </w:r>
            <w:r w:rsidR="00334C28" w:rsidRPr="00C81327">
              <w:rPr>
                <w:rFonts w:cs="Calibri"/>
                <w:b/>
                <w:bCs/>
                <w:sz w:val="20"/>
                <w:lang w:val="ru-RU" w:eastAsia="en-GB"/>
              </w:rPr>
              <w:t>укрепления и создани</w:t>
            </w:r>
            <w:r w:rsidR="00E00F7F" w:rsidRPr="00C81327">
              <w:rPr>
                <w:rFonts w:cs="Calibri"/>
                <w:b/>
                <w:bCs/>
                <w:sz w:val="20"/>
                <w:lang w:val="ru-RU" w:eastAsia="en-GB"/>
              </w:rPr>
              <w:t>я</w:t>
            </w:r>
            <w:r w:rsidR="00334C28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синергии в рамках системы ООН</w:t>
            </w:r>
            <w:r w:rsidR="00334C28" w:rsidRPr="00C81327">
              <w:rPr>
                <w:rFonts w:cs="Calibri"/>
                <w:sz w:val="20"/>
                <w:lang w:val="ru-RU" w:eastAsia="en-GB"/>
              </w:rPr>
              <w:t xml:space="preserve"> посредством совместных инициатив по содействию внедрению ИКТ в качестве инструментов поддержки Повестки дня на период до 2030 года, включая усилия по борьбе с изменением климата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lastRenderedPageBreak/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334C28" w:rsidRPr="00C81327">
              <w:rPr>
                <w:rFonts w:cs="Calibri"/>
                <w:sz w:val="20"/>
                <w:lang w:val="ru-RU" w:eastAsia="en-GB"/>
              </w:rPr>
              <w:t xml:space="preserve">Необходимость </w:t>
            </w:r>
            <w:r w:rsidR="00334C28" w:rsidRPr="00C81327">
              <w:rPr>
                <w:rFonts w:cs="Calibri"/>
                <w:b/>
                <w:bCs/>
                <w:sz w:val="20"/>
                <w:lang w:val="ru-RU" w:eastAsia="en-GB"/>
              </w:rPr>
              <w:t>укрепления связей МСЭ-ООН</w:t>
            </w:r>
            <w:r w:rsidR="00334C28" w:rsidRPr="00C81327">
              <w:rPr>
                <w:rFonts w:cs="Calibri"/>
                <w:sz w:val="20"/>
                <w:lang w:val="ru-RU" w:eastAsia="en-GB"/>
              </w:rPr>
              <w:t xml:space="preserve"> (включая региональные отделения МСЭ и СГООН) для более точного отражения </w:t>
            </w:r>
            <w:r w:rsidR="00E00F7F" w:rsidRPr="00C81327">
              <w:rPr>
                <w:rFonts w:cs="Calibri"/>
                <w:sz w:val="20"/>
                <w:lang w:val="ru-RU" w:eastAsia="en-GB"/>
              </w:rPr>
              <w:t>важнейшей</w:t>
            </w:r>
            <w:r w:rsidR="00334C28" w:rsidRPr="00C81327">
              <w:rPr>
                <w:rFonts w:cs="Calibri"/>
                <w:sz w:val="20"/>
                <w:lang w:val="ru-RU" w:eastAsia="en-GB"/>
              </w:rPr>
              <w:t xml:space="preserve"> роли ИКТ</w:t>
            </w:r>
            <w:r w:rsidR="00E00F7F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00F7F" w:rsidRPr="00C81327">
              <w:rPr>
                <w:color w:val="000000"/>
                <w:sz w:val="20"/>
                <w:szCs w:val="18"/>
                <w:lang w:val="ru-RU"/>
              </w:rPr>
              <w:t>в системе развития ООН, чтобы поддержать страны в решении наиболее приоритетных задач и проблем в процессе достижения ЦУР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center"/>
            <w:hideMark/>
          </w:tcPr>
          <w:p w14:paraId="7FB4C95B" w14:textId="77777777" w:rsidR="003A166B" w:rsidRPr="00C81327" w:rsidRDefault="00DF140D" w:rsidP="005009C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u w:val="single"/>
                <w:lang w:val="ru-RU" w:eastAsia="en-GB"/>
              </w:rPr>
            </w:pPr>
            <w:hyperlink r:id="rId35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CWG-SFP-1/7</w:t>
              </w:r>
            </w:hyperlink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hideMark/>
          </w:tcPr>
          <w:p w14:paraId="0238170B" w14:textId="6F7F7EC2" w:rsidR="003133CA" w:rsidRPr="00C81327" w:rsidRDefault="007A25EA" w:rsidP="005009C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00F7F" w:rsidRPr="00C81327">
              <w:rPr>
                <w:rFonts w:cs="Calibri"/>
                <w:sz w:val="20"/>
                <w:lang w:val="ru-RU" w:eastAsia="en-GB"/>
              </w:rPr>
              <w:t>Предложить секретариату представлять обновленные сведения по ведущимся на уровне ООН обсуждениям</w:t>
            </w:r>
          </w:p>
          <w:p w14:paraId="559D9694" w14:textId="44F13AFD" w:rsidR="003A166B" w:rsidRPr="00C81327" w:rsidRDefault="007A25EA" w:rsidP="005009C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E00F7F" w:rsidRPr="00C81327">
              <w:rPr>
                <w:rFonts w:cs="Calibri"/>
                <w:sz w:val="20"/>
                <w:lang w:val="ru-RU" w:eastAsia="en-GB"/>
              </w:rPr>
              <w:t>Предложить се</w:t>
            </w:r>
            <w:r w:rsidR="00FB4DCE" w:rsidRPr="00C81327">
              <w:rPr>
                <w:rFonts w:cs="Calibri"/>
                <w:sz w:val="20"/>
                <w:lang w:val="ru-RU" w:eastAsia="en-GB"/>
              </w:rPr>
              <w:t>к</w:t>
            </w:r>
            <w:r w:rsidR="00E00F7F" w:rsidRPr="00C81327">
              <w:rPr>
                <w:rFonts w:cs="Calibri"/>
                <w:sz w:val="20"/>
                <w:lang w:val="ru-RU" w:eastAsia="en-GB"/>
              </w:rPr>
              <w:t xml:space="preserve">ретариату представлять входные материалы </w:t>
            </w:r>
            <w:r w:rsidR="00520024" w:rsidRPr="00C81327">
              <w:rPr>
                <w:rFonts w:cs="Calibri"/>
                <w:sz w:val="20"/>
                <w:lang w:val="ru-RU" w:eastAsia="en-GB"/>
              </w:rPr>
              <w:t>для оптимизации отражения роли МСЭ в системе ООН (принимая во внимание Повестку дня на период до 2030 года и вклад МСЭ в достижение ЦУР и процесс ВВУИО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)</w:t>
            </w:r>
          </w:p>
        </w:tc>
      </w:tr>
    </w:tbl>
    <w:p w14:paraId="64DB56F2" w14:textId="77777777" w:rsidR="003A166B" w:rsidRPr="00C81327" w:rsidRDefault="003A166B" w:rsidP="00143187">
      <w:pPr>
        <w:spacing w:before="0"/>
        <w:rPr>
          <w:lang w:val="ru-RU" w:eastAsia="en-GB"/>
        </w:rPr>
      </w:pPr>
    </w:p>
    <w:p w14:paraId="4DA36784" w14:textId="10CF4A64" w:rsidR="003A166B" w:rsidRPr="00C81327" w:rsidRDefault="009808C5" w:rsidP="006505EB">
      <w:pPr>
        <w:pStyle w:val="Heading2"/>
        <w:pBdr>
          <w:top w:val="single" w:sz="4" w:space="3" w:color="548DD4" w:themeColor="text2" w:themeTint="99"/>
          <w:left w:val="single" w:sz="4" w:space="1" w:color="548DD4" w:themeColor="text2" w:themeTint="99"/>
          <w:bottom w:val="single" w:sz="4" w:space="3" w:color="548DD4" w:themeColor="text2" w:themeTint="99"/>
          <w:right w:val="single" w:sz="4" w:space="1" w:color="548DD4" w:themeColor="text2" w:themeTint="99"/>
        </w:pBdr>
        <w:shd w:val="clear" w:color="auto" w:fill="548DD4" w:themeFill="text2" w:themeFillTint="99"/>
        <w:tabs>
          <w:tab w:val="clear" w:pos="794"/>
        </w:tabs>
        <w:spacing w:before="0"/>
        <w:ind w:left="624" w:right="57" w:hanging="567"/>
        <w:rPr>
          <w:color w:val="FFFFFF" w:themeColor="background1"/>
          <w:lang w:val="ru-RU"/>
        </w:rPr>
      </w:pPr>
      <w:r w:rsidRPr="00C81327">
        <w:rPr>
          <w:color w:val="FFFFFF" w:themeColor="background1"/>
          <w:lang w:val="ru-RU"/>
        </w:rPr>
        <w:t>10</w:t>
      </w:r>
      <w:r w:rsidRPr="00C81327">
        <w:rPr>
          <w:color w:val="FFFFFF" w:themeColor="background1"/>
          <w:lang w:val="ru-RU"/>
        </w:rPr>
        <w:tab/>
      </w:r>
      <w:r w:rsidR="00520024" w:rsidRPr="00C81327">
        <w:rPr>
          <w:color w:val="FFFFFF" w:themeColor="background1"/>
          <w:lang w:val="ru-RU"/>
        </w:rPr>
        <w:t>Структура результатов деятельности МСЭ</w:t>
      </w:r>
    </w:p>
    <w:tbl>
      <w:tblPr>
        <w:tblW w:w="1454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44"/>
        <w:gridCol w:w="7657"/>
        <w:gridCol w:w="1428"/>
        <w:gridCol w:w="3919"/>
      </w:tblGrid>
      <w:tr w:rsidR="00DB2367" w:rsidRPr="00C81327" w14:paraId="1BB03653" w14:textId="77777777" w:rsidTr="00AF4D39">
        <w:trPr>
          <w:tblHeader/>
        </w:trPr>
        <w:tc>
          <w:tcPr>
            <w:tcW w:w="1544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0524412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Источник вклада </w:t>
            </w:r>
          </w:p>
        </w:tc>
        <w:tc>
          <w:tcPr>
            <w:tcW w:w="7657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F0A149E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Вклады </w:t>
            </w:r>
          </w:p>
        </w:tc>
        <w:tc>
          <w:tcPr>
            <w:tcW w:w="1428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0C5E66F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Док.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  <w:r w:rsidRPr="00C81327">
              <w:rPr>
                <w:rFonts w:cs="Calibri"/>
                <w:b/>
                <w:bCs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919" w:type="dxa"/>
            <w:tcBorders>
              <w:top w:val="single" w:sz="8" w:space="0" w:color="FFFFFF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3263445" w14:textId="77777777" w:rsidR="00DB2367" w:rsidRPr="00C81327" w:rsidRDefault="00DB2367" w:rsidP="00AF4D39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cs="Calibri"/>
                <w:b/>
                <w:bCs/>
                <w:sz w:val="20"/>
                <w:lang w:val="ru-RU" w:eastAsia="en-GB"/>
              </w:rPr>
            </w:pPr>
            <w:r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Указания </w:t>
            </w:r>
            <w:r w:rsidRPr="00C81327">
              <w:rPr>
                <w:b/>
                <w:sz w:val="20"/>
                <w:szCs w:val="18"/>
                <w:lang w:val="ru-RU"/>
              </w:rPr>
              <w:t>РГС-СФП</w:t>
            </w:r>
          </w:p>
        </w:tc>
      </w:tr>
      <w:tr w:rsidR="003A166B" w:rsidRPr="00DF140D" w14:paraId="35B3A021" w14:textId="77777777" w:rsidTr="009808C5">
        <w:tc>
          <w:tcPr>
            <w:tcW w:w="154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hideMark/>
          </w:tcPr>
          <w:p w14:paraId="6E52A657" w14:textId="1D1B985F" w:rsidR="003A166B" w:rsidRPr="00C81327" w:rsidRDefault="009A5E84" w:rsidP="006505E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Вклады Государств-Членов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>:</w:t>
            </w:r>
          </w:p>
        </w:tc>
        <w:tc>
          <w:tcPr>
            <w:tcW w:w="7657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hideMark/>
          </w:tcPr>
          <w:p w14:paraId="73C45050" w14:textId="1D986983" w:rsidR="003A166B" w:rsidRPr="00DF140D" w:rsidRDefault="003133CA" w:rsidP="006505E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en-GB"/>
              </w:rPr>
            </w:pP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t>Вклад Российской Федерации</w:t>
            </w:r>
            <w:r w:rsidRPr="00C81327">
              <w:rPr>
                <w:rFonts w:cs="Calibri"/>
                <w:sz w:val="20"/>
                <w:lang w:val="ru-RU" w:eastAsia="en-GB"/>
              </w:rPr>
              <w:t>:</w:t>
            </w:r>
            <w:r w:rsidRPr="00C81327">
              <w:rPr>
                <w:rFonts w:cs="Calibri"/>
                <w:i/>
                <w:iCs/>
                <w:sz w:val="20"/>
                <w:lang w:val="ru-RU" w:eastAsia="en-GB"/>
              </w:rPr>
              <w:br/>
            </w:r>
            <w:r w:rsidR="007A25EA"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7D5805" w:rsidRPr="00C81327">
              <w:rPr>
                <w:rFonts w:cs="Calibri"/>
                <w:sz w:val="20"/>
                <w:lang w:val="ru-RU" w:eastAsia="en-GB"/>
              </w:rPr>
              <w:t xml:space="preserve">Вопросы, связанные с </w:t>
            </w:r>
            <w:r w:rsidR="007D5805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формулировками результатов деятельности </w:t>
            </w:r>
            <w:r w:rsidR="00C65992" w:rsidRPr="00C81327">
              <w:rPr>
                <w:rFonts w:cs="Calibri"/>
                <w:b/>
                <w:bCs/>
                <w:sz w:val="20"/>
                <w:lang w:val="ru-RU" w:eastAsia="en-GB"/>
              </w:rPr>
              <w:t>С</w:t>
            </w:r>
            <w:r w:rsidR="007D5805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екторов </w:t>
            </w:r>
            <w:r w:rsidR="00C65992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и </w:t>
            </w:r>
            <w:proofErr w:type="spellStart"/>
            <w:r w:rsidR="007D5805" w:rsidRPr="00C81327">
              <w:rPr>
                <w:rFonts w:cs="Calibri"/>
                <w:b/>
                <w:bCs/>
                <w:sz w:val="20"/>
                <w:lang w:val="ru-RU" w:eastAsia="en-GB"/>
              </w:rPr>
              <w:t>межсекторальной</w:t>
            </w:r>
            <w:proofErr w:type="spellEnd"/>
            <w:r w:rsidR="007D5805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деятельности</w:t>
            </w:r>
            <w:r w:rsidR="00C65992" w:rsidRPr="00C81327">
              <w:rPr>
                <w:rFonts w:cs="Calibri"/>
                <w:b/>
                <w:bCs/>
                <w:sz w:val="20"/>
                <w:lang w:val="ru-RU" w:eastAsia="en-GB"/>
              </w:rPr>
              <w:t>,</w:t>
            </w:r>
            <w:r w:rsidR="007D5805" w:rsidRPr="00C81327">
              <w:rPr>
                <w:rFonts w:cs="Calibri"/>
                <w:b/>
                <w:bCs/>
                <w:sz w:val="20"/>
                <w:lang w:val="ru-RU" w:eastAsia="en-GB"/>
              </w:rPr>
              <w:t xml:space="preserve"> остаются сложными и требуют дальнейшего рассмотрения</w:t>
            </w:r>
            <w:r w:rsidR="007D5805" w:rsidRPr="00C81327">
              <w:rPr>
                <w:rFonts w:cs="Calibri"/>
                <w:sz w:val="20"/>
                <w:lang w:val="ru-RU" w:eastAsia="en-GB"/>
              </w:rPr>
              <w:t xml:space="preserve">. Нечеткость их формулировки, </w:t>
            </w:r>
            <w:r w:rsidR="007D5805" w:rsidRPr="00C81327">
              <w:rPr>
                <w:rFonts w:cs="Calibri"/>
                <w:b/>
                <w:bCs/>
                <w:sz w:val="20"/>
                <w:lang w:val="ru-RU" w:eastAsia="en-GB"/>
              </w:rPr>
              <w:t>отсутствие четкого соответствия между результатами деятельности и показателями</w:t>
            </w:r>
            <w:r w:rsidR="007D5805" w:rsidRPr="00C81327">
              <w:rPr>
                <w:rFonts w:cs="Calibri"/>
                <w:sz w:val="20"/>
                <w:lang w:val="ru-RU" w:eastAsia="en-GB"/>
              </w:rPr>
              <w:t xml:space="preserve"> для оценки фактического выполнения </w:t>
            </w:r>
            <w:r w:rsidR="00C65992" w:rsidRPr="00C81327">
              <w:rPr>
                <w:rFonts w:cs="Calibri"/>
                <w:sz w:val="20"/>
                <w:lang w:val="ru-RU" w:eastAsia="en-GB"/>
              </w:rPr>
              <w:t>Стратегического плана</w:t>
            </w:r>
            <w:r w:rsidR="007D5805" w:rsidRPr="00C81327">
              <w:rPr>
                <w:rFonts w:cs="Calibri"/>
                <w:sz w:val="20"/>
                <w:lang w:val="ru-RU" w:eastAsia="en-GB"/>
              </w:rPr>
              <w:t xml:space="preserve">, затрудняет адекватную оценку Государствами-Членами степени выполнения </w:t>
            </w:r>
            <w:r w:rsidR="00C65992" w:rsidRPr="00C81327">
              <w:rPr>
                <w:rFonts w:cs="Calibri"/>
                <w:sz w:val="20"/>
                <w:lang w:val="ru-RU" w:eastAsia="en-GB"/>
              </w:rPr>
              <w:t>С</w:t>
            </w:r>
            <w:r w:rsidR="007D5805" w:rsidRPr="00C81327">
              <w:rPr>
                <w:rFonts w:cs="Calibri"/>
                <w:sz w:val="20"/>
                <w:lang w:val="ru-RU" w:eastAsia="en-GB"/>
              </w:rPr>
              <w:t>тратегического плана. Поэтому в соответствии с Резолюцией</w:t>
            </w:r>
            <w:r w:rsidR="00C65992" w:rsidRPr="00C81327">
              <w:rPr>
                <w:rFonts w:cs="Calibri"/>
                <w:sz w:val="20"/>
                <w:lang w:val="ru-RU" w:eastAsia="en-GB"/>
              </w:rPr>
              <w:t> </w:t>
            </w:r>
            <w:r w:rsidR="007D5805" w:rsidRPr="00C81327">
              <w:rPr>
                <w:rFonts w:cs="Calibri"/>
                <w:sz w:val="20"/>
                <w:lang w:val="ru-RU" w:eastAsia="en-GB"/>
              </w:rPr>
              <w:t>151 (Пересм. Дубай, 2018)</w:t>
            </w:r>
            <w:r w:rsidR="00C65992" w:rsidRPr="00C81327">
              <w:rPr>
                <w:rFonts w:cs="Calibri"/>
                <w:sz w:val="20"/>
                <w:lang w:val="ru-RU" w:eastAsia="en-GB"/>
              </w:rPr>
              <w:t xml:space="preserve"> Полномочной конференции</w:t>
            </w:r>
            <w:r w:rsidR="007D5805" w:rsidRPr="00C81327">
              <w:rPr>
                <w:rFonts w:cs="Calibri"/>
                <w:sz w:val="20"/>
                <w:lang w:val="ru-RU" w:eastAsia="en-GB"/>
              </w:rPr>
              <w:t xml:space="preserve"> "</w:t>
            </w:r>
            <w:r w:rsidR="007D5805" w:rsidRPr="00C81327">
              <w:rPr>
                <w:rFonts w:cs="Calibri"/>
                <w:b/>
                <w:bCs/>
                <w:sz w:val="20"/>
                <w:lang w:val="ru-RU" w:eastAsia="en-GB"/>
              </w:rPr>
              <w:t>следует продолжать разработку комплексной структуры результатов деятельности МСЭ для обеспечения выполнения Стратегического, Финансового и</w:t>
            </w:r>
            <w:r w:rsidR="007D5805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7D5805" w:rsidRPr="00C81327">
              <w:rPr>
                <w:rFonts w:cs="Calibri"/>
                <w:b/>
                <w:bCs/>
                <w:sz w:val="20"/>
                <w:lang w:val="ru-RU" w:eastAsia="en-GB"/>
              </w:rPr>
              <w:t>Оперативных планов и бюджета</w:t>
            </w:r>
            <w:r w:rsidR="007D5805" w:rsidRPr="00C81327">
              <w:rPr>
                <w:rFonts w:cs="Calibri"/>
                <w:sz w:val="20"/>
                <w:lang w:val="ru-RU" w:eastAsia="en-GB"/>
              </w:rPr>
              <w:t xml:space="preserve"> и укрепления способности </w:t>
            </w:r>
            <w:r w:rsidR="007D5805" w:rsidRPr="00C81327">
              <w:rPr>
                <w:rFonts w:cs="Calibri"/>
                <w:b/>
                <w:bCs/>
                <w:sz w:val="20"/>
                <w:lang w:val="ru-RU" w:eastAsia="en-GB"/>
              </w:rPr>
              <w:t>членов Союза оценивать прогресс в достижении</w:t>
            </w:r>
            <w:r w:rsidR="007D5805" w:rsidRPr="00C81327">
              <w:rPr>
                <w:rFonts w:cs="Calibri"/>
                <w:sz w:val="20"/>
                <w:lang w:val="ru-RU" w:eastAsia="en-GB"/>
              </w:rPr>
              <w:t xml:space="preserve"> целей МСЭ"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center"/>
            <w:hideMark/>
          </w:tcPr>
          <w:p w14:paraId="4D49FEE1" w14:textId="77777777" w:rsidR="003A166B" w:rsidRPr="00C81327" w:rsidRDefault="00DF140D" w:rsidP="006505E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20"/>
                <w:u w:val="single"/>
                <w:lang w:val="ru-RU" w:eastAsia="en-GB"/>
              </w:rPr>
            </w:pPr>
            <w:hyperlink r:id="rId36" w:history="1">
              <w:r w:rsidR="003A166B" w:rsidRPr="00C81327">
                <w:rPr>
                  <w:rFonts w:cs="Calibri"/>
                  <w:color w:val="548DD4" w:themeColor="text2" w:themeTint="99"/>
                  <w:sz w:val="20"/>
                  <w:u w:val="single"/>
                  <w:lang w:val="ru-RU" w:eastAsia="en-GB"/>
                </w:rPr>
                <w:t>CWG-SFP-1/8</w:t>
              </w:r>
            </w:hyperlink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hideMark/>
          </w:tcPr>
          <w:p w14:paraId="2AC3D448" w14:textId="5C6C103E" w:rsidR="003A166B" w:rsidRPr="00C81327" w:rsidRDefault="003133CA" w:rsidP="006505E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Times New Roman" w:hAnsi="Times New Roman"/>
                <w:sz w:val="20"/>
                <w:lang w:val="ru-RU" w:eastAsia="en-GB"/>
              </w:rPr>
            </w:pPr>
            <w:r w:rsidRPr="00C81327">
              <w:rPr>
                <w:rFonts w:cs="Calibri"/>
                <w:sz w:val="20"/>
                <w:lang w:val="ru-RU" w:eastAsia="en-GB"/>
              </w:rPr>
              <w:t>−</w:t>
            </w:r>
            <w:r w:rsidR="003A166B" w:rsidRPr="00C81327">
              <w:rPr>
                <w:rFonts w:cs="Calibri"/>
                <w:sz w:val="20"/>
                <w:lang w:val="ru-RU" w:eastAsia="en-GB"/>
              </w:rPr>
              <w:t xml:space="preserve"> </w:t>
            </w:r>
            <w:r w:rsidR="00C65992" w:rsidRPr="00C81327">
              <w:rPr>
                <w:rFonts w:cs="Calibri"/>
                <w:sz w:val="20"/>
                <w:lang w:val="ru-RU" w:eastAsia="en-GB"/>
              </w:rPr>
              <w:t>Предложить секретариату продолжить разрабатывать структуру результатов деятельности МСЭ, учитывая предложения Членов и принимая во внимание</w:t>
            </w:r>
            <w:r w:rsidR="00D73DB4" w:rsidRPr="00C81327">
              <w:rPr>
                <w:rFonts w:cs="Calibri"/>
                <w:sz w:val="20"/>
                <w:lang w:val="ru-RU" w:eastAsia="en-GB"/>
              </w:rPr>
              <w:t xml:space="preserve"> необходимость поддержки выполнения Стратегического, Финансового и Оперативного планов и бюджета и повышения способности Членов оценивать ход достижения целей МСЭ</w:t>
            </w:r>
          </w:p>
        </w:tc>
      </w:tr>
    </w:tbl>
    <w:p w14:paraId="14ABDBBE" w14:textId="31F14828" w:rsidR="003A166B" w:rsidRPr="00C81327" w:rsidRDefault="006505EB" w:rsidP="006505EB">
      <w:pPr>
        <w:spacing w:before="720"/>
        <w:jc w:val="center"/>
        <w:rPr>
          <w:lang w:val="ru-RU"/>
        </w:rPr>
      </w:pPr>
      <w:r w:rsidRPr="00C81327">
        <w:rPr>
          <w:lang w:val="ru-RU"/>
        </w:rPr>
        <w:t>______________</w:t>
      </w:r>
    </w:p>
    <w:sectPr w:rsidR="003A166B" w:rsidRPr="00C81327" w:rsidSect="003A166B">
      <w:headerReference w:type="first" r:id="rId37"/>
      <w:footerReference w:type="first" r:id="rId38"/>
      <w:pgSz w:w="16834" w:h="11907" w:orient="landscape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C8CF" w14:textId="77777777" w:rsidR="00A927C7" w:rsidRDefault="00A927C7">
      <w:r>
        <w:separator/>
      </w:r>
    </w:p>
  </w:endnote>
  <w:endnote w:type="continuationSeparator" w:id="0">
    <w:p w14:paraId="2E49053B" w14:textId="77777777" w:rsidR="00A927C7" w:rsidRDefault="00A9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0A929EF3" w:rsidR="00E0307A" w:rsidRPr="00DF140D" w:rsidRDefault="00456E58" w:rsidP="00456E58">
    <w:pPr>
      <w:pStyle w:val="Footer"/>
      <w:rPr>
        <w:color w:val="F2F2F2" w:themeColor="background1" w:themeShade="F2"/>
        <w:sz w:val="18"/>
        <w:szCs w:val="18"/>
        <w:lang w:val="fr-CH"/>
      </w:rPr>
    </w:pPr>
    <w:r w:rsidRPr="00DF140D">
      <w:rPr>
        <w:color w:val="F2F2F2" w:themeColor="background1" w:themeShade="F2"/>
      </w:rPr>
      <w:fldChar w:fldCharType="begin"/>
    </w:r>
    <w:r w:rsidRPr="00DF140D">
      <w:rPr>
        <w:color w:val="F2F2F2" w:themeColor="background1" w:themeShade="F2"/>
        <w:lang w:val="fr-CH"/>
      </w:rPr>
      <w:instrText xml:space="preserve"> FILENAME \p  \* MERGEFORMAT </w:instrText>
    </w:r>
    <w:r w:rsidRPr="00DF140D">
      <w:rPr>
        <w:color w:val="F2F2F2" w:themeColor="background1" w:themeShade="F2"/>
      </w:rPr>
      <w:fldChar w:fldCharType="separate"/>
    </w:r>
    <w:r w:rsidRPr="00DF140D">
      <w:rPr>
        <w:color w:val="F2F2F2" w:themeColor="background1" w:themeShade="F2"/>
        <w:lang w:val="fr-CH"/>
      </w:rPr>
      <w:t>P:\RUS\SG\CONSEIL\CWG-SFP\CWG-SFP1\000\012R.docx</w:t>
    </w:r>
    <w:r w:rsidRPr="00DF140D">
      <w:rPr>
        <w:color w:val="F2F2F2" w:themeColor="background1" w:themeShade="F2"/>
        <w:lang w:val="en-US"/>
      </w:rPr>
      <w:fldChar w:fldCharType="end"/>
    </w:r>
    <w:r w:rsidRPr="00DF140D">
      <w:rPr>
        <w:color w:val="F2F2F2" w:themeColor="background1" w:themeShade="F2"/>
        <w:lang w:val="fr-CH"/>
      </w:rPr>
      <w:t xml:space="preserve"> (495332)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77777777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7615" w14:textId="0E9AEE41" w:rsidR="003A166B" w:rsidRPr="00DF140D" w:rsidRDefault="003A166B" w:rsidP="003A166B">
    <w:pPr>
      <w:pStyle w:val="Footer"/>
      <w:rPr>
        <w:color w:val="F2F2F2" w:themeColor="background1" w:themeShade="F2"/>
        <w:sz w:val="18"/>
        <w:szCs w:val="18"/>
        <w:lang w:val="fr-CH"/>
      </w:rPr>
    </w:pPr>
    <w:r w:rsidRPr="00DF140D">
      <w:rPr>
        <w:color w:val="F2F2F2" w:themeColor="background1" w:themeShade="F2"/>
      </w:rPr>
      <w:fldChar w:fldCharType="begin"/>
    </w:r>
    <w:r w:rsidRPr="00DF140D">
      <w:rPr>
        <w:color w:val="F2F2F2" w:themeColor="background1" w:themeShade="F2"/>
        <w:lang w:val="fr-CH"/>
      </w:rPr>
      <w:instrText xml:space="preserve"> FILENAME \p  \* MERGEFORMAT </w:instrText>
    </w:r>
    <w:r w:rsidRPr="00DF140D">
      <w:rPr>
        <w:color w:val="F2F2F2" w:themeColor="background1" w:themeShade="F2"/>
      </w:rPr>
      <w:fldChar w:fldCharType="separate"/>
    </w:r>
    <w:r w:rsidR="009808C5" w:rsidRPr="00DF140D">
      <w:rPr>
        <w:color w:val="F2F2F2" w:themeColor="background1" w:themeShade="F2"/>
        <w:lang w:val="fr-CH"/>
      </w:rPr>
      <w:t>P:\RUS\SG\CONSEIL\CWG-SFP\CWG-SFP1\000\012R.docx</w:t>
    </w:r>
    <w:r w:rsidRPr="00DF140D">
      <w:rPr>
        <w:color w:val="F2F2F2" w:themeColor="background1" w:themeShade="F2"/>
        <w:lang w:val="en-US"/>
      </w:rPr>
      <w:fldChar w:fldCharType="end"/>
    </w:r>
    <w:r w:rsidRPr="00DF140D">
      <w:rPr>
        <w:color w:val="F2F2F2" w:themeColor="background1" w:themeShade="F2"/>
        <w:lang w:val="fr-CH"/>
      </w:rPr>
      <w:t xml:space="preserve"> (495332)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DADF" w14:textId="77777777" w:rsidR="00A927C7" w:rsidRDefault="00A927C7">
      <w:r>
        <w:t>____________________</w:t>
      </w:r>
    </w:p>
  </w:footnote>
  <w:footnote w:type="continuationSeparator" w:id="0">
    <w:p w14:paraId="6CC83CC0" w14:textId="77777777" w:rsidR="00A927C7" w:rsidRDefault="00A9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10196F8D" w:rsidR="00E0307A" w:rsidRPr="00456E58" w:rsidRDefault="00456E58" w:rsidP="00456E58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  <w:r>
      <w:rPr>
        <w:noProof/>
      </w:rPr>
      <w:br/>
    </w:r>
    <w:r w:rsidRPr="007D4E22">
      <w:t>CWG-SFP-1</w:t>
    </w:r>
    <w:r>
      <w:rPr>
        <w:lang w:val="ru-RU"/>
      </w:rPr>
      <w:t>/</w:t>
    </w:r>
    <w:r>
      <w:t>12</w:t>
    </w:r>
    <w:r w:rsidRPr="007D4E22">
      <w:t>-</w:t>
    </w:r>
    <w:r>
      <w:rPr>
        <w:lang w:val="fr-CH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1746" w14:textId="4D76D832" w:rsidR="003A166B" w:rsidRPr="003A166B" w:rsidRDefault="003A166B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  <w:r>
      <w:rPr>
        <w:noProof/>
      </w:rPr>
      <w:br/>
    </w:r>
    <w:r w:rsidRPr="007D4E22">
      <w:t>CWG-SFP-1</w:t>
    </w:r>
    <w:r>
      <w:rPr>
        <w:lang w:val="ru-RU"/>
      </w:rPr>
      <w:t>/</w:t>
    </w:r>
    <w:r>
      <w:t>12</w:t>
    </w:r>
    <w:r w:rsidRPr="007D4E22">
      <w:t>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36B36"/>
    <w:rsid w:val="000474B3"/>
    <w:rsid w:val="000569B4"/>
    <w:rsid w:val="00056FE9"/>
    <w:rsid w:val="00070FFB"/>
    <w:rsid w:val="00080E82"/>
    <w:rsid w:val="00080EA0"/>
    <w:rsid w:val="000917D4"/>
    <w:rsid w:val="00091F4A"/>
    <w:rsid w:val="000A3178"/>
    <w:rsid w:val="000B0875"/>
    <w:rsid w:val="000B4F95"/>
    <w:rsid w:val="000B5A54"/>
    <w:rsid w:val="000C6451"/>
    <w:rsid w:val="000C7CF6"/>
    <w:rsid w:val="000C7F2A"/>
    <w:rsid w:val="000E0C53"/>
    <w:rsid w:val="000E568E"/>
    <w:rsid w:val="00106D24"/>
    <w:rsid w:val="00115791"/>
    <w:rsid w:val="00122C2E"/>
    <w:rsid w:val="001267FE"/>
    <w:rsid w:val="00143187"/>
    <w:rsid w:val="0014436C"/>
    <w:rsid w:val="0014734F"/>
    <w:rsid w:val="00147C64"/>
    <w:rsid w:val="00154AAD"/>
    <w:rsid w:val="0015710D"/>
    <w:rsid w:val="00163A32"/>
    <w:rsid w:val="00192B41"/>
    <w:rsid w:val="001A408D"/>
    <w:rsid w:val="001B1B6E"/>
    <w:rsid w:val="001B39EC"/>
    <w:rsid w:val="001B7B09"/>
    <w:rsid w:val="001D255C"/>
    <w:rsid w:val="001E13A0"/>
    <w:rsid w:val="001E6719"/>
    <w:rsid w:val="0020681C"/>
    <w:rsid w:val="00206DB6"/>
    <w:rsid w:val="002072EA"/>
    <w:rsid w:val="0020763E"/>
    <w:rsid w:val="00211AAD"/>
    <w:rsid w:val="002171F7"/>
    <w:rsid w:val="0022481E"/>
    <w:rsid w:val="00225368"/>
    <w:rsid w:val="0022783A"/>
    <w:rsid w:val="00227FF0"/>
    <w:rsid w:val="002426ED"/>
    <w:rsid w:val="00243942"/>
    <w:rsid w:val="00250815"/>
    <w:rsid w:val="00254AC9"/>
    <w:rsid w:val="00261283"/>
    <w:rsid w:val="00267C05"/>
    <w:rsid w:val="00271B93"/>
    <w:rsid w:val="002812A1"/>
    <w:rsid w:val="002829ED"/>
    <w:rsid w:val="002873E6"/>
    <w:rsid w:val="00287DB8"/>
    <w:rsid w:val="00291EB6"/>
    <w:rsid w:val="0029467A"/>
    <w:rsid w:val="002B21CD"/>
    <w:rsid w:val="002D2F57"/>
    <w:rsid w:val="002D48C5"/>
    <w:rsid w:val="002E0AA8"/>
    <w:rsid w:val="002E135C"/>
    <w:rsid w:val="002E397A"/>
    <w:rsid w:val="002E55DE"/>
    <w:rsid w:val="002F1B8A"/>
    <w:rsid w:val="002F27A0"/>
    <w:rsid w:val="00300CDF"/>
    <w:rsid w:val="00303B74"/>
    <w:rsid w:val="003133CA"/>
    <w:rsid w:val="003169EE"/>
    <w:rsid w:val="00320560"/>
    <w:rsid w:val="00325EFE"/>
    <w:rsid w:val="00334C28"/>
    <w:rsid w:val="0034013D"/>
    <w:rsid w:val="00340157"/>
    <w:rsid w:val="00347CE6"/>
    <w:rsid w:val="00354D64"/>
    <w:rsid w:val="003624D9"/>
    <w:rsid w:val="00375FC2"/>
    <w:rsid w:val="003A166B"/>
    <w:rsid w:val="003A72C0"/>
    <w:rsid w:val="003B6E1C"/>
    <w:rsid w:val="003C13BD"/>
    <w:rsid w:val="003C4BC2"/>
    <w:rsid w:val="003D66DA"/>
    <w:rsid w:val="003D7317"/>
    <w:rsid w:val="003E78A6"/>
    <w:rsid w:val="003F099E"/>
    <w:rsid w:val="003F235E"/>
    <w:rsid w:val="004023E0"/>
    <w:rsid w:val="00403DD8"/>
    <w:rsid w:val="00405AF4"/>
    <w:rsid w:val="00411CC5"/>
    <w:rsid w:val="00415632"/>
    <w:rsid w:val="004179A3"/>
    <w:rsid w:val="00417C35"/>
    <w:rsid w:val="0045686C"/>
    <w:rsid w:val="00456E58"/>
    <w:rsid w:val="00466522"/>
    <w:rsid w:val="00472F91"/>
    <w:rsid w:val="00473C1E"/>
    <w:rsid w:val="004740B2"/>
    <w:rsid w:val="00485D5A"/>
    <w:rsid w:val="004877E9"/>
    <w:rsid w:val="004918C4"/>
    <w:rsid w:val="004A45B5"/>
    <w:rsid w:val="004D0129"/>
    <w:rsid w:val="004F04CA"/>
    <w:rsid w:val="004F4060"/>
    <w:rsid w:val="005009C3"/>
    <w:rsid w:val="0050159A"/>
    <w:rsid w:val="0050785A"/>
    <w:rsid w:val="0051092F"/>
    <w:rsid w:val="00520024"/>
    <w:rsid w:val="00532B85"/>
    <w:rsid w:val="00534CFB"/>
    <w:rsid w:val="00550E88"/>
    <w:rsid w:val="00552268"/>
    <w:rsid w:val="00563C52"/>
    <w:rsid w:val="005654A0"/>
    <w:rsid w:val="00597216"/>
    <w:rsid w:val="005A1C1D"/>
    <w:rsid w:val="005A235F"/>
    <w:rsid w:val="005A64D5"/>
    <w:rsid w:val="005D1A61"/>
    <w:rsid w:val="005D708E"/>
    <w:rsid w:val="005E5EDF"/>
    <w:rsid w:val="005F6970"/>
    <w:rsid w:val="00601994"/>
    <w:rsid w:val="006077E5"/>
    <w:rsid w:val="0061262A"/>
    <w:rsid w:val="00617F2C"/>
    <w:rsid w:val="006264E3"/>
    <w:rsid w:val="00626678"/>
    <w:rsid w:val="006273C4"/>
    <w:rsid w:val="00636671"/>
    <w:rsid w:val="006369BD"/>
    <w:rsid w:val="00636E91"/>
    <w:rsid w:val="006505EB"/>
    <w:rsid w:val="0068458A"/>
    <w:rsid w:val="006A0DC4"/>
    <w:rsid w:val="006A12DC"/>
    <w:rsid w:val="006A48A6"/>
    <w:rsid w:val="006B5206"/>
    <w:rsid w:val="006C160C"/>
    <w:rsid w:val="006E082D"/>
    <w:rsid w:val="006E2D42"/>
    <w:rsid w:val="006E6B4E"/>
    <w:rsid w:val="006E7127"/>
    <w:rsid w:val="006F13E8"/>
    <w:rsid w:val="006F779D"/>
    <w:rsid w:val="007034A2"/>
    <w:rsid w:val="00703676"/>
    <w:rsid w:val="00707304"/>
    <w:rsid w:val="00714617"/>
    <w:rsid w:val="00715EEB"/>
    <w:rsid w:val="00725FDE"/>
    <w:rsid w:val="00732269"/>
    <w:rsid w:val="00755F18"/>
    <w:rsid w:val="00760588"/>
    <w:rsid w:val="00762756"/>
    <w:rsid w:val="0076356D"/>
    <w:rsid w:val="00767211"/>
    <w:rsid w:val="007735B7"/>
    <w:rsid w:val="007743BF"/>
    <w:rsid w:val="00775A59"/>
    <w:rsid w:val="00776DDE"/>
    <w:rsid w:val="00785ABD"/>
    <w:rsid w:val="00792EF4"/>
    <w:rsid w:val="007A25EA"/>
    <w:rsid w:val="007A2DD4"/>
    <w:rsid w:val="007A30C1"/>
    <w:rsid w:val="007A3ABD"/>
    <w:rsid w:val="007B0DB2"/>
    <w:rsid w:val="007B5EF1"/>
    <w:rsid w:val="007D38B5"/>
    <w:rsid w:val="007D4E22"/>
    <w:rsid w:val="007D5805"/>
    <w:rsid w:val="007E7EA0"/>
    <w:rsid w:val="007F36E8"/>
    <w:rsid w:val="007F5014"/>
    <w:rsid w:val="007F68EE"/>
    <w:rsid w:val="00800C0D"/>
    <w:rsid w:val="00807255"/>
    <w:rsid w:val="0081023E"/>
    <w:rsid w:val="00815943"/>
    <w:rsid w:val="008173AA"/>
    <w:rsid w:val="00821479"/>
    <w:rsid w:val="00821783"/>
    <w:rsid w:val="00830305"/>
    <w:rsid w:val="00832837"/>
    <w:rsid w:val="008400BE"/>
    <w:rsid w:val="00840173"/>
    <w:rsid w:val="00840A14"/>
    <w:rsid w:val="00845B22"/>
    <w:rsid w:val="0084676C"/>
    <w:rsid w:val="00847C2C"/>
    <w:rsid w:val="00857A89"/>
    <w:rsid w:val="008817D3"/>
    <w:rsid w:val="008956FA"/>
    <w:rsid w:val="008A6EEF"/>
    <w:rsid w:val="008C6D60"/>
    <w:rsid w:val="008D2D7B"/>
    <w:rsid w:val="008E0737"/>
    <w:rsid w:val="008E37EE"/>
    <w:rsid w:val="008F2220"/>
    <w:rsid w:val="008F7C2C"/>
    <w:rsid w:val="00907253"/>
    <w:rsid w:val="0090751B"/>
    <w:rsid w:val="00924053"/>
    <w:rsid w:val="00940E96"/>
    <w:rsid w:val="00947DA6"/>
    <w:rsid w:val="00971C23"/>
    <w:rsid w:val="0097342A"/>
    <w:rsid w:val="00974665"/>
    <w:rsid w:val="00975BDC"/>
    <w:rsid w:val="009808C5"/>
    <w:rsid w:val="00987230"/>
    <w:rsid w:val="00995826"/>
    <w:rsid w:val="009A22F7"/>
    <w:rsid w:val="009A2ABF"/>
    <w:rsid w:val="009A5E84"/>
    <w:rsid w:val="009B0766"/>
    <w:rsid w:val="009B0BAE"/>
    <w:rsid w:val="009C1C89"/>
    <w:rsid w:val="009D7381"/>
    <w:rsid w:val="009D7A25"/>
    <w:rsid w:val="009D7E9E"/>
    <w:rsid w:val="009E2CE3"/>
    <w:rsid w:val="009F6B34"/>
    <w:rsid w:val="00A14B33"/>
    <w:rsid w:val="00A151BF"/>
    <w:rsid w:val="00A25DDC"/>
    <w:rsid w:val="00A536CA"/>
    <w:rsid w:val="00A71773"/>
    <w:rsid w:val="00A80799"/>
    <w:rsid w:val="00A927C7"/>
    <w:rsid w:val="00A94C82"/>
    <w:rsid w:val="00AA44CE"/>
    <w:rsid w:val="00AB531E"/>
    <w:rsid w:val="00AB5545"/>
    <w:rsid w:val="00AC06CE"/>
    <w:rsid w:val="00AC556F"/>
    <w:rsid w:val="00AD785B"/>
    <w:rsid w:val="00AE2C85"/>
    <w:rsid w:val="00AF1945"/>
    <w:rsid w:val="00AF56EE"/>
    <w:rsid w:val="00B12A37"/>
    <w:rsid w:val="00B13C39"/>
    <w:rsid w:val="00B167C3"/>
    <w:rsid w:val="00B2206E"/>
    <w:rsid w:val="00B23CB8"/>
    <w:rsid w:val="00B273F8"/>
    <w:rsid w:val="00B43838"/>
    <w:rsid w:val="00B446BA"/>
    <w:rsid w:val="00B558E6"/>
    <w:rsid w:val="00B63EF2"/>
    <w:rsid w:val="00B70C7D"/>
    <w:rsid w:val="00B7579C"/>
    <w:rsid w:val="00B862CD"/>
    <w:rsid w:val="00B902C9"/>
    <w:rsid w:val="00B936E2"/>
    <w:rsid w:val="00B973D4"/>
    <w:rsid w:val="00BB5263"/>
    <w:rsid w:val="00BC0D39"/>
    <w:rsid w:val="00BC4690"/>
    <w:rsid w:val="00BC7BC0"/>
    <w:rsid w:val="00BD57B7"/>
    <w:rsid w:val="00BE63E2"/>
    <w:rsid w:val="00BE658A"/>
    <w:rsid w:val="00BF0C61"/>
    <w:rsid w:val="00BF5253"/>
    <w:rsid w:val="00C01E2B"/>
    <w:rsid w:val="00C070C1"/>
    <w:rsid w:val="00C158B1"/>
    <w:rsid w:val="00C229F9"/>
    <w:rsid w:val="00C35658"/>
    <w:rsid w:val="00C404C3"/>
    <w:rsid w:val="00C43173"/>
    <w:rsid w:val="00C45E60"/>
    <w:rsid w:val="00C46787"/>
    <w:rsid w:val="00C505A5"/>
    <w:rsid w:val="00C529D0"/>
    <w:rsid w:val="00C61CEC"/>
    <w:rsid w:val="00C65992"/>
    <w:rsid w:val="00C740A1"/>
    <w:rsid w:val="00C81327"/>
    <w:rsid w:val="00C95D61"/>
    <w:rsid w:val="00C96AB1"/>
    <w:rsid w:val="00CB156F"/>
    <w:rsid w:val="00CC4ACB"/>
    <w:rsid w:val="00CD2009"/>
    <w:rsid w:val="00CF629C"/>
    <w:rsid w:val="00D05DD1"/>
    <w:rsid w:val="00D10A28"/>
    <w:rsid w:val="00D1411E"/>
    <w:rsid w:val="00D16813"/>
    <w:rsid w:val="00D17F88"/>
    <w:rsid w:val="00D21522"/>
    <w:rsid w:val="00D356D0"/>
    <w:rsid w:val="00D36D92"/>
    <w:rsid w:val="00D402F7"/>
    <w:rsid w:val="00D405CE"/>
    <w:rsid w:val="00D4468E"/>
    <w:rsid w:val="00D460D2"/>
    <w:rsid w:val="00D712F0"/>
    <w:rsid w:val="00D73DB4"/>
    <w:rsid w:val="00D767C7"/>
    <w:rsid w:val="00D77DF3"/>
    <w:rsid w:val="00D87D2A"/>
    <w:rsid w:val="00D92EEA"/>
    <w:rsid w:val="00DA3752"/>
    <w:rsid w:val="00DA5D4E"/>
    <w:rsid w:val="00DB2367"/>
    <w:rsid w:val="00DB2408"/>
    <w:rsid w:val="00DB5E8D"/>
    <w:rsid w:val="00DC359C"/>
    <w:rsid w:val="00DC4917"/>
    <w:rsid w:val="00DE14AF"/>
    <w:rsid w:val="00DF140D"/>
    <w:rsid w:val="00DF2730"/>
    <w:rsid w:val="00E00F7F"/>
    <w:rsid w:val="00E0307A"/>
    <w:rsid w:val="00E0675B"/>
    <w:rsid w:val="00E165D1"/>
    <w:rsid w:val="00E175EC"/>
    <w:rsid w:val="00E176BA"/>
    <w:rsid w:val="00E31666"/>
    <w:rsid w:val="00E423EC"/>
    <w:rsid w:val="00E424D8"/>
    <w:rsid w:val="00E734D2"/>
    <w:rsid w:val="00E84811"/>
    <w:rsid w:val="00E87641"/>
    <w:rsid w:val="00E908DF"/>
    <w:rsid w:val="00E969A5"/>
    <w:rsid w:val="00EA5676"/>
    <w:rsid w:val="00EA72A3"/>
    <w:rsid w:val="00EB461B"/>
    <w:rsid w:val="00EC6BC5"/>
    <w:rsid w:val="00EF69D4"/>
    <w:rsid w:val="00F029A1"/>
    <w:rsid w:val="00F111FD"/>
    <w:rsid w:val="00F14D90"/>
    <w:rsid w:val="00F20BE1"/>
    <w:rsid w:val="00F25F38"/>
    <w:rsid w:val="00F2793E"/>
    <w:rsid w:val="00F32EA6"/>
    <w:rsid w:val="00F35898"/>
    <w:rsid w:val="00F36526"/>
    <w:rsid w:val="00F434D5"/>
    <w:rsid w:val="00F5225B"/>
    <w:rsid w:val="00F5742C"/>
    <w:rsid w:val="00F65A8A"/>
    <w:rsid w:val="00F72CBB"/>
    <w:rsid w:val="00F94E97"/>
    <w:rsid w:val="00F958FD"/>
    <w:rsid w:val="00FA0212"/>
    <w:rsid w:val="00FA1188"/>
    <w:rsid w:val="00FB1157"/>
    <w:rsid w:val="00FB4DCE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character" w:customStyle="1" w:styleId="HeaderChar">
    <w:name w:val="Header Char"/>
    <w:basedOn w:val="DefaultParagraphFont"/>
    <w:link w:val="Header"/>
    <w:rsid w:val="003A166B"/>
    <w:rPr>
      <w:rFonts w:ascii="Calibri" w:hAnsi="Calibri"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1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56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57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1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52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82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22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20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97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48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1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08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954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06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39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215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7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1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6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1-CWGSFP1-C-0005/en" TargetMode="External"/><Relationship Id="rId18" Type="http://schemas.openxmlformats.org/officeDocument/2006/relationships/hyperlink" Target="https://www.itu.int/md/S21-CWGSFP1-C-0005/en" TargetMode="External"/><Relationship Id="rId26" Type="http://schemas.openxmlformats.org/officeDocument/2006/relationships/hyperlink" Target="https://www.itu.int/md/S21-CWGSFP1-C-0004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S21-CWGSFP1-C-0011/en" TargetMode="External"/><Relationship Id="rId34" Type="http://schemas.openxmlformats.org/officeDocument/2006/relationships/hyperlink" Target="https://www.itu.int/md/S21-CWGSFP1-C-0005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WGSFP1-C-0011/en" TargetMode="External"/><Relationship Id="rId17" Type="http://schemas.openxmlformats.org/officeDocument/2006/relationships/hyperlink" Target="https://www.itu.int/md/S21-CWGSFP1-C-0011/en" TargetMode="External"/><Relationship Id="rId25" Type="http://schemas.openxmlformats.org/officeDocument/2006/relationships/hyperlink" Target="https://www.itu.int/md/S21-CWGSFP1-C-0011/en" TargetMode="External"/><Relationship Id="rId33" Type="http://schemas.openxmlformats.org/officeDocument/2006/relationships/hyperlink" Target="https://www.itu.int/md/S21-CWGSFP1-C-0011/en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WGSFP1-C-0005/en" TargetMode="External"/><Relationship Id="rId20" Type="http://schemas.openxmlformats.org/officeDocument/2006/relationships/hyperlink" Target="https://www.itu.int/md/S21-CWGSFP1-C-0008/en" TargetMode="External"/><Relationship Id="rId29" Type="http://schemas.openxmlformats.org/officeDocument/2006/relationships/hyperlink" Target="https://www.itu.int/md/S21-CWGSFP1-C-000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itu.int/md/S21-CWGSFP1-C-0010/en" TargetMode="External"/><Relationship Id="rId32" Type="http://schemas.openxmlformats.org/officeDocument/2006/relationships/hyperlink" Target="https://www.itu.int/md/S21-CWGSFP1-C-0007/en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WGSFP1-C-0011/en" TargetMode="External"/><Relationship Id="rId23" Type="http://schemas.openxmlformats.org/officeDocument/2006/relationships/hyperlink" Target="https://www.itu.int/md/S21-CWGSFP1-C-0009/en" TargetMode="External"/><Relationship Id="rId28" Type="http://schemas.openxmlformats.org/officeDocument/2006/relationships/hyperlink" Target="https://www.itu.int/md/S21-CWGSFP1-C-0004/en" TargetMode="External"/><Relationship Id="rId36" Type="http://schemas.openxmlformats.org/officeDocument/2006/relationships/hyperlink" Target="https://www.itu.int/md/S21-CWGSFP1-C-0008/en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itu.int/md/S21-CWGSFP1-C-0007/en" TargetMode="External"/><Relationship Id="rId31" Type="http://schemas.openxmlformats.org/officeDocument/2006/relationships/hyperlink" Target="https://www.itu.int/md/S21-CWGSFP1-C-0005/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tu.int/md/S21-CWGSFP1-C-0008/en" TargetMode="External"/><Relationship Id="rId22" Type="http://schemas.openxmlformats.org/officeDocument/2006/relationships/hyperlink" Target="https://www.itu.int/md/S21-CWGSFP1-C-0008/en" TargetMode="External"/><Relationship Id="rId27" Type="http://schemas.openxmlformats.org/officeDocument/2006/relationships/hyperlink" Target="https://www.itu.int/md/S21-CWGSFP1-C-0008/en" TargetMode="External"/><Relationship Id="rId30" Type="http://schemas.openxmlformats.org/officeDocument/2006/relationships/hyperlink" Target="https://www.itu.int/md/S21-CWGSFP1-C-0011/en" TargetMode="External"/><Relationship Id="rId35" Type="http://schemas.openxmlformats.org/officeDocument/2006/relationships/hyperlink" Target="https://www.itu.int/md/S21-CWGSFP1-C-0007/en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DD3D-0453-4B75-AFE8-D7307ED0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5</TotalTime>
  <Pages>11</Pages>
  <Words>2653</Words>
  <Characters>20127</Characters>
  <Application>Microsoft Office Word</Application>
  <DocSecurity>4</DocSecurity>
  <Lines>591</Lines>
  <Paragraphs>367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22413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CWG-SFP Chair</dc:title>
  <dc:subject>Counciil Working Group for Strategic and Financial Plans 2024-2027</dc:subject>
  <dc:creator>Maloletkova, Svetlana</dc:creator>
  <cp:keywords>CWG-SFP, CWG, CWGs &amp; EGs</cp:keywords>
  <dc:description/>
  <cp:lastModifiedBy>Xue, Kun</cp:lastModifiedBy>
  <cp:revision>2</cp:revision>
  <cp:lastPrinted>2018-04-13T12:59:00Z</cp:lastPrinted>
  <dcterms:created xsi:type="dcterms:W3CDTF">2021-10-18T08:45:00Z</dcterms:created>
  <dcterms:modified xsi:type="dcterms:W3CDTF">2021-10-18T08:45:00Z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