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E0750" w14:paraId="76E5C989" w14:textId="77777777" w:rsidTr="00301527">
        <w:trPr>
          <w:cantSplit/>
        </w:trPr>
        <w:tc>
          <w:tcPr>
            <w:tcW w:w="6911" w:type="dxa"/>
          </w:tcPr>
          <w:p w14:paraId="1FAAE7D4" w14:textId="0A9F4E3E" w:rsidR="002A2188" w:rsidRPr="00DE0750" w:rsidRDefault="00F919B4" w:rsidP="00B84B9D">
            <w:pPr>
              <w:spacing w:before="360" w:after="48" w:line="240" w:lineRule="atLeast"/>
              <w:rPr>
                <w:position w:val="6"/>
              </w:rPr>
            </w:pPr>
            <w:r w:rsidRPr="00DE0750">
              <w:rPr>
                <w:rFonts w:cs="Times"/>
                <w:b/>
                <w:sz w:val="30"/>
                <w:szCs w:val="30"/>
              </w:rPr>
              <w:t>Council Working Group for</w:t>
            </w:r>
            <w:r w:rsidRPr="00DE0750">
              <w:rPr>
                <w:rFonts w:cs="Times"/>
                <w:b/>
                <w:sz w:val="30"/>
                <w:szCs w:val="30"/>
              </w:rPr>
              <w:br/>
              <w:t>Strategic and Financial Plans 2024-2027</w:t>
            </w:r>
            <w:r w:rsidRPr="00DE0750">
              <w:rPr>
                <w:rFonts w:cs="Times"/>
                <w:b/>
                <w:sz w:val="30"/>
                <w:szCs w:val="30"/>
              </w:rPr>
              <w:br/>
            </w:r>
            <w:r w:rsidRPr="00DE0750">
              <w:rPr>
                <w:rFonts w:cs="Times New Roman Bold"/>
                <w:b/>
              </w:rPr>
              <w:t xml:space="preserve">First meeting </w:t>
            </w:r>
            <w:r w:rsidRPr="00DE0750">
              <w:rPr>
                <w:rFonts w:eastAsia="Calibri" w:cs="Calibri"/>
                <w:b/>
                <w:color w:val="000000"/>
              </w:rPr>
              <w:t>–</w:t>
            </w:r>
            <w:r w:rsidRPr="00DE0750">
              <w:rPr>
                <w:rFonts w:cs="Times New Roman Bold"/>
                <w:b/>
              </w:rPr>
              <w:t xml:space="preserve"> Virtual, 29-30 September 2021</w:t>
            </w:r>
          </w:p>
        </w:tc>
        <w:tc>
          <w:tcPr>
            <w:tcW w:w="3120" w:type="dxa"/>
          </w:tcPr>
          <w:p w14:paraId="7A8C6403" w14:textId="77777777" w:rsidR="002A2188" w:rsidRPr="00DE0750" w:rsidRDefault="004A1B8B" w:rsidP="004A1B8B">
            <w:pPr>
              <w:spacing w:before="0" w:line="240" w:lineRule="atLeast"/>
            </w:pPr>
            <w:bookmarkStart w:id="0" w:name="ditulogo"/>
            <w:bookmarkEnd w:id="0"/>
            <w:r w:rsidRPr="00DE0750">
              <w:rPr>
                <w:noProof/>
                <w:lang w:val="fr-FR" w:eastAsia="fr-FR"/>
              </w:rPr>
              <w:drawing>
                <wp:inline distT="0" distB="0" distL="0" distR="0" wp14:anchorId="48C3FFF1" wp14:editId="223E93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DE0750" w14:paraId="446867E9" w14:textId="77777777" w:rsidTr="00301527">
        <w:trPr>
          <w:cantSplit/>
        </w:trPr>
        <w:tc>
          <w:tcPr>
            <w:tcW w:w="6911" w:type="dxa"/>
            <w:tcBorders>
              <w:bottom w:val="single" w:sz="12" w:space="0" w:color="auto"/>
            </w:tcBorders>
          </w:tcPr>
          <w:p w14:paraId="6871961C" w14:textId="77777777" w:rsidR="002A2188" w:rsidRPr="00DE0750" w:rsidRDefault="002A2188" w:rsidP="00301527">
            <w:pPr>
              <w:spacing w:before="0" w:after="48" w:line="240" w:lineRule="atLeast"/>
              <w:rPr>
                <w:b/>
                <w:smallCaps/>
                <w:szCs w:val="24"/>
              </w:rPr>
            </w:pPr>
          </w:p>
        </w:tc>
        <w:tc>
          <w:tcPr>
            <w:tcW w:w="3120" w:type="dxa"/>
            <w:tcBorders>
              <w:bottom w:val="single" w:sz="12" w:space="0" w:color="auto"/>
            </w:tcBorders>
          </w:tcPr>
          <w:p w14:paraId="6898AE6D" w14:textId="77777777" w:rsidR="002A2188" w:rsidRPr="00DE0750" w:rsidRDefault="002A2188" w:rsidP="00301527">
            <w:pPr>
              <w:spacing w:before="0" w:line="240" w:lineRule="atLeast"/>
              <w:rPr>
                <w:szCs w:val="24"/>
              </w:rPr>
            </w:pPr>
          </w:p>
        </w:tc>
      </w:tr>
      <w:tr w:rsidR="002A2188" w:rsidRPr="00DE0750" w14:paraId="039D0DA2" w14:textId="77777777" w:rsidTr="00301527">
        <w:trPr>
          <w:cantSplit/>
        </w:trPr>
        <w:tc>
          <w:tcPr>
            <w:tcW w:w="6911" w:type="dxa"/>
            <w:tcBorders>
              <w:top w:val="single" w:sz="12" w:space="0" w:color="auto"/>
            </w:tcBorders>
          </w:tcPr>
          <w:p w14:paraId="74672717" w14:textId="77777777" w:rsidR="002A2188" w:rsidRPr="00DE0750" w:rsidRDefault="002A2188" w:rsidP="00301527">
            <w:pPr>
              <w:spacing w:before="0" w:after="48" w:line="240" w:lineRule="atLeast"/>
              <w:rPr>
                <w:b/>
                <w:smallCaps/>
                <w:szCs w:val="24"/>
              </w:rPr>
            </w:pPr>
          </w:p>
        </w:tc>
        <w:tc>
          <w:tcPr>
            <w:tcW w:w="3120" w:type="dxa"/>
            <w:tcBorders>
              <w:top w:val="single" w:sz="12" w:space="0" w:color="auto"/>
            </w:tcBorders>
          </w:tcPr>
          <w:p w14:paraId="34538834" w14:textId="77777777" w:rsidR="002A2188" w:rsidRPr="00DE0750" w:rsidRDefault="002A2188" w:rsidP="00301527">
            <w:pPr>
              <w:spacing w:before="0" w:line="240" w:lineRule="atLeast"/>
              <w:rPr>
                <w:szCs w:val="24"/>
              </w:rPr>
            </w:pPr>
          </w:p>
        </w:tc>
      </w:tr>
      <w:tr w:rsidR="002A2188" w:rsidRPr="00DE0750" w14:paraId="03E555B1" w14:textId="77777777" w:rsidTr="00301527">
        <w:trPr>
          <w:cantSplit/>
          <w:trHeight w:val="23"/>
        </w:trPr>
        <w:tc>
          <w:tcPr>
            <w:tcW w:w="6911" w:type="dxa"/>
            <w:vMerge w:val="restart"/>
          </w:tcPr>
          <w:p w14:paraId="3B20B20E" w14:textId="77777777" w:rsidR="002A2188" w:rsidRPr="00DE0750" w:rsidRDefault="002A2188" w:rsidP="00301527">
            <w:pPr>
              <w:tabs>
                <w:tab w:val="left" w:pos="851"/>
              </w:tabs>
              <w:spacing w:line="240" w:lineRule="atLeast"/>
              <w:rPr>
                <w:b/>
              </w:rPr>
            </w:pPr>
            <w:bookmarkStart w:id="1" w:name="dmeeting" w:colFirst="0" w:colLast="0"/>
            <w:bookmarkStart w:id="2" w:name="dnum" w:colFirst="1" w:colLast="1"/>
          </w:p>
        </w:tc>
        <w:tc>
          <w:tcPr>
            <w:tcW w:w="3120" w:type="dxa"/>
          </w:tcPr>
          <w:p w14:paraId="705B9162" w14:textId="12A8C710" w:rsidR="002A2188" w:rsidRPr="000B3E7F" w:rsidRDefault="00F919B4" w:rsidP="00A36032">
            <w:pPr>
              <w:tabs>
                <w:tab w:val="left" w:pos="851"/>
              </w:tabs>
              <w:spacing w:before="0" w:line="240" w:lineRule="atLeast"/>
              <w:rPr>
                <w:b/>
              </w:rPr>
            </w:pPr>
            <w:r w:rsidRPr="000B3E7F">
              <w:rPr>
                <w:rFonts w:cs="Times New Roman Bold"/>
                <w:b/>
                <w:spacing w:val="-4"/>
              </w:rPr>
              <w:t>CWG-SFP-1</w:t>
            </w:r>
            <w:r w:rsidR="002A2188" w:rsidRPr="000B3E7F">
              <w:rPr>
                <w:b/>
              </w:rPr>
              <w:t>/</w:t>
            </w:r>
            <w:r w:rsidR="00DF4152" w:rsidRPr="00907825">
              <w:rPr>
                <w:b/>
              </w:rPr>
              <w:t>12</w:t>
            </w:r>
            <w:r w:rsidR="002A2188" w:rsidRPr="000B3E7F">
              <w:rPr>
                <w:b/>
              </w:rPr>
              <w:t>-E</w:t>
            </w:r>
          </w:p>
        </w:tc>
      </w:tr>
      <w:tr w:rsidR="002A2188" w:rsidRPr="00DE0750" w14:paraId="06A1385D" w14:textId="77777777" w:rsidTr="00301527">
        <w:trPr>
          <w:cantSplit/>
          <w:trHeight w:val="23"/>
        </w:trPr>
        <w:tc>
          <w:tcPr>
            <w:tcW w:w="6911" w:type="dxa"/>
            <w:vMerge/>
          </w:tcPr>
          <w:p w14:paraId="101508CC" w14:textId="77777777" w:rsidR="002A2188" w:rsidRPr="00DE0750" w:rsidRDefault="002A2188" w:rsidP="00301527">
            <w:pPr>
              <w:tabs>
                <w:tab w:val="left" w:pos="851"/>
              </w:tabs>
              <w:spacing w:line="240" w:lineRule="atLeast"/>
              <w:rPr>
                <w:b/>
              </w:rPr>
            </w:pPr>
            <w:bookmarkStart w:id="3" w:name="ddate" w:colFirst="1" w:colLast="1"/>
            <w:bookmarkEnd w:id="1"/>
            <w:bookmarkEnd w:id="2"/>
          </w:p>
        </w:tc>
        <w:tc>
          <w:tcPr>
            <w:tcW w:w="3120" w:type="dxa"/>
          </w:tcPr>
          <w:p w14:paraId="11FF3502" w14:textId="400B3EBB" w:rsidR="002A2188" w:rsidRPr="000B3E7F" w:rsidRDefault="00906CEE" w:rsidP="00FB1279">
            <w:pPr>
              <w:tabs>
                <w:tab w:val="left" w:pos="993"/>
              </w:tabs>
              <w:spacing w:before="0"/>
              <w:rPr>
                <w:b/>
              </w:rPr>
            </w:pPr>
            <w:r>
              <w:rPr>
                <w:b/>
              </w:rPr>
              <w:t>30</w:t>
            </w:r>
            <w:r w:rsidR="00FE11D1">
              <w:rPr>
                <w:b/>
              </w:rPr>
              <w:t xml:space="preserve"> </w:t>
            </w:r>
            <w:r>
              <w:rPr>
                <w:b/>
              </w:rPr>
              <w:t>September</w:t>
            </w:r>
            <w:r w:rsidR="002A2188" w:rsidRPr="000B3E7F">
              <w:rPr>
                <w:b/>
              </w:rPr>
              <w:t xml:space="preserve"> 20</w:t>
            </w:r>
            <w:r w:rsidR="004A1B8B" w:rsidRPr="000B3E7F">
              <w:rPr>
                <w:b/>
              </w:rPr>
              <w:t>2</w:t>
            </w:r>
            <w:r w:rsidR="00F919B4" w:rsidRPr="000B3E7F">
              <w:rPr>
                <w:b/>
              </w:rPr>
              <w:t>1</w:t>
            </w:r>
          </w:p>
        </w:tc>
      </w:tr>
      <w:tr w:rsidR="002A2188" w:rsidRPr="00DE0750" w14:paraId="1AF329C4" w14:textId="77777777" w:rsidTr="00301527">
        <w:trPr>
          <w:cantSplit/>
          <w:trHeight w:val="23"/>
        </w:trPr>
        <w:tc>
          <w:tcPr>
            <w:tcW w:w="6911" w:type="dxa"/>
            <w:vMerge/>
          </w:tcPr>
          <w:p w14:paraId="71FC08D2" w14:textId="77777777" w:rsidR="002A2188" w:rsidRPr="00DE0750" w:rsidRDefault="002A2188" w:rsidP="00301527">
            <w:pPr>
              <w:tabs>
                <w:tab w:val="left" w:pos="851"/>
              </w:tabs>
              <w:spacing w:line="240" w:lineRule="atLeast"/>
              <w:rPr>
                <w:b/>
              </w:rPr>
            </w:pPr>
            <w:bookmarkStart w:id="4" w:name="dorlang" w:colFirst="1" w:colLast="1"/>
            <w:bookmarkEnd w:id="3"/>
          </w:p>
        </w:tc>
        <w:tc>
          <w:tcPr>
            <w:tcW w:w="3120" w:type="dxa"/>
          </w:tcPr>
          <w:p w14:paraId="6CEB539A" w14:textId="1D9F4FE6" w:rsidR="002A2188" w:rsidRPr="00DE0750" w:rsidRDefault="002A2188" w:rsidP="00301527">
            <w:pPr>
              <w:tabs>
                <w:tab w:val="left" w:pos="993"/>
              </w:tabs>
              <w:spacing w:before="0"/>
              <w:rPr>
                <w:b/>
              </w:rPr>
            </w:pPr>
            <w:r w:rsidRPr="00DE0750">
              <w:rPr>
                <w:b/>
              </w:rPr>
              <w:t xml:space="preserve">Original: </w:t>
            </w:r>
            <w:r w:rsidR="00241A92">
              <w:rPr>
                <w:b/>
              </w:rPr>
              <w:t>English</w:t>
            </w:r>
          </w:p>
        </w:tc>
      </w:tr>
      <w:tr w:rsidR="002A2188" w:rsidRPr="00DE0750" w14:paraId="0105F4F3" w14:textId="77777777" w:rsidTr="00301527">
        <w:trPr>
          <w:cantSplit/>
        </w:trPr>
        <w:tc>
          <w:tcPr>
            <w:tcW w:w="10031" w:type="dxa"/>
            <w:gridSpan w:val="2"/>
          </w:tcPr>
          <w:p w14:paraId="7D96108D" w14:textId="1F5D599D" w:rsidR="002A2188" w:rsidRPr="00DE0750" w:rsidRDefault="00E46AF4" w:rsidP="00301527">
            <w:pPr>
              <w:pStyle w:val="Source"/>
            </w:pPr>
            <w:bookmarkStart w:id="5" w:name="dsource" w:colFirst="0" w:colLast="0"/>
            <w:bookmarkStart w:id="6" w:name="_Hlk82525961"/>
            <w:bookmarkEnd w:id="4"/>
            <w:r w:rsidRPr="00DE0750">
              <w:rPr>
                <w:bCs/>
              </w:rPr>
              <w:t xml:space="preserve">Contribution by the </w:t>
            </w:r>
            <w:r w:rsidR="00241A92">
              <w:rPr>
                <w:bCs/>
              </w:rPr>
              <w:t>CWG-SFP Chair</w:t>
            </w:r>
          </w:p>
        </w:tc>
      </w:tr>
      <w:tr w:rsidR="002A2188" w:rsidRPr="00DE0750" w14:paraId="0702C510" w14:textId="77777777" w:rsidTr="00301527">
        <w:trPr>
          <w:cantSplit/>
        </w:trPr>
        <w:tc>
          <w:tcPr>
            <w:tcW w:w="10031" w:type="dxa"/>
            <w:gridSpan w:val="2"/>
          </w:tcPr>
          <w:p w14:paraId="5C92CE57" w14:textId="265BFCD1" w:rsidR="002A2188" w:rsidRPr="00DE0750" w:rsidRDefault="00C7715B" w:rsidP="00301527">
            <w:pPr>
              <w:pStyle w:val="Title1"/>
            </w:pPr>
            <w:bookmarkStart w:id="7" w:name="lt_pId012"/>
            <w:bookmarkStart w:id="8" w:name="dtitle1" w:colFirst="0" w:colLast="0"/>
            <w:bookmarkEnd w:id="5"/>
            <w:r>
              <w:rPr>
                <w:bCs/>
              </w:rPr>
              <w:t>principles/</w:t>
            </w:r>
            <w:r w:rsidR="00241A92">
              <w:rPr>
                <w:bCs/>
              </w:rPr>
              <w:t>guidelines</w:t>
            </w:r>
            <w:r w:rsidR="00241A92">
              <w:rPr>
                <w:bCs/>
              </w:rPr>
              <w:br/>
              <w:t>for the development of the draft</w:t>
            </w:r>
            <w:r w:rsidR="00A3358E" w:rsidRPr="00DE0750">
              <w:rPr>
                <w:bCs/>
              </w:rPr>
              <w:t xml:space="preserve"> strategic plan for 2024–2027</w:t>
            </w:r>
            <w:bookmarkEnd w:id="7"/>
          </w:p>
        </w:tc>
      </w:tr>
      <w:bookmarkEnd w:id="6"/>
      <w:bookmarkEnd w:id="8"/>
    </w:tbl>
    <w:p w14:paraId="104EB382" w14:textId="77777777" w:rsidR="002A2188" w:rsidRPr="00DE0750" w:rsidRDefault="002A2188" w:rsidP="001033B8"/>
    <w:p w14:paraId="002470BC" w14:textId="11058AFB" w:rsidR="00241A92" w:rsidRDefault="00241A92" w:rsidP="00241A92">
      <w:bookmarkStart w:id="9" w:name="dstart"/>
      <w:bookmarkStart w:id="10" w:name="dbreak"/>
      <w:bookmarkEnd w:id="9"/>
      <w:bookmarkEnd w:id="10"/>
    </w:p>
    <w:p w14:paraId="56288F0E" w14:textId="77777777" w:rsidR="000710F8" w:rsidRDefault="000710F8" w:rsidP="00241A92"/>
    <w:p w14:paraId="2F0CCF1B" w14:textId="3E6F7D59" w:rsidR="00AC1F30" w:rsidRDefault="00AC1F30" w:rsidP="00241A92">
      <w:pPr>
        <w:sectPr w:rsidR="00AC1F30"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5E5688C7" w14:textId="6F2742EF" w:rsidR="00CF55DE" w:rsidRDefault="00CB52AF" w:rsidP="00CB52AF">
      <w:pPr>
        <w:pStyle w:val="Heading2"/>
      </w:pPr>
      <w:r>
        <w:lastRenderedPageBreak/>
        <w:t>Simplification and clarity</w:t>
      </w:r>
    </w:p>
    <w:tbl>
      <w:tblPr>
        <w:tblW w:w="14874" w:type="dxa"/>
        <w:tblInd w:w="10" w:type="dxa"/>
        <w:tblLayout w:type="fixed"/>
        <w:tblLook w:val="04A0" w:firstRow="1" w:lastRow="0" w:firstColumn="1" w:lastColumn="0" w:noHBand="0" w:noVBand="1"/>
      </w:tblPr>
      <w:tblGrid>
        <w:gridCol w:w="1408"/>
        <w:gridCol w:w="7371"/>
        <w:gridCol w:w="992"/>
        <w:gridCol w:w="5103"/>
      </w:tblGrid>
      <w:tr w:rsidR="006F6307" w:rsidRPr="00480360" w14:paraId="67B88DAA" w14:textId="77777777" w:rsidTr="0037027B">
        <w:trPr>
          <w:trHeight w:val="555"/>
          <w:tblHeader/>
        </w:trPr>
        <w:tc>
          <w:tcPr>
            <w:tcW w:w="1408" w:type="dxa"/>
            <w:tcBorders>
              <w:top w:val="single" w:sz="8" w:space="0" w:color="FFFFFF"/>
              <w:left w:val="nil"/>
              <w:bottom w:val="single" w:sz="4" w:space="0" w:color="A5A5A5"/>
              <w:right w:val="nil"/>
            </w:tcBorders>
            <w:shd w:val="clear" w:color="auto" w:fill="auto"/>
            <w:vAlign w:val="center"/>
            <w:hideMark/>
          </w:tcPr>
          <w:p w14:paraId="29B57B63" w14:textId="77777777" w:rsidR="006F6307" w:rsidRPr="00480360" w:rsidRDefault="006F6307"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480360">
              <w:rPr>
                <w:rFonts w:cs="Calibri"/>
                <w:b/>
                <w:bCs/>
                <w:sz w:val="20"/>
                <w:lang w:eastAsia="en-GB"/>
              </w:rPr>
              <w:t>Input source</w:t>
            </w:r>
          </w:p>
        </w:tc>
        <w:tc>
          <w:tcPr>
            <w:tcW w:w="7371" w:type="dxa"/>
            <w:tcBorders>
              <w:top w:val="single" w:sz="8" w:space="0" w:color="FFFFFF"/>
              <w:left w:val="nil"/>
              <w:bottom w:val="single" w:sz="4" w:space="0" w:color="A5A5A5"/>
              <w:right w:val="nil"/>
            </w:tcBorders>
            <w:shd w:val="clear" w:color="auto" w:fill="auto"/>
            <w:vAlign w:val="center"/>
            <w:hideMark/>
          </w:tcPr>
          <w:p w14:paraId="324B4A0D" w14:textId="560EDC24" w:rsidR="006F6307" w:rsidRPr="00480360" w:rsidRDefault="006F6307"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992" w:type="dxa"/>
            <w:tcBorders>
              <w:top w:val="single" w:sz="8" w:space="0" w:color="FFFFFF"/>
              <w:left w:val="nil"/>
              <w:bottom w:val="single" w:sz="4" w:space="0" w:color="A5A5A5"/>
              <w:right w:val="nil"/>
            </w:tcBorders>
            <w:shd w:val="clear" w:color="auto" w:fill="auto"/>
            <w:vAlign w:val="center"/>
            <w:hideMark/>
          </w:tcPr>
          <w:p w14:paraId="0D649A56" w14:textId="77777777" w:rsidR="006F6307" w:rsidRPr="00480360" w:rsidRDefault="006F6307"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480360">
              <w:rPr>
                <w:rFonts w:cs="Calibri"/>
                <w:b/>
                <w:bCs/>
                <w:sz w:val="20"/>
                <w:lang w:eastAsia="en-GB"/>
              </w:rPr>
              <w:t>CWG-SFP doc.</w:t>
            </w:r>
          </w:p>
        </w:tc>
        <w:tc>
          <w:tcPr>
            <w:tcW w:w="5103" w:type="dxa"/>
            <w:tcBorders>
              <w:top w:val="single" w:sz="8" w:space="0" w:color="FFFFFF"/>
              <w:left w:val="nil"/>
              <w:bottom w:val="single" w:sz="4" w:space="0" w:color="A5A5A5"/>
              <w:right w:val="nil"/>
            </w:tcBorders>
            <w:shd w:val="clear" w:color="auto" w:fill="auto"/>
            <w:vAlign w:val="center"/>
            <w:hideMark/>
          </w:tcPr>
          <w:p w14:paraId="6DEE3D74" w14:textId="77777777" w:rsidR="006F6307" w:rsidRPr="00480360" w:rsidRDefault="006F6307"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480360">
              <w:rPr>
                <w:rFonts w:cs="Calibri"/>
                <w:b/>
                <w:bCs/>
                <w:sz w:val="20"/>
                <w:lang w:eastAsia="en-GB"/>
              </w:rPr>
              <w:t>CWG-SFP Guidance</w:t>
            </w:r>
          </w:p>
        </w:tc>
      </w:tr>
      <w:tr w:rsidR="00A91A8C" w:rsidRPr="00480360" w14:paraId="3B17EE71" w14:textId="77777777" w:rsidTr="00816B8E">
        <w:trPr>
          <w:trHeight w:val="1095"/>
        </w:trPr>
        <w:tc>
          <w:tcPr>
            <w:tcW w:w="1408" w:type="dxa"/>
            <w:tcBorders>
              <w:top w:val="nil"/>
              <w:left w:val="nil"/>
              <w:bottom w:val="nil"/>
              <w:right w:val="nil"/>
            </w:tcBorders>
            <w:shd w:val="clear" w:color="EDEDED" w:fill="EDEDED"/>
            <w:hideMark/>
          </w:tcPr>
          <w:p w14:paraId="2E1F9CC8" w14:textId="77777777" w:rsidR="00A91A8C" w:rsidRPr="00480360"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480360">
              <w:rPr>
                <w:rFonts w:cs="Calibri"/>
                <w:sz w:val="20"/>
                <w:lang w:eastAsia="en-GB"/>
              </w:rPr>
              <w:t>Online consultation:</w:t>
            </w:r>
          </w:p>
        </w:tc>
        <w:tc>
          <w:tcPr>
            <w:tcW w:w="7371" w:type="dxa"/>
            <w:tcBorders>
              <w:top w:val="nil"/>
              <w:left w:val="nil"/>
              <w:bottom w:val="nil"/>
              <w:right w:val="nil"/>
            </w:tcBorders>
            <w:shd w:val="clear" w:color="EDEDED" w:fill="EDEDED"/>
            <w:hideMark/>
          </w:tcPr>
          <w:p w14:paraId="0DCE7F53" w14:textId="77777777" w:rsidR="00A91A8C" w:rsidRPr="00480360"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480360">
              <w:rPr>
                <w:rFonts w:cs="Calibri"/>
                <w:sz w:val="20"/>
                <w:lang w:eastAsia="en-GB"/>
              </w:rPr>
              <w:t xml:space="preserve">- More </w:t>
            </w:r>
            <w:r w:rsidRPr="007C35BA">
              <w:rPr>
                <w:rFonts w:cs="Calibri"/>
                <w:b/>
                <w:bCs/>
                <w:sz w:val="20"/>
                <w:lang w:eastAsia="en-GB"/>
              </w:rPr>
              <w:t>clarity</w:t>
            </w:r>
            <w:r w:rsidRPr="00480360">
              <w:rPr>
                <w:rFonts w:cs="Calibri"/>
                <w:sz w:val="20"/>
                <w:lang w:eastAsia="en-GB"/>
              </w:rPr>
              <w:t xml:space="preserve"> (in terms of linkages between the elements of the framework and linkage with the financial plan) and a </w:t>
            </w:r>
            <w:r w:rsidRPr="007C35BA">
              <w:rPr>
                <w:rFonts w:cs="Calibri"/>
                <w:b/>
                <w:bCs/>
                <w:sz w:val="20"/>
                <w:lang w:eastAsia="en-GB"/>
              </w:rPr>
              <w:t>simplification of the different elements</w:t>
            </w:r>
            <w:r w:rsidRPr="00480360">
              <w:rPr>
                <w:rFonts w:cs="Calibri"/>
                <w:sz w:val="20"/>
                <w:lang w:eastAsia="en-GB"/>
              </w:rPr>
              <w:t xml:space="preserve"> is proposed by several contributions</w:t>
            </w:r>
            <w:r w:rsidRPr="00480360">
              <w:rPr>
                <w:rFonts w:cs="Calibri"/>
                <w:sz w:val="20"/>
                <w:lang w:eastAsia="en-GB"/>
              </w:rPr>
              <w:br/>
              <w:t xml:space="preserve">- </w:t>
            </w:r>
            <w:r w:rsidRPr="007C35BA">
              <w:rPr>
                <w:rFonts w:cs="Calibri"/>
                <w:b/>
                <w:bCs/>
                <w:sz w:val="20"/>
                <w:lang w:eastAsia="en-GB"/>
              </w:rPr>
              <w:t>Moving away from focusing on the numerous activities</w:t>
            </w:r>
            <w:r w:rsidRPr="00480360">
              <w:rPr>
                <w:rFonts w:cs="Calibri"/>
                <w:sz w:val="20"/>
                <w:lang w:eastAsia="en-GB"/>
              </w:rPr>
              <w:t xml:space="preserve"> is also proposed</w:t>
            </w:r>
            <w:r w:rsidRPr="00480360">
              <w:rPr>
                <w:rFonts w:cs="Calibri"/>
                <w:sz w:val="20"/>
                <w:lang w:eastAsia="en-GB"/>
              </w:rPr>
              <w:br/>
              <w:t xml:space="preserve">- </w:t>
            </w:r>
            <w:r w:rsidRPr="007C35BA">
              <w:rPr>
                <w:rFonts w:cs="Calibri"/>
                <w:b/>
                <w:bCs/>
                <w:sz w:val="20"/>
                <w:lang w:eastAsia="en-GB"/>
              </w:rPr>
              <w:t>Consolidating priorities</w:t>
            </w:r>
            <w:r w:rsidRPr="00480360">
              <w:rPr>
                <w:rFonts w:cs="Calibri"/>
                <w:sz w:val="20"/>
                <w:lang w:eastAsia="en-GB"/>
              </w:rPr>
              <w:t xml:space="preserve"> is another proposal</w:t>
            </w:r>
          </w:p>
        </w:tc>
        <w:tc>
          <w:tcPr>
            <w:tcW w:w="992" w:type="dxa"/>
            <w:tcBorders>
              <w:top w:val="nil"/>
              <w:left w:val="nil"/>
              <w:bottom w:val="nil"/>
              <w:right w:val="nil"/>
            </w:tcBorders>
            <w:shd w:val="clear" w:color="EDEDED" w:fill="EDEDED"/>
            <w:noWrap/>
            <w:vAlign w:val="center"/>
            <w:hideMark/>
          </w:tcPr>
          <w:p w14:paraId="45F73E63" w14:textId="77777777" w:rsidR="00A91A8C" w:rsidRPr="00480360" w:rsidRDefault="00A13386"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15" w:history="1">
              <w:r w:rsidR="00A91A8C" w:rsidRPr="00480360">
                <w:rPr>
                  <w:rFonts w:cs="Calibri"/>
                  <w:color w:val="548DD4" w:themeColor="text2" w:themeTint="99"/>
                  <w:sz w:val="20"/>
                  <w:u w:val="single"/>
                  <w:lang w:eastAsia="en-GB"/>
                </w:rPr>
                <w:t>CWG-SFP-1/11</w:t>
              </w:r>
            </w:hyperlink>
          </w:p>
        </w:tc>
        <w:tc>
          <w:tcPr>
            <w:tcW w:w="5103" w:type="dxa"/>
            <w:vMerge w:val="restart"/>
            <w:tcBorders>
              <w:top w:val="nil"/>
              <w:left w:val="nil"/>
              <w:right w:val="nil"/>
            </w:tcBorders>
            <w:shd w:val="clear" w:color="EDEDED" w:fill="EDEDED"/>
            <w:noWrap/>
            <w:hideMark/>
          </w:tcPr>
          <w:p w14:paraId="48FD5E50" w14:textId="73CBD62E" w:rsidR="00A91A8C" w:rsidRPr="00867704" w:rsidRDefault="00A91A8C" w:rsidP="00B04F7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r w:rsidRPr="00867704">
              <w:rPr>
                <w:rFonts w:cs="Calibri"/>
                <w:sz w:val="22"/>
                <w:szCs w:val="22"/>
                <w:lang w:eastAsia="en-GB"/>
              </w:rPr>
              <w:t xml:space="preserve">- </w:t>
            </w:r>
            <w:r w:rsidRPr="00DC79D9">
              <w:rPr>
                <w:rFonts w:cs="Calibri"/>
                <w:sz w:val="22"/>
                <w:szCs w:val="22"/>
                <w:lang w:eastAsia="en-GB"/>
              </w:rPr>
              <w:t xml:space="preserve">Request the secretariat to provide </w:t>
            </w:r>
            <w:r>
              <w:rPr>
                <w:rFonts w:cs="Calibri"/>
                <w:sz w:val="22"/>
                <w:szCs w:val="22"/>
                <w:lang w:eastAsia="en-GB"/>
              </w:rPr>
              <w:t>inputs</w:t>
            </w:r>
            <w:r w:rsidRPr="00DC79D9">
              <w:rPr>
                <w:rFonts w:cs="Calibri"/>
                <w:sz w:val="22"/>
                <w:szCs w:val="22"/>
                <w:lang w:eastAsia="en-GB"/>
              </w:rPr>
              <w:t xml:space="preserve"> and assess them</w:t>
            </w:r>
            <w:r w:rsidRPr="00867704">
              <w:rPr>
                <w:rFonts w:cs="Calibri"/>
                <w:sz w:val="22"/>
                <w:szCs w:val="22"/>
                <w:lang w:eastAsia="en-GB"/>
              </w:rPr>
              <w:t xml:space="preserve"> at the upcoming virtual consultation, on how to simplify and clarify the strategic framework, review</w:t>
            </w:r>
            <w:r>
              <w:rPr>
                <w:rFonts w:cs="Calibri"/>
                <w:sz w:val="22"/>
                <w:szCs w:val="22"/>
                <w:lang w:eastAsia="en-GB"/>
              </w:rPr>
              <w:t>ing</w:t>
            </w:r>
            <w:r w:rsidRPr="00867704">
              <w:rPr>
                <w:rFonts w:cs="Calibri"/>
                <w:sz w:val="22"/>
                <w:szCs w:val="22"/>
                <w:lang w:eastAsia="en-GB"/>
              </w:rPr>
              <w:t xml:space="preserve"> the linkages and the different elements of the </w:t>
            </w:r>
            <w:r>
              <w:rPr>
                <w:rFonts w:cs="Calibri"/>
                <w:sz w:val="22"/>
                <w:szCs w:val="22"/>
                <w:lang w:eastAsia="en-GB"/>
              </w:rPr>
              <w:t>draft Strategic and Financial Plans</w:t>
            </w:r>
            <w:r w:rsidRPr="00867704">
              <w:rPr>
                <w:rFonts w:cs="Calibri"/>
                <w:sz w:val="22"/>
                <w:szCs w:val="22"/>
                <w:lang w:eastAsia="en-GB"/>
              </w:rPr>
              <w:t>, to better reflect the strategic priorities of the organization</w:t>
            </w:r>
          </w:p>
        </w:tc>
      </w:tr>
      <w:tr w:rsidR="00A91A8C" w:rsidRPr="00480360" w14:paraId="0DF6D4C2" w14:textId="77777777" w:rsidTr="00816B8E">
        <w:trPr>
          <w:trHeight w:val="4050"/>
        </w:trPr>
        <w:tc>
          <w:tcPr>
            <w:tcW w:w="1408" w:type="dxa"/>
            <w:tcBorders>
              <w:top w:val="nil"/>
              <w:left w:val="nil"/>
              <w:bottom w:val="nil"/>
              <w:right w:val="nil"/>
            </w:tcBorders>
            <w:shd w:val="clear" w:color="auto" w:fill="auto"/>
            <w:hideMark/>
          </w:tcPr>
          <w:p w14:paraId="7ED2BD1A" w14:textId="77777777" w:rsidR="00A91A8C"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p w14:paraId="2023348D" w14:textId="3B2B1509" w:rsidR="00A91A8C" w:rsidRPr="00480360"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480360">
              <w:rPr>
                <w:rFonts w:cs="Calibri"/>
                <w:sz w:val="20"/>
                <w:lang w:eastAsia="en-GB"/>
              </w:rPr>
              <w:t>Rec</w:t>
            </w:r>
            <w:r>
              <w:rPr>
                <w:rFonts w:cs="Calibri"/>
                <w:sz w:val="20"/>
                <w:lang w:eastAsia="en-GB"/>
              </w:rPr>
              <w:t>s.</w:t>
            </w:r>
            <w:r w:rsidRPr="00480360">
              <w:rPr>
                <w:rFonts w:cs="Calibri"/>
                <w:sz w:val="20"/>
                <w:lang w:eastAsia="en-GB"/>
              </w:rPr>
              <w:t xml:space="preserve"> / Findings:</w:t>
            </w:r>
          </w:p>
        </w:tc>
        <w:tc>
          <w:tcPr>
            <w:tcW w:w="7371" w:type="dxa"/>
            <w:tcBorders>
              <w:top w:val="nil"/>
              <w:left w:val="nil"/>
              <w:bottom w:val="nil"/>
              <w:right w:val="nil"/>
            </w:tcBorders>
            <w:shd w:val="clear" w:color="auto" w:fill="auto"/>
            <w:hideMark/>
          </w:tcPr>
          <w:p w14:paraId="608A7804" w14:textId="77777777" w:rsidR="00A91A8C"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i/>
                <w:iCs/>
                <w:sz w:val="20"/>
                <w:lang w:eastAsia="en-GB"/>
              </w:rPr>
            </w:pPr>
          </w:p>
          <w:p w14:paraId="05162CFB" w14:textId="39172410" w:rsidR="00A91A8C" w:rsidRPr="00480360" w:rsidRDefault="00A91A8C" w:rsidP="0037027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480360">
              <w:rPr>
                <w:rFonts w:cs="Calibri"/>
                <w:i/>
                <w:iCs/>
                <w:sz w:val="20"/>
                <w:lang w:eastAsia="en-GB"/>
              </w:rPr>
              <w:t>(McKinsey Report on Culture &amp; Skills)</w:t>
            </w:r>
            <w:r w:rsidRPr="00480360">
              <w:rPr>
                <w:rFonts w:cs="Calibri"/>
                <w:sz w:val="20"/>
                <w:lang w:eastAsia="en-GB"/>
              </w:rPr>
              <w:br/>
            </w:r>
            <w:r w:rsidRPr="00480360">
              <w:rPr>
                <w:rFonts w:cs="Calibri"/>
                <w:b/>
                <w:bCs/>
                <w:sz w:val="20"/>
                <w:lang w:eastAsia="en-GB"/>
              </w:rPr>
              <w:t>c.1- Strengthen operationalization of goal setting mechanism, ensuring link to strategic objectives and consequence management</w:t>
            </w:r>
            <w:r w:rsidRPr="00480360">
              <w:rPr>
                <w:rFonts w:cs="Calibri"/>
                <w:b/>
                <w:bCs/>
                <w:sz w:val="20"/>
                <w:lang w:eastAsia="en-GB"/>
              </w:rPr>
              <w:br/>
            </w:r>
            <w:r w:rsidRPr="00480360">
              <w:rPr>
                <w:rFonts w:cs="Calibri"/>
                <w:i/>
                <w:iCs/>
                <w:sz w:val="20"/>
                <w:lang w:eastAsia="en-GB"/>
              </w:rPr>
              <w:t>Option</w:t>
            </w:r>
            <w:r>
              <w:rPr>
                <w:rFonts w:cs="Calibri"/>
                <w:i/>
                <w:iCs/>
                <w:sz w:val="20"/>
                <w:lang w:eastAsia="en-GB"/>
              </w:rPr>
              <w:t xml:space="preserve"> for consideration:</w:t>
            </w:r>
            <w:r w:rsidRPr="00480360">
              <w:rPr>
                <w:rFonts w:cs="Calibri"/>
                <w:i/>
                <w:iCs/>
                <w:sz w:val="20"/>
                <w:lang w:eastAsia="en-GB"/>
              </w:rPr>
              <w:br/>
            </w:r>
            <w:r w:rsidRPr="00480360">
              <w:rPr>
                <w:rFonts w:cs="Calibri"/>
                <w:sz w:val="20"/>
                <w:lang w:eastAsia="en-GB"/>
              </w:rPr>
              <w:t>- CWG-SFP to Consider simplification and clarification of the new strategic framework to enable granularity and cascading down of strategic goals/objectives to the objectives of teams and individuals.</w:t>
            </w:r>
            <w:r w:rsidRPr="00480360">
              <w:rPr>
                <w:rFonts w:cs="Calibri"/>
                <w:sz w:val="20"/>
                <w:lang w:eastAsia="en-GB"/>
              </w:rPr>
              <w:br/>
            </w:r>
            <w:r w:rsidRPr="00480360">
              <w:rPr>
                <w:rFonts w:cs="Calibri"/>
                <w:i/>
                <w:iCs/>
                <w:sz w:val="20"/>
                <w:lang w:eastAsia="en-GB"/>
              </w:rPr>
              <w:br/>
              <w:t>(PwC Report on Regional Presence)</w:t>
            </w:r>
            <w:r w:rsidRPr="00480360">
              <w:rPr>
                <w:rFonts w:cs="Calibri"/>
                <w:i/>
                <w:iCs/>
                <w:sz w:val="20"/>
                <w:lang w:eastAsia="en-GB"/>
              </w:rPr>
              <w:br/>
            </w:r>
            <w:r w:rsidRPr="00480360">
              <w:rPr>
                <w:rFonts w:cs="Calibri"/>
                <w:b/>
                <w:bCs/>
                <w:sz w:val="20"/>
                <w:lang w:eastAsia="en-GB"/>
              </w:rPr>
              <w:t>1.2. Sharpen the programmatic focus</w:t>
            </w:r>
            <w:r w:rsidRPr="00480360">
              <w:rPr>
                <w:rFonts w:cs="Calibri"/>
                <w:b/>
                <w:bCs/>
                <w:sz w:val="20"/>
                <w:lang w:eastAsia="en-GB"/>
              </w:rPr>
              <w:br/>
              <w:t>1.2.1. Develop a consistent strategic framework across the Organization</w:t>
            </w:r>
            <w:r w:rsidRPr="00480360">
              <w:rPr>
                <w:rFonts w:cs="Calibri"/>
                <w:b/>
                <w:bCs/>
                <w:sz w:val="20"/>
                <w:lang w:eastAsia="en-GB"/>
              </w:rPr>
              <w:br/>
              <w:t>1.2.2. Clarify programme priorities at global level</w:t>
            </w:r>
            <w:r w:rsidRPr="00480360">
              <w:rPr>
                <w:rFonts w:cs="Calibri"/>
                <w:sz w:val="20"/>
                <w:lang w:eastAsia="en-GB"/>
              </w:rPr>
              <w:br/>
            </w:r>
            <w:r w:rsidRPr="00480360">
              <w:rPr>
                <w:rFonts w:cs="Calibri"/>
                <w:i/>
                <w:iCs/>
                <w:sz w:val="20"/>
                <w:lang w:eastAsia="en-GB"/>
              </w:rPr>
              <w:t>Option</w:t>
            </w:r>
            <w:r>
              <w:rPr>
                <w:rFonts w:cs="Calibri"/>
                <w:i/>
                <w:iCs/>
                <w:sz w:val="20"/>
                <w:lang w:eastAsia="en-GB"/>
              </w:rPr>
              <w:t xml:space="preserve"> for consideration:</w:t>
            </w:r>
            <w:r w:rsidRPr="00480360">
              <w:rPr>
                <w:rFonts w:cs="Calibri"/>
                <w:sz w:val="20"/>
                <w:lang w:eastAsia="en-GB"/>
              </w:rPr>
              <w:br/>
              <w:t>- The CWG-SPF to clarify and simplify the strategic framework while better connecting the Goals and Targets, and the thematic priorities, at the global and regional levels.</w:t>
            </w:r>
          </w:p>
        </w:tc>
        <w:tc>
          <w:tcPr>
            <w:tcW w:w="992" w:type="dxa"/>
            <w:tcBorders>
              <w:top w:val="nil"/>
              <w:left w:val="nil"/>
              <w:bottom w:val="nil"/>
              <w:right w:val="nil"/>
            </w:tcBorders>
            <w:shd w:val="clear" w:color="auto" w:fill="auto"/>
            <w:noWrap/>
            <w:vAlign w:val="center"/>
            <w:hideMark/>
          </w:tcPr>
          <w:p w14:paraId="3EC85A13" w14:textId="77777777" w:rsidR="00A91A8C" w:rsidRPr="00480360" w:rsidRDefault="00A13386" w:rsidP="00301527">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16" w:history="1">
              <w:r w:rsidR="00A91A8C" w:rsidRPr="00480360">
                <w:rPr>
                  <w:rFonts w:cs="Calibri"/>
                  <w:color w:val="548DD4" w:themeColor="text2" w:themeTint="99"/>
                  <w:sz w:val="20"/>
                  <w:u w:val="single"/>
                  <w:lang w:eastAsia="en-GB"/>
                </w:rPr>
                <w:t>CWG-SFP-1/5</w:t>
              </w:r>
            </w:hyperlink>
          </w:p>
        </w:tc>
        <w:tc>
          <w:tcPr>
            <w:tcW w:w="5103" w:type="dxa"/>
            <w:vMerge/>
            <w:tcBorders>
              <w:left w:val="nil"/>
              <w:bottom w:val="nil"/>
              <w:right w:val="nil"/>
            </w:tcBorders>
            <w:shd w:val="clear" w:color="auto" w:fill="auto"/>
            <w:noWrap/>
            <w:vAlign w:val="bottom"/>
            <w:hideMark/>
          </w:tcPr>
          <w:p w14:paraId="1DBD9B2D" w14:textId="77777777" w:rsidR="00A91A8C" w:rsidRPr="00480360" w:rsidRDefault="00A91A8C" w:rsidP="00301527">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3952285F" w14:textId="3C3EF998" w:rsidR="003B0581" w:rsidRDefault="003B0581">
      <w:pPr>
        <w:tabs>
          <w:tab w:val="clear" w:pos="567"/>
          <w:tab w:val="clear" w:pos="1134"/>
          <w:tab w:val="clear" w:pos="1701"/>
          <w:tab w:val="clear" w:pos="2268"/>
          <w:tab w:val="clear" w:pos="2835"/>
        </w:tabs>
        <w:overflowPunct/>
        <w:autoSpaceDE/>
        <w:autoSpaceDN/>
        <w:adjustRightInd/>
        <w:spacing w:before="0"/>
        <w:textAlignment w:val="auto"/>
      </w:pPr>
      <w:r>
        <w:br w:type="page"/>
      </w:r>
    </w:p>
    <w:p w14:paraId="3250D5BD" w14:textId="124F8076" w:rsidR="00452DF7" w:rsidRDefault="00452DF7" w:rsidP="00452DF7">
      <w:pPr>
        <w:pStyle w:val="Heading2"/>
      </w:pPr>
      <w:r w:rsidRPr="00452DF7">
        <w:lastRenderedPageBreak/>
        <w:t>Focus</w:t>
      </w:r>
    </w:p>
    <w:tbl>
      <w:tblPr>
        <w:tblW w:w="14874" w:type="dxa"/>
        <w:tblInd w:w="10" w:type="dxa"/>
        <w:tblLayout w:type="fixed"/>
        <w:tblLook w:val="04A0" w:firstRow="1" w:lastRow="0" w:firstColumn="1" w:lastColumn="0" w:noHBand="0" w:noVBand="1"/>
      </w:tblPr>
      <w:tblGrid>
        <w:gridCol w:w="1408"/>
        <w:gridCol w:w="8363"/>
        <w:gridCol w:w="1134"/>
        <w:gridCol w:w="3969"/>
      </w:tblGrid>
      <w:tr w:rsidR="0037027B" w:rsidRPr="0098628F" w14:paraId="1DC832AF" w14:textId="77777777" w:rsidTr="0037027B">
        <w:tc>
          <w:tcPr>
            <w:tcW w:w="1408" w:type="dxa"/>
            <w:tcBorders>
              <w:top w:val="single" w:sz="8" w:space="0" w:color="FFFFFF"/>
              <w:left w:val="nil"/>
              <w:bottom w:val="single" w:sz="4" w:space="0" w:color="A5A5A5"/>
              <w:right w:val="nil"/>
            </w:tcBorders>
            <w:shd w:val="clear" w:color="auto" w:fill="auto"/>
            <w:vAlign w:val="center"/>
            <w:hideMark/>
          </w:tcPr>
          <w:p w14:paraId="7F7526CD"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98628F">
              <w:rPr>
                <w:rFonts w:cs="Calibri"/>
                <w:b/>
                <w:bCs/>
                <w:sz w:val="20"/>
                <w:lang w:eastAsia="en-GB"/>
              </w:rPr>
              <w:t>Input source</w:t>
            </w:r>
          </w:p>
        </w:tc>
        <w:tc>
          <w:tcPr>
            <w:tcW w:w="8363" w:type="dxa"/>
            <w:tcBorders>
              <w:top w:val="single" w:sz="8" w:space="0" w:color="FFFFFF"/>
              <w:left w:val="nil"/>
              <w:bottom w:val="single" w:sz="4" w:space="0" w:color="A5A5A5"/>
              <w:right w:val="nil"/>
            </w:tcBorders>
            <w:shd w:val="clear" w:color="auto" w:fill="auto"/>
            <w:vAlign w:val="center"/>
            <w:hideMark/>
          </w:tcPr>
          <w:p w14:paraId="4C5E8E8B" w14:textId="6D72075E"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1134" w:type="dxa"/>
            <w:tcBorders>
              <w:top w:val="single" w:sz="8" w:space="0" w:color="FFFFFF"/>
              <w:left w:val="nil"/>
              <w:bottom w:val="single" w:sz="4" w:space="0" w:color="A5A5A5"/>
              <w:right w:val="nil"/>
            </w:tcBorders>
            <w:shd w:val="clear" w:color="auto" w:fill="auto"/>
            <w:vAlign w:val="center"/>
            <w:hideMark/>
          </w:tcPr>
          <w:p w14:paraId="628F3EF0" w14:textId="3E52FC33"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98628F">
              <w:rPr>
                <w:rFonts w:cs="Calibri"/>
                <w:b/>
                <w:bCs/>
                <w:sz w:val="20"/>
                <w:lang w:eastAsia="en-GB"/>
              </w:rPr>
              <w:t>CWG-SFP doc.</w:t>
            </w:r>
          </w:p>
        </w:tc>
        <w:tc>
          <w:tcPr>
            <w:tcW w:w="3969" w:type="dxa"/>
            <w:tcBorders>
              <w:top w:val="single" w:sz="8" w:space="0" w:color="FFFFFF"/>
              <w:left w:val="nil"/>
              <w:bottom w:val="single" w:sz="4" w:space="0" w:color="A5A5A5"/>
              <w:right w:val="nil"/>
            </w:tcBorders>
            <w:shd w:val="clear" w:color="auto" w:fill="auto"/>
            <w:vAlign w:val="center"/>
            <w:hideMark/>
          </w:tcPr>
          <w:p w14:paraId="2420EA46"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98628F">
              <w:rPr>
                <w:rFonts w:cs="Calibri"/>
                <w:b/>
                <w:bCs/>
                <w:sz w:val="20"/>
                <w:lang w:eastAsia="en-GB"/>
              </w:rPr>
              <w:t>CWG-SFP Guidance</w:t>
            </w:r>
          </w:p>
        </w:tc>
      </w:tr>
      <w:tr w:rsidR="0037027B" w:rsidRPr="0098628F" w14:paraId="4DE5CB8A" w14:textId="77777777" w:rsidTr="0037027B">
        <w:tc>
          <w:tcPr>
            <w:tcW w:w="1408" w:type="dxa"/>
            <w:tcBorders>
              <w:top w:val="nil"/>
              <w:left w:val="nil"/>
              <w:bottom w:val="nil"/>
              <w:right w:val="nil"/>
            </w:tcBorders>
            <w:shd w:val="clear" w:color="EDEDED" w:fill="EDEDED"/>
            <w:hideMark/>
          </w:tcPr>
          <w:p w14:paraId="3DDE8F5C"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sz w:val="20"/>
                <w:lang w:eastAsia="en-GB"/>
              </w:rPr>
              <w:t>MS contributions:</w:t>
            </w:r>
          </w:p>
        </w:tc>
        <w:tc>
          <w:tcPr>
            <w:tcW w:w="8363" w:type="dxa"/>
            <w:tcBorders>
              <w:top w:val="nil"/>
              <w:left w:val="nil"/>
              <w:bottom w:val="nil"/>
              <w:right w:val="nil"/>
            </w:tcBorders>
            <w:shd w:val="clear" w:color="EDEDED" w:fill="EDEDED"/>
            <w:hideMark/>
          </w:tcPr>
          <w:p w14:paraId="1E2E8987"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i/>
                <w:iCs/>
                <w:sz w:val="20"/>
                <w:lang w:eastAsia="en-GB"/>
              </w:rPr>
              <w:t>Contribution from the Russian Federation:</w:t>
            </w:r>
            <w:r w:rsidRPr="0098628F">
              <w:rPr>
                <w:rFonts w:cs="Calibri"/>
                <w:i/>
                <w:iCs/>
                <w:sz w:val="20"/>
                <w:lang w:eastAsia="en-GB"/>
              </w:rPr>
              <w:br/>
            </w:r>
            <w:r w:rsidRPr="0098628F">
              <w:rPr>
                <w:rFonts w:cs="Calibri"/>
                <w:sz w:val="20"/>
                <w:lang w:eastAsia="en-GB"/>
              </w:rPr>
              <w:t xml:space="preserve">- The strategic plan </w:t>
            </w:r>
            <w:r w:rsidRPr="00A1493D">
              <w:rPr>
                <w:rFonts w:cs="Calibri"/>
                <w:b/>
                <w:bCs/>
                <w:sz w:val="20"/>
                <w:lang w:eastAsia="en-GB"/>
              </w:rPr>
              <w:t>should not be too long or overly detailed</w:t>
            </w:r>
            <w:r w:rsidRPr="0098628F">
              <w:rPr>
                <w:rFonts w:cs="Calibri"/>
                <w:sz w:val="20"/>
                <w:lang w:eastAsia="en-GB"/>
              </w:rPr>
              <w:t>, which would not only make it difficult to read and analyse and to monitor its implementation but also put the primary areas of ITU’s activities on the same footing as secondary ones and ultimately overstretch resources. Unfunded activities and objectives should not be included in the ITU strategic plan.</w:t>
            </w:r>
          </w:p>
        </w:tc>
        <w:tc>
          <w:tcPr>
            <w:tcW w:w="1134" w:type="dxa"/>
            <w:tcBorders>
              <w:top w:val="nil"/>
              <w:left w:val="nil"/>
              <w:bottom w:val="nil"/>
              <w:right w:val="nil"/>
            </w:tcBorders>
            <w:shd w:val="clear" w:color="EDEDED" w:fill="EDEDED"/>
            <w:noWrap/>
            <w:vAlign w:val="center"/>
            <w:hideMark/>
          </w:tcPr>
          <w:p w14:paraId="7A5EAFFE" w14:textId="77777777" w:rsidR="0037027B" w:rsidRPr="0098628F" w:rsidRDefault="00A13386"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17" w:history="1">
              <w:r w:rsidR="0037027B" w:rsidRPr="0098628F">
                <w:rPr>
                  <w:rFonts w:cs="Calibri"/>
                  <w:color w:val="548DD4" w:themeColor="text2" w:themeTint="99"/>
                  <w:sz w:val="20"/>
                  <w:u w:val="single"/>
                  <w:lang w:eastAsia="en-GB"/>
                </w:rPr>
                <w:t>CWG-SFP-1/8</w:t>
              </w:r>
            </w:hyperlink>
          </w:p>
        </w:tc>
        <w:tc>
          <w:tcPr>
            <w:tcW w:w="3969" w:type="dxa"/>
            <w:vMerge w:val="restart"/>
            <w:tcBorders>
              <w:top w:val="nil"/>
              <w:left w:val="nil"/>
              <w:right w:val="nil"/>
            </w:tcBorders>
            <w:shd w:val="clear" w:color="auto" w:fill="auto"/>
            <w:noWrap/>
            <w:hideMark/>
          </w:tcPr>
          <w:p w14:paraId="1F064084" w14:textId="591AFDEF" w:rsidR="0037027B" w:rsidRPr="00FF3D35" w:rsidRDefault="0037027B" w:rsidP="00B04F7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FF3D35">
              <w:rPr>
                <w:rFonts w:cs="Calibri"/>
                <w:sz w:val="22"/>
                <w:szCs w:val="22"/>
                <w:lang w:eastAsia="en-GB"/>
              </w:rPr>
              <w:t xml:space="preserve">- Request the secretariat to present </w:t>
            </w:r>
            <w:r>
              <w:rPr>
                <w:rFonts w:cs="Calibri"/>
                <w:sz w:val="22"/>
                <w:szCs w:val="22"/>
                <w:lang w:eastAsia="en-GB"/>
              </w:rPr>
              <w:t>inputs</w:t>
            </w:r>
            <w:r w:rsidRPr="00FF3D35">
              <w:rPr>
                <w:rFonts w:cs="Calibri"/>
                <w:sz w:val="22"/>
                <w:szCs w:val="22"/>
                <w:lang w:eastAsia="en-GB"/>
              </w:rPr>
              <w:t xml:space="preserve"> on how</w:t>
            </w:r>
            <w:r>
              <w:rPr>
                <w:rFonts w:cs="Calibri"/>
                <w:sz w:val="22"/>
                <w:szCs w:val="22"/>
                <w:lang w:eastAsia="en-GB"/>
              </w:rPr>
              <w:t>:</w:t>
            </w:r>
            <w:r>
              <w:rPr>
                <w:rFonts w:cs="Calibri"/>
                <w:sz w:val="22"/>
                <w:szCs w:val="22"/>
                <w:lang w:eastAsia="en-GB"/>
              </w:rPr>
              <w:br/>
              <w:t xml:space="preserve">i) </w:t>
            </w:r>
            <w:r w:rsidRPr="00FF3D35">
              <w:rPr>
                <w:rFonts w:cs="Calibri"/>
                <w:sz w:val="22"/>
                <w:szCs w:val="22"/>
                <w:lang w:eastAsia="en-GB"/>
              </w:rPr>
              <w:t>to keep the strategic plan at a high level, while recognizing the role and mandate of the ITU Sectors</w:t>
            </w:r>
            <w:r>
              <w:rPr>
                <w:rFonts w:cs="Calibri"/>
                <w:sz w:val="22"/>
                <w:szCs w:val="22"/>
                <w:lang w:eastAsia="en-GB"/>
              </w:rPr>
              <w:t>,</w:t>
            </w:r>
            <w:r w:rsidRPr="00FF3D35">
              <w:rPr>
                <w:rFonts w:cs="Calibri"/>
                <w:sz w:val="22"/>
                <w:szCs w:val="22"/>
                <w:lang w:eastAsia="en-GB"/>
              </w:rPr>
              <w:br/>
            </w:r>
            <w:r>
              <w:rPr>
                <w:rFonts w:cs="Calibri"/>
                <w:sz w:val="22"/>
                <w:szCs w:val="22"/>
                <w:lang w:eastAsia="en-GB"/>
              </w:rPr>
              <w:t xml:space="preserve">ii) </w:t>
            </w:r>
            <w:r w:rsidRPr="00FF3D35">
              <w:rPr>
                <w:rFonts w:cs="Calibri"/>
                <w:sz w:val="22"/>
                <w:szCs w:val="22"/>
                <w:lang w:eastAsia="en-GB"/>
              </w:rPr>
              <w:t>based on the strategic priorities, to identify the main topics/themes of work, considering cross-cutting themes -where possible, aiming to reinforce synergies across the Sectors</w:t>
            </w:r>
          </w:p>
        </w:tc>
      </w:tr>
      <w:tr w:rsidR="0037027B" w:rsidRPr="0098628F" w14:paraId="01C9B9E7" w14:textId="77777777" w:rsidTr="0037027B">
        <w:tc>
          <w:tcPr>
            <w:tcW w:w="1408" w:type="dxa"/>
            <w:tcBorders>
              <w:top w:val="nil"/>
              <w:left w:val="nil"/>
              <w:bottom w:val="nil"/>
              <w:right w:val="nil"/>
            </w:tcBorders>
            <w:shd w:val="clear" w:color="auto" w:fill="auto"/>
            <w:hideMark/>
          </w:tcPr>
          <w:p w14:paraId="34C9DABC" w14:textId="7DD28C75"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sz w:val="20"/>
                <w:lang w:eastAsia="en-GB"/>
              </w:rPr>
              <w:t>Online consultation:</w:t>
            </w:r>
          </w:p>
        </w:tc>
        <w:tc>
          <w:tcPr>
            <w:tcW w:w="8363" w:type="dxa"/>
            <w:tcBorders>
              <w:top w:val="nil"/>
              <w:left w:val="nil"/>
              <w:bottom w:val="nil"/>
              <w:right w:val="nil"/>
            </w:tcBorders>
            <w:shd w:val="clear" w:color="auto" w:fill="auto"/>
            <w:hideMark/>
          </w:tcPr>
          <w:p w14:paraId="3ED93058"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sz w:val="20"/>
                <w:lang w:eastAsia="en-GB"/>
              </w:rPr>
              <w:t xml:space="preserve">- Strategic plan </w:t>
            </w:r>
            <w:r w:rsidRPr="00DF09D9">
              <w:rPr>
                <w:rFonts w:cs="Calibri"/>
                <w:b/>
                <w:bCs/>
                <w:sz w:val="20"/>
                <w:lang w:eastAsia="en-GB"/>
              </w:rPr>
              <w:t>not entirely focused</w:t>
            </w:r>
            <w:r w:rsidRPr="0098628F">
              <w:rPr>
                <w:rFonts w:cs="Calibri"/>
                <w:sz w:val="20"/>
                <w:lang w:eastAsia="en-GB"/>
              </w:rPr>
              <w:t xml:space="preserve"> on the main goals, </w:t>
            </w:r>
            <w:r w:rsidRPr="00DF09D9">
              <w:rPr>
                <w:rFonts w:cs="Calibri"/>
                <w:b/>
                <w:bCs/>
                <w:sz w:val="20"/>
                <w:lang w:eastAsia="en-GB"/>
              </w:rPr>
              <w:t>excessive in volume</w:t>
            </w:r>
            <w:r w:rsidRPr="0098628F">
              <w:rPr>
                <w:rFonts w:cs="Calibri"/>
                <w:sz w:val="20"/>
                <w:lang w:eastAsia="en-GB"/>
              </w:rPr>
              <w:t xml:space="preserve"> and </w:t>
            </w:r>
            <w:r w:rsidRPr="00DF09D9">
              <w:rPr>
                <w:rFonts w:cs="Calibri"/>
                <w:b/>
                <w:bCs/>
                <w:sz w:val="20"/>
                <w:lang w:eastAsia="en-GB"/>
              </w:rPr>
              <w:t>overloaded with details</w:t>
            </w:r>
            <w:r w:rsidRPr="0098628F">
              <w:rPr>
                <w:rFonts w:cs="Calibri"/>
                <w:sz w:val="20"/>
                <w:lang w:eastAsia="en-GB"/>
              </w:rPr>
              <w:br/>
              <w:t xml:space="preserve">- </w:t>
            </w:r>
            <w:r w:rsidRPr="00DF09D9">
              <w:rPr>
                <w:rFonts w:cs="Calibri"/>
                <w:b/>
                <w:bCs/>
                <w:sz w:val="20"/>
                <w:lang w:eastAsia="en-GB"/>
              </w:rPr>
              <w:t>Need to focus</w:t>
            </w:r>
            <w:r w:rsidRPr="0098628F">
              <w:rPr>
                <w:rFonts w:cs="Calibri"/>
                <w:sz w:val="20"/>
                <w:lang w:eastAsia="en-GB"/>
              </w:rPr>
              <w:t xml:space="preserve"> on core mission and scope</w:t>
            </w:r>
            <w:r w:rsidRPr="0098628F">
              <w:rPr>
                <w:rFonts w:cs="Calibri"/>
                <w:sz w:val="20"/>
                <w:lang w:eastAsia="en-GB"/>
              </w:rPr>
              <w:br/>
              <w:t xml:space="preserve">- Strategic plan </w:t>
            </w:r>
            <w:r w:rsidRPr="00DF09D9">
              <w:rPr>
                <w:rFonts w:cs="Calibri"/>
                <w:b/>
                <w:bCs/>
                <w:sz w:val="20"/>
                <w:lang w:eastAsia="en-GB"/>
              </w:rPr>
              <w:t>to remain high-level</w:t>
            </w:r>
          </w:p>
        </w:tc>
        <w:tc>
          <w:tcPr>
            <w:tcW w:w="1134" w:type="dxa"/>
            <w:tcBorders>
              <w:top w:val="nil"/>
              <w:left w:val="nil"/>
              <w:bottom w:val="nil"/>
              <w:right w:val="nil"/>
            </w:tcBorders>
            <w:shd w:val="clear" w:color="auto" w:fill="auto"/>
            <w:noWrap/>
            <w:vAlign w:val="center"/>
            <w:hideMark/>
          </w:tcPr>
          <w:p w14:paraId="2D2075D7" w14:textId="77777777" w:rsidR="0037027B" w:rsidRPr="0098628F" w:rsidRDefault="00A13386"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18" w:history="1">
              <w:r w:rsidR="0037027B" w:rsidRPr="0098628F">
                <w:rPr>
                  <w:rFonts w:cs="Calibri"/>
                  <w:color w:val="548DD4" w:themeColor="text2" w:themeTint="99"/>
                  <w:sz w:val="20"/>
                  <w:u w:val="single"/>
                  <w:lang w:eastAsia="en-GB"/>
                </w:rPr>
                <w:t>CWG-SFP-1/11</w:t>
              </w:r>
            </w:hyperlink>
          </w:p>
        </w:tc>
        <w:tc>
          <w:tcPr>
            <w:tcW w:w="3969" w:type="dxa"/>
            <w:vMerge/>
            <w:tcBorders>
              <w:left w:val="nil"/>
              <w:right w:val="nil"/>
            </w:tcBorders>
            <w:shd w:val="clear" w:color="auto" w:fill="auto"/>
            <w:noWrap/>
            <w:vAlign w:val="bottom"/>
            <w:hideMark/>
          </w:tcPr>
          <w:p w14:paraId="561F1732"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7027B" w:rsidRPr="0098628F" w14:paraId="53BD96B2" w14:textId="77777777" w:rsidTr="0037027B">
        <w:tc>
          <w:tcPr>
            <w:tcW w:w="1408" w:type="dxa"/>
            <w:tcBorders>
              <w:top w:val="nil"/>
              <w:left w:val="nil"/>
              <w:bottom w:val="nil"/>
              <w:right w:val="nil"/>
            </w:tcBorders>
            <w:shd w:val="clear" w:color="EDEDED" w:fill="EDEDED"/>
            <w:hideMark/>
          </w:tcPr>
          <w:p w14:paraId="5A66E39A" w14:textId="38F54E8C"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sz w:val="20"/>
                <w:lang w:eastAsia="en-GB"/>
              </w:rPr>
              <w:t>R</w:t>
            </w:r>
            <w:r>
              <w:rPr>
                <w:rFonts w:cs="Calibri"/>
                <w:sz w:val="20"/>
                <w:lang w:eastAsia="en-GB"/>
              </w:rPr>
              <w:t>ecs.</w:t>
            </w:r>
            <w:r w:rsidRPr="0098628F">
              <w:rPr>
                <w:rFonts w:cs="Calibri"/>
                <w:sz w:val="20"/>
                <w:lang w:eastAsia="en-GB"/>
              </w:rPr>
              <w:t xml:space="preserve"> / Findings:</w:t>
            </w:r>
          </w:p>
        </w:tc>
        <w:tc>
          <w:tcPr>
            <w:tcW w:w="8363" w:type="dxa"/>
            <w:tcBorders>
              <w:top w:val="nil"/>
              <w:left w:val="nil"/>
              <w:bottom w:val="nil"/>
              <w:right w:val="nil"/>
            </w:tcBorders>
            <w:shd w:val="clear" w:color="EDEDED" w:fill="EDEDED"/>
            <w:hideMark/>
          </w:tcPr>
          <w:p w14:paraId="38366C47" w14:textId="5F376605"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98628F">
              <w:rPr>
                <w:rFonts w:cs="Calibri"/>
                <w:i/>
                <w:iCs/>
                <w:sz w:val="20"/>
                <w:lang w:eastAsia="en-GB"/>
              </w:rPr>
              <w:t>(McKinsey Report on Culture &amp; Skills)</w:t>
            </w:r>
            <w:r w:rsidRPr="0098628F">
              <w:rPr>
                <w:rFonts w:cs="Calibri"/>
                <w:sz w:val="20"/>
                <w:lang w:eastAsia="en-GB"/>
              </w:rPr>
              <w:br/>
            </w:r>
            <w:r w:rsidRPr="0098628F">
              <w:rPr>
                <w:rFonts w:cs="Calibri"/>
                <w:b/>
                <w:bCs/>
                <w:sz w:val="20"/>
                <w:lang w:eastAsia="en-GB"/>
              </w:rPr>
              <w:t>a. Consider reviewing and better connecting the ITU’s and the Sectors’ mandates</w:t>
            </w:r>
            <w:r>
              <w:rPr>
                <w:rFonts w:cs="Calibri"/>
                <w:b/>
                <w:bCs/>
                <w:sz w:val="20"/>
                <w:lang w:eastAsia="en-GB"/>
              </w:rPr>
              <w:br/>
            </w:r>
            <w:r w:rsidRPr="0098628F">
              <w:rPr>
                <w:rFonts w:cs="Calibri"/>
                <w:b/>
                <w:bCs/>
                <w:sz w:val="20"/>
                <w:lang w:eastAsia="en-GB"/>
              </w:rPr>
              <w:t>a.1 - Initiate process to review ITU and each sector mandate – inviting views from external entities</w:t>
            </w:r>
            <w:r>
              <w:rPr>
                <w:rFonts w:cs="Calibri"/>
                <w:b/>
                <w:bCs/>
                <w:sz w:val="20"/>
                <w:lang w:eastAsia="en-GB"/>
              </w:rPr>
              <w:t xml:space="preserve"> </w:t>
            </w:r>
            <w:r w:rsidRPr="0098628F">
              <w:rPr>
                <w:rFonts w:cs="Calibri"/>
                <w:i/>
                <w:iCs/>
                <w:sz w:val="20"/>
                <w:lang w:eastAsia="en-GB"/>
              </w:rPr>
              <w:t>Option A  for consideration:</w:t>
            </w:r>
            <w:r>
              <w:rPr>
                <w:rFonts w:cs="Calibri"/>
                <w:i/>
                <w:iCs/>
                <w:sz w:val="20"/>
                <w:lang w:eastAsia="en-GB"/>
              </w:rPr>
              <w:t xml:space="preserve"> </w:t>
            </w:r>
            <w:r w:rsidRPr="0098628F">
              <w:rPr>
                <w:rFonts w:cs="Calibri"/>
                <w:sz w:val="20"/>
                <w:lang w:eastAsia="en-GB"/>
              </w:rPr>
              <w:t>- The CWG-SFP takes into consideration the recommendations while developing the ITU strategic plan 2024-2027</w:t>
            </w:r>
            <w:r>
              <w:rPr>
                <w:rFonts w:cs="Calibri"/>
                <w:sz w:val="20"/>
                <w:lang w:eastAsia="en-GB"/>
              </w:rPr>
              <w:t xml:space="preserve"> / </w:t>
            </w:r>
            <w:r w:rsidRPr="0098628F">
              <w:rPr>
                <w:rFonts w:cs="Calibri"/>
                <w:sz w:val="20"/>
                <w:lang w:eastAsia="en-GB"/>
              </w:rPr>
              <w:t>- New strategic framework to aim to better connect the Sectors’ mandate with the ITU mandate</w:t>
            </w:r>
            <w:r>
              <w:rPr>
                <w:rFonts w:cs="Calibri"/>
                <w:sz w:val="20"/>
                <w:lang w:eastAsia="en-GB"/>
              </w:rPr>
              <w:t xml:space="preserve"> / </w:t>
            </w:r>
            <w:r w:rsidRPr="0098628F">
              <w:rPr>
                <w:rFonts w:cs="Calibri"/>
                <w:sz w:val="20"/>
                <w:lang w:eastAsia="en-GB"/>
              </w:rPr>
              <w:t>- Views from all stakeholders to be invited (e.g. via public consultations)</w:t>
            </w:r>
            <w:r w:rsidRPr="0098628F">
              <w:rPr>
                <w:rFonts w:cs="Calibri"/>
                <w:sz w:val="20"/>
                <w:lang w:eastAsia="en-GB"/>
              </w:rPr>
              <w:br/>
            </w:r>
            <w:r w:rsidRPr="0098628F">
              <w:rPr>
                <w:rFonts w:cs="Calibri"/>
                <w:i/>
                <w:iCs/>
                <w:sz w:val="20"/>
                <w:lang w:eastAsia="en-GB"/>
              </w:rPr>
              <w:t>Option B  for consideration:</w:t>
            </w:r>
            <w:r>
              <w:rPr>
                <w:rFonts w:cs="Calibri"/>
                <w:i/>
                <w:iCs/>
                <w:sz w:val="20"/>
                <w:lang w:eastAsia="en-GB"/>
              </w:rPr>
              <w:t xml:space="preserve"> </w:t>
            </w:r>
            <w:r w:rsidRPr="0098628F">
              <w:rPr>
                <w:rFonts w:cs="Calibri"/>
                <w:sz w:val="20"/>
                <w:lang w:eastAsia="en-GB"/>
              </w:rPr>
              <w:t>- Member States to consider any other process to review ITU and each Sector’s mandate and instruct the secretariat for any further action</w:t>
            </w:r>
            <w:r w:rsidRPr="0098628F">
              <w:rPr>
                <w:rFonts w:cs="Calibri"/>
                <w:sz w:val="20"/>
                <w:lang w:eastAsia="en-GB"/>
              </w:rPr>
              <w:br/>
            </w:r>
            <w:r w:rsidRPr="0098628F">
              <w:rPr>
                <w:rFonts w:cs="Calibri"/>
                <w:b/>
                <w:bCs/>
                <w:sz w:val="20"/>
                <w:lang w:eastAsia="en-GB"/>
              </w:rPr>
              <w:t>a.2 - Accelerate effort to identify and make use of cross-sectorial synergies</w:t>
            </w:r>
            <w:r>
              <w:rPr>
                <w:rFonts w:cs="Calibri"/>
                <w:b/>
                <w:bCs/>
                <w:sz w:val="20"/>
                <w:lang w:eastAsia="en-GB"/>
              </w:rPr>
              <w:br/>
            </w:r>
            <w:r w:rsidRPr="0098628F">
              <w:rPr>
                <w:rFonts w:cs="Calibri"/>
                <w:i/>
                <w:iCs/>
                <w:sz w:val="20"/>
                <w:lang w:eastAsia="en-GB"/>
              </w:rPr>
              <w:t>Option</w:t>
            </w:r>
            <w:r>
              <w:rPr>
                <w:rFonts w:cs="Calibri"/>
                <w:i/>
                <w:iCs/>
                <w:sz w:val="20"/>
                <w:lang w:eastAsia="en-GB"/>
              </w:rPr>
              <w:t xml:space="preserve"> for consideration</w:t>
            </w:r>
            <w:r w:rsidRPr="0098628F">
              <w:rPr>
                <w:rFonts w:cs="Calibri"/>
                <w:i/>
                <w:iCs/>
                <w:sz w:val="20"/>
                <w:lang w:eastAsia="en-GB"/>
              </w:rPr>
              <w:t>:</w:t>
            </w:r>
            <w:r>
              <w:rPr>
                <w:rFonts w:cs="Calibri"/>
                <w:i/>
                <w:iCs/>
                <w:sz w:val="20"/>
                <w:lang w:eastAsia="en-GB"/>
              </w:rPr>
              <w:t xml:space="preserve"> </w:t>
            </w:r>
            <w:r w:rsidRPr="0098628F">
              <w:rPr>
                <w:rFonts w:cs="Calibri"/>
                <w:sz w:val="20"/>
                <w:lang w:eastAsia="en-GB"/>
              </w:rPr>
              <w:t>- The new strategic framework identifies common strategic priorities / themes / areas of work</w:t>
            </w:r>
            <w:r w:rsidRPr="0098628F">
              <w:rPr>
                <w:rFonts w:cs="Calibri"/>
                <w:sz w:val="20"/>
                <w:lang w:eastAsia="en-GB"/>
              </w:rPr>
              <w:br/>
              <w:t>- The development of the priorities / themes takes into consideration an analysis and mapping of themes and areas of work to identify synergies</w:t>
            </w:r>
            <w:r w:rsidRPr="0098628F">
              <w:rPr>
                <w:rFonts w:cs="Calibri"/>
                <w:sz w:val="20"/>
                <w:lang w:eastAsia="en-GB"/>
              </w:rPr>
              <w:br/>
            </w:r>
            <w:r w:rsidRPr="0098628F">
              <w:rPr>
                <w:rFonts w:cs="Calibri"/>
                <w:b/>
                <w:bCs/>
                <w:sz w:val="20"/>
                <w:lang w:eastAsia="en-GB"/>
              </w:rPr>
              <w:t>b. Consider reviewing ITU’s organizational structure and operating model</w:t>
            </w:r>
            <w:r>
              <w:rPr>
                <w:rFonts w:cs="Calibri"/>
                <w:b/>
                <w:bCs/>
                <w:sz w:val="20"/>
                <w:lang w:eastAsia="en-GB"/>
              </w:rPr>
              <w:t xml:space="preserve"> / </w:t>
            </w:r>
            <w:r w:rsidRPr="0098628F">
              <w:rPr>
                <w:rFonts w:cs="Calibri"/>
                <w:b/>
                <w:bCs/>
                <w:sz w:val="20"/>
                <w:lang w:eastAsia="en-GB"/>
              </w:rPr>
              <w:t>b.1 – Review end-to-end organizational design to ensure best fit to deliver mandate and eliminate inefficiencies</w:t>
            </w:r>
            <w:r w:rsidRPr="0098628F">
              <w:rPr>
                <w:rFonts w:cs="Calibri"/>
                <w:b/>
                <w:bCs/>
                <w:sz w:val="20"/>
                <w:lang w:eastAsia="en-GB"/>
              </w:rPr>
              <w:br/>
            </w:r>
            <w:r w:rsidRPr="0098628F">
              <w:rPr>
                <w:rFonts w:cs="Calibri"/>
                <w:i/>
                <w:iCs/>
                <w:sz w:val="20"/>
                <w:lang w:eastAsia="en-GB"/>
              </w:rPr>
              <w:t>Option A</w:t>
            </w:r>
            <w:r>
              <w:rPr>
                <w:rFonts w:cs="Calibri"/>
                <w:i/>
                <w:iCs/>
                <w:sz w:val="20"/>
                <w:lang w:eastAsia="en-GB"/>
              </w:rPr>
              <w:t xml:space="preserve"> for consideration: </w:t>
            </w:r>
            <w:r w:rsidRPr="0098628F">
              <w:rPr>
                <w:rFonts w:cs="Calibri"/>
                <w:sz w:val="20"/>
                <w:lang w:eastAsia="en-GB"/>
              </w:rPr>
              <w:t>- Within the new strategic plan, CWG-SFP takes into consideration the recommendations and identifies options for proposed changes</w:t>
            </w:r>
            <w:r w:rsidRPr="0098628F">
              <w:rPr>
                <w:rFonts w:cs="Calibri"/>
                <w:sz w:val="20"/>
                <w:lang w:eastAsia="en-GB"/>
              </w:rPr>
              <w:br/>
            </w:r>
            <w:r w:rsidRPr="0098628F">
              <w:rPr>
                <w:rFonts w:cs="Calibri"/>
                <w:i/>
                <w:iCs/>
                <w:sz w:val="20"/>
                <w:lang w:eastAsia="en-GB"/>
              </w:rPr>
              <w:t>Option B</w:t>
            </w:r>
            <w:r>
              <w:rPr>
                <w:rFonts w:cs="Calibri"/>
                <w:i/>
                <w:iCs/>
                <w:sz w:val="20"/>
                <w:lang w:eastAsia="en-GB"/>
              </w:rPr>
              <w:t xml:space="preserve"> for consideration: </w:t>
            </w:r>
            <w:r w:rsidRPr="0098628F">
              <w:rPr>
                <w:rFonts w:cs="Calibri"/>
                <w:sz w:val="20"/>
                <w:lang w:eastAsia="en-GB"/>
              </w:rPr>
              <w:t>- Member States to consider a dedicated process for governance and organizational review (defining high level scope and an org./governance review team)</w:t>
            </w:r>
            <w:r w:rsidRPr="0098628F">
              <w:rPr>
                <w:rFonts w:cs="Calibri"/>
                <w:sz w:val="20"/>
                <w:lang w:eastAsia="en-GB"/>
              </w:rPr>
              <w:br/>
              <w:t>b.2 – Start building agile teams around cross-cutting topics</w:t>
            </w:r>
            <w:r w:rsidRPr="0098628F">
              <w:rPr>
                <w:rFonts w:cs="Calibri"/>
                <w:sz w:val="20"/>
                <w:lang w:eastAsia="en-GB"/>
              </w:rPr>
              <w:br/>
            </w:r>
            <w:r w:rsidRPr="0098628F">
              <w:rPr>
                <w:rFonts w:cs="Calibri"/>
                <w:i/>
                <w:iCs/>
                <w:sz w:val="20"/>
                <w:lang w:eastAsia="en-GB"/>
              </w:rPr>
              <w:t>Option</w:t>
            </w:r>
            <w:r>
              <w:rPr>
                <w:rFonts w:cs="Calibri"/>
                <w:i/>
                <w:iCs/>
                <w:sz w:val="20"/>
                <w:lang w:eastAsia="en-GB"/>
              </w:rPr>
              <w:t xml:space="preserve"> for consideration</w:t>
            </w:r>
            <w:r w:rsidRPr="0098628F">
              <w:rPr>
                <w:rFonts w:cs="Calibri"/>
                <w:i/>
                <w:iCs/>
                <w:sz w:val="20"/>
                <w:lang w:eastAsia="en-GB"/>
              </w:rPr>
              <w:t>:</w:t>
            </w:r>
            <w:r w:rsidRPr="0098628F">
              <w:rPr>
                <w:rFonts w:cs="Calibri"/>
                <w:sz w:val="20"/>
                <w:lang w:eastAsia="en-GB"/>
              </w:rPr>
              <w:br/>
              <w:t>- CWG-SFP to identify the list of cross-cutting topics/themes</w:t>
            </w:r>
            <w:r w:rsidRPr="0098628F">
              <w:rPr>
                <w:rFonts w:cs="Calibri"/>
                <w:sz w:val="20"/>
                <w:lang w:eastAsia="en-GB"/>
              </w:rPr>
              <w:br/>
              <w:t>- CWG-SFP to consider ways to reinforce cross-cutting topics in the new strategic planning framework</w:t>
            </w:r>
          </w:p>
        </w:tc>
        <w:tc>
          <w:tcPr>
            <w:tcW w:w="1134" w:type="dxa"/>
            <w:tcBorders>
              <w:top w:val="nil"/>
              <w:left w:val="nil"/>
              <w:bottom w:val="nil"/>
              <w:right w:val="nil"/>
            </w:tcBorders>
            <w:shd w:val="clear" w:color="EDEDED" w:fill="EDEDED"/>
            <w:noWrap/>
            <w:vAlign w:val="center"/>
            <w:hideMark/>
          </w:tcPr>
          <w:p w14:paraId="1AE4B7C3" w14:textId="77777777" w:rsidR="0037027B" w:rsidRPr="0098628F" w:rsidRDefault="00A13386" w:rsidP="0098628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19" w:history="1">
              <w:r w:rsidR="0037027B" w:rsidRPr="0098628F">
                <w:rPr>
                  <w:rFonts w:cs="Calibri"/>
                  <w:color w:val="548DD4" w:themeColor="text2" w:themeTint="99"/>
                  <w:sz w:val="20"/>
                  <w:u w:val="single"/>
                  <w:lang w:eastAsia="en-GB"/>
                </w:rPr>
                <w:t>CWG-SFP-1/5</w:t>
              </w:r>
            </w:hyperlink>
          </w:p>
        </w:tc>
        <w:tc>
          <w:tcPr>
            <w:tcW w:w="3969" w:type="dxa"/>
            <w:vMerge/>
            <w:tcBorders>
              <w:left w:val="nil"/>
              <w:bottom w:val="nil"/>
              <w:right w:val="nil"/>
            </w:tcBorders>
            <w:shd w:val="clear" w:color="auto" w:fill="auto"/>
            <w:hideMark/>
          </w:tcPr>
          <w:p w14:paraId="35748FCE" w14:textId="77777777" w:rsidR="0037027B" w:rsidRPr="0098628F" w:rsidRDefault="0037027B" w:rsidP="0098628F">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r>
    </w:tbl>
    <w:p w14:paraId="5AC06326" w14:textId="47FED416" w:rsidR="00BE032F" w:rsidRDefault="00C45579" w:rsidP="00C45579">
      <w:pPr>
        <w:pStyle w:val="Heading2"/>
      </w:pPr>
      <w:r>
        <w:lastRenderedPageBreak/>
        <w:t>One ITU</w:t>
      </w:r>
    </w:p>
    <w:tbl>
      <w:tblPr>
        <w:tblW w:w="15016" w:type="dxa"/>
        <w:tblInd w:w="10" w:type="dxa"/>
        <w:tblLook w:val="04A0" w:firstRow="1" w:lastRow="0" w:firstColumn="1" w:lastColumn="0" w:noHBand="0" w:noVBand="1"/>
      </w:tblPr>
      <w:tblGrid>
        <w:gridCol w:w="1281"/>
        <w:gridCol w:w="9057"/>
        <w:gridCol w:w="951"/>
        <w:gridCol w:w="3727"/>
      </w:tblGrid>
      <w:tr w:rsidR="0037027B" w:rsidRPr="00C9026F" w14:paraId="1DB7A7A4" w14:textId="77777777" w:rsidTr="0037027B">
        <w:tc>
          <w:tcPr>
            <w:tcW w:w="1281" w:type="dxa"/>
            <w:tcBorders>
              <w:top w:val="single" w:sz="8" w:space="0" w:color="FFFFFF"/>
              <w:left w:val="nil"/>
              <w:bottom w:val="single" w:sz="4" w:space="0" w:color="A5A5A5"/>
              <w:right w:val="nil"/>
            </w:tcBorders>
            <w:shd w:val="clear" w:color="auto" w:fill="auto"/>
            <w:vAlign w:val="center"/>
            <w:hideMark/>
          </w:tcPr>
          <w:p w14:paraId="67C0DD83" w14:textId="77777777"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C9026F">
              <w:rPr>
                <w:rFonts w:cs="Calibri"/>
                <w:b/>
                <w:bCs/>
                <w:sz w:val="20"/>
                <w:lang w:eastAsia="en-GB"/>
              </w:rPr>
              <w:t>Input source</w:t>
            </w:r>
          </w:p>
        </w:tc>
        <w:tc>
          <w:tcPr>
            <w:tcW w:w="9057" w:type="dxa"/>
            <w:tcBorders>
              <w:top w:val="single" w:sz="8" w:space="0" w:color="FFFFFF"/>
              <w:left w:val="nil"/>
              <w:bottom w:val="single" w:sz="4" w:space="0" w:color="A5A5A5"/>
              <w:right w:val="nil"/>
            </w:tcBorders>
            <w:shd w:val="clear" w:color="auto" w:fill="auto"/>
            <w:vAlign w:val="center"/>
            <w:hideMark/>
          </w:tcPr>
          <w:p w14:paraId="6CFEEB77" w14:textId="4F1E947F"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951" w:type="dxa"/>
            <w:tcBorders>
              <w:top w:val="single" w:sz="8" w:space="0" w:color="FFFFFF"/>
              <w:left w:val="nil"/>
              <w:bottom w:val="single" w:sz="4" w:space="0" w:color="A5A5A5"/>
              <w:right w:val="nil"/>
            </w:tcBorders>
            <w:shd w:val="clear" w:color="auto" w:fill="auto"/>
            <w:vAlign w:val="center"/>
            <w:hideMark/>
          </w:tcPr>
          <w:p w14:paraId="0A9C1E42" w14:textId="0BAA5C9C"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C9026F">
              <w:rPr>
                <w:rFonts w:cs="Calibri"/>
                <w:b/>
                <w:bCs/>
                <w:sz w:val="20"/>
                <w:lang w:eastAsia="en-GB"/>
              </w:rPr>
              <w:t>CWG-SFP doc.</w:t>
            </w:r>
          </w:p>
        </w:tc>
        <w:tc>
          <w:tcPr>
            <w:tcW w:w="3727" w:type="dxa"/>
            <w:tcBorders>
              <w:top w:val="single" w:sz="8" w:space="0" w:color="FFFFFF"/>
              <w:left w:val="nil"/>
              <w:bottom w:val="single" w:sz="4" w:space="0" w:color="A5A5A5"/>
              <w:right w:val="nil"/>
            </w:tcBorders>
            <w:shd w:val="clear" w:color="auto" w:fill="auto"/>
            <w:vAlign w:val="center"/>
            <w:hideMark/>
          </w:tcPr>
          <w:p w14:paraId="45991B43" w14:textId="77777777"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C9026F">
              <w:rPr>
                <w:rFonts w:cs="Calibri"/>
                <w:b/>
                <w:bCs/>
                <w:sz w:val="20"/>
                <w:lang w:eastAsia="en-GB"/>
              </w:rPr>
              <w:t>CWG-SFP Guidance</w:t>
            </w:r>
          </w:p>
        </w:tc>
      </w:tr>
      <w:tr w:rsidR="0037027B" w:rsidRPr="00C9026F" w14:paraId="47DF0C05" w14:textId="77777777" w:rsidTr="0037027B">
        <w:tc>
          <w:tcPr>
            <w:tcW w:w="1281" w:type="dxa"/>
            <w:tcBorders>
              <w:top w:val="nil"/>
              <w:left w:val="nil"/>
              <w:bottom w:val="nil"/>
              <w:right w:val="nil"/>
            </w:tcBorders>
            <w:shd w:val="clear" w:color="EDEDED" w:fill="EDEDED"/>
            <w:hideMark/>
          </w:tcPr>
          <w:p w14:paraId="094F7ED5" w14:textId="77777777"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sz w:val="20"/>
                <w:lang w:eastAsia="en-GB"/>
              </w:rPr>
              <w:t>Online consultation:</w:t>
            </w:r>
          </w:p>
        </w:tc>
        <w:tc>
          <w:tcPr>
            <w:tcW w:w="9057" w:type="dxa"/>
            <w:tcBorders>
              <w:top w:val="nil"/>
              <w:left w:val="nil"/>
              <w:bottom w:val="nil"/>
              <w:right w:val="nil"/>
            </w:tcBorders>
            <w:shd w:val="clear" w:color="EDEDED" w:fill="EDEDED"/>
            <w:hideMark/>
          </w:tcPr>
          <w:p w14:paraId="49C16C46" w14:textId="77777777"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sz w:val="20"/>
                <w:lang w:eastAsia="en-GB"/>
              </w:rPr>
              <w:t xml:space="preserve">- Agreement on the </w:t>
            </w:r>
            <w:r w:rsidRPr="000C5EA7">
              <w:rPr>
                <w:rFonts w:cs="Calibri"/>
                <w:b/>
                <w:bCs/>
                <w:sz w:val="20"/>
                <w:lang w:eastAsia="en-GB"/>
              </w:rPr>
              <w:t>significant importance for the One ITU concept</w:t>
            </w:r>
            <w:r w:rsidRPr="00C9026F">
              <w:rPr>
                <w:rFonts w:cs="Calibri"/>
                <w:sz w:val="20"/>
                <w:lang w:eastAsia="en-GB"/>
              </w:rPr>
              <w:t xml:space="preserve"> to keep guiding ongoing work (perhaps with further clarification on the concept)</w:t>
            </w:r>
            <w:r w:rsidRPr="00C9026F">
              <w:rPr>
                <w:rFonts w:cs="Calibri"/>
                <w:sz w:val="20"/>
                <w:lang w:eastAsia="en-GB"/>
              </w:rPr>
              <w:br/>
              <w:t xml:space="preserve">- New strategic plan needs to </w:t>
            </w:r>
            <w:r w:rsidRPr="000C5EA7">
              <w:rPr>
                <w:rFonts w:cs="Calibri"/>
                <w:b/>
                <w:bCs/>
                <w:sz w:val="20"/>
                <w:lang w:eastAsia="en-GB"/>
              </w:rPr>
              <w:t>enhance cooperation between the 3 Sectors</w:t>
            </w:r>
            <w:r w:rsidRPr="00C9026F">
              <w:rPr>
                <w:rFonts w:cs="Calibri"/>
                <w:sz w:val="20"/>
                <w:lang w:eastAsia="en-GB"/>
              </w:rPr>
              <w:t xml:space="preserve">, considering </w:t>
            </w:r>
            <w:r w:rsidRPr="000C5EA7">
              <w:rPr>
                <w:rFonts w:cs="Calibri"/>
                <w:b/>
                <w:bCs/>
                <w:sz w:val="20"/>
                <w:lang w:eastAsia="en-GB"/>
              </w:rPr>
              <w:t>efficiencies</w:t>
            </w:r>
            <w:r w:rsidRPr="00C9026F">
              <w:rPr>
                <w:rFonts w:cs="Calibri"/>
                <w:sz w:val="20"/>
                <w:lang w:eastAsia="en-GB"/>
              </w:rPr>
              <w:t xml:space="preserve"> and </w:t>
            </w:r>
            <w:r w:rsidRPr="000C5EA7">
              <w:rPr>
                <w:rFonts w:cs="Calibri"/>
                <w:b/>
                <w:bCs/>
                <w:sz w:val="20"/>
                <w:lang w:eastAsia="en-GB"/>
              </w:rPr>
              <w:t>synergies</w:t>
            </w:r>
            <w:r w:rsidRPr="00C9026F">
              <w:rPr>
                <w:rFonts w:cs="Calibri"/>
                <w:sz w:val="20"/>
                <w:lang w:eastAsia="en-GB"/>
              </w:rPr>
              <w:br/>
              <w:t xml:space="preserve">- A proposal to </w:t>
            </w:r>
            <w:r w:rsidRPr="000C5EA7">
              <w:rPr>
                <w:rFonts w:cs="Calibri"/>
                <w:b/>
                <w:bCs/>
                <w:sz w:val="20"/>
                <w:lang w:eastAsia="en-GB"/>
              </w:rPr>
              <w:t>allocate resources flexibly</w:t>
            </w:r>
            <w:r w:rsidRPr="00C9026F">
              <w:rPr>
                <w:rFonts w:cs="Calibri"/>
                <w:sz w:val="20"/>
                <w:lang w:eastAsia="en-GB"/>
              </w:rPr>
              <w:t xml:space="preserve"> rather than running the Sectors separately</w:t>
            </w:r>
          </w:p>
        </w:tc>
        <w:tc>
          <w:tcPr>
            <w:tcW w:w="951" w:type="dxa"/>
            <w:tcBorders>
              <w:top w:val="nil"/>
              <w:left w:val="nil"/>
              <w:bottom w:val="nil"/>
              <w:right w:val="nil"/>
            </w:tcBorders>
            <w:shd w:val="clear" w:color="EDEDED" w:fill="EDEDED"/>
            <w:noWrap/>
            <w:vAlign w:val="center"/>
            <w:hideMark/>
          </w:tcPr>
          <w:p w14:paraId="1C638A6E" w14:textId="77777777" w:rsidR="0037027B" w:rsidRPr="00C9026F" w:rsidRDefault="00A13386"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0" w:history="1">
              <w:r w:rsidR="0037027B" w:rsidRPr="00C9026F">
                <w:rPr>
                  <w:rFonts w:cs="Calibri"/>
                  <w:color w:val="548DD4" w:themeColor="text2" w:themeTint="99"/>
                  <w:sz w:val="20"/>
                  <w:u w:val="single"/>
                  <w:lang w:eastAsia="en-GB"/>
                </w:rPr>
                <w:t>CWG-SFP-1/11</w:t>
              </w:r>
            </w:hyperlink>
          </w:p>
        </w:tc>
        <w:tc>
          <w:tcPr>
            <w:tcW w:w="3727" w:type="dxa"/>
            <w:vMerge w:val="restart"/>
            <w:tcBorders>
              <w:top w:val="nil"/>
              <w:left w:val="nil"/>
              <w:right w:val="nil"/>
            </w:tcBorders>
            <w:shd w:val="clear" w:color="auto" w:fill="FFFFFF" w:themeFill="background1"/>
            <w:noWrap/>
            <w:hideMark/>
          </w:tcPr>
          <w:p w14:paraId="08C34FF4" w14:textId="312AADBC" w:rsidR="0037027B" w:rsidRPr="00211087" w:rsidRDefault="0037027B" w:rsidP="007C4B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211087">
              <w:rPr>
                <w:rFonts w:cs="Calibri"/>
                <w:sz w:val="22"/>
                <w:szCs w:val="22"/>
                <w:lang w:eastAsia="en-GB"/>
              </w:rPr>
              <w:t xml:space="preserve">- Request the secretariat to further develop </w:t>
            </w:r>
            <w:r>
              <w:rPr>
                <w:rFonts w:cs="Calibri"/>
                <w:sz w:val="22"/>
                <w:szCs w:val="22"/>
                <w:lang w:eastAsia="en-GB"/>
              </w:rPr>
              <w:t>inputs</w:t>
            </w:r>
            <w:r w:rsidRPr="00211087">
              <w:rPr>
                <w:rFonts w:cs="Calibri"/>
                <w:sz w:val="22"/>
                <w:szCs w:val="22"/>
                <w:lang w:eastAsia="en-GB"/>
              </w:rPr>
              <w:t xml:space="preserve"> to</w:t>
            </w:r>
            <w:r>
              <w:rPr>
                <w:rFonts w:cs="Calibri"/>
                <w:sz w:val="22"/>
                <w:szCs w:val="22"/>
                <w:lang w:eastAsia="en-GB"/>
              </w:rPr>
              <w:t xml:space="preserve"> clarify and</w:t>
            </w:r>
            <w:r w:rsidRPr="00211087">
              <w:rPr>
                <w:rFonts w:cs="Calibri"/>
                <w:sz w:val="22"/>
                <w:szCs w:val="22"/>
                <w:lang w:eastAsia="en-GB"/>
              </w:rPr>
              <w:t xml:space="preserve"> strengthen the concept of One ITU, and CWG</w:t>
            </w:r>
            <w:r>
              <w:rPr>
                <w:rFonts w:cs="Calibri"/>
                <w:sz w:val="22"/>
                <w:szCs w:val="22"/>
                <w:lang w:eastAsia="en-GB"/>
              </w:rPr>
              <w:t>-SFP</w:t>
            </w:r>
            <w:r w:rsidRPr="00211087">
              <w:rPr>
                <w:rFonts w:cs="Calibri"/>
                <w:sz w:val="22"/>
                <w:szCs w:val="22"/>
                <w:lang w:eastAsia="en-GB"/>
              </w:rPr>
              <w:t xml:space="preserve"> to then further consider it for the development of the strategic plan</w:t>
            </w:r>
            <w:r w:rsidRPr="00211087">
              <w:rPr>
                <w:rFonts w:cs="Calibri"/>
                <w:sz w:val="22"/>
                <w:szCs w:val="22"/>
                <w:lang w:eastAsia="en-GB"/>
              </w:rPr>
              <w:br/>
              <w:t>- Request the secretariat to leverage cross-sectoral strategic priorities/themes/areas of work and reflect the One ITU concept, while recognizing the contribution of the ITU Sectors, being able to articulate the products and services ITU can provide as an organization</w:t>
            </w:r>
            <w:r w:rsidRPr="00211087">
              <w:rPr>
                <w:rFonts w:cs="Calibri"/>
                <w:sz w:val="22"/>
                <w:szCs w:val="22"/>
                <w:lang w:eastAsia="en-GB"/>
              </w:rPr>
              <w:br/>
              <w:t xml:space="preserve">- Request the secretariat to </w:t>
            </w:r>
            <w:r w:rsidR="007C4BFD">
              <w:rPr>
                <w:rFonts w:cs="Calibri"/>
                <w:sz w:val="22"/>
                <w:szCs w:val="22"/>
                <w:lang w:eastAsia="en-GB"/>
              </w:rPr>
              <w:t xml:space="preserve">clarify and </w:t>
            </w:r>
            <w:r w:rsidRPr="00211087">
              <w:rPr>
                <w:rFonts w:cs="Calibri"/>
                <w:sz w:val="22"/>
                <w:szCs w:val="22"/>
                <w:lang w:eastAsia="en-GB"/>
              </w:rPr>
              <w:t xml:space="preserve">consider </w:t>
            </w:r>
            <w:r>
              <w:rPr>
                <w:rFonts w:cs="Calibri"/>
                <w:sz w:val="22"/>
                <w:szCs w:val="22"/>
                <w:lang w:eastAsia="en-GB"/>
              </w:rPr>
              <w:t xml:space="preserve">whether there are </w:t>
            </w:r>
            <w:r w:rsidRPr="00211087">
              <w:rPr>
                <w:rFonts w:cs="Calibri"/>
                <w:sz w:val="22"/>
                <w:szCs w:val="22"/>
                <w:lang w:eastAsia="en-GB"/>
              </w:rPr>
              <w:t>possibilities on a more flexible allocation of resources across Sectors</w:t>
            </w:r>
          </w:p>
        </w:tc>
      </w:tr>
      <w:tr w:rsidR="0037027B" w:rsidRPr="00C9026F" w14:paraId="38950A49" w14:textId="77777777" w:rsidTr="0037027B">
        <w:tc>
          <w:tcPr>
            <w:tcW w:w="1281" w:type="dxa"/>
            <w:tcBorders>
              <w:top w:val="nil"/>
              <w:left w:val="nil"/>
              <w:bottom w:val="single" w:sz="4" w:space="0" w:color="A5A5A5"/>
              <w:right w:val="nil"/>
            </w:tcBorders>
            <w:shd w:val="clear" w:color="auto" w:fill="auto"/>
            <w:hideMark/>
          </w:tcPr>
          <w:p w14:paraId="047520ED" w14:textId="704E403D"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C9026F">
              <w:rPr>
                <w:rFonts w:cs="Calibri"/>
                <w:sz w:val="20"/>
                <w:lang w:eastAsia="en-GB"/>
              </w:rPr>
              <w:t xml:space="preserve"> / Findings:</w:t>
            </w:r>
          </w:p>
        </w:tc>
        <w:tc>
          <w:tcPr>
            <w:tcW w:w="9057" w:type="dxa"/>
            <w:tcBorders>
              <w:top w:val="nil"/>
              <w:left w:val="nil"/>
              <w:bottom w:val="single" w:sz="4" w:space="0" w:color="A5A5A5"/>
              <w:right w:val="nil"/>
            </w:tcBorders>
            <w:shd w:val="clear" w:color="auto" w:fill="auto"/>
            <w:hideMark/>
          </w:tcPr>
          <w:p w14:paraId="3BF595F6" w14:textId="77777777" w:rsidR="0037027B" w:rsidRDefault="0037027B" w:rsidP="00DE1144">
            <w:pPr>
              <w:tabs>
                <w:tab w:val="clear" w:pos="567"/>
                <w:tab w:val="clear" w:pos="1134"/>
                <w:tab w:val="clear" w:pos="1701"/>
                <w:tab w:val="clear" w:pos="2268"/>
                <w:tab w:val="clear" w:pos="2835"/>
              </w:tabs>
              <w:overflowPunct/>
              <w:autoSpaceDE/>
              <w:autoSpaceDN/>
              <w:adjustRightInd/>
              <w:spacing w:before="60"/>
              <w:textAlignment w:val="auto"/>
              <w:rPr>
                <w:rFonts w:cs="Calibri"/>
                <w:i/>
                <w:iCs/>
                <w:sz w:val="20"/>
                <w:lang w:eastAsia="en-GB"/>
              </w:rPr>
            </w:pPr>
            <w:r w:rsidRPr="00C9026F">
              <w:rPr>
                <w:rFonts w:cs="Calibri"/>
                <w:i/>
                <w:iCs/>
                <w:sz w:val="20"/>
                <w:lang w:eastAsia="en-GB"/>
              </w:rPr>
              <w:t>(McKinsey Report on Culture &amp; Skills)</w:t>
            </w:r>
          </w:p>
          <w:p w14:paraId="3BFDC87E" w14:textId="5786D3A2" w:rsidR="0037027B" w:rsidRDefault="0037027B" w:rsidP="00ED0D0E">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b/>
                <w:bCs/>
                <w:sz w:val="20"/>
                <w:lang w:eastAsia="en-GB"/>
              </w:rPr>
              <w:t>a.2 - Accelerate effort to identify and make use of cross-sectorial synergies</w:t>
            </w:r>
            <w:r w:rsidRPr="00C9026F">
              <w:rPr>
                <w:rFonts w:cs="Calibri"/>
                <w:b/>
                <w:bCs/>
                <w:sz w:val="20"/>
                <w:lang w:eastAsia="en-GB"/>
              </w:rPr>
              <w:br/>
            </w:r>
            <w:r w:rsidRPr="00C9026F">
              <w:rPr>
                <w:rFonts w:cs="Calibri"/>
                <w:sz w:val="20"/>
                <w:lang w:eastAsia="en-GB"/>
              </w:rPr>
              <w:t>a.2.1 Define the right governance for the team in charge with the initiative</w:t>
            </w:r>
            <w:r>
              <w:rPr>
                <w:rFonts w:cs="Calibri"/>
                <w:sz w:val="20"/>
                <w:lang w:eastAsia="en-GB"/>
              </w:rPr>
              <w:t xml:space="preserve"> / </w:t>
            </w:r>
            <w:r w:rsidRPr="00C9026F">
              <w:rPr>
                <w:rFonts w:cs="Calibri"/>
                <w:sz w:val="20"/>
                <w:lang w:eastAsia="en-GB"/>
              </w:rPr>
              <w:t>a.2.2 Run analysis of existing activities and initiatives to identify duplicates and low-performing activities</w:t>
            </w:r>
            <w:r>
              <w:rPr>
                <w:rFonts w:cs="Calibri"/>
                <w:sz w:val="20"/>
                <w:lang w:eastAsia="en-GB"/>
              </w:rPr>
              <w:t xml:space="preserve"> / </w:t>
            </w:r>
            <w:r w:rsidRPr="00C9026F">
              <w:rPr>
                <w:rFonts w:cs="Calibri"/>
                <w:sz w:val="20"/>
                <w:lang w:eastAsia="en-GB"/>
              </w:rPr>
              <w:t>a.2.3 Discuss potential collaborations for duplicated activities/initiatives and cancellation of low-performing ones with leadership and respective project team and define actions</w:t>
            </w:r>
            <w:r>
              <w:rPr>
                <w:rFonts w:cs="Calibri"/>
                <w:sz w:val="20"/>
                <w:lang w:eastAsia="en-GB"/>
              </w:rPr>
              <w:t xml:space="preserve"> / </w:t>
            </w:r>
            <w:r w:rsidRPr="00C9026F">
              <w:rPr>
                <w:rFonts w:cs="Calibri"/>
                <w:sz w:val="20"/>
                <w:lang w:eastAsia="en-GB"/>
              </w:rPr>
              <w:t>a.2.4 Create transparency around duplications of activities to ensure these are taken into account before launching new activity/initiatives, e.g., in approval process</w:t>
            </w:r>
            <w:r>
              <w:rPr>
                <w:rFonts w:cs="Calibri"/>
                <w:sz w:val="20"/>
                <w:lang w:eastAsia="en-GB"/>
              </w:rPr>
              <w:t xml:space="preserve"> / </w:t>
            </w:r>
            <w:r w:rsidRPr="00C9026F">
              <w:rPr>
                <w:rFonts w:cs="Calibri"/>
                <w:sz w:val="20"/>
                <w:lang w:eastAsia="en-GB"/>
              </w:rPr>
              <w:t>a.2.5 Refresh analysis on a regular basis, e.g., at the beginning of each strategic planning cycle</w:t>
            </w:r>
            <w:r w:rsidRPr="00C9026F">
              <w:rPr>
                <w:rFonts w:cs="Calibri"/>
                <w:sz w:val="20"/>
                <w:lang w:eastAsia="en-GB"/>
              </w:rPr>
              <w:br/>
            </w:r>
            <w:r w:rsidRPr="00C9026F">
              <w:rPr>
                <w:rFonts w:cs="Calibri"/>
                <w:i/>
                <w:iCs/>
                <w:sz w:val="20"/>
                <w:lang w:eastAsia="en-GB"/>
              </w:rPr>
              <w:t>Option for consideration:</w:t>
            </w:r>
            <w:r w:rsidRPr="00C9026F">
              <w:rPr>
                <w:rFonts w:cs="Calibri"/>
                <w:sz w:val="20"/>
                <w:lang w:eastAsia="en-GB"/>
              </w:rPr>
              <w:br/>
              <w:t>- The new strategic framework identifies common strategic priorities/themes/areas of work</w:t>
            </w:r>
            <w:r w:rsidRPr="00C9026F">
              <w:rPr>
                <w:rFonts w:cs="Calibri"/>
                <w:sz w:val="20"/>
                <w:lang w:eastAsia="en-GB"/>
              </w:rPr>
              <w:br/>
              <w:t>- The development of the priorities / themes takes into consideration an analysis and mapping of themes and areas of work to identify synergies.</w:t>
            </w:r>
            <w:r w:rsidRPr="00C9026F">
              <w:rPr>
                <w:rFonts w:cs="Calibri"/>
                <w:sz w:val="20"/>
                <w:lang w:eastAsia="en-GB"/>
              </w:rPr>
              <w:br/>
            </w:r>
            <w:r w:rsidRPr="00C9026F">
              <w:rPr>
                <w:rFonts w:cs="Calibri"/>
                <w:b/>
                <w:bCs/>
                <w:sz w:val="20"/>
                <w:lang w:eastAsia="en-GB"/>
              </w:rPr>
              <w:t>b.2 - Start building agile teams around cross-cutting topics</w:t>
            </w:r>
            <w:r w:rsidRPr="00C9026F">
              <w:rPr>
                <w:rFonts w:cs="Calibri"/>
                <w:b/>
                <w:bCs/>
                <w:sz w:val="20"/>
                <w:lang w:eastAsia="en-GB"/>
              </w:rPr>
              <w:br/>
            </w:r>
            <w:r w:rsidRPr="00C9026F">
              <w:rPr>
                <w:rFonts w:cs="Calibri"/>
                <w:i/>
                <w:iCs/>
                <w:sz w:val="20"/>
                <w:lang w:eastAsia="en-GB"/>
              </w:rPr>
              <w:t>(Option for consideration for b.2)</w:t>
            </w:r>
            <w:r w:rsidRPr="00C9026F">
              <w:rPr>
                <w:rFonts w:cs="Calibri"/>
                <w:b/>
                <w:bCs/>
                <w:i/>
                <w:iCs/>
                <w:sz w:val="20"/>
                <w:lang w:eastAsia="en-GB"/>
              </w:rPr>
              <w:br/>
            </w:r>
            <w:r w:rsidRPr="00C9026F">
              <w:rPr>
                <w:rFonts w:cs="Calibri"/>
                <w:sz w:val="20"/>
                <w:lang w:eastAsia="en-GB"/>
              </w:rPr>
              <w:t>- CWG-SFP to identify the list of cross-cutting topics/themes</w:t>
            </w:r>
            <w:r w:rsidRPr="00C9026F">
              <w:rPr>
                <w:rFonts w:cs="Calibri"/>
                <w:sz w:val="20"/>
                <w:lang w:eastAsia="en-GB"/>
              </w:rPr>
              <w:br/>
              <w:t>- CWG-SFP to consider ways to reinforce cross-cutting topics in the new strategic planning framework</w:t>
            </w:r>
          </w:p>
          <w:p w14:paraId="573053C2" w14:textId="77777777" w:rsidR="0037027B" w:rsidRDefault="0037027B" w:rsidP="00C00180">
            <w:pPr>
              <w:tabs>
                <w:tab w:val="clear" w:pos="567"/>
                <w:tab w:val="clear" w:pos="1134"/>
                <w:tab w:val="clear" w:pos="1701"/>
                <w:tab w:val="clear" w:pos="2268"/>
                <w:tab w:val="clear" w:pos="2835"/>
              </w:tabs>
              <w:overflowPunct/>
              <w:autoSpaceDE/>
              <w:autoSpaceDN/>
              <w:adjustRightInd/>
              <w:spacing w:before="60"/>
              <w:textAlignment w:val="auto"/>
              <w:rPr>
                <w:rFonts w:cs="Calibri"/>
                <w:i/>
                <w:iCs/>
                <w:sz w:val="20"/>
                <w:lang w:eastAsia="en-GB"/>
              </w:rPr>
            </w:pPr>
            <w:r w:rsidRPr="00C9026F">
              <w:rPr>
                <w:rFonts w:cs="Calibri"/>
                <w:i/>
                <w:iCs/>
                <w:sz w:val="20"/>
                <w:lang w:eastAsia="en-GB"/>
              </w:rPr>
              <w:t>(PwC Report on Regional Presence)</w:t>
            </w:r>
          </w:p>
          <w:p w14:paraId="3C0C441E" w14:textId="740A29DE" w:rsidR="0037027B" w:rsidRDefault="0037027B" w:rsidP="00ED0D0E">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b/>
                <w:bCs/>
                <w:sz w:val="20"/>
                <w:lang w:eastAsia="en-GB"/>
              </w:rPr>
              <w:t>1.3. Define priorities for UNCT engagement </w:t>
            </w:r>
            <w:r w:rsidRPr="00C9026F">
              <w:rPr>
                <w:rFonts w:cs="Calibri"/>
                <w:sz w:val="20"/>
                <w:lang w:eastAsia="en-GB"/>
              </w:rPr>
              <w:br/>
              <w:t>1.3.1. Prioritise country-level engagements with the 131 UNCTs that will initiate Common Country Assessments in the next 3 years</w:t>
            </w:r>
            <w:r w:rsidRPr="00C9026F">
              <w:rPr>
                <w:rFonts w:cs="Calibri"/>
                <w:sz w:val="20"/>
                <w:lang w:eastAsia="en-GB"/>
              </w:rPr>
              <w:br/>
              <w:t>1.3.2. Explore potential partnership with UNDP in the context of the Accelerator Labs initiative</w:t>
            </w:r>
            <w:r w:rsidRPr="00C9026F">
              <w:rPr>
                <w:rFonts w:cs="Calibri"/>
                <w:sz w:val="20"/>
                <w:lang w:eastAsia="en-GB"/>
              </w:rPr>
              <w:br/>
            </w:r>
            <w:r w:rsidRPr="00C9026F">
              <w:rPr>
                <w:rFonts w:cs="Calibri"/>
                <w:i/>
                <w:iCs/>
                <w:sz w:val="20"/>
                <w:lang w:eastAsia="en-GB"/>
              </w:rPr>
              <w:t>Option for consideration:</w:t>
            </w:r>
            <w:r w:rsidRPr="00C9026F">
              <w:rPr>
                <w:rFonts w:cs="Calibri"/>
                <w:i/>
                <w:iCs/>
                <w:sz w:val="20"/>
                <w:lang w:eastAsia="en-GB"/>
              </w:rPr>
              <w:br/>
            </w:r>
            <w:r w:rsidRPr="00C9026F">
              <w:rPr>
                <w:rFonts w:cs="Calibri"/>
                <w:sz w:val="20"/>
                <w:lang w:eastAsia="en-GB"/>
              </w:rPr>
              <w:t xml:space="preserve">- The CWG-SFP to consider the ability of the regional presence to reflect the </w:t>
            </w:r>
            <w:proofErr w:type="gramStart"/>
            <w:r w:rsidRPr="00C9026F">
              <w:rPr>
                <w:rFonts w:cs="Calibri"/>
                <w:sz w:val="20"/>
                <w:lang w:eastAsia="en-GB"/>
              </w:rPr>
              <w:t>ITU as a whole</w:t>
            </w:r>
            <w:proofErr w:type="gramEnd"/>
            <w:r w:rsidRPr="00C9026F">
              <w:rPr>
                <w:rFonts w:cs="Calibri"/>
                <w:sz w:val="20"/>
                <w:lang w:eastAsia="en-GB"/>
              </w:rPr>
              <w:t xml:space="preserve"> (One ITU), as well as part of the UN family to strengthen partnerships on thematic priorities when developing the Strategic Plan 2024-2027.</w:t>
            </w:r>
          </w:p>
          <w:p w14:paraId="024CF347" w14:textId="35EC0F1B" w:rsidR="0037027B" w:rsidRDefault="0037027B" w:rsidP="00C00180">
            <w:pPr>
              <w:tabs>
                <w:tab w:val="clear" w:pos="567"/>
                <w:tab w:val="clear" w:pos="1134"/>
                <w:tab w:val="clear" w:pos="1701"/>
                <w:tab w:val="clear" w:pos="2268"/>
                <w:tab w:val="clear" w:pos="2835"/>
              </w:tabs>
              <w:overflowPunct/>
              <w:autoSpaceDE/>
              <w:autoSpaceDN/>
              <w:adjustRightInd/>
              <w:spacing w:before="60"/>
              <w:textAlignment w:val="auto"/>
              <w:rPr>
                <w:rFonts w:cs="Calibri"/>
                <w:sz w:val="20"/>
                <w:lang w:eastAsia="en-GB"/>
              </w:rPr>
            </w:pPr>
            <w:r w:rsidRPr="00C9026F">
              <w:rPr>
                <w:rFonts w:cs="Calibri"/>
                <w:i/>
                <w:iCs/>
                <w:sz w:val="20"/>
                <w:lang w:eastAsia="en-GB"/>
              </w:rPr>
              <w:t>(Dalberg)</w:t>
            </w:r>
          </w:p>
          <w:p w14:paraId="267FD56B" w14:textId="77777777" w:rsidR="0037027B" w:rsidRDefault="0037027B" w:rsidP="00320A31">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sz w:val="20"/>
                <w:lang w:eastAsia="en-GB"/>
              </w:rPr>
              <w:t>- CWG-SFP to consider ways to build synergies across ITU events</w:t>
            </w:r>
          </w:p>
          <w:p w14:paraId="63E3C3EA" w14:textId="33DFCF7C" w:rsidR="0037027B" w:rsidRPr="00C00180" w:rsidRDefault="0037027B" w:rsidP="00C00180">
            <w:pPr>
              <w:tabs>
                <w:tab w:val="clear" w:pos="567"/>
                <w:tab w:val="clear" w:pos="1134"/>
                <w:tab w:val="clear" w:pos="1701"/>
                <w:tab w:val="clear" w:pos="2268"/>
                <w:tab w:val="clear" w:pos="2835"/>
              </w:tabs>
              <w:overflowPunct/>
              <w:autoSpaceDE/>
              <w:autoSpaceDN/>
              <w:adjustRightInd/>
              <w:spacing w:before="60"/>
              <w:textAlignment w:val="auto"/>
              <w:rPr>
                <w:rFonts w:cs="Calibri"/>
                <w:i/>
                <w:iCs/>
                <w:sz w:val="20"/>
                <w:lang w:eastAsia="en-GB"/>
              </w:rPr>
            </w:pPr>
            <w:r w:rsidRPr="00C9026F">
              <w:rPr>
                <w:rFonts w:cs="Calibri"/>
                <w:i/>
                <w:iCs/>
                <w:sz w:val="20"/>
                <w:lang w:eastAsia="en-GB"/>
              </w:rPr>
              <w:t>(</w:t>
            </w:r>
            <w:r>
              <w:rPr>
                <w:rFonts w:cs="Calibri"/>
                <w:i/>
                <w:iCs/>
                <w:sz w:val="20"/>
                <w:lang w:eastAsia="en-GB"/>
              </w:rPr>
              <w:t xml:space="preserve">Developments at the </w:t>
            </w:r>
            <w:r w:rsidRPr="00C9026F">
              <w:rPr>
                <w:rFonts w:cs="Calibri"/>
                <w:i/>
                <w:iCs/>
                <w:sz w:val="20"/>
                <w:lang w:eastAsia="en-GB"/>
              </w:rPr>
              <w:t xml:space="preserve">UN </w:t>
            </w:r>
            <w:r>
              <w:rPr>
                <w:rFonts w:cs="Calibri"/>
                <w:i/>
                <w:iCs/>
                <w:sz w:val="20"/>
                <w:lang w:eastAsia="en-GB"/>
              </w:rPr>
              <w:t>level</w:t>
            </w:r>
            <w:r w:rsidRPr="00C9026F">
              <w:rPr>
                <w:rFonts w:cs="Calibri"/>
                <w:i/>
                <w:iCs/>
                <w:sz w:val="20"/>
                <w:lang w:eastAsia="en-GB"/>
              </w:rPr>
              <w:t>)</w:t>
            </w:r>
          </w:p>
          <w:p w14:paraId="1C7CE7C3" w14:textId="76F659E6" w:rsidR="0037027B" w:rsidRPr="00C9026F" w:rsidRDefault="0037027B" w:rsidP="00320A31">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C9026F">
              <w:rPr>
                <w:rFonts w:cs="Calibri"/>
                <w:sz w:val="20"/>
                <w:lang w:eastAsia="en-GB"/>
              </w:rPr>
              <w:t>- The need for a “One ITU” approach clearly articulating the strengths, services, products, and initiatives that ITU can provide, their importance, and the added value that ITU brings with these services</w:t>
            </w:r>
          </w:p>
        </w:tc>
        <w:tc>
          <w:tcPr>
            <w:tcW w:w="951" w:type="dxa"/>
            <w:tcBorders>
              <w:top w:val="nil"/>
              <w:left w:val="nil"/>
              <w:bottom w:val="single" w:sz="4" w:space="0" w:color="A5A5A5"/>
              <w:right w:val="nil"/>
            </w:tcBorders>
            <w:shd w:val="clear" w:color="auto" w:fill="auto"/>
            <w:vAlign w:val="center"/>
            <w:hideMark/>
          </w:tcPr>
          <w:p w14:paraId="441ECA49" w14:textId="7AE27B27" w:rsidR="0037027B" w:rsidRPr="00452DF7" w:rsidRDefault="00A13386"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1" w:history="1">
              <w:r w:rsidR="0037027B" w:rsidRPr="00C9026F">
                <w:rPr>
                  <w:rFonts w:cs="Calibri"/>
                  <w:color w:val="548DD4" w:themeColor="text2" w:themeTint="99"/>
                  <w:sz w:val="20"/>
                  <w:u w:val="single"/>
                  <w:lang w:eastAsia="en-GB"/>
                </w:rPr>
                <w:t>CWG-SFP-1/5</w:t>
              </w:r>
            </w:hyperlink>
          </w:p>
          <w:p w14:paraId="65AB1261" w14:textId="77777777" w:rsidR="0037027B" w:rsidRPr="00452DF7" w:rsidRDefault="0037027B" w:rsidP="00C9026F">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p>
          <w:p w14:paraId="7ED3D823" w14:textId="1CC24CF2" w:rsidR="0037027B" w:rsidRPr="00C9026F" w:rsidRDefault="00A13386" w:rsidP="00F569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2" w:history="1">
              <w:r w:rsidR="0037027B" w:rsidRPr="00452DF7">
                <w:rPr>
                  <w:rStyle w:val="Hyperlink"/>
                  <w:rFonts w:cs="Calibri"/>
                  <w:color w:val="548DD4" w:themeColor="text2" w:themeTint="99"/>
                  <w:sz w:val="20"/>
                  <w:lang w:eastAsia="en-GB"/>
                </w:rPr>
                <w:t>CWG-SFP-1/7</w:t>
              </w:r>
            </w:hyperlink>
          </w:p>
        </w:tc>
        <w:tc>
          <w:tcPr>
            <w:tcW w:w="3727" w:type="dxa"/>
            <w:vMerge/>
            <w:tcBorders>
              <w:left w:val="nil"/>
              <w:bottom w:val="single" w:sz="4" w:space="0" w:color="A5A5A5"/>
              <w:right w:val="nil"/>
            </w:tcBorders>
            <w:shd w:val="clear" w:color="auto" w:fill="FFFFFF" w:themeFill="background1"/>
            <w:noWrap/>
            <w:vAlign w:val="bottom"/>
            <w:hideMark/>
          </w:tcPr>
          <w:p w14:paraId="4794F558" w14:textId="77777777" w:rsidR="0037027B" w:rsidRPr="00C9026F" w:rsidRDefault="0037027B" w:rsidP="00C9026F">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5EAE1E14" w14:textId="5A5D0A67" w:rsidR="00935479" w:rsidRDefault="00935479" w:rsidP="00935479">
      <w:pPr>
        <w:pStyle w:val="Heading2"/>
      </w:pPr>
      <w:r>
        <w:lastRenderedPageBreak/>
        <w:t>Vision / Mission</w:t>
      </w:r>
    </w:p>
    <w:tbl>
      <w:tblPr>
        <w:tblW w:w="14732" w:type="dxa"/>
        <w:tblInd w:w="10" w:type="dxa"/>
        <w:tblLook w:val="04A0" w:firstRow="1" w:lastRow="0" w:firstColumn="1" w:lastColumn="0" w:noHBand="0" w:noVBand="1"/>
      </w:tblPr>
      <w:tblGrid>
        <w:gridCol w:w="1408"/>
        <w:gridCol w:w="7654"/>
        <w:gridCol w:w="992"/>
        <w:gridCol w:w="4678"/>
      </w:tblGrid>
      <w:tr w:rsidR="00DC27B7" w:rsidRPr="00D62713" w14:paraId="2173DD04" w14:textId="77777777" w:rsidTr="006B317E">
        <w:tc>
          <w:tcPr>
            <w:tcW w:w="1408" w:type="dxa"/>
            <w:tcBorders>
              <w:top w:val="single" w:sz="8" w:space="0" w:color="FFFFFF"/>
              <w:left w:val="nil"/>
              <w:bottom w:val="single" w:sz="4" w:space="0" w:color="A5A5A5"/>
              <w:right w:val="nil"/>
            </w:tcBorders>
            <w:shd w:val="clear" w:color="auto" w:fill="auto"/>
            <w:vAlign w:val="center"/>
            <w:hideMark/>
          </w:tcPr>
          <w:p w14:paraId="49292FD6" w14:textId="77777777"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Input source</w:t>
            </w:r>
          </w:p>
        </w:tc>
        <w:tc>
          <w:tcPr>
            <w:tcW w:w="7654" w:type="dxa"/>
            <w:tcBorders>
              <w:top w:val="single" w:sz="8" w:space="0" w:color="FFFFFF"/>
              <w:left w:val="nil"/>
              <w:bottom w:val="single" w:sz="4" w:space="0" w:color="A5A5A5"/>
              <w:right w:val="nil"/>
            </w:tcBorders>
            <w:shd w:val="clear" w:color="auto" w:fill="auto"/>
            <w:vAlign w:val="center"/>
            <w:hideMark/>
          </w:tcPr>
          <w:p w14:paraId="4C1D0A7F" w14:textId="4DAA2E0E"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992" w:type="dxa"/>
            <w:tcBorders>
              <w:top w:val="single" w:sz="8" w:space="0" w:color="FFFFFF"/>
              <w:left w:val="nil"/>
              <w:bottom w:val="single" w:sz="4" w:space="0" w:color="A5A5A5"/>
              <w:right w:val="nil"/>
            </w:tcBorders>
            <w:shd w:val="clear" w:color="auto" w:fill="auto"/>
            <w:vAlign w:val="center"/>
            <w:hideMark/>
          </w:tcPr>
          <w:p w14:paraId="1128773E" w14:textId="0E0E1571"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CWG-SFP doc.</w:t>
            </w:r>
          </w:p>
        </w:tc>
        <w:tc>
          <w:tcPr>
            <w:tcW w:w="4678" w:type="dxa"/>
            <w:tcBorders>
              <w:top w:val="single" w:sz="8" w:space="0" w:color="FFFFFF"/>
              <w:left w:val="nil"/>
              <w:bottom w:val="single" w:sz="4" w:space="0" w:color="A5A5A5"/>
              <w:right w:val="nil"/>
            </w:tcBorders>
            <w:shd w:val="clear" w:color="auto" w:fill="auto"/>
            <w:vAlign w:val="center"/>
            <w:hideMark/>
          </w:tcPr>
          <w:p w14:paraId="56D76CC0" w14:textId="77777777"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CWG-SFP Guidance</w:t>
            </w:r>
          </w:p>
        </w:tc>
      </w:tr>
      <w:tr w:rsidR="00DC27B7" w:rsidRPr="00D62713" w14:paraId="65E17F33" w14:textId="77777777" w:rsidTr="006B317E">
        <w:tc>
          <w:tcPr>
            <w:tcW w:w="1408" w:type="dxa"/>
            <w:tcBorders>
              <w:top w:val="nil"/>
              <w:left w:val="nil"/>
              <w:bottom w:val="nil"/>
              <w:right w:val="nil"/>
            </w:tcBorders>
            <w:shd w:val="clear" w:color="EDEDED" w:fill="EDEDED"/>
            <w:hideMark/>
          </w:tcPr>
          <w:p w14:paraId="1ACD4D5C" w14:textId="77777777"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MS contributions:</w:t>
            </w:r>
          </w:p>
        </w:tc>
        <w:tc>
          <w:tcPr>
            <w:tcW w:w="7654" w:type="dxa"/>
            <w:tcBorders>
              <w:top w:val="nil"/>
              <w:left w:val="nil"/>
              <w:bottom w:val="nil"/>
              <w:right w:val="nil"/>
            </w:tcBorders>
            <w:shd w:val="clear" w:color="EDEDED" w:fill="EDEDED"/>
            <w:hideMark/>
          </w:tcPr>
          <w:p w14:paraId="511D7167" w14:textId="77777777"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i/>
                <w:iCs/>
                <w:sz w:val="20"/>
                <w:lang w:eastAsia="en-GB"/>
              </w:rPr>
              <w:t>Contribution from the Russian Federation:</w:t>
            </w:r>
            <w:r w:rsidRPr="00D62713">
              <w:rPr>
                <w:rFonts w:cs="Calibri"/>
                <w:i/>
                <w:iCs/>
                <w:sz w:val="20"/>
                <w:lang w:eastAsia="en-GB"/>
              </w:rPr>
              <w:br/>
            </w:r>
            <w:r w:rsidRPr="00D62713">
              <w:rPr>
                <w:rFonts w:cs="Calibri"/>
                <w:sz w:val="20"/>
                <w:lang w:eastAsia="en-GB"/>
              </w:rPr>
              <w:t>(...) In this regard, we propose the following formulation for the ITU Mission for the planning period:</w:t>
            </w:r>
            <w:r w:rsidRPr="00D62713">
              <w:rPr>
                <w:rFonts w:cs="Calibri"/>
                <w:sz w:val="20"/>
                <w:lang w:eastAsia="en-GB"/>
              </w:rPr>
              <w:br/>
              <w:t>“Facilitating and broadening peaceful relations, international cooperation and economic and social development of peoples by means of efficient and universally accessible telecommunication services and by ensuring ITU’s leading role in this direction.”</w:t>
            </w:r>
          </w:p>
        </w:tc>
        <w:tc>
          <w:tcPr>
            <w:tcW w:w="992" w:type="dxa"/>
            <w:tcBorders>
              <w:top w:val="nil"/>
              <w:left w:val="nil"/>
              <w:bottom w:val="nil"/>
              <w:right w:val="nil"/>
            </w:tcBorders>
            <w:shd w:val="clear" w:color="EDEDED" w:fill="EDEDED"/>
            <w:noWrap/>
            <w:vAlign w:val="center"/>
            <w:hideMark/>
          </w:tcPr>
          <w:p w14:paraId="719451FC" w14:textId="77777777" w:rsidR="00DC27B7" w:rsidRPr="00DE1144"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0"/>
                <w:u w:val="single"/>
                <w:lang w:eastAsia="en-GB"/>
              </w:rPr>
            </w:pPr>
            <w:hyperlink r:id="rId23" w:history="1">
              <w:r w:rsidR="00DC27B7" w:rsidRPr="00DE1144">
                <w:rPr>
                  <w:rFonts w:cs="Calibri"/>
                  <w:color w:val="4F81BD" w:themeColor="accent1"/>
                  <w:sz w:val="20"/>
                  <w:u w:val="single"/>
                  <w:lang w:eastAsia="en-GB"/>
                </w:rPr>
                <w:t>CWG-SFP-1/8</w:t>
              </w:r>
            </w:hyperlink>
          </w:p>
        </w:tc>
        <w:tc>
          <w:tcPr>
            <w:tcW w:w="4678" w:type="dxa"/>
            <w:vMerge w:val="restart"/>
            <w:tcBorders>
              <w:top w:val="nil"/>
              <w:left w:val="nil"/>
              <w:right w:val="nil"/>
            </w:tcBorders>
            <w:shd w:val="clear" w:color="auto" w:fill="FFFFFF" w:themeFill="background1"/>
            <w:noWrap/>
            <w:hideMark/>
          </w:tcPr>
          <w:p w14:paraId="1E8B6D01" w14:textId="26234C3D" w:rsidR="00DC27B7" w:rsidRPr="00211087" w:rsidRDefault="00DC27B7" w:rsidP="000D2F6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211087">
              <w:rPr>
                <w:rFonts w:cs="Calibri"/>
                <w:sz w:val="22"/>
                <w:szCs w:val="22"/>
                <w:lang w:eastAsia="en-GB"/>
              </w:rPr>
              <w:t xml:space="preserve">- Request the secretariat to </w:t>
            </w:r>
            <w:r>
              <w:rPr>
                <w:rFonts w:cs="Calibri"/>
                <w:sz w:val="22"/>
                <w:szCs w:val="22"/>
                <w:lang w:eastAsia="en-GB"/>
              </w:rPr>
              <w:t xml:space="preserve">collect further inputs from members of CWG-SFP, in view of potentially adjusting </w:t>
            </w:r>
            <w:r w:rsidRPr="00211087">
              <w:rPr>
                <w:rFonts w:cs="Calibri"/>
                <w:sz w:val="22"/>
                <w:szCs w:val="22"/>
                <w:lang w:eastAsia="en-GB"/>
              </w:rPr>
              <w:t xml:space="preserve">the wording, in line with ITU’s scope and mandate, taking into consideration the persistent digital divide and ITU’s role to expand connectivity worldwide and the use of telecommunications/ICTs for social, </w:t>
            </w:r>
            <w:proofErr w:type="gramStart"/>
            <w:r w:rsidRPr="00211087">
              <w:rPr>
                <w:rFonts w:cs="Calibri"/>
                <w:sz w:val="22"/>
                <w:szCs w:val="22"/>
                <w:lang w:eastAsia="en-GB"/>
              </w:rPr>
              <w:t>economic</w:t>
            </w:r>
            <w:proofErr w:type="gramEnd"/>
            <w:r w:rsidRPr="00211087">
              <w:rPr>
                <w:rFonts w:cs="Calibri"/>
                <w:sz w:val="22"/>
                <w:szCs w:val="22"/>
                <w:lang w:eastAsia="en-GB"/>
              </w:rPr>
              <w:t xml:space="preserve"> and environmentally sustainable development</w:t>
            </w:r>
          </w:p>
        </w:tc>
      </w:tr>
      <w:tr w:rsidR="00DC27B7" w:rsidRPr="00D62713" w14:paraId="0379665C" w14:textId="77777777" w:rsidTr="006B317E">
        <w:tc>
          <w:tcPr>
            <w:tcW w:w="1408" w:type="dxa"/>
            <w:tcBorders>
              <w:top w:val="nil"/>
              <w:left w:val="nil"/>
              <w:bottom w:val="nil"/>
              <w:right w:val="nil"/>
            </w:tcBorders>
            <w:shd w:val="clear" w:color="auto" w:fill="auto"/>
            <w:hideMark/>
          </w:tcPr>
          <w:p w14:paraId="3A6BB2A4" w14:textId="29891045"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Online consultation:</w:t>
            </w:r>
          </w:p>
        </w:tc>
        <w:tc>
          <w:tcPr>
            <w:tcW w:w="7654" w:type="dxa"/>
            <w:tcBorders>
              <w:top w:val="nil"/>
              <w:left w:val="nil"/>
              <w:bottom w:val="nil"/>
              <w:right w:val="nil"/>
            </w:tcBorders>
            <w:shd w:val="clear" w:color="auto" w:fill="auto"/>
            <w:hideMark/>
          </w:tcPr>
          <w:p w14:paraId="53105726" w14:textId="64BB40C8" w:rsidR="00DC27B7"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r w:rsidRPr="00D62713">
              <w:rPr>
                <w:rFonts w:cs="Calibri"/>
                <w:sz w:val="20"/>
                <w:lang w:eastAsia="en-GB"/>
              </w:rPr>
              <w:t xml:space="preserve">- Views expressed that </w:t>
            </w:r>
            <w:r w:rsidRPr="00DE1144">
              <w:rPr>
                <w:rFonts w:cs="Calibri"/>
                <w:b/>
                <w:bCs/>
                <w:sz w:val="20"/>
                <w:lang w:eastAsia="en-GB"/>
              </w:rPr>
              <w:t>the changing international/digital landscape</w:t>
            </w:r>
            <w:r w:rsidRPr="00D62713">
              <w:rPr>
                <w:rFonts w:cs="Calibri"/>
                <w:sz w:val="20"/>
                <w:lang w:eastAsia="en-GB"/>
              </w:rPr>
              <w:t xml:space="preserve"> and </w:t>
            </w:r>
            <w:r w:rsidRPr="00DE1144">
              <w:rPr>
                <w:rFonts w:cs="Calibri"/>
                <w:b/>
                <w:bCs/>
                <w:sz w:val="20"/>
                <w:lang w:eastAsia="en-GB"/>
              </w:rPr>
              <w:t>the impact of COVID-19 require revisiting the Vision/Mission</w:t>
            </w:r>
          </w:p>
          <w:p w14:paraId="50B12341" w14:textId="36436898"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 xml:space="preserve">- Views that the Vision and Mission </w:t>
            </w:r>
            <w:r w:rsidRPr="00DE1144">
              <w:rPr>
                <w:rFonts w:cs="Calibri"/>
                <w:b/>
                <w:bCs/>
                <w:sz w:val="20"/>
                <w:lang w:eastAsia="en-GB"/>
              </w:rPr>
              <w:t>should remain high-level</w:t>
            </w:r>
            <w:r w:rsidRPr="00D62713">
              <w:rPr>
                <w:rFonts w:cs="Calibri"/>
                <w:sz w:val="20"/>
                <w:lang w:eastAsia="en-GB"/>
              </w:rPr>
              <w:t xml:space="preserve"> and that</w:t>
            </w:r>
            <w:r w:rsidRPr="00DE1144">
              <w:rPr>
                <w:rFonts w:cs="Calibri"/>
                <w:b/>
                <w:bCs/>
                <w:sz w:val="20"/>
                <w:lang w:eastAsia="en-GB"/>
              </w:rPr>
              <w:t xml:space="preserve"> it is already formulated in a way to adapt to an evolving environment</w:t>
            </w:r>
          </w:p>
        </w:tc>
        <w:tc>
          <w:tcPr>
            <w:tcW w:w="992" w:type="dxa"/>
            <w:tcBorders>
              <w:top w:val="nil"/>
              <w:left w:val="nil"/>
              <w:bottom w:val="nil"/>
              <w:right w:val="nil"/>
            </w:tcBorders>
            <w:shd w:val="clear" w:color="auto" w:fill="auto"/>
            <w:noWrap/>
            <w:vAlign w:val="center"/>
            <w:hideMark/>
          </w:tcPr>
          <w:p w14:paraId="36A2611C" w14:textId="77777777" w:rsidR="00DC27B7" w:rsidRPr="00DE1144"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0"/>
                <w:u w:val="single"/>
                <w:lang w:eastAsia="en-GB"/>
              </w:rPr>
            </w:pPr>
            <w:hyperlink r:id="rId24" w:history="1">
              <w:r w:rsidR="00DC27B7" w:rsidRPr="00DE1144">
                <w:rPr>
                  <w:rFonts w:cs="Calibri"/>
                  <w:color w:val="4F81BD" w:themeColor="accent1"/>
                  <w:sz w:val="20"/>
                  <w:u w:val="single"/>
                  <w:lang w:eastAsia="en-GB"/>
                </w:rPr>
                <w:t>CWG-SFP-1/11</w:t>
              </w:r>
            </w:hyperlink>
          </w:p>
        </w:tc>
        <w:tc>
          <w:tcPr>
            <w:tcW w:w="4678" w:type="dxa"/>
            <w:vMerge/>
            <w:tcBorders>
              <w:left w:val="nil"/>
              <w:bottom w:val="nil"/>
              <w:right w:val="nil"/>
            </w:tcBorders>
            <w:shd w:val="clear" w:color="auto" w:fill="FFFFFF" w:themeFill="background1"/>
            <w:noWrap/>
            <w:vAlign w:val="bottom"/>
            <w:hideMark/>
          </w:tcPr>
          <w:p w14:paraId="1E38C8BB" w14:textId="77777777" w:rsidR="00DC27B7" w:rsidRPr="00D62713" w:rsidRDefault="00DC27B7"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7E8BBD46" w14:textId="7AC830AE" w:rsidR="003B0581" w:rsidRDefault="003B0581" w:rsidP="003B0581">
      <w:pPr>
        <w:pStyle w:val="Heading2"/>
      </w:pPr>
      <w:r>
        <w:t>Goals</w:t>
      </w:r>
    </w:p>
    <w:tbl>
      <w:tblPr>
        <w:tblW w:w="14874" w:type="dxa"/>
        <w:tblInd w:w="10" w:type="dxa"/>
        <w:tblLayout w:type="fixed"/>
        <w:tblLook w:val="04A0" w:firstRow="1" w:lastRow="0" w:firstColumn="1" w:lastColumn="0" w:noHBand="0" w:noVBand="1"/>
      </w:tblPr>
      <w:tblGrid>
        <w:gridCol w:w="1408"/>
        <w:gridCol w:w="7513"/>
        <w:gridCol w:w="1134"/>
        <w:gridCol w:w="4819"/>
      </w:tblGrid>
      <w:tr w:rsidR="006B317E" w:rsidRPr="00D62713" w14:paraId="17BA4293" w14:textId="77777777" w:rsidTr="006B317E">
        <w:trPr>
          <w:trHeight w:val="555"/>
        </w:trPr>
        <w:tc>
          <w:tcPr>
            <w:tcW w:w="1408" w:type="dxa"/>
            <w:tcBorders>
              <w:top w:val="single" w:sz="8" w:space="0" w:color="FFFFFF"/>
              <w:left w:val="nil"/>
              <w:bottom w:val="single" w:sz="4" w:space="0" w:color="A5A5A5"/>
              <w:right w:val="nil"/>
            </w:tcBorders>
            <w:shd w:val="clear" w:color="auto" w:fill="auto"/>
            <w:vAlign w:val="center"/>
            <w:hideMark/>
          </w:tcPr>
          <w:p w14:paraId="151EE237"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Input source</w:t>
            </w:r>
          </w:p>
        </w:tc>
        <w:tc>
          <w:tcPr>
            <w:tcW w:w="7513" w:type="dxa"/>
            <w:tcBorders>
              <w:top w:val="single" w:sz="8" w:space="0" w:color="FFFFFF"/>
              <w:left w:val="nil"/>
              <w:bottom w:val="single" w:sz="4" w:space="0" w:color="A5A5A5"/>
              <w:right w:val="nil"/>
            </w:tcBorders>
            <w:shd w:val="clear" w:color="auto" w:fill="auto"/>
            <w:vAlign w:val="center"/>
            <w:hideMark/>
          </w:tcPr>
          <w:p w14:paraId="5CD91066" w14:textId="1882F93F"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1134" w:type="dxa"/>
            <w:tcBorders>
              <w:top w:val="single" w:sz="8" w:space="0" w:color="FFFFFF"/>
              <w:left w:val="nil"/>
              <w:bottom w:val="single" w:sz="4" w:space="0" w:color="A5A5A5"/>
              <w:right w:val="nil"/>
            </w:tcBorders>
            <w:shd w:val="clear" w:color="auto" w:fill="auto"/>
            <w:vAlign w:val="center"/>
            <w:hideMark/>
          </w:tcPr>
          <w:p w14:paraId="0E5710A5" w14:textId="5A2A2986"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CWG-SFP doc.</w:t>
            </w:r>
          </w:p>
        </w:tc>
        <w:tc>
          <w:tcPr>
            <w:tcW w:w="4819" w:type="dxa"/>
            <w:tcBorders>
              <w:top w:val="single" w:sz="8" w:space="0" w:color="FFFFFF"/>
              <w:left w:val="nil"/>
              <w:bottom w:val="single" w:sz="4" w:space="0" w:color="A5A5A5"/>
              <w:right w:val="nil"/>
            </w:tcBorders>
            <w:shd w:val="clear" w:color="auto" w:fill="auto"/>
            <w:vAlign w:val="center"/>
            <w:hideMark/>
          </w:tcPr>
          <w:p w14:paraId="7E798A44"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D62713">
              <w:rPr>
                <w:rFonts w:cs="Calibri"/>
                <w:b/>
                <w:bCs/>
                <w:sz w:val="20"/>
                <w:lang w:eastAsia="en-GB"/>
              </w:rPr>
              <w:t>CWG-SFP Guidance</w:t>
            </w:r>
          </w:p>
        </w:tc>
      </w:tr>
      <w:tr w:rsidR="006B317E" w:rsidRPr="00D62713" w14:paraId="16C3FF83" w14:textId="77777777" w:rsidTr="006B317E">
        <w:trPr>
          <w:trHeight w:val="1095"/>
        </w:trPr>
        <w:tc>
          <w:tcPr>
            <w:tcW w:w="1408" w:type="dxa"/>
            <w:tcBorders>
              <w:top w:val="nil"/>
              <w:left w:val="nil"/>
              <w:bottom w:val="nil"/>
              <w:right w:val="nil"/>
            </w:tcBorders>
            <w:shd w:val="clear" w:color="EDEDED" w:fill="EDEDED"/>
            <w:hideMark/>
          </w:tcPr>
          <w:p w14:paraId="0179A0BE"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MS contributions:</w:t>
            </w:r>
          </w:p>
        </w:tc>
        <w:tc>
          <w:tcPr>
            <w:tcW w:w="7513" w:type="dxa"/>
            <w:tcBorders>
              <w:top w:val="nil"/>
              <w:left w:val="nil"/>
              <w:bottom w:val="nil"/>
              <w:right w:val="nil"/>
            </w:tcBorders>
            <w:shd w:val="clear" w:color="EDEDED" w:fill="EDEDED"/>
            <w:hideMark/>
          </w:tcPr>
          <w:p w14:paraId="321837D2"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i/>
                <w:iCs/>
                <w:sz w:val="20"/>
                <w:lang w:eastAsia="en-GB"/>
              </w:rPr>
              <w:t>Contribution from the Russian Federation:</w:t>
            </w:r>
            <w:r w:rsidRPr="00D62713">
              <w:rPr>
                <w:rFonts w:cs="Calibri"/>
                <w:i/>
                <w:iCs/>
                <w:sz w:val="20"/>
                <w:lang w:eastAsia="en-GB"/>
              </w:rPr>
              <w:br/>
            </w:r>
            <w:r w:rsidRPr="00D62713">
              <w:rPr>
                <w:rFonts w:cs="Calibri"/>
                <w:sz w:val="20"/>
                <w:lang w:eastAsia="en-GB"/>
              </w:rPr>
              <w:t>- The five strategic goals in the ITU Strategic Plan for 2020–2023 can be retained in the ITU Strategic Plan for 2024–2027, which, among other things, will ensure continuity in ITU’s activities in the long term.</w:t>
            </w:r>
          </w:p>
        </w:tc>
        <w:tc>
          <w:tcPr>
            <w:tcW w:w="1134" w:type="dxa"/>
            <w:tcBorders>
              <w:top w:val="nil"/>
              <w:left w:val="nil"/>
              <w:bottom w:val="nil"/>
              <w:right w:val="nil"/>
            </w:tcBorders>
            <w:shd w:val="clear" w:color="EDEDED" w:fill="EDEDED"/>
            <w:noWrap/>
            <w:vAlign w:val="center"/>
            <w:hideMark/>
          </w:tcPr>
          <w:p w14:paraId="66223FDD" w14:textId="77777777" w:rsidR="006B317E" w:rsidRPr="00D62713"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5" w:history="1">
              <w:r w:rsidR="006B317E" w:rsidRPr="00D62713">
                <w:rPr>
                  <w:rFonts w:cs="Calibri"/>
                  <w:color w:val="548DD4" w:themeColor="text2" w:themeTint="99"/>
                  <w:sz w:val="20"/>
                  <w:u w:val="single"/>
                  <w:lang w:eastAsia="en-GB"/>
                </w:rPr>
                <w:t>CWG-SFP-1/8</w:t>
              </w:r>
            </w:hyperlink>
          </w:p>
        </w:tc>
        <w:tc>
          <w:tcPr>
            <w:tcW w:w="4819" w:type="dxa"/>
            <w:vMerge w:val="restart"/>
            <w:tcBorders>
              <w:top w:val="nil"/>
              <w:left w:val="nil"/>
              <w:right w:val="nil"/>
            </w:tcBorders>
            <w:shd w:val="clear" w:color="auto" w:fill="FFFFFF" w:themeFill="background1"/>
            <w:noWrap/>
            <w:hideMark/>
          </w:tcPr>
          <w:p w14:paraId="4D5D7E52" w14:textId="2BF76CFA" w:rsidR="006B317E" w:rsidRPr="00DB563D" w:rsidRDefault="006B317E" w:rsidP="003B0581">
            <w:pPr>
              <w:spacing w:before="0"/>
              <w:rPr>
                <w:rFonts w:ascii="Times New Roman" w:hAnsi="Times New Roman"/>
                <w:sz w:val="22"/>
                <w:szCs w:val="22"/>
                <w:lang w:eastAsia="en-GB"/>
              </w:rPr>
            </w:pPr>
            <w:r w:rsidRPr="00DB563D">
              <w:rPr>
                <w:rFonts w:cs="Calibri"/>
                <w:sz w:val="22"/>
                <w:szCs w:val="22"/>
                <w:lang w:eastAsia="en-GB"/>
              </w:rPr>
              <w:t xml:space="preserve">- Taking into consideration the results of the Online Consultation and the </w:t>
            </w:r>
            <w:r>
              <w:rPr>
                <w:rFonts w:cs="Calibri"/>
                <w:sz w:val="22"/>
                <w:szCs w:val="22"/>
                <w:lang w:eastAsia="en-GB"/>
              </w:rPr>
              <w:t xml:space="preserve">contributions to the </w:t>
            </w:r>
            <w:r w:rsidRPr="00DB563D">
              <w:rPr>
                <w:rFonts w:cs="Calibri"/>
                <w:sz w:val="22"/>
                <w:szCs w:val="22"/>
                <w:lang w:eastAsia="en-GB"/>
              </w:rPr>
              <w:t>CWG</w:t>
            </w:r>
            <w:r>
              <w:rPr>
                <w:rFonts w:cs="Calibri"/>
                <w:sz w:val="22"/>
                <w:szCs w:val="22"/>
                <w:lang w:eastAsia="en-GB"/>
              </w:rPr>
              <w:t>-SFP</w:t>
            </w:r>
            <w:r w:rsidRPr="00DB563D">
              <w:rPr>
                <w:rFonts w:cs="Calibri"/>
                <w:sz w:val="22"/>
                <w:szCs w:val="22"/>
                <w:lang w:eastAsia="en-GB"/>
              </w:rPr>
              <w:t>, to request the secretariat to</w:t>
            </w:r>
            <w:r>
              <w:rPr>
                <w:rFonts w:cs="Calibri"/>
                <w:sz w:val="22"/>
                <w:szCs w:val="22"/>
                <w:lang w:eastAsia="en-GB"/>
              </w:rPr>
              <w:t xml:space="preserve"> collect further inputs from members and</w:t>
            </w:r>
            <w:r w:rsidRPr="00DB563D">
              <w:rPr>
                <w:rFonts w:cs="Calibri"/>
                <w:sz w:val="22"/>
                <w:szCs w:val="22"/>
                <w:lang w:eastAsia="en-GB"/>
              </w:rPr>
              <w:t xml:space="preserve"> further analyse the possibility </w:t>
            </w:r>
            <w:r>
              <w:rPr>
                <w:rFonts w:cs="Calibri"/>
                <w:sz w:val="22"/>
                <w:szCs w:val="22"/>
                <w:lang w:eastAsia="en-GB"/>
              </w:rPr>
              <w:t xml:space="preserve">and implications of keeping, </w:t>
            </w:r>
            <w:proofErr w:type="gramStart"/>
            <w:r w:rsidRPr="00DB563D">
              <w:rPr>
                <w:rFonts w:cs="Calibri"/>
                <w:sz w:val="22"/>
                <w:szCs w:val="22"/>
                <w:lang w:eastAsia="en-GB"/>
              </w:rPr>
              <w:t>adjust</w:t>
            </w:r>
            <w:r>
              <w:rPr>
                <w:rFonts w:cs="Calibri"/>
                <w:sz w:val="22"/>
                <w:szCs w:val="22"/>
                <w:lang w:eastAsia="en-GB"/>
              </w:rPr>
              <w:t>ing</w:t>
            </w:r>
            <w:proofErr w:type="gramEnd"/>
            <w:r w:rsidRPr="00DB563D">
              <w:rPr>
                <w:rFonts w:cs="Calibri"/>
                <w:sz w:val="22"/>
                <w:szCs w:val="22"/>
                <w:lang w:eastAsia="en-GB"/>
              </w:rPr>
              <w:t xml:space="preserve"> or group</w:t>
            </w:r>
            <w:r>
              <w:rPr>
                <w:rFonts w:cs="Calibri"/>
                <w:sz w:val="22"/>
                <w:szCs w:val="22"/>
                <w:lang w:eastAsia="en-GB"/>
              </w:rPr>
              <w:t>ing</w:t>
            </w:r>
            <w:r w:rsidRPr="00DB563D">
              <w:rPr>
                <w:rFonts w:cs="Calibri"/>
                <w:sz w:val="22"/>
                <w:szCs w:val="22"/>
                <w:lang w:eastAsia="en-GB"/>
              </w:rPr>
              <w:t xml:space="preserve"> the current goals</w:t>
            </w:r>
            <w:r>
              <w:rPr>
                <w:rFonts w:cs="Calibri"/>
                <w:sz w:val="22"/>
                <w:szCs w:val="22"/>
                <w:lang w:eastAsia="en-GB"/>
              </w:rPr>
              <w:t>, taking into account the ongoing discussions related to the Vision and Mission, and keeping in mind the Constitution and Convention of the ITU</w:t>
            </w:r>
          </w:p>
        </w:tc>
      </w:tr>
      <w:tr w:rsidR="006B317E" w:rsidRPr="00D62713" w14:paraId="6B1D1BAD" w14:textId="77777777" w:rsidTr="006B317E">
        <w:trPr>
          <w:trHeight w:val="1080"/>
        </w:trPr>
        <w:tc>
          <w:tcPr>
            <w:tcW w:w="1408" w:type="dxa"/>
            <w:tcBorders>
              <w:top w:val="nil"/>
              <w:left w:val="nil"/>
              <w:bottom w:val="nil"/>
              <w:right w:val="nil"/>
            </w:tcBorders>
            <w:shd w:val="clear" w:color="auto" w:fill="auto"/>
            <w:hideMark/>
          </w:tcPr>
          <w:p w14:paraId="1592A15C"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MS contributions:</w:t>
            </w:r>
          </w:p>
        </w:tc>
        <w:tc>
          <w:tcPr>
            <w:tcW w:w="7513" w:type="dxa"/>
            <w:tcBorders>
              <w:top w:val="nil"/>
              <w:left w:val="nil"/>
              <w:bottom w:val="nil"/>
              <w:right w:val="nil"/>
            </w:tcBorders>
            <w:shd w:val="clear" w:color="auto" w:fill="auto"/>
            <w:hideMark/>
          </w:tcPr>
          <w:p w14:paraId="35450F07"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i/>
                <w:iCs/>
                <w:sz w:val="20"/>
                <w:lang w:eastAsia="en-GB"/>
              </w:rPr>
              <w:t>Contribution from China:</w:t>
            </w:r>
            <w:r w:rsidRPr="00D62713">
              <w:rPr>
                <w:rFonts w:cs="Calibri"/>
                <w:sz w:val="20"/>
                <w:lang w:eastAsia="en-GB"/>
              </w:rPr>
              <w:br/>
              <w:t>- Consider including leveraging existing high-level international meeting platforms to promote global consensus on digital governance in the "inter-sectoral objectives" of the ITU Strategic Plan for 2024-2027.</w:t>
            </w:r>
          </w:p>
        </w:tc>
        <w:tc>
          <w:tcPr>
            <w:tcW w:w="1134" w:type="dxa"/>
            <w:tcBorders>
              <w:top w:val="nil"/>
              <w:left w:val="nil"/>
              <w:bottom w:val="nil"/>
              <w:right w:val="nil"/>
            </w:tcBorders>
            <w:shd w:val="clear" w:color="auto" w:fill="auto"/>
            <w:noWrap/>
            <w:vAlign w:val="center"/>
            <w:hideMark/>
          </w:tcPr>
          <w:p w14:paraId="355E59C2" w14:textId="77777777" w:rsidR="006B317E" w:rsidRPr="00D62713"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6" w:history="1">
              <w:r w:rsidR="006B317E" w:rsidRPr="00D62713">
                <w:rPr>
                  <w:rFonts w:cs="Calibri"/>
                  <w:color w:val="548DD4" w:themeColor="text2" w:themeTint="99"/>
                  <w:sz w:val="20"/>
                  <w:u w:val="single"/>
                  <w:lang w:eastAsia="en-GB"/>
                </w:rPr>
                <w:t>CWG-SFP-1/9</w:t>
              </w:r>
            </w:hyperlink>
          </w:p>
        </w:tc>
        <w:tc>
          <w:tcPr>
            <w:tcW w:w="4819" w:type="dxa"/>
            <w:vMerge/>
            <w:tcBorders>
              <w:left w:val="nil"/>
              <w:right w:val="nil"/>
            </w:tcBorders>
            <w:shd w:val="clear" w:color="auto" w:fill="FFFFFF" w:themeFill="background1"/>
            <w:noWrap/>
            <w:vAlign w:val="bottom"/>
            <w:hideMark/>
          </w:tcPr>
          <w:p w14:paraId="26642646" w14:textId="3A9FBC8E" w:rsidR="006B317E" w:rsidRPr="00D62713" w:rsidRDefault="006B317E" w:rsidP="00D62713">
            <w:pPr>
              <w:spacing w:before="0"/>
              <w:rPr>
                <w:rFonts w:ascii="Times New Roman" w:hAnsi="Times New Roman"/>
                <w:sz w:val="20"/>
                <w:lang w:eastAsia="en-GB"/>
              </w:rPr>
            </w:pPr>
          </w:p>
        </w:tc>
      </w:tr>
      <w:tr w:rsidR="006B317E" w:rsidRPr="00D62713" w14:paraId="629C7346" w14:textId="77777777" w:rsidTr="006B317E">
        <w:trPr>
          <w:trHeight w:val="810"/>
        </w:trPr>
        <w:tc>
          <w:tcPr>
            <w:tcW w:w="1408" w:type="dxa"/>
            <w:tcBorders>
              <w:top w:val="nil"/>
              <w:left w:val="nil"/>
              <w:bottom w:val="nil"/>
              <w:right w:val="nil"/>
            </w:tcBorders>
            <w:shd w:val="clear" w:color="EDEDED" w:fill="EDEDED"/>
            <w:hideMark/>
          </w:tcPr>
          <w:p w14:paraId="7880CF31"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MS contributions:</w:t>
            </w:r>
          </w:p>
        </w:tc>
        <w:tc>
          <w:tcPr>
            <w:tcW w:w="7513" w:type="dxa"/>
            <w:tcBorders>
              <w:top w:val="nil"/>
              <w:left w:val="nil"/>
              <w:bottom w:val="nil"/>
              <w:right w:val="nil"/>
            </w:tcBorders>
            <w:shd w:val="clear" w:color="EDEDED" w:fill="EDEDED"/>
            <w:hideMark/>
          </w:tcPr>
          <w:p w14:paraId="009983BD" w14:textId="7777777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i/>
                <w:iCs/>
                <w:sz w:val="20"/>
                <w:lang w:eastAsia="en-GB"/>
              </w:rPr>
              <w:t>Contribution from China:</w:t>
            </w:r>
            <w:r w:rsidRPr="00D62713">
              <w:rPr>
                <w:rFonts w:cs="Calibri"/>
                <w:sz w:val="20"/>
                <w:lang w:eastAsia="en-GB"/>
              </w:rPr>
              <w:br/>
              <w:t>- Consider including make better use of ICTs to help prevent, control, and recover from PHEICs in the Strategic Goals of the ITU Strategic Plan for 2024-2027.</w:t>
            </w:r>
          </w:p>
        </w:tc>
        <w:tc>
          <w:tcPr>
            <w:tcW w:w="1134" w:type="dxa"/>
            <w:tcBorders>
              <w:top w:val="nil"/>
              <w:left w:val="nil"/>
              <w:bottom w:val="nil"/>
              <w:right w:val="nil"/>
            </w:tcBorders>
            <w:shd w:val="clear" w:color="EDEDED" w:fill="EDEDED"/>
            <w:noWrap/>
            <w:vAlign w:val="center"/>
            <w:hideMark/>
          </w:tcPr>
          <w:p w14:paraId="1C5FA3BB" w14:textId="77777777" w:rsidR="006B317E" w:rsidRPr="00D62713"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7" w:history="1">
              <w:r w:rsidR="006B317E" w:rsidRPr="00D62713">
                <w:rPr>
                  <w:rFonts w:cs="Calibri"/>
                  <w:color w:val="548DD4" w:themeColor="text2" w:themeTint="99"/>
                  <w:sz w:val="20"/>
                  <w:u w:val="single"/>
                  <w:lang w:eastAsia="en-GB"/>
                </w:rPr>
                <w:t>CWG-SFP-1/10</w:t>
              </w:r>
            </w:hyperlink>
          </w:p>
        </w:tc>
        <w:tc>
          <w:tcPr>
            <w:tcW w:w="4819" w:type="dxa"/>
            <w:vMerge/>
            <w:tcBorders>
              <w:left w:val="nil"/>
              <w:right w:val="nil"/>
            </w:tcBorders>
            <w:shd w:val="clear" w:color="auto" w:fill="FFFFFF" w:themeFill="background1"/>
            <w:noWrap/>
            <w:vAlign w:val="bottom"/>
            <w:hideMark/>
          </w:tcPr>
          <w:p w14:paraId="083B363D" w14:textId="575D8F59" w:rsidR="006B317E" w:rsidRPr="00D62713" w:rsidRDefault="006B317E" w:rsidP="00D62713">
            <w:pPr>
              <w:spacing w:before="0"/>
              <w:rPr>
                <w:rFonts w:ascii="Times New Roman" w:hAnsi="Times New Roman"/>
                <w:sz w:val="20"/>
                <w:lang w:eastAsia="en-GB"/>
              </w:rPr>
            </w:pPr>
          </w:p>
        </w:tc>
      </w:tr>
      <w:tr w:rsidR="006B317E" w:rsidRPr="00D62713" w14:paraId="4D587B27" w14:textId="77777777" w:rsidTr="006B317E">
        <w:trPr>
          <w:trHeight w:val="231"/>
        </w:trPr>
        <w:tc>
          <w:tcPr>
            <w:tcW w:w="1408" w:type="dxa"/>
            <w:tcBorders>
              <w:top w:val="nil"/>
              <w:left w:val="nil"/>
              <w:bottom w:val="nil"/>
              <w:right w:val="nil"/>
            </w:tcBorders>
            <w:shd w:val="clear" w:color="auto" w:fill="auto"/>
            <w:hideMark/>
          </w:tcPr>
          <w:p w14:paraId="27793956" w14:textId="0524681C"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Online consultation:</w:t>
            </w:r>
          </w:p>
        </w:tc>
        <w:tc>
          <w:tcPr>
            <w:tcW w:w="7513" w:type="dxa"/>
            <w:tcBorders>
              <w:top w:val="nil"/>
              <w:left w:val="nil"/>
              <w:bottom w:val="nil"/>
              <w:right w:val="nil"/>
            </w:tcBorders>
            <w:shd w:val="clear" w:color="auto" w:fill="auto"/>
            <w:hideMark/>
          </w:tcPr>
          <w:p w14:paraId="70997154" w14:textId="34E4FB25"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sz w:val="20"/>
                <w:lang w:eastAsia="en-GB"/>
              </w:rPr>
              <w:t>Overall findings:</w:t>
            </w:r>
            <w:r w:rsidRPr="00D62713">
              <w:rPr>
                <w:rFonts w:cs="Calibri"/>
                <w:sz w:val="20"/>
                <w:lang w:eastAsia="en-GB"/>
              </w:rPr>
              <w:br/>
              <w:t xml:space="preserve">- Views supporting </w:t>
            </w:r>
            <w:proofErr w:type="gramStart"/>
            <w:r w:rsidRPr="00D62713">
              <w:rPr>
                <w:rFonts w:cs="Calibri"/>
                <w:sz w:val="20"/>
                <w:lang w:eastAsia="en-GB"/>
              </w:rPr>
              <w:t xml:space="preserve">that </w:t>
            </w:r>
            <w:r w:rsidRPr="006C31F3">
              <w:rPr>
                <w:rFonts w:cs="Calibri"/>
                <w:b/>
                <w:bCs/>
                <w:sz w:val="20"/>
                <w:lang w:eastAsia="en-GB"/>
              </w:rPr>
              <w:t>current goals</w:t>
            </w:r>
            <w:proofErr w:type="gramEnd"/>
            <w:r w:rsidRPr="006C31F3">
              <w:rPr>
                <w:rFonts w:cs="Calibri"/>
                <w:b/>
                <w:bCs/>
                <w:sz w:val="20"/>
                <w:lang w:eastAsia="en-GB"/>
              </w:rPr>
              <w:t xml:space="preserve"> remain relevant</w:t>
            </w:r>
            <w:r w:rsidRPr="00D62713">
              <w:rPr>
                <w:rFonts w:cs="Calibri"/>
                <w:sz w:val="20"/>
                <w:lang w:eastAsia="en-GB"/>
              </w:rPr>
              <w:t xml:space="preserve">, and are </w:t>
            </w:r>
            <w:r w:rsidRPr="006C31F3">
              <w:rPr>
                <w:rFonts w:cs="Calibri"/>
                <w:b/>
                <w:bCs/>
                <w:sz w:val="20"/>
                <w:lang w:eastAsia="en-GB"/>
              </w:rPr>
              <w:t>a good foundation/basis</w:t>
            </w:r>
            <w:r w:rsidRPr="00D62713">
              <w:rPr>
                <w:rFonts w:cs="Calibri"/>
                <w:sz w:val="20"/>
                <w:lang w:eastAsia="en-GB"/>
              </w:rPr>
              <w:t xml:space="preserve">, therefore </w:t>
            </w:r>
            <w:r w:rsidRPr="006C31F3">
              <w:rPr>
                <w:rFonts w:cs="Calibri"/>
                <w:b/>
                <w:bCs/>
                <w:sz w:val="20"/>
                <w:lang w:eastAsia="en-GB"/>
              </w:rPr>
              <w:t>no need for change</w:t>
            </w:r>
            <w:r w:rsidRPr="00D62713">
              <w:rPr>
                <w:rFonts w:cs="Calibri"/>
                <w:sz w:val="20"/>
                <w:lang w:eastAsia="en-GB"/>
              </w:rPr>
              <w:br/>
              <w:t>- Views proposing ne</w:t>
            </w:r>
            <w:r w:rsidRPr="006C31F3">
              <w:rPr>
                <w:rFonts w:cs="Calibri"/>
                <w:b/>
                <w:bCs/>
                <w:sz w:val="20"/>
                <w:lang w:eastAsia="en-GB"/>
              </w:rPr>
              <w:t>ed to assess the current goals</w:t>
            </w:r>
            <w:r w:rsidRPr="00D62713">
              <w:rPr>
                <w:rFonts w:cs="Calibri"/>
                <w:sz w:val="20"/>
                <w:lang w:eastAsia="en-GB"/>
              </w:rPr>
              <w:t xml:space="preserve"> and </w:t>
            </w:r>
            <w:r w:rsidRPr="006C31F3">
              <w:rPr>
                <w:rFonts w:cs="Calibri"/>
                <w:b/>
                <w:bCs/>
                <w:sz w:val="20"/>
                <w:lang w:eastAsia="en-GB"/>
              </w:rPr>
              <w:t>align in the fast-changing environment</w:t>
            </w:r>
            <w:r w:rsidRPr="00D62713">
              <w:rPr>
                <w:rFonts w:cs="Calibri"/>
                <w:sz w:val="20"/>
                <w:lang w:eastAsia="en-GB"/>
              </w:rPr>
              <w:br/>
              <w:t xml:space="preserve">- Views proposing </w:t>
            </w:r>
            <w:r w:rsidRPr="006C31F3">
              <w:rPr>
                <w:rFonts w:cs="Calibri"/>
                <w:b/>
                <w:bCs/>
                <w:sz w:val="20"/>
                <w:lang w:eastAsia="en-GB"/>
              </w:rPr>
              <w:t>goals to be revisited and possibly some merged</w:t>
            </w:r>
          </w:p>
        </w:tc>
        <w:tc>
          <w:tcPr>
            <w:tcW w:w="1134" w:type="dxa"/>
            <w:tcBorders>
              <w:top w:val="nil"/>
              <w:left w:val="nil"/>
              <w:bottom w:val="nil"/>
              <w:right w:val="nil"/>
            </w:tcBorders>
            <w:shd w:val="clear" w:color="auto" w:fill="auto"/>
            <w:noWrap/>
            <w:vAlign w:val="center"/>
            <w:hideMark/>
          </w:tcPr>
          <w:p w14:paraId="499DA298" w14:textId="77777777" w:rsidR="006B317E" w:rsidRPr="00D62713"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8" w:history="1">
              <w:r w:rsidR="006B317E" w:rsidRPr="00D62713">
                <w:rPr>
                  <w:rFonts w:cs="Calibri"/>
                  <w:color w:val="548DD4" w:themeColor="text2" w:themeTint="99"/>
                  <w:sz w:val="20"/>
                  <w:u w:val="single"/>
                  <w:lang w:eastAsia="en-GB"/>
                </w:rPr>
                <w:t>CWG-SFP-1/11</w:t>
              </w:r>
            </w:hyperlink>
          </w:p>
        </w:tc>
        <w:tc>
          <w:tcPr>
            <w:tcW w:w="4819" w:type="dxa"/>
            <w:vMerge/>
            <w:tcBorders>
              <w:left w:val="nil"/>
              <w:right w:val="nil"/>
            </w:tcBorders>
            <w:shd w:val="clear" w:color="auto" w:fill="FFFFFF" w:themeFill="background1"/>
            <w:noWrap/>
            <w:vAlign w:val="bottom"/>
            <w:hideMark/>
          </w:tcPr>
          <w:p w14:paraId="4CA0BBFB" w14:textId="3ACBDAC5" w:rsidR="006B317E" w:rsidRPr="00D62713" w:rsidRDefault="006B317E" w:rsidP="00D62713">
            <w:pPr>
              <w:spacing w:before="0"/>
              <w:rPr>
                <w:rFonts w:cs="Calibri"/>
                <w:sz w:val="20"/>
                <w:lang w:eastAsia="en-GB"/>
              </w:rPr>
            </w:pPr>
          </w:p>
        </w:tc>
      </w:tr>
      <w:tr w:rsidR="006B317E" w:rsidRPr="00D62713" w14:paraId="21F0E238" w14:textId="77777777" w:rsidTr="006B317E">
        <w:trPr>
          <w:trHeight w:val="810"/>
        </w:trPr>
        <w:tc>
          <w:tcPr>
            <w:tcW w:w="1408" w:type="dxa"/>
            <w:tcBorders>
              <w:top w:val="nil"/>
              <w:left w:val="nil"/>
              <w:bottom w:val="nil"/>
              <w:right w:val="nil"/>
            </w:tcBorders>
            <w:shd w:val="clear" w:color="EDEDED" w:fill="EDEDED"/>
            <w:hideMark/>
          </w:tcPr>
          <w:p w14:paraId="0999BAC1" w14:textId="15D103A5"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D62713">
              <w:rPr>
                <w:rFonts w:cs="Calibri"/>
                <w:sz w:val="20"/>
                <w:lang w:eastAsia="en-GB"/>
              </w:rPr>
              <w:t xml:space="preserve"> / Findings:</w:t>
            </w:r>
          </w:p>
        </w:tc>
        <w:tc>
          <w:tcPr>
            <w:tcW w:w="7513" w:type="dxa"/>
            <w:tcBorders>
              <w:top w:val="nil"/>
              <w:left w:val="nil"/>
              <w:bottom w:val="nil"/>
              <w:right w:val="nil"/>
            </w:tcBorders>
            <w:shd w:val="clear" w:color="EDEDED" w:fill="EDEDED"/>
            <w:hideMark/>
          </w:tcPr>
          <w:p w14:paraId="699E42E5" w14:textId="7207A282"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D62713">
              <w:rPr>
                <w:rFonts w:cs="Calibri"/>
                <w:i/>
                <w:iCs/>
                <w:sz w:val="20"/>
                <w:lang w:eastAsia="en-GB"/>
              </w:rPr>
              <w:t>Option for consideration:</w:t>
            </w:r>
            <w:r w:rsidRPr="00D62713">
              <w:rPr>
                <w:rFonts w:cs="Calibri"/>
                <w:sz w:val="20"/>
                <w:lang w:eastAsia="en-GB"/>
              </w:rPr>
              <w:br/>
              <w:t>- Goals 4 and 5 (Innovation and Partnership) are more means than ends, and gathering data for their targets has shown to be very difficult</w:t>
            </w:r>
          </w:p>
        </w:tc>
        <w:tc>
          <w:tcPr>
            <w:tcW w:w="1134" w:type="dxa"/>
            <w:tcBorders>
              <w:top w:val="single" w:sz="4" w:space="0" w:color="8EA9DB"/>
              <w:left w:val="nil"/>
              <w:bottom w:val="single" w:sz="4" w:space="0" w:color="8EA9DB"/>
              <w:right w:val="nil"/>
            </w:tcBorders>
            <w:shd w:val="clear" w:color="EDEDED" w:fill="EDEDED"/>
            <w:noWrap/>
            <w:vAlign w:val="center"/>
            <w:hideMark/>
          </w:tcPr>
          <w:p w14:paraId="777941A6" w14:textId="77777777" w:rsidR="006B317E" w:rsidRPr="00D62713" w:rsidRDefault="00A13386" w:rsidP="00D6271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29" w:history="1">
              <w:r w:rsidR="006B317E" w:rsidRPr="00D62713">
                <w:rPr>
                  <w:rFonts w:cs="Calibri"/>
                  <w:color w:val="548DD4" w:themeColor="text2" w:themeTint="99"/>
                  <w:sz w:val="20"/>
                  <w:u w:val="single"/>
                  <w:lang w:eastAsia="en-GB"/>
                </w:rPr>
                <w:t>CWG-SFP-1/4</w:t>
              </w:r>
            </w:hyperlink>
          </w:p>
        </w:tc>
        <w:tc>
          <w:tcPr>
            <w:tcW w:w="4819" w:type="dxa"/>
            <w:vMerge/>
            <w:tcBorders>
              <w:left w:val="nil"/>
              <w:bottom w:val="nil"/>
              <w:right w:val="nil"/>
            </w:tcBorders>
            <w:shd w:val="clear" w:color="auto" w:fill="FFFFFF" w:themeFill="background1"/>
            <w:noWrap/>
            <w:hideMark/>
          </w:tcPr>
          <w:p w14:paraId="6A538A63" w14:textId="229AD507" w:rsidR="006B317E" w:rsidRPr="00D62713" w:rsidRDefault="006B317E" w:rsidP="00D6271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02E1E7A8" w14:textId="3DF2DFF6" w:rsidR="002C184F" w:rsidRDefault="009A439B" w:rsidP="002C184F">
      <w:pPr>
        <w:pStyle w:val="Heading2"/>
      </w:pPr>
      <w:r>
        <w:lastRenderedPageBreak/>
        <w:t>Targets</w:t>
      </w:r>
    </w:p>
    <w:tbl>
      <w:tblPr>
        <w:tblW w:w="15016" w:type="dxa"/>
        <w:tblInd w:w="10" w:type="dxa"/>
        <w:tblLook w:val="04A0" w:firstRow="1" w:lastRow="0" w:firstColumn="1" w:lastColumn="0" w:noHBand="0" w:noVBand="1"/>
      </w:tblPr>
      <w:tblGrid>
        <w:gridCol w:w="1408"/>
        <w:gridCol w:w="7654"/>
        <w:gridCol w:w="1060"/>
        <w:gridCol w:w="4894"/>
      </w:tblGrid>
      <w:tr w:rsidR="006B317E" w:rsidRPr="00AB1BC2" w14:paraId="7FB1B05B" w14:textId="77777777" w:rsidTr="006B317E">
        <w:trPr>
          <w:trHeight w:val="555"/>
        </w:trPr>
        <w:tc>
          <w:tcPr>
            <w:tcW w:w="1408" w:type="dxa"/>
            <w:tcBorders>
              <w:top w:val="single" w:sz="8" w:space="0" w:color="FFFFFF"/>
              <w:left w:val="nil"/>
              <w:bottom w:val="single" w:sz="4" w:space="0" w:color="A5A5A5"/>
              <w:right w:val="nil"/>
            </w:tcBorders>
            <w:shd w:val="clear" w:color="auto" w:fill="auto"/>
            <w:vAlign w:val="center"/>
            <w:hideMark/>
          </w:tcPr>
          <w:p w14:paraId="36B028C7" w14:textId="77777777"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Input source</w:t>
            </w:r>
          </w:p>
        </w:tc>
        <w:tc>
          <w:tcPr>
            <w:tcW w:w="7654" w:type="dxa"/>
            <w:tcBorders>
              <w:top w:val="single" w:sz="8" w:space="0" w:color="FFFFFF"/>
              <w:left w:val="nil"/>
              <w:bottom w:val="single" w:sz="4" w:space="0" w:color="A5A5A5"/>
              <w:right w:val="nil"/>
            </w:tcBorders>
            <w:shd w:val="clear" w:color="auto" w:fill="auto"/>
            <w:vAlign w:val="center"/>
            <w:hideMark/>
          </w:tcPr>
          <w:p w14:paraId="1F192752" w14:textId="7478A753"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1060" w:type="dxa"/>
            <w:tcBorders>
              <w:top w:val="single" w:sz="8" w:space="0" w:color="FFFFFF"/>
              <w:left w:val="nil"/>
              <w:bottom w:val="single" w:sz="4" w:space="0" w:color="A5A5A5"/>
              <w:right w:val="nil"/>
            </w:tcBorders>
            <w:shd w:val="clear" w:color="auto" w:fill="auto"/>
            <w:vAlign w:val="center"/>
            <w:hideMark/>
          </w:tcPr>
          <w:p w14:paraId="23064424" w14:textId="4339A174"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CWG-SFP doc.</w:t>
            </w:r>
          </w:p>
        </w:tc>
        <w:tc>
          <w:tcPr>
            <w:tcW w:w="4894" w:type="dxa"/>
            <w:tcBorders>
              <w:top w:val="single" w:sz="8" w:space="0" w:color="FFFFFF"/>
              <w:left w:val="nil"/>
              <w:bottom w:val="single" w:sz="4" w:space="0" w:color="A5A5A5"/>
              <w:right w:val="nil"/>
            </w:tcBorders>
            <w:shd w:val="clear" w:color="auto" w:fill="auto"/>
            <w:vAlign w:val="center"/>
            <w:hideMark/>
          </w:tcPr>
          <w:p w14:paraId="7E723D96" w14:textId="77777777"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CWG-SFP Guidance</w:t>
            </w:r>
          </w:p>
        </w:tc>
      </w:tr>
      <w:tr w:rsidR="006B317E" w:rsidRPr="00AB1BC2" w14:paraId="55C5F3EB" w14:textId="77777777" w:rsidTr="006B317E">
        <w:trPr>
          <w:trHeight w:val="2175"/>
        </w:trPr>
        <w:tc>
          <w:tcPr>
            <w:tcW w:w="1408" w:type="dxa"/>
            <w:tcBorders>
              <w:top w:val="nil"/>
              <w:left w:val="nil"/>
              <w:bottom w:val="nil"/>
              <w:right w:val="nil"/>
            </w:tcBorders>
            <w:shd w:val="clear" w:color="EDEDED" w:fill="EDEDED"/>
            <w:hideMark/>
          </w:tcPr>
          <w:p w14:paraId="2672653B" w14:textId="77777777"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sz w:val="20"/>
                <w:lang w:eastAsia="en-GB"/>
              </w:rPr>
              <w:t>MS contributions:</w:t>
            </w:r>
          </w:p>
        </w:tc>
        <w:tc>
          <w:tcPr>
            <w:tcW w:w="7654" w:type="dxa"/>
            <w:tcBorders>
              <w:top w:val="nil"/>
              <w:left w:val="nil"/>
              <w:bottom w:val="nil"/>
              <w:right w:val="nil"/>
            </w:tcBorders>
            <w:shd w:val="clear" w:color="EDEDED" w:fill="EDEDED"/>
            <w:hideMark/>
          </w:tcPr>
          <w:p w14:paraId="0DA25038" w14:textId="3AA8C01B"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i/>
                <w:iCs/>
                <w:sz w:val="20"/>
                <w:lang w:eastAsia="en-GB"/>
              </w:rPr>
              <w:t>Contribution from the Russian Federation:</w:t>
            </w:r>
            <w:r w:rsidRPr="00AB1BC2">
              <w:rPr>
                <w:rFonts w:cs="Calibri"/>
                <w:i/>
                <w:iCs/>
                <w:sz w:val="20"/>
                <w:lang w:eastAsia="en-GB"/>
              </w:rPr>
              <w:br/>
            </w:r>
            <w:r w:rsidRPr="00AB1BC2">
              <w:rPr>
                <w:rFonts w:cs="Calibri"/>
                <w:sz w:val="20"/>
                <w:lang w:eastAsia="en-GB"/>
              </w:rPr>
              <w:t>- The “Targets of the Union” (as products of the long-term impact of ITU’s work on all aspects of society) may serve as an indication of progress towards achievement of the strategic goals of the Union, but they must at the same time be linked to the SDGs, in accordance with Resolution 71 (Rev. Dubai, 2018). The purpose of such targets is to provide direction for where the Union should focus its attention and to materialize the ITU vision for an interconnected world. In this regard, Section 3 of the current ITU strategic plan should be significantly shortened or removed altogether as it is overly dense, and the relevant information could be covered under “Targets.”</w:t>
            </w:r>
          </w:p>
        </w:tc>
        <w:tc>
          <w:tcPr>
            <w:tcW w:w="1060" w:type="dxa"/>
            <w:tcBorders>
              <w:top w:val="nil"/>
              <w:left w:val="nil"/>
              <w:bottom w:val="nil"/>
              <w:right w:val="nil"/>
            </w:tcBorders>
            <w:shd w:val="clear" w:color="EDEDED" w:fill="EDEDED"/>
            <w:noWrap/>
            <w:vAlign w:val="center"/>
            <w:hideMark/>
          </w:tcPr>
          <w:p w14:paraId="26EC2845" w14:textId="77777777" w:rsidR="006B317E" w:rsidRPr="00E578AA" w:rsidRDefault="00A13386"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0"/>
                <w:u w:val="single"/>
                <w:lang w:eastAsia="en-GB"/>
              </w:rPr>
            </w:pPr>
            <w:hyperlink r:id="rId30" w:history="1">
              <w:r w:rsidR="006B317E" w:rsidRPr="00E578AA">
                <w:rPr>
                  <w:rFonts w:cs="Calibri"/>
                  <w:color w:val="4F81BD" w:themeColor="accent1"/>
                  <w:sz w:val="20"/>
                  <w:u w:val="single"/>
                  <w:lang w:eastAsia="en-GB"/>
                </w:rPr>
                <w:t>CWG-SFP-1/8</w:t>
              </w:r>
            </w:hyperlink>
          </w:p>
        </w:tc>
        <w:tc>
          <w:tcPr>
            <w:tcW w:w="4894" w:type="dxa"/>
            <w:vMerge w:val="restart"/>
            <w:tcBorders>
              <w:top w:val="nil"/>
              <w:left w:val="nil"/>
              <w:right w:val="nil"/>
            </w:tcBorders>
            <w:shd w:val="clear" w:color="auto" w:fill="FFFFFF" w:themeFill="background1"/>
            <w:noWrap/>
            <w:hideMark/>
          </w:tcPr>
          <w:p w14:paraId="23FA561A" w14:textId="332FD626" w:rsidR="006B317E" w:rsidRPr="00250458" w:rsidRDefault="006B317E" w:rsidP="007539B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eastAsia="en-GB"/>
              </w:rPr>
            </w:pPr>
            <w:r w:rsidRPr="00250458">
              <w:rPr>
                <w:rFonts w:cs="Calibri"/>
                <w:sz w:val="22"/>
                <w:szCs w:val="22"/>
                <w:lang w:eastAsia="en-GB"/>
              </w:rPr>
              <w:t xml:space="preserve">- Request the secretariat to present </w:t>
            </w:r>
            <w:r>
              <w:rPr>
                <w:rFonts w:cs="Calibri"/>
                <w:sz w:val="22"/>
                <w:szCs w:val="22"/>
                <w:lang w:eastAsia="en-GB"/>
              </w:rPr>
              <w:t>inputs</w:t>
            </w:r>
            <w:r w:rsidRPr="00250458">
              <w:rPr>
                <w:rFonts w:cs="Calibri"/>
                <w:sz w:val="22"/>
                <w:szCs w:val="22"/>
                <w:lang w:eastAsia="en-GB"/>
              </w:rPr>
              <w:t xml:space="preserve"> to review the current set of Targets, according to the lessons learned, in particular:</w:t>
            </w:r>
            <w:r w:rsidRPr="00250458">
              <w:rPr>
                <w:rFonts w:cs="Calibri"/>
                <w:sz w:val="22"/>
                <w:szCs w:val="22"/>
                <w:lang w:eastAsia="en-GB"/>
              </w:rPr>
              <w:br/>
              <w:t xml:space="preserve">   - Targets to be SMART (specific, measurable, action-oriented, realistic, time-bound)</w:t>
            </w:r>
            <w:r w:rsidRPr="00250458">
              <w:rPr>
                <w:rFonts w:cs="Calibri"/>
                <w:sz w:val="22"/>
                <w:szCs w:val="22"/>
                <w:lang w:eastAsia="en-GB"/>
              </w:rPr>
              <w:br/>
              <w:t xml:space="preserve">   - Targets to account for regional and developmental gaps</w:t>
            </w:r>
            <w:r w:rsidRPr="00250458">
              <w:rPr>
                <w:rFonts w:cs="Calibri"/>
                <w:sz w:val="22"/>
                <w:szCs w:val="22"/>
                <w:lang w:eastAsia="en-GB"/>
              </w:rPr>
              <w:br/>
            </w:r>
          </w:p>
        </w:tc>
      </w:tr>
      <w:tr w:rsidR="006B317E" w:rsidRPr="00AB1BC2" w14:paraId="2B300C03" w14:textId="77777777" w:rsidTr="006B317E">
        <w:trPr>
          <w:trHeight w:val="3510"/>
        </w:trPr>
        <w:tc>
          <w:tcPr>
            <w:tcW w:w="1408" w:type="dxa"/>
            <w:tcBorders>
              <w:top w:val="nil"/>
              <w:left w:val="nil"/>
              <w:bottom w:val="nil"/>
              <w:right w:val="nil"/>
            </w:tcBorders>
            <w:shd w:val="clear" w:color="auto" w:fill="auto"/>
            <w:hideMark/>
          </w:tcPr>
          <w:p w14:paraId="40337DDD" w14:textId="77777777" w:rsidR="006B317E"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p w14:paraId="685C9BDB" w14:textId="73DB5407"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AB1BC2">
              <w:rPr>
                <w:rFonts w:cs="Calibri"/>
                <w:sz w:val="20"/>
                <w:lang w:eastAsia="en-GB"/>
              </w:rPr>
              <w:t xml:space="preserve"> / Findings:</w:t>
            </w:r>
          </w:p>
        </w:tc>
        <w:tc>
          <w:tcPr>
            <w:tcW w:w="7654" w:type="dxa"/>
            <w:tcBorders>
              <w:top w:val="nil"/>
              <w:left w:val="nil"/>
              <w:bottom w:val="nil"/>
              <w:right w:val="nil"/>
            </w:tcBorders>
            <w:shd w:val="clear" w:color="auto" w:fill="auto"/>
            <w:hideMark/>
          </w:tcPr>
          <w:p w14:paraId="7C61D942" w14:textId="77777777" w:rsidR="006B317E"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i/>
                <w:iCs/>
                <w:sz w:val="20"/>
                <w:lang w:eastAsia="en-GB"/>
              </w:rPr>
            </w:pPr>
          </w:p>
          <w:p w14:paraId="43D40CAE" w14:textId="127061BA" w:rsidR="006B317E" w:rsidRPr="00AB1BC2" w:rsidRDefault="006B317E"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i/>
                <w:iCs/>
                <w:sz w:val="20"/>
                <w:lang w:eastAsia="en-GB"/>
              </w:rPr>
              <w:t>Options for consideration:</w:t>
            </w:r>
            <w:r w:rsidRPr="00AB1BC2">
              <w:rPr>
                <w:rFonts w:cs="Calibri"/>
                <w:sz w:val="20"/>
                <w:lang w:eastAsia="en-GB"/>
              </w:rPr>
              <w:br/>
              <w:t>- New Targets can only be added if a reliable source(s) of data exists or if there are plans to start measuring them in the near future</w:t>
            </w:r>
            <w:r w:rsidRPr="00AB1BC2">
              <w:rPr>
                <w:rFonts w:cs="Calibri"/>
                <w:sz w:val="20"/>
                <w:lang w:eastAsia="en-GB"/>
              </w:rPr>
              <w:br/>
              <w:t>- Targets need to be SMART (to be meaningful)</w:t>
            </w:r>
            <w:r w:rsidRPr="00AB1BC2">
              <w:rPr>
                <w:rFonts w:cs="Calibri"/>
                <w:sz w:val="20"/>
                <w:lang w:eastAsia="en-GB"/>
              </w:rPr>
              <w:br/>
              <w:t>- As setting up now (mid 2021) targets for 2024-27, targets should be realistic (not very conservative, still not unachievable)</w:t>
            </w:r>
            <w:r w:rsidRPr="00AB1BC2">
              <w:rPr>
                <w:rFonts w:cs="Calibri"/>
                <w:sz w:val="20"/>
                <w:lang w:eastAsia="en-GB"/>
              </w:rPr>
              <w:br/>
              <w:t>- Targets should use data from ITU (STATs Regulatory survey, etc.) or recognized sources</w:t>
            </w:r>
            <w:r w:rsidRPr="00AB1BC2">
              <w:rPr>
                <w:rFonts w:cs="Calibri"/>
                <w:sz w:val="20"/>
                <w:lang w:eastAsia="en-GB"/>
              </w:rPr>
              <w:br/>
              <w:t>- Targets should account for regional and developmental differences – overall, world averages should be avoided</w:t>
            </w:r>
            <w:r w:rsidRPr="00AB1BC2">
              <w:rPr>
                <w:rFonts w:cs="Calibri"/>
                <w:sz w:val="20"/>
                <w:lang w:eastAsia="en-GB"/>
              </w:rPr>
              <w:br/>
              <w:t>- Targets and KPIs to reflect RBM principles in that they should ultimately be impact driven, as opposed to output/action led.</w:t>
            </w:r>
            <w:r w:rsidRPr="00AB1BC2">
              <w:rPr>
                <w:rFonts w:cs="Calibri"/>
                <w:sz w:val="20"/>
                <w:lang w:eastAsia="en-GB"/>
              </w:rPr>
              <w:br/>
            </w:r>
            <w:r w:rsidRPr="00AB1BC2">
              <w:rPr>
                <w:rFonts w:cs="Calibri"/>
                <w:i/>
                <w:iCs/>
                <w:sz w:val="20"/>
                <w:lang w:eastAsia="en-GB"/>
              </w:rPr>
              <w:t>(see also below the topic of Regional Presence and the recommendation to have targets at the Regional level)</w:t>
            </w:r>
          </w:p>
        </w:tc>
        <w:tc>
          <w:tcPr>
            <w:tcW w:w="1060" w:type="dxa"/>
            <w:tcBorders>
              <w:top w:val="nil"/>
              <w:left w:val="nil"/>
              <w:bottom w:val="nil"/>
              <w:right w:val="nil"/>
            </w:tcBorders>
            <w:shd w:val="clear" w:color="auto" w:fill="auto"/>
            <w:noWrap/>
            <w:vAlign w:val="center"/>
            <w:hideMark/>
          </w:tcPr>
          <w:p w14:paraId="38F74D2C" w14:textId="77777777" w:rsidR="006B317E" w:rsidRPr="00E578AA" w:rsidRDefault="00A13386"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4F81BD" w:themeColor="accent1"/>
                <w:sz w:val="20"/>
                <w:u w:val="single"/>
                <w:lang w:eastAsia="en-GB"/>
              </w:rPr>
            </w:pPr>
            <w:hyperlink r:id="rId31" w:history="1">
              <w:r w:rsidR="006B317E" w:rsidRPr="00E578AA">
                <w:rPr>
                  <w:rFonts w:cs="Calibri"/>
                  <w:color w:val="4F81BD" w:themeColor="accent1"/>
                  <w:sz w:val="20"/>
                  <w:u w:val="single"/>
                  <w:lang w:eastAsia="en-GB"/>
                </w:rPr>
                <w:t>CWG-SFP-1/4</w:t>
              </w:r>
            </w:hyperlink>
          </w:p>
        </w:tc>
        <w:tc>
          <w:tcPr>
            <w:tcW w:w="4894" w:type="dxa"/>
            <w:vMerge/>
            <w:tcBorders>
              <w:left w:val="nil"/>
              <w:bottom w:val="nil"/>
              <w:right w:val="nil"/>
            </w:tcBorders>
            <w:shd w:val="clear" w:color="auto" w:fill="FFFFFF" w:themeFill="background1"/>
            <w:noWrap/>
            <w:hideMark/>
          </w:tcPr>
          <w:p w14:paraId="13BF4112" w14:textId="77777777" w:rsidR="006B317E" w:rsidRPr="00AB1BC2" w:rsidRDefault="006B317E" w:rsidP="007539B8">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0184F525" w14:textId="77777777" w:rsidR="009A439B" w:rsidRDefault="009A439B">
      <w:pPr>
        <w:tabs>
          <w:tab w:val="clear" w:pos="567"/>
          <w:tab w:val="clear" w:pos="1134"/>
          <w:tab w:val="clear" w:pos="1701"/>
          <w:tab w:val="clear" w:pos="2268"/>
          <w:tab w:val="clear" w:pos="2835"/>
        </w:tabs>
        <w:overflowPunct/>
        <w:autoSpaceDE/>
        <w:autoSpaceDN/>
        <w:adjustRightInd/>
        <w:spacing w:before="0"/>
        <w:textAlignment w:val="auto"/>
      </w:pPr>
      <w:r>
        <w:br w:type="page"/>
      </w:r>
    </w:p>
    <w:p w14:paraId="7D86E06E" w14:textId="0FD0CEC4" w:rsidR="002C184F" w:rsidRDefault="00BB0C9C" w:rsidP="002C184F">
      <w:pPr>
        <w:pStyle w:val="Heading2"/>
      </w:pPr>
      <w:r>
        <w:lastRenderedPageBreak/>
        <w:t>Regional Presence</w:t>
      </w:r>
    </w:p>
    <w:tbl>
      <w:tblPr>
        <w:tblW w:w="15016" w:type="dxa"/>
        <w:tblInd w:w="10" w:type="dxa"/>
        <w:tblLook w:val="04A0" w:firstRow="1" w:lastRow="0" w:firstColumn="1" w:lastColumn="0" w:noHBand="0" w:noVBand="1"/>
      </w:tblPr>
      <w:tblGrid>
        <w:gridCol w:w="1408"/>
        <w:gridCol w:w="8221"/>
        <w:gridCol w:w="1059"/>
        <w:gridCol w:w="4328"/>
      </w:tblGrid>
      <w:tr w:rsidR="00A91A8C" w:rsidRPr="00AB1BC2" w14:paraId="71441D81" w14:textId="77777777" w:rsidTr="00A91A8C">
        <w:trPr>
          <w:trHeight w:val="555"/>
        </w:trPr>
        <w:tc>
          <w:tcPr>
            <w:tcW w:w="1408" w:type="dxa"/>
            <w:tcBorders>
              <w:top w:val="single" w:sz="8" w:space="0" w:color="FFFFFF"/>
              <w:left w:val="nil"/>
              <w:bottom w:val="single" w:sz="4" w:space="0" w:color="A5A5A5"/>
              <w:right w:val="nil"/>
            </w:tcBorders>
            <w:shd w:val="clear" w:color="auto" w:fill="auto"/>
            <w:vAlign w:val="center"/>
            <w:hideMark/>
          </w:tcPr>
          <w:p w14:paraId="0F188314"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Input source</w:t>
            </w:r>
          </w:p>
        </w:tc>
        <w:tc>
          <w:tcPr>
            <w:tcW w:w="8221" w:type="dxa"/>
            <w:tcBorders>
              <w:top w:val="single" w:sz="8" w:space="0" w:color="FFFFFF"/>
              <w:left w:val="nil"/>
              <w:bottom w:val="single" w:sz="4" w:space="0" w:color="A5A5A5"/>
              <w:right w:val="nil"/>
            </w:tcBorders>
            <w:shd w:val="clear" w:color="auto" w:fill="auto"/>
            <w:vAlign w:val="center"/>
            <w:hideMark/>
          </w:tcPr>
          <w:p w14:paraId="3A693C54" w14:textId="55AB6A16"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1059" w:type="dxa"/>
            <w:tcBorders>
              <w:top w:val="single" w:sz="8" w:space="0" w:color="FFFFFF"/>
              <w:left w:val="nil"/>
              <w:bottom w:val="single" w:sz="4" w:space="0" w:color="A5A5A5"/>
              <w:right w:val="nil"/>
            </w:tcBorders>
            <w:shd w:val="clear" w:color="auto" w:fill="auto"/>
            <w:vAlign w:val="center"/>
            <w:hideMark/>
          </w:tcPr>
          <w:p w14:paraId="723C46D8" w14:textId="7BB52CFD"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CWG-SFP doc.</w:t>
            </w:r>
          </w:p>
        </w:tc>
        <w:tc>
          <w:tcPr>
            <w:tcW w:w="4328" w:type="dxa"/>
            <w:tcBorders>
              <w:top w:val="single" w:sz="8" w:space="0" w:color="FFFFFF"/>
              <w:left w:val="nil"/>
              <w:bottom w:val="single" w:sz="4" w:space="0" w:color="A5A5A5"/>
              <w:right w:val="nil"/>
            </w:tcBorders>
            <w:shd w:val="clear" w:color="auto" w:fill="auto"/>
            <w:vAlign w:val="center"/>
            <w:hideMark/>
          </w:tcPr>
          <w:p w14:paraId="1D16082B"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AB1BC2">
              <w:rPr>
                <w:rFonts w:cs="Calibri"/>
                <w:b/>
                <w:bCs/>
                <w:sz w:val="20"/>
                <w:lang w:eastAsia="en-GB"/>
              </w:rPr>
              <w:t>CWG-SFP Guidance</w:t>
            </w:r>
          </w:p>
        </w:tc>
      </w:tr>
      <w:tr w:rsidR="00A91A8C" w:rsidRPr="00AB1BC2" w14:paraId="329864B6" w14:textId="77777777" w:rsidTr="00A91A8C">
        <w:trPr>
          <w:trHeight w:val="2715"/>
        </w:trPr>
        <w:tc>
          <w:tcPr>
            <w:tcW w:w="1408" w:type="dxa"/>
            <w:tcBorders>
              <w:top w:val="nil"/>
              <w:left w:val="nil"/>
              <w:bottom w:val="nil"/>
              <w:right w:val="nil"/>
            </w:tcBorders>
            <w:shd w:val="clear" w:color="EDEDED" w:fill="EDEDED"/>
            <w:hideMark/>
          </w:tcPr>
          <w:p w14:paraId="1AD1E0A3"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sz w:val="20"/>
                <w:lang w:eastAsia="en-GB"/>
              </w:rPr>
              <w:t>MS contributions:</w:t>
            </w:r>
          </w:p>
        </w:tc>
        <w:tc>
          <w:tcPr>
            <w:tcW w:w="8221" w:type="dxa"/>
            <w:tcBorders>
              <w:top w:val="nil"/>
              <w:left w:val="nil"/>
              <w:bottom w:val="nil"/>
              <w:right w:val="nil"/>
            </w:tcBorders>
            <w:shd w:val="clear" w:color="EDEDED" w:fill="EDEDED"/>
            <w:hideMark/>
          </w:tcPr>
          <w:p w14:paraId="00A3815E" w14:textId="06578B01"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i/>
                <w:iCs/>
                <w:sz w:val="20"/>
                <w:lang w:eastAsia="en-GB"/>
              </w:rPr>
              <w:t>Contribution from the Russian Federation:</w:t>
            </w:r>
            <w:r w:rsidRPr="00AB1BC2">
              <w:rPr>
                <w:rFonts w:cs="Calibri"/>
                <w:i/>
                <w:iCs/>
                <w:sz w:val="20"/>
                <w:lang w:eastAsia="en-GB"/>
              </w:rPr>
              <w:br/>
            </w:r>
            <w:r w:rsidRPr="00AB1BC2">
              <w:rPr>
                <w:rFonts w:cs="Calibri"/>
                <w:sz w:val="20"/>
                <w:lang w:eastAsia="en-GB"/>
              </w:rPr>
              <w:t xml:space="preserve">- The ITU strategic plan would benefit from better reflecting the role of the regional presence as one of the most important functions of ITU. The regional presence helps to better assess the problems and needs of the regions and assist in addressing them. The main objectives and areas of these activities should be included in the strategic plan as part of “working as One ITU” and not only as Sector objectives. To that end, it is necessary, first and foremost, to resolve the matter of changing the administrative subordination for the regional/area offices. When preparing the corresponding points of the plan, the opinions of the regional telecommunication organizations should be </w:t>
            </w:r>
            <w:proofErr w:type="gramStart"/>
            <w:r w:rsidRPr="00AB1BC2">
              <w:rPr>
                <w:rFonts w:cs="Calibri"/>
                <w:sz w:val="20"/>
                <w:lang w:eastAsia="en-GB"/>
              </w:rPr>
              <w:t>taken into account</w:t>
            </w:r>
            <w:proofErr w:type="gramEnd"/>
            <w:r w:rsidRPr="00AB1BC2">
              <w:rPr>
                <w:rFonts w:cs="Calibri"/>
                <w:sz w:val="20"/>
                <w:lang w:eastAsia="en-GB"/>
              </w:rPr>
              <w:t xml:space="preserve"> (See</w:t>
            </w:r>
            <w:r>
              <w:rPr>
                <w:rFonts w:cs="Calibri"/>
                <w:sz w:val="20"/>
                <w:lang w:eastAsia="en-GB"/>
              </w:rPr>
              <w:t xml:space="preserve"> PP</w:t>
            </w:r>
            <w:r w:rsidRPr="00AB1BC2">
              <w:rPr>
                <w:rFonts w:cs="Calibri"/>
                <w:sz w:val="20"/>
                <w:lang w:eastAsia="en-GB"/>
              </w:rPr>
              <w:t xml:space="preserve"> Res</w:t>
            </w:r>
            <w:r>
              <w:rPr>
                <w:rFonts w:cs="Calibri"/>
                <w:sz w:val="20"/>
                <w:lang w:eastAsia="en-GB"/>
              </w:rPr>
              <w:t>.</w:t>
            </w:r>
            <w:r w:rsidRPr="00AB1BC2">
              <w:rPr>
                <w:rFonts w:cs="Calibri"/>
                <w:sz w:val="20"/>
                <w:lang w:eastAsia="en-GB"/>
              </w:rPr>
              <w:t xml:space="preserve"> 58 (Rev. Busan, 2014) and 25 (Rev. Dubai, 2018)).</w:t>
            </w:r>
          </w:p>
        </w:tc>
        <w:tc>
          <w:tcPr>
            <w:tcW w:w="1059" w:type="dxa"/>
            <w:tcBorders>
              <w:top w:val="nil"/>
              <w:left w:val="nil"/>
              <w:bottom w:val="nil"/>
              <w:right w:val="nil"/>
            </w:tcBorders>
            <w:shd w:val="clear" w:color="EDEDED" w:fill="EDEDED"/>
            <w:noWrap/>
            <w:vAlign w:val="center"/>
            <w:hideMark/>
          </w:tcPr>
          <w:p w14:paraId="1BA6B6D0" w14:textId="77777777" w:rsidR="00A91A8C" w:rsidRPr="00AB1BC2" w:rsidRDefault="00A13386"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32" w:history="1">
              <w:r w:rsidR="00A91A8C" w:rsidRPr="00AB1BC2">
                <w:rPr>
                  <w:rFonts w:cs="Calibri"/>
                  <w:color w:val="548DD4" w:themeColor="text2" w:themeTint="99"/>
                  <w:sz w:val="20"/>
                  <w:u w:val="single"/>
                  <w:lang w:eastAsia="en-GB"/>
                </w:rPr>
                <w:t>CWG-SFP-1/8</w:t>
              </w:r>
            </w:hyperlink>
          </w:p>
        </w:tc>
        <w:tc>
          <w:tcPr>
            <w:tcW w:w="4328" w:type="dxa"/>
            <w:vMerge w:val="restart"/>
            <w:tcBorders>
              <w:top w:val="nil"/>
              <w:left w:val="nil"/>
              <w:right w:val="nil"/>
            </w:tcBorders>
            <w:shd w:val="clear" w:color="auto" w:fill="FFFFFF" w:themeFill="background1"/>
            <w:noWrap/>
            <w:hideMark/>
          </w:tcPr>
          <w:p w14:paraId="117AE463" w14:textId="276A10BF" w:rsidR="00A91A8C" w:rsidRPr="004F6610" w:rsidRDefault="00A91A8C" w:rsidP="00E222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4F6610">
              <w:rPr>
                <w:rFonts w:cs="Calibri"/>
                <w:sz w:val="22"/>
                <w:szCs w:val="22"/>
                <w:lang w:eastAsia="en-GB"/>
              </w:rPr>
              <w:t>- Agree that the role of the ITU regional presence should be reflected in the new strategic plan</w:t>
            </w:r>
            <w:r w:rsidRPr="004F6610">
              <w:rPr>
                <w:rFonts w:cs="Calibri"/>
                <w:sz w:val="22"/>
                <w:szCs w:val="22"/>
                <w:lang w:eastAsia="en-GB"/>
              </w:rPr>
              <w:br/>
              <w:t>- Follow-up on the ongoing discussions among Member States and incorporate conclusions on the role of ITU's regional presence in the new strategic plan</w:t>
            </w:r>
            <w:r>
              <w:rPr>
                <w:rFonts w:cs="Calibri"/>
                <w:sz w:val="22"/>
                <w:szCs w:val="22"/>
                <w:lang w:eastAsia="en-GB"/>
              </w:rPr>
              <w:t>, keeping in mind the Constitution and Convention of the ITU</w:t>
            </w:r>
          </w:p>
        </w:tc>
      </w:tr>
      <w:tr w:rsidR="00A91A8C" w:rsidRPr="00AB1BC2" w14:paraId="47B63C37" w14:textId="77777777" w:rsidTr="00A91A8C">
        <w:trPr>
          <w:trHeight w:val="1883"/>
        </w:trPr>
        <w:tc>
          <w:tcPr>
            <w:tcW w:w="1408" w:type="dxa"/>
            <w:tcBorders>
              <w:top w:val="nil"/>
              <w:left w:val="nil"/>
              <w:bottom w:val="nil"/>
              <w:right w:val="nil"/>
            </w:tcBorders>
            <w:shd w:val="clear" w:color="auto" w:fill="auto"/>
            <w:hideMark/>
          </w:tcPr>
          <w:p w14:paraId="416F76FE"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sz w:val="20"/>
                <w:lang w:eastAsia="en-GB"/>
              </w:rPr>
              <w:t>Online consultation:</w:t>
            </w:r>
          </w:p>
        </w:tc>
        <w:tc>
          <w:tcPr>
            <w:tcW w:w="8221" w:type="dxa"/>
            <w:tcBorders>
              <w:top w:val="nil"/>
              <w:left w:val="nil"/>
              <w:bottom w:val="nil"/>
              <w:right w:val="nil"/>
            </w:tcBorders>
            <w:shd w:val="clear" w:color="auto" w:fill="auto"/>
            <w:hideMark/>
          </w:tcPr>
          <w:p w14:paraId="6C34BA79"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sz w:val="20"/>
                <w:lang w:eastAsia="en-GB"/>
              </w:rPr>
              <w:t>Overall findings:</w:t>
            </w:r>
            <w:r w:rsidRPr="00AB1BC2">
              <w:rPr>
                <w:rFonts w:cs="Calibri"/>
                <w:sz w:val="20"/>
                <w:lang w:eastAsia="en-GB"/>
              </w:rPr>
              <w:br/>
              <w:t xml:space="preserve">- Ongoing </w:t>
            </w:r>
            <w:r w:rsidRPr="00F07A42">
              <w:rPr>
                <w:rFonts w:cs="Calibri"/>
                <w:b/>
                <w:bCs/>
                <w:sz w:val="20"/>
                <w:lang w:eastAsia="en-GB"/>
              </w:rPr>
              <w:t>Review following the PwC Report</w:t>
            </w:r>
            <w:r w:rsidRPr="00AB1BC2">
              <w:rPr>
                <w:rFonts w:cs="Calibri"/>
                <w:sz w:val="20"/>
                <w:lang w:eastAsia="en-GB"/>
              </w:rPr>
              <w:t xml:space="preserve"> is </w:t>
            </w:r>
            <w:r w:rsidRPr="00F07A42">
              <w:rPr>
                <w:rFonts w:cs="Calibri"/>
                <w:b/>
                <w:bCs/>
                <w:sz w:val="20"/>
                <w:lang w:eastAsia="en-GB"/>
              </w:rPr>
              <w:t>still under discussion</w:t>
            </w:r>
            <w:r w:rsidRPr="00AB1BC2">
              <w:rPr>
                <w:rFonts w:cs="Calibri"/>
                <w:sz w:val="20"/>
                <w:lang w:eastAsia="en-GB"/>
              </w:rPr>
              <w:br/>
              <w:t xml:space="preserve">- Need to </w:t>
            </w:r>
            <w:r w:rsidRPr="00F07A42">
              <w:rPr>
                <w:rFonts w:cs="Calibri"/>
                <w:b/>
                <w:bCs/>
                <w:sz w:val="20"/>
                <w:lang w:eastAsia="en-GB"/>
              </w:rPr>
              <w:t>clarify role and mandate</w:t>
            </w:r>
            <w:r w:rsidRPr="00AB1BC2">
              <w:rPr>
                <w:rFonts w:cs="Calibri"/>
                <w:sz w:val="20"/>
                <w:lang w:eastAsia="en-GB"/>
              </w:rPr>
              <w:t xml:space="preserve"> for the regional offices</w:t>
            </w:r>
            <w:r w:rsidRPr="00AB1BC2">
              <w:rPr>
                <w:rFonts w:cs="Calibri"/>
                <w:sz w:val="20"/>
                <w:lang w:eastAsia="en-GB"/>
              </w:rPr>
              <w:br/>
              <w:t xml:space="preserve">- Need for </w:t>
            </w:r>
            <w:r w:rsidRPr="00F07A42">
              <w:rPr>
                <w:rFonts w:cs="Calibri"/>
                <w:b/>
                <w:bCs/>
                <w:sz w:val="20"/>
                <w:lang w:eastAsia="en-GB"/>
              </w:rPr>
              <w:t>regional presence to reflect the overall Strategic Goals</w:t>
            </w:r>
            <w:r w:rsidRPr="00AB1BC2">
              <w:rPr>
                <w:rFonts w:cs="Calibri"/>
                <w:sz w:val="20"/>
                <w:lang w:eastAsia="en-GB"/>
              </w:rPr>
              <w:br/>
              <w:t xml:space="preserve">- Importance of </w:t>
            </w:r>
            <w:r w:rsidRPr="00F07A42">
              <w:rPr>
                <w:rFonts w:cs="Calibri"/>
                <w:b/>
                <w:bCs/>
                <w:sz w:val="20"/>
                <w:lang w:eastAsia="en-GB"/>
              </w:rPr>
              <w:t>collaboration with the UN at regional level</w:t>
            </w:r>
            <w:r w:rsidRPr="00AB1BC2">
              <w:rPr>
                <w:rFonts w:cs="Calibri"/>
                <w:sz w:val="20"/>
                <w:lang w:eastAsia="en-GB"/>
              </w:rPr>
              <w:br/>
              <w:t xml:space="preserve">- Some proposals suggest the need to </w:t>
            </w:r>
            <w:r w:rsidRPr="00F07A42">
              <w:rPr>
                <w:rFonts w:cs="Calibri"/>
                <w:b/>
                <w:bCs/>
                <w:sz w:val="20"/>
                <w:lang w:eastAsia="en-GB"/>
              </w:rPr>
              <w:t>further strengthen with financial resources</w:t>
            </w:r>
            <w:r w:rsidRPr="00AB1BC2">
              <w:rPr>
                <w:rFonts w:cs="Calibri"/>
                <w:sz w:val="20"/>
                <w:lang w:eastAsia="en-GB"/>
              </w:rPr>
              <w:br/>
              <w:t xml:space="preserve">- Other proposals suggest </w:t>
            </w:r>
            <w:r w:rsidRPr="00790FE2">
              <w:rPr>
                <w:rFonts w:cs="Calibri"/>
                <w:b/>
                <w:bCs/>
                <w:sz w:val="20"/>
                <w:lang w:eastAsia="en-GB"/>
              </w:rPr>
              <w:t>more authority to be given to the General Secretariat, not only the Development Sector</w:t>
            </w:r>
            <w:r w:rsidRPr="00AB1BC2">
              <w:rPr>
                <w:rFonts w:cs="Calibri"/>
                <w:sz w:val="20"/>
                <w:lang w:eastAsia="en-GB"/>
              </w:rPr>
              <w:t xml:space="preserve"> / or </w:t>
            </w:r>
            <w:r w:rsidRPr="00790FE2">
              <w:rPr>
                <w:rFonts w:cs="Calibri"/>
                <w:b/>
                <w:bCs/>
                <w:sz w:val="20"/>
                <w:lang w:eastAsia="en-GB"/>
              </w:rPr>
              <w:t>envisage transferring regional/area offices under the auspices of the General Secretariat</w:t>
            </w:r>
            <w:r w:rsidRPr="00AB1BC2">
              <w:rPr>
                <w:rFonts w:cs="Calibri"/>
                <w:sz w:val="20"/>
                <w:lang w:eastAsia="en-GB"/>
              </w:rPr>
              <w:t xml:space="preserve"> (in line with the One ITU concept)</w:t>
            </w:r>
          </w:p>
        </w:tc>
        <w:tc>
          <w:tcPr>
            <w:tcW w:w="1059" w:type="dxa"/>
            <w:tcBorders>
              <w:top w:val="nil"/>
              <w:left w:val="nil"/>
              <w:bottom w:val="nil"/>
              <w:right w:val="nil"/>
            </w:tcBorders>
            <w:shd w:val="clear" w:color="auto" w:fill="auto"/>
            <w:noWrap/>
            <w:vAlign w:val="center"/>
            <w:hideMark/>
          </w:tcPr>
          <w:p w14:paraId="3DE2A9BF" w14:textId="77777777" w:rsidR="00A91A8C" w:rsidRPr="00AB1BC2" w:rsidRDefault="00A13386"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33" w:history="1">
              <w:r w:rsidR="00A91A8C" w:rsidRPr="00AB1BC2">
                <w:rPr>
                  <w:rFonts w:cs="Calibri"/>
                  <w:color w:val="548DD4" w:themeColor="text2" w:themeTint="99"/>
                  <w:sz w:val="20"/>
                  <w:u w:val="single"/>
                  <w:lang w:eastAsia="en-GB"/>
                </w:rPr>
                <w:t>CWG-SFP-1/11</w:t>
              </w:r>
            </w:hyperlink>
          </w:p>
        </w:tc>
        <w:tc>
          <w:tcPr>
            <w:tcW w:w="4328" w:type="dxa"/>
            <w:vMerge/>
            <w:tcBorders>
              <w:left w:val="nil"/>
              <w:right w:val="nil"/>
            </w:tcBorders>
            <w:shd w:val="clear" w:color="auto" w:fill="FFFFFF" w:themeFill="background1"/>
            <w:noWrap/>
            <w:hideMark/>
          </w:tcPr>
          <w:p w14:paraId="2331C744"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A91A8C" w:rsidRPr="00AB1BC2" w14:paraId="6E18C6CC" w14:textId="77777777" w:rsidTr="00A91A8C">
        <w:trPr>
          <w:trHeight w:val="89"/>
        </w:trPr>
        <w:tc>
          <w:tcPr>
            <w:tcW w:w="1408" w:type="dxa"/>
            <w:tcBorders>
              <w:top w:val="nil"/>
              <w:left w:val="nil"/>
              <w:bottom w:val="nil"/>
              <w:right w:val="nil"/>
            </w:tcBorders>
            <w:shd w:val="clear" w:color="EDEDED" w:fill="EDEDED"/>
            <w:hideMark/>
          </w:tcPr>
          <w:p w14:paraId="31E286F8" w14:textId="546C19F1"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AB1BC2">
              <w:rPr>
                <w:rFonts w:cs="Calibri"/>
                <w:sz w:val="20"/>
                <w:lang w:eastAsia="en-GB"/>
              </w:rPr>
              <w:t xml:space="preserve"> / Findings:</w:t>
            </w:r>
          </w:p>
        </w:tc>
        <w:tc>
          <w:tcPr>
            <w:tcW w:w="8221" w:type="dxa"/>
            <w:tcBorders>
              <w:top w:val="nil"/>
              <w:left w:val="nil"/>
              <w:bottom w:val="nil"/>
              <w:right w:val="nil"/>
            </w:tcBorders>
            <w:shd w:val="clear" w:color="EDEDED" w:fill="EDEDED"/>
            <w:hideMark/>
          </w:tcPr>
          <w:p w14:paraId="5A609AC7" w14:textId="02D7D092"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AB1BC2">
              <w:rPr>
                <w:rFonts w:cs="Calibri"/>
                <w:i/>
                <w:iCs/>
                <w:sz w:val="20"/>
                <w:lang w:eastAsia="en-GB"/>
              </w:rPr>
              <w:t>(PwC Report on Regional Presence)</w:t>
            </w:r>
            <w:r w:rsidRPr="00AB1BC2">
              <w:rPr>
                <w:rFonts w:cs="Calibri"/>
                <w:sz w:val="20"/>
                <w:lang w:eastAsia="en-GB"/>
              </w:rPr>
              <w:br/>
            </w:r>
            <w:r w:rsidRPr="00AB1BC2">
              <w:rPr>
                <w:rFonts w:cs="Calibri"/>
                <w:b/>
                <w:bCs/>
                <w:sz w:val="20"/>
                <w:lang w:eastAsia="en-GB"/>
              </w:rPr>
              <w:t>1.1. Strengthen ITU’s positioning as a shaper/doer</w:t>
            </w:r>
            <w:r>
              <w:rPr>
                <w:rFonts w:cs="Calibri"/>
                <w:b/>
                <w:bCs/>
                <w:sz w:val="20"/>
                <w:lang w:eastAsia="en-GB"/>
              </w:rPr>
              <w:t xml:space="preserve">: </w:t>
            </w:r>
            <w:r w:rsidRPr="00AB1BC2">
              <w:rPr>
                <w:rFonts w:cs="Calibri"/>
                <w:sz w:val="20"/>
                <w:lang w:eastAsia="en-GB"/>
              </w:rPr>
              <w:t>1.1.1. Spell out the mandate, role and expected contribution from the regional presence</w:t>
            </w:r>
            <w:r w:rsidRPr="00AB1BC2">
              <w:rPr>
                <w:rFonts w:cs="Calibri"/>
                <w:sz w:val="20"/>
                <w:lang w:eastAsia="en-GB"/>
              </w:rPr>
              <w:br/>
            </w:r>
            <w:r w:rsidRPr="00AB1BC2">
              <w:rPr>
                <w:rFonts w:cs="Calibri"/>
                <w:i/>
                <w:iCs/>
                <w:sz w:val="20"/>
                <w:lang w:eastAsia="en-GB"/>
              </w:rPr>
              <w:t>Option for consideration:</w:t>
            </w:r>
            <w:r w:rsidRPr="00AB1BC2">
              <w:rPr>
                <w:rFonts w:cs="Calibri"/>
                <w:sz w:val="20"/>
                <w:lang w:eastAsia="en-GB"/>
              </w:rPr>
              <w:br/>
              <w:t>- The CWG-SFP to take into consideration the recommendation to integrate the regional presence while developing the Strategic Plan 2024-2027</w:t>
            </w:r>
            <w:r w:rsidRPr="00AB1BC2">
              <w:rPr>
                <w:rFonts w:cs="Calibri"/>
                <w:sz w:val="20"/>
                <w:lang w:eastAsia="en-GB"/>
              </w:rPr>
              <w:br/>
            </w:r>
            <w:r w:rsidRPr="00AB1BC2">
              <w:rPr>
                <w:rFonts w:cs="Calibri"/>
                <w:b/>
                <w:bCs/>
                <w:sz w:val="20"/>
                <w:lang w:eastAsia="en-GB"/>
              </w:rPr>
              <w:t>1.4. Consolidate strategic planning at the level of each field office</w:t>
            </w:r>
            <w:r w:rsidRPr="00AB1BC2">
              <w:rPr>
                <w:rFonts w:cs="Calibri"/>
                <w:b/>
                <w:bCs/>
                <w:sz w:val="20"/>
                <w:lang w:eastAsia="en-GB"/>
              </w:rPr>
              <w:br/>
            </w:r>
            <w:r w:rsidRPr="00AB1BC2">
              <w:rPr>
                <w:rFonts w:cs="Calibri"/>
                <w:sz w:val="20"/>
                <w:lang w:eastAsia="en-GB"/>
              </w:rPr>
              <w:t>1.4.1. Develop a results framework aligned with Regional Initiatives</w:t>
            </w:r>
            <w:r w:rsidRPr="00AB1BC2">
              <w:rPr>
                <w:rFonts w:cs="Calibri"/>
                <w:sz w:val="20"/>
                <w:lang w:eastAsia="en-GB"/>
              </w:rPr>
              <w:br/>
              <w:t>1.4.3. Consolidate regional targets in the preparation of the next Strategic Plan</w:t>
            </w:r>
            <w:r w:rsidRPr="00AB1BC2">
              <w:rPr>
                <w:rFonts w:cs="Calibri"/>
                <w:sz w:val="20"/>
                <w:lang w:eastAsia="en-GB"/>
              </w:rPr>
              <w:br/>
            </w:r>
            <w:r w:rsidRPr="00AB1BC2">
              <w:rPr>
                <w:rFonts w:cs="Calibri"/>
                <w:i/>
                <w:iCs/>
                <w:sz w:val="20"/>
                <w:lang w:eastAsia="en-GB"/>
              </w:rPr>
              <w:t>Option for consideration:</w:t>
            </w:r>
            <w:r w:rsidRPr="00AB1BC2">
              <w:rPr>
                <w:rFonts w:cs="Calibri"/>
                <w:i/>
                <w:iCs/>
                <w:sz w:val="20"/>
                <w:lang w:eastAsia="en-GB"/>
              </w:rPr>
              <w:br/>
            </w:r>
            <w:r w:rsidRPr="00AB1BC2">
              <w:rPr>
                <w:rFonts w:cs="Calibri"/>
                <w:sz w:val="20"/>
                <w:lang w:eastAsia="en-GB"/>
              </w:rPr>
              <w:t>- The CWG-SFP to take into consideration regional targets while developing the Strategic Plan 2024-2027 (UN development)</w:t>
            </w:r>
            <w:r w:rsidRPr="00AB1BC2">
              <w:rPr>
                <w:rFonts w:cs="Calibri"/>
                <w:sz w:val="20"/>
                <w:lang w:eastAsia="en-GB"/>
              </w:rPr>
              <w:br/>
              <w:t xml:space="preserve">- The necessity of enhancing ITU-UN (including ITU Regional Offices and UNCT) ties, to </w:t>
            </w:r>
            <w:proofErr w:type="gramStart"/>
            <w:r w:rsidRPr="00AB1BC2">
              <w:rPr>
                <w:rFonts w:cs="Calibri"/>
                <w:sz w:val="20"/>
                <w:lang w:eastAsia="en-GB"/>
              </w:rPr>
              <w:t>more accurately reflect the critical role of ICTs in the UN development system</w:t>
            </w:r>
            <w:proofErr w:type="gramEnd"/>
            <w:r w:rsidRPr="00AB1BC2">
              <w:rPr>
                <w:rFonts w:cs="Calibri"/>
                <w:sz w:val="20"/>
                <w:lang w:eastAsia="en-GB"/>
              </w:rPr>
              <w:t>, so as to support countries in addressing key SDGs priorities and gaps</w:t>
            </w:r>
          </w:p>
        </w:tc>
        <w:tc>
          <w:tcPr>
            <w:tcW w:w="1059" w:type="dxa"/>
            <w:tcBorders>
              <w:top w:val="nil"/>
              <w:left w:val="nil"/>
              <w:bottom w:val="nil"/>
              <w:right w:val="nil"/>
            </w:tcBorders>
            <w:shd w:val="clear" w:color="EDEDED" w:fill="EDEDED"/>
            <w:vAlign w:val="center"/>
            <w:hideMark/>
          </w:tcPr>
          <w:p w14:paraId="58CF75DD" w14:textId="6690E37B" w:rsidR="00A91A8C" w:rsidRPr="00E2222B"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r w:rsidRPr="00AB1BC2">
              <w:rPr>
                <w:rFonts w:cs="Calibri"/>
                <w:color w:val="548DD4" w:themeColor="text2" w:themeTint="99"/>
                <w:sz w:val="20"/>
                <w:u w:val="single"/>
                <w:lang w:eastAsia="en-GB"/>
              </w:rPr>
              <w:t>CWG-SFP-1/5</w:t>
            </w:r>
          </w:p>
          <w:p w14:paraId="00AFA612" w14:textId="5F73D8D9" w:rsidR="00A91A8C" w:rsidRPr="00E2222B" w:rsidRDefault="00A91A8C" w:rsidP="00AB1BC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p>
          <w:p w14:paraId="471EB775" w14:textId="71000742" w:rsidR="00A91A8C" w:rsidRPr="00AB1BC2" w:rsidRDefault="00A13386" w:rsidP="00E2222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34" w:history="1">
              <w:r w:rsidR="00A91A8C" w:rsidRPr="00E2222B">
                <w:rPr>
                  <w:rStyle w:val="Hyperlink"/>
                  <w:rFonts w:cs="Calibri"/>
                  <w:color w:val="548DD4" w:themeColor="text2" w:themeTint="99"/>
                  <w:sz w:val="20"/>
                  <w:lang w:eastAsia="en-GB"/>
                </w:rPr>
                <w:t>CWG-SFP-1/7</w:t>
              </w:r>
            </w:hyperlink>
          </w:p>
        </w:tc>
        <w:tc>
          <w:tcPr>
            <w:tcW w:w="4328" w:type="dxa"/>
            <w:vMerge/>
            <w:tcBorders>
              <w:left w:val="nil"/>
              <w:bottom w:val="nil"/>
              <w:right w:val="nil"/>
            </w:tcBorders>
            <w:shd w:val="clear" w:color="auto" w:fill="FFFFFF" w:themeFill="background1"/>
            <w:noWrap/>
            <w:vAlign w:val="bottom"/>
            <w:hideMark/>
          </w:tcPr>
          <w:p w14:paraId="05F39E9E" w14:textId="77777777" w:rsidR="00A91A8C" w:rsidRPr="00AB1BC2" w:rsidRDefault="00A91A8C" w:rsidP="00AB1B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33A3D818" w14:textId="1053E60E" w:rsidR="00BB0BBA" w:rsidRDefault="00BB0BBA">
      <w:pPr>
        <w:tabs>
          <w:tab w:val="clear" w:pos="567"/>
          <w:tab w:val="clear" w:pos="1134"/>
          <w:tab w:val="clear" w:pos="1701"/>
          <w:tab w:val="clear" w:pos="2268"/>
          <w:tab w:val="clear" w:pos="2835"/>
        </w:tabs>
        <w:overflowPunct/>
        <w:autoSpaceDE/>
        <w:autoSpaceDN/>
        <w:adjustRightInd/>
        <w:spacing w:before="0"/>
        <w:textAlignment w:val="auto"/>
      </w:pPr>
      <w:r>
        <w:br w:type="page"/>
      </w:r>
    </w:p>
    <w:p w14:paraId="7DAD5204" w14:textId="77777777" w:rsidR="001D3127" w:rsidRDefault="001D3127">
      <w:pPr>
        <w:tabs>
          <w:tab w:val="clear" w:pos="567"/>
          <w:tab w:val="clear" w:pos="1134"/>
          <w:tab w:val="clear" w:pos="1701"/>
          <w:tab w:val="clear" w:pos="2268"/>
          <w:tab w:val="clear" w:pos="2835"/>
        </w:tabs>
        <w:overflowPunct/>
        <w:autoSpaceDE/>
        <w:autoSpaceDN/>
        <w:adjustRightInd/>
        <w:spacing w:before="0"/>
        <w:textAlignment w:val="auto"/>
        <w:rPr>
          <w:b/>
          <w:color w:val="FFFFFF" w:themeColor="background1"/>
        </w:rPr>
      </w:pPr>
    </w:p>
    <w:p w14:paraId="2E2CE38B" w14:textId="6527C3D2" w:rsidR="002C184F" w:rsidRDefault="008E406F" w:rsidP="002C184F">
      <w:pPr>
        <w:pStyle w:val="Heading2"/>
      </w:pPr>
      <w:r>
        <w:t>Linkage with Financial Plan</w:t>
      </w:r>
    </w:p>
    <w:tbl>
      <w:tblPr>
        <w:tblW w:w="14874" w:type="dxa"/>
        <w:tblInd w:w="10" w:type="dxa"/>
        <w:tblLook w:val="04A0" w:firstRow="1" w:lastRow="0" w:firstColumn="1" w:lastColumn="0" w:noHBand="0" w:noVBand="1"/>
      </w:tblPr>
      <w:tblGrid>
        <w:gridCol w:w="1281"/>
        <w:gridCol w:w="7923"/>
        <w:gridCol w:w="1134"/>
        <w:gridCol w:w="4536"/>
      </w:tblGrid>
      <w:tr w:rsidR="00A91A8C" w:rsidRPr="000C0FA4" w14:paraId="2DF6DC2B" w14:textId="77777777" w:rsidTr="00A91A8C">
        <w:tc>
          <w:tcPr>
            <w:tcW w:w="1281" w:type="dxa"/>
            <w:tcBorders>
              <w:top w:val="single" w:sz="8" w:space="0" w:color="FFFFFF"/>
              <w:left w:val="nil"/>
              <w:bottom w:val="single" w:sz="4" w:space="0" w:color="A5A5A5"/>
              <w:right w:val="nil"/>
            </w:tcBorders>
            <w:shd w:val="clear" w:color="auto" w:fill="auto"/>
            <w:vAlign w:val="center"/>
            <w:hideMark/>
          </w:tcPr>
          <w:p w14:paraId="600DD542"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Input source</w:t>
            </w:r>
          </w:p>
        </w:tc>
        <w:tc>
          <w:tcPr>
            <w:tcW w:w="7923" w:type="dxa"/>
            <w:tcBorders>
              <w:top w:val="single" w:sz="8" w:space="0" w:color="FFFFFF"/>
              <w:left w:val="nil"/>
              <w:bottom w:val="single" w:sz="4" w:space="0" w:color="A5A5A5"/>
              <w:right w:val="nil"/>
            </w:tcBorders>
            <w:shd w:val="clear" w:color="auto" w:fill="auto"/>
            <w:vAlign w:val="center"/>
            <w:hideMark/>
          </w:tcPr>
          <w:p w14:paraId="0DBB2989" w14:textId="3C2F8A40"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1134" w:type="dxa"/>
            <w:tcBorders>
              <w:top w:val="single" w:sz="8" w:space="0" w:color="FFFFFF"/>
              <w:left w:val="nil"/>
              <w:bottom w:val="single" w:sz="4" w:space="0" w:color="A5A5A5"/>
              <w:right w:val="nil"/>
            </w:tcBorders>
            <w:shd w:val="clear" w:color="auto" w:fill="auto"/>
            <w:vAlign w:val="center"/>
            <w:hideMark/>
          </w:tcPr>
          <w:p w14:paraId="6035171A" w14:textId="7D1EE3D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CWG-SFP doc.</w:t>
            </w:r>
          </w:p>
        </w:tc>
        <w:tc>
          <w:tcPr>
            <w:tcW w:w="4536" w:type="dxa"/>
            <w:tcBorders>
              <w:top w:val="single" w:sz="8" w:space="0" w:color="FFFFFF"/>
              <w:left w:val="nil"/>
              <w:bottom w:val="single" w:sz="4" w:space="0" w:color="A5A5A5"/>
              <w:right w:val="nil"/>
            </w:tcBorders>
            <w:shd w:val="clear" w:color="auto" w:fill="auto"/>
            <w:vAlign w:val="center"/>
            <w:hideMark/>
          </w:tcPr>
          <w:p w14:paraId="54CBEAAD"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CWG-SFP Guidance</w:t>
            </w:r>
          </w:p>
        </w:tc>
      </w:tr>
      <w:tr w:rsidR="00A91A8C" w:rsidRPr="000C0FA4" w14:paraId="11A96B39" w14:textId="77777777" w:rsidTr="00A91A8C">
        <w:tc>
          <w:tcPr>
            <w:tcW w:w="1281" w:type="dxa"/>
            <w:tcBorders>
              <w:top w:val="nil"/>
              <w:left w:val="nil"/>
              <w:bottom w:val="nil"/>
              <w:right w:val="nil"/>
            </w:tcBorders>
            <w:shd w:val="clear" w:color="EDEDED" w:fill="EDEDED"/>
            <w:hideMark/>
          </w:tcPr>
          <w:p w14:paraId="49959AA2"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0C0FA4">
              <w:rPr>
                <w:rFonts w:cs="Calibri"/>
                <w:sz w:val="20"/>
                <w:lang w:eastAsia="en-GB"/>
              </w:rPr>
              <w:t>Online consultation:</w:t>
            </w:r>
          </w:p>
        </w:tc>
        <w:tc>
          <w:tcPr>
            <w:tcW w:w="7923" w:type="dxa"/>
            <w:tcBorders>
              <w:top w:val="nil"/>
              <w:left w:val="nil"/>
              <w:bottom w:val="nil"/>
              <w:right w:val="nil"/>
            </w:tcBorders>
            <w:shd w:val="clear" w:color="EDEDED" w:fill="EDEDED"/>
            <w:hideMark/>
          </w:tcPr>
          <w:p w14:paraId="0B5A1BD6"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0C0FA4">
              <w:rPr>
                <w:rFonts w:cs="Calibri"/>
                <w:sz w:val="20"/>
                <w:lang w:eastAsia="en-GB"/>
              </w:rPr>
              <w:t xml:space="preserve">- Agreement on the </w:t>
            </w:r>
            <w:r w:rsidRPr="009A618B">
              <w:rPr>
                <w:rFonts w:cs="Calibri"/>
                <w:b/>
                <w:bCs/>
                <w:sz w:val="20"/>
                <w:lang w:eastAsia="en-GB"/>
              </w:rPr>
              <w:t>need to further improve methodologies for full implementation of RBM/RBB</w:t>
            </w:r>
            <w:r w:rsidRPr="000C0FA4">
              <w:rPr>
                <w:rFonts w:cs="Calibri"/>
                <w:sz w:val="20"/>
                <w:lang w:eastAsia="en-GB"/>
              </w:rPr>
              <w:t>:</w:t>
            </w:r>
            <w:r w:rsidRPr="000C0FA4">
              <w:rPr>
                <w:rFonts w:cs="Calibri"/>
                <w:sz w:val="20"/>
                <w:lang w:eastAsia="en-GB"/>
              </w:rPr>
              <w:br/>
              <w:t xml:space="preserve">   - There should be a </w:t>
            </w:r>
            <w:r w:rsidRPr="009A618B">
              <w:rPr>
                <w:rFonts w:cs="Calibri"/>
                <w:b/>
                <w:bCs/>
                <w:sz w:val="20"/>
                <w:lang w:eastAsia="en-GB"/>
              </w:rPr>
              <w:t>direct linkage of the strategic priorities</w:t>
            </w:r>
            <w:r w:rsidRPr="000C0FA4">
              <w:rPr>
                <w:rFonts w:cs="Calibri"/>
                <w:sz w:val="20"/>
                <w:lang w:eastAsia="en-GB"/>
              </w:rPr>
              <w:t xml:space="preserve"> identified </w:t>
            </w:r>
            <w:r w:rsidRPr="009A618B">
              <w:rPr>
                <w:rFonts w:cs="Calibri"/>
                <w:b/>
                <w:bCs/>
                <w:sz w:val="20"/>
                <w:lang w:eastAsia="en-GB"/>
              </w:rPr>
              <w:t>and the allocation of financial and human resources</w:t>
            </w:r>
            <w:r w:rsidRPr="009A618B">
              <w:rPr>
                <w:rFonts w:cs="Calibri"/>
                <w:b/>
                <w:bCs/>
                <w:sz w:val="20"/>
                <w:lang w:eastAsia="en-GB"/>
              </w:rPr>
              <w:br/>
            </w:r>
            <w:r w:rsidRPr="000C0FA4">
              <w:rPr>
                <w:rFonts w:cs="Calibri"/>
                <w:sz w:val="20"/>
                <w:lang w:eastAsia="en-GB"/>
              </w:rPr>
              <w:t xml:space="preserve">   - </w:t>
            </w:r>
            <w:r w:rsidRPr="009A618B">
              <w:rPr>
                <w:rFonts w:cs="Calibri"/>
                <w:b/>
                <w:bCs/>
                <w:sz w:val="20"/>
                <w:lang w:eastAsia="en-GB"/>
              </w:rPr>
              <w:t>No elements should remain unfunded</w:t>
            </w:r>
            <w:r w:rsidRPr="000C0FA4">
              <w:rPr>
                <w:rFonts w:cs="Calibri"/>
                <w:sz w:val="20"/>
                <w:lang w:eastAsia="en-GB"/>
              </w:rPr>
              <w:t xml:space="preserve"> or without being measured</w:t>
            </w:r>
            <w:r w:rsidRPr="000C0FA4">
              <w:rPr>
                <w:rFonts w:cs="Calibri"/>
                <w:sz w:val="20"/>
                <w:lang w:eastAsia="en-GB"/>
              </w:rPr>
              <w:br/>
              <w:t xml:space="preserve">- </w:t>
            </w:r>
            <w:r w:rsidRPr="009A618B">
              <w:rPr>
                <w:rFonts w:cs="Calibri"/>
                <w:b/>
                <w:bCs/>
                <w:sz w:val="20"/>
                <w:lang w:eastAsia="en-GB"/>
              </w:rPr>
              <w:t>Importance of implementation of all Recs. of</w:t>
            </w:r>
            <w:r w:rsidRPr="000C0FA4">
              <w:rPr>
                <w:rFonts w:cs="Calibri"/>
                <w:sz w:val="20"/>
                <w:lang w:eastAsia="en-GB"/>
              </w:rPr>
              <w:t xml:space="preserve"> internal and external </w:t>
            </w:r>
            <w:r w:rsidRPr="009A618B">
              <w:rPr>
                <w:rFonts w:cs="Calibri"/>
                <w:b/>
                <w:bCs/>
                <w:sz w:val="20"/>
                <w:lang w:eastAsia="en-GB"/>
              </w:rPr>
              <w:t>oversight bodies</w:t>
            </w:r>
            <w:r w:rsidRPr="000C0FA4">
              <w:rPr>
                <w:rFonts w:cs="Calibri"/>
                <w:sz w:val="20"/>
                <w:lang w:eastAsia="en-GB"/>
              </w:rPr>
              <w:br/>
              <w:t xml:space="preserve">- </w:t>
            </w:r>
            <w:r w:rsidRPr="009A618B">
              <w:rPr>
                <w:rFonts w:cs="Calibri"/>
                <w:b/>
                <w:bCs/>
                <w:sz w:val="20"/>
                <w:lang w:eastAsia="en-GB"/>
              </w:rPr>
              <w:t>Challenge of different cycles of Sectors</w:t>
            </w:r>
            <w:r w:rsidRPr="000C0FA4">
              <w:rPr>
                <w:rFonts w:cs="Calibri"/>
                <w:sz w:val="20"/>
                <w:lang w:eastAsia="en-GB"/>
              </w:rPr>
              <w:t xml:space="preserve"> preventing synchronization</w:t>
            </w:r>
          </w:p>
        </w:tc>
        <w:tc>
          <w:tcPr>
            <w:tcW w:w="1134" w:type="dxa"/>
            <w:tcBorders>
              <w:top w:val="nil"/>
              <w:left w:val="nil"/>
              <w:bottom w:val="nil"/>
              <w:right w:val="nil"/>
            </w:tcBorders>
            <w:shd w:val="clear" w:color="EDEDED" w:fill="EDEDED"/>
            <w:noWrap/>
            <w:vAlign w:val="center"/>
            <w:hideMark/>
          </w:tcPr>
          <w:p w14:paraId="1AEA9233" w14:textId="77777777" w:rsidR="00A91A8C" w:rsidRPr="000C0FA4" w:rsidRDefault="00A13386"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35" w:history="1">
              <w:r w:rsidR="00A91A8C" w:rsidRPr="000C0FA4">
                <w:rPr>
                  <w:rFonts w:cs="Calibri"/>
                  <w:color w:val="548DD4" w:themeColor="text2" w:themeTint="99"/>
                  <w:sz w:val="20"/>
                  <w:u w:val="single"/>
                  <w:lang w:eastAsia="en-GB"/>
                </w:rPr>
                <w:t>CWG-SFP-1/11</w:t>
              </w:r>
            </w:hyperlink>
          </w:p>
        </w:tc>
        <w:tc>
          <w:tcPr>
            <w:tcW w:w="4536" w:type="dxa"/>
            <w:vMerge w:val="restart"/>
            <w:tcBorders>
              <w:top w:val="nil"/>
              <w:left w:val="nil"/>
              <w:right w:val="nil"/>
            </w:tcBorders>
            <w:shd w:val="clear" w:color="auto" w:fill="FFFFFF" w:themeFill="background1"/>
            <w:noWrap/>
            <w:hideMark/>
          </w:tcPr>
          <w:p w14:paraId="33CB19CC" w14:textId="471EAB52" w:rsidR="00A91A8C" w:rsidRPr="00C44B72" w:rsidRDefault="00A91A8C" w:rsidP="003B5E4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C44B72">
              <w:rPr>
                <w:rFonts w:cs="Calibri"/>
                <w:sz w:val="22"/>
                <w:szCs w:val="22"/>
                <w:lang w:eastAsia="en-GB"/>
              </w:rPr>
              <w:t xml:space="preserve">- Request the secretariat to </w:t>
            </w:r>
            <w:proofErr w:type="gramStart"/>
            <w:r w:rsidRPr="00C44B72">
              <w:rPr>
                <w:rFonts w:cs="Calibri"/>
                <w:sz w:val="22"/>
                <w:szCs w:val="22"/>
                <w:lang w:eastAsia="en-GB"/>
              </w:rPr>
              <w:t>take into account</w:t>
            </w:r>
            <w:proofErr w:type="gramEnd"/>
            <w:r w:rsidRPr="00C44B72">
              <w:rPr>
                <w:rFonts w:cs="Calibri"/>
                <w:sz w:val="22"/>
                <w:szCs w:val="22"/>
                <w:lang w:eastAsia="en-GB"/>
              </w:rPr>
              <w:t xml:space="preserve"> the following principles, when designing the linkage of the financial with the strategic plans:</w:t>
            </w:r>
            <w:r w:rsidRPr="00C44B72">
              <w:rPr>
                <w:rFonts w:cs="Calibri"/>
                <w:sz w:val="22"/>
                <w:szCs w:val="22"/>
                <w:lang w:eastAsia="en-GB"/>
              </w:rPr>
              <w:br/>
              <w:t xml:space="preserve">   </w:t>
            </w:r>
            <w:r>
              <w:rPr>
                <w:rFonts w:cs="Calibri"/>
                <w:sz w:val="22"/>
                <w:szCs w:val="22"/>
                <w:lang w:eastAsia="en-GB"/>
              </w:rPr>
              <w:t>a.</w:t>
            </w:r>
            <w:r w:rsidRPr="00C44B72">
              <w:rPr>
                <w:rFonts w:cs="Calibri"/>
                <w:sz w:val="22"/>
                <w:szCs w:val="22"/>
                <w:lang w:eastAsia="en-GB"/>
              </w:rPr>
              <w:t xml:space="preserve"> Direct linkage between the strategic priorities, including cross-cutting themes, and the allocation of financial and human resources </w:t>
            </w:r>
            <w:r w:rsidRPr="00C44B72">
              <w:rPr>
                <w:rFonts w:cs="Calibri"/>
                <w:sz w:val="22"/>
                <w:szCs w:val="22"/>
                <w:lang w:eastAsia="en-GB"/>
              </w:rPr>
              <w:br/>
              <w:t xml:space="preserve">   </w:t>
            </w:r>
            <w:r>
              <w:rPr>
                <w:rFonts w:cs="Calibri"/>
                <w:sz w:val="22"/>
                <w:szCs w:val="22"/>
                <w:lang w:eastAsia="en-GB"/>
              </w:rPr>
              <w:t>b.</w:t>
            </w:r>
            <w:r w:rsidRPr="00C44B72">
              <w:rPr>
                <w:rFonts w:cs="Calibri"/>
                <w:sz w:val="22"/>
                <w:szCs w:val="22"/>
                <w:lang w:eastAsia="en-GB"/>
              </w:rPr>
              <w:t xml:space="preserve"> No elements should remain unfunded</w:t>
            </w:r>
            <w:r w:rsidRPr="00C44B72">
              <w:rPr>
                <w:rFonts w:cs="Calibri"/>
                <w:sz w:val="22"/>
                <w:szCs w:val="22"/>
                <w:lang w:eastAsia="en-GB"/>
              </w:rPr>
              <w:br/>
              <w:t xml:space="preserve">(see also </w:t>
            </w:r>
            <w:r w:rsidR="003B5E4E">
              <w:rPr>
                <w:rFonts w:cs="Calibri"/>
                <w:sz w:val="22"/>
                <w:szCs w:val="22"/>
                <w:lang w:eastAsia="en-GB"/>
              </w:rPr>
              <w:t>request for clarification</w:t>
            </w:r>
            <w:r w:rsidR="003B5E4E" w:rsidRPr="00C44B72">
              <w:rPr>
                <w:rFonts w:cs="Calibri"/>
                <w:sz w:val="22"/>
                <w:szCs w:val="22"/>
                <w:lang w:eastAsia="en-GB"/>
              </w:rPr>
              <w:t xml:space="preserve"> </w:t>
            </w:r>
            <w:r w:rsidRPr="00C44B72">
              <w:rPr>
                <w:rFonts w:cs="Calibri"/>
                <w:sz w:val="22"/>
                <w:szCs w:val="22"/>
                <w:lang w:eastAsia="en-GB"/>
              </w:rPr>
              <w:t xml:space="preserve">above on </w:t>
            </w:r>
            <w:r w:rsidR="003B5E4E">
              <w:rPr>
                <w:rFonts w:cs="Calibri"/>
                <w:sz w:val="22"/>
                <w:szCs w:val="22"/>
                <w:lang w:eastAsia="en-GB"/>
              </w:rPr>
              <w:t xml:space="preserve">whether there are possibilities for </w:t>
            </w:r>
            <w:r w:rsidRPr="00C44B72">
              <w:rPr>
                <w:rFonts w:cs="Calibri"/>
                <w:sz w:val="22"/>
                <w:szCs w:val="22"/>
                <w:lang w:eastAsia="en-GB"/>
              </w:rPr>
              <w:t>a more flexible allocation of resources across Sectors)</w:t>
            </w:r>
          </w:p>
        </w:tc>
      </w:tr>
      <w:tr w:rsidR="00A91A8C" w:rsidRPr="000C0FA4" w14:paraId="7860DAA3" w14:textId="77777777" w:rsidTr="00A91A8C">
        <w:tc>
          <w:tcPr>
            <w:tcW w:w="1281" w:type="dxa"/>
            <w:tcBorders>
              <w:top w:val="nil"/>
              <w:left w:val="nil"/>
              <w:bottom w:val="nil"/>
              <w:right w:val="nil"/>
            </w:tcBorders>
            <w:shd w:val="clear" w:color="auto" w:fill="auto"/>
            <w:hideMark/>
          </w:tcPr>
          <w:p w14:paraId="648369B1" w14:textId="77777777" w:rsidR="00A91A8C"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p w14:paraId="60A73E5F" w14:textId="55B38F0B"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0C0FA4">
              <w:rPr>
                <w:rFonts w:cs="Calibri"/>
                <w:sz w:val="20"/>
                <w:lang w:eastAsia="en-GB"/>
              </w:rPr>
              <w:t xml:space="preserve"> / Findings:</w:t>
            </w:r>
          </w:p>
        </w:tc>
        <w:tc>
          <w:tcPr>
            <w:tcW w:w="7923" w:type="dxa"/>
            <w:tcBorders>
              <w:top w:val="nil"/>
              <w:left w:val="nil"/>
              <w:bottom w:val="nil"/>
              <w:right w:val="nil"/>
            </w:tcBorders>
            <w:shd w:val="clear" w:color="auto" w:fill="auto"/>
            <w:hideMark/>
          </w:tcPr>
          <w:p w14:paraId="1AED3E3D" w14:textId="77777777" w:rsidR="00A91A8C"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i/>
                <w:iCs/>
                <w:sz w:val="20"/>
                <w:lang w:eastAsia="en-GB"/>
              </w:rPr>
            </w:pPr>
          </w:p>
          <w:p w14:paraId="0B10BD8C" w14:textId="207A9D32"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0C0FA4">
              <w:rPr>
                <w:rFonts w:cs="Calibri"/>
                <w:i/>
                <w:iCs/>
                <w:sz w:val="20"/>
                <w:lang w:eastAsia="en-GB"/>
              </w:rPr>
              <w:t>(McKinsey Report on Culture &amp; Skills)</w:t>
            </w:r>
            <w:r w:rsidRPr="000C0FA4">
              <w:rPr>
                <w:rFonts w:cs="Calibri"/>
                <w:sz w:val="20"/>
                <w:lang w:eastAsia="en-GB"/>
              </w:rPr>
              <w:br/>
              <w:t>- ITU transformation plan proposed based on 9 structural initiatives</w:t>
            </w:r>
            <w:r w:rsidRPr="000C0FA4">
              <w:rPr>
                <w:rFonts w:cs="Calibri"/>
                <w:sz w:val="20"/>
                <w:lang w:eastAsia="en-GB"/>
              </w:rPr>
              <w:br/>
              <w:t xml:space="preserve">- </w:t>
            </w:r>
            <w:r w:rsidRPr="009A618B">
              <w:rPr>
                <w:rFonts w:cs="Calibri"/>
                <w:b/>
                <w:bCs/>
                <w:sz w:val="20"/>
                <w:lang w:eastAsia="en-GB"/>
              </w:rPr>
              <w:t>Consider transformation plan resource requirements</w:t>
            </w:r>
            <w:r w:rsidRPr="000C0FA4">
              <w:rPr>
                <w:rFonts w:cs="Calibri"/>
                <w:sz w:val="20"/>
                <w:lang w:eastAsia="en-GB"/>
              </w:rPr>
              <w:t xml:space="preserve"> in the 2024-27 Financial Plan</w:t>
            </w:r>
          </w:p>
        </w:tc>
        <w:tc>
          <w:tcPr>
            <w:tcW w:w="1134" w:type="dxa"/>
            <w:tcBorders>
              <w:top w:val="nil"/>
              <w:left w:val="nil"/>
              <w:bottom w:val="nil"/>
              <w:right w:val="nil"/>
            </w:tcBorders>
            <w:shd w:val="clear" w:color="auto" w:fill="auto"/>
            <w:noWrap/>
            <w:vAlign w:val="center"/>
            <w:hideMark/>
          </w:tcPr>
          <w:p w14:paraId="1C446114" w14:textId="77777777" w:rsidR="00A91A8C" w:rsidRPr="000C0FA4" w:rsidRDefault="00A13386"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548DD4" w:themeColor="text2" w:themeTint="99"/>
                <w:sz w:val="20"/>
                <w:u w:val="single"/>
                <w:lang w:eastAsia="en-GB"/>
              </w:rPr>
            </w:pPr>
            <w:hyperlink r:id="rId36" w:history="1">
              <w:r w:rsidR="00A91A8C" w:rsidRPr="000C0FA4">
                <w:rPr>
                  <w:rFonts w:cs="Calibri"/>
                  <w:color w:val="548DD4" w:themeColor="text2" w:themeTint="99"/>
                  <w:sz w:val="20"/>
                  <w:u w:val="single"/>
                  <w:lang w:eastAsia="en-GB"/>
                </w:rPr>
                <w:t>CWG-SFP-1/5</w:t>
              </w:r>
            </w:hyperlink>
          </w:p>
        </w:tc>
        <w:tc>
          <w:tcPr>
            <w:tcW w:w="4536" w:type="dxa"/>
            <w:vMerge/>
            <w:tcBorders>
              <w:left w:val="nil"/>
              <w:bottom w:val="nil"/>
              <w:right w:val="nil"/>
            </w:tcBorders>
            <w:shd w:val="clear" w:color="auto" w:fill="FFFFFF" w:themeFill="background1"/>
            <w:noWrap/>
            <w:vAlign w:val="bottom"/>
            <w:hideMark/>
          </w:tcPr>
          <w:p w14:paraId="52E3632F"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r>
    </w:tbl>
    <w:p w14:paraId="1B075B8D" w14:textId="79F96C2C" w:rsidR="009E2AAA" w:rsidRDefault="009E2AAA" w:rsidP="009E2AAA">
      <w:pPr>
        <w:pStyle w:val="Heading2"/>
      </w:pPr>
      <w:r w:rsidRPr="000C0FA4">
        <w:rPr>
          <w:lang w:eastAsia="en-GB"/>
        </w:rPr>
        <w:t>Developments at the UN level</w:t>
      </w:r>
    </w:p>
    <w:tbl>
      <w:tblPr>
        <w:tblW w:w="15016" w:type="dxa"/>
        <w:tblInd w:w="10" w:type="dxa"/>
        <w:tblLook w:val="04A0" w:firstRow="1" w:lastRow="0" w:firstColumn="1" w:lastColumn="0" w:noHBand="0" w:noVBand="1"/>
      </w:tblPr>
      <w:tblGrid>
        <w:gridCol w:w="983"/>
        <w:gridCol w:w="8221"/>
        <w:gridCol w:w="992"/>
        <w:gridCol w:w="4820"/>
      </w:tblGrid>
      <w:tr w:rsidR="00A91A8C" w:rsidRPr="000C0FA4" w14:paraId="5A541139" w14:textId="77777777" w:rsidTr="00A91A8C">
        <w:trPr>
          <w:trHeight w:val="555"/>
        </w:trPr>
        <w:tc>
          <w:tcPr>
            <w:tcW w:w="983" w:type="dxa"/>
            <w:tcBorders>
              <w:top w:val="single" w:sz="8" w:space="0" w:color="FFFFFF"/>
              <w:left w:val="nil"/>
              <w:bottom w:val="single" w:sz="4" w:space="0" w:color="A5A5A5"/>
              <w:right w:val="nil"/>
            </w:tcBorders>
            <w:shd w:val="clear" w:color="auto" w:fill="auto"/>
            <w:vAlign w:val="center"/>
            <w:hideMark/>
          </w:tcPr>
          <w:p w14:paraId="11C5C77F"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Input source</w:t>
            </w:r>
          </w:p>
        </w:tc>
        <w:tc>
          <w:tcPr>
            <w:tcW w:w="8221" w:type="dxa"/>
            <w:tcBorders>
              <w:top w:val="single" w:sz="8" w:space="0" w:color="FFFFFF"/>
              <w:left w:val="nil"/>
              <w:bottom w:val="single" w:sz="4" w:space="0" w:color="A5A5A5"/>
              <w:right w:val="nil"/>
            </w:tcBorders>
            <w:shd w:val="clear" w:color="auto" w:fill="auto"/>
            <w:vAlign w:val="center"/>
            <w:hideMark/>
          </w:tcPr>
          <w:p w14:paraId="6B8311D9" w14:textId="16219751"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992" w:type="dxa"/>
            <w:tcBorders>
              <w:top w:val="single" w:sz="8" w:space="0" w:color="FFFFFF"/>
              <w:left w:val="nil"/>
              <w:bottom w:val="single" w:sz="4" w:space="0" w:color="A5A5A5"/>
              <w:right w:val="nil"/>
            </w:tcBorders>
            <w:shd w:val="clear" w:color="auto" w:fill="auto"/>
            <w:vAlign w:val="center"/>
            <w:hideMark/>
          </w:tcPr>
          <w:p w14:paraId="1E50B34F" w14:textId="0F9CF49D"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CWG-SFP doc.</w:t>
            </w:r>
          </w:p>
        </w:tc>
        <w:tc>
          <w:tcPr>
            <w:tcW w:w="4820" w:type="dxa"/>
            <w:tcBorders>
              <w:top w:val="single" w:sz="8" w:space="0" w:color="FFFFFF"/>
              <w:left w:val="nil"/>
              <w:bottom w:val="single" w:sz="4" w:space="0" w:color="A5A5A5"/>
              <w:right w:val="nil"/>
            </w:tcBorders>
            <w:shd w:val="clear" w:color="auto" w:fill="auto"/>
            <w:vAlign w:val="center"/>
            <w:hideMark/>
          </w:tcPr>
          <w:p w14:paraId="0B050316" w14:textId="77777777"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0C0FA4">
              <w:rPr>
                <w:rFonts w:cs="Calibri"/>
                <w:b/>
                <w:bCs/>
                <w:sz w:val="20"/>
                <w:lang w:eastAsia="en-GB"/>
              </w:rPr>
              <w:t>CWG-SFP Guidance</w:t>
            </w:r>
          </w:p>
        </w:tc>
      </w:tr>
      <w:tr w:rsidR="00A91A8C" w:rsidRPr="000C0FA4" w14:paraId="237BC4A2" w14:textId="77777777" w:rsidTr="00A91A8C">
        <w:trPr>
          <w:trHeight w:val="3795"/>
        </w:trPr>
        <w:tc>
          <w:tcPr>
            <w:tcW w:w="983" w:type="dxa"/>
            <w:tcBorders>
              <w:top w:val="nil"/>
              <w:left w:val="nil"/>
              <w:bottom w:val="single" w:sz="4" w:space="0" w:color="A5A5A5"/>
              <w:right w:val="nil"/>
            </w:tcBorders>
            <w:shd w:val="clear" w:color="EDEDED" w:fill="EDEDED"/>
            <w:hideMark/>
          </w:tcPr>
          <w:p w14:paraId="4AB7D4BF" w14:textId="255C3055"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Pr>
                <w:rFonts w:cs="Calibri"/>
                <w:sz w:val="20"/>
                <w:lang w:eastAsia="en-GB"/>
              </w:rPr>
              <w:t>Recs.</w:t>
            </w:r>
            <w:r w:rsidRPr="000C0FA4">
              <w:rPr>
                <w:rFonts w:cs="Calibri"/>
                <w:sz w:val="20"/>
                <w:lang w:eastAsia="en-GB"/>
              </w:rPr>
              <w:t xml:space="preserve"> / Findings:</w:t>
            </w:r>
          </w:p>
        </w:tc>
        <w:tc>
          <w:tcPr>
            <w:tcW w:w="8221" w:type="dxa"/>
            <w:tcBorders>
              <w:top w:val="nil"/>
              <w:left w:val="nil"/>
              <w:bottom w:val="single" w:sz="4" w:space="0" w:color="A5A5A5"/>
              <w:right w:val="nil"/>
            </w:tcBorders>
            <w:shd w:val="clear" w:color="EDEDED" w:fill="EDEDED"/>
            <w:hideMark/>
          </w:tcPr>
          <w:p w14:paraId="09697DC1" w14:textId="42748FE0" w:rsidR="00A91A8C" w:rsidRPr="000C0FA4" w:rsidRDefault="00A91A8C" w:rsidP="000C0FA4">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0C0FA4">
              <w:rPr>
                <w:rFonts w:cs="Calibri"/>
                <w:i/>
                <w:iCs/>
                <w:sz w:val="20"/>
                <w:lang w:eastAsia="en-GB"/>
              </w:rPr>
              <w:t>Option for consideration:</w:t>
            </w:r>
            <w:r w:rsidRPr="000C0FA4">
              <w:rPr>
                <w:rFonts w:cs="Calibri"/>
                <w:sz w:val="20"/>
                <w:lang w:eastAsia="en-GB"/>
              </w:rPr>
              <w:br/>
              <w:t xml:space="preserve">- The </w:t>
            </w:r>
            <w:r w:rsidRPr="009A618B">
              <w:rPr>
                <w:rFonts w:cs="Calibri"/>
                <w:b/>
                <w:bCs/>
                <w:sz w:val="20"/>
                <w:lang w:eastAsia="en-GB"/>
              </w:rPr>
              <w:t>UN-wide work on digital technologies</w:t>
            </w:r>
            <w:r w:rsidRPr="000C0FA4">
              <w:rPr>
                <w:rFonts w:cs="Calibri"/>
                <w:sz w:val="20"/>
                <w:lang w:eastAsia="en-GB"/>
              </w:rPr>
              <w:t xml:space="preserve"> and </w:t>
            </w:r>
            <w:r w:rsidRPr="009816FE">
              <w:rPr>
                <w:rFonts w:cs="Calibri"/>
                <w:b/>
                <w:bCs/>
                <w:sz w:val="20"/>
                <w:lang w:eastAsia="en-GB"/>
              </w:rPr>
              <w:t>how ITU’s strategies can step into the gaps and opportunities</w:t>
            </w:r>
            <w:r w:rsidRPr="000C0FA4">
              <w:rPr>
                <w:rFonts w:cs="Calibri"/>
                <w:sz w:val="20"/>
                <w:lang w:eastAsia="en-GB"/>
              </w:rPr>
              <w:t xml:space="preserve"> this presents</w:t>
            </w:r>
            <w:r w:rsidRPr="000C0FA4">
              <w:rPr>
                <w:rFonts w:cs="Calibri"/>
                <w:sz w:val="20"/>
                <w:lang w:eastAsia="en-GB"/>
              </w:rPr>
              <w:br/>
              <w:t xml:space="preserve">- That </w:t>
            </w:r>
            <w:r w:rsidRPr="009816FE">
              <w:rPr>
                <w:rFonts w:cs="Calibri"/>
                <w:b/>
                <w:bCs/>
                <w:sz w:val="20"/>
                <w:lang w:eastAsia="en-GB"/>
              </w:rPr>
              <w:t>digitalization becomes one of the top priorities across the UN System</w:t>
            </w:r>
            <w:r w:rsidRPr="000C0FA4">
              <w:rPr>
                <w:rFonts w:cs="Calibri"/>
                <w:sz w:val="20"/>
                <w:lang w:eastAsia="en-GB"/>
              </w:rPr>
              <w:t xml:space="preserve">, creating </w:t>
            </w:r>
            <w:r w:rsidRPr="009816FE">
              <w:rPr>
                <w:rFonts w:cs="Calibri"/>
                <w:b/>
                <w:bCs/>
                <w:sz w:val="20"/>
                <w:lang w:eastAsia="en-GB"/>
              </w:rPr>
              <w:t>possible parallel tracks with ITU’s mandates</w:t>
            </w:r>
            <w:r w:rsidRPr="000C0FA4">
              <w:rPr>
                <w:rFonts w:cs="Calibri"/>
                <w:sz w:val="20"/>
                <w:lang w:eastAsia="en-GB"/>
              </w:rPr>
              <w:t xml:space="preserve"> in the technical realm (e.g., universal connectivity) while at the same time </w:t>
            </w:r>
            <w:r w:rsidRPr="009816FE">
              <w:rPr>
                <w:rFonts w:cs="Calibri"/>
                <w:b/>
                <w:bCs/>
                <w:sz w:val="20"/>
                <w:lang w:eastAsia="en-GB"/>
              </w:rPr>
              <w:t>bringing opportunities to strengthen ITU’s role</w:t>
            </w:r>
            <w:r w:rsidRPr="000C0FA4">
              <w:rPr>
                <w:rFonts w:cs="Calibri"/>
                <w:sz w:val="20"/>
                <w:lang w:eastAsia="en-GB"/>
              </w:rPr>
              <w:t xml:space="preserve"> as an ICT leader within the UN System and beyond (e.g., in the context of the following element presented by the Task Force for HLCM consideration and guidance​)</w:t>
            </w:r>
            <w:r w:rsidRPr="000C0FA4">
              <w:rPr>
                <w:rFonts w:cs="Calibri"/>
                <w:sz w:val="20"/>
                <w:lang w:eastAsia="en-GB"/>
              </w:rPr>
              <w:br/>
              <w:t xml:space="preserve">- Continue to </w:t>
            </w:r>
            <w:r w:rsidRPr="009816FE">
              <w:rPr>
                <w:rFonts w:cs="Calibri"/>
                <w:b/>
                <w:bCs/>
                <w:sz w:val="20"/>
                <w:lang w:eastAsia="en-GB"/>
              </w:rPr>
              <w:t>strengthen and build synergies across the UN system</w:t>
            </w:r>
            <w:r w:rsidRPr="000C0FA4">
              <w:rPr>
                <w:rFonts w:cs="Calibri"/>
                <w:sz w:val="20"/>
                <w:lang w:eastAsia="en-GB"/>
              </w:rPr>
              <w:t>, through joint initiatives promoting ICTs as enabling tools to support the 2030 Agenda, including efforts to address climate change.</w:t>
            </w:r>
            <w:r w:rsidRPr="000C0FA4">
              <w:rPr>
                <w:rFonts w:cs="Calibri"/>
                <w:sz w:val="20"/>
                <w:lang w:eastAsia="en-GB"/>
              </w:rPr>
              <w:br/>
              <w:t xml:space="preserve">- The necessity of </w:t>
            </w:r>
            <w:r w:rsidRPr="00D625DD">
              <w:rPr>
                <w:rFonts w:cs="Calibri"/>
                <w:b/>
                <w:bCs/>
                <w:sz w:val="20"/>
                <w:lang w:eastAsia="en-GB"/>
              </w:rPr>
              <w:t>enhancing ITU-UN</w:t>
            </w:r>
            <w:r w:rsidRPr="000C0FA4">
              <w:rPr>
                <w:rFonts w:cs="Calibri"/>
                <w:sz w:val="20"/>
                <w:lang w:eastAsia="en-GB"/>
              </w:rPr>
              <w:t xml:space="preserve"> (including ITU Regional Offices and UNCT) </w:t>
            </w:r>
            <w:r w:rsidRPr="00D625DD">
              <w:rPr>
                <w:rFonts w:cs="Calibri"/>
                <w:b/>
                <w:bCs/>
                <w:sz w:val="20"/>
                <w:lang w:eastAsia="en-GB"/>
              </w:rPr>
              <w:t>ties</w:t>
            </w:r>
            <w:r w:rsidRPr="000C0FA4">
              <w:rPr>
                <w:rFonts w:cs="Calibri"/>
                <w:sz w:val="20"/>
                <w:lang w:eastAsia="en-GB"/>
              </w:rPr>
              <w:t>, to more accurately reflect the critical role of ICTs in the UN development system, so as to support countries in addressing key SDGs priorities and gaps.</w:t>
            </w:r>
          </w:p>
        </w:tc>
        <w:tc>
          <w:tcPr>
            <w:tcW w:w="992" w:type="dxa"/>
            <w:tcBorders>
              <w:top w:val="nil"/>
              <w:left w:val="nil"/>
              <w:bottom w:val="single" w:sz="4" w:space="0" w:color="A5A5A5"/>
              <w:right w:val="nil"/>
            </w:tcBorders>
            <w:shd w:val="clear" w:color="EDEDED" w:fill="EDEDED"/>
            <w:noWrap/>
            <w:vAlign w:val="center"/>
            <w:hideMark/>
          </w:tcPr>
          <w:p w14:paraId="2F0A0AD7" w14:textId="77777777" w:rsidR="00A91A8C" w:rsidRPr="000C0FA4" w:rsidRDefault="00A13386" w:rsidP="000C0FA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u w:val="single"/>
                <w:lang w:eastAsia="en-GB"/>
              </w:rPr>
            </w:pPr>
            <w:hyperlink r:id="rId37" w:history="1">
              <w:r w:rsidR="00A91A8C" w:rsidRPr="000C0FA4">
                <w:rPr>
                  <w:rFonts w:cs="Calibri"/>
                  <w:color w:val="548DD4" w:themeColor="text2" w:themeTint="99"/>
                  <w:sz w:val="20"/>
                  <w:u w:val="single"/>
                  <w:lang w:eastAsia="en-GB"/>
                </w:rPr>
                <w:t>CWG-SFP-1/7</w:t>
              </w:r>
            </w:hyperlink>
          </w:p>
        </w:tc>
        <w:tc>
          <w:tcPr>
            <w:tcW w:w="4820" w:type="dxa"/>
            <w:tcBorders>
              <w:top w:val="nil"/>
              <w:left w:val="nil"/>
              <w:bottom w:val="single" w:sz="4" w:space="0" w:color="A5A5A5"/>
              <w:right w:val="nil"/>
            </w:tcBorders>
            <w:shd w:val="clear" w:color="EDEDED" w:fill="EDEDED"/>
            <w:noWrap/>
            <w:hideMark/>
          </w:tcPr>
          <w:p w14:paraId="74F62F26" w14:textId="5FC24E79" w:rsidR="00A91A8C" w:rsidRPr="00216E4A" w:rsidRDefault="00A91A8C" w:rsidP="003B5E4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16E4A">
              <w:rPr>
                <w:rFonts w:cs="Calibri"/>
                <w:sz w:val="22"/>
                <w:szCs w:val="22"/>
                <w:lang w:eastAsia="en-GB"/>
              </w:rPr>
              <w:t>- Request the secretariat to provide updates on the ongoing discussions at the UN level</w:t>
            </w:r>
            <w:r w:rsidRPr="00216E4A">
              <w:rPr>
                <w:rFonts w:cs="Calibri"/>
                <w:sz w:val="22"/>
                <w:szCs w:val="22"/>
                <w:lang w:eastAsia="en-GB"/>
              </w:rPr>
              <w:br/>
              <w:t xml:space="preserve">- Request the secretariat to submit </w:t>
            </w:r>
            <w:r w:rsidR="003B5E4E">
              <w:rPr>
                <w:rFonts w:cs="Calibri"/>
                <w:sz w:val="22"/>
                <w:szCs w:val="22"/>
                <w:lang w:eastAsia="en-GB"/>
              </w:rPr>
              <w:t>inputs</w:t>
            </w:r>
            <w:r w:rsidR="003B5E4E" w:rsidRPr="00216E4A">
              <w:rPr>
                <w:rFonts w:cs="Calibri"/>
                <w:sz w:val="22"/>
                <w:szCs w:val="22"/>
                <w:lang w:eastAsia="en-GB"/>
              </w:rPr>
              <w:t xml:space="preserve"> </w:t>
            </w:r>
            <w:r w:rsidRPr="00216E4A">
              <w:rPr>
                <w:rFonts w:cs="Calibri"/>
                <w:sz w:val="22"/>
                <w:szCs w:val="22"/>
                <w:lang w:eastAsia="en-GB"/>
              </w:rPr>
              <w:t>to better reflect the role of the ITU within the UN system (taking into consideration the 2030 Agenda, and ITU's contribution to the SDGs and the WSIS process)</w:t>
            </w:r>
          </w:p>
        </w:tc>
      </w:tr>
    </w:tbl>
    <w:p w14:paraId="21CA7731" w14:textId="76D6F564" w:rsidR="00BB0BBA" w:rsidRDefault="00BB0BBA">
      <w:pPr>
        <w:tabs>
          <w:tab w:val="clear" w:pos="567"/>
          <w:tab w:val="clear" w:pos="1134"/>
          <w:tab w:val="clear" w:pos="1701"/>
          <w:tab w:val="clear" w:pos="2268"/>
          <w:tab w:val="clear" w:pos="2835"/>
        </w:tabs>
        <w:overflowPunct/>
        <w:autoSpaceDE/>
        <w:autoSpaceDN/>
        <w:adjustRightInd/>
        <w:spacing w:before="0"/>
        <w:textAlignment w:val="auto"/>
      </w:pPr>
      <w:r>
        <w:br w:type="page"/>
      </w:r>
    </w:p>
    <w:p w14:paraId="2F90EAA6" w14:textId="77777777" w:rsidR="001D3127" w:rsidRDefault="001D3127">
      <w:pPr>
        <w:tabs>
          <w:tab w:val="clear" w:pos="567"/>
          <w:tab w:val="clear" w:pos="1134"/>
          <w:tab w:val="clear" w:pos="1701"/>
          <w:tab w:val="clear" w:pos="2268"/>
          <w:tab w:val="clear" w:pos="2835"/>
        </w:tabs>
        <w:overflowPunct/>
        <w:autoSpaceDE/>
        <w:autoSpaceDN/>
        <w:adjustRightInd/>
        <w:spacing w:before="0"/>
        <w:textAlignment w:val="auto"/>
      </w:pPr>
    </w:p>
    <w:p w14:paraId="3FBB1B5B" w14:textId="6FC5DCE0" w:rsidR="000C0FA4" w:rsidRDefault="00C14C48" w:rsidP="00613EFD">
      <w:pPr>
        <w:pStyle w:val="Heading2"/>
      </w:pPr>
      <w:r w:rsidRPr="00C14C48">
        <w:t>ITU Results-framework</w:t>
      </w:r>
    </w:p>
    <w:tbl>
      <w:tblPr>
        <w:tblW w:w="14874" w:type="dxa"/>
        <w:tblInd w:w="10" w:type="dxa"/>
        <w:tblLook w:val="04A0" w:firstRow="1" w:lastRow="0" w:firstColumn="1" w:lastColumn="0" w:noHBand="0" w:noVBand="1"/>
      </w:tblPr>
      <w:tblGrid>
        <w:gridCol w:w="1408"/>
        <w:gridCol w:w="7229"/>
        <w:gridCol w:w="992"/>
        <w:gridCol w:w="5245"/>
      </w:tblGrid>
      <w:tr w:rsidR="00A91A8C" w:rsidRPr="00F5563B" w14:paraId="3E4A54A0" w14:textId="77777777" w:rsidTr="00A91A8C">
        <w:trPr>
          <w:trHeight w:val="555"/>
        </w:trPr>
        <w:tc>
          <w:tcPr>
            <w:tcW w:w="1408" w:type="dxa"/>
            <w:tcBorders>
              <w:top w:val="single" w:sz="8" w:space="0" w:color="FFFFFF"/>
              <w:left w:val="nil"/>
              <w:bottom w:val="single" w:sz="4" w:space="0" w:color="A5A5A5"/>
              <w:right w:val="nil"/>
            </w:tcBorders>
            <w:shd w:val="clear" w:color="auto" w:fill="auto"/>
            <w:vAlign w:val="center"/>
            <w:hideMark/>
          </w:tcPr>
          <w:p w14:paraId="7CE63044" w14:textId="77777777"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F5563B">
              <w:rPr>
                <w:rFonts w:cs="Calibri"/>
                <w:b/>
                <w:bCs/>
                <w:sz w:val="20"/>
                <w:lang w:eastAsia="en-GB"/>
              </w:rPr>
              <w:t>Input source</w:t>
            </w:r>
          </w:p>
        </w:tc>
        <w:tc>
          <w:tcPr>
            <w:tcW w:w="7229" w:type="dxa"/>
            <w:tcBorders>
              <w:top w:val="single" w:sz="8" w:space="0" w:color="FFFFFF"/>
              <w:left w:val="nil"/>
              <w:bottom w:val="single" w:sz="4" w:space="0" w:color="A5A5A5"/>
              <w:right w:val="nil"/>
            </w:tcBorders>
            <w:shd w:val="clear" w:color="auto" w:fill="auto"/>
            <w:vAlign w:val="center"/>
            <w:hideMark/>
          </w:tcPr>
          <w:p w14:paraId="25D69299" w14:textId="79F04FC9"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Pr>
                <w:rFonts w:cs="Calibri"/>
                <w:b/>
                <w:bCs/>
                <w:sz w:val="20"/>
                <w:lang w:eastAsia="en-GB"/>
              </w:rPr>
              <w:t>Inputs</w:t>
            </w:r>
          </w:p>
        </w:tc>
        <w:tc>
          <w:tcPr>
            <w:tcW w:w="992" w:type="dxa"/>
            <w:tcBorders>
              <w:top w:val="single" w:sz="8" w:space="0" w:color="FFFFFF"/>
              <w:left w:val="nil"/>
              <w:bottom w:val="single" w:sz="4" w:space="0" w:color="A5A5A5"/>
              <w:right w:val="nil"/>
            </w:tcBorders>
            <w:shd w:val="clear" w:color="auto" w:fill="auto"/>
            <w:vAlign w:val="center"/>
            <w:hideMark/>
          </w:tcPr>
          <w:p w14:paraId="33C2AEA8" w14:textId="5F89DB78"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F5563B">
              <w:rPr>
                <w:rFonts w:cs="Calibri"/>
                <w:b/>
                <w:bCs/>
                <w:sz w:val="20"/>
                <w:lang w:eastAsia="en-GB"/>
              </w:rPr>
              <w:t xml:space="preserve">CWG-SFP doc. </w:t>
            </w:r>
          </w:p>
        </w:tc>
        <w:tc>
          <w:tcPr>
            <w:tcW w:w="5245" w:type="dxa"/>
            <w:tcBorders>
              <w:top w:val="single" w:sz="8" w:space="0" w:color="FFFFFF"/>
              <w:left w:val="nil"/>
              <w:bottom w:val="single" w:sz="4" w:space="0" w:color="A5A5A5"/>
              <w:right w:val="nil"/>
            </w:tcBorders>
            <w:shd w:val="clear" w:color="auto" w:fill="auto"/>
            <w:vAlign w:val="center"/>
            <w:hideMark/>
          </w:tcPr>
          <w:p w14:paraId="4A5BC967" w14:textId="77777777"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F5563B">
              <w:rPr>
                <w:rFonts w:cs="Calibri"/>
                <w:b/>
                <w:bCs/>
                <w:sz w:val="20"/>
                <w:lang w:eastAsia="en-GB"/>
              </w:rPr>
              <w:t>CWG-SFP Guidance</w:t>
            </w:r>
          </w:p>
        </w:tc>
      </w:tr>
      <w:tr w:rsidR="00A91A8C" w:rsidRPr="00F5563B" w14:paraId="0363614A" w14:textId="77777777" w:rsidTr="00A91A8C">
        <w:trPr>
          <w:trHeight w:val="2445"/>
        </w:trPr>
        <w:tc>
          <w:tcPr>
            <w:tcW w:w="1408" w:type="dxa"/>
            <w:tcBorders>
              <w:top w:val="nil"/>
              <w:left w:val="nil"/>
              <w:bottom w:val="single" w:sz="4" w:space="0" w:color="A5A5A5"/>
              <w:right w:val="nil"/>
            </w:tcBorders>
            <w:shd w:val="clear" w:color="EDEDED" w:fill="EDEDED"/>
            <w:hideMark/>
          </w:tcPr>
          <w:p w14:paraId="6491E166" w14:textId="77777777"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F5563B">
              <w:rPr>
                <w:rFonts w:cs="Calibri"/>
                <w:sz w:val="20"/>
                <w:lang w:eastAsia="en-GB"/>
              </w:rPr>
              <w:t>MS contributions:</w:t>
            </w:r>
          </w:p>
        </w:tc>
        <w:tc>
          <w:tcPr>
            <w:tcW w:w="7229" w:type="dxa"/>
            <w:tcBorders>
              <w:top w:val="nil"/>
              <w:left w:val="nil"/>
              <w:bottom w:val="single" w:sz="4" w:space="0" w:color="A5A5A5"/>
              <w:right w:val="nil"/>
            </w:tcBorders>
            <w:shd w:val="clear" w:color="EDEDED" w:fill="EDEDED"/>
            <w:hideMark/>
          </w:tcPr>
          <w:p w14:paraId="4B80F420" w14:textId="77777777" w:rsidR="00A91A8C" w:rsidRPr="00F5563B" w:rsidRDefault="00A91A8C" w:rsidP="00F5563B">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F5563B">
              <w:rPr>
                <w:rFonts w:cs="Calibri"/>
                <w:i/>
                <w:iCs/>
                <w:sz w:val="20"/>
                <w:lang w:eastAsia="en-GB"/>
              </w:rPr>
              <w:t>Contribution from the Russian Federation:</w:t>
            </w:r>
            <w:r w:rsidRPr="00F5563B">
              <w:rPr>
                <w:rFonts w:cs="Calibri"/>
                <w:i/>
                <w:iCs/>
                <w:sz w:val="20"/>
                <w:lang w:eastAsia="en-GB"/>
              </w:rPr>
              <w:br/>
            </w:r>
            <w:r w:rsidRPr="00F5563B">
              <w:rPr>
                <w:rFonts w:cs="Calibri"/>
                <w:sz w:val="20"/>
                <w:lang w:eastAsia="en-GB"/>
              </w:rPr>
              <w:t xml:space="preserve">- Issues related to the </w:t>
            </w:r>
            <w:r w:rsidRPr="00D625DD">
              <w:rPr>
                <w:rFonts w:cs="Calibri"/>
                <w:b/>
                <w:bCs/>
                <w:sz w:val="20"/>
                <w:lang w:eastAsia="en-GB"/>
              </w:rPr>
              <w:t>drafting of Sectoral and intersectoral outcomes remain complex and require further consideration</w:t>
            </w:r>
            <w:r w:rsidRPr="00F5563B">
              <w:rPr>
                <w:rFonts w:cs="Calibri"/>
                <w:sz w:val="20"/>
                <w:lang w:eastAsia="en-GB"/>
              </w:rPr>
              <w:t xml:space="preserve">. A lack of precision in their formulation and a </w:t>
            </w:r>
            <w:r w:rsidRPr="00D625DD">
              <w:rPr>
                <w:rFonts w:cs="Calibri"/>
                <w:b/>
                <w:bCs/>
                <w:sz w:val="20"/>
                <w:lang w:eastAsia="en-GB"/>
              </w:rPr>
              <w:t>lack of clear correspondence between outcomes and indicators</w:t>
            </w:r>
            <w:r w:rsidRPr="00F5563B">
              <w:rPr>
                <w:rFonts w:cs="Calibri"/>
                <w:sz w:val="20"/>
                <w:lang w:eastAsia="en-GB"/>
              </w:rPr>
              <w:t xml:space="preserve"> for assessing actual implementation of the strategic plan make it difficult for Member States to adequately assess the degree of implementation of the strategic plan. Consequently, in accordance with Resolution 151 (Rev. Dubai, 2018) of the Plenipotentiary Conference, it is </w:t>
            </w:r>
            <w:r w:rsidRPr="00D625DD">
              <w:rPr>
                <w:rFonts w:cs="Calibri"/>
                <w:b/>
                <w:bCs/>
                <w:sz w:val="20"/>
                <w:lang w:eastAsia="en-GB"/>
              </w:rPr>
              <w:t>necessary “to continue to develop a comprehensive ITU results framework to support implementation of the strategic, financial and operational plans and budget</w:t>
            </w:r>
            <w:r w:rsidRPr="00F5563B">
              <w:rPr>
                <w:rFonts w:cs="Calibri"/>
                <w:sz w:val="20"/>
                <w:lang w:eastAsia="en-GB"/>
              </w:rPr>
              <w:t xml:space="preserve"> and increase the capability of the Union's </w:t>
            </w:r>
            <w:r w:rsidRPr="00D625DD">
              <w:rPr>
                <w:rFonts w:cs="Calibri"/>
                <w:b/>
                <w:bCs/>
                <w:sz w:val="20"/>
                <w:lang w:eastAsia="en-GB"/>
              </w:rPr>
              <w:t>membership to assess progress in the achievement</w:t>
            </w:r>
            <w:r w:rsidRPr="00F5563B">
              <w:rPr>
                <w:rFonts w:cs="Calibri"/>
                <w:sz w:val="20"/>
                <w:lang w:eastAsia="en-GB"/>
              </w:rPr>
              <w:t xml:space="preserve"> of ITU goals.</w:t>
            </w:r>
          </w:p>
        </w:tc>
        <w:tc>
          <w:tcPr>
            <w:tcW w:w="992" w:type="dxa"/>
            <w:tcBorders>
              <w:top w:val="nil"/>
              <w:left w:val="nil"/>
              <w:bottom w:val="single" w:sz="4" w:space="0" w:color="A5A5A5"/>
              <w:right w:val="nil"/>
            </w:tcBorders>
            <w:shd w:val="clear" w:color="EDEDED" w:fill="EDEDED"/>
            <w:noWrap/>
            <w:vAlign w:val="center"/>
            <w:hideMark/>
          </w:tcPr>
          <w:p w14:paraId="2D2242F2" w14:textId="77777777" w:rsidR="00A91A8C" w:rsidRPr="00F5563B" w:rsidRDefault="00A13386" w:rsidP="00F5563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u w:val="single"/>
                <w:lang w:eastAsia="en-GB"/>
              </w:rPr>
            </w:pPr>
            <w:hyperlink r:id="rId38" w:history="1">
              <w:r w:rsidR="00A91A8C" w:rsidRPr="00F5563B">
                <w:rPr>
                  <w:rFonts w:cs="Calibri"/>
                  <w:color w:val="548DD4" w:themeColor="text2" w:themeTint="99"/>
                  <w:sz w:val="20"/>
                  <w:u w:val="single"/>
                  <w:lang w:eastAsia="en-GB"/>
                </w:rPr>
                <w:t>CWG-SFP-1/8</w:t>
              </w:r>
            </w:hyperlink>
          </w:p>
        </w:tc>
        <w:tc>
          <w:tcPr>
            <w:tcW w:w="5245" w:type="dxa"/>
            <w:tcBorders>
              <w:top w:val="nil"/>
              <w:left w:val="nil"/>
              <w:bottom w:val="single" w:sz="4" w:space="0" w:color="A5A5A5"/>
              <w:right w:val="nil"/>
            </w:tcBorders>
            <w:shd w:val="clear" w:color="EDEDED" w:fill="EDEDED"/>
            <w:noWrap/>
            <w:hideMark/>
          </w:tcPr>
          <w:p w14:paraId="3ED819D2" w14:textId="32BA3E20" w:rsidR="00A91A8C" w:rsidRPr="00940456" w:rsidRDefault="00A91A8C" w:rsidP="006516C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940456">
              <w:rPr>
                <w:rFonts w:cs="Calibri"/>
                <w:sz w:val="22"/>
                <w:szCs w:val="22"/>
                <w:lang w:eastAsia="en-GB"/>
              </w:rPr>
              <w:t>- Request the Secretariat to continue to develop the ITU results framework</w:t>
            </w:r>
            <w:r>
              <w:rPr>
                <w:rFonts w:cs="Calibri"/>
                <w:sz w:val="22"/>
                <w:szCs w:val="22"/>
                <w:lang w:eastAsia="en-GB"/>
              </w:rPr>
              <w:t xml:space="preserve"> </w:t>
            </w:r>
            <w:proofErr w:type="gramStart"/>
            <w:r>
              <w:rPr>
                <w:rFonts w:cs="Calibri"/>
                <w:sz w:val="22"/>
                <w:szCs w:val="22"/>
                <w:lang w:eastAsia="en-GB"/>
              </w:rPr>
              <w:t>taking into account</w:t>
            </w:r>
            <w:proofErr w:type="gramEnd"/>
            <w:r>
              <w:rPr>
                <w:rFonts w:cs="Calibri"/>
                <w:sz w:val="22"/>
                <w:szCs w:val="22"/>
                <w:lang w:eastAsia="en-GB"/>
              </w:rPr>
              <w:t xml:space="preserve"> proposals by the membership</w:t>
            </w:r>
            <w:r w:rsidRPr="00940456">
              <w:rPr>
                <w:rFonts w:cs="Calibri"/>
                <w:sz w:val="22"/>
                <w:szCs w:val="22"/>
                <w:lang w:eastAsia="en-GB"/>
              </w:rPr>
              <w:t xml:space="preserve"> </w:t>
            </w:r>
            <w:r>
              <w:rPr>
                <w:rFonts w:cs="Calibri"/>
                <w:sz w:val="22"/>
                <w:szCs w:val="22"/>
                <w:lang w:eastAsia="en-GB"/>
              </w:rPr>
              <w:t xml:space="preserve">and </w:t>
            </w:r>
            <w:r w:rsidRPr="00940456">
              <w:rPr>
                <w:rFonts w:cs="Calibri"/>
                <w:sz w:val="22"/>
                <w:szCs w:val="22"/>
                <w:lang w:eastAsia="en-GB"/>
              </w:rPr>
              <w:t>consider</w:t>
            </w:r>
            <w:r>
              <w:rPr>
                <w:rFonts w:cs="Calibri"/>
                <w:sz w:val="22"/>
                <w:szCs w:val="22"/>
                <w:lang w:eastAsia="en-GB"/>
              </w:rPr>
              <w:t>ing</w:t>
            </w:r>
            <w:r w:rsidRPr="00940456">
              <w:rPr>
                <w:rFonts w:cs="Calibri"/>
                <w:sz w:val="22"/>
                <w:szCs w:val="22"/>
                <w:lang w:eastAsia="en-GB"/>
              </w:rPr>
              <w:t xml:space="preserve"> the need to support implementation of the strategic, financial and operational plans and budget and increase the capability of the membership to assess progress in the achievement of ITU goals</w:t>
            </w:r>
          </w:p>
        </w:tc>
      </w:tr>
    </w:tbl>
    <w:p w14:paraId="37BEE1F6" w14:textId="4F0286CA" w:rsidR="004231B2" w:rsidRPr="00DE0750" w:rsidRDefault="004231B2" w:rsidP="0047167B">
      <w:pPr>
        <w:spacing w:before="840"/>
        <w:jc w:val="center"/>
      </w:pPr>
      <w:r w:rsidRPr="00DE0750">
        <w:t>________________</w:t>
      </w:r>
    </w:p>
    <w:sectPr w:rsidR="004231B2" w:rsidRPr="00DE0750" w:rsidSect="008566D4">
      <w:headerReference w:type="first" r:id="rId39"/>
      <w:footerReference w:type="first" r:id="rId40"/>
      <w:pgSz w:w="16834" w:h="11907" w:orient="landscape"/>
      <w:pgMar w:top="964" w:right="964" w:bottom="964" w:left="96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8214" w14:textId="77777777" w:rsidR="00660DE9" w:rsidRDefault="00660DE9">
      <w:r>
        <w:separator/>
      </w:r>
    </w:p>
  </w:endnote>
  <w:endnote w:type="continuationSeparator" w:id="0">
    <w:p w14:paraId="465E6512" w14:textId="77777777" w:rsidR="00660DE9" w:rsidRDefault="00660DE9">
      <w:r>
        <w:continuationSeparator/>
      </w:r>
    </w:p>
  </w:endnote>
  <w:endnote w:type="continuationNotice" w:id="1">
    <w:p w14:paraId="0A937FC6" w14:textId="77777777" w:rsidR="00660DE9" w:rsidRDefault="00660D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2E7A" w14:textId="0650BD05" w:rsidR="00CB18FF" w:rsidRPr="0047167B" w:rsidRDefault="00320223">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sidR="001033B8" w:rsidRPr="0047167B">
      <w:rPr>
        <w:color w:val="F2F2F2" w:themeColor="background1" w:themeShade="F2"/>
      </w:rPr>
      <w:t>P:\ENG\SG\CONSEIL\CWG-SFP\CWG-SFP1\000\008E.docx</w:t>
    </w:r>
    <w:r w:rsidRPr="0047167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4849" w14:textId="28566EED" w:rsidR="00322D0D" w:rsidRDefault="00322D0D">
    <w:pPr>
      <w:spacing w:after="120"/>
      <w:jc w:val="center"/>
    </w:pPr>
    <w:r>
      <w:t xml:space="preserve">• </w:t>
    </w:r>
    <w:hyperlink r:id="rId1" w:history="1">
      <w:r>
        <w:rPr>
          <w:rStyle w:val="Hyperlink"/>
        </w:rPr>
        <w:t>http://www.itu.int/council</w:t>
      </w:r>
    </w:hyperlink>
    <w:r>
      <w:t xml:space="preserve"> •</w:t>
    </w:r>
  </w:p>
  <w:p w14:paraId="16EA2F86" w14:textId="12C4254C" w:rsidR="00E46AF4" w:rsidRPr="0047167B" w:rsidRDefault="00E46AF4" w:rsidP="00E46AF4">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sidR="001033B8" w:rsidRPr="0047167B">
      <w:rPr>
        <w:color w:val="F2F2F2" w:themeColor="background1" w:themeShade="F2"/>
      </w:rPr>
      <w:t>P:\ENG\SG\CONSEIL\CWG-SFP\CWG-SFP1\000\008E.docx</w:t>
    </w:r>
    <w:r w:rsidRPr="0047167B">
      <w:rPr>
        <w:color w:val="F2F2F2" w:themeColor="background1" w:themeShade="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88B6" w14:textId="77777777" w:rsidR="00852C21" w:rsidRPr="0047167B" w:rsidRDefault="00852C21" w:rsidP="00E46AF4">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sidRPr="0047167B">
      <w:rPr>
        <w:color w:val="F2F2F2" w:themeColor="background1" w:themeShade="F2"/>
      </w:rPr>
      <w:t>P:\ENG\SG\CONSEIL\CWG-SFP\CWG-SFP1\000\008E.docx</w:t>
    </w:r>
    <w:r w:rsidRPr="0047167B">
      <w:rPr>
        <w:color w:val="F2F2F2" w:themeColor="background1" w:themeShade="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F390" w14:textId="77777777" w:rsidR="00660DE9" w:rsidRDefault="00660DE9">
      <w:r>
        <w:t>____________________</w:t>
      </w:r>
    </w:p>
  </w:footnote>
  <w:footnote w:type="continuationSeparator" w:id="0">
    <w:p w14:paraId="1A129772" w14:textId="77777777" w:rsidR="00660DE9" w:rsidRDefault="00660DE9">
      <w:r>
        <w:continuationSeparator/>
      </w:r>
    </w:p>
  </w:footnote>
  <w:footnote w:type="continuationNotice" w:id="1">
    <w:p w14:paraId="3B0C3BC7" w14:textId="77777777" w:rsidR="00660DE9" w:rsidRDefault="00660DE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296A" w14:textId="77777777" w:rsidR="00322D0D" w:rsidRDefault="006535F1" w:rsidP="00CE433C">
    <w:pPr>
      <w:pStyle w:val="Header"/>
    </w:pPr>
    <w:r>
      <w:fldChar w:fldCharType="begin"/>
    </w:r>
    <w:r>
      <w:instrText>PAGE</w:instrText>
    </w:r>
    <w:r>
      <w:fldChar w:fldCharType="separate"/>
    </w:r>
    <w:r w:rsidR="003B5E4E">
      <w:rPr>
        <w:noProof/>
      </w:rPr>
      <w:t>9</w:t>
    </w:r>
    <w:r>
      <w:rPr>
        <w:noProof/>
      </w:rPr>
      <w:fldChar w:fldCharType="end"/>
    </w:r>
  </w:p>
  <w:p w14:paraId="0CCD9117" w14:textId="7A1F5EB3" w:rsidR="00322D0D" w:rsidRPr="00623AE3" w:rsidRDefault="00E46AF4" w:rsidP="00FB1279">
    <w:pPr>
      <w:pStyle w:val="Header"/>
      <w:rPr>
        <w:bCs/>
      </w:rPr>
    </w:pPr>
    <w:r w:rsidRPr="009F2E71">
      <w:rPr>
        <w:noProof/>
      </w:rPr>
      <w:t>CWG-SFP-1</w:t>
    </w:r>
    <w:r w:rsidR="00623AE3" w:rsidRPr="00623AE3">
      <w:rPr>
        <w:bCs/>
      </w:rPr>
      <w:t>/</w:t>
    </w:r>
    <w:r w:rsidR="0037027B" w:rsidRPr="00907825">
      <w:rPr>
        <w:bC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193B" w14:textId="77777777" w:rsidR="00907825" w:rsidRDefault="00907825" w:rsidP="00907825">
    <w:pPr>
      <w:pStyle w:val="Header"/>
    </w:pPr>
    <w:r>
      <w:fldChar w:fldCharType="begin"/>
    </w:r>
    <w:r>
      <w:instrText>PAGE</w:instrText>
    </w:r>
    <w:r>
      <w:fldChar w:fldCharType="separate"/>
    </w:r>
    <w:r>
      <w:t>3</w:t>
    </w:r>
    <w:r>
      <w:rPr>
        <w:noProof/>
      </w:rPr>
      <w:fldChar w:fldCharType="end"/>
    </w:r>
  </w:p>
  <w:p w14:paraId="22CDD181" w14:textId="46198ACF" w:rsidR="00907825" w:rsidRPr="00907825" w:rsidRDefault="00907825" w:rsidP="00907825">
    <w:pPr>
      <w:pStyle w:val="Header"/>
      <w:rPr>
        <w:bCs/>
      </w:rPr>
    </w:pPr>
    <w:r w:rsidRPr="009F2E71">
      <w:rPr>
        <w:noProof/>
      </w:rPr>
      <w:t>CWG-SFP-1</w:t>
    </w:r>
    <w:r w:rsidRPr="00623AE3">
      <w:rPr>
        <w:bCs/>
      </w:rPr>
      <w:t>/</w:t>
    </w:r>
    <w:r w:rsidRPr="00907825">
      <w:rPr>
        <w:bCs/>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7D5361"/>
    <w:multiLevelType w:val="hybridMultilevel"/>
    <w:tmpl w:val="E76817BE"/>
    <w:lvl w:ilvl="0" w:tplc="424E2C2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D22A1"/>
    <w:multiLevelType w:val="hybridMultilevel"/>
    <w:tmpl w:val="8376C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23B6D"/>
    <w:multiLevelType w:val="hybridMultilevel"/>
    <w:tmpl w:val="BA840A6E"/>
    <w:lvl w:ilvl="0" w:tplc="134A55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B4"/>
    <w:rsid w:val="00002302"/>
    <w:rsid w:val="000210D4"/>
    <w:rsid w:val="00022A19"/>
    <w:rsid w:val="00024A3E"/>
    <w:rsid w:val="0003475C"/>
    <w:rsid w:val="000431F0"/>
    <w:rsid w:val="0004484F"/>
    <w:rsid w:val="00056183"/>
    <w:rsid w:val="00063016"/>
    <w:rsid w:val="00066795"/>
    <w:rsid w:val="000710F8"/>
    <w:rsid w:val="00076AF6"/>
    <w:rsid w:val="000816E9"/>
    <w:rsid w:val="00085CF2"/>
    <w:rsid w:val="00087FBC"/>
    <w:rsid w:val="0009416D"/>
    <w:rsid w:val="000A4CB7"/>
    <w:rsid w:val="000B1705"/>
    <w:rsid w:val="000B3E7F"/>
    <w:rsid w:val="000C0FA4"/>
    <w:rsid w:val="000C5EA7"/>
    <w:rsid w:val="000C7D48"/>
    <w:rsid w:val="000D0093"/>
    <w:rsid w:val="000D2F6D"/>
    <w:rsid w:val="000D39B5"/>
    <w:rsid w:val="000D5C67"/>
    <w:rsid w:val="000D75B2"/>
    <w:rsid w:val="000F2EA2"/>
    <w:rsid w:val="001033B8"/>
    <w:rsid w:val="0010539F"/>
    <w:rsid w:val="00111491"/>
    <w:rsid w:val="00111DE7"/>
    <w:rsid w:val="001121F5"/>
    <w:rsid w:val="001211E4"/>
    <w:rsid w:val="00124BC5"/>
    <w:rsid w:val="0013369E"/>
    <w:rsid w:val="001400DC"/>
    <w:rsid w:val="00140380"/>
    <w:rsid w:val="00140CE1"/>
    <w:rsid w:val="00143AF1"/>
    <w:rsid w:val="00152150"/>
    <w:rsid w:val="0017539C"/>
    <w:rsid w:val="00175AC2"/>
    <w:rsid w:val="0017609F"/>
    <w:rsid w:val="0018155D"/>
    <w:rsid w:val="00196C4D"/>
    <w:rsid w:val="001C0AB3"/>
    <w:rsid w:val="001C14B7"/>
    <w:rsid w:val="001C628E"/>
    <w:rsid w:val="001C765B"/>
    <w:rsid w:val="001C7E2E"/>
    <w:rsid w:val="001D274E"/>
    <w:rsid w:val="001D3127"/>
    <w:rsid w:val="001E0F7B"/>
    <w:rsid w:val="001E55B8"/>
    <w:rsid w:val="00211087"/>
    <w:rsid w:val="002119FD"/>
    <w:rsid w:val="002130E0"/>
    <w:rsid w:val="00216E4A"/>
    <w:rsid w:val="00217988"/>
    <w:rsid w:val="00241997"/>
    <w:rsid w:val="00241A92"/>
    <w:rsid w:val="002421C1"/>
    <w:rsid w:val="00250458"/>
    <w:rsid w:val="00251BDC"/>
    <w:rsid w:val="002613E8"/>
    <w:rsid w:val="00264425"/>
    <w:rsid w:val="00265875"/>
    <w:rsid w:val="0027197A"/>
    <w:rsid w:val="00271B86"/>
    <w:rsid w:val="0027303B"/>
    <w:rsid w:val="0028109B"/>
    <w:rsid w:val="00282A54"/>
    <w:rsid w:val="002A2188"/>
    <w:rsid w:val="002A481B"/>
    <w:rsid w:val="002A48DA"/>
    <w:rsid w:val="002B1F58"/>
    <w:rsid w:val="002B6ACB"/>
    <w:rsid w:val="002C184F"/>
    <w:rsid w:val="002C1C7A"/>
    <w:rsid w:val="002E468E"/>
    <w:rsid w:val="002F7A5E"/>
    <w:rsid w:val="003007EA"/>
    <w:rsid w:val="00301527"/>
    <w:rsid w:val="0030160F"/>
    <w:rsid w:val="003175A2"/>
    <w:rsid w:val="00320223"/>
    <w:rsid w:val="00320A31"/>
    <w:rsid w:val="00322D0D"/>
    <w:rsid w:val="003305D4"/>
    <w:rsid w:val="00333A26"/>
    <w:rsid w:val="00343E4D"/>
    <w:rsid w:val="00364FE3"/>
    <w:rsid w:val="003676A7"/>
    <w:rsid w:val="0037027B"/>
    <w:rsid w:val="00392537"/>
    <w:rsid w:val="003942D4"/>
    <w:rsid w:val="003958A8"/>
    <w:rsid w:val="003A21CE"/>
    <w:rsid w:val="003A5D5A"/>
    <w:rsid w:val="003B0581"/>
    <w:rsid w:val="003B5E4E"/>
    <w:rsid w:val="003C2533"/>
    <w:rsid w:val="003E385C"/>
    <w:rsid w:val="003E541B"/>
    <w:rsid w:val="00402536"/>
    <w:rsid w:val="0040435A"/>
    <w:rsid w:val="00416A24"/>
    <w:rsid w:val="00421FC1"/>
    <w:rsid w:val="00422C5F"/>
    <w:rsid w:val="004231B2"/>
    <w:rsid w:val="004244F3"/>
    <w:rsid w:val="00431D9E"/>
    <w:rsid w:val="00433CE8"/>
    <w:rsid w:val="00434A5C"/>
    <w:rsid w:val="00450ED6"/>
    <w:rsid w:val="00452DF7"/>
    <w:rsid w:val="004544D9"/>
    <w:rsid w:val="00455986"/>
    <w:rsid w:val="004642B6"/>
    <w:rsid w:val="00467F74"/>
    <w:rsid w:val="0047167B"/>
    <w:rsid w:val="00480360"/>
    <w:rsid w:val="00490E72"/>
    <w:rsid w:val="00491157"/>
    <w:rsid w:val="004921C8"/>
    <w:rsid w:val="00493C3C"/>
    <w:rsid w:val="004A1B8B"/>
    <w:rsid w:val="004D1851"/>
    <w:rsid w:val="004D2191"/>
    <w:rsid w:val="004D599D"/>
    <w:rsid w:val="004E2EA5"/>
    <w:rsid w:val="004E3AEB"/>
    <w:rsid w:val="004E6D74"/>
    <w:rsid w:val="004F6610"/>
    <w:rsid w:val="0050223C"/>
    <w:rsid w:val="00502F8A"/>
    <w:rsid w:val="00506635"/>
    <w:rsid w:val="00514BA5"/>
    <w:rsid w:val="005243FF"/>
    <w:rsid w:val="005273B0"/>
    <w:rsid w:val="00530C7B"/>
    <w:rsid w:val="005321C9"/>
    <w:rsid w:val="00537EA6"/>
    <w:rsid w:val="00543DEE"/>
    <w:rsid w:val="00556E72"/>
    <w:rsid w:val="00562D40"/>
    <w:rsid w:val="005642F2"/>
    <w:rsid w:val="00564FBC"/>
    <w:rsid w:val="0057185F"/>
    <w:rsid w:val="005753CE"/>
    <w:rsid w:val="00575729"/>
    <w:rsid w:val="00582442"/>
    <w:rsid w:val="00595BC6"/>
    <w:rsid w:val="005B1FFA"/>
    <w:rsid w:val="005D09AD"/>
    <w:rsid w:val="005D5BA4"/>
    <w:rsid w:val="005D6D3C"/>
    <w:rsid w:val="005E23F4"/>
    <w:rsid w:val="005E61E6"/>
    <w:rsid w:val="005F3269"/>
    <w:rsid w:val="00600809"/>
    <w:rsid w:val="006013B3"/>
    <w:rsid w:val="00613EFD"/>
    <w:rsid w:val="00623AE3"/>
    <w:rsid w:val="00624167"/>
    <w:rsid w:val="00635460"/>
    <w:rsid w:val="0064737F"/>
    <w:rsid w:val="006516CA"/>
    <w:rsid w:val="006535F1"/>
    <w:rsid w:val="0065412A"/>
    <w:rsid w:val="0065557D"/>
    <w:rsid w:val="00660DE9"/>
    <w:rsid w:val="00662984"/>
    <w:rsid w:val="006716BB"/>
    <w:rsid w:val="00687AEF"/>
    <w:rsid w:val="00695A26"/>
    <w:rsid w:val="006B317E"/>
    <w:rsid w:val="006B6680"/>
    <w:rsid w:val="006B6DCC"/>
    <w:rsid w:val="006C31F3"/>
    <w:rsid w:val="006F0942"/>
    <w:rsid w:val="006F6307"/>
    <w:rsid w:val="00702DEF"/>
    <w:rsid w:val="00706861"/>
    <w:rsid w:val="00723771"/>
    <w:rsid w:val="0075051B"/>
    <w:rsid w:val="007539B8"/>
    <w:rsid w:val="00763E00"/>
    <w:rsid w:val="00780FC1"/>
    <w:rsid w:val="00790FE2"/>
    <w:rsid w:val="00793188"/>
    <w:rsid w:val="00794D34"/>
    <w:rsid w:val="007C35BA"/>
    <w:rsid w:val="007C4BFD"/>
    <w:rsid w:val="007D23D3"/>
    <w:rsid w:val="007D2886"/>
    <w:rsid w:val="007D417F"/>
    <w:rsid w:val="007D5D57"/>
    <w:rsid w:val="007D777E"/>
    <w:rsid w:val="007E335B"/>
    <w:rsid w:val="00813266"/>
    <w:rsid w:val="00813E5E"/>
    <w:rsid w:val="0083581B"/>
    <w:rsid w:val="008441B9"/>
    <w:rsid w:val="00852C21"/>
    <w:rsid w:val="008566D4"/>
    <w:rsid w:val="00864AFF"/>
    <w:rsid w:val="00867704"/>
    <w:rsid w:val="008878B5"/>
    <w:rsid w:val="00891CF5"/>
    <w:rsid w:val="008B4A6A"/>
    <w:rsid w:val="008B5615"/>
    <w:rsid w:val="008C7E27"/>
    <w:rsid w:val="008D0506"/>
    <w:rsid w:val="008D470A"/>
    <w:rsid w:val="008E2B06"/>
    <w:rsid w:val="008E406F"/>
    <w:rsid w:val="008E616C"/>
    <w:rsid w:val="00906CEE"/>
    <w:rsid w:val="00907825"/>
    <w:rsid w:val="009129F2"/>
    <w:rsid w:val="009173EF"/>
    <w:rsid w:val="00932906"/>
    <w:rsid w:val="00935479"/>
    <w:rsid w:val="00940456"/>
    <w:rsid w:val="00947BCE"/>
    <w:rsid w:val="00954A34"/>
    <w:rsid w:val="00961B0B"/>
    <w:rsid w:val="009816FE"/>
    <w:rsid w:val="00982F70"/>
    <w:rsid w:val="0098628F"/>
    <w:rsid w:val="0099676C"/>
    <w:rsid w:val="009A439B"/>
    <w:rsid w:val="009A618B"/>
    <w:rsid w:val="009B38C3"/>
    <w:rsid w:val="009C1280"/>
    <w:rsid w:val="009C65E7"/>
    <w:rsid w:val="009C7DF7"/>
    <w:rsid w:val="009D20AC"/>
    <w:rsid w:val="009E17BD"/>
    <w:rsid w:val="009E2AAA"/>
    <w:rsid w:val="009E485A"/>
    <w:rsid w:val="009F017F"/>
    <w:rsid w:val="009F2EFA"/>
    <w:rsid w:val="009F46EA"/>
    <w:rsid w:val="00A04CEC"/>
    <w:rsid w:val="00A062A2"/>
    <w:rsid w:val="00A10BC8"/>
    <w:rsid w:val="00A13386"/>
    <w:rsid w:val="00A1493D"/>
    <w:rsid w:val="00A14AEF"/>
    <w:rsid w:val="00A24E7D"/>
    <w:rsid w:val="00A27F92"/>
    <w:rsid w:val="00A32257"/>
    <w:rsid w:val="00A3358E"/>
    <w:rsid w:val="00A36032"/>
    <w:rsid w:val="00A36D20"/>
    <w:rsid w:val="00A422ED"/>
    <w:rsid w:val="00A52ECF"/>
    <w:rsid w:val="00A53D79"/>
    <w:rsid w:val="00A55622"/>
    <w:rsid w:val="00A67FEF"/>
    <w:rsid w:val="00A83502"/>
    <w:rsid w:val="00A91A8C"/>
    <w:rsid w:val="00AB1BC2"/>
    <w:rsid w:val="00AC1F30"/>
    <w:rsid w:val="00AC7F31"/>
    <w:rsid w:val="00AD15B3"/>
    <w:rsid w:val="00AF6E49"/>
    <w:rsid w:val="00AF741E"/>
    <w:rsid w:val="00B00E36"/>
    <w:rsid w:val="00B01D09"/>
    <w:rsid w:val="00B04A67"/>
    <w:rsid w:val="00B04F70"/>
    <w:rsid w:val="00B0583C"/>
    <w:rsid w:val="00B22EB1"/>
    <w:rsid w:val="00B3142B"/>
    <w:rsid w:val="00B34440"/>
    <w:rsid w:val="00B35AF3"/>
    <w:rsid w:val="00B40A81"/>
    <w:rsid w:val="00B44910"/>
    <w:rsid w:val="00B46EB8"/>
    <w:rsid w:val="00B576E6"/>
    <w:rsid w:val="00B61796"/>
    <w:rsid w:val="00B72267"/>
    <w:rsid w:val="00B76752"/>
    <w:rsid w:val="00B76EB6"/>
    <w:rsid w:val="00B7737B"/>
    <w:rsid w:val="00B824C8"/>
    <w:rsid w:val="00B82B2D"/>
    <w:rsid w:val="00B84B9D"/>
    <w:rsid w:val="00B87700"/>
    <w:rsid w:val="00BB0BBA"/>
    <w:rsid w:val="00BB0C9C"/>
    <w:rsid w:val="00BC0BDB"/>
    <w:rsid w:val="00BC251A"/>
    <w:rsid w:val="00BC3BDE"/>
    <w:rsid w:val="00BC416D"/>
    <w:rsid w:val="00BC5303"/>
    <w:rsid w:val="00BC7DE3"/>
    <w:rsid w:val="00BD032B"/>
    <w:rsid w:val="00BE032F"/>
    <w:rsid w:val="00BE1B38"/>
    <w:rsid w:val="00BE2640"/>
    <w:rsid w:val="00BE6607"/>
    <w:rsid w:val="00BF507A"/>
    <w:rsid w:val="00BF6D24"/>
    <w:rsid w:val="00BF700D"/>
    <w:rsid w:val="00C00180"/>
    <w:rsid w:val="00C01189"/>
    <w:rsid w:val="00C076F0"/>
    <w:rsid w:val="00C14C48"/>
    <w:rsid w:val="00C14D7A"/>
    <w:rsid w:val="00C16AD8"/>
    <w:rsid w:val="00C374DE"/>
    <w:rsid w:val="00C41AA9"/>
    <w:rsid w:val="00C44B72"/>
    <w:rsid w:val="00C45579"/>
    <w:rsid w:val="00C47AD4"/>
    <w:rsid w:val="00C50337"/>
    <w:rsid w:val="00C52D81"/>
    <w:rsid w:val="00C55198"/>
    <w:rsid w:val="00C62150"/>
    <w:rsid w:val="00C7715B"/>
    <w:rsid w:val="00C831F2"/>
    <w:rsid w:val="00C861A3"/>
    <w:rsid w:val="00C8767D"/>
    <w:rsid w:val="00C9026F"/>
    <w:rsid w:val="00CA315E"/>
    <w:rsid w:val="00CA6393"/>
    <w:rsid w:val="00CA784C"/>
    <w:rsid w:val="00CB18FF"/>
    <w:rsid w:val="00CB52AF"/>
    <w:rsid w:val="00CD0C08"/>
    <w:rsid w:val="00CE03FB"/>
    <w:rsid w:val="00CE433C"/>
    <w:rsid w:val="00CE5855"/>
    <w:rsid w:val="00CF33F3"/>
    <w:rsid w:val="00CF55DE"/>
    <w:rsid w:val="00D06183"/>
    <w:rsid w:val="00D22C42"/>
    <w:rsid w:val="00D41020"/>
    <w:rsid w:val="00D44427"/>
    <w:rsid w:val="00D47BD3"/>
    <w:rsid w:val="00D5022B"/>
    <w:rsid w:val="00D50B66"/>
    <w:rsid w:val="00D625DD"/>
    <w:rsid w:val="00D62713"/>
    <w:rsid w:val="00D65041"/>
    <w:rsid w:val="00D733BA"/>
    <w:rsid w:val="00D73E0D"/>
    <w:rsid w:val="00D877B7"/>
    <w:rsid w:val="00D92C9B"/>
    <w:rsid w:val="00D978BD"/>
    <w:rsid w:val="00DA033B"/>
    <w:rsid w:val="00DA49B5"/>
    <w:rsid w:val="00DA4A85"/>
    <w:rsid w:val="00DB384B"/>
    <w:rsid w:val="00DB563D"/>
    <w:rsid w:val="00DC27B7"/>
    <w:rsid w:val="00DC3BA4"/>
    <w:rsid w:val="00DC434D"/>
    <w:rsid w:val="00DC79D9"/>
    <w:rsid w:val="00DE035C"/>
    <w:rsid w:val="00DE0750"/>
    <w:rsid w:val="00DE1144"/>
    <w:rsid w:val="00DE2048"/>
    <w:rsid w:val="00DF09D9"/>
    <w:rsid w:val="00DF2F31"/>
    <w:rsid w:val="00DF4152"/>
    <w:rsid w:val="00E10E80"/>
    <w:rsid w:val="00E1194F"/>
    <w:rsid w:val="00E124F0"/>
    <w:rsid w:val="00E16F94"/>
    <w:rsid w:val="00E2038C"/>
    <w:rsid w:val="00E2168E"/>
    <w:rsid w:val="00E2222B"/>
    <w:rsid w:val="00E23030"/>
    <w:rsid w:val="00E233A6"/>
    <w:rsid w:val="00E23DFC"/>
    <w:rsid w:val="00E2439A"/>
    <w:rsid w:val="00E44EDB"/>
    <w:rsid w:val="00E458C6"/>
    <w:rsid w:val="00E46AF4"/>
    <w:rsid w:val="00E51349"/>
    <w:rsid w:val="00E56CC6"/>
    <w:rsid w:val="00E578AA"/>
    <w:rsid w:val="00E60F04"/>
    <w:rsid w:val="00E64784"/>
    <w:rsid w:val="00E854E4"/>
    <w:rsid w:val="00E870BB"/>
    <w:rsid w:val="00E917AF"/>
    <w:rsid w:val="00E96AA2"/>
    <w:rsid w:val="00EA634A"/>
    <w:rsid w:val="00EB0D6F"/>
    <w:rsid w:val="00EB2232"/>
    <w:rsid w:val="00EC19E6"/>
    <w:rsid w:val="00EC5337"/>
    <w:rsid w:val="00ED0D0E"/>
    <w:rsid w:val="00ED7697"/>
    <w:rsid w:val="00EF420E"/>
    <w:rsid w:val="00F07A42"/>
    <w:rsid w:val="00F104BD"/>
    <w:rsid w:val="00F127A6"/>
    <w:rsid w:val="00F2150A"/>
    <w:rsid w:val="00F231D8"/>
    <w:rsid w:val="00F23F44"/>
    <w:rsid w:val="00F274C9"/>
    <w:rsid w:val="00F3023F"/>
    <w:rsid w:val="00F33896"/>
    <w:rsid w:val="00F44F15"/>
    <w:rsid w:val="00F45D63"/>
    <w:rsid w:val="00F46C5F"/>
    <w:rsid w:val="00F5563B"/>
    <w:rsid w:val="00F56995"/>
    <w:rsid w:val="00F60279"/>
    <w:rsid w:val="00F678F6"/>
    <w:rsid w:val="00F7180F"/>
    <w:rsid w:val="00F767D0"/>
    <w:rsid w:val="00F919B4"/>
    <w:rsid w:val="00F94A63"/>
    <w:rsid w:val="00F94A79"/>
    <w:rsid w:val="00FA176A"/>
    <w:rsid w:val="00FA1C28"/>
    <w:rsid w:val="00FA2C26"/>
    <w:rsid w:val="00FB1279"/>
    <w:rsid w:val="00FB7596"/>
    <w:rsid w:val="00FC3660"/>
    <w:rsid w:val="00FC5148"/>
    <w:rsid w:val="00FC6405"/>
    <w:rsid w:val="00FE01AE"/>
    <w:rsid w:val="00FE0A31"/>
    <w:rsid w:val="00FE11D1"/>
    <w:rsid w:val="00FE4077"/>
    <w:rsid w:val="00FE5F74"/>
    <w:rsid w:val="00FE77D2"/>
    <w:rsid w:val="00FF3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B28B45"/>
  <w15:docId w15:val="{F72D6B8C-8D79-44AB-94DE-4C8BAD5B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1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FE01AE"/>
    <w:pPr>
      <w:keepNext/>
      <w:keepLines/>
      <w:spacing w:before="480"/>
      <w:ind w:left="567" w:hanging="567"/>
      <w:outlineLvl w:val="0"/>
    </w:pPr>
    <w:rPr>
      <w:b/>
      <w:sz w:val="28"/>
    </w:rPr>
  </w:style>
  <w:style w:type="paragraph" w:styleId="Heading2">
    <w:name w:val="heading 2"/>
    <w:basedOn w:val="Heading1"/>
    <w:next w:val="Normal"/>
    <w:qFormat/>
    <w:rsid w:val="00935479"/>
    <w:pPr>
      <w:numPr>
        <w:numId w:val="4"/>
      </w:numPr>
      <w:shd w:val="clear" w:color="auto" w:fill="4F81BD" w:themeFill="accent1"/>
      <w:spacing w:before="320"/>
      <w:ind w:left="357" w:hanging="357"/>
      <w:outlineLvl w:val="1"/>
    </w:pPr>
    <w:rPr>
      <w:color w:val="FFFFFF" w:themeColor="background1"/>
      <w:sz w:val="24"/>
    </w:rPr>
  </w:style>
  <w:style w:type="paragraph" w:styleId="Heading3">
    <w:name w:val="heading 3"/>
    <w:basedOn w:val="Heading1"/>
    <w:next w:val="Normal"/>
    <w:qFormat/>
    <w:rsid w:val="00FE01AE"/>
    <w:pPr>
      <w:spacing w:before="200"/>
      <w:outlineLvl w:val="2"/>
    </w:pPr>
    <w:rPr>
      <w:sz w:val="24"/>
    </w:rPr>
  </w:style>
  <w:style w:type="paragraph" w:styleId="Heading4">
    <w:name w:val="heading 4"/>
    <w:basedOn w:val="Heading3"/>
    <w:next w:val="Normal"/>
    <w:qFormat/>
    <w:rsid w:val="00FE01AE"/>
    <w:pPr>
      <w:ind w:left="1134" w:hanging="1134"/>
      <w:outlineLvl w:val="3"/>
    </w:pPr>
  </w:style>
  <w:style w:type="paragraph" w:styleId="Heading5">
    <w:name w:val="heading 5"/>
    <w:basedOn w:val="Heading4"/>
    <w:next w:val="Normal"/>
    <w:qFormat/>
    <w:rsid w:val="00FE01AE"/>
    <w:pPr>
      <w:outlineLvl w:val="4"/>
    </w:pPr>
  </w:style>
  <w:style w:type="paragraph" w:styleId="Heading6">
    <w:name w:val="heading 6"/>
    <w:basedOn w:val="Heading4"/>
    <w:next w:val="Normal"/>
    <w:qFormat/>
    <w:rsid w:val="00FE01AE"/>
    <w:pPr>
      <w:outlineLvl w:val="5"/>
    </w:pPr>
  </w:style>
  <w:style w:type="paragraph" w:styleId="Heading7">
    <w:name w:val="heading 7"/>
    <w:basedOn w:val="Heading4"/>
    <w:next w:val="Normal"/>
    <w:qFormat/>
    <w:rsid w:val="00FE01AE"/>
    <w:pPr>
      <w:ind w:left="1701" w:hanging="1701"/>
      <w:outlineLvl w:val="6"/>
    </w:pPr>
  </w:style>
  <w:style w:type="paragraph" w:styleId="Heading8">
    <w:name w:val="heading 8"/>
    <w:basedOn w:val="Heading4"/>
    <w:next w:val="Normal"/>
    <w:qFormat/>
    <w:rsid w:val="00FE01AE"/>
    <w:pPr>
      <w:ind w:left="1701" w:hanging="1701"/>
      <w:outlineLvl w:val="7"/>
    </w:pPr>
  </w:style>
  <w:style w:type="paragraph" w:styleId="Heading9">
    <w:name w:val="heading 9"/>
    <w:basedOn w:val="Heading4"/>
    <w:next w:val="Normal"/>
    <w:qFormat/>
    <w:rsid w:val="00FE01A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E01A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FE01A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FE01AE"/>
    <w:pPr>
      <w:ind w:left="1698"/>
    </w:pPr>
  </w:style>
  <w:style w:type="paragraph" w:styleId="Index6">
    <w:name w:val="index 6"/>
    <w:basedOn w:val="Normal"/>
    <w:next w:val="Normal"/>
    <w:rsid w:val="00FE01AE"/>
    <w:pPr>
      <w:ind w:left="1415"/>
    </w:pPr>
  </w:style>
  <w:style w:type="paragraph" w:styleId="Index5">
    <w:name w:val="index 5"/>
    <w:basedOn w:val="Normal"/>
    <w:next w:val="Normal"/>
    <w:rsid w:val="00FE01AE"/>
    <w:pPr>
      <w:ind w:left="1132"/>
    </w:pPr>
  </w:style>
  <w:style w:type="paragraph" w:styleId="Index4">
    <w:name w:val="index 4"/>
    <w:basedOn w:val="Normal"/>
    <w:next w:val="Normal"/>
    <w:rsid w:val="00FE01AE"/>
    <w:pPr>
      <w:ind w:left="849"/>
    </w:pPr>
  </w:style>
  <w:style w:type="paragraph" w:styleId="Index3">
    <w:name w:val="index 3"/>
    <w:basedOn w:val="Normal"/>
    <w:next w:val="Normal"/>
    <w:rsid w:val="00FE01AE"/>
    <w:pPr>
      <w:ind w:left="566"/>
    </w:pPr>
  </w:style>
  <w:style w:type="paragraph" w:styleId="Index2">
    <w:name w:val="index 2"/>
    <w:basedOn w:val="Normal"/>
    <w:next w:val="Normal"/>
    <w:rsid w:val="00FE01AE"/>
    <w:pPr>
      <w:ind w:left="283"/>
    </w:pPr>
  </w:style>
  <w:style w:type="paragraph" w:styleId="Index1">
    <w:name w:val="index 1"/>
    <w:basedOn w:val="Normal"/>
    <w:next w:val="Normal"/>
    <w:rsid w:val="00FE01AE"/>
  </w:style>
  <w:style w:type="character" w:styleId="LineNumber">
    <w:name w:val="line number"/>
    <w:basedOn w:val="DefaultParagraphFont"/>
    <w:rsid w:val="00FE01AE"/>
  </w:style>
  <w:style w:type="paragraph" w:styleId="IndexHeading">
    <w:name w:val="index heading"/>
    <w:basedOn w:val="Normal"/>
    <w:next w:val="Index1"/>
    <w:rsid w:val="00FE01AE"/>
  </w:style>
  <w:style w:type="paragraph" w:styleId="Footer">
    <w:name w:val="footer"/>
    <w:basedOn w:val="Normal"/>
    <w:rsid w:val="00FE01A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FE01A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FE01AE"/>
    <w:rPr>
      <w:rFonts w:ascii="Calibri" w:hAnsi="Calibri"/>
      <w:position w:val="6"/>
      <w:sz w:val="16"/>
    </w:rPr>
  </w:style>
  <w:style w:type="paragraph" w:styleId="FootnoteText">
    <w:name w:val="footnote text"/>
    <w:basedOn w:val="Normal"/>
    <w:rsid w:val="00FE01AE"/>
    <w:pPr>
      <w:keepLines/>
      <w:tabs>
        <w:tab w:val="left" w:pos="256"/>
      </w:tabs>
      <w:ind w:left="256" w:hanging="256"/>
    </w:pPr>
  </w:style>
  <w:style w:type="paragraph" w:styleId="NormalIndent">
    <w:name w:val="Normal Indent"/>
    <w:basedOn w:val="Normal"/>
    <w:rsid w:val="00FE01AE"/>
    <w:pPr>
      <w:ind w:left="567"/>
    </w:pPr>
  </w:style>
  <w:style w:type="paragraph" w:customStyle="1" w:styleId="enumlev1">
    <w:name w:val="enumlev1"/>
    <w:basedOn w:val="Normal"/>
    <w:rsid w:val="00FE01AE"/>
    <w:pPr>
      <w:spacing w:before="86"/>
      <w:ind w:left="567" w:hanging="567"/>
    </w:pPr>
  </w:style>
  <w:style w:type="paragraph" w:customStyle="1" w:styleId="enumlev2">
    <w:name w:val="enumlev2"/>
    <w:basedOn w:val="enumlev1"/>
    <w:rsid w:val="00FE01AE"/>
    <w:pPr>
      <w:ind w:left="1134"/>
    </w:pPr>
  </w:style>
  <w:style w:type="paragraph" w:customStyle="1" w:styleId="enumlev3">
    <w:name w:val="enumlev3"/>
    <w:basedOn w:val="enumlev2"/>
    <w:rsid w:val="00FE01AE"/>
    <w:pPr>
      <w:ind w:left="1701"/>
    </w:pPr>
  </w:style>
  <w:style w:type="paragraph" w:customStyle="1" w:styleId="Normalaftertitle">
    <w:name w:val="Normal after title"/>
    <w:basedOn w:val="Normal"/>
    <w:next w:val="Normal"/>
    <w:rsid w:val="00FE01AE"/>
    <w:pPr>
      <w:spacing w:before="240"/>
    </w:pPr>
  </w:style>
  <w:style w:type="paragraph" w:customStyle="1" w:styleId="Equation">
    <w:name w:val="Equation"/>
    <w:basedOn w:val="Normal"/>
    <w:rsid w:val="00FE01AE"/>
    <w:pPr>
      <w:tabs>
        <w:tab w:val="center" w:pos="4820"/>
        <w:tab w:val="right" w:pos="9639"/>
      </w:tabs>
    </w:pPr>
  </w:style>
  <w:style w:type="paragraph" w:customStyle="1" w:styleId="Head">
    <w:name w:val="Head"/>
    <w:basedOn w:val="Normal"/>
    <w:rsid w:val="00FE01AE"/>
    <w:pPr>
      <w:tabs>
        <w:tab w:val="left" w:pos="6663"/>
      </w:tabs>
      <w:overflowPunct/>
      <w:autoSpaceDE/>
      <w:autoSpaceDN/>
      <w:adjustRightInd/>
      <w:spacing w:before="0"/>
      <w:textAlignment w:val="auto"/>
    </w:pPr>
  </w:style>
  <w:style w:type="paragraph" w:customStyle="1" w:styleId="toc0">
    <w:name w:val="toc 0"/>
    <w:basedOn w:val="Normal"/>
    <w:next w:val="TOC1"/>
    <w:rsid w:val="00FE01AE"/>
    <w:pPr>
      <w:tabs>
        <w:tab w:val="clear" w:pos="567"/>
        <w:tab w:val="clear" w:pos="1134"/>
        <w:tab w:val="clear" w:pos="1701"/>
        <w:tab w:val="clear" w:pos="2268"/>
        <w:tab w:val="clear" w:pos="2835"/>
        <w:tab w:val="right" w:pos="9781"/>
      </w:tabs>
    </w:pPr>
    <w:rPr>
      <w:b/>
    </w:rPr>
  </w:style>
  <w:style w:type="paragraph" w:styleId="List">
    <w:name w:val="List"/>
    <w:basedOn w:val="Normal"/>
    <w:rsid w:val="00FE01AE"/>
    <w:pPr>
      <w:tabs>
        <w:tab w:val="left" w:pos="2127"/>
      </w:tabs>
      <w:ind w:left="2127" w:hanging="2127"/>
    </w:pPr>
  </w:style>
  <w:style w:type="paragraph" w:customStyle="1" w:styleId="Part">
    <w:name w:val="Part"/>
    <w:basedOn w:val="Normal"/>
    <w:next w:val="Normal"/>
    <w:rsid w:val="00FE01A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E01AE"/>
    <w:pPr>
      <w:spacing w:before="840"/>
      <w:jc w:val="center"/>
    </w:pPr>
    <w:rPr>
      <w:b/>
      <w:sz w:val="28"/>
    </w:rPr>
  </w:style>
  <w:style w:type="paragraph" w:customStyle="1" w:styleId="meeting">
    <w:name w:val="meeting"/>
    <w:basedOn w:val="Head"/>
    <w:next w:val="Head"/>
    <w:rsid w:val="00FE01AE"/>
    <w:pPr>
      <w:tabs>
        <w:tab w:val="left" w:pos="7371"/>
      </w:tabs>
      <w:spacing w:after="567"/>
    </w:pPr>
  </w:style>
  <w:style w:type="paragraph" w:customStyle="1" w:styleId="Subject">
    <w:name w:val="Subject"/>
    <w:basedOn w:val="Normal"/>
    <w:next w:val="Source"/>
    <w:rsid w:val="00FE01AE"/>
    <w:pPr>
      <w:spacing w:before="0"/>
      <w:ind w:left="1134" w:hanging="1134"/>
    </w:pPr>
  </w:style>
  <w:style w:type="paragraph" w:customStyle="1" w:styleId="Object">
    <w:name w:val="Object"/>
    <w:basedOn w:val="Subject"/>
    <w:next w:val="Subject"/>
    <w:rsid w:val="00FE01AE"/>
  </w:style>
  <w:style w:type="paragraph" w:customStyle="1" w:styleId="Data">
    <w:name w:val="Data"/>
    <w:basedOn w:val="Subject"/>
    <w:next w:val="Subject"/>
    <w:rsid w:val="00FE01AE"/>
  </w:style>
  <w:style w:type="paragraph" w:customStyle="1" w:styleId="Reasons">
    <w:name w:val="Reasons"/>
    <w:basedOn w:val="Normal"/>
    <w:rsid w:val="00FE01AE"/>
  </w:style>
  <w:style w:type="character" w:styleId="Hyperlink">
    <w:name w:val="Hyperlink"/>
    <w:basedOn w:val="DefaultParagraphFont"/>
    <w:rsid w:val="00FE01AE"/>
    <w:rPr>
      <w:color w:val="0000FF"/>
      <w:u w:val="single"/>
    </w:rPr>
  </w:style>
  <w:style w:type="paragraph" w:customStyle="1" w:styleId="FirstFooter">
    <w:name w:val="FirstFooter"/>
    <w:basedOn w:val="Footer"/>
    <w:rsid w:val="00FE01AE"/>
    <w:rPr>
      <w:caps w:val="0"/>
    </w:rPr>
  </w:style>
  <w:style w:type="paragraph" w:customStyle="1" w:styleId="Note">
    <w:name w:val="Note"/>
    <w:basedOn w:val="Normal"/>
    <w:rsid w:val="00FE01AE"/>
    <w:pPr>
      <w:tabs>
        <w:tab w:val="clear" w:pos="567"/>
        <w:tab w:val="left" w:pos="851"/>
      </w:tabs>
    </w:pPr>
  </w:style>
  <w:style w:type="paragraph" w:styleId="TOC9">
    <w:name w:val="toc 9"/>
    <w:basedOn w:val="TOC4"/>
    <w:rsid w:val="00FE01AE"/>
  </w:style>
  <w:style w:type="paragraph" w:customStyle="1" w:styleId="Headingb">
    <w:name w:val="Heading_b"/>
    <w:basedOn w:val="Heading3"/>
    <w:next w:val="Normal"/>
    <w:rsid w:val="00FE01AE"/>
    <w:pPr>
      <w:spacing w:before="160"/>
      <w:outlineLvl w:val="0"/>
    </w:pPr>
  </w:style>
  <w:style w:type="character" w:styleId="FollowedHyperlink">
    <w:name w:val="FollowedHyperlink"/>
    <w:basedOn w:val="DefaultParagraphFont"/>
    <w:rsid w:val="00FE01AE"/>
    <w:rPr>
      <w:color w:val="800080"/>
      <w:u w:val="single"/>
    </w:rPr>
  </w:style>
  <w:style w:type="paragraph" w:customStyle="1" w:styleId="Title1">
    <w:name w:val="Title 1"/>
    <w:basedOn w:val="Source"/>
    <w:next w:val="Title2"/>
    <w:rsid w:val="00FE01AE"/>
    <w:pPr>
      <w:spacing w:before="240"/>
    </w:pPr>
    <w:rPr>
      <w:b w:val="0"/>
      <w:caps/>
    </w:rPr>
  </w:style>
  <w:style w:type="paragraph" w:customStyle="1" w:styleId="Title2">
    <w:name w:val="Title 2"/>
    <w:basedOn w:val="Source"/>
    <w:next w:val="Title3"/>
    <w:rsid w:val="00FE01AE"/>
    <w:pPr>
      <w:spacing w:before="240"/>
    </w:pPr>
    <w:rPr>
      <w:b w:val="0"/>
      <w:caps/>
    </w:rPr>
  </w:style>
  <w:style w:type="paragraph" w:customStyle="1" w:styleId="Title3">
    <w:name w:val="Title 3"/>
    <w:basedOn w:val="Title2"/>
    <w:next w:val="Normalaftertitle"/>
    <w:rsid w:val="00FE01AE"/>
    <w:rPr>
      <w:caps w:val="0"/>
    </w:rPr>
  </w:style>
  <w:style w:type="paragraph" w:customStyle="1" w:styleId="Title4">
    <w:name w:val="Title 4"/>
    <w:basedOn w:val="Title3"/>
    <w:next w:val="Heading1"/>
    <w:rsid w:val="00FE01AE"/>
    <w:rPr>
      <w:b/>
    </w:rPr>
  </w:style>
  <w:style w:type="paragraph" w:customStyle="1" w:styleId="dnum">
    <w:name w:val="dnum"/>
    <w:basedOn w:val="Normal"/>
    <w:rsid w:val="00FE01AE"/>
    <w:pPr>
      <w:framePr w:hSpace="181" w:wrap="around" w:vAnchor="page" w:hAnchor="margin" w:y="852"/>
      <w:shd w:val="solid" w:color="FFFFFF" w:fill="FFFFFF"/>
      <w:tabs>
        <w:tab w:val="left" w:pos="1871"/>
      </w:tabs>
    </w:pPr>
    <w:rPr>
      <w:b/>
      <w:bCs/>
    </w:rPr>
  </w:style>
  <w:style w:type="paragraph" w:customStyle="1" w:styleId="ddate">
    <w:name w:val="ddate"/>
    <w:basedOn w:val="Normal"/>
    <w:rsid w:val="00FE01AE"/>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FE01AE"/>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FE01AE"/>
    <w:pPr>
      <w:spacing w:before="720"/>
      <w:jc w:val="center"/>
    </w:pPr>
    <w:rPr>
      <w:caps/>
      <w:sz w:val="28"/>
    </w:rPr>
  </w:style>
  <w:style w:type="paragraph" w:customStyle="1" w:styleId="Annextitle">
    <w:name w:val="Annex_title"/>
    <w:basedOn w:val="Normal"/>
    <w:next w:val="Normal"/>
    <w:rsid w:val="00FE01AE"/>
    <w:pPr>
      <w:spacing w:before="240" w:after="240"/>
      <w:jc w:val="center"/>
    </w:pPr>
    <w:rPr>
      <w:b/>
      <w:sz w:val="28"/>
    </w:rPr>
  </w:style>
  <w:style w:type="paragraph" w:customStyle="1" w:styleId="Annexref">
    <w:name w:val="Annex_ref"/>
    <w:basedOn w:val="Normal"/>
    <w:next w:val="Annextitle"/>
    <w:rsid w:val="00FE01AE"/>
    <w:pPr>
      <w:jc w:val="center"/>
    </w:pPr>
  </w:style>
  <w:style w:type="paragraph" w:customStyle="1" w:styleId="AppendixNo">
    <w:name w:val="Appendix_No"/>
    <w:basedOn w:val="AnnexNo"/>
    <w:next w:val="Appendixref"/>
    <w:rsid w:val="00FE01AE"/>
  </w:style>
  <w:style w:type="paragraph" w:customStyle="1" w:styleId="Appendixtitle">
    <w:name w:val="Appendix_title"/>
    <w:basedOn w:val="Annextitle"/>
    <w:next w:val="Normal"/>
    <w:rsid w:val="00FE01AE"/>
  </w:style>
  <w:style w:type="paragraph" w:customStyle="1" w:styleId="Appendixref">
    <w:name w:val="Appendix_ref"/>
    <w:basedOn w:val="Annexref"/>
    <w:next w:val="Appendixtitle"/>
    <w:rsid w:val="00FE01AE"/>
  </w:style>
  <w:style w:type="paragraph" w:customStyle="1" w:styleId="Call">
    <w:name w:val="Call"/>
    <w:basedOn w:val="Normal"/>
    <w:next w:val="Normal"/>
    <w:rsid w:val="00FE01A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FE01AE"/>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E01AE"/>
    <w:pPr>
      <w:keepNext/>
      <w:keepLines/>
      <w:spacing w:after="120"/>
      <w:jc w:val="center"/>
    </w:pPr>
  </w:style>
  <w:style w:type="paragraph" w:customStyle="1" w:styleId="Figuretitle">
    <w:name w:val="Figure_title"/>
    <w:basedOn w:val="Tabletitle"/>
    <w:next w:val="Normalaftertitle"/>
    <w:rsid w:val="00FE01AE"/>
    <w:pPr>
      <w:spacing w:before="240" w:after="480"/>
    </w:pPr>
  </w:style>
  <w:style w:type="paragraph" w:customStyle="1" w:styleId="Tabletitle">
    <w:name w:val="Table_title"/>
    <w:basedOn w:val="TableNo"/>
    <w:next w:val="Tabletext"/>
    <w:rsid w:val="00FE01A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E01AE"/>
    <w:pPr>
      <w:keepNext/>
      <w:spacing w:before="560" w:after="120"/>
      <w:jc w:val="center"/>
    </w:pPr>
    <w:rPr>
      <w:caps/>
    </w:rPr>
  </w:style>
  <w:style w:type="paragraph" w:customStyle="1" w:styleId="Tabletext">
    <w:name w:val="Table_text"/>
    <w:basedOn w:val="Normal"/>
    <w:rsid w:val="00FE01A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FE01AE"/>
    <w:pPr>
      <w:keepNext/>
      <w:keepLines/>
      <w:spacing w:before="20" w:after="20"/>
    </w:pPr>
    <w:rPr>
      <w:sz w:val="18"/>
    </w:rPr>
  </w:style>
  <w:style w:type="paragraph" w:customStyle="1" w:styleId="FigureNo">
    <w:name w:val="Figure_No"/>
    <w:basedOn w:val="Normal"/>
    <w:next w:val="Figuretitle"/>
    <w:rsid w:val="00FE01AE"/>
    <w:pPr>
      <w:keepNext/>
      <w:keepLines/>
      <w:spacing w:before="240" w:after="120"/>
      <w:jc w:val="center"/>
    </w:pPr>
    <w:rPr>
      <w:caps/>
    </w:rPr>
  </w:style>
  <w:style w:type="paragraph" w:customStyle="1" w:styleId="Figurewithouttitle">
    <w:name w:val="Figure_without_title"/>
    <w:basedOn w:val="Figure"/>
    <w:next w:val="Normalaftertitle"/>
    <w:rsid w:val="00FE01AE"/>
    <w:pPr>
      <w:keepNext w:val="0"/>
      <w:spacing w:after="240"/>
    </w:pPr>
  </w:style>
  <w:style w:type="paragraph" w:customStyle="1" w:styleId="Headingi">
    <w:name w:val="Heading_i"/>
    <w:basedOn w:val="Heading3"/>
    <w:next w:val="Normal"/>
    <w:rsid w:val="00FE01AE"/>
    <w:pPr>
      <w:spacing w:before="160"/>
      <w:outlineLvl w:val="0"/>
    </w:pPr>
    <w:rPr>
      <w:rFonts w:asciiTheme="minorHAnsi" w:hAnsiTheme="minorHAnsi"/>
      <w:b w:val="0"/>
      <w:i/>
    </w:rPr>
  </w:style>
  <w:style w:type="character" w:styleId="PageNumber">
    <w:name w:val="page number"/>
    <w:basedOn w:val="DefaultParagraphFont"/>
    <w:rsid w:val="00FE01AE"/>
    <w:rPr>
      <w:rFonts w:ascii="Calibri" w:hAnsi="Calibri"/>
    </w:rPr>
  </w:style>
  <w:style w:type="paragraph" w:customStyle="1" w:styleId="PartNo">
    <w:name w:val="Part_No"/>
    <w:basedOn w:val="AnnexNo"/>
    <w:next w:val="Parttitle"/>
    <w:rsid w:val="00FE01AE"/>
  </w:style>
  <w:style w:type="paragraph" w:customStyle="1" w:styleId="Parttitle">
    <w:name w:val="Part_title"/>
    <w:basedOn w:val="Annextitle"/>
    <w:next w:val="Partref"/>
    <w:rsid w:val="00FE01AE"/>
  </w:style>
  <w:style w:type="paragraph" w:customStyle="1" w:styleId="Partref">
    <w:name w:val="Part_ref"/>
    <w:basedOn w:val="Annexref"/>
    <w:next w:val="Normalaftertitle"/>
    <w:rsid w:val="00FE01AE"/>
  </w:style>
  <w:style w:type="paragraph" w:customStyle="1" w:styleId="RecNo">
    <w:name w:val="Rec_No"/>
    <w:basedOn w:val="Normal"/>
    <w:next w:val="Rectitle"/>
    <w:rsid w:val="00FE01AE"/>
    <w:pPr>
      <w:spacing w:before="720"/>
      <w:jc w:val="center"/>
    </w:pPr>
    <w:rPr>
      <w:caps/>
      <w:sz w:val="28"/>
    </w:rPr>
  </w:style>
  <w:style w:type="paragraph" w:customStyle="1" w:styleId="Rectitle">
    <w:name w:val="Rec_title"/>
    <w:basedOn w:val="Normal"/>
    <w:next w:val="Heading1"/>
    <w:rsid w:val="00FE01AE"/>
    <w:pPr>
      <w:spacing w:before="240"/>
      <w:jc w:val="center"/>
    </w:pPr>
    <w:rPr>
      <w:b/>
      <w:sz w:val="28"/>
    </w:rPr>
  </w:style>
  <w:style w:type="paragraph" w:customStyle="1" w:styleId="Recref">
    <w:name w:val="Rec_ref"/>
    <w:basedOn w:val="Rectitle"/>
    <w:next w:val="Recdate"/>
    <w:rsid w:val="00FE01AE"/>
    <w:pPr>
      <w:spacing w:before="120"/>
    </w:pPr>
    <w:rPr>
      <w:rFonts w:ascii="Times New Roman" w:hAnsi="Times New Roman"/>
      <w:b w:val="0"/>
      <w:sz w:val="24"/>
    </w:rPr>
  </w:style>
  <w:style w:type="paragraph" w:customStyle="1" w:styleId="Recdate">
    <w:name w:val="Rec_date"/>
    <w:basedOn w:val="Recref"/>
    <w:next w:val="Normalaftertitle"/>
    <w:rsid w:val="00FE01AE"/>
    <w:pPr>
      <w:jc w:val="right"/>
    </w:pPr>
    <w:rPr>
      <w:sz w:val="22"/>
    </w:rPr>
  </w:style>
  <w:style w:type="paragraph" w:customStyle="1" w:styleId="Questiondate">
    <w:name w:val="Question_date"/>
    <w:basedOn w:val="Recdate"/>
    <w:next w:val="Normalaftertitle"/>
    <w:rsid w:val="00FE01AE"/>
  </w:style>
  <w:style w:type="paragraph" w:customStyle="1" w:styleId="QuestionNo">
    <w:name w:val="Question_No"/>
    <w:basedOn w:val="RecNo"/>
    <w:next w:val="Questiontitle"/>
    <w:rsid w:val="00FE01AE"/>
  </w:style>
  <w:style w:type="paragraph" w:customStyle="1" w:styleId="Questionref">
    <w:name w:val="Question_ref"/>
    <w:basedOn w:val="Recref"/>
    <w:next w:val="Questiondate"/>
    <w:rsid w:val="00FE01AE"/>
  </w:style>
  <w:style w:type="paragraph" w:customStyle="1" w:styleId="Questiontitle">
    <w:name w:val="Question_title"/>
    <w:basedOn w:val="Rectitle"/>
    <w:next w:val="Questionref"/>
    <w:rsid w:val="00FE01AE"/>
  </w:style>
  <w:style w:type="paragraph" w:customStyle="1" w:styleId="Reftext">
    <w:name w:val="Ref_text"/>
    <w:basedOn w:val="Normal"/>
    <w:rsid w:val="00FE01AE"/>
    <w:pPr>
      <w:ind w:left="567" w:hanging="567"/>
    </w:pPr>
  </w:style>
  <w:style w:type="paragraph" w:customStyle="1" w:styleId="Reftitle">
    <w:name w:val="Ref_title"/>
    <w:basedOn w:val="Normal"/>
    <w:next w:val="Reftext"/>
    <w:rsid w:val="00FE01AE"/>
    <w:pPr>
      <w:spacing w:before="480"/>
      <w:jc w:val="center"/>
    </w:pPr>
    <w:rPr>
      <w:caps/>
      <w:sz w:val="28"/>
    </w:rPr>
  </w:style>
  <w:style w:type="paragraph" w:customStyle="1" w:styleId="Repdate">
    <w:name w:val="Rep_date"/>
    <w:basedOn w:val="Recdate"/>
    <w:next w:val="Normalaftertitle"/>
    <w:rsid w:val="00FE01AE"/>
  </w:style>
  <w:style w:type="paragraph" w:customStyle="1" w:styleId="RepNo">
    <w:name w:val="Rep_No"/>
    <w:basedOn w:val="RecNo"/>
    <w:next w:val="Reptitle"/>
    <w:rsid w:val="00FE01AE"/>
  </w:style>
  <w:style w:type="paragraph" w:customStyle="1" w:styleId="Reptitle">
    <w:name w:val="Rep_title"/>
    <w:basedOn w:val="Rectitle"/>
    <w:next w:val="Repref"/>
    <w:rsid w:val="00FE01AE"/>
  </w:style>
  <w:style w:type="paragraph" w:customStyle="1" w:styleId="Repref">
    <w:name w:val="Rep_ref"/>
    <w:basedOn w:val="Recref"/>
    <w:next w:val="Repdate"/>
    <w:rsid w:val="00FE01AE"/>
  </w:style>
  <w:style w:type="paragraph" w:customStyle="1" w:styleId="Resdate">
    <w:name w:val="Res_date"/>
    <w:basedOn w:val="Recdate"/>
    <w:next w:val="Normalaftertitle"/>
    <w:rsid w:val="00FE01AE"/>
  </w:style>
  <w:style w:type="paragraph" w:customStyle="1" w:styleId="ResNo">
    <w:name w:val="Res_No"/>
    <w:basedOn w:val="AnnexNo"/>
    <w:next w:val="Restitle"/>
    <w:rsid w:val="00FE01AE"/>
  </w:style>
  <w:style w:type="paragraph" w:customStyle="1" w:styleId="Restitle">
    <w:name w:val="Res_title"/>
    <w:basedOn w:val="Annextitle"/>
    <w:next w:val="Normal"/>
    <w:rsid w:val="00FE01AE"/>
  </w:style>
  <w:style w:type="paragraph" w:customStyle="1" w:styleId="Resref">
    <w:name w:val="Res_ref"/>
    <w:basedOn w:val="Recref"/>
    <w:next w:val="Resdate"/>
    <w:rsid w:val="00FE01AE"/>
  </w:style>
  <w:style w:type="paragraph" w:customStyle="1" w:styleId="SectionNo">
    <w:name w:val="Section_No"/>
    <w:basedOn w:val="AnnexNo"/>
    <w:next w:val="Sectiontitle"/>
    <w:rsid w:val="00FE01AE"/>
  </w:style>
  <w:style w:type="paragraph" w:customStyle="1" w:styleId="Sectiontitle">
    <w:name w:val="Section_title"/>
    <w:basedOn w:val="Normal"/>
    <w:next w:val="Normalaftertitle"/>
    <w:rsid w:val="00FE01AE"/>
    <w:rPr>
      <w:sz w:val="28"/>
    </w:rPr>
  </w:style>
  <w:style w:type="paragraph" w:customStyle="1" w:styleId="SpecialFooter">
    <w:name w:val="Special Footer"/>
    <w:basedOn w:val="Footer"/>
    <w:rsid w:val="00FE01A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FE01AE"/>
    <w:pPr>
      <w:spacing w:before="120" w:after="120"/>
      <w:jc w:val="center"/>
    </w:pPr>
    <w:rPr>
      <w:b/>
    </w:rPr>
  </w:style>
  <w:style w:type="paragraph" w:customStyle="1" w:styleId="Tablelegend">
    <w:name w:val="Table_legend"/>
    <w:basedOn w:val="Tabletext"/>
    <w:rsid w:val="00FE01AE"/>
    <w:pPr>
      <w:spacing w:before="120"/>
    </w:pPr>
  </w:style>
  <w:style w:type="paragraph" w:customStyle="1" w:styleId="Tableref">
    <w:name w:val="Table_ref"/>
    <w:basedOn w:val="Normal"/>
    <w:next w:val="Tabletitle"/>
    <w:rsid w:val="00FE01AE"/>
    <w:pPr>
      <w:keepNext/>
      <w:spacing w:before="567"/>
      <w:jc w:val="center"/>
    </w:pPr>
  </w:style>
  <w:style w:type="paragraph" w:customStyle="1" w:styleId="Artheading">
    <w:name w:val="Art_heading"/>
    <w:basedOn w:val="Normal"/>
    <w:next w:val="Normalaftertitle"/>
    <w:rsid w:val="00FE01A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FE01A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E01A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FE01AE"/>
  </w:style>
  <w:style w:type="paragraph" w:customStyle="1" w:styleId="Chaptitle">
    <w:name w:val="Chap_title"/>
    <w:basedOn w:val="Arttitle"/>
    <w:next w:val="Normal"/>
    <w:rsid w:val="00FE01AE"/>
  </w:style>
  <w:style w:type="paragraph" w:customStyle="1" w:styleId="Table">
    <w:name w:val="Table_#"/>
    <w:basedOn w:val="Normal"/>
    <w:next w:val="Normal"/>
    <w:rsid w:val="00FE01A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CF55DE"/>
    <w:pPr>
      <w:ind w:left="720"/>
      <w:contextualSpacing/>
    </w:pPr>
  </w:style>
  <w:style w:type="character" w:customStyle="1" w:styleId="UnresolvedMention1">
    <w:name w:val="Unresolved Mention1"/>
    <w:basedOn w:val="DefaultParagraphFont"/>
    <w:uiPriority w:val="99"/>
    <w:semiHidden/>
    <w:unhideWhenUsed/>
    <w:rsid w:val="00F56995"/>
    <w:rPr>
      <w:color w:val="605E5C"/>
      <w:shd w:val="clear" w:color="auto" w:fill="E1DFDD"/>
    </w:rPr>
  </w:style>
  <w:style w:type="paragraph" w:styleId="BalloonText">
    <w:name w:val="Balloon Text"/>
    <w:basedOn w:val="Normal"/>
    <w:link w:val="BalloonTextChar"/>
    <w:semiHidden/>
    <w:unhideWhenUsed/>
    <w:rsid w:val="007C4B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4B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075">
      <w:bodyDiv w:val="1"/>
      <w:marLeft w:val="0"/>
      <w:marRight w:val="0"/>
      <w:marTop w:val="0"/>
      <w:marBottom w:val="0"/>
      <w:divBdr>
        <w:top w:val="none" w:sz="0" w:space="0" w:color="auto"/>
        <w:left w:val="none" w:sz="0" w:space="0" w:color="auto"/>
        <w:bottom w:val="none" w:sz="0" w:space="0" w:color="auto"/>
        <w:right w:val="none" w:sz="0" w:space="0" w:color="auto"/>
      </w:divBdr>
    </w:div>
    <w:div w:id="170950399">
      <w:bodyDiv w:val="1"/>
      <w:marLeft w:val="0"/>
      <w:marRight w:val="0"/>
      <w:marTop w:val="0"/>
      <w:marBottom w:val="0"/>
      <w:divBdr>
        <w:top w:val="none" w:sz="0" w:space="0" w:color="auto"/>
        <w:left w:val="none" w:sz="0" w:space="0" w:color="auto"/>
        <w:bottom w:val="none" w:sz="0" w:space="0" w:color="auto"/>
        <w:right w:val="none" w:sz="0" w:space="0" w:color="auto"/>
      </w:divBdr>
    </w:div>
    <w:div w:id="1372338516">
      <w:bodyDiv w:val="1"/>
      <w:marLeft w:val="0"/>
      <w:marRight w:val="0"/>
      <w:marTop w:val="0"/>
      <w:marBottom w:val="0"/>
      <w:divBdr>
        <w:top w:val="none" w:sz="0" w:space="0" w:color="auto"/>
        <w:left w:val="none" w:sz="0" w:space="0" w:color="auto"/>
        <w:bottom w:val="none" w:sz="0" w:space="0" w:color="auto"/>
        <w:right w:val="none" w:sz="0" w:space="0" w:color="auto"/>
      </w:divBdr>
    </w:div>
    <w:div w:id="1553033367">
      <w:bodyDiv w:val="1"/>
      <w:marLeft w:val="0"/>
      <w:marRight w:val="0"/>
      <w:marTop w:val="0"/>
      <w:marBottom w:val="0"/>
      <w:divBdr>
        <w:top w:val="none" w:sz="0" w:space="0" w:color="auto"/>
        <w:left w:val="none" w:sz="0" w:space="0" w:color="auto"/>
        <w:bottom w:val="none" w:sz="0" w:space="0" w:color="auto"/>
        <w:right w:val="none" w:sz="0" w:space="0" w:color="auto"/>
      </w:divBdr>
    </w:div>
    <w:div w:id="1566145656">
      <w:bodyDiv w:val="1"/>
      <w:marLeft w:val="0"/>
      <w:marRight w:val="0"/>
      <w:marTop w:val="0"/>
      <w:marBottom w:val="0"/>
      <w:divBdr>
        <w:top w:val="none" w:sz="0" w:space="0" w:color="auto"/>
        <w:left w:val="none" w:sz="0" w:space="0" w:color="auto"/>
        <w:bottom w:val="none" w:sz="0" w:space="0" w:color="auto"/>
        <w:right w:val="none" w:sz="0" w:space="0" w:color="auto"/>
      </w:divBdr>
    </w:div>
    <w:div w:id="1577124865">
      <w:bodyDiv w:val="1"/>
      <w:marLeft w:val="0"/>
      <w:marRight w:val="0"/>
      <w:marTop w:val="0"/>
      <w:marBottom w:val="0"/>
      <w:divBdr>
        <w:top w:val="none" w:sz="0" w:space="0" w:color="auto"/>
        <w:left w:val="none" w:sz="0" w:space="0" w:color="auto"/>
        <w:bottom w:val="none" w:sz="0" w:space="0" w:color="auto"/>
        <w:right w:val="none" w:sz="0" w:space="0" w:color="auto"/>
      </w:divBdr>
    </w:div>
    <w:div w:id="1773357324">
      <w:bodyDiv w:val="1"/>
      <w:marLeft w:val="0"/>
      <w:marRight w:val="0"/>
      <w:marTop w:val="0"/>
      <w:marBottom w:val="0"/>
      <w:divBdr>
        <w:top w:val="none" w:sz="0" w:space="0" w:color="auto"/>
        <w:left w:val="none" w:sz="0" w:space="0" w:color="auto"/>
        <w:bottom w:val="none" w:sz="0" w:space="0" w:color="auto"/>
        <w:right w:val="none" w:sz="0" w:space="0" w:color="auto"/>
      </w:divBdr>
    </w:div>
    <w:div w:id="1787308605">
      <w:bodyDiv w:val="1"/>
      <w:marLeft w:val="0"/>
      <w:marRight w:val="0"/>
      <w:marTop w:val="0"/>
      <w:marBottom w:val="0"/>
      <w:divBdr>
        <w:top w:val="none" w:sz="0" w:space="0" w:color="auto"/>
        <w:left w:val="none" w:sz="0" w:space="0" w:color="auto"/>
        <w:bottom w:val="none" w:sz="0" w:space="0" w:color="auto"/>
        <w:right w:val="none" w:sz="0" w:space="0" w:color="auto"/>
      </w:divBdr>
    </w:div>
    <w:div w:id="1836843455">
      <w:bodyDiv w:val="1"/>
      <w:marLeft w:val="0"/>
      <w:marRight w:val="0"/>
      <w:marTop w:val="0"/>
      <w:marBottom w:val="0"/>
      <w:divBdr>
        <w:top w:val="none" w:sz="0" w:space="0" w:color="auto"/>
        <w:left w:val="none" w:sz="0" w:space="0" w:color="auto"/>
        <w:bottom w:val="none" w:sz="0" w:space="0" w:color="auto"/>
        <w:right w:val="none" w:sz="0" w:space="0" w:color="auto"/>
      </w:divBdr>
    </w:div>
    <w:div w:id="1882202718">
      <w:bodyDiv w:val="1"/>
      <w:marLeft w:val="0"/>
      <w:marRight w:val="0"/>
      <w:marTop w:val="0"/>
      <w:marBottom w:val="0"/>
      <w:divBdr>
        <w:top w:val="none" w:sz="0" w:space="0" w:color="auto"/>
        <w:left w:val="none" w:sz="0" w:space="0" w:color="auto"/>
        <w:bottom w:val="none" w:sz="0" w:space="0" w:color="auto"/>
        <w:right w:val="none" w:sz="0" w:space="0" w:color="auto"/>
      </w:divBdr>
    </w:div>
    <w:div w:id="1912350448">
      <w:bodyDiv w:val="1"/>
      <w:marLeft w:val="0"/>
      <w:marRight w:val="0"/>
      <w:marTop w:val="0"/>
      <w:marBottom w:val="0"/>
      <w:divBdr>
        <w:top w:val="none" w:sz="0" w:space="0" w:color="auto"/>
        <w:left w:val="none" w:sz="0" w:space="0" w:color="auto"/>
        <w:bottom w:val="none" w:sz="0" w:space="0" w:color="auto"/>
        <w:right w:val="none" w:sz="0" w:space="0" w:color="auto"/>
      </w:divBdr>
    </w:div>
    <w:div w:id="19489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S21-CWGSFP1-C-0011/en" TargetMode="External"/><Relationship Id="rId26" Type="http://schemas.openxmlformats.org/officeDocument/2006/relationships/hyperlink" Target="https://www.itu.int/md/S21-CWGSFP1-C-0009/en" TargetMode="External"/><Relationship Id="rId39" Type="http://schemas.openxmlformats.org/officeDocument/2006/relationships/header" Target="header2.xml"/><Relationship Id="rId21" Type="http://schemas.openxmlformats.org/officeDocument/2006/relationships/hyperlink" Target="https://www.itu.int/md/S21-CWGSFP1-C-0005/en" TargetMode="External"/><Relationship Id="rId34" Type="http://schemas.openxmlformats.org/officeDocument/2006/relationships/hyperlink" Target="https://www.itu.int/md/S21-CWGSFP1-C-0007/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WGSFP1-C-0005/en" TargetMode="External"/><Relationship Id="rId20" Type="http://schemas.openxmlformats.org/officeDocument/2006/relationships/hyperlink" Target="https://www.itu.int/md/S21-CWGSFP1-C-0011/en" TargetMode="External"/><Relationship Id="rId29" Type="http://schemas.openxmlformats.org/officeDocument/2006/relationships/hyperlink" Target="https://www.itu.int/md/S21-CWGSFP1-C-000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1-CWGSFP1-C-0011/en" TargetMode="External"/><Relationship Id="rId32" Type="http://schemas.openxmlformats.org/officeDocument/2006/relationships/hyperlink" Target="https://www.itu.int/md/S21-CWGSFP1-C-0008/en" TargetMode="External"/><Relationship Id="rId37" Type="http://schemas.openxmlformats.org/officeDocument/2006/relationships/hyperlink" Target="https://www.itu.int/md/S21-CWGSFP1-C-0007/en"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S21-CWGSFP1-C-0011/en" TargetMode="External"/><Relationship Id="rId23" Type="http://schemas.openxmlformats.org/officeDocument/2006/relationships/hyperlink" Target="https://www.itu.int/md/S21-CWGSFP1-C-0008/en" TargetMode="External"/><Relationship Id="rId28" Type="http://schemas.openxmlformats.org/officeDocument/2006/relationships/hyperlink" Target="https://www.itu.int/md/S21-CWGSFP1-C-0011/en" TargetMode="External"/><Relationship Id="rId36" Type="http://schemas.openxmlformats.org/officeDocument/2006/relationships/hyperlink" Target="https://www.itu.int/md/S21-CWGSFP1-C-0005/en" TargetMode="External"/><Relationship Id="rId10" Type="http://schemas.openxmlformats.org/officeDocument/2006/relationships/endnotes" Target="endnotes.xml"/><Relationship Id="rId19" Type="http://schemas.openxmlformats.org/officeDocument/2006/relationships/hyperlink" Target="https://www.itu.int/md/S21-CWGSFP1-C-0005/en" TargetMode="External"/><Relationship Id="rId31" Type="http://schemas.openxmlformats.org/officeDocument/2006/relationships/hyperlink" Target="https://www.itu.int/md/S21-CWGSFP1-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md/S21-CWGSFP1-C-0007/en" TargetMode="External"/><Relationship Id="rId27" Type="http://schemas.openxmlformats.org/officeDocument/2006/relationships/hyperlink" Target="https://www.itu.int/md/S21-CWGSFP1-C-0010/en" TargetMode="External"/><Relationship Id="rId30" Type="http://schemas.openxmlformats.org/officeDocument/2006/relationships/hyperlink" Target="https://www.itu.int/md/S21-CWGSFP1-C-0008/en" TargetMode="External"/><Relationship Id="rId35" Type="http://schemas.openxmlformats.org/officeDocument/2006/relationships/hyperlink" Target="https://www.itu.int/md/S21-CWGSFP1-C-0011/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tu.int/md/S21-CWGSFP1-C-0008/en" TargetMode="External"/><Relationship Id="rId25" Type="http://schemas.openxmlformats.org/officeDocument/2006/relationships/hyperlink" Target="https://www.itu.int/md/S21-CWGSFP1-C-0008/en" TargetMode="External"/><Relationship Id="rId33" Type="http://schemas.openxmlformats.org/officeDocument/2006/relationships/hyperlink" Target="https://www.itu.int/md/S21-CWGSFP1-C-0011/en" TargetMode="External"/><Relationship Id="rId38" Type="http://schemas.openxmlformats.org/officeDocument/2006/relationships/hyperlink" Target="https://www.itu.int/md/S21-CWGSFP1-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B9D72B39CC247BEE4EBE574240AC6" ma:contentTypeVersion="10" ma:contentTypeDescription="Create a new document." ma:contentTypeScope="" ma:versionID="dc6ecea881beabe0015da9838f1599b9">
  <xsd:schema xmlns:xsd="http://www.w3.org/2001/XMLSchema" xmlns:xs="http://www.w3.org/2001/XMLSchema" xmlns:p="http://schemas.microsoft.com/office/2006/metadata/properties" xmlns:ns2="63effc93-5521-450c-a191-d32f33c5daf7" xmlns:ns3="d60d5874-bcf1-41b4-8aeb-45d22d1933a0" targetNamespace="http://schemas.microsoft.com/office/2006/metadata/properties" ma:root="true" ma:fieldsID="649233bdb22cea39b17fc4687879db86" ns2:_="" ns3:_="">
    <xsd:import namespace="63effc93-5521-450c-a191-d32f33c5daf7"/>
    <xsd:import namespace="d60d5874-bcf1-41b4-8aeb-45d22d1933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fc93-5521-450c-a191-d32f33c5d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d5874-bcf1-41b4-8aeb-45d22d193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C8E52-5F0F-42A4-87BB-26D4D062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fc93-5521-450c-a191-d32f33c5daf7"/>
    <ds:schemaRef ds:uri="d60d5874-bcf1-41b4-8aeb-45d22d193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61B80-821A-4202-8FB9-A200B85E5D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0B2AD-CC4D-414D-BEE6-F56DBD5096B6}">
  <ds:schemaRefs>
    <ds:schemaRef ds:uri="http://schemas.openxmlformats.org/officeDocument/2006/bibliography"/>
  </ds:schemaRefs>
</ds:datastoreItem>
</file>

<file path=customXml/itemProps4.xml><?xml version="1.0" encoding="utf-8"?>
<ds:datastoreItem xmlns:ds="http://schemas.openxmlformats.org/officeDocument/2006/customXml" ds:itemID="{F95A80DB-79EB-45B7-A8E9-C91C8CC19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PE_C21.dotx</Template>
  <TotalTime>10</TotalTime>
  <Pages>9</Pages>
  <Words>2942</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Contribution by CWG-SFP Chair</vt:lpstr>
    </vt:vector>
  </TitlesOfParts>
  <Manager>General Secretariat - Pool</Manager>
  <Company>International Telecommunication Union (ITU)</Company>
  <LinksUpToDate>false</LinksUpToDate>
  <CharactersWithSpaces>21032</CharactersWithSpaces>
  <SharedDoc>false</SharedDoc>
  <HLinks>
    <vt:vector size="150" baseType="variant">
      <vt:variant>
        <vt:i4>262149</vt:i4>
      </vt:variant>
      <vt:variant>
        <vt:i4>69</vt:i4>
      </vt:variant>
      <vt:variant>
        <vt:i4>0</vt:i4>
      </vt:variant>
      <vt:variant>
        <vt:i4>5</vt:i4>
      </vt:variant>
      <vt:variant>
        <vt:lpwstr>https://www.itu.int/md/S21-CWGSFP1-C-0008/en</vt:lpwstr>
      </vt:variant>
      <vt:variant>
        <vt:lpwstr/>
      </vt:variant>
      <vt:variant>
        <vt:i4>262154</vt:i4>
      </vt:variant>
      <vt:variant>
        <vt:i4>66</vt:i4>
      </vt:variant>
      <vt:variant>
        <vt:i4>0</vt:i4>
      </vt:variant>
      <vt:variant>
        <vt:i4>5</vt:i4>
      </vt:variant>
      <vt:variant>
        <vt:lpwstr>https://www.itu.int/md/S21-CWGSFP1-C-0007/en</vt:lpwstr>
      </vt:variant>
      <vt:variant>
        <vt:lpwstr/>
      </vt:variant>
      <vt:variant>
        <vt:i4>262152</vt:i4>
      </vt:variant>
      <vt:variant>
        <vt:i4>63</vt:i4>
      </vt:variant>
      <vt:variant>
        <vt:i4>0</vt:i4>
      </vt:variant>
      <vt:variant>
        <vt:i4>5</vt:i4>
      </vt:variant>
      <vt:variant>
        <vt:lpwstr>https://www.itu.int/md/S21-CWGSFP1-C-0005/en</vt:lpwstr>
      </vt:variant>
      <vt:variant>
        <vt:lpwstr/>
      </vt:variant>
      <vt:variant>
        <vt:i4>327692</vt:i4>
      </vt:variant>
      <vt:variant>
        <vt:i4>60</vt:i4>
      </vt:variant>
      <vt:variant>
        <vt:i4>0</vt:i4>
      </vt:variant>
      <vt:variant>
        <vt:i4>5</vt:i4>
      </vt:variant>
      <vt:variant>
        <vt:lpwstr>https://www.itu.int/md/S21-CWGSFP1-C-0011/en</vt:lpwstr>
      </vt:variant>
      <vt:variant>
        <vt:lpwstr/>
      </vt:variant>
      <vt:variant>
        <vt:i4>262154</vt:i4>
      </vt:variant>
      <vt:variant>
        <vt:i4>57</vt:i4>
      </vt:variant>
      <vt:variant>
        <vt:i4>0</vt:i4>
      </vt:variant>
      <vt:variant>
        <vt:i4>5</vt:i4>
      </vt:variant>
      <vt:variant>
        <vt:lpwstr>https://www.itu.int/md/S21-CWGSFP1-C-0007/en</vt:lpwstr>
      </vt:variant>
      <vt:variant>
        <vt:lpwstr/>
      </vt:variant>
      <vt:variant>
        <vt:i4>327692</vt:i4>
      </vt:variant>
      <vt:variant>
        <vt:i4>54</vt:i4>
      </vt:variant>
      <vt:variant>
        <vt:i4>0</vt:i4>
      </vt:variant>
      <vt:variant>
        <vt:i4>5</vt:i4>
      </vt:variant>
      <vt:variant>
        <vt:lpwstr>https://www.itu.int/md/S21-CWGSFP1-C-0011/en</vt:lpwstr>
      </vt:variant>
      <vt:variant>
        <vt:lpwstr/>
      </vt:variant>
      <vt:variant>
        <vt:i4>262149</vt:i4>
      </vt:variant>
      <vt:variant>
        <vt:i4>51</vt:i4>
      </vt:variant>
      <vt:variant>
        <vt:i4>0</vt:i4>
      </vt:variant>
      <vt:variant>
        <vt:i4>5</vt:i4>
      </vt:variant>
      <vt:variant>
        <vt:lpwstr>https://www.itu.int/md/S21-CWGSFP1-C-0008/en</vt:lpwstr>
      </vt:variant>
      <vt:variant>
        <vt:lpwstr/>
      </vt:variant>
      <vt:variant>
        <vt:i4>262153</vt:i4>
      </vt:variant>
      <vt:variant>
        <vt:i4>48</vt:i4>
      </vt:variant>
      <vt:variant>
        <vt:i4>0</vt:i4>
      </vt:variant>
      <vt:variant>
        <vt:i4>5</vt:i4>
      </vt:variant>
      <vt:variant>
        <vt:lpwstr>https://www.itu.int/md/S21-CWGSFP1-C-0004/en</vt:lpwstr>
      </vt:variant>
      <vt:variant>
        <vt:lpwstr/>
      </vt:variant>
      <vt:variant>
        <vt:i4>262149</vt:i4>
      </vt:variant>
      <vt:variant>
        <vt:i4>45</vt:i4>
      </vt:variant>
      <vt:variant>
        <vt:i4>0</vt:i4>
      </vt:variant>
      <vt:variant>
        <vt:i4>5</vt:i4>
      </vt:variant>
      <vt:variant>
        <vt:lpwstr>https://www.itu.int/md/S21-CWGSFP1-C-0008/en</vt:lpwstr>
      </vt:variant>
      <vt:variant>
        <vt:lpwstr/>
      </vt:variant>
      <vt:variant>
        <vt:i4>262153</vt:i4>
      </vt:variant>
      <vt:variant>
        <vt:i4>42</vt:i4>
      </vt:variant>
      <vt:variant>
        <vt:i4>0</vt:i4>
      </vt:variant>
      <vt:variant>
        <vt:i4>5</vt:i4>
      </vt:variant>
      <vt:variant>
        <vt:lpwstr>https://www.itu.int/md/S21-CWGSFP1-C-0004/en</vt:lpwstr>
      </vt:variant>
      <vt:variant>
        <vt:lpwstr/>
      </vt:variant>
      <vt:variant>
        <vt:i4>327692</vt:i4>
      </vt:variant>
      <vt:variant>
        <vt:i4>39</vt:i4>
      </vt:variant>
      <vt:variant>
        <vt:i4>0</vt:i4>
      </vt:variant>
      <vt:variant>
        <vt:i4>5</vt:i4>
      </vt:variant>
      <vt:variant>
        <vt:lpwstr>https://www.itu.int/md/S21-CWGSFP1-C-0011/en</vt:lpwstr>
      </vt:variant>
      <vt:variant>
        <vt:lpwstr/>
      </vt:variant>
      <vt:variant>
        <vt:i4>327693</vt:i4>
      </vt:variant>
      <vt:variant>
        <vt:i4>36</vt:i4>
      </vt:variant>
      <vt:variant>
        <vt:i4>0</vt:i4>
      </vt:variant>
      <vt:variant>
        <vt:i4>5</vt:i4>
      </vt:variant>
      <vt:variant>
        <vt:lpwstr>https://www.itu.int/md/S21-CWGSFP1-C-0010/en</vt:lpwstr>
      </vt:variant>
      <vt:variant>
        <vt:lpwstr/>
      </vt:variant>
      <vt:variant>
        <vt:i4>262148</vt:i4>
      </vt:variant>
      <vt:variant>
        <vt:i4>33</vt:i4>
      </vt:variant>
      <vt:variant>
        <vt:i4>0</vt:i4>
      </vt:variant>
      <vt:variant>
        <vt:i4>5</vt:i4>
      </vt:variant>
      <vt:variant>
        <vt:lpwstr>https://www.itu.int/md/S21-CWGSFP1-C-0009/en</vt:lpwstr>
      </vt:variant>
      <vt:variant>
        <vt:lpwstr/>
      </vt:variant>
      <vt:variant>
        <vt:i4>262149</vt:i4>
      </vt:variant>
      <vt:variant>
        <vt:i4>30</vt:i4>
      </vt:variant>
      <vt:variant>
        <vt:i4>0</vt:i4>
      </vt:variant>
      <vt:variant>
        <vt:i4>5</vt:i4>
      </vt:variant>
      <vt:variant>
        <vt:lpwstr>https://www.itu.int/md/S21-CWGSFP1-C-0008/en</vt:lpwstr>
      </vt:variant>
      <vt:variant>
        <vt:lpwstr/>
      </vt:variant>
      <vt:variant>
        <vt:i4>327692</vt:i4>
      </vt:variant>
      <vt:variant>
        <vt:i4>27</vt:i4>
      </vt:variant>
      <vt:variant>
        <vt:i4>0</vt:i4>
      </vt:variant>
      <vt:variant>
        <vt:i4>5</vt:i4>
      </vt:variant>
      <vt:variant>
        <vt:lpwstr>https://www.itu.int/md/S21-CWGSFP1-C-0011/en</vt:lpwstr>
      </vt:variant>
      <vt:variant>
        <vt:lpwstr/>
      </vt:variant>
      <vt:variant>
        <vt:i4>262149</vt:i4>
      </vt:variant>
      <vt:variant>
        <vt:i4>24</vt:i4>
      </vt:variant>
      <vt:variant>
        <vt:i4>0</vt:i4>
      </vt:variant>
      <vt:variant>
        <vt:i4>5</vt:i4>
      </vt:variant>
      <vt:variant>
        <vt:lpwstr>https://www.itu.int/md/S21-CWGSFP1-C-0008/en</vt:lpwstr>
      </vt:variant>
      <vt:variant>
        <vt:lpwstr/>
      </vt:variant>
      <vt:variant>
        <vt:i4>262154</vt:i4>
      </vt:variant>
      <vt:variant>
        <vt:i4>21</vt:i4>
      </vt:variant>
      <vt:variant>
        <vt:i4>0</vt:i4>
      </vt:variant>
      <vt:variant>
        <vt:i4>5</vt:i4>
      </vt:variant>
      <vt:variant>
        <vt:lpwstr>https://www.itu.int/md/S21-CWGSFP1-C-0007/en</vt:lpwstr>
      </vt:variant>
      <vt:variant>
        <vt:lpwstr/>
      </vt:variant>
      <vt:variant>
        <vt:i4>262152</vt:i4>
      </vt:variant>
      <vt:variant>
        <vt:i4>18</vt:i4>
      </vt:variant>
      <vt:variant>
        <vt:i4>0</vt:i4>
      </vt:variant>
      <vt:variant>
        <vt:i4>5</vt:i4>
      </vt:variant>
      <vt:variant>
        <vt:lpwstr>https://www.itu.int/md/S21-CWGSFP1-C-0005/en</vt:lpwstr>
      </vt:variant>
      <vt:variant>
        <vt:lpwstr/>
      </vt:variant>
      <vt:variant>
        <vt:i4>327692</vt:i4>
      </vt:variant>
      <vt:variant>
        <vt:i4>15</vt:i4>
      </vt:variant>
      <vt:variant>
        <vt:i4>0</vt:i4>
      </vt:variant>
      <vt:variant>
        <vt:i4>5</vt:i4>
      </vt:variant>
      <vt:variant>
        <vt:lpwstr>https://www.itu.int/md/S21-CWGSFP1-C-0011/en</vt:lpwstr>
      </vt:variant>
      <vt:variant>
        <vt:lpwstr/>
      </vt:variant>
      <vt:variant>
        <vt:i4>262152</vt:i4>
      </vt:variant>
      <vt:variant>
        <vt:i4>12</vt:i4>
      </vt:variant>
      <vt:variant>
        <vt:i4>0</vt:i4>
      </vt:variant>
      <vt:variant>
        <vt:i4>5</vt:i4>
      </vt:variant>
      <vt:variant>
        <vt:lpwstr>https://www.itu.int/md/S21-CWGSFP1-C-0005/en</vt:lpwstr>
      </vt:variant>
      <vt:variant>
        <vt:lpwstr/>
      </vt:variant>
      <vt:variant>
        <vt:i4>327692</vt:i4>
      </vt:variant>
      <vt:variant>
        <vt:i4>9</vt:i4>
      </vt:variant>
      <vt:variant>
        <vt:i4>0</vt:i4>
      </vt:variant>
      <vt:variant>
        <vt:i4>5</vt:i4>
      </vt:variant>
      <vt:variant>
        <vt:lpwstr>https://www.itu.int/md/S21-CWGSFP1-C-0011/en</vt:lpwstr>
      </vt:variant>
      <vt:variant>
        <vt:lpwstr/>
      </vt:variant>
      <vt:variant>
        <vt:i4>262149</vt:i4>
      </vt:variant>
      <vt:variant>
        <vt:i4>6</vt:i4>
      </vt:variant>
      <vt:variant>
        <vt:i4>0</vt:i4>
      </vt:variant>
      <vt:variant>
        <vt:i4>5</vt:i4>
      </vt:variant>
      <vt:variant>
        <vt:lpwstr>https://www.itu.int/md/S21-CWGSFP1-C-0008/en</vt:lpwstr>
      </vt:variant>
      <vt:variant>
        <vt:lpwstr/>
      </vt:variant>
      <vt:variant>
        <vt:i4>262152</vt:i4>
      </vt:variant>
      <vt:variant>
        <vt:i4>3</vt:i4>
      </vt:variant>
      <vt:variant>
        <vt:i4>0</vt:i4>
      </vt:variant>
      <vt:variant>
        <vt:i4>5</vt:i4>
      </vt:variant>
      <vt:variant>
        <vt:lpwstr>https://www.itu.int/md/S21-CWGSFP1-C-0005/en</vt:lpwstr>
      </vt:variant>
      <vt:variant>
        <vt:lpwstr/>
      </vt:variant>
      <vt:variant>
        <vt:i4>327692</vt:i4>
      </vt:variant>
      <vt:variant>
        <vt:i4>0</vt:i4>
      </vt:variant>
      <vt:variant>
        <vt:i4>0</vt:i4>
      </vt:variant>
      <vt:variant>
        <vt:i4>5</vt:i4>
      </vt:variant>
      <vt:variant>
        <vt:lpwstr>https://www.itu.int/md/S21-CWGSFP1-C-0011/en</vt:lpwstr>
      </vt:variant>
      <vt:variant>
        <vt:lpwstr/>
      </vt:variant>
      <vt:variant>
        <vt:i4>3342371</vt:i4>
      </vt:variant>
      <vt:variant>
        <vt:i4>6</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CWG-SFP Chair</dc:title>
  <dc:subject>Counciil Working Group for Strategic and Financial Plans 2024-2027</dc:subject>
  <dc:creator>English</dc:creator>
  <cp:keywords>CWG-SFP, CWG, CWGs &amp; EGs</cp:keywords>
  <dc:description/>
  <cp:lastModifiedBy>Brouard, Ricarda</cp:lastModifiedBy>
  <cp:revision>3</cp:revision>
  <cp:lastPrinted>2000-07-18T22:30:00Z</cp:lastPrinted>
  <dcterms:created xsi:type="dcterms:W3CDTF">2021-10-01T15:18:00Z</dcterms:created>
  <dcterms:modified xsi:type="dcterms:W3CDTF">2021-10-01T15:19:00Z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0x010100967B9D72B39CC247BEE4EBE574240AC6</vt:lpwstr>
  </property>
</Properties>
</file>