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A584C" w14:paraId="509E9351" w14:textId="77777777">
        <w:trPr>
          <w:cantSplit/>
        </w:trPr>
        <w:tc>
          <w:tcPr>
            <w:tcW w:w="6912" w:type="dxa"/>
          </w:tcPr>
          <w:p w14:paraId="3C9F03EA" w14:textId="3B348D51" w:rsidR="00093EEB" w:rsidRPr="003A584C" w:rsidRDefault="003A584C" w:rsidP="005A1840">
            <w:pPr>
              <w:spacing w:before="360"/>
              <w:rPr>
                <w:szCs w:val="24"/>
                <w:lang w:val="es-ES"/>
              </w:rPr>
            </w:pPr>
            <w:bookmarkStart w:id="0" w:name="dbluepink" w:colFirst="0" w:colLast="0"/>
            <w:r w:rsidRPr="003A584C">
              <w:rPr>
                <w:b/>
                <w:bCs/>
                <w:sz w:val="30"/>
                <w:szCs w:val="30"/>
                <w:lang w:val="es-ES"/>
              </w:rPr>
              <w:t>Grupo de Trabajo del Consejo sobre los Planes Estratégico y Financiero para 2024-2027</w:t>
            </w:r>
            <w:r w:rsidR="00093EEB" w:rsidRPr="003A584C">
              <w:rPr>
                <w:b/>
                <w:bCs/>
                <w:sz w:val="26"/>
                <w:szCs w:val="26"/>
                <w:lang w:val="es-ES"/>
              </w:rPr>
              <w:br/>
            </w:r>
            <w:r w:rsidRPr="003A584C">
              <w:rPr>
                <w:b/>
                <w:bCs/>
                <w:szCs w:val="24"/>
                <w:lang w:val="es-ES"/>
              </w:rPr>
              <w:t xml:space="preserve">Primera reunión </w:t>
            </w:r>
            <w:r w:rsidR="005A1840" w:rsidRPr="003A584C">
              <w:rPr>
                <w:b/>
                <w:bCs/>
                <w:szCs w:val="24"/>
                <w:lang w:val="es-ES"/>
              </w:rPr>
              <w:t xml:space="preserve">– Virtual, 29-30 </w:t>
            </w:r>
            <w:r w:rsidRPr="003A584C">
              <w:rPr>
                <w:b/>
                <w:bCs/>
                <w:szCs w:val="24"/>
                <w:lang w:val="es-ES"/>
              </w:rPr>
              <w:t>de septiembre de</w:t>
            </w:r>
            <w:r w:rsidR="005A1840" w:rsidRPr="003A584C">
              <w:rPr>
                <w:b/>
                <w:bCs/>
                <w:szCs w:val="24"/>
                <w:lang w:val="es-ES"/>
              </w:rPr>
              <w:t xml:space="preserve"> 2021</w:t>
            </w:r>
          </w:p>
        </w:tc>
        <w:tc>
          <w:tcPr>
            <w:tcW w:w="3261" w:type="dxa"/>
          </w:tcPr>
          <w:p w14:paraId="3B65EF6A" w14:textId="77777777" w:rsidR="00093EEB" w:rsidRPr="003A584C" w:rsidRDefault="007955DA" w:rsidP="007955DA">
            <w:pPr>
              <w:spacing w:before="0"/>
              <w:rPr>
                <w:szCs w:val="24"/>
                <w:lang w:val="es-ES"/>
              </w:rPr>
            </w:pPr>
            <w:bookmarkStart w:id="1" w:name="ditulogo"/>
            <w:bookmarkEnd w:id="1"/>
            <w:r w:rsidRPr="003A584C">
              <w:rPr>
                <w:noProof/>
                <w:lang w:val="es-ES" w:eastAsia="zh-CN"/>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3A584C" w14:paraId="3722BAF5" w14:textId="77777777">
        <w:trPr>
          <w:cantSplit/>
          <w:trHeight w:val="20"/>
        </w:trPr>
        <w:tc>
          <w:tcPr>
            <w:tcW w:w="10173" w:type="dxa"/>
            <w:gridSpan w:val="2"/>
            <w:tcBorders>
              <w:bottom w:val="single" w:sz="12" w:space="0" w:color="auto"/>
            </w:tcBorders>
          </w:tcPr>
          <w:p w14:paraId="6E867426" w14:textId="77777777" w:rsidR="00093EEB" w:rsidRPr="003A584C" w:rsidRDefault="00093EEB">
            <w:pPr>
              <w:spacing w:before="0"/>
              <w:rPr>
                <w:b/>
                <w:bCs/>
                <w:szCs w:val="24"/>
                <w:lang w:val="es-ES"/>
              </w:rPr>
            </w:pPr>
          </w:p>
        </w:tc>
      </w:tr>
      <w:tr w:rsidR="00093EEB" w:rsidRPr="003A584C" w14:paraId="52A2B439" w14:textId="77777777">
        <w:trPr>
          <w:cantSplit/>
          <w:trHeight w:val="20"/>
        </w:trPr>
        <w:tc>
          <w:tcPr>
            <w:tcW w:w="6912" w:type="dxa"/>
            <w:tcBorders>
              <w:top w:val="single" w:sz="12" w:space="0" w:color="auto"/>
            </w:tcBorders>
          </w:tcPr>
          <w:p w14:paraId="4A6B2B3C" w14:textId="77777777" w:rsidR="00093EEB" w:rsidRPr="003A584C"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0C667BA9" w14:textId="77777777" w:rsidR="00093EEB" w:rsidRPr="003A584C" w:rsidRDefault="00093EEB">
            <w:pPr>
              <w:spacing w:before="0"/>
              <w:rPr>
                <w:b/>
                <w:bCs/>
                <w:szCs w:val="24"/>
                <w:lang w:val="es-ES"/>
              </w:rPr>
            </w:pPr>
          </w:p>
        </w:tc>
      </w:tr>
      <w:tr w:rsidR="00093EEB" w:rsidRPr="003A584C" w14:paraId="23AF1C7F" w14:textId="77777777">
        <w:trPr>
          <w:cantSplit/>
          <w:trHeight w:val="20"/>
        </w:trPr>
        <w:tc>
          <w:tcPr>
            <w:tcW w:w="6912" w:type="dxa"/>
            <w:shd w:val="clear" w:color="auto" w:fill="auto"/>
          </w:tcPr>
          <w:p w14:paraId="46E8C087" w14:textId="77777777" w:rsidR="00093EEB" w:rsidRPr="003A584C"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p>
        </w:tc>
        <w:tc>
          <w:tcPr>
            <w:tcW w:w="3261" w:type="dxa"/>
          </w:tcPr>
          <w:p w14:paraId="6A2EE25E" w14:textId="76E428AA" w:rsidR="00093EEB" w:rsidRPr="00A9414C" w:rsidRDefault="005A1840" w:rsidP="00C2727F">
            <w:pPr>
              <w:spacing w:before="0"/>
              <w:rPr>
                <w:b/>
                <w:bCs/>
                <w:szCs w:val="24"/>
                <w:lang w:val="es-ES"/>
              </w:rPr>
            </w:pPr>
            <w:r w:rsidRPr="00A9414C">
              <w:rPr>
                <w:b/>
                <w:bCs/>
                <w:szCs w:val="24"/>
                <w:lang w:val="es-ES"/>
              </w:rPr>
              <w:t>Documento CWG-SFP-1/</w:t>
            </w:r>
            <w:r w:rsidR="009F236A" w:rsidRPr="00A9414C">
              <w:rPr>
                <w:b/>
                <w:bCs/>
                <w:szCs w:val="24"/>
                <w:lang w:val="es-ES"/>
              </w:rPr>
              <w:t>10</w:t>
            </w:r>
            <w:r w:rsidRPr="00A9414C">
              <w:rPr>
                <w:b/>
                <w:bCs/>
                <w:szCs w:val="24"/>
                <w:lang w:val="es-ES"/>
              </w:rPr>
              <w:t>-S</w:t>
            </w:r>
          </w:p>
        </w:tc>
      </w:tr>
      <w:tr w:rsidR="00A9414C" w:rsidRPr="003A584C" w14:paraId="0E8E77A1" w14:textId="77777777">
        <w:trPr>
          <w:cantSplit/>
          <w:trHeight w:val="20"/>
        </w:trPr>
        <w:tc>
          <w:tcPr>
            <w:tcW w:w="6912" w:type="dxa"/>
            <w:shd w:val="clear" w:color="auto" w:fill="auto"/>
          </w:tcPr>
          <w:p w14:paraId="0FE500A4" w14:textId="77777777" w:rsidR="00A9414C" w:rsidRPr="003A584C" w:rsidRDefault="00A9414C" w:rsidP="00A9414C">
            <w:pPr>
              <w:shd w:val="solid" w:color="FFFFFF" w:fill="FFFFFF"/>
              <w:spacing w:before="0"/>
              <w:rPr>
                <w:smallCaps/>
                <w:szCs w:val="24"/>
                <w:lang w:val="es-ES"/>
              </w:rPr>
            </w:pPr>
            <w:bookmarkStart w:id="4" w:name="ddate" w:colFirst="1" w:colLast="1"/>
            <w:bookmarkEnd w:id="0"/>
            <w:bookmarkEnd w:id="2"/>
            <w:bookmarkEnd w:id="3"/>
          </w:p>
        </w:tc>
        <w:tc>
          <w:tcPr>
            <w:tcW w:w="3261" w:type="dxa"/>
          </w:tcPr>
          <w:p w14:paraId="5F565883" w14:textId="72ADCFDB" w:rsidR="00A9414C" w:rsidRPr="00A9414C" w:rsidRDefault="00A9414C" w:rsidP="00A9414C">
            <w:pPr>
              <w:spacing w:before="0"/>
              <w:rPr>
                <w:b/>
                <w:bCs/>
                <w:szCs w:val="24"/>
                <w:lang w:val="es-ES"/>
              </w:rPr>
            </w:pPr>
            <w:r w:rsidRPr="00A9414C">
              <w:rPr>
                <w:rFonts w:hint="eastAsia"/>
                <w:b/>
                <w:szCs w:val="24"/>
              </w:rPr>
              <w:t>1</w:t>
            </w:r>
            <w:r w:rsidRPr="00A9414C">
              <w:rPr>
                <w:b/>
                <w:szCs w:val="24"/>
              </w:rPr>
              <w:t xml:space="preserve">3 </w:t>
            </w:r>
            <w:bookmarkStart w:id="5" w:name="lt_pId008"/>
            <w:r w:rsidRPr="00A9414C">
              <w:rPr>
                <w:b/>
                <w:szCs w:val="24"/>
              </w:rPr>
              <w:t>de septiembre de 2021</w:t>
            </w:r>
            <w:bookmarkEnd w:id="5"/>
          </w:p>
        </w:tc>
      </w:tr>
      <w:tr w:rsidR="00A9414C" w:rsidRPr="003A584C" w14:paraId="6D7EF81A" w14:textId="77777777">
        <w:trPr>
          <w:cantSplit/>
          <w:trHeight w:val="20"/>
        </w:trPr>
        <w:tc>
          <w:tcPr>
            <w:tcW w:w="6912" w:type="dxa"/>
            <w:shd w:val="clear" w:color="auto" w:fill="auto"/>
          </w:tcPr>
          <w:p w14:paraId="0A900D65" w14:textId="77777777" w:rsidR="00A9414C" w:rsidRPr="003A584C" w:rsidRDefault="00A9414C" w:rsidP="00A9414C">
            <w:pPr>
              <w:shd w:val="solid" w:color="FFFFFF" w:fill="FFFFFF"/>
              <w:spacing w:before="0"/>
              <w:rPr>
                <w:smallCaps/>
                <w:szCs w:val="24"/>
                <w:lang w:val="es-ES"/>
              </w:rPr>
            </w:pPr>
            <w:bookmarkStart w:id="6" w:name="dorlang" w:colFirst="1" w:colLast="1"/>
            <w:bookmarkEnd w:id="4"/>
          </w:p>
        </w:tc>
        <w:tc>
          <w:tcPr>
            <w:tcW w:w="3261" w:type="dxa"/>
          </w:tcPr>
          <w:p w14:paraId="535E8E1E" w14:textId="77777777" w:rsidR="00A9414C" w:rsidRPr="00A9414C" w:rsidRDefault="00A9414C" w:rsidP="00A9414C">
            <w:pPr>
              <w:spacing w:before="0"/>
              <w:rPr>
                <w:b/>
                <w:bCs/>
                <w:szCs w:val="24"/>
                <w:lang w:val="es-ES"/>
              </w:rPr>
            </w:pPr>
            <w:r w:rsidRPr="00A9414C">
              <w:rPr>
                <w:b/>
                <w:bCs/>
                <w:szCs w:val="24"/>
                <w:lang w:val="es-ES"/>
              </w:rPr>
              <w:t>Original: inglés</w:t>
            </w:r>
          </w:p>
        </w:tc>
      </w:tr>
      <w:tr w:rsidR="00A9414C" w:rsidRPr="008D3087" w14:paraId="2D243CAD" w14:textId="77777777">
        <w:trPr>
          <w:cantSplit/>
        </w:trPr>
        <w:tc>
          <w:tcPr>
            <w:tcW w:w="10173" w:type="dxa"/>
            <w:gridSpan w:val="2"/>
          </w:tcPr>
          <w:p w14:paraId="3B00EA2B" w14:textId="511C397B" w:rsidR="00A9414C" w:rsidRPr="008D3087" w:rsidRDefault="00A9414C" w:rsidP="00A9414C">
            <w:pPr>
              <w:pStyle w:val="Source"/>
              <w:rPr>
                <w:lang w:val="es-ES"/>
              </w:rPr>
            </w:pPr>
            <w:bookmarkStart w:id="7" w:name="lt_pId010"/>
            <w:bookmarkStart w:id="8" w:name="dsource" w:colFirst="0" w:colLast="0"/>
            <w:bookmarkEnd w:id="6"/>
            <w:r w:rsidRPr="008D3087">
              <w:rPr>
                <w:lang w:val="es-ES"/>
              </w:rPr>
              <w:t>Contribu</w:t>
            </w:r>
            <w:r w:rsidR="008D3087" w:rsidRPr="008D3087">
              <w:rPr>
                <w:lang w:val="es-ES"/>
              </w:rPr>
              <w:t>ción de la República Popular de</w:t>
            </w:r>
            <w:r w:rsidRPr="008D3087">
              <w:rPr>
                <w:lang w:val="es-ES"/>
              </w:rPr>
              <w:t xml:space="preserve"> China</w:t>
            </w:r>
            <w:bookmarkEnd w:id="7"/>
          </w:p>
        </w:tc>
      </w:tr>
      <w:tr w:rsidR="00A9414C" w:rsidRPr="00530A94" w14:paraId="2FF2D504" w14:textId="77777777">
        <w:trPr>
          <w:cantSplit/>
        </w:trPr>
        <w:tc>
          <w:tcPr>
            <w:tcW w:w="10173" w:type="dxa"/>
            <w:gridSpan w:val="2"/>
          </w:tcPr>
          <w:p w14:paraId="62389682" w14:textId="1E9E0847" w:rsidR="00A9414C" w:rsidRPr="00530A94" w:rsidRDefault="00177831" w:rsidP="00A9414C">
            <w:pPr>
              <w:pStyle w:val="Title1"/>
              <w:rPr>
                <w:rFonts w:asciiTheme="minorHAnsi" w:hAnsiTheme="minorHAnsi" w:cstheme="minorHAnsi"/>
                <w:lang w:val="es-ES"/>
              </w:rPr>
            </w:pPr>
            <w:bookmarkStart w:id="9" w:name="lt_pId011"/>
            <w:bookmarkStart w:id="10" w:name="dtitle1" w:colFirst="0" w:colLast="0"/>
            <w:bookmarkEnd w:id="8"/>
            <w:r w:rsidRPr="00530A94">
              <w:rPr>
                <w:rFonts w:asciiTheme="minorHAnsi" w:hAnsiTheme="minorHAnsi" w:cstheme="minorHAnsi"/>
                <w:bCs/>
                <w:caps w:val="0"/>
                <w:szCs w:val="28"/>
                <w:lang w:val="es-ES"/>
              </w:rPr>
              <w:t xml:space="preserve">RECOMENDACIONES PARA INCLUIR LAS TIC PARA LA EMERGENCIA DE SALUD PÚBLICA DE IMPORTANCIA INTERNACIONAL (PHEIC) </w:t>
            </w:r>
            <w:r>
              <w:rPr>
                <w:rFonts w:asciiTheme="minorHAnsi" w:hAnsiTheme="minorHAnsi" w:cstheme="minorHAnsi"/>
                <w:bCs/>
                <w:caps w:val="0"/>
                <w:szCs w:val="28"/>
                <w:lang w:val="es-ES"/>
              </w:rPr>
              <w:t xml:space="preserve">EN LAS METAS ESTRATÉGICAS DEL </w:t>
            </w:r>
            <w:r>
              <w:rPr>
                <w:rFonts w:asciiTheme="minorHAnsi" w:hAnsiTheme="minorHAnsi" w:cstheme="minorHAnsi"/>
                <w:bCs/>
                <w:caps w:val="0"/>
                <w:szCs w:val="28"/>
                <w:lang w:val="es-ES"/>
              </w:rPr>
              <w:br/>
              <w:t>PLAN ESTRATÉGICO DE LA UIT PARA</w:t>
            </w:r>
            <w:r w:rsidRPr="00530A94">
              <w:rPr>
                <w:rFonts w:asciiTheme="minorHAnsi" w:hAnsiTheme="minorHAnsi" w:cstheme="minorHAnsi"/>
                <w:bCs/>
                <w:caps w:val="0"/>
                <w:szCs w:val="28"/>
                <w:lang w:val="es-ES"/>
              </w:rPr>
              <w:t xml:space="preserve"> 2024-2027</w:t>
            </w:r>
            <w:bookmarkEnd w:id="9"/>
          </w:p>
        </w:tc>
      </w:tr>
    </w:tbl>
    <w:p w14:paraId="06C72D00" w14:textId="70C23765" w:rsidR="009F236A" w:rsidRPr="008C0D1F" w:rsidRDefault="00530A94" w:rsidP="008C0D1F">
      <w:pPr>
        <w:pStyle w:val="Headingb"/>
        <w:spacing w:before="360"/>
        <w:rPr>
          <w:rFonts w:eastAsia="仿宋"/>
          <w:lang w:val="fr-FR"/>
        </w:rPr>
      </w:pPr>
      <w:bookmarkStart w:id="11" w:name="lt_pId012"/>
      <w:bookmarkEnd w:id="10"/>
      <w:proofErr w:type="spellStart"/>
      <w:r w:rsidRPr="008C0D1F">
        <w:rPr>
          <w:rFonts w:eastAsia="仿宋"/>
          <w:lang w:val="fr-FR"/>
        </w:rPr>
        <w:t>Antecedentes</w:t>
      </w:r>
      <w:bookmarkEnd w:id="11"/>
      <w:proofErr w:type="spellEnd"/>
    </w:p>
    <w:p w14:paraId="221616F8" w14:textId="772C131B" w:rsidR="009F236A" w:rsidRPr="00644D0E" w:rsidRDefault="00530A94" w:rsidP="00B33AE6">
      <w:pPr>
        <w:rPr>
          <w:rFonts w:eastAsia="仿宋"/>
          <w:lang w:val="es-ES"/>
        </w:rPr>
      </w:pPr>
      <w:bookmarkStart w:id="12" w:name="lt_pId013"/>
      <w:r w:rsidRPr="00530A94">
        <w:rPr>
          <w:rFonts w:eastAsia="仿宋"/>
          <w:lang w:val="es-ES"/>
        </w:rPr>
        <w:t>El 15 de julio de 2021 la Organización Mundial de la Salud (OMS) declaró que la pandemia de</w:t>
      </w:r>
      <w:r w:rsidR="009F236A" w:rsidRPr="00530A94">
        <w:rPr>
          <w:rFonts w:eastAsia="仿宋"/>
          <w:lang w:val="es-ES"/>
        </w:rPr>
        <w:t xml:space="preserve"> COVID</w:t>
      </w:r>
      <w:r w:rsidR="008C0D1F">
        <w:rPr>
          <w:rFonts w:eastAsia="仿宋"/>
          <w:lang w:val="es-ES"/>
        </w:rPr>
        <w:noBreakHyphen/>
      </w:r>
      <w:r w:rsidR="009F236A" w:rsidRPr="00530A94">
        <w:rPr>
          <w:rFonts w:eastAsia="仿宋"/>
          <w:lang w:val="es-ES"/>
        </w:rPr>
        <w:t xml:space="preserve">19 </w:t>
      </w:r>
      <w:r w:rsidRPr="00530A94">
        <w:rPr>
          <w:rFonts w:eastAsia="仿宋"/>
          <w:lang w:val="es-ES"/>
        </w:rPr>
        <w:t>s</w:t>
      </w:r>
      <w:r>
        <w:rPr>
          <w:rFonts w:eastAsia="仿宋"/>
          <w:lang w:val="es-ES"/>
        </w:rPr>
        <w:t>eguía siendo una emergencia de salud pública de importancia internacional</w:t>
      </w:r>
      <w:r w:rsidR="009F236A" w:rsidRPr="00530A94">
        <w:rPr>
          <w:rFonts w:eastAsia="仿宋"/>
          <w:lang w:val="es-ES"/>
        </w:rPr>
        <w:t xml:space="preserve"> (PHEIC)</w:t>
      </w:r>
      <w:r w:rsidR="00B10FEA" w:rsidRPr="00D73762">
        <w:rPr>
          <w:rStyle w:val="FootnoteReference"/>
          <w:rFonts w:eastAsia="仿宋"/>
          <w:lang w:val="fr-FR"/>
        </w:rPr>
        <w:footnoteReference w:id="1"/>
      </w:r>
      <w:r w:rsidR="009F236A" w:rsidRPr="00530A94">
        <w:rPr>
          <w:rFonts w:eastAsia="仿宋"/>
          <w:lang w:val="es-ES"/>
        </w:rPr>
        <w:t>.</w:t>
      </w:r>
      <w:bookmarkEnd w:id="12"/>
      <w:r w:rsidR="009F236A" w:rsidRPr="00530A94">
        <w:rPr>
          <w:rFonts w:eastAsia="仿宋"/>
          <w:lang w:val="es-ES"/>
        </w:rPr>
        <w:t xml:space="preserve"> </w:t>
      </w:r>
      <w:bookmarkStart w:id="16" w:name="lt_pId014"/>
      <w:r w:rsidRPr="00530A94">
        <w:rPr>
          <w:rFonts w:eastAsia="仿宋"/>
          <w:lang w:val="es-ES"/>
        </w:rPr>
        <w:t>A juzgar por las declaraciones de la OMS, las</w:t>
      </w:r>
      <w:r w:rsidR="009F236A" w:rsidRPr="00530A94">
        <w:rPr>
          <w:rFonts w:eastAsia="仿宋"/>
          <w:lang w:val="es-ES"/>
        </w:rPr>
        <w:t xml:space="preserve"> PHEIC</w:t>
      </w:r>
      <w:r w:rsidRPr="00530A94">
        <w:rPr>
          <w:rFonts w:eastAsia="仿宋"/>
          <w:lang w:val="es-ES"/>
        </w:rPr>
        <w:t xml:space="preserve"> son cada vez más frecuentes desde el inicio del siglo XXI y su </w:t>
      </w:r>
      <w:proofErr w:type="spellStart"/>
      <w:r w:rsidRPr="008C0D1F">
        <w:rPr>
          <w:rFonts w:eastAsia="仿宋"/>
          <w:lang w:val="fr-FR"/>
        </w:rPr>
        <w:t>alcance</w:t>
      </w:r>
      <w:proofErr w:type="spellEnd"/>
      <w:r w:rsidRPr="00530A94">
        <w:rPr>
          <w:rFonts w:eastAsia="仿宋"/>
          <w:lang w:val="es-ES"/>
        </w:rPr>
        <w:t xml:space="preserve"> y consecuencia</w:t>
      </w:r>
      <w:r>
        <w:rPr>
          <w:rFonts w:eastAsia="仿宋"/>
          <w:lang w:val="es-ES"/>
        </w:rPr>
        <w:t xml:space="preserve">s han pasado de ser regionales a mundiales y tienen grandes efectos en la población mundial y el desarrollo económico. </w:t>
      </w:r>
      <w:r w:rsidRPr="00530A94">
        <w:rPr>
          <w:rFonts w:eastAsia="仿宋"/>
          <w:lang w:val="es-ES"/>
        </w:rPr>
        <w:t>Hoy en día, las telecomunicaciones y las TIC ofrecen a la Humanidad nuevas herramientas para responder a las emergencias de salud pública y resultan indispensables para</w:t>
      </w:r>
      <w:r>
        <w:rPr>
          <w:rFonts w:eastAsia="仿宋"/>
          <w:lang w:val="es-ES"/>
        </w:rPr>
        <w:t xml:space="preserve"> la economía a nivel nacional y mundial y para el bienestar de la sociedad. </w:t>
      </w:r>
      <w:r w:rsidRPr="00530A94">
        <w:rPr>
          <w:rFonts w:eastAsia="仿宋"/>
          <w:lang w:val="es-ES"/>
        </w:rPr>
        <w:t>Las TIC han desempeñado un importante papel en las fases de respuesta y recuperación de las emergencias de salud pública y ofrecen un elevado po</w:t>
      </w:r>
      <w:r>
        <w:rPr>
          <w:rFonts w:eastAsia="仿宋"/>
          <w:lang w:val="es-ES"/>
        </w:rPr>
        <w:t>tencial de desarrollo</w:t>
      </w:r>
      <w:bookmarkStart w:id="17" w:name="lt_pId016"/>
      <w:bookmarkEnd w:id="16"/>
      <w:r w:rsidR="00B10FEA" w:rsidRPr="00D73762">
        <w:rPr>
          <w:rStyle w:val="FootnoteReference"/>
          <w:rFonts w:eastAsia="仿宋"/>
          <w:lang w:val="fr-FR"/>
        </w:rPr>
        <w:footnoteReference w:id="2"/>
      </w:r>
      <w:r w:rsidR="009F236A" w:rsidRPr="00530A94">
        <w:rPr>
          <w:rFonts w:eastAsia="仿宋"/>
          <w:lang w:val="es-ES"/>
        </w:rPr>
        <w:t>.</w:t>
      </w:r>
      <w:bookmarkEnd w:id="17"/>
      <w:r w:rsidR="009F236A" w:rsidRPr="00530A94">
        <w:rPr>
          <w:rFonts w:eastAsia="仿宋"/>
          <w:lang w:val="es-ES"/>
        </w:rPr>
        <w:t xml:space="preserve"> </w:t>
      </w:r>
      <w:bookmarkStart w:id="19" w:name="lt_pId017"/>
      <w:r w:rsidR="00241FEC" w:rsidRPr="008C5B11">
        <w:t>La UIT es el organismo especializado de las Naciones Unidas para las te</w:t>
      </w:r>
      <w:r w:rsidR="00644D0E" w:rsidRPr="008C5B11">
        <w:t>cnologías de la información y la comunicación (</w:t>
      </w:r>
      <w:r w:rsidR="00241FEC" w:rsidRPr="008C5B11">
        <w:t>TIC</w:t>
      </w:r>
      <w:r w:rsidR="00644D0E" w:rsidRPr="008C5B11">
        <w:t>)</w:t>
      </w:r>
      <w:r w:rsidR="00241FEC" w:rsidRPr="008C5B11">
        <w:t xml:space="preserve">. Atribuye espectro de radiocomunicaciones mundial y órbitas de satélite, desarrolla las normas técnicas que garantizan la interconexión armoniosa de redes y tecnologías, y lucha por mejorar el acceso a las TIC para las comunidades insuficientemente atendidas del </w:t>
      </w:r>
      <w:r w:rsidR="00241FEC" w:rsidRPr="008C5B11">
        <w:lastRenderedPageBreak/>
        <w:t>mundo entero</w:t>
      </w:r>
      <w:r w:rsidR="007B1F4A" w:rsidRPr="00D73762">
        <w:rPr>
          <w:rStyle w:val="FootnoteReference"/>
          <w:rFonts w:eastAsia="仿宋"/>
          <w:lang w:val="fr-FR"/>
        </w:rPr>
        <w:footnoteReference w:id="3"/>
      </w:r>
      <w:r w:rsidR="00241FEC" w:rsidRPr="008C5B11">
        <w:t>.</w:t>
      </w:r>
      <w:r w:rsidR="00241FEC">
        <w:t xml:space="preserve"> </w:t>
      </w:r>
      <w:bookmarkStart w:id="21" w:name="lt_pId019"/>
      <w:bookmarkEnd w:id="19"/>
      <w:r w:rsidR="00644D0E" w:rsidRPr="00644D0E">
        <w:rPr>
          <w:rFonts w:eastAsia="仿宋"/>
          <w:lang w:val="es-ES"/>
        </w:rPr>
        <w:t xml:space="preserve">Aprovechando sus virtudes durante la pandemia, la UIT se ha convertido en un factor de peso para garantizar la resiliencia </w:t>
      </w:r>
      <w:r w:rsidR="00644D0E">
        <w:rPr>
          <w:rFonts w:eastAsia="仿宋"/>
          <w:lang w:val="es-ES"/>
        </w:rPr>
        <w:t>y la conectividad en el mundo.</w:t>
      </w:r>
      <w:bookmarkEnd w:id="21"/>
      <w:r w:rsidR="009F236A" w:rsidRPr="00644D0E">
        <w:rPr>
          <w:rFonts w:eastAsia="仿宋"/>
          <w:lang w:val="es-ES"/>
        </w:rPr>
        <w:t xml:space="preserve"> </w:t>
      </w:r>
      <w:bookmarkStart w:id="22" w:name="lt_pId020"/>
      <w:r w:rsidR="00644D0E" w:rsidRPr="00644D0E">
        <w:rPr>
          <w:rFonts w:eastAsia="仿宋"/>
          <w:lang w:val="es-ES"/>
        </w:rPr>
        <w:t>En marzo de 2020 puso en marcha la Plataforma Mundial de Resiliencia de Redes</w:t>
      </w:r>
      <w:r w:rsidR="009F236A" w:rsidRPr="00644D0E">
        <w:rPr>
          <w:rFonts w:eastAsia="仿宋"/>
          <w:lang w:val="es-ES"/>
        </w:rPr>
        <w:t xml:space="preserve"> (#REG4COVID) </w:t>
      </w:r>
      <w:r w:rsidR="00644D0E" w:rsidRPr="00644D0E">
        <w:rPr>
          <w:rFonts w:eastAsia="仿宋"/>
          <w:lang w:val="es-ES"/>
        </w:rPr>
        <w:t>para ayudar a los responsables políticos, reguladores y entidades industriales nacionales a responder a la creciente presión ejercida sobre las redes mundiales durante la crisis de la</w:t>
      </w:r>
      <w:r w:rsidR="009F236A" w:rsidRPr="00644D0E">
        <w:rPr>
          <w:rFonts w:eastAsia="仿宋"/>
          <w:lang w:val="es-ES"/>
        </w:rPr>
        <w:t xml:space="preserve"> COVID-19</w:t>
      </w:r>
      <w:r w:rsidR="00644D0E">
        <w:rPr>
          <w:rFonts w:eastAsia="仿宋"/>
          <w:lang w:val="es-ES"/>
        </w:rPr>
        <w:t xml:space="preserve">, y publicó las </w:t>
      </w:r>
      <w:r w:rsidR="00644D0E">
        <w:rPr>
          <w:rFonts w:eastAsia="仿宋"/>
          <w:i/>
          <w:iCs/>
          <w:lang w:val="es-ES"/>
        </w:rPr>
        <w:t xml:space="preserve">Directrices de la UIT para los planes nacionales de telecomunicaciones de emergencia, </w:t>
      </w:r>
      <w:r w:rsidR="00644D0E">
        <w:rPr>
          <w:rFonts w:eastAsia="仿宋"/>
          <w:lang w:val="es-ES"/>
        </w:rPr>
        <w:t>destinadas a la elaboración e implementación de planes nacionales de telecomunicaciones de emergencia (PNTE</w:t>
      </w:r>
      <w:r w:rsidR="009F236A" w:rsidRPr="00644D0E">
        <w:rPr>
          <w:rFonts w:eastAsia="仿宋"/>
          <w:lang w:val="es-ES"/>
        </w:rPr>
        <w:t xml:space="preserve">) </w:t>
      </w:r>
      <w:r w:rsidR="00644D0E">
        <w:rPr>
          <w:rFonts w:eastAsia="仿宋"/>
          <w:lang w:val="es-ES"/>
        </w:rPr>
        <w:t>y otros planes de contingencia concretos, en las que se contemplan las enfermedades infecciosas por tipo de catástrofe</w:t>
      </w:r>
      <w:r w:rsidR="00D73762" w:rsidRPr="00D73762">
        <w:rPr>
          <w:rStyle w:val="FootnoteReference"/>
          <w:rFonts w:eastAsia="仿宋"/>
          <w:lang w:val="fr-FR"/>
        </w:rPr>
        <w:footnoteReference w:id="4"/>
      </w:r>
      <w:r w:rsidR="009F236A" w:rsidRPr="00644D0E">
        <w:rPr>
          <w:rFonts w:eastAsia="仿宋"/>
          <w:lang w:val="es-ES"/>
        </w:rPr>
        <w:t>.</w:t>
      </w:r>
      <w:bookmarkEnd w:id="22"/>
    </w:p>
    <w:p w14:paraId="6E017C76" w14:textId="5DB053EF" w:rsidR="00CF5658" w:rsidRPr="00A0010F" w:rsidRDefault="004959AA" w:rsidP="00B33AE6">
      <w:pPr>
        <w:rPr>
          <w:rFonts w:eastAsia="仿宋"/>
          <w:lang w:val="es-ES"/>
        </w:rPr>
      </w:pPr>
      <w:bookmarkStart w:id="24" w:name="lt_pId021"/>
      <w:r w:rsidRPr="007B1F4A">
        <w:rPr>
          <w:rFonts w:eastAsia="仿宋"/>
          <w:lang w:val="es-ES"/>
        </w:rPr>
        <w:t xml:space="preserve">En el plano internacional, la Asamblea General de las Naciones Unidas adoptó en 2015 </w:t>
      </w:r>
      <w:r w:rsidR="007B1F4A">
        <w:rPr>
          <w:rFonts w:eastAsia="仿宋"/>
          <w:lang w:val="es-ES"/>
        </w:rPr>
        <w:t>"</w:t>
      </w:r>
      <w:r w:rsidRPr="007B1F4A">
        <w:rPr>
          <w:rFonts w:eastAsia="仿宋"/>
          <w:i/>
          <w:iCs/>
          <w:lang w:val="es-ES"/>
        </w:rPr>
        <w:t>Transformar nuestro mundo: la Agenda 2030 para el Desarrollo Sostenible</w:t>
      </w:r>
      <w:r w:rsidR="007B1F4A">
        <w:rPr>
          <w:rFonts w:eastAsia="仿宋"/>
          <w:lang w:val="es-ES"/>
        </w:rPr>
        <w:t>"</w:t>
      </w:r>
      <w:r w:rsidRPr="007B1F4A">
        <w:rPr>
          <w:rFonts w:eastAsia="仿宋"/>
          <w:i/>
          <w:iCs/>
          <w:lang w:val="es-ES"/>
        </w:rPr>
        <w:t xml:space="preserve">, </w:t>
      </w:r>
      <w:r w:rsidRPr="007B1F4A">
        <w:rPr>
          <w:rFonts w:eastAsia="仿宋"/>
          <w:lang w:val="es-ES"/>
        </w:rPr>
        <w:t xml:space="preserve">en la que se fijan objetivos como </w:t>
      </w:r>
      <w:r w:rsidR="007B1F4A">
        <w:rPr>
          <w:rFonts w:eastAsia="仿宋"/>
          <w:lang w:val="es-ES"/>
        </w:rPr>
        <w:t>"</w:t>
      </w:r>
      <w:r w:rsidRPr="007B1F4A">
        <w:rPr>
          <w:rFonts w:eastAsia="仿宋"/>
          <w:lang w:val="es-ES"/>
        </w:rPr>
        <w:t>garantizar una vida sana y promover el bienestar para todos en todas las edades</w:t>
      </w:r>
      <w:r w:rsidR="007B1F4A">
        <w:rPr>
          <w:rFonts w:eastAsia="仿宋"/>
          <w:lang w:val="es-ES"/>
        </w:rPr>
        <w:t>"</w:t>
      </w:r>
      <w:r w:rsidRPr="007B1F4A">
        <w:rPr>
          <w:rFonts w:eastAsia="仿宋"/>
          <w:lang w:val="es-ES"/>
        </w:rPr>
        <w:t xml:space="preserve">, </w:t>
      </w:r>
      <w:r w:rsidR="007B1F4A">
        <w:rPr>
          <w:rFonts w:eastAsia="仿宋"/>
          <w:lang w:val="es-ES"/>
        </w:rPr>
        <w:t>"</w:t>
      </w:r>
      <w:r w:rsidRPr="007B1F4A">
        <w:rPr>
          <w:rFonts w:eastAsia="仿宋"/>
          <w:lang w:val="es-ES"/>
        </w:rPr>
        <w:t>construir infraestructuras resilientes, promover la industrialización inclusiva y sostenible y fomentar la innovación</w:t>
      </w:r>
      <w:r w:rsidR="007B1F4A">
        <w:rPr>
          <w:rFonts w:eastAsia="仿宋"/>
          <w:lang w:val="es-ES"/>
        </w:rPr>
        <w:t>"</w:t>
      </w:r>
      <w:r w:rsidRPr="007B1F4A">
        <w:rPr>
          <w:rFonts w:eastAsia="仿宋"/>
          <w:lang w:val="es-ES"/>
        </w:rPr>
        <w:t xml:space="preserve"> y </w:t>
      </w:r>
      <w:r w:rsidR="007B1F4A">
        <w:rPr>
          <w:rFonts w:eastAsia="仿宋"/>
          <w:lang w:val="es-ES"/>
        </w:rPr>
        <w:t>"</w:t>
      </w:r>
      <w:r w:rsidRPr="007B1F4A">
        <w:rPr>
          <w:rFonts w:eastAsia="仿宋"/>
          <w:lang w:val="es-ES"/>
        </w:rPr>
        <w:t>lograr que las ciudades y los asentamientos humanos sean inclusivos, seguros, resilientes y sostenibles</w:t>
      </w:r>
      <w:r w:rsidR="009F236A" w:rsidRPr="007B1F4A">
        <w:rPr>
          <w:rFonts w:eastAsia="仿宋"/>
          <w:lang w:val="es-ES"/>
        </w:rPr>
        <w:t>"</w:t>
      </w:r>
      <w:r w:rsidR="007B1F4A" w:rsidRPr="00D73762">
        <w:rPr>
          <w:rStyle w:val="FootnoteReference"/>
          <w:rFonts w:eastAsia="仿宋"/>
          <w:lang w:val="fr-FR"/>
        </w:rPr>
        <w:footnoteReference w:id="5"/>
      </w:r>
      <w:r w:rsidR="009F236A" w:rsidRPr="007B1F4A">
        <w:rPr>
          <w:rFonts w:eastAsia="仿宋"/>
          <w:lang w:val="es-ES"/>
        </w:rPr>
        <w:t>.</w:t>
      </w:r>
      <w:bookmarkStart w:id="26" w:name="lt_pId022"/>
      <w:bookmarkEnd w:id="24"/>
      <w:r w:rsidR="009F236A" w:rsidRPr="007B1F4A">
        <w:rPr>
          <w:rFonts w:eastAsia="仿宋" w:cs="Calibri"/>
          <w:b/>
          <w:color w:val="800000"/>
          <w:sz w:val="22"/>
          <w:lang w:val="es-ES"/>
        </w:rPr>
        <w:t xml:space="preserve"> </w:t>
      </w:r>
      <w:r w:rsidRPr="007B1F4A">
        <w:rPr>
          <w:rFonts w:eastAsia="仿宋"/>
          <w:lang w:val="es-ES"/>
        </w:rPr>
        <w:t>En su 20ª edición, el GSR de la UIT (</w:t>
      </w:r>
      <w:r w:rsidR="009F236A" w:rsidRPr="007B1F4A">
        <w:rPr>
          <w:rFonts w:eastAsia="仿宋"/>
          <w:lang w:val="es-ES"/>
        </w:rPr>
        <w:t>GSR-20) prop</w:t>
      </w:r>
      <w:r w:rsidRPr="007B1F4A">
        <w:rPr>
          <w:rFonts w:eastAsia="仿宋"/>
          <w:lang w:val="es-ES"/>
        </w:rPr>
        <w:t>uso la creación de un ecosistema reglamentario adaptativo, resiliente, colaborativo y adaptado a su fin a fin de reconstruir mejor, propiciar la transformación digital para todos y responder a los retos que plantea la transformación digital en los periodos posteriores a crisis mundiales e incluso después</w:t>
      </w:r>
      <w:r w:rsidR="007B1F4A" w:rsidRPr="00D73762">
        <w:rPr>
          <w:rStyle w:val="FootnoteReference"/>
          <w:rFonts w:eastAsia="仿宋"/>
        </w:rPr>
        <w:footnoteReference w:id="6"/>
      </w:r>
      <w:r w:rsidR="009F236A" w:rsidRPr="007B1F4A">
        <w:rPr>
          <w:rFonts w:eastAsia="仿宋"/>
          <w:lang w:val="es-ES"/>
        </w:rPr>
        <w:t>.</w:t>
      </w:r>
      <w:bookmarkEnd w:id="26"/>
      <w:r w:rsidR="009F236A" w:rsidRPr="007B1F4A">
        <w:rPr>
          <w:rFonts w:eastAsia="仿宋"/>
          <w:position w:val="6"/>
          <w:vertAlign w:val="superscript"/>
          <w:lang w:val="es-ES"/>
        </w:rPr>
        <w:t xml:space="preserve"> </w:t>
      </w:r>
      <w:bookmarkStart w:id="28" w:name="lt_pId023"/>
      <w:r w:rsidRPr="007B1F4A">
        <w:rPr>
          <w:rFonts w:eastAsia="仿宋"/>
          <w:lang w:val="es-ES"/>
        </w:rPr>
        <w:t>El GSR dio como resultado las</w:t>
      </w:r>
      <w:r w:rsidR="00E20D09" w:rsidRPr="007B1F4A">
        <w:rPr>
          <w:rFonts w:eastAsia="仿宋"/>
          <w:lang w:val="es-ES"/>
        </w:rPr>
        <w:t xml:space="preserve"> </w:t>
      </w:r>
      <w:bookmarkStart w:id="29" w:name="lt_pId024"/>
      <w:bookmarkEnd w:id="28"/>
      <w:r w:rsidR="00C357CE" w:rsidRPr="00C357CE">
        <w:rPr>
          <w:rFonts w:eastAsia="SimSun"/>
          <w:i/>
          <w:iCs/>
          <w:lang w:val="es-ES"/>
        </w:rPr>
        <w:t xml:space="preserve">Directrices de prácticas </w:t>
      </w:r>
      <w:r w:rsidR="003935AD">
        <w:rPr>
          <w:rFonts w:eastAsia="SimSun"/>
          <w:i/>
          <w:iCs/>
          <w:lang w:val="es-ES"/>
        </w:rPr>
        <w:t>óptimas</w:t>
      </w:r>
      <w:r w:rsidR="00C357CE" w:rsidRPr="00C357CE">
        <w:rPr>
          <w:rFonts w:eastAsia="SimSun"/>
          <w:i/>
          <w:iCs/>
          <w:lang w:val="es-ES"/>
        </w:rPr>
        <w:t>:</w:t>
      </w:r>
      <w:r w:rsidR="00C357CE">
        <w:rPr>
          <w:rFonts w:eastAsia="SimSun"/>
          <w:lang w:val="es-ES"/>
        </w:rPr>
        <w:t xml:space="preserve"> </w:t>
      </w:r>
      <w:r w:rsidR="00C357CE" w:rsidRPr="00B33AE6">
        <w:rPr>
          <w:rFonts w:asciiTheme="minorHAnsi" w:eastAsia="SimSun" w:hAnsiTheme="minorHAnsi" w:cstheme="minorHAnsi"/>
          <w:i/>
          <w:iCs/>
          <w:szCs w:val="24"/>
          <w:lang w:val="es-ES"/>
        </w:rPr>
        <w:t>El marco de referencia para la reglamentación digital</w:t>
      </w:r>
      <w:r w:rsidR="00E20D09" w:rsidRPr="007B1F4A">
        <w:rPr>
          <w:lang w:val="es-ES"/>
        </w:rPr>
        <w:t>.</w:t>
      </w:r>
      <w:r w:rsidR="00E20D09" w:rsidRPr="007B1F4A">
        <w:rPr>
          <w:rFonts w:eastAsia="仿宋"/>
          <w:lang w:val="es-ES"/>
        </w:rPr>
        <w:t xml:space="preserve"> </w:t>
      </w:r>
      <w:r w:rsidRPr="007B1F4A">
        <w:rPr>
          <w:rFonts w:eastAsia="仿宋"/>
          <w:lang w:val="es-ES"/>
        </w:rPr>
        <w:t>Una de las reformas</w:t>
      </w:r>
      <w:r>
        <w:rPr>
          <w:rFonts w:eastAsia="仿宋"/>
          <w:lang w:val="es-ES"/>
        </w:rPr>
        <w:t xml:space="preserve"> propuestas consiste en actualizar los planes nacionales de </w:t>
      </w:r>
      <w:r w:rsidR="00C357CE">
        <w:rPr>
          <w:rFonts w:eastAsia="仿宋"/>
          <w:lang w:val="es-ES"/>
        </w:rPr>
        <w:t xml:space="preserve">emergencia. </w:t>
      </w:r>
      <w:r w:rsidR="00CF5658" w:rsidRPr="00C357CE">
        <w:t xml:space="preserve">La creación y ejecución de planes de emergencia eficaces permite mejorar la preparación y el proceso de toma de decisiones en tiempos de crisis. La cooperación bilateral, regional e internacional es necesaria para garantizar la continuidad de la actividad </w:t>
      </w:r>
      <w:r w:rsidR="00CF5658" w:rsidRPr="00C357CE">
        <w:lastRenderedPageBreak/>
        <w:t>comercial y los servicios públicos y respaldar los esfuerzos de recuperación nacional. Los responsables de las políticas deberían velar por que, en estos planes, se aborden las emergencias sanitarias y las catástrofes físicas</w:t>
      </w:r>
      <w:r w:rsidR="007B1F4A" w:rsidRPr="00C357CE">
        <w:rPr>
          <w:rStyle w:val="FootnoteReference"/>
          <w:rFonts w:eastAsia="仿宋"/>
        </w:rPr>
        <w:footnoteReference w:id="7"/>
      </w:r>
      <w:r w:rsidR="00CF5658" w:rsidRPr="00C357CE">
        <w:t>.</w:t>
      </w:r>
    </w:p>
    <w:p w14:paraId="5FE2535B" w14:textId="2ECA54CD" w:rsidR="009F236A" w:rsidRPr="009A7729" w:rsidRDefault="004959AA" w:rsidP="00B33AE6">
      <w:pPr>
        <w:rPr>
          <w:rFonts w:eastAsia="仿宋"/>
          <w:lang w:val="es-ES"/>
        </w:rPr>
      </w:pPr>
      <w:bookmarkStart w:id="31" w:name="lt_pId027"/>
      <w:bookmarkEnd w:id="29"/>
      <w:r w:rsidRPr="006847A3">
        <w:rPr>
          <w:rFonts w:eastAsia="仿宋"/>
          <w:lang w:val="es-ES"/>
        </w:rPr>
        <w:t xml:space="preserve">Desde el punto de vista de los Estados Miembros, todos los países </w:t>
      </w:r>
      <w:r w:rsidR="006847A3" w:rsidRPr="006847A3">
        <w:rPr>
          <w:rFonts w:eastAsia="仿宋"/>
          <w:lang w:val="es-ES"/>
        </w:rPr>
        <w:t>otorgan una gran pr</w:t>
      </w:r>
      <w:r w:rsidR="006847A3">
        <w:rPr>
          <w:rFonts w:eastAsia="仿宋"/>
          <w:lang w:val="es-ES"/>
        </w:rPr>
        <w:t xml:space="preserve">ioridad al importante papel de las TIC en la prevención y el control de las emergencias de salud pública. </w:t>
      </w:r>
      <w:r w:rsidR="006847A3" w:rsidRPr="006847A3">
        <w:rPr>
          <w:rFonts w:eastAsia="仿宋"/>
          <w:lang w:val="es-ES"/>
        </w:rPr>
        <w:t>Muchos países ya han recurrido a los registros y datos de comunicaciones para rastrear la dinámica de</w:t>
      </w:r>
      <w:r w:rsidR="006847A3">
        <w:rPr>
          <w:rFonts w:eastAsia="仿宋"/>
          <w:lang w:val="es-ES"/>
        </w:rPr>
        <w:t xml:space="preserve"> la pandemia, hacer un seguimiento de la exposición a virus, determinar el trayecto de transmisión vírica y predecir la evolución de la pandemia. </w:t>
      </w:r>
      <w:r w:rsidR="006847A3" w:rsidRPr="006847A3">
        <w:rPr>
          <w:rFonts w:eastAsia="仿宋"/>
          <w:lang w:val="es-ES"/>
        </w:rPr>
        <w:t>Durante el brote de Ébola en varios países de África Occidental de 2014,</w:t>
      </w:r>
      <w:bookmarkStart w:id="32" w:name="lt_pId029"/>
      <w:bookmarkEnd w:id="31"/>
      <w:r w:rsidR="009F236A" w:rsidRPr="006847A3">
        <w:rPr>
          <w:rFonts w:eastAsia="仿宋"/>
          <w:lang w:val="es-ES"/>
        </w:rPr>
        <w:t xml:space="preserve"> Orange Telecom </w:t>
      </w:r>
      <w:r w:rsidR="006847A3" w:rsidRPr="006847A3">
        <w:rPr>
          <w:rFonts w:eastAsia="仿宋"/>
          <w:lang w:val="es-ES"/>
        </w:rPr>
        <w:t>e</w:t>
      </w:r>
      <w:r w:rsidR="009F236A" w:rsidRPr="006847A3">
        <w:rPr>
          <w:rFonts w:eastAsia="仿宋"/>
          <w:lang w:val="es-ES"/>
        </w:rPr>
        <w:t xml:space="preserve">n Senegal </w:t>
      </w:r>
      <w:r w:rsidR="006847A3" w:rsidRPr="006847A3">
        <w:rPr>
          <w:rFonts w:eastAsia="仿宋"/>
          <w:lang w:val="es-ES"/>
        </w:rPr>
        <w:t xml:space="preserve">facilitó mensajes vocales y SMS anónimos de </w:t>
      </w:r>
      <w:r w:rsidR="009F236A" w:rsidRPr="006847A3">
        <w:rPr>
          <w:rFonts w:eastAsia="仿宋"/>
          <w:lang w:val="es-ES"/>
        </w:rPr>
        <w:t>150</w:t>
      </w:r>
      <w:r w:rsidR="006847A3" w:rsidRPr="006847A3">
        <w:rPr>
          <w:rFonts w:eastAsia="仿宋"/>
          <w:lang w:val="es-ES"/>
        </w:rPr>
        <w:t xml:space="preserve"> </w:t>
      </w:r>
      <w:r w:rsidR="009F236A" w:rsidRPr="006847A3">
        <w:rPr>
          <w:rFonts w:eastAsia="仿宋"/>
          <w:lang w:val="es-ES"/>
        </w:rPr>
        <w:t xml:space="preserve">000 </w:t>
      </w:r>
      <w:r w:rsidR="006847A3" w:rsidRPr="006847A3">
        <w:rPr>
          <w:rFonts w:eastAsia="仿宋"/>
          <w:lang w:val="es-ES"/>
        </w:rPr>
        <w:t>teléfonos celulares a</w:t>
      </w:r>
      <w:r w:rsidR="009F236A" w:rsidRPr="006847A3">
        <w:rPr>
          <w:rFonts w:eastAsia="仿宋"/>
          <w:lang w:val="es-ES"/>
        </w:rPr>
        <w:t xml:space="preserve"> </w:t>
      </w:r>
      <w:proofErr w:type="spellStart"/>
      <w:r w:rsidR="009F236A" w:rsidRPr="006847A3">
        <w:rPr>
          <w:rFonts w:eastAsia="仿宋"/>
          <w:lang w:val="es-ES"/>
        </w:rPr>
        <w:t>Flowminder</w:t>
      </w:r>
      <w:proofErr w:type="spellEnd"/>
      <w:r w:rsidR="009F236A" w:rsidRPr="006847A3">
        <w:rPr>
          <w:rFonts w:eastAsia="仿宋"/>
          <w:lang w:val="es-ES"/>
        </w:rPr>
        <w:t xml:space="preserve">, </w:t>
      </w:r>
      <w:r w:rsidR="006847A3" w:rsidRPr="006847A3">
        <w:rPr>
          <w:rFonts w:eastAsia="仿宋"/>
          <w:lang w:val="es-ES"/>
        </w:rPr>
        <w:t>organización sin fines lucrativos sueca, que utilizó esa información para cart</w:t>
      </w:r>
      <w:r w:rsidR="006847A3">
        <w:rPr>
          <w:rFonts w:eastAsia="仿宋"/>
          <w:lang w:val="es-ES"/>
        </w:rPr>
        <w:t>ografiar los movimientos de la población en la región, ubicar los brotes locales, predecir la difusión del virus y ofrecer información de primera mano para la distribución racional de suministros médicos y optimizar las ayudas.</w:t>
      </w:r>
      <w:bookmarkEnd w:id="32"/>
      <w:r w:rsidR="009F236A" w:rsidRPr="006847A3">
        <w:rPr>
          <w:rFonts w:eastAsia="仿宋"/>
          <w:lang w:val="es-ES"/>
        </w:rPr>
        <w:t xml:space="preserve"> </w:t>
      </w:r>
      <w:bookmarkStart w:id="33" w:name="lt_pId030"/>
      <w:r w:rsidR="006847A3" w:rsidRPr="006847A3">
        <w:rPr>
          <w:rFonts w:eastAsia="仿宋"/>
          <w:lang w:val="es-ES"/>
        </w:rPr>
        <w:t>El Centro de Control y Prevención de Enfermedades de Estados Unidos</w:t>
      </w:r>
      <w:r w:rsidR="009F236A" w:rsidRPr="006847A3">
        <w:rPr>
          <w:rFonts w:eastAsia="仿宋"/>
          <w:lang w:val="es-ES"/>
        </w:rPr>
        <w:t xml:space="preserve"> (CDC) </w:t>
      </w:r>
      <w:r w:rsidR="006847A3" w:rsidRPr="006847A3">
        <w:rPr>
          <w:rFonts w:eastAsia="仿宋"/>
          <w:lang w:val="es-ES"/>
        </w:rPr>
        <w:t>obtuvo de los operadores móviles la localización de los usuarios que llamaban a la línea de ayuda Ébola y encargó a</w:t>
      </w:r>
      <w:r w:rsidR="009F236A" w:rsidRPr="006847A3">
        <w:rPr>
          <w:rFonts w:eastAsia="仿宋"/>
          <w:lang w:val="es-ES"/>
        </w:rPr>
        <w:t xml:space="preserve"> </w:t>
      </w:r>
      <w:r w:rsidR="005D3CD4" w:rsidRPr="006847A3">
        <w:rPr>
          <w:rFonts w:eastAsia="仿宋"/>
          <w:lang w:val="es-ES"/>
        </w:rPr>
        <w:t>ESRI</w:t>
      </w:r>
      <w:r w:rsidR="009F236A" w:rsidRPr="006847A3">
        <w:rPr>
          <w:rFonts w:eastAsia="仿宋"/>
          <w:lang w:val="es-ES"/>
        </w:rPr>
        <w:t xml:space="preserve">, </w:t>
      </w:r>
      <w:r w:rsidR="006847A3" w:rsidRPr="006847A3">
        <w:rPr>
          <w:rFonts w:eastAsia="仿宋"/>
          <w:lang w:val="es-ES"/>
        </w:rPr>
        <w:t>e</w:t>
      </w:r>
      <w:r w:rsidR="006847A3">
        <w:rPr>
          <w:rFonts w:eastAsia="仿宋"/>
          <w:lang w:val="es-ES"/>
        </w:rPr>
        <w:t>mpresa de software de cartografía, que utilizase esa información, así como los datos del censo, para crear un mapa en el que se mostrasen claramente la ubicación y trayectos migratorios de las personas contagiadas, ayudando así al gobierno a movilizar más recursos médicos para ayudar a los residentes en la zona</w:t>
      </w:r>
      <w:r w:rsidR="005D3CD4" w:rsidRPr="009F236A">
        <w:rPr>
          <w:rFonts w:eastAsia="仿宋"/>
          <w:position w:val="6"/>
          <w:sz w:val="16"/>
          <w:szCs w:val="16"/>
          <w:lang w:val="en-US"/>
        </w:rPr>
        <w:footnoteReference w:id="8"/>
      </w:r>
      <w:r w:rsidR="009F236A" w:rsidRPr="006847A3">
        <w:rPr>
          <w:rFonts w:eastAsia="仿宋"/>
          <w:lang w:val="es-ES"/>
        </w:rPr>
        <w:t>.</w:t>
      </w:r>
      <w:bookmarkEnd w:id="33"/>
      <w:r w:rsidR="009F236A" w:rsidRPr="006847A3">
        <w:rPr>
          <w:rFonts w:eastAsia="仿宋"/>
          <w:lang w:val="es-ES"/>
        </w:rPr>
        <w:t xml:space="preserve"> </w:t>
      </w:r>
      <w:bookmarkStart w:id="35" w:name="lt_pId031"/>
      <w:r w:rsidR="006847A3" w:rsidRPr="009A7729">
        <w:rPr>
          <w:rFonts w:eastAsia="仿宋"/>
          <w:lang w:val="es-ES"/>
        </w:rPr>
        <w:t>E</w:t>
      </w:r>
      <w:r w:rsidR="009F236A" w:rsidRPr="009A7729">
        <w:rPr>
          <w:rFonts w:eastAsia="仿宋"/>
          <w:lang w:val="es-ES"/>
        </w:rPr>
        <w:t>n 2020</w:t>
      </w:r>
      <w:r w:rsidR="006847A3" w:rsidRPr="009A7729">
        <w:rPr>
          <w:rFonts w:eastAsia="仿宋"/>
          <w:lang w:val="es-ES"/>
        </w:rPr>
        <w:t xml:space="preserve"> el Gobierno indio creó una aplicación móvil,</w:t>
      </w:r>
      <w:r w:rsidR="009F236A" w:rsidRPr="009A7729">
        <w:rPr>
          <w:rFonts w:eastAsia="仿宋"/>
          <w:lang w:val="es-ES"/>
        </w:rPr>
        <w:t xml:space="preserve"> "</w:t>
      </w:r>
      <w:proofErr w:type="spellStart"/>
      <w:r w:rsidR="009F236A" w:rsidRPr="009A7729">
        <w:rPr>
          <w:rFonts w:eastAsia="仿宋"/>
          <w:lang w:val="es-ES"/>
        </w:rPr>
        <w:t>Aarogya</w:t>
      </w:r>
      <w:proofErr w:type="spellEnd"/>
      <w:r w:rsidR="009F236A" w:rsidRPr="009A7729">
        <w:rPr>
          <w:rFonts w:eastAsia="仿宋"/>
          <w:lang w:val="es-ES"/>
        </w:rPr>
        <w:t xml:space="preserve"> </w:t>
      </w:r>
      <w:proofErr w:type="spellStart"/>
      <w:r w:rsidR="009F236A" w:rsidRPr="009A7729">
        <w:rPr>
          <w:rFonts w:eastAsia="仿宋"/>
          <w:lang w:val="es-ES"/>
        </w:rPr>
        <w:t>Setu</w:t>
      </w:r>
      <w:proofErr w:type="spellEnd"/>
      <w:r w:rsidR="009F236A" w:rsidRPr="009A7729">
        <w:rPr>
          <w:rFonts w:eastAsia="仿宋"/>
          <w:lang w:val="es-ES"/>
        </w:rPr>
        <w:t xml:space="preserve">", </w:t>
      </w:r>
      <w:r w:rsidR="009A7729" w:rsidRPr="009A7729">
        <w:rPr>
          <w:rFonts w:eastAsia="仿宋"/>
          <w:lang w:val="es-ES"/>
        </w:rPr>
        <w:t>que u</w:t>
      </w:r>
      <w:r w:rsidR="009A7729">
        <w:rPr>
          <w:rFonts w:eastAsia="仿宋"/>
          <w:lang w:val="es-ES"/>
        </w:rPr>
        <w:t>tiliza</w:t>
      </w:r>
      <w:r w:rsidR="009F236A" w:rsidRPr="009A7729">
        <w:rPr>
          <w:rFonts w:eastAsia="仿宋"/>
          <w:lang w:val="es-ES"/>
        </w:rPr>
        <w:t xml:space="preserve"> Bluetooth </w:t>
      </w:r>
      <w:r w:rsidR="009A7729">
        <w:rPr>
          <w:rFonts w:eastAsia="仿宋"/>
          <w:lang w:val="es-ES"/>
        </w:rPr>
        <w:t>para rastrear automáticamente los contactos y elaborar estadísticas de la COVID</w:t>
      </w:r>
      <w:r w:rsidR="005D3CD4">
        <w:rPr>
          <w:rFonts w:eastAsia="仿宋"/>
          <w:lang w:val="es-ES"/>
        </w:rPr>
        <w:noBreakHyphen/>
      </w:r>
      <w:r w:rsidR="009A7729">
        <w:rPr>
          <w:rFonts w:eastAsia="仿宋"/>
          <w:lang w:val="es-ES"/>
        </w:rPr>
        <w:t>19 por emplazamientos</w:t>
      </w:r>
      <w:r w:rsidR="005D3CD4" w:rsidRPr="009F236A">
        <w:rPr>
          <w:rFonts w:eastAsia="仿宋"/>
          <w:position w:val="6"/>
          <w:sz w:val="16"/>
          <w:szCs w:val="16"/>
          <w:lang w:val="en-US"/>
        </w:rPr>
        <w:footnoteReference w:id="9"/>
      </w:r>
      <w:r w:rsidR="009F236A" w:rsidRPr="009A7729">
        <w:rPr>
          <w:rFonts w:eastAsia="仿宋"/>
          <w:lang w:val="es-ES"/>
        </w:rPr>
        <w:t>.</w:t>
      </w:r>
      <w:bookmarkEnd w:id="35"/>
      <w:r w:rsidR="009F236A" w:rsidRPr="009A7729">
        <w:rPr>
          <w:rFonts w:eastAsia="仿宋"/>
          <w:lang w:val="es-ES"/>
        </w:rPr>
        <w:t xml:space="preserve"> </w:t>
      </w:r>
      <w:bookmarkStart w:id="37" w:name="lt_pId032"/>
      <w:r w:rsidR="009F236A" w:rsidRPr="008C0D1F">
        <w:rPr>
          <w:rFonts w:eastAsia="仿宋"/>
          <w:lang w:val="es-ES"/>
        </w:rPr>
        <w:t xml:space="preserve">China </w:t>
      </w:r>
      <w:r w:rsidR="009A7729" w:rsidRPr="008C0D1F">
        <w:rPr>
          <w:rFonts w:eastAsia="仿宋"/>
          <w:lang w:val="es-ES"/>
        </w:rPr>
        <w:t xml:space="preserve">lanzó durante la pandemia la </w:t>
      </w:r>
      <w:r w:rsidR="005D3CD4">
        <w:rPr>
          <w:rFonts w:eastAsia="仿宋"/>
          <w:lang w:val="es-ES"/>
        </w:rPr>
        <w:t>"</w:t>
      </w:r>
      <w:r w:rsidR="009A7729" w:rsidRPr="008C0D1F">
        <w:rPr>
          <w:rFonts w:eastAsia="仿宋"/>
          <w:lang w:val="es-ES"/>
        </w:rPr>
        <w:t>tarjeta de viaje de macrodatos de comunicación</w:t>
      </w:r>
      <w:r w:rsidR="005D3CD4">
        <w:rPr>
          <w:rFonts w:eastAsia="仿宋"/>
          <w:lang w:val="es-ES"/>
        </w:rPr>
        <w:t>"</w:t>
      </w:r>
      <w:r w:rsidR="009A7729" w:rsidRPr="008C0D1F">
        <w:rPr>
          <w:rFonts w:eastAsia="仿宋"/>
          <w:lang w:val="es-ES"/>
        </w:rPr>
        <w:t>, que permite a cada persona verificar sus itinerarios nacio</w:t>
      </w:r>
      <w:r w:rsidR="005D3CD4">
        <w:rPr>
          <w:rFonts w:eastAsia="仿宋"/>
          <w:lang w:val="es-ES"/>
        </w:rPr>
        <w:t>n</w:t>
      </w:r>
      <w:r w:rsidR="009A7729" w:rsidRPr="008C0D1F">
        <w:rPr>
          <w:rFonts w:eastAsia="仿宋"/>
          <w:lang w:val="es-ES"/>
        </w:rPr>
        <w:t xml:space="preserve">ales e internacionales de los últimos 14 días. </w:t>
      </w:r>
      <w:r w:rsidR="009A7729" w:rsidRPr="009A7729">
        <w:rPr>
          <w:rFonts w:eastAsia="仿宋"/>
          <w:lang w:val="es-ES"/>
        </w:rPr>
        <w:t>Este país está estudiando la posibilidad de utilizar los macrodatos de comunicación para crear una nueva generación de modelos de seguimiento, prevención y control de enfermedades infecciosas</w:t>
      </w:r>
      <w:r w:rsidR="005D3CD4" w:rsidRPr="009F236A">
        <w:rPr>
          <w:rFonts w:eastAsia="仿宋"/>
          <w:position w:val="6"/>
          <w:sz w:val="16"/>
          <w:szCs w:val="16"/>
          <w:lang w:val="en-US"/>
        </w:rPr>
        <w:footnoteReference w:id="10"/>
      </w:r>
      <w:r w:rsidR="009F236A" w:rsidRPr="009A7729">
        <w:rPr>
          <w:rFonts w:eastAsia="仿宋"/>
          <w:lang w:val="es-ES"/>
        </w:rPr>
        <w:t>.</w:t>
      </w:r>
      <w:bookmarkEnd w:id="37"/>
      <w:r w:rsidR="009F236A" w:rsidRPr="009A7729">
        <w:rPr>
          <w:rFonts w:eastAsia="仿宋"/>
          <w:lang w:val="es-ES"/>
        </w:rPr>
        <w:t xml:space="preserve"> </w:t>
      </w:r>
    </w:p>
    <w:p w14:paraId="08A4A660" w14:textId="6B07BAE1" w:rsidR="009F236A" w:rsidRPr="00B33AE6" w:rsidRDefault="009F236A" w:rsidP="00B33AE6">
      <w:pPr>
        <w:pStyle w:val="Headingb"/>
        <w:spacing w:before="360"/>
        <w:rPr>
          <w:rFonts w:eastAsia="仿宋"/>
          <w:lang w:val="fr-FR"/>
        </w:rPr>
      </w:pPr>
      <w:bookmarkStart w:id="39" w:name="lt_pId033"/>
      <w:proofErr w:type="spellStart"/>
      <w:r w:rsidRPr="00B33AE6">
        <w:rPr>
          <w:rFonts w:eastAsia="仿宋"/>
          <w:lang w:val="fr-FR"/>
        </w:rPr>
        <w:t>An</w:t>
      </w:r>
      <w:r w:rsidR="009A7729" w:rsidRPr="00B33AE6">
        <w:rPr>
          <w:rFonts w:eastAsia="仿宋"/>
          <w:lang w:val="fr-FR"/>
        </w:rPr>
        <w:t>álisis</w:t>
      </w:r>
      <w:bookmarkEnd w:id="39"/>
      <w:proofErr w:type="spellEnd"/>
    </w:p>
    <w:p w14:paraId="2F8F5BF6" w14:textId="374C0C47" w:rsidR="009F236A" w:rsidRPr="009A7729" w:rsidRDefault="009A7729" w:rsidP="00B33AE6">
      <w:pPr>
        <w:rPr>
          <w:rFonts w:eastAsia="仿宋"/>
          <w:lang w:val="es-ES"/>
        </w:rPr>
      </w:pPr>
      <w:bookmarkStart w:id="40" w:name="lt_pId034"/>
      <w:r w:rsidRPr="009A7729">
        <w:rPr>
          <w:rFonts w:eastAsia="仿宋"/>
          <w:lang w:val="es-ES"/>
        </w:rPr>
        <w:t xml:space="preserve">El Plan Estratégico de la UIT es un importante documento estratégico, elaborado de conformidad con la Constitución y el Convenio de la Unión, que orienta las actividades de la Unión durante un periodo </w:t>
      </w:r>
      <w:r>
        <w:rPr>
          <w:rFonts w:eastAsia="仿宋"/>
          <w:lang w:val="es-ES"/>
        </w:rPr>
        <w:t xml:space="preserve">de cuatro años. </w:t>
      </w:r>
      <w:r w:rsidRPr="009A7729">
        <w:rPr>
          <w:rFonts w:eastAsia="仿宋"/>
          <w:lang w:val="es-ES"/>
        </w:rPr>
        <w:t>Los objetivos identificados en la Resolución</w:t>
      </w:r>
      <w:bookmarkStart w:id="41" w:name="lt_pId035"/>
      <w:bookmarkEnd w:id="40"/>
      <w:r w:rsidR="009F236A" w:rsidRPr="009A7729">
        <w:rPr>
          <w:rFonts w:eastAsia="仿宋"/>
          <w:lang w:val="es-ES"/>
        </w:rPr>
        <w:t xml:space="preserve"> 71 (Rev. Dub</w:t>
      </w:r>
      <w:r w:rsidRPr="009A7729">
        <w:rPr>
          <w:rFonts w:eastAsia="仿宋"/>
          <w:lang w:val="es-ES"/>
        </w:rPr>
        <w:t>á</w:t>
      </w:r>
      <w:r w:rsidR="009F236A" w:rsidRPr="009A7729">
        <w:rPr>
          <w:rFonts w:eastAsia="仿宋"/>
          <w:lang w:val="es-ES"/>
        </w:rPr>
        <w:t>i, 2018)</w:t>
      </w:r>
      <w:r w:rsidRPr="009A7729">
        <w:rPr>
          <w:rFonts w:eastAsia="仿宋"/>
          <w:lang w:val="es-ES"/>
        </w:rPr>
        <w:t>, Plan Estratégico de la Unión para</w:t>
      </w:r>
      <w:r w:rsidR="009F236A" w:rsidRPr="009A7729">
        <w:rPr>
          <w:rFonts w:eastAsia="仿宋"/>
          <w:lang w:val="es-ES"/>
        </w:rPr>
        <w:t xml:space="preserve"> 2020-2023</w:t>
      </w:r>
      <w:r w:rsidRPr="009A7729">
        <w:rPr>
          <w:rFonts w:eastAsia="仿宋"/>
          <w:lang w:val="es-ES"/>
        </w:rPr>
        <w:t xml:space="preserve">, no refleja </w:t>
      </w:r>
      <w:proofErr w:type="spellStart"/>
      <w:r w:rsidRPr="009A7729">
        <w:rPr>
          <w:rFonts w:eastAsia="仿宋"/>
          <w:lang w:val="es-ES"/>
        </w:rPr>
        <w:t>aún</w:t>
      </w:r>
      <w:proofErr w:type="spellEnd"/>
      <w:r w:rsidRPr="009A7729">
        <w:rPr>
          <w:rFonts w:eastAsia="仿宋"/>
          <w:lang w:val="es-ES"/>
        </w:rPr>
        <w:t xml:space="preserve"> claramente las más recientes novedades e influencia de las TIC para las</w:t>
      </w:r>
      <w:r w:rsidR="009F236A" w:rsidRPr="009A7729">
        <w:rPr>
          <w:rFonts w:eastAsia="仿宋"/>
          <w:lang w:val="es-ES"/>
        </w:rPr>
        <w:t xml:space="preserve"> PHEIC, </w:t>
      </w:r>
      <w:r w:rsidRPr="009A7729">
        <w:rPr>
          <w:rFonts w:eastAsia="仿宋"/>
          <w:lang w:val="es-ES"/>
        </w:rPr>
        <w:t>p</w:t>
      </w:r>
      <w:r>
        <w:rPr>
          <w:rFonts w:eastAsia="仿宋"/>
          <w:lang w:val="es-ES"/>
        </w:rPr>
        <w:t>or lo que se recomienda considerarlas e incluirlas en el Plan para los próximos cuatro años</w:t>
      </w:r>
      <w:r w:rsidR="009F236A" w:rsidRPr="009A7729">
        <w:rPr>
          <w:rFonts w:eastAsia="仿宋"/>
          <w:lang w:val="es-ES"/>
        </w:rPr>
        <w:t>.</w:t>
      </w:r>
      <w:bookmarkEnd w:id="41"/>
    </w:p>
    <w:p w14:paraId="29C7B0DA" w14:textId="6504937B" w:rsidR="009F236A" w:rsidRPr="00B33AE6" w:rsidRDefault="009F236A" w:rsidP="00B33AE6">
      <w:pPr>
        <w:pStyle w:val="Headingb"/>
        <w:rPr>
          <w:rFonts w:eastAsia="仿宋"/>
          <w:lang w:val="fr-FR"/>
        </w:rPr>
      </w:pPr>
      <w:bookmarkStart w:id="42" w:name="lt_pId036"/>
      <w:proofErr w:type="spellStart"/>
      <w:r w:rsidRPr="00B33AE6">
        <w:rPr>
          <w:rFonts w:eastAsia="仿宋"/>
          <w:lang w:val="fr-FR"/>
        </w:rPr>
        <w:lastRenderedPageBreak/>
        <w:t>Prop</w:t>
      </w:r>
      <w:r w:rsidR="009A7729" w:rsidRPr="00B33AE6">
        <w:rPr>
          <w:rFonts w:eastAsia="仿宋"/>
          <w:lang w:val="fr-FR"/>
        </w:rPr>
        <w:t>uesta</w:t>
      </w:r>
      <w:bookmarkEnd w:id="42"/>
      <w:proofErr w:type="spellEnd"/>
    </w:p>
    <w:p w14:paraId="6CD875C8" w14:textId="7A07FBA6" w:rsidR="009F236A" w:rsidRPr="008C0D1F" w:rsidRDefault="009A7729" w:rsidP="00B33AE6">
      <w:pPr>
        <w:rPr>
          <w:rFonts w:eastAsia="仿宋"/>
          <w:lang w:val="es-ES"/>
        </w:rPr>
      </w:pPr>
      <w:bookmarkStart w:id="43" w:name="lt_pId037"/>
      <w:r w:rsidRPr="009A7729">
        <w:rPr>
          <w:rFonts w:eastAsia="仿宋"/>
          <w:lang w:val="es-ES"/>
        </w:rPr>
        <w:t>En resumen, se recomienda que la UIT añada las TIC para las</w:t>
      </w:r>
      <w:r w:rsidR="009F236A" w:rsidRPr="009A7729">
        <w:rPr>
          <w:rFonts w:eastAsia="仿宋"/>
          <w:lang w:val="es-ES"/>
        </w:rPr>
        <w:t xml:space="preserve"> PHEIC </w:t>
      </w:r>
      <w:r w:rsidRPr="009A7729">
        <w:rPr>
          <w:rFonts w:eastAsia="仿宋"/>
          <w:lang w:val="es-ES"/>
        </w:rPr>
        <w:t>en su Plan Est</w:t>
      </w:r>
      <w:r>
        <w:rPr>
          <w:rFonts w:eastAsia="仿宋"/>
          <w:lang w:val="es-ES"/>
        </w:rPr>
        <w:t xml:space="preserve">ratégico a medio y largo plazo. </w:t>
      </w:r>
      <w:r w:rsidRPr="008C0D1F">
        <w:rPr>
          <w:rFonts w:eastAsia="仿宋"/>
          <w:lang w:val="es-ES"/>
        </w:rPr>
        <w:t>Concretamente se recomienda</w:t>
      </w:r>
      <w:bookmarkStart w:id="44" w:name="lt_pId038"/>
      <w:bookmarkEnd w:id="43"/>
      <w:r w:rsidR="009F236A" w:rsidRPr="008C0D1F">
        <w:rPr>
          <w:rFonts w:eastAsia="仿宋"/>
          <w:lang w:val="es-ES"/>
        </w:rPr>
        <w:t>:</w:t>
      </w:r>
      <w:bookmarkEnd w:id="44"/>
      <w:r w:rsidR="009F236A" w:rsidRPr="008C0D1F">
        <w:rPr>
          <w:rFonts w:eastAsia="仿宋"/>
          <w:lang w:val="es-ES"/>
        </w:rPr>
        <w:t xml:space="preserve"> </w:t>
      </w:r>
    </w:p>
    <w:p w14:paraId="472B6AA6" w14:textId="434B6039" w:rsidR="009F236A" w:rsidRPr="00B33AE6" w:rsidRDefault="009F236A" w:rsidP="00B33AE6">
      <w:pPr>
        <w:pStyle w:val="enumlev1"/>
        <w:rPr>
          <w:rFonts w:eastAsia="仿宋"/>
        </w:rPr>
      </w:pPr>
      <w:bookmarkStart w:id="45" w:name="lt_pId039"/>
      <w:r w:rsidRPr="00B33AE6">
        <w:rPr>
          <w:rFonts w:eastAsia="仿宋"/>
        </w:rPr>
        <w:t>•</w:t>
      </w:r>
      <w:r w:rsidRPr="00B33AE6">
        <w:rPr>
          <w:rFonts w:eastAsia="仿宋"/>
        </w:rPr>
        <w:tab/>
        <w:t>Consider</w:t>
      </w:r>
      <w:r w:rsidR="009A7729" w:rsidRPr="00B33AE6">
        <w:rPr>
          <w:rFonts w:eastAsia="仿宋"/>
        </w:rPr>
        <w:t xml:space="preserve">ar la posibilidad de incluir la mejor utilización de las TIC para </w:t>
      </w:r>
      <w:r w:rsidR="00F25C6C" w:rsidRPr="00B33AE6">
        <w:rPr>
          <w:rFonts w:eastAsia="仿宋"/>
        </w:rPr>
        <w:t>la prevención y el control de las PHEIC, y la posterior recuperación, en las metas estratégicas del Plan Estratégico de la UIT para</w:t>
      </w:r>
      <w:r w:rsidRPr="00B33AE6">
        <w:rPr>
          <w:rFonts w:eastAsia="仿宋"/>
        </w:rPr>
        <w:t xml:space="preserve"> 2024-2027.</w:t>
      </w:r>
      <w:bookmarkEnd w:id="45"/>
    </w:p>
    <w:p w14:paraId="67A738D8" w14:textId="024D8B7B" w:rsidR="009F236A" w:rsidRPr="00B33AE6" w:rsidRDefault="009F236A" w:rsidP="00B33AE6">
      <w:pPr>
        <w:pStyle w:val="enumlev1"/>
        <w:rPr>
          <w:rFonts w:eastAsia="仿宋"/>
        </w:rPr>
      </w:pPr>
      <w:r w:rsidRPr="00B33AE6">
        <w:rPr>
          <w:rFonts w:eastAsia="仿宋"/>
        </w:rPr>
        <w:t>•</w:t>
      </w:r>
      <w:r w:rsidRPr="00B33AE6">
        <w:rPr>
          <w:rFonts w:eastAsia="仿宋"/>
        </w:rPr>
        <w:tab/>
      </w:r>
      <w:bookmarkStart w:id="46" w:name="lt_pId040"/>
      <w:r w:rsidR="003935AD">
        <w:rPr>
          <w:rFonts w:eastAsia="仿宋"/>
        </w:rPr>
        <w:t>F</w:t>
      </w:r>
      <w:r w:rsidR="00F25C6C" w:rsidRPr="00B33AE6">
        <w:rPr>
          <w:rFonts w:eastAsia="仿宋"/>
        </w:rPr>
        <w:t xml:space="preserve">omentar la obtención y recopilación de prácticas </w:t>
      </w:r>
      <w:r w:rsidR="003935AD">
        <w:rPr>
          <w:rFonts w:eastAsia="仿宋"/>
        </w:rPr>
        <w:t xml:space="preserve">óptimas </w:t>
      </w:r>
      <w:r w:rsidR="00F25C6C" w:rsidRPr="00B33AE6">
        <w:rPr>
          <w:rFonts w:eastAsia="仿宋"/>
        </w:rPr>
        <w:t>relativas a la utilización de las TIC para responder a las</w:t>
      </w:r>
      <w:r w:rsidRPr="00B33AE6">
        <w:rPr>
          <w:rFonts w:eastAsia="仿宋"/>
        </w:rPr>
        <w:t xml:space="preserve"> PHEIC</w:t>
      </w:r>
      <w:r w:rsidR="00F25C6C" w:rsidRPr="00B33AE6">
        <w:rPr>
          <w:rFonts w:eastAsia="仿宋"/>
        </w:rPr>
        <w:t xml:space="preserve"> de los países y regiones participantes en la plataforma</w:t>
      </w:r>
      <w:r w:rsidRPr="00B33AE6">
        <w:rPr>
          <w:rFonts w:eastAsia="仿宋"/>
        </w:rPr>
        <w:t xml:space="preserve"> #REG4COVID </w:t>
      </w:r>
      <w:r w:rsidR="00F25C6C" w:rsidRPr="00B33AE6">
        <w:rPr>
          <w:rFonts w:eastAsia="仿宋"/>
        </w:rPr>
        <w:t xml:space="preserve">y publicar periódicamente </w:t>
      </w:r>
      <w:r w:rsidR="003935AD">
        <w:rPr>
          <w:rFonts w:eastAsia="仿宋"/>
        </w:rPr>
        <w:t>"</w:t>
      </w:r>
      <w:r w:rsidR="00F25C6C" w:rsidRPr="00B33AE6">
        <w:rPr>
          <w:rFonts w:eastAsia="仿宋"/>
        </w:rPr>
        <w:t>conjuntos de herramientas</w:t>
      </w:r>
      <w:r w:rsidR="003935AD">
        <w:rPr>
          <w:rFonts w:eastAsia="仿宋"/>
        </w:rPr>
        <w:t>"</w:t>
      </w:r>
      <w:r w:rsidR="00F25C6C" w:rsidRPr="00B33AE6">
        <w:rPr>
          <w:rFonts w:eastAsia="仿宋"/>
        </w:rPr>
        <w:t xml:space="preserve"> de prácticas </w:t>
      </w:r>
      <w:r w:rsidR="003935AD">
        <w:rPr>
          <w:rFonts w:eastAsia="仿宋"/>
        </w:rPr>
        <w:t xml:space="preserve">óptimas </w:t>
      </w:r>
      <w:r w:rsidR="00F25C6C" w:rsidRPr="00B33AE6">
        <w:rPr>
          <w:rFonts w:eastAsia="仿宋"/>
        </w:rPr>
        <w:t>o estudios afines</w:t>
      </w:r>
      <w:r w:rsidRPr="00B33AE6">
        <w:rPr>
          <w:rFonts w:eastAsia="仿宋"/>
        </w:rPr>
        <w:t>.</w:t>
      </w:r>
      <w:bookmarkEnd w:id="46"/>
    </w:p>
    <w:p w14:paraId="16DA73AC" w14:textId="77777777" w:rsidR="009F236A" w:rsidRPr="00F25C6C" w:rsidRDefault="009F236A" w:rsidP="00411C49">
      <w:pPr>
        <w:pStyle w:val="Reasons"/>
        <w:rPr>
          <w:lang w:val="es-ES"/>
        </w:rPr>
      </w:pPr>
    </w:p>
    <w:p w14:paraId="5594551D" w14:textId="77777777" w:rsidR="009F236A" w:rsidRDefault="009F236A">
      <w:pPr>
        <w:jc w:val="center"/>
      </w:pPr>
      <w:r>
        <w:t>______________</w:t>
      </w:r>
    </w:p>
    <w:sectPr w:rsidR="009F236A"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A5D2" w14:textId="77777777" w:rsidR="00E90502" w:rsidRDefault="00E90502">
      <w:r>
        <w:separator/>
      </w:r>
    </w:p>
  </w:endnote>
  <w:endnote w:type="continuationSeparator" w:id="0">
    <w:p w14:paraId="7E79DF92" w14:textId="77777777" w:rsidR="00E90502" w:rsidRDefault="00E9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仿宋">
    <w:altName w:val="Microsoft YaHe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9662" w14:textId="7461BC1E" w:rsidR="00BE0CB5" w:rsidRPr="0046053F" w:rsidRDefault="00334C8F" w:rsidP="00334C8F">
    <w:pPr>
      <w:pStyle w:val="Footer"/>
      <w:rPr>
        <w:color w:val="F2F2F2" w:themeColor="background1" w:themeShade="F2"/>
      </w:rPr>
    </w:pPr>
    <w:r w:rsidRPr="0046053F">
      <w:rPr>
        <w:color w:val="F2F2F2" w:themeColor="background1" w:themeShade="F2"/>
      </w:rPr>
      <w:fldChar w:fldCharType="begin"/>
    </w:r>
    <w:r w:rsidRPr="0046053F">
      <w:rPr>
        <w:color w:val="F2F2F2" w:themeColor="background1" w:themeShade="F2"/>
      </w:rPr>
      <w:instrText xml:space="preserve"> FILENAME \p  \* MERGEFORMAT </w:instrText>
    </w:r>
    <w:r w:rsidRPr="0046053F">
      <w:rPr>
        <w:color w:val="F2F2F2" w:themeColor="background1" w:themeShade="F2"/>
      </w:rPr>
      <w:fldChar w:fldCharType="separate"/>
    </w:r>
    <w:r w:rsidRPr="0046053F">
      <w:rPr>
        <w:color w:val="F2F2F2" w:themeColor="background1" w:themeShade="F2"/>
      </w:rPr>
      <w:t>P:\ESP\SG\CONSEIL\CWG-SFP\CWG-SFP1\000\010S.docx</w:t>
    </w:r>
    <w:r w:rsidRPr="0046053F">
      <w:rPr>
        <w:color w:val="F2F2F2" w:themeColor="background1" w:themeShade="F2"/>
      </w:rPr>
      <w:fldChar w:fldCharType="end"/>
    </w:r>
    <w:r w:rsidRPr="0046053F">
      <w:rPr>
        <w:color w:val="F2F2F2" w:themeColor="background1" w:themeShade="F2"/>
      </w:rPr>
      <w:t xml:space="preserve"> (494358)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F9E8" w14:textId="3C383530" w:rsidR="00760F1C" w:rsidRDefault="00760F1C">
    <w:pPr>
      <w:spacing w:after="120"/>
      <w:jc w:val="center"/>
    </w:pPr>
    <w:r>
      <w:t xml:space="preserve">• </w:t>
    </w:r>
    <w:hyperlink r:id="rId1" w:history="1">
      <w:r>
        <w:rPr>
          <w:rStyle w:val="Hyperlink"/>
        </w:rPr>
        <w:t>http://www.itu.int/council</w:t>
      </w:r>
    </w:hyperlink>
    <w:r>
      <w:t xml:space="preserve"> •</w:t>
    </w:r>
  </w:p>
  <w:p w14:paraId="3E461E68" w14:textId="2049FA91" w:rsidR="00BE0CB5" w:rsidRPr="0046053F" w:rsidRDefault="00E90502" w:rsidP="00334C8F">
    <w:pPr>
      <w:pStyle w:val="Footer"/>
      <w:rPr>
        <w:color w:val="F2F2F2" w:themeColor="background1" w:themeShade="F2"/>
      </w:rPr>
    </w:pPr>
    <w:r w:rsidRPr="0046053F">
      <w:rPr>
        <w:color w:val="F2F2F2" w:themeColor="background1" w:themeShade="F2"/>
      </w:rPr>
      <w:fldChar w:fldCharType="begin"/>
    </w:r>
    <w:r w:rsidRPr="0046053F">
      <w:rPr>
        <w:color w:val="F2F2F2" w:themeColor="background1" w:themeShade="F2"/>
      </w:rPr>
      <w:instrText xml:space="preserve"> FILENAME \p  \* MERGEFORMAT </w:instrText>
    </w:r>
    <w:r w:rsidRPr="0046053F">
      <w:rPr>
        <w:color w:val="F2F2F2" w:themeColor="background1" w:themeShade="F2"/>
      </w:rPr>
      <w:fldChar w:fldCharType="separate"/>
    </w:r>
    <w:r w:rsidR="00334C8F" w:rsidRPr="0046053F">
      <w:rPr>
        <w:color w:val="F2F2F2" w:themeColor="background1" w:themeShade="F2"/>
      </w:rPr>
      <w:t>P:\ESP\SG\CONSEIL\CWG-SFP\CWG-SFP1\000\010S.docx</w:t>
    </w:r>
    <w:r w:rsidRPr="0046053F">
      <w:rPr>
        <w:color w:val="F2F2F2" w:themeColor="background1" w:themeShade="F2"/>
      </w:rPr>
      <w:fldChar w:fldCharType="end"/>
    </w:r>
    <w:r w:rsidR="00334C8F" w:rsidRPr="0046053F">
      <w:rPr>
        <w:color w:val="F2F2F2" w:themeColor="background1" w:themeShade="F2"/>
      </w:rPr>
      <w:t xml:space="preserve"> (494358)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EFBE" w14:textId="77777777" w:rsidR="00E90502" w:rsidRDefault="00E90502">
      <w:r>
        <w:t>____________________</w:t>
      </w:r>
    </w:p>
  </w:footnote>
  <w:footnote w:type="continuationSeparator" w:id="0">
    <w:p w14:paraId="2597896C" w14:textId="77777777" w:rsidR="00E90502" w:rsidRDefault="00E90502">
      <w:r>
        <w:continuationSeparator/>
      </w:r>
    </w:p>
  </w:footnote>
  <w:footnote w:id="1">
    <w:p w14:paraId="695D92A8" w14:textId="23930126" w:rsidR="00B10FEA" w:rsidRPr="008C0D1F" w:rsidRDefault="00B10FEA" w:rsidP="00B10FEA">
      <w:pPr>
        <w:pStyle w:val="Heading6"/>
        <w:shd w:val="clear" w:color="auto" w:fill="FFFFFF"/>
        <w:tabs>
          <w:tab w:val="clear" w:pos="567"/>
          <w:tab w:val="left" w:pos="284"/>
        </w:tabs>
        <w:spacing w:before="0"/>
        <w:ind w:left="0" w:firstLine="0"/>
        <w:rPr>
          <w:rStyle w:val="FootnoteTextChar"/>
          <w:rFonts w:eastAsia="SimSun"/>
          <w:b w:val="0"/>
          <w:bCs/>
        </w:rPr>
      </w:pPr>
      <w:r w:rsidRPr="007B1F4A">
        <w:rPr>
          <w:rStyle w:val="FootnoteReference"/>
          <w:rFonts w:asciiTheme="minorHAnsi" w:eastAsia="SimSun" w:hAnsiTheme="minorHAnsi" w:cstheme="minorHAnsi"/>
          <w:b w:val="0"/>
          <w:szCs w:val="18"/>
        </w:rPr>
        <w:footnoteRef/>
      </w:r>
      <w:bookmarkStart w:id="13" w:name="lt_pId042"/>
      <w:r>
        <w:rPr>
          <w:rStyle w:val="FootnoteTextChar"/>
          <w:rFonts w:eastAsia="SimSun"/>
          <w:b w:val="0"/>
          <w:bCs/>
        </w:rPr>
        <w:tab/>
      </w:r>
      <w:r w:rsidRPr="008C0D1F">
        <w:rPr>
          <w:rStyle w:val="FootnoteTextChar"/>
          <w:rFonts w:eastAsia="SimSun"/>
          <w:b w:val="0"/>
          <w:bCs/>
        </w:rPr>
        <w:t xml:space="preserve">De acuerdo con el Reglamento Sanitario Internacional, el término </w:t>
      </w:r>
      <w:r w:rsidR="00D73762">
        <w:rPr>
          <w:rStyle w:val="FootnoteTextChar"/>
          <w:rFonts w:eastAsia="SimSun"/>
          <w:b w:val="0"/>
          <w:bCs/>
        </w:rPr>
        <w:t>"</w:t>
      </w:r>
      <w:r w:rsidRPr="008C0D1F">
        <w:rPr>
          <w:rStyle w:val="FootnoteTextChar"/>
          <w:rFonts w:eastAsia="SimSun"/>
          <w:b w:val="0"/>
          <w:bCs/>
        </w:rPr>
        <w:t>emergencia de salud pública de importancia internacional</w:t>
      </w:r>
      <w:r w:rsidR="00D73762">
        <w:rPr>
          <w:rStyle w:val="FootnoteTextChar"/>
          <w:rFonts w:eastAsia="SimSun"/>
          <w:b w:val="0"/>
          <w:bCs/>
        </w:rPr>
        <w:t>"</w:t>
      </w:r>
      <w:r w:rsidRPr="008C0D1F">
        <w:rPr>
          <w:rStyle w:val="FootnoteTextChar"/>
          <w:rFonts w:eastAsia="SimSun"/>
          <w:b w:val="0"/>
          <w:bCs/>
        </w:rPr>
        <w:t xml:space="preserve"> se define como </w:t>
      </w:r>
      <w:r w:rsidR="00D73762">
        <w:rPr>
          <w:rStyle w:val="FootnoteTextChar"/>
          <w:rFonts w:eastAsia="SimSun"/>
          <w:b w:val="0"/>
          <w:bCs/>
        </w:rPr>
        <w:t>"</w:t>
      </w:r>
      <w:r w:rsidRPr="008C0D1F">
        <w:rPr>
          <w:rStyle w:val="FootnoteTextChar"/>
          <w:rFonts w:eastAsia="SimSun"/>
          <w:b w:val="0"/>
          <w:bCs/>
        </w:rPr>
        <w:t>un evento extraordinario que se determina, según este Reglamento, (1) que constituye un riesgo para la salud pública de otros Estados a través de la propagación internacional de la enfermedad, y (2) que potencialmente requiere una respuesta internacional coordinada</w:t>
      </w:r>
      <w:r w:rsidR="00D73762">
        <w:rPr>
          <w:rStyle w:val="FootnoteTextChar"/>
          <w:rFonts w:eastAsia="SimSun"/>
          <w:b w:val="0"/>
          <w:bCs/>
        </w:rPr>
        <w:t>"</w:t>
      </w:r>
      <w:r w:rsidRPr="008C0D1F">
        <w:rPr>
          <w:rStyle w:val="FootnoteTextChar"/>
          <w:rFonts w:eastAsia="SimSun"/>
          <w:b w:val="0"/>
          <w:bCs/>
        </w:rPr>
        <w:t>.</w:t>
      </w:r>
      <w:bookmarkEnd w:id="13"/>
      <w:r w:rsidRPr="008C0D1F">
        <w:rPr>
          <w:rStyle w:val="FootnoteTextChar"/>
          <w:rFonts w:eastAsia="SimSun"/>
          <w:b w:val="0"/>
          <w:bCs/>
        </w:rPr>
        <w:t xml:space="preserve"> </w:t>
      </w:r>
      <w:bookmarkStart w:id="14" w:name="lt_pId043"/>
      <w:r w:rsidRPr="008C0D1F">
        <w:rPr>
          <w:rStyle w:val="FootnoteTextChar"/>
          <w:rFonts w:eastAsia="SimSun"/>
          <w:b w:val="0"/>
          <w:bCs/>
        </w:rPr>
        <w:t>Desde la entrada en vigor del Reglamento Sanitario Internacional (RSI), la OMS ha declarado seis emergencias de salud pública de importancia internacional (PHEIC), siendo las cinco primeras el H1N1 en 2009 H1N1, la polio en 2014, el Ébola en África Occidental en 2014, el Zika en 2016 y el Ébola en la República Democrática del Congo en 2019. Además, el síndrome respiratorio agudo severo (SRAS) en 2003 fue la primera emergencia de salud pública de importancia internacional del siglo XXI</w:t>
      </w:r>
      <w:bookmarkStart w:id="15" w:name="lt_pId044"/>
      <w:bookmarkEnd w:id="14"/>
      <w:r w:rsidRPr="008C0D1F">
        <w:rPr>
          <w:rStyle w:val="FootnoteTextChar"/>
          <w:rFonts w:eastAsia="SimSun"/>
          <w:b w:val="0"/>
          <w:bCs/>
        </w:rPr>
        <w:t>.</w:t>
      </w:r>
      <w:bookmarkEnd w:id="15"/>
    </w:p>
  </w:footnote>
  <w:footnote w:id="2">
    <w:p w14:paraId="1E06F60E" w14:textId="77777777" w:rsidR="00B10FEA" w:rsidRPr="009657C1" w:rsidRDefault="00B10FEA" w:rsidP="00B10FEA">
      <w:pPr>
        <w:pStyle w:val="FootnoteText"/>
        <w:ind w:left="0" w:firstLine="0"/>
        <w:rPr>
          <w:rFonts w:asciiTheme="minorHAnsi" w:eastAsia="SimSun" w:hAnsiTheme="minorHAnsi" w:cstheme="minorHAnsi"/>
          <w:szCs w:val="24"/>
        </w:rPr>
      </w:pPr>
      <w:r w:rsidRPr="007B1F4A">
        <w:rPr>
          <w:rStyle w:val="FootnoteReference"/>
          <w:rFonts w:asciiTheme="minorHAnsi" w:eastAsia="SimSun" w:hAnsiTheme="minorHAnsi" w:cstheme="minorHAnsi"/>
          <w:szCs w:val="18"/>
        </w:rPr>
        <w:footnoteRef/>
      </w:r>
      <w:bookmarkStart w:id="18" w:name="lt_pId045"/>
      <w:r>
        <w:rPr>
          <w:rFonts w:ascii="Times New Roman" w:eastAsia="SimSun" w:hAnsi="Times New Roman"/>
          <w:sz w:val="18"/>
          <w:szCs w:val="18"/>
        </w:rPr>
        <w:tab/>
      </w:r>
      <w:r w:rsidRPr="00942728">
        <w:rPr>
          <w:rFonts w:asciiTheme="minorHAnsi" w:eastAsia="SimSun" w:hAnsiTheme="minorHAnsi" w:cstheme="minorHAnsi"/>
          <w:szCs w:val="24"/>
          <w:lang w:val="es-ES"/>
        </w:rPr>
        <w:t>Véase</w:t>
      </w:r>
      <w:r w:rsidRPr="00942728">
        <w:rPr>
          <w:rFonts w:asciiTheme="minorHAnsi" w:eastAsia="SimSun" w:hAnsiTheme="minorHAnsi" w:cstheme="minorHAnsi"/>
          <w:szCs w:val="24"/>
        </w:rPr>
        <w:t xml:space="preserve"> UIT</w:t>
      </w:r>
      <w:r w:rsidRPr="000A1543">
        <w:rPr>
          <w:rFonts w:ascii="Times New Roman" w:eastAsia="SimSun" w:hAnsi="Times New Roman"/>
          <w:sz w:val="18"/>
          <w:szCs w:val="18"/>
        </w:rPr>
        <w:t xml:space="preserve"> </w:t>
      </w:r>
      <w:r w:rsidRPr="00886585">
        <w:rPr>
          <w:lang w:val="es-ES"/>
        </w:rPr>
        <w:t>"</w:t>
      </w:r>
      <w:proofErr w:type="spellStart"/>
      <w:r w:rsidRPr="008C5B11">
        <w:rPr>
          <w:rFonts w:asciiTheme="minorHAnsi" w:eastAsia="SimSun" w:hAnsiTheme="minorHAnsi" w:cstheme="minorHAnsi"/>
          <w:i/>
          <w:iCs/>
          <w:lang w:val="fr-FR"/>
        </w:rPr>
        <w:t>Pandemia</w:t>
      </w:r>
      <w:proofErr w:type="spellEnd"/>
      <w:r w:rsidRPr="008C5B11">
        <w:rPr>
          <w:rFonts w:asciiTheme="minorHAnsi" w:eastAsia="SimSun" w:hAnsiTheme="minorHAnsi" w:cstheme="minorHAnsi"/>
          <w:i/>
          <w:iCs/>
          <w:lang w:val="fr-FR"/>
        </w:rPr>
        <w:t xml:space="preserve"> en la </w:t>
      </w:r>
      <w:proofErr w:type="spellStart"/>
      <w:r w:rsidRPr="008C5B11">
        <w:rPr>
          <w:rFonts w:asciiTheme="minorHAnsi" w:eastAsia="SimSun" w:hAnsiTheme="minorHAnsi" w:cstheme="minorHAnsi"/>
          <w:i/>
          <w:iCs/>
          <w:lang w:val="fr-FR"/>
        </w:rPr>
        <w:t>época</w:t>
      </w:r>
      <w:proofErr w:type="spellEnd"/>
      <w:r w:rsidRPr="008C5B11">
        <w:rPr>
          <w:rFonts w:asciiTheme="minorHAnsi" w:eastAsia="SimSun" w:hAnsiTheme="minorHAnsi" w:cstheme="minorHAnsi"/>
          <w:i/>
          <w:iCs/>
          <w:lang w:val="fr-FR"/>
        </w:rPr>
        <w:t xml:space="preserve"> de Internet: </w:t>
      </w:r>
      <w:proofErr w:type="spellStart"/>
      <w:r w:rsidRPr="008C5B11">
        <w:rPr>
          <w:rFonts w:asciiTheme="minorHAnsi" w:eastAsia="SimSun" w:hAnsiTheme="minorHAnsi" w:cstheme="minorHAnsi"/>
          <w:i/>
          <w:iCs/>
          <w:lang w:val="fr-FR"/>
        </w:rPr>
        <w:t>respuestas</w:t>
      </w:r>
      <w:proofErr w:type="spellEnd"/>
      <w:r w:rsidRPr="008C5B11">
        <w:rPr>
          <w:rFonts w:asciiTheme="minorHAnsi" w:eastAsia="SimSun" w:hAnsiTheme="minorHAnsi" w:cstheme="minorHAnsi"/>
          <w:i/>
          <w:iCs/>
          <w:lang w:val="fr-FR"/>
        </w:rPr>
        <w:t xml:space="preserve"> de la </w:t>
      </w:r>
      <w:proofErr w:type="spellStart"/>
      <w:r w:rsidRPr="008C5B11">
        <w:rPr>
          <w:rFonts w:asciiTheme="minorHAnsi" w:eastAsia="SimSun" w:hAnsiTheme="minorHAnsi" w:cstheme="minorHAnsi"/>
          <w:i/>
          <w:iCs/>
          <w:lang w:val="fr-FR"/>
        </w:rPr>
        <w:t>industria</w:t>
      </w:r>
      <w:proofErr w:type="spellEnd"/>
      <w:r w:rsidRPr="008C5B11">
        <w:rPr>
          <w:rFonts w:asciiTheme="minorHAnsi" w:eastAsia="SimSun" w:hAnsiTheme="minorHAnsi" w:cstheme="minorHAnsi"/>
          <w:i/>
          <w:iCs/>
          <w:lang w:val="fr-FR"/>
        </w:rPr>
        <w:t xml:space="preserve"> de las </w:t>
      </w:r>
      <w:proofErr w:type="spellStart"/>
      <w:r w:rsidRPr="008C5B11">
        <w:rPr>
          <w:rFonts w:asciiTheme="minorHAnsi" w:eastAsia="SimSun" w:hAnsiTheme="minorHAnsi" w:cstheme="minorHAnsi"/>
          <w:i/>
          <w:iCs/>
          <w:lang w:val="fr-FR"/>
        </w:rPr>
        <w:t>comunicaciones</w:t>
      </w:r>
      <w:proofErr w:type="spellEnd"/>
      <w:r w:rsidRPr="008C5B11">
        <w:rPr>
          <w:rFonts w:asciiTheme="minorHAnsi" w:eastAsia="SimSun" w:hAnsiTheme="minorHAnsi" w:cstheme="minorHAnsi"/>
          <w:i/>
          <w:iCs/>
          <w:lang w:val="fr-FR"/>
        </w:rPr>
        <w:t>,</w:t>
      </w:r>
      <w:r w:rsidRPr="008C5B11">
        <w:rPr>
          <w:rFonts w:ascii="Times New Roman" w:eastAsia="SimSun" w:hAnsi="Times New Roman"/>
          <w:sz w:val="18"/>
          <w:szCs w:val="18"/>
        </w:rPr>
        <w:t xml:space="preserve"> </w:t>
      </w:r>
      <w:hyperlink r:id="rId1" w:history="1">
        <w:r w:rsidRPr="009657C1">
          <w:rPr>
            <w:rStyle w:val="Hyperlink"/>
            <w:rFonts w:asciiTheme="minorHAnsi" w:eastAsia="SimSun" w:hAnsiTheme="minorHAnsi" w:cstheme="minorHAnsi"/>
            <w:szCs w:val="24"/>
          </w:rPr>
          <w:t>https://www.itu.int/en/ITU-D/Conferences/GSR/2020/Documents/ITU_COVID-19_and_Telecom-ICT.pdf</w:t>
        </w:r>
      </w:hyperlink>
      <w:bookmarkEnd w:id="18"/>
      <w:r w:rsidRPr="009657C1">
        <w:rPr>
          <w:rFonts w:asciiTheme="minorHAnsi" w:eastAsia="SimSun" w:hAnsiTheme="minorHAnsi" w:cstheme="minorHAnsi"/>
          <w:szCs w:val="24"/>
        </w:rPr>
        <w:t xml:space="preserve"> </w:t>
      </w:r>
    </w:p>
  </w:footnote>
  <w:footnote w:id="3">
    <w:p w14:paraId="5AC4598F" w14:textId="6749C214" w:rsidR="007B1F4A" w:rsidRPr="00B93B73" w:rsidRDefault="007B1F4A" w:rsidP="007B1F4A">
      <w:pPr>
        <w:pStyle w:val="FootnoteText"/>
        <w:rPr>
          <w:rFonts w:eastAsia="SimSun"/>
          <w:b/>
        </w:rPr>
      </w:pPr>
      <w:r w:rsidRPr="003E4056">
        <w:rPr>
          <w:rStyle w:val="FootnoteReference"/>
          <w:rFonts w:ascii="Times New Roman" w:eastAsia="SimSun" w:hAnsi="Times New Roman"/>
          <w:szCs w:val="18"/>
        </w:rPr>
        <w:footnoteRef/>
      </w:r>
      <w:bookmarkStart w:id="20" w:name="lt_pId046"/>
      <w:r>
        <w:rPr>
          <w:rStyle w:val="FootnoteReference"/>
          <w:rFonts w:ascii="Times New Roman" w:hAnsi="Times New Roman"/>
        </w:rPr>
        <w:tab/>
      </w:r>
      <w:r w:rsidRPr="008C5B11">
        <w:rPr>
          <w:rFonts w:asciiTheme="minorHAnsi" w:eastAsia="SimSun" w:hAnsiTheme="minorHAnsi" w:cstheme="minorHAnsi"/>
          <w:lang w:val="es-ES"/>
        </w:rPr>
        <w:t>Véase</w:t>
      </w:r>
      <w:r w:rsidRPr="00B93B73">
        <w:rPr>
          <w:rFonts w:eastAsia="SimSun"/>
        </w:rPr>
        <w:t xml:space="preserve"> Sobre la Unión Internacional d</w:t>
      </w:r>
      <w:r>
        <w:rPr>
          <w:rFonts w:eastAsia="SimSun"/>
        </w:rPr>
        <w:t>e Telecomunicaciones (UIT</w:t>
      </w:r>
      <w:r w:rsidRPr="00B93B73">
        <w:rPr>
          <w:rFonts w:eastAsia="SimSun"/>
        </w:rPr>
        <w:t xml:space="preserve">): </w:t>
      </w:r>
      <w:hyperlink r:id="rId2" w:history="1">
        <w:r w:rsidRPr="001C2A87">
          <w:rPr>
            <w:rStyle w:val="Hyperlink"/>
            <w:rFonts w:eastAsia="SimSun"/>
          </w:rPr>
          <w:t>https://www.itu.int/zh/about/Pages/default.aspx</w:t>
        </w:r>
      </w:hyperlink>
      <w:bookmarkEnd w:id="20"/>
      <w:r>
        <w:rPr>
          <w:rFonts w:eastAsia="SimSun"/>
        </w:rPr>
        <w:t xml:space="preserve"> </w:t>
      </w:r>
    </w:p>
  </w:footnote>
  <w:footnote w:id="4">
    <w:p w14:paraId="70E5DDA7" w14:textId="3C44F09C" w:rsidR="00D73762" w:rsidRPr="00B33AE6" w:rsidRDefault="00D73762" w:rsidP="00D73762">
      <w:pPr>
        <w:pStyle w:val="FootnoteText"/>
        <w:rPr>
          <w:rFonts w:eastAsia="SimSun"/>
          <w:b/>
        </w:rPr>
      </w:pPr>
      <w:r w:rsidRPr="00391600">
        <w:rPr>
          <w:rStyle w:val="FootnoteReference"/>
          <w:rFonts w:ascii="Times New Roman" w:eastAsia="SimSun" w:hAnsi="Times New Roman"/>
          <w:bCs/>
          <w:szCs w:val="18"/>
        </w:rPr>
        <w:footnoteRef/>
      </w:r>
      <w:r w:rsidRPr="00391600">
        <w:rPr>
          <w:rStyle w:val="FootnoteReference"/>
          <w:rFonts w:ascii="Times New Roman" w:hAnsi="Times New Roman"/>
          <w:bCs/>
        </w:rPr>
        <w:t xml:space="preserve"> </w:t>
      </w:r>
      <w:bookmarkStart w:id="23" w:name="lt_pId047"/>
      <w:r>
        <w:rPr>
          <w:rFonts w:ascii="Times New Roman" w:hAnsi="Times New Roman"/>
          <w:bCs/>
        </w:rPr>
        <w:tab/>
      </w:r>
      <w:r w:rsidRPr="00B33AE6">
        <w:t>Véase</w:t>
      </w:r>
      <w:r w:rsidRPr="00B33AE6">
        <w:rPr>
          <w:rFonts w:eastAsia="SimSun"/>
        </w:rPr>
        <w:t xml:space="preserve"> </w:t>
      </w:r>
      <w:r>
        <w:rPr>
          <w:rFonts w:eastAsia="SimSun"/>
        </w:rPr>
        <w:t>las</w:t>
      </w:r>
      <w:r w:rsidRPr="00B33AE6">
        <w:rPr>
          <w:rFonts w:eastAsia="SimSun"/>
          <w:i/>
          <w:iCs/>
        </w:rPr>
        <w:t xml:space="preserve"> </w:t>
      </w:r>
      <w:hyperlink r:id="rId3" w:history="1">
        <w:r w:rsidRPr="00B33AE6">
          <w:rPr>
            <w:rFonts w:eastAsia="SimSun"/>
            <w:i/>
            <w:iCs/>
          </w:rPr>
          <w:t>Directrices de la UIT para los planes nacionales de telecomunicaciones de emergencia</w:t>
        </w:r>
      </w:hyperlink>
      <w:r w:rsidRPr="00B33AE6">
        <w:rPr>
          <w:rFonts w:eastAsia="SimSun"/>
        </w:rPr>
        <w:t xml:space="preserve">, </w:t>
      </w:r>
      <w:hyperlink r:id="rId4" w:history="1">
        <w:r w:rsidRPr="00B33AE6">
          <w:rPr>
            <w:rStyle w:val="Hyperlink"/>
            <w:rFonts w:eastAsia="SimSun"/>
          </w:rPr>
          <w:t>https://www.itu.int/en/ITU-D/Emergency-Telecommunications/Pages/Publications/Guidelines-for-NETPs.aspx</w:t>
        </w:r>
      </w:hyperlink>
      <w:bookmarkEnd w:id="23"/>
      <w:r w:rsidRPr="00B33AE6">
        <w:rPr>
          <w:rFonts w:eastAsia="SimSun"/>
        </w:rPr>
        <w:t xml:space="preserve"> </w:t>
      </w:r>
    </w:p>
  </w:footnote>
  <w:footnote w:id="5">
    <w:p w14:paraId="0738F739" w14:textId="3C481D81" w:rsidR="007B1F4A" w:rsidRPr="00B33AE6" w:rsidRDefault="007B1F4A" w:rsidP="007B1F4A">
      <w:pPr>
        <w:pStyle w:val="FootnoteText"/>
        <w:rPr>
          <w:rFonts w:eastAsia="SimSun"/>
        </w:rPr>
      </w:pPr>
      <w:r w:rsidRPr="00B33AE6">
        <w:rPr>
          <w:rStyle w:val="FootnoteReference"/>
          <w:rFonts w:ascii="Times New Roman" w:eastAsia="SimSun" w:hAnsi="Times New Roman"/>
          <w:szCs w:val="18"/>
        </w:rPr>
        <w:footnoteRef/>
      </w:r>
      <w:r w:rsidRPr="00B33AE6">
        <w:rPr>
          <w:rFonts w:eastAsia="SimSun"/>
        </w:rPr>
        <w:tab/>
      </w:r>
      <w:bookmarkStart w:id="25" w:name="lt_pId048"/>
      <w:r w:rsidRPr="00B33AE6">
        <w:rPr>
          <w:rFonts w:eastAsia="SimSun"/>
        </w:rPr>
        <w:t>Meta 3.3 de la Asamblea General de las Naciones Unidas (AGNU) relativa a transformar nuestro mundo: la Agenda 2030 para el Desarrollo Sostenible: "De aquí a 2030, poner fin a las epidemias de SIDA, tuberculosis, malaria y de las enfermedades tropicales desatendidas, y luchar contra la hepatitis, las enfermedades transmitidas por el agua y otras enfermedades contagiosas"; Target 9.1: "Desarrollar infraestructuras fiables, sostenibles, resilientes y de calidad, incluidas infraestructuras regionales y transfronterizas, para apoyar el desarrollo económico y el bienestar humano, haciendo especial hincapié en el acceso asequible y equitativo para todos."; Meta 11.5: "</w:t>
      </w:r>
      <w:r w:rsidRPr="00B33AE6">
        <w:rPr>
          <w:rFonts w:eastAsia="SimSun"/>
          <w:lang w:val="es-ES"/>
        </w:rPr>
        <w:t>De aquí a 2030, reducir significativamente el número de muertes causadas por los desastres, incluidos los relacionados con el agua, y de personas afectadas por ellos, y reducir considerablemente las pérdidas económicas directas provocadas por los desastres en comparación con el producto interno bruto mundial, haciendo especial hincapié en la protección de los pobres y las personas en situaciones de vulnerabilidad"</w:t>
      </w:r>
      <w:r w:rsidRPr="00B33AE6">
        <w:rPr>
          <w:rFonts w:eastAsia="SimSun"/>
        </w:rPr>
        <w:t xml:space="preserve">, </w:t>
      </w:r>
      <w:hyperlink r:id="rId5" w:history="1">
        <w:r w:rsidRPr="00B33AE6">
          <w:rPr>
            <w:rStyle w:val="Hyperlink"/>
            <w:rFonts w:eastAsia="SimSun"/>
          </w:rPr>
          <w:t>https://www.un.org/zh/documents/treaty/files/A-RES-70-1.shtml</w:t>
        </w:r>
      </w:hyperlink>
      <w:r w:rsidRPr="00B33AE6">
        <w:rPr>
          <w:rFonts w:eastAsia="SimSun"/>
        </w:rPr>
        <w:t>.</w:t>
      </w:r>
      <w:bookmarkEnd w:id="25"/>
    </w:p>
  </w:footnote>
  <w:footnote w:id="6">
    <w:p w14:paraId="21E5B5C6" w14:textId="3E84C5DF" w:rsidR="007B1F4A" w:rsidRPr="007B1F4A" w:rsidRDefault="007B1F4A" w:rsidP="007B1F4A">
      <w:pPr>
        <w:pStyle w:val="FootnoteText"/>
        <w:rPr>
          <w:rFonts w:asciiTheme="minorHAnsi" w:eastAsia="SimSun" w:hAnsiTheme="minorHAnsi" w:cstheme="minorHAnsi"/>
          <w:lang w:val="en-US"/>
        </w:rPr>
      </w:pPr>
      <w:r w:rsidRPr="00B33AE6">
        <w:rPr>
          <w:rStyle w:val="FootnoteReference"/>
          <w:rFonts w:ascii="Times New Roman" w:eastAsia="SimSun" w:hAnsi="Times New Roman"/>
          <w:szCs w:val="18"/>
        </w:rPr>
        <w:footnoteRef/>
      </w:r>
      <w:r w:rsidRPr="00B33AE6">
        <w:rPr>
          <w:rFonts w:ascii="Times New Roman" w:eastAsia="SimSun" w:hAnsi="Times New Roman"/>
          <w:lang w:val="en-US"/>
        </w:rPr>
        <w:t xml:space="preserve"> </w:t>
      </w:r>
      <w:bookmarkStart w:id="27" w:name="lt_pId049"/>
      <w:r w:rsidRPr="00B33AE6">
        <w:rPr>
          <w:rFonts w:ascii="Times New Roman" w:eastAsia="SimSun" w:hAnsi="Times New Roman"/>
          <w:lang w:val="en-US"/>
        </w:rPr>
        <w:tab/>
      </w:r>
      <w:proofErr w:type="spellStart"/>
      <w:r w:rsidRPr="00B33AE6">
        <w:rPr>
          <w:rFonts w:asciiTheme="minorHAnsi" w:eastAsia="SimSun" w:hAnsiTheme="minorHAnsi" w:cstheme="minorHAnsi"/>
          <w:lang w:val="en-US"/>
        </w:rPr>
        <w:t>Véase</w:t>
      </w:r>
      <w:proofErr w:type="spellEnd"/>
      <w:r w:rsidRPr="00B33AE6">
        <w:rPr>
          <w:rFonts w:asciiTheme="minorHAnsi" w:eastAsia="SimSun" w:hAnsiTheme="minorHAnsi" w:cstheme="minorHAnsi"/>
          <w:lang w:val="en-US"/>
        </w:rPr>
        <w:t xml:space="preserve"> </w:t>
      </w:r>
      <w:r w:rsidRPr="00B33AE6">
        <w:rPr>
          <w:rFonts w:asciiTheme="minorHAnsi" w:eastAsia="SimSun" w:hAnsiTheme="minorHAnsi" w:cstheme="minorHAnsi"/>
          <w:i/>
          <w:iCs/>
          <w:lang w:val="en-US"/>
        </w:rPr>
        <w:t>The regulatory wheel of change: Regulation for digital transformation</w:t>
      </w:r>
      <w:r w:rsidRPr="00B33AE6">
        <w:rPr>
          <w:rFonts w:asciiTheme="minorHAnsi" w:eastAsia="SimSun" w:hAnsiTheme="minorHAnsi" w:cstheme="minorHAnsi"/>
          <w:lang w:val="en-US"/>
        </w:rPr>
        <w:t>,</w:t>
      </w:r>
      <w:r w:rsidRPr="00A0010F">
        <w:rPr>
          <w:rFonts w:ascii="Times New Roman" w:eastAsia="SimSun" w:hAnsi="Times New Roman"/>
          <w:lang w:val="en-US"/>
        </w:rPr>
        <w:t xml:space="preserve"> </w:t>
      </w:r>
      <w:hyperlink r:id="rId6" w:history="1">
        <w:r w:rsidRPr="001C2A87">
          <w:rPr>
            <w:rStyle w:val="Hyperlink"/>
            <w:rFonts w:asciiTheme="minorHAnsi" w:eastAsia="SimSun" w:hAnsiTheme="minorHAnsi" w:cstheme="minorHAnsi"/>
            <w:lang w:val="en-US"/>
          </w:rPr>
          <w:t>https://www.itu.int/en/ITU-D/Conferences/GSR/2020/Documents/Final_Chairmans-Report_GSR-20_C.pdf</w:t>
        </w:r>
      </w:hyperlink>
      <w:r w:rsidRPr="007B1F4A">
        <w:rPr>
          <w:rFonts w:asciiTheme="minorHAnsi" w:eastAsia="SimSun" w:hAnsiTheme="minorHAnsi" w:cstheme="minorHAnsi"/>
          <w:lang w:val="en-US"/>
        </w:rPr>
        <w:t>.</w:t>
      </w:r>
      <w:bookmarkEnd w:id="27"/>
    </w:p>
  </w:footnote>
  <w:footnote w:id="7">
    <w:p w14:paraId="02526456" w14:textId="3669F820" w:rsidR="007B1F4A" w:rsidRPr="00B33AE6" w:rsidRDefault="007B1F4A" w:rsidP="00B33AE6">
      <w:pPr>
        <w:pStyle w:val="FootnoteText"/>
        <w:rPr>
          <w:rFonts w:asciiTheme="minorHAnsi" w:eastAsia="SimSun" w:hAnsiTheme="minorHAnsi" w:cstheme="minorHAnsi"/>
          <w:szCs w:val="24"/>
          <w:lang w:val="es-ES"/>
        </w:rPr>
      </w:pPr>
      <w:r w:rsidRPr="004C274B">
        <w:rPr>
          <w:rStyle w:val="FootnoteReference"/>
          <w:rFonts w:ascii="Times New Roman" w:eastAsia="SimSun" w:hAnsi="Times New Roman"/>
          <w:szCs w:val="18"/>
        </w:rPr>
        <w:footnoteRef/>
      </w:r>
      <w:r w:rsidRPr="006847A3">
        <w:rPr>
          <w:rFonts w:eastAsia="SimSun"/>
          <w:lang w:val="es-ES"/>
        </w:rPr>
        <w:t xml:space="preserve"> </w:t>
      </w:r>
      <w:bookmarkStart w:id="30" w:name="lt_pId050"/>
      <w:r w:rsidR="00B33AE6">
        <w:rPr>
          <w:rFonts w:eastAsia="SimSun"/>
          <w:lang w:val="es-ES"/>
        </w:rPr>
        <w:tab/>
      </w:r>
      <w:r w:rsidRPr="006847A3">
        <w:rPr>
          <w:rFonts w:eastAsia="SimSun"/>
          <w:lang w:val="es-ES"/>
        </w:rPr>
        <w:t xml:space="preserve">Véase Simposio Mundial para </w:t>
      </w:r>
      <w:r w:rsidRPr="00B33AE6">
        <w:rPr>
          <w:rFonts w:eastAsia="SimSun"/>
          <w:lang w:val="es-ES"/>
        </w:rPr>
        <w:t>Organismos Reguladores (GSR) 20</w:t>
      </w:r>
      <w:r w:rsidR="00B33AE6">
        <w:rPr>
          <w:rFonts w:eastAsia="SimSun"/>
          <w:lang w:val="es-ES"/>
        </w:rPr>
        <w:t>20</w:t>
      </w:r>
      <w:r w:rsidRPr="00B33AE6">
        <w:rPr>
          <w:rFonts w:eastAsia="SimSun"/>
          <w:lang w:val="es-ES"/>
        </w:rPr>
        <w:t xml:space="preserve"> Directrices de prácticas </w:t>
      </w:r>
      <w:r w:rsidR="005D3CD4">
        <w:rPr>
          <w:rFonts w:eastAsia="SimSun"/>
          <w:lang w:val="es-ES"/>
        </w:rPr>
        <w:t>óptimas</w:t>
      </w:r>
      <w:r w:rsidR="00B33AE6">
        <w:rPr>
          <w:rFonts w:eastAsia="SimSun"/>
          <w:lang w:val="es-ES"/>
        </w:rPr>
        <w:t xml:space="preserve">: </w:t>
      </w:r>
      <w:r w:rsidR="00B33AE6" w:rsidRPr="00B33AE6">
        <w:rPr>
          <w:rFonts w:asciiTheme="minorHAnsi" w:eastAsia="SimSun" w:hAnsiTheme="minorHAnsi" w:cstheme="minorHAnsi"/>
          <w:i/>
          <w:iCs/>
          <w:szCs w:val="24"/>
          <w:lang w:val="es-ES"/>
        </w:rPr>
        <w:t>El marco de referencia para la reglamentación digital</w:t>
      </w:r>
      <w:r w:rsidR="00B33AE6">
        <w:rPr>
          <w:rFonts w:asciiTheme="minorHAnsi" w:eastAsia="SimSun" w:hAnsiTheme="minorHAnsi" w:cstheme="minorHAnsi"/>
          <w:i/>
          <w:iCs/>
          <w:szCs w:val="24"/>
          <w:lang w:val="es-ES"/>
        </w:rPr>
        <w:t>.</w:t>
      </w:r>
      <w:r w:rsidR="00B33AE6">
        <w:rPr>
          <w:rFonts w:asciiTheme="minorHAnsi" w:eastAsia="SimSun" w:hAnsiTheme="minorHAnsi" w:cstheme="minorHAnsi"/>
          <w:szCs w:val="24"/>
          <w:lang w:val="es-ES"/>
        </w:rPr>
        <w:t xml:space="preserve"> </w:t>
      </w:r>
      <w:hyperlink r:id="rId7" w:history="1">
        <w:r w:rsidR="00B33AE6" w:rsidRPr="001C2A87">
          <w:rPr>
            <w:rStyle w:val="Hyperlink"/>
            <w:rFonts w:asciiTheme="minorHAnsi" w:eastAsia="SimSun" w:hAnsiTheme="minorHAnsi" w:cstheme="minorHAnsi"/>
            <w:szCs w:val="24"/>
            <w:lang w:val="es-ES"/>
          </w:rPr>
          <w:t>https://www.itu.int/en/ITU-D/Conferences/GSR/2020/Documents/GSR-20_Best-Practice-Guidelines_Final_S.pdf</w:t>
        </w:r>
      </w:hyperlink>
      <w:r w:rsidRPr="00B33AE6">
        <w:rPr>
          <w:rFonts w:asciiTheme="minorHAnsi" w:eastAsia="SimSun" w:hAnsiTheme="minorHAnsi" w:cstheme="minorHAnsi"/>
          <w:szCs w:val="24"/>
          <w:lang w:val="es-ES"/>
        </w:rPr>
        <w:t>.</w:t>
      </w:r>
      <w:bookmarkEnd w:id="30"/>
    </w:p>
  </w:footnote>
  <w:footnote w:id="8">
    <w:p w14:paraId="249C2639" w14:textId="77777777" w:rsidR="005D3CD4" w:rsidRPr="00A0010F" w:rsidRDefault="005D3CD4" w:rsidP="005D3CD4">
      <w:pPr>
        <w:pStyle w:val="FootnoteText"/>
        <w:rPr>
          <w:rFonts w:eastAsia="SimSun"/>
          <w:lang w:val="en-US"/>
        </w:rPr>
      </w:pPr>
      <w:r w:rsidRPr="004C274B">
        <w:rPr>
          <w:rStyle w:val="FootnoteReference"/>
          <w:rFonts w:ascii="Times New Roman" w:hAnsi="Times New Roman"/>
        </w:rPr>
        <w:footnoteRef/>
      </w:r>
      <w:r w:rsidRPr="00A0010F">
        <w:rPr>
          <w:lang w:val="en-US"/>
        </w:rPr>
        <w:t xml:space="preserve"> </w:t>
      </w:r>
      <w:bookmarkStart w:id="34" w:name="lt_pId051"/>
      <w:r>
        <w:rPr>
          <w:lang w:val="en-US"/>
        </w:rPr>
        <w:tab/>
      </w:r>
      <w:proofErr w:type="spellStart"/>
      <w:r>
        <w:rPr>
          <w:lang w:val="en-US"/>
        </w:rPr>
        <w:t>Véase</w:t>
      </w:r>
      <w:proofErr w:type="spellEnd"/>
      <w:r w:rsidRPr="00A0010F">
        <w:rPr>
          <w:rFonts w:eastAsia="SimSun"/>
          <w:lang w:val="en-US"/>
        </w:rPr>
        <w:t xml:space="preserve"> </w:t>
      </w:r>
      <w:r>
        <w:rPr>
          <w:rFonts w:eastAsia="SimSun"/>
          <w:lang w:val="en-US"/>
        </w:rPr>
        <w:t>"</w:t>
      </w:r>
      <w:r w:rsidRPr="00A0010F">
        <w:rPr>
          <w:rFonts w:eastAsia="SimSun"/>
          <w:lang w:val="en-US"/>
        </w:rPr>
        <w:t xml:space="preserve">BBC NEWS, </w:t>
      </w:r>
      <w:r w:rsidRPr="00A0010F">
        <w:rPr>
          <w:rFonts w:eastAsia="SimSun"/>
          <w:i/>
          <w:lang w:val="en-US"/>
        </w:rPr>
        <w:t>Ebola: Can big data analytics help contain its spread</w:t>
      </w:r>
      <w:r>
        <w:rPr>
          <w:rFonts w:eastAsia="SimSun"/>
          <w:iCs/>
          <w:lang w:val="en-US"/>
        </w:rPr>
        <w:t>"</w:t>
      </w:r>
      <w:r w:rsidRPr="00A0010F">
        <w:rPr>
          <w:rFonts w:eastAsia="SimSun"/>
          <w:lang w:val="en-US"/>
        </w:rPr>
        <w:t xml:space="preserve">, 15 </w:t>
      </w:r>
      <w:r>
        <w:rPr>
          <w:rFonts w:eastAsia="SimSun"/>
          <w:lang w:val="en-US"/>
        </w:rPr>
        <w:t xml:space="preserve">de </w:t>
      </w:r>
      <w:proofErr w:type="spellStart"/>
      <w:r>
        <w:rPr>
          <w:rFonts w:eastAsia="SimSun"/>
          <w:lang w:val="en-US"/>
        </w:rPr>
        <w:t>octubre</w:t>
      </w:r>
      <w:proofErr w:type="spellEnd"/>
      <w:r>
        <w:rPr>
          <w:rFonts w:eastAsia="SimSun"/>
          <w:lang w:val="en-US"/>
        </w:rPr>
        <w:t xml:space="preserve"> de </w:t>
      </w:r>
      <w:r w:rsidRPr="00A0010F">
        <w:rPr>
          <w:rFonts w:eastAsia="SimSun"/>
          <w:lang w:val="en-US"/>
        </w:rPr>
        <w:t xml:space="preserve">2014, </w:t>
      </w:r>
      <w:hyperlink r:id="rId8" w:history="1">
        <w:r w:rsidRPr="001C2A87">
          <w:rPr>
            <w:rStyle w:val="Hyperlink"/>
            <w:rFonts w:eastAsia="SimSun"/>
            <w:lang w:val="en-US"/>
          </w:rPr>
          <w:t>http://www.bbc.com/news/business-29617831</w:t>
        </w:r>
      </w:hyperlink>
      <w:r>
        <w:rPr>
          <w:rFonts w:eastAsia="SimSun"/>
          <w:lang w:val="en-US"/>
        </w:rPr>
        <w:t xml:space="preserve"> </w:t>
      </w:r>
      <w:r w:rsidRPr="00A0010F">
        <w:rPr>
          <w:rFonts w:eastAsia="SimSun"/>
          <w:lang w:val="en-US"/>
        </w:rPr>
        <w:t>.</w:t>
      </w:r>
      <w:bookmarkEnd w:id="34"/>
    </w:p>
  </w:footnote>
  <w:footnote w:id="9">
    <w:p w14:paraId="78B37700" w14:textId="77777777" w:rsidR="005D3CD4" w:rsidRPr="00F25C6C" w:rsidRDefault="005D3CD4" w:rsidP="005D3CD4">
      <w:pPr>
        <w:pStyle w:val="FootnoteText"/>
        <w:rPr>
          <w:lang w:val="es-ES"/>
        </w:rPr>
      </w:pPr>
      <w:r w:rsidRPr="004C274B">
        <w:rPr>
          <w:rStyle w:val="FootnoteReference"/>
          <w:rFonts w:ascii="Times New Roman" w:hAnsi="Times New Roman"/>
        </w:rPr>
        <w:footnoteRef/>
      </w:r>
      <w:r w:rsidRPr="00F25C6C">
        <w:rPr>
          <w:lang w:val="es-ES"/>
        </w:rPr>
        <w:t xml:space="preserve"> </w:t>
      </w:r>
      <w:bookmarkStart w:id="36" w:name="lt_pId052"/>
      <w:r>
        <w:rPr>
          <w:lang w:val="es-ES"/>
        </w:rPr>
        <w:tab/>
      </w:r>
      <w:r w:rsidRPr="00F25C6C">
        <w:rPr>
          <w:lang w:val="es-ES"/>
        </w:rPr>
        <w:t>Véase el sitio web oficial de</w:t>
      </w:r>
      <w:r w:rsidRPr="00F25C6C">
        <w:rPr>
          <w:rFonts w:eastAsia="SimSun"/>
          <w:lang w:val="es-ES"/>
        </w:rPr>
        <w:t xml:space="preserve"> </w:t>
      </w:r>
      <w:proofErr w:type="spellStart"/>
      <w:r w:rsidRPr="00F25C6C">
        <w:rPr>
          <w:rFonts w:eastAsia="SimSun"/>
          <w:lang w:val="es-ES"/>
        </w:rPr>
        <w:t>Aarogya</w:t>
      </w:r>
      <w:proofErr w:type="spellEnd"/>
      <w:r w:rsidRPr="00F25C6C">
        <w:rPr>
          <w:rFonts w:eastAsia="SimSun"/>
          <w:lang w:val="es-ES"/>
        </w:rPr>
        <w:t xml:space="preserve"> </w:t>
      </w:r>
      <w:proofErr w:type="spellStart"/>
      <w:r w:rsidRPr="00F25C6C">
        <w:rPr>
          <w:rFonts w:eastAsia="SimSun"/>
          <w:lang w:val="es-ES"/>
        </w:rPr>
        <w:t>Setu</w:t>
      </w:r>
      <w:proofErr w:type="spellEnd"/>
      <w:r w:rsidRPr="00F25C6C">
        <w:rPr>
          <w:rFonts w:eastAsia="SimSun"/>
          <w:lang w:val="es-ES"/>
        </w:rPr>
        <w:t xml:space="preserve">, </w:t>
      </w:r>
      <w:hyperlink r:id="rId9" w:history="1">
        <w:r w:rsidRPr="001C2A87">
          <w:rPr>
            <w:rStyle w:val="Hyperlink"/>
            <w:rFonts w:eastAsia="SimSun"/>
            <w:lang w:val="es-ES"/>
          </w:rPr>
          <w:t>https://www.aarogyasetu.gov.in/faq/</w:t>
        </w:r>
      </w:hyperlink>
      <w:r w:rsidRPr="00F25C6C">
        <w:rPr>
          <w:rFonts w:eastAsia="SimSun"/>
          <w:lang w:val="es-ES"/>
        </w:rPr>
        <w:t>.</w:t>
      </w:r>
      <w:bookmarkEnd w:id="36"/>
    </w:p>
  </w:footnote>
  <w:footnote w:id="10">
    <w:p w14:paraId="23240DD9" w14:textId="77777777" w:rsidR="005D3CD4" w:rsidRPr="00F25C6C" w:rsidRDefault="005D3CD4" w:rsidP="005D3CD4">
      <w:pPr>
        <w:pStyle w:val="FootnoteText"/>
        <w:rPr>
          <w:lang w:val="es-ES"/>
        </w:rPr>
      </w:pPr>
      <w:r w:rsidRPr="004C274B">
        <w:rPr>
          <w:rStyle w:val="FootnoteReference"/>
          <w:rFonts w:ascii="Times New Roman" w:hAnsi="Times New Roman"/>
        </w:rPr>
        <w:footnoteRef/>
      </w:r>
      <w:bookmarkStart w:id="38" w:name="lt_pId053"/>
      <w:r>
        <w:rPr>
          <w:lang w:val="es-ES"/>
        </w:rPr>
        <w:tab/>
      </w:r>
      <w:r w:rsidRPr="00F25C6C">
        <w:rPr>
          <w:lang w:val="es-ES"/>
        </w:rPr>
        <w:t>Véase el sitio web oficial de la ta</w:t>
      </w:r>
      <w:r>
        <w:rPr>
          <w:lang w:val="es-ES"/>
        </w:rPr>
        <w:t xml:space="preserve">rjeta de viaje de macrodatos de comunicación </w:t>
      </w:r>
      <w:r w:rsidRPr="00B33AE6">
        <w:t>(</w:t>
      </w:r>
      <w:proofErr w:type="spellStart"/>
      <w:r w:rsidRPr="00B33AE6">
        <w:rPr>
          <w:rFonts w:eastAsia="SimSun"/>
        </w:rPr>
        <w:t>Communication</w:t>
      </w:r>
      <w:proofErr w:type="spellEnd"/>
      <w:r w:rsidRPr="00B33AE6">
        <w:rPr>
          <w:rFonts w:eastAsia="SimSun"/>
        </w:rPr>
        <w:t xml:space="preserve"> Big Data </w:t>
      </w:r>
      <w:proofErr w:type="spellStart"/>
      <w:r w:rsidRPr="00B33AE6">
        <w:rPr>
          <w:rFonts w:eastAsia="SimSun"/>
        </w:rPr>
        <w:t>Itinerary</w:t>
      </w:r>
      <w:proofErr w:type="spellEnd"/>
      <w:r w:rsidRPr="00B33AE6">
        <w:rPr>
          <w:rFonts w:eastAsia="SimSun"/>
        </w:rPr>
        <w:t xml:space="preserve"> </w:t>
      </w:r>
      <w:proofErr w:type="spellStart"/>
      <w:r w:rsidRPr="00B33AE6">
        <w:rPr>
          <w:rFonts w:eastAsia="SimSun"/>
        </w:rPr>
        <w:t>Card</w:t>
      </w:r>
      <w:proofErr w:type="spellEnd"/>
      <w:r w:rsidRPr="00B33AE6">
        <w:rPr>
          <w:rFonts w:eastAsia="SimSun"/>
        </w:rPr>
        <w:t>),</w:t>
      </w:r>
      <w:r w:rsidRPr="00F25C6C">
        <w:rPr>
          <w:rFonts w:eastAsia="SimSun"/>
          <w:sz w:val="18"/>
          <w:szCs w:val="18"/>
          <w:lang w:val="es-ES"/>
        </w:rPr>
        <w:t xml:space="preserve"> </w:t>
      </w:r>
      <w:hyperlink r:id="rId10" w:history="1">
        <w:r w:rsidRPr="00B33AE6">
          <w:rPr>
            <w:rStyle w:val="Hyperlink"/>
            <w:rFonts w:eastAsia="SimSun"/>
            <w:lang w:val="es-ES"/>
          </w:rPr>
          <w:t>https://xc.caict.ac.cn/help.html</w:t>
        </w:r>
      </w:hyperlink>
      <w:r w:rsidRPr="00F25C6C">
        <w:rPr>
          <w:rFonts w:eastAsia="SimSun"/>
          <w:sz w:val="18"/>
          <w:szCs w:val="18"/>
          <w:lang w:val="es-ES"/>
        </w:rPr>
        <w:t>.</w:t>
      </w:r>
      <w:bookmarkEnd w:id="3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C209720" w14:textId="581E549D" w:rsidR="00760F1C" w:rsidRDefault="00BE0CB5" w:rsidP="00C2727F">
    <w:pPr>
      <w:pStyle w:val="Header"/>
    </w:pPr>
    <w:r w:rsidRPr="00FB38F1">
      <w:rPr>
        <w:noProof/>
      </w:rPr>
      <w:t>CWG-SFP-1\</w:t>
    </w:r>
    <w:r>
      <w:rPr>
        <w:noProof/>
      </w:rPr>
      <w:t>10</w:t>
    </w:r>
    <w:r w:rsidRPr="00FB38F1">
      <w:rPr>
        <w:noProof/>
      </w:rPr>
      <w:t>-</w:t>
    </w:r>
    <w:r w:rsidR="00760F1C">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141D1"/>
    <w:multiLevelType w:val="hybridMultilevel"/>
    <w:tmpl w:val="BA1EB88A"/>
    <w:lvl w:ilvl="0" w:tplc="17267CEE">
      <w:start w:val="1"/>
      <w:numFmt w:val="bullet"/>
      <w:lvlText w:val=""/>
      <w:lvlJc w:val="left"/>
      <w:pPr>
        <w:ind w:left="900" w:hanging="420"/>
      </w:pPr>
      <w:rPr>
        <w:rFonts w:ascii="Wingdings" w:hAnsi="Wingdings" w:hint="default"/>
      </w:rPr>
    </w:lvl>
    <w:lvl w:ilvl="1" w:tplc="28D4BFB6" w:tentative="1">
      <w:start w:val="1"/>
      <w:numFmt w:val="bullet"/>
      <w:lvlText w:val=""/>
      <w:lvlJc w:val="left"/>
      <w:pPr>
        <w:ind w:left="1320" w:hanging="420"/>
      </w:pPr>
      <w:rPr>
        <w:rFonts w:ascii="Wingdings" w:hAnsi="Wingdings" w:hint="default"/>
      </w:rPr>
    </w:lvl>
    <w:lvl w:ilvl="2" w:tplc="2F88BCA6" w:tentative="1">
      <w:start w:val="1"/>
      <w:numFmt w:val="bullet"/>
      <w:lvlText w:val=""/>
      <w:lvlJc w:val="left"/>
      <w:pPr>
        <w:ind w:left="1740" w:hanging="420"/>
      </w:pPr>
      <w:rPr>
        <w:rFonts w:ascii="Wingdings" w:hAnsi="Wingdings" w:hint="default"/>
      </w:rPr>
    </w:lvl>
    <w:lvl w:ilvl="3" w:tplc="A372ED0A" w:tentative="1">
      <w:start w:val="1"/>
      <w:numFmt w:val="bullet"/>
      <w:lvlText w:val=""/>
      <w:lvlJc w:val="left"/>
      <w:pPr>
        <w:ind w:left="2160" w:hanging="420"/>
      </w:pPr>
      <w:rPr>
        <w:rFonts w:ascii="Wingdings" w:hAnsi="Wingdings" w:hint="default"/>
      </w:rPr>
    </w:lvl>
    <w:lvl w:ilvl="4" w:tplc="161EF134" w:tentative="1">
      <w:start w:val="1"/>
      <w:numFmt w:val="bullet"/>
      <w:lvlText w:val=""/>
      <w:lvlJc w:val="left"/>
      <w:pPr>
        <w:ind w:left="2580" w:hanging="420"/>
      </w:pPr>
      <w:rPr>
        <w:rFonts w:ascii="Wingdings" w:hAnsi="Wingdings" w:hint="default"/>
      </w:rPr>
    </w:lvl>
    <w:lvl w:ilvl="5" w:tplc="E7B00504" w:tentative="1">
      <w:start w:val="1"/>
      <w:numFmt w:val="bullet"/>
      <w:lvlText w:val=""/>
      <w:lvlJc w:val="left"/>
      <w:pPr>
        <w:ind w:left="3000" w:hanging="420"/>
      </w:pPr>
      <w:rPr>
        <w:rFonts w:ascii="Wingdings" w:hAnsi="Wingdings" w:hint="default"/>
      </w:rPr>
    </w:lvl>
    <w:lvl w:ilvl="6" w:tplc="CFE891CE" w:tentative="1">
      <w:start w:val="1"/>
      <w:numFmt w:val="bullet"/>
      <w:lvlText w:val=""/>
      <w:lvlJc w:val="left"/>
      <w:pPr>
        <w:ind w:left="3420" w:hanging="420"/>
      </w:pPr>
      <w:rPr>
        <w:rFonts w:ascii="Wingdings" w:hAnsi="Wingdings" w:hint="default"/>
      </w:rPr>
    </w:lvl>
    <w:lvl w:ilvl="7" w:tplc="EFAA112E" w:tentative="1">
      <w:start w:val="1"/>
      <w:numFmt w:val="bullet"/>
      <w:lvlText w:val=""/>
      <w:lvlJc w:val="left"/>
      <w:pPr>
        <w:ind w:left="3840" w:hanging="420"/>
      </w:pPr>
      <w:rPr>
        <w:rFonts w:ascii="Wingdings" w:hAnsi="Wingdings" w:hint="default"/>
      </w:rPr>
    </w:lvl>
    <w:lvl w:ilvl="8" w:tplc="97425E1E"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40"/>
    <w:rsid w:val="000007D1"/>
    <w:rsid w:val="00024F81"/>
    <w:rsid w:val="00093EEB"/>
    <w:rsid w:val="000B0D00"/>
    <w:rsid w:val="000B7C15"/>
    <w:rsid w:val="000D1D0F"/>
    <w:rsid w:val="000F5290"/>
    <w:rsid w:val="0010165C"/>
    <w:rsid w:val="00146BFB"/>
    <w:rsid w:val="00177831"/>
    <w:rsid w:val="001A28C6"/>
    <w:rsid w:val="001F14A2"/>
    <w:rsid w:val="0023203F"/>
    <w:rsid w:val="00241FEC"/>
    <w:rsid w:val="002710C9"/>
    <w:rsid w:val="002801AA"/>
    <w:rsid w:val="002C4676"/>
    <w:rsid w:val="002C70B0"/>
    <w:rsid w:val="002F3CC4"/>
    <w:rsid w:val="00334C8F"/>
    <w:rsid w:val="003862E2"/>
    <w:rsid w:val="003935AD"/>
    <w:rsid w:val="003A584C"/>
    <w:rsid w:val="0046053F"/>
    <w:rsid w:val="004959AA"/>
    <w:rsid w:val="00513630"/>
    <w:rsid w:val="00530A94"/>
    <w:rsid w:val="00560125"/>
    <w:rsid w:val="00585553"/>
    <w:rsid w:val="005A1840"/>
    <w:rsid w:val="005B34D9"/>
    <w:rsid w:val="005B4430"/>
    <w:rsid w:val="005D0CCF"/>
    <w:rsid w:val="005D3CD4"/>
    <w:rsid w:val="005F3BCB"/>
    <w:rsid w:val="005F410F"/>
    <w:rsid w:val="0060149A"/>
    <w:rsid w:val="00601924"/>
    <w:rsid w:val="006447EA"/>
    <w:rsid w:val="00644D0E"/>
    <w:rsid w:val="0064731F"/>
    <w:rsid w:val="00654AE8"/>
    <w:rsid w:val="00655E2B"/>
    <w:rsid w:val="00664572"/>
    <w:rsid w:val="006710F6"/>
    <w:rsid w:val="006847A3"/>
    <w:rsid w:val="00696F75"/>
    <w:rsid w:val="006C1B56"/>
    <w:rsid w:val="006D4761"/>
    <w:rsid w:val="00726872"/>
    <w:rsid w:val="00760F1C"/>
    <w:rsid w:val="007657F0"/>
    <w:rsid w:val="0077252D"/>
    <w:rsid w:val="007955DA"/>
    <w:rsid w:val="007B1F4A"/>
    <w:rsid w:val="007C2AE0"/>
    <w:rsid w:val="007E5DD3"/>
    <w:rsid w:val="007F350B"/>
    <w:rsid w:val="007F5611"/>
    <w:rsid w:val="00820BE4"/>
    <w:rsid w:val="008451E8"/>
    <w:rsid w:val="00886585"/>
    <w:rsid w:val="008B1B17"/>
    <w:rsid w:val="008B728D"/>
    <w:rsid w:val="008C0D1F"/>
    <w:rsid w:val="008C5B11"/>
    <w:rsid w:val="008D3087"/>
    <w:rsid w:val="00913B9C"/>
    <w:rsid w:val="00942728"/>
    <w:rsid w:val="00951A74"/>
    <w:rsid w:val="00956E77"/>
    <w:rsid w:val="009657C1"/>
    <w:rsid w:val="009A7729"/>
    <w:rsid w:val="009F236A"/>
    <w:rsid w:val="009F4811"/>
    <w:rsid w:val="00A0010F"/>
    <w:rsid w:val="00A9414C"/>
    <w:rsid w:val="00AA390C"/>
    <w:rsid w:val="00AC714B"/>
    <w:rsid w:val="00B0200A"/>
    <w:rsid w:val="00B10FEA"/>
    <w:rsid w:val="00B33AE6"/>
    <w:rsid w:val="00B574DB"/>
    <w:rsid w:val="00B826C2"/>
    <w:rsid w:val="00B8298E"/>
    <w:rsid w:val="00B93B73"/>
    <w:rsid w:val="00BD0723"/>
    <w:rsid w:val="00BD2518"/>
    <w:rsid w:val="00BE0C73"/>
    <w:rsid w:val="00BE0CB5"/>
    <w:rsid w:val="00BF1D1C"/>
    <w:rsid w:val="00C20C59"/>
    <w:rsid w:val="00C2727F"/>
    <w:rsid w:val="00C357CE"/>
    <w:rsid w:val="00C55B1F"/>
    <w:rsid w:val="00CF0675"/>
    <w:rsid w:val="00CF1A67"/>
    <w:rsid w:val="00CF5658"/>
    <w:rsid w:val="00D2750E"/>
    <w:rsid w:val="00D342B9"/>
    <w:rsid w:val="00D62446"/>
    <w:rsid w:val="00D6425A"/>
    <w:rsid w:val="00D73762"/>
    <w:rsid w:val="00DA4EA2"/>
    <w:rsid w:val="00DB061B"/>
    <w:rsid w:val="00DC3D3E"/>
    <w:rsid w:val="00DC6DB2"/>
    <w:rsid w:val="00DE2C90"/>
    <w:rsid w:val="00DE3B24"/>
    <w:rsid w:val="00E06947"/>
    <w:rsid w:val="00E20D09"/>
    <w:rsid w:val="00E3592D"/>
    <w:rsid w:val="00E90502"/>
    <w:rsid w:val="00E92DE8"/>
    <w:rsid w:val="00EB1212"/>
    <w:rsid w:val="00EB6A98"/>
    <w:rsid w:val="00ED65AB"/>
    <w:rsid w:val="00F12850"/>
    <w:rsid w:val="00F25C6C"/>
    <w:rsid w:val="00F33BF4"/>
    <w:rsid w:val="00F55A50"/>
    <w:rsid w:val="00F7105E"/>
    <w:rsid w:val="00F75F57"/>
    <w:rsid w:val="00F82FEE"/>
    <w:rsid w:val="00FC0DCC"/>
    <w:rsid w:val="00FD57D3"/>
    <w:rsid w:val="00FF11BD"/>
    <w:rsid w:val="00FF29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0B0D00"/>
    <w:rPr>
      <w:position w:val="6"/>
      <w:sz w:val="16"/>
    </w:rPr>
  </w:style>
  <w:style w:type="paragraph" w:styleId="FootnoteText">
    <w:name w:val="footnote text"/>
    <w:aliases w:val="ALTS FOOTNOTE,Footnote Text Char1,Footnote Text... +"/>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5A1840"/>
    <w:rPr>
      <w:color w:val="605E5C"/>
      <w:shd w:val="clear" w:color="auto" w:fill="E1DFDD"/>
    </w:rPr>
  </w:style>
  <w:style w:type="character" w:customStyle="1" w:styleId="FootnoteTextChar">
    <w:name w:val="Footnote Text Char"/>
    <w:aliases w:val="ALTS FOOTNOTE Char,Footnote Text Char1 Char,Footnote Text... + Char"/>
    <w:basedOn w:val="DefaultParagraphFont"/>
    <w:link w:val="FootnoteText"/>
    <w:rsid w:val="008C0D1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79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bc.com/news/business-29617831" TargetMode="External"/><Relationship Id="rId3" Type="http://schemas.openxmlformats.org/officeDocument/2006/relationships/hyperlink" Target="https://www.itu.int/en/ITU-D/Emergency-Telecommunications/Documents/2020/NETP-S.pdf" TargetMode="External"/><Relationship Id="rId7" Type="http://schemas.openxmlformats.org/officeDocument/2006/relationships/hyperlink" Target="https://www.itu.int/en/ITU-D/Conferences/GSR/2020/Documents/GSR-20_Best-Practice-Guidelines_Final_S.pdf" TargetMode="External"/><Relationship Id="rId2" Type="http://schemas.openxmlformats.org/officeDocument/2006/relationships/hyperlink" Target="https://www.itu.int/zh/about/Pages/default.aspx" TargetMode="External"/><Relationship Id="rId1" Type="http://schemas.openxmlformats.org/officeDocument/2006/relationships/hyperlink" Target="https://www.itu.int/en/ITU-D/Conferences/GSR/2020/Documents/ITU_COVID-19_and_Telecom-ICT.pdf" TargetMode="External"/><Relationship Id="rId6" Type="http://schemas.openxmlformats.org/officeDocument/2006/relationships/hyperlink" Target="https://www.itu.int/en/ITU-D/Conferences/GSR/2020/Documents/Final_Chairmans-Report_GSR-20_C.pdf" TargetMode="External"/><Relationship Id="rId5" Type="http://schemas.openxmlformats.org/officeDocument/2006/relationships/hyperlink" Target="https://www.un.org/zh/documents/treaty/files/A-RES-70-1.shtml" TargetMode="External"/><Relationship Id="rId10" Type="http://schemas.openxmlformats.org/officeDocument/2006/relationships/hyperlink" Target="https://xc.caict.ac.cn/help.html" TargetMode="External"/><Relationship Id="rId4" Type="http://schemas.openxmlformats.org/officeDocument/2006/relationships/hyperlink" Target="https://www.itu.int/en/ITU-D/Emergency-Telecommunications/Pages/Publications/Guidelines-for-NETPs.aspx" TargetMode="External"/><Relationship Id="rId9" Type="http://schemas.openxmlformats.org/officeDocument/2006/relationships/hyperlink" Target="https://www.aarogyasetu.gov.in/fa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4ECE-2FFD-418C-B4B6-34A06311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1</TotalTime>
  <Pages>4</Pages>
  <Words>983</Words>
  <Characters>6287</Characters>
  <Application>Microsoft Office Word</Application>
  <DocSecurity>0</DocSecurity>
  <Lines>261</Lines>
  <Paragraphs>151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7119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República Popular de China - Recomendaciones para incluir las tic para la emergencia de salud pública de importancia internacional (PHEIC) en las metas stratégicas del plan estratégico de la UIT para 2024-2027</dc:title>
  <dc:subject>Council Working Group for Strategic and Financial Plans 2024-2027</dc:subject>
  <dc:creator>Spanish83</dc:creator>
  <cp:keywords>CWG-SFP, CWG, CWGs &amp; EGs</cp:keywords>
  <dc:description/>
  <cp:lastModifiedBy>Xue, Kun</cp:lastModifiedBy>
  <cp:revision>2</cp:revision>
  <cp:lastPrinted>2006-03-24T09:51:00Z</cp:lastPrinted>
  <dcterms:created xsi:type="dcterms:W3CDTF">2021-09-21T09:03:00Z</dcterms:created>
  <dcterms:modified xsi:type="dcterms:W3CDTF">2021-09-21T09:03:00Z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