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20256B" w14:paraId="38FD7E05" w14:textId="77777777" w:rsidTr="00821479">
        <w:trPr>
          <w:cantSplit/>
        </w:trPr>
        <w:tc>
          <w:tcPr>
            <w:tcW w:w="6911" w:type="dxa"/>
          </w:tcPr>
          <w:p w14:paraId="1CA22095" w14:textId="4A6CC0CE" w:rsidR="00821479" w:rsidRPr="0020256B" w:rsidRDefault="0076356D" w:rsidP="0076356D">
            <w:pPr>
              <w:spacing w:before="240" w:after="48"/>
              <w:rPr>
                <w:position w:val="6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Рабочая группа Совета по разработке Стратегического и Финансового планов на 2024–2027 годы</w:t>
            </w:r>
          </w:p>
        </w:tc>
        <w:tc>
          <w:tcPr>
            <w:tcW w:w="2870" w:type="dxa"/>
          </w:tcPr>
          <w:p w14:paraId="12C8B612" w14:textId="52A83F62" w:rsidR="00821479" w:rsidRPr="0020256B" w:rsidRDefault="00DF2730" w:rsidP="00DF2730">
            <w:pPr>
              <w:spacing w:before="0" w:line="240" w:lineRule="atLeast"/>
              <w:rPr>
                <w:szCs w:val="22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B83407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10FA78CB" w:rsidR="00821479" w:rsidRPr="0020256B" w:rsidRDefault="00DF2730" w:rsidP="00715EEB">
            <w:pPr>
              <w:spacing w:before="0" w:after="48" w:line="240" w:lineRule="atLeast"/>
              <w:rPr>
                <w:b/>
                <w:smallCaps/>
                <w:szCs w:val="22"/>
              </w:rPr>
            </w:pPr>
            <w:r>
              <w:rPr>
                <w:b/>
                <w:color w:val="000000"/>
                <w:szCs w:val="24"/>
              </w:rPr>
              <w:t xml:space="preserve">Первое собрание – Виртуальное собрание, </w:t>
            </w:r>
            <w:proofErr w:type="gramStart"/>
            <w:r>
              <w:rPr>
                <w:b/>
                <w:color w:val="000000"/>
                <w:szCs w:val="24"/>
              </w:rPr>
              <w:t>29−30</w:t>
            </w:r>
            <w:proofErr w:type="gramEnd"/>
            <w:r>
              <w:rPr>
                <w:b/>
                <w:color w:val="000000"/>
                <w:szCs w:val="24"/>
              </w:rPr>
              <w:t xml:space="preserve"> сентября 2021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20256B" w:rsidRDefault="00821479" w:rsidP="00821479">
            <w:pPr>
              <w:spacing w:before="0" w:line="240" w:lineRule="atLeast"/>
              <w:rPr>
                <w:szCs w:val="22"/>
              </w:rPr>
            </w:pPr>
          </w:p>
        </w:tc>
      </w:tr>
      <w:tr w:rsidR="00821479" w:rsidRPr="00B83407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20256B" w:rsidRDefault="00821479" w:rsidP="00821479">
            <w:pPr>
              <w:spacing w:before="0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20256B" w:rsidRDefault="00821479" w:rsidP="00821479">
            <w:pPr>
              <w:spacing w:before="0" w:line="240" w:lineRule="atLeast"/>
              <w:rPr>
                <w:szCs w:val="22"/>
              </w:rPr>
            </w:pPr>
          </w:p>
        </w:tc>
      </w:tr>
      <w:tr w:rsidR="00821479" w:rsidRPr="0020256B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20256B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</w:p>
        </w:tc>
        <w:tc>
          <w:tcPr>
            <w:tcW w:w="2870" w:type="dxa"/>
          </w:tcPr>
          <w:p w14:paraId="27E707EA" w14:textId="0209319F" w:rsidR="00821479" w:rsidRPr="0020256B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Документ CWG-SFP-1/10-R</w:t>
            </w:r>
          </w:p>
        </w:tc>
      </w:tr>
      <w:tr w:rsidR="00821479" w:rsidRPr="0020256B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20256B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</w:p>
        </w:tc>
        <w:tc>
          <w:tcPr>
            <w:tcW w:w="2870" w:type="dxa"/>
          </w:tcPr>
          <w:p w14:paraId="613F1D24" w14:textId="1730C814" w:rsidR="00821479" w:rsidRPr="0020256B" w:rsidRDefault="00D31BAF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13 сентября 2021 года</w:t>
            </w:r>
          </w:p>
        </w:tc>
      </w:tr>
      <w:tr w:rsidR="00821479" w:rsidRPr="0020256B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20256B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</w:p>
        </w:tc>
        <w:tc>
          <w:tcPr>
            <w:tcW w:w="2870" w:type="dxa"/>
          </w:tcPr>
          <w:p w14:paraId="50F6F1E1" w14:textId="77777777" w:rsidR="00821479" w:rsidRPr="0020256B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Оригинал: английский</w:t>
            </w:r>
          </w:p>
        </w:tc>
      </w:tr>
      <w:tr w:rsidR="00DF2730" w:rsidRPr="0020256B" w14:paraId="08C86F88" w14:textId="77777777" w:rsidTr="009421F9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0C2F86D5" w:rsidR="00DF2730" w:rsidRPr="0020256B" w:rsidRDefault="00DF2730" w:rsidP="00DF2730">
            <w:pPr>
              <w:pStyle w:val="Title1"/>
            </w:pPr>
          </w:p>
        </w:tc>
      </w:tr>
      <w:tr w:rsidR="00821479" w:rsidRPr="0020256B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63679800" w:rsidR="00821479" w:rsidRPr="0020256B" w:rsidRDefault="008B6F60" w:rsidP="007F5014">
            <w:pPr>
              <w:pStyle w:val="Source"/>
            </w:pPr>
            <w:r>
              <w:t>Вклад Китайской Народной Республики</w:t>
            </w:r>
          </w:p>
        </w:tc>
      </w:tr>
      <w:tr w:rsidR="00DB2408" w:rsidRPr="0020256B" w14:paraId="186DF203" w14:textId="77777777" w:rsidTr="00521628">
        <w:trPr>
          <w:cantSplit/>
          <w:trHeight w:val="23"/>
        </w:trPr>
        <w:tc>
          <w:tcPr>
            <w:tcW w:w="9781" w:type="dxa"/>
            <w:gridSpan w:val="2"/>
            <w:shd w:val="clear" w:color="auto" w:fill="auto"/>
          </w:tcPr>
          <w:p w14:paraId="132F4B71" w14:textId="70879579" w:rsidR="00715EEB" w:rsidRPr="00B83407" w:rsidRDefault="00082147" w:rsidP="007F5014">
            <w:pPr>
              <w:pStyle w:val="Title1"/>
              <w:rPr>
                <w:szCs w:val="26"/>
              </w:rPr>
            </w:pPr>
            <w:bookmarkStart w:id="1" w:name="lt_pId011"/>
            <w:r w:rsidRPr="00521628">
              <w:rPr>
                <w:bCs/>
                <w:szCs w:val="26"/>
              </w:rPr>
              <w:t>Рекомендации по включению вопроса об использовании ИКТ в чрезвычайных ситуациях в области общественного здравоохранения, имеющих международное значение (ЧСЗМЗ), в стратегические цели, предусмотренные Стратегическим планом МСЭ на 2024–2027 годы</w:t>
            </w:r>
            <w:bookmarkEnd w:id="1"/>
          </w:p>
        </w:tc>
      </w:tr>
    </w:tbl>
    <w:p w14:paraId="7CC488A7" w14:textId="5753FD63" w:rsidR="00E01258" w:rsidRPr="00B83407" w:rsidRDefault="00F56DAE" w:rsidP="00A01AC9">
      <w:pPr>
        <w:pStyle w:val="Headingb"/>
        <w:spacing w:before="480"/>
        <w:rPr>
          <w:rFonts w:eastAsia="仿宋"/>
        </w:rPr>
      </w:pPr>
      <w:bookmarkStart w:id="2" w:name="lt_pId053"/>
      <w:r>
        <w:t>Базовая информация</w:t>
      </w:r>
    </w:p>
    <w:p w14:paraId="04FA1683" w14:textId="1AFA9B92" w:rsidR="00082147" w:rsidRPr="00521628" w:rsidRDefault="00082147" w:rsidP="00AF5752">
      <w:pPr>
        <w:rPr>
          <w:rFonts w:eastAsia="仿宋"/>
        </w:rPr>
      </w:pPr>
      <w:r w:rsidRPr="00521628">
        <w:t>15 июля 2021 года Всемирная организация здравоохранения (ВОЗ) объявила, что пандемия COVID-19 сохраняет характер чрезвычайной ситуации в области общественного здравоохранения, имеющей международное значение (ЧСЗМЗ)</w:t>
      </w:r>
      <w:r w:rsidRPr="00521628">
        <w:rPr>
          <w:rStyle w:val="FootnoteReference"/>
          <w:rFonts w:eastAsia="仿宋"/>
        </w:rPr>
        <w:footnoteReference w:id="1"/>
      </w:r>
      <w:r w:rsidRPr="00521628">
        <w:t xml:space="preserve">. Согласно заявлениям ВОЗ, с началом </w:t>
      </w:r>
      <w:r w:rsidR="00A47254">
        <w:rPr>
          <w:lang w:val="en-US"/>
        </w:rPr>
        <w:t>XXI</w:t>
      </w:r>
      <w:r w:rsidR="00A47254" w:rsidRPr="00AF5752">
        <w:t xml:space="preserve"> </w:t>
      </w:r>
      <w:r w:rsidRPr="00521628">
        <w:t>века частота ЧСЗМЗ растет, а уровень их распространенности и воздействия переходит от регионального к глобальному, что оказывает огромное влияние на население и экономическое развитие во всем мире. В настоящее время электросвязь и ИКТ предоставляют человечеству возможность воспользоваться новыми инструментами для борьбы с чрезвычайными ситуациями в области общественного здравоохранения и представляют собой крайне важный базовый ресурс для развития глобальной и национальной экономики и обеспечения благосостояния любого общества. Они внесли значительный вклад с точки зрения как реагирования на чрезвычайные ситуации в области общественного здравоохранения, так и восстановления после них, демонстрируя при этом мощный потенциал для развития</w:t>
      </w:r>
      <w:r w:rsidRPr="00521628">
        <w:rPr>
          <w:rStyle w:val="FootnoteReference"/>
          <w:rFonts w:eastAsia="仿宋"/>
        </w:rPr>
        <w:footnoteReference w:id="2"/>
      </w:r>
      <w:r w:rsidRPr="00521628">
        <w:t xml:space="preserve">. МСЭ </w:t>
      </w:r>
      <w:r w:rsidR="00A47254">
        <w:t xml:space="preserve">является </w:t>
      </w:r>
      <w:r w:rsidRPr="00521628">
        <w:t>специализированн</w:t>
      </w:r>
      <w:r w:rsidR="00A47254">
        <w:t>ым</w:t>
      </w:r>
      <w:r w:rsidRPr="00521628">
        <w:t xml:space="preserve"> учреждение</w:t>
      </w:r>
      <w:r w:rsidR="00A47254">
        <w:t>м</w:t>
      </w:r>
      <w:r w:rsidRPr="00521628">
        <w:t xml:space="preserve"> Организации Объединенных Наций в области электросвязи/ИКТ. МСЭ осуществляет</w:t>
      </w:r>
      <w:r>
        <w:t xml:space="preserve"> распределение глобального радио</w:t>
      </w:r>
      <w:r w:rsidR="00A47254">
        <w:t xml:space="preserve">частотного </w:t>
      </w:r>
      <w:r>
        <w:t xml:space="preserve">спектра и спутниковых орбит, разрабатывает технические стандарты, которые обеспечивают беспрепятственное взаимодействие сетей и технологий, и направляет усилия на расширение доступа к электросвязи/ИКТ в обслуживаемых в недостаточной степени сообществах во </w:t>
      </w:r>
      <w:r>
        <w:lastRenderedPageBreak/>
        <w:t>всем мире</w:t>
      </w:r>
      <w:r w:rsidRPr="00B2661E">
        <w:rPr>
          <w:rStyle w:val="FootnoteReference"/>
          <w:rFonts w:eastAsia="仿宋"/>
        </w:rPr>
        <w:footnoteReference w:id="3"/>
      </w:r>
      <w:r>
        <w:t xml:space="preserve">. </w:t>
      </w:r>
      <w:r w:rsidRPr="00521628">
        <w:t>Максимально используя свои сильные стороны во время пандемии, МСЭ стал существенным фактором обеспечения устойчивости и связи во всем мире. В марте 2020 года он представил Глобальную платформу по обеспечению устойчивости сетей (#REG4COVID), направленную на то, чтобы помочь национальным директивным и регуляторным органам и отраслевым заинтересованным сторонам реагировать на растущую нагрузку на глобальные сети во время кризиса COVID-19, а также опубликовал Руководящие указания МСЭ по разработке национальных планов электросвязи в чрезвычайных ситуациях, предназначенные для разработки и реализации национальных планов электросвязи в чрезвычайных ситуациях (NETP) и любых других адаптированных планов действий на случай непредвиденных обстоятельств, в которых инфекционные заболевания указаны в соответствии с тем или иным типом бедствий</w:t>
      </w:r>
      <w:r w:rsidRPr="00521628">
        <w:rPr>
          <w:rStyle w:val="FootnoteReference"/>
          <w:rFonts w:eastAsia="仿宋"/>
        </w:rPr>
        <w:footnoteReference w:id="4"/>
      </w:r>
      <w:r w:rsidRPr="00521628">
        <w:t>.</w:t>
      </w:r>
    </w:p>
    <w:p w14:paraId="093E60DB" w14:textId="4E8574FD" w:rsidR="00082147" w:rsidRPr="00521628" w:rsidRDefault="00082147" w:rsidP="00AF5752">
      <w:pPr>
        <w:rPr>
          <w:rFonts w:eastAsia="仿宋"/>
        </w:rPr>
      </w:pPr>
      <w:r w:rsidRPr="00521628">
        <w:t xml:space="preserve">На международном уровне </w:t>
      </w:r>
      <w:r w:rsidR="00357AB0" w:rsidRPr="00521628">
        <w:t xml:space="preserve">в 2015 году </w:t>
      </w:r>
      <w:r w:rsidRPr="00521628">
        <w:t>Генеральной Ассамблеей Организации Объединенных Наций был принят документ "Преобразование нашего мира: Повестка дня в области устойчивого развития на период до 2030 года", которым предусмотрено достижение таких целей, как "обеспечение здорового образа жизни и содействие благополучию для всех в любом возрасте", "создание стойкой инфраструктуры, содействие всеохватной и устойчивой индустриализации и инновациям" и "обеспечение открытости, безопасности, жизнестойкости и экологической устойчивости городов и населенных пунктов"</w:t>
      </w:r>
      <w:r w:rsidRPr="00521628">
        <w:rPr>
          <w:rStyle w:val="FootnoteReference"/>
          <w:rFonts w:eastAsia="仿宋"/>
        </w:rPr>
        <w:footnoteReference w:id="5"/>
      </w:r>
      <w:r w:rsidRPr="00521628">
        <w:t xml:space="preserve">. На 20-м ГСР МСЭ (ГСР-20) было высказано предложение создать </w:t>
      </w:r>
      <w:r w:rsidR="00357AB0" w:rsidRPr="00357AB0">
        <w:t>гибк</w:t>
      </w:r>
      <w:r w:rsidR="00357AB0">
        <w:t>ую</w:t>
      </w:r>
      <w:r w:rsidR="00357AB0" w:rsidRPr="00357AB0">
        <w:t>, устойчив</w:t>
      </w:r>
      <w:r w:rsidR="00357AB0">
        <w:t>ую</w:t>
      </w:r>
      <w:r w:rsidR="00357AB0" w:rsidRPr="00357AB0">
        <w:t>, предполагающ</w:t>
      </w:r>
      <w:r w:rsidR="00357AB0">
        <w:t>ую</w:t>
      </w:r>
      <w:r w:rsidR="00357AB0" w:rsidRPr="00357AB0">
        <w:t xml:space="preserve"> сотрудничество и соответствующ</w:t>
      </w:r>
      <w:r w:rsidR="00357AB0">
        <w:t>ую</w:t>
      </w:r>
      <w:r w:rsidR="00357AB0" w:rsidRPr="00357AB0">
        <w:t xml:space="preserve"> своим целям</w:t>
      </w:r>
      <w:r w:rsidRPr="00521628">
        <w:t xml:space="preserve"> регуляторную экосистему, позволяющую строить мир по принципу "лучше, чем было", стимулировать цифровую трансформацию в интересах всех и каждого и преодолевать связанные с ней трудности в рамках глобальных кризисов и на последующих этапах</w:t>
      </w:r>
      <w:r w:rsidRPr="00521628">
        <w:rPr>
          <w:rStyle w:val="FootnoteReference"/>
          <w:rFonts w:eastAsia="仿宋"/>
        </w:rPr>
        <w:footnoteReference w:id="6"/>
      </w:r>
      <w:r w:rsidRPr="00521628">
        <w:t>.</w:t>
      </w:r>
      <w:r w:rsidRPr="00521628">
        <w:rPr>
          <w:vertAlign w:val="superscript"/>
        </w:rPr>
        <w:t xml:space="preserve"> </w:t>
      </w:r>
      <w:r w:rsidRPr="00521628">
        <w:t>Итоговым документом ГСР являются Руководящие указания на основе примеров передового опыта по теме</w:t>
      </w:r>
      <w:r w:rsidRPr="00521628">
        <w:rPr>
          <w:i/>
        </w:rPr>
        <w:t xml:space="preserve"> </w:t>
      </w:r>
      <w:r w:rsidRPr="00521628">
        <w:t>"Золотой стандарт цифрового регулирования". Среди различных реформаторских идей предлагается доработать национальные планы действий в чрезвычайных ситуациях: разработка</w:t>
      </w:r>
      <w:r>
        <w:t xml:space="preserve"> и осуществление эффективных планов действий в чрезвычайных ситуациях обеспечивает более четкую подготовленность к кризисам и принятие решений в период кризисов. Требуется двустороннее, региональное и международное сотрудничество для обеспечения непрерывности ведения хозяйственной деятельности и предоставления государственных услуг и для содействия национальным усилиям при восстановлении после чрезвычайных ситуаций. Директивным органам следует принять меры к тому, чтобы в этих планах учитывались вызванные болезнями чрезвычайные </w:t>
      </w:r>
      <w:r w:rsidRPr="00521628">
        <w:t>ситуации, а также стихийные бедствия, если они еще не учтены</w:t>
      </w:r>
      <w:r w:rsidRPr="00521628">
        <w:rPr>
          <w:rStyle w:val="FootnoteReference"/>
          <w:rFonts w:eastAsia="仿宋"/>
        </w:rPr>
        <w:footnoteReference w:id="7"/>
      </w:r>
      <w:r w:rsidRPr="00521628">
        <w:t>.</w:t>
      </w:r>
    </w:p>
    <w:p w14:paraId="39166D0D" w14:textId="6609EC71" w:rsidR="00082147" w:rsidRPr="00521628" w:rsidRDefault="00082147" w:rsidP="00AF5752">
      <w:pPr>
        <w:rPr>
          <w:rFonts w:eastAsia="仿宋"/>
        </w:rPr>
      </w:pPr>
      <w:r w:rsidRPr="00521628">
        <w:lastRenderedPageBreak/>
        <w:t xml:space="preserve">Среди </w:t>
      </w:r>
      <w:r w:rsidR="00E933E2" w:rsidRPr="00521628">
        <w:t>государств</w:t>
      </w:r>
      <w:r w:rsidRPr="00521628">
        <w:t>-</w:t>
      </w:r>
      <w:r w:rsidR="00E933E2" w:rsidRPr="00521628">
        <w:t xml:space="preserve">членов </w:t>
      </w:r>
      <w:r w:rsidRPr="00521628">
        <w:t xml:space="preserve">все страны придают большое значение важной роли ИКТ в предотвращении чрезвычайных ситуаций в области общественного здравоохранения и борьбе с ними. Многие страны уже используют архивы и данные сеансов связи для отслеживания динамики пандемии и всей цепочки воздействия вируса, определения путей его передачи и прогнозирования развития пандемии. Во время вспышки вируса Эбола во многих странах Западной Африки в 2014 году компания Orange Telecom в Сенегале передала </w:t>
      </w:r>
      <w:proofErr w:type="spellStart"/>
      <w:r w:rsidRPr="00521628">
        <w:t>анонимизированные</w:t>
      </w:r>
      <w:proofErr w:type="spellEnd"/>
      <w:r w:rsidRPr="00521628">
        <w:t xml:space="preserve"> голосовые и SMS-сообщения, полученные со 150</w:t>
      </w:r>
      <w:r w:rsidR="00E933E2">
        <w:t> </w:t>
      </w:r>
      <w:r w:rsidRPr="00521628">
        <w:t xml:space="preserve">000 мобильных телефонов, шведской некоммерческой организации </w:t>
      </w:r>
      <w:proofErr w:type="spellStart"/>
      <w:r w:rsidRPr="00521628">
        <w:t>Flowminder</w:t>
      </w:r>
      <w:proofErr w:type="spellEnd"/>
      <w:r w:rsidRPr="00521628">
        <w:t xml:space="preserve">, которая использовала эти данные для составления карты передвижения населения в регионе, определения локальных очагов вспышки вируса, прогнозирования его распространения и предоставления информации из первых рук для рационального распределения медицинских препаратов и составления оптимальных маршрутов их транспортировки. Центры по контролю и профилактике заболеваний (CDC) США получили от операторов подвижной связи данные о местонахождении пользователей, позвонивших на горячую линию при заболевании лихорадкой Эбола, и поручили компании </w:t>
      </w:r>
      <w:proofErr w:type="spellStart"/>
      <w:r w:rsidRPr="00521628">
        <w:t>Esri</w:t>
      </w:r>
      <w:proofErr w:type="spellEnd"/>
      <w:r w:rsidRPr="00521628">
        <w:t xml:space="preserve">, занимающейся разработкой программного обеспечения в области картографии, на основании полученной информации о местонахождении и результатов опроса населения создать визуализированную карту с указанием точного местонахождения и пути </w:t>
      </w:r>
      <w:r w:rsidR="004C61DA">
        <w:t>передвижения</w:t>
      </w:r>
      <w:r w:rsidRPr="00521628">
        <w:t xml:space="preserve"> людей, инфицированных вирусом, с тем чтобы помочь правительству мобилизовать дополнительные медицинские ресурсы для оказания помощи жителям региона</w:t>
      </w:r>
      <w:r w:rsidRPr="00521628">
        <w:rPr>
          <w:rStyle w:val="FootnoteReference"/>
          <w:rFonts w:eastAsia="仿宋"/>
        </w:rPr>
        <w:footnoteReference w:id="8"/>
      </w:r>
      <w:r w:rsidRPr="00521628">
        <w:t xml:space="preserve">. В 2020 году правительство Индии разработало мобильное приложение под названием </w:t>
      </w:r>
      <w:proofErr w:type="spellStart"/>
      <w:r w:rsidRPr="00521628">
        <w:t>Aarogya</w:t>
      </w:r>
      <w:proofErr w:type="spellEnd"/>
      <w:r w:rsidRPr="00521628">
        <w:t xml:space="preserve"> </w:t>
      </w:r>
      <w:proofErr w:type="spellStart"/>
      <w:r w:rsidRPr="00521628">
        <w:t>Setu</w:t>
      </w:r>
      <w:proofErr w:type="spellEnd"/>
      <w:r w:rsidRPr="00521628">
        <w:t>, которое, используя Bluetooth, в автоматическом режиме отслеживает контакты и передает статистические данные по COVID-19 на основе данных о местоположении</w:t>
      </w:r>
      <w:r w:rsidRPr="00521628">
        <w:rPr>
          <w:rFonts w:eastAsia="仿宋"/>
          <w:position w:val="6"/>
          <w:sz w:val="16"/>
          <w:szCs w:val="16"/>
          <w:lang w:val="en-US"/>
        </w:rPr>
        <w:footnoteReference w:id="9"/>
      </w:r>
      <w:r w:rsidRPr="00521628">
        <w:t xml:space="preserve">. Во время пандемии в Китае был введен в обращение проездной документ, разработанный с использованием больших данных сеансов связи (Communication Big Data Travel Card), который позволяет пользователю проверить свои внутренние и международные передвижения за последние 14 дней, а также анализирует использование больших данных сеансов связи для создания </w:t>
      </w:r>
      <w:r w:rsidR="004C61DA" w:rsidRPr="00521628">
        <w:t xml:space="preserve">нового поколения </w:t>
      </w:r>
      <w:r w:rsidRPr="00521628">
        <w:t>моделей мониторинга, профилактики и контроля инфекционных заболеваний</w:t>
      </w:r>
      <w:r w:rsidRPr="00521628">
        <w:rPr>
          <w:rFonts w:eastAsia="仿宋"/>
          <w:position w:val="6"/>
          <w:sz w:val="16"/>
          <w:szCs w:val="16"/>
          <w:lang w:val="en-US"/>
        </w:rPr>
        <w:footnoteReference w:id="10"/>
      </w:r>
      <w:r w:rsidRPr="00521628">
        <w:t>.</w:t>
      </w:r>
    </w:p>
    <w:p w14:paraId="2C626E1B" w14:textId="77777777" w:rsidR="00082147" w:rsidRPr="00521628" w:rsidRDefault="00082147" w:rsidP="00AF5752">
      <w:pPr>
        <w:pStyle w:val="Headingb"/>
        <w:rPr>
          <w:rFonts w:eastAsia="仿宋"/>
        </w:rPr>
      </w:pPr>
      <w:r w:rsidRPr="00521628">
        <w:t>Анализ</w:t>
      </w:r>
    </w:p>
    <w:p w14:paraId="5726C83D" w14:textId="0A508572" w:rsidR="00082147" w:rsidRPr="00521628" w:rsidRDefault="00082147" w:rsidP="00AF5752">
      <w:pPr>
        <w:rPr>
          <w:rFonts w:eastAsia="仿宋"/>
        </w:rPr>
      </w:pPr>
      <w:r w:rsidRPr="00521628">
        <w:t>Стратегический план МСЭ – это стратегический документ, разраб</w:t>
      </w:r>
      <w:r w:rsidR="004C61DA">
        <w:t xml:space="preserve">атываемый </w:t>
      </w:r>
      <w:r w:rsidRPr="00521628">
        <w:t>в соответствии с положениями Устава и Конвенции Союза, который имеет важное значение для определения направлений его деятельности в течение четырехлетнего периода. Поскольку последние разработки и влияние ИКТ в области ЧСЗМЗ пока не имеют четкого отражения в целях, предусмотренных Резолюцией 71 (Пересм. Дубай, 2018) в отношении стратегического плана МСЭ на 2020–2023 годы, рекомендуется включить этот вопрос в план на следующие четыре года и принять его во внимание.</w:t>
      </w:r>
    </w:p>
    <w:p w14:paraId="05DCC27A" w14:textId="232156D8" w:rsidR="00082147" w:rsidRPr="00521628" w:rsidRDefault="0013215A" w:rsidP="00AF5752">
      <w:pPr>
        <w:pStyle w:val="Headingb"/>
        <w:rPr>
          <w:rFonts w:eastAsia="仿宋"/>
        </w:rPr>
      </w:pPr>
      <w:r w:rsidRPr="00521628">
        <w:t>Предложение</w:t>
      </w:r>
    </w:p>
    <w:p w14:paraId="011D6E88" w14:textId="77777777" w:rsidR="00082147" w:rsidRPr="00521628" w:rsidRDefault="00082147" w:rsidP="00AF5752">
      <w:pPr>
        <w:rPr>
          <w:rFonts w:eastAsia="仿宋"/>
        </w:rPr>
      </w:pPr>
      <w:r w:rsidRPr="00521628">
        <w:t xml:space="preserve">В целом МСЭ рекомендуется включить вопрос использования ИКТ при ЧСЗМЗ в свой средне- и долгосрочный стратегический план для рассмотрения. В частности, рекомендуется: </w:t>
      </w:r>
    </w:p>
    <w:p w14:paraId="61261153" w14:textId="3747EA88" w:rsidR="00082147" w:rsidRPr="00521628" w:rsidRDefault="00082147" w:rsidP="00AF5752">
      <w:pPr>
        <w:pStyle w:val="enumlev1"/>
        <w:rPr>
          <w:rFonts w:eastAsia="仿宋"/>
        </w:rPr>
      </w:pPr>
      <w:r w:rsidRPr="00521628">
        <w:t>•</w:t>
      </w:r>
      <w:r w:rsidRPr="00521628">
        <w:tab/>
        <w:t>рассмотреть возможность включения вопроса о более эффективном использовании ИКТ в целях предотвращения ЧСЗМЗ, борьбы с ними и восстановления после них в стратегические цели, предусмотренные Стратегическим планом МСЭ на 2024–2027 годы;</w:t>
      </w:r>
    </w:p>
    <w:p w14:paraId="3709290D" w14:textId="77777777" w:rsidR="00521628" w:rsidRDefault="00082147" w:rsidP="00AF5752">
      <w:pPr>
        <w:pStyle w:val="enumlev1"/>
      </w:pPr>
      <w:r w:rsidRPr="00521628">
        <w:t>•</w:t>
      </w:r>
      <w:r w:rsidRPr="00521628">
        <w:tab/>
        <w:t>содействовать сбору и обобщению данных о передовом опыте стран и регионов по использованию ИКТ в целях реагирования на ЧСЗМЗ на основе платформы #REG4COVID и регулярно публиковать "комплекты материалов" с примерами передового опыта или результатами соответствующих исследований.</w:t>
      </w:r>
    </w:p>
    <w:p w14:paraId="00BDFA5D" w14:textId="7578B993" w:rsidR="0020256B" w:rsidRPr="00AF5752" w:rsidRDefault="00E01258" w:rsidP="00AF5752">
      <w:pPr>
        <w:jc w:val="center"/>
      </w:pPr>
      <w:r>
        <w:t>______________</w:t>
      </w:r>
    </w:p>
    <w:bookmarkEnd w:id="2"/>
    <w:sectPr w:rsidR="0020256B" w:rsidRPr="00AF5752" w:rsidSect="00821479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1015" w14:textId="77777777" w:rsidR="00D17F88" w:rsidRDefault="00D17F88">
      <w:r>
        <w:separator/>
      </w:r>
    </w:p>
  </w:endnote>
  <w:endnote w:type="continuationSeparator" w:id="0">
    <w:p w14:paraId="229C3400" w14:textId="77777777" w:rsidR="00D17F88" w:rsidRDefault="00D1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68BD" w14:textId="4B7D7683" w:rsidR="00E0307A" w:rsidRPr="005B4CAE" w:rsidRDefault="0020256B" w:rsidP="0020256B">
    <w:pPr>
      <w:pStyle w:val="Footer"/>
      <w:rPr>
        <w:color w:val="F2F2F2" w:themeColor="background1" w:themeShade="F2"/>
        <w:sz w:val="18"/>
        <w:szCs w:val="18"/>
        <w:lang w:val="en-US"/>
      </w:rPr>
    </w:pPr>
    <w:r w:rsidRPr="005B4CAE">
      <w:rPr>
        <w:color w:val="F2F2F2" w:themeColor="background1" w:themeShade="F2"/>
      </w:rPr>
      <w:fldChar w:fldCharType="begin"/>
    </w:r>
    <w:r w:rsidRPr="005B4CAE">
      <w:rPr>
        <w:color w:val="F2F2F2" w:themeColor="background1" w:themeShade="F2"/>
        <w:lang w:val="en-US"/>
      </w:rPr>
      <w:instrText xml:space="preserve"> FILENAME \p  \* MERGEFORMAT </w:instrText>
    </w:r>
    <w:r w:rsidRPr="005B4CAE">
      <w:rPr>
        <w:color w:val="F2F2F2" w:themeColor="background1" w:themeShade="F2"/>
      </w:rPr>
      <w:fldChar w:fldCharType="separate"/>
    </w:r>
    <w:r w:rsidR="00521628" w:rsidRPr="005B4CAE">
      <w:rPr>
        <w:color w:val="F2F2F2" w:themeColor="background1" w:themeShade="F2"/>
        <w:lang w:val="en-US"/>
      </w:rPr>
      <w:t>T:\For Translators\EU PROJECTS\ITU\1 Projects\2021\9_ITU\4_to deliver\010R.docx</w:t>
    </w:r>
    <w:r w:rsidRPr="005B4CAE">
      <w:rPr>
        <w:color w:val="F2F2F2" w:themeColor="background1" w:themeShade="F2"/>
      </w:rPr>
      <w:fldChar w:fldCharType="end"/>
    </w:r>
    <w:r w:rsidRPr="005B4CAE">
      <w:rPr>
        <w:color w:val="F2F2F2" w:themeColor="background1" w:themeShade="F2"/>
        <w:lang w:val="en-US"/>
      </w:rPr>
      <w:t xml:space="preserve"> (494358)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27386B90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212A" w14:textId="77777777" w:rsidR="00D17F88" w:rsidRDefault="00D17F88">
      <w:r>
        <w:t>____________________</w:t>
      </w:r>
    </w:p>
  </w:footnote>
  <w:footnote w:type="continuationSeparator" w:id="0">
    <w:p w14:paraId="41067DE5" w14:textId="77777777" w:rsidR="00D17F88" w:rsidRDefault="00D17F88">
      <w:r>
        <w:continuationSeparator/>
      </w:r>
    </w:p>
  </w:footnote>
  <w:footnote w:id="1">
    <w:p w14:paraId="47019061" w14:textId="16E89F18" w:rsidR="00082147" w:rsidRPr="00521628" w:rsidRDefault="00082147" w:rsidP="00357AB0">
      <w:pPr>
        <w:pStyle w:val="FootnoteText"/>
        <w:tabs>
          <w:tab w:val="clear" w:pos="794"/>
          <w:tab w:val="clear" w:pos="1191"/>
          <w:tab w:val="clear" w:pos="1588"/>
          <w:tab w:val="clear" w:pos="1985"/>
          <w:tab w:val="left" w:pos="284"/>
        </w:tabs>
        <w:rPr>
          <w:rFonts w:eastAsia="SimSun"/>
        </w:rPr>
      </w:pPr>
      <w:r>
        <w:rPr>
          <w:rStyle w:val="FootnoteReference"/>
          <w:rFonts w:eastAsia="SimSun"/>
        </w:rPr>
        <w:footnoteRef/>
      </w:r>
      <w:r>
        <w:rPr>
          <w:rFonts w:ascii="Times New Roman" w:hAnsi="Times New Roman"/>
        </w:rPr>
        <w:tab/>
      </w:r>
      <w:r w:rsidRPr="00521628">
        <w:t>Согласно Международным медико-санитарным правилам, термин "чрезвычайная ситуация в области общественного здравоохранения, имеющая международное значение" определяется как "</w:t>
      </w:r>
      <w:r w:rsidR="00A47254" w:rsidRPr="00A47254">
        <w:t>экстраординарное событие, определяемое настоящими Правилами</w:t>
      </w:r>
      <w:r w:rsidR="00A47254">
        <w:t>, как</w:t>
      </w:r>
      <w:r w:rsidRPr="00521628">
        <w:t xml:space="preserve">: </w:t>
      </w:r>
      <w:r w:rsidR="00357AB0">
        <w:t>(</w:t>
      </w:r>
      <w:proofErr w:type="spellStart"/>
      <w:r w:rsidR="00357AB0">
        <w:rPr>
          <w:lang w:val="en-US"/>
        </w:rPr>
        <w:t>i</w:t>
      </w:r>
      <w:proofErr w:type="spellEnd"/>
      <w:r w:rsidRPr="00521628">
        <w:t xml:space="preserve">) </w:t>
      </w:r>
      <w:r w:rsidR="00357AB0">
        <w:t>представляющее риск для здоровья населения в других государствах в результате международного распространения болезни</w:t>
      </w:r>
      <w:r w:rsidR="00357AB0" w:rsidRPr="00AF5752">
        <w:t xml:space="preserve"> </w:t>
      </w:r>
      <w:r w:rsidR="00357AB0">
        <w:t>и</w:t>
      </w:r>
      <w:r w:rsidRPr="00521628">
        <w:t xml:space="preserve"> </w:t>
      </w:r>
      <w:r w:rsidR="00357AB0">
        <w:t>(</w:t>
      </w:r>
      <w:r w:rsidR="00357AB0">
        <w:rPr>
          <w:lang w:val="en-US"/>
        </w:rPr>
        <w:t>ii</w:t>
      </w:r>
      <w:r w:rsidRPr="00521628">
        <w:t>)</w:t>
      </w:r>
      <w:r w:rsidR="00AF5752">
        <w:t> </w:t>
      </w:r>
      <w:r w:rsidR="00357AB0" w:rsidRPr="00357AB0">
        <w:t>могущее потребовать скоординированных международных ответных мер</w:t>
      </w:r>
      <w:r w:rsidRPr="00521628">
        <w:t xml:space="preserve">". За период с момента вступления в силу Международных медико-санитарных правил (ММСП) ВОЗ объявила шесть чрезвычайных ситуаций в области общественного здравоохранения, имеющих международное значение (ЧСЗМЗ); причем первые пять касались H1N1 в 2009 году, полиомиелита в 2014 году, Эболы в Западной Африке в 2014 году, </w:t>
      </w:r>
      <w:proofErr w:type="spellStart"/>
      <w:r w:rsidRPr="00521628">
        <w:t>Зика</w:t>
      </w:r>
      <w:proofErr w:type="spellEnd"/>
      <w:r w:rsidRPr="00521628">
        <w:t xml:space="preserve"> в 2016 году и Эболы в Демократической Республике Конго в 2019 году. Кроме того, первой чрезвычайной ситуацией в области общественного здравоохранения, имеющей международное значение, в </w:t>
      </w:r>
      <w:r w:rsidR="00357AB0">
        <w:rPr>
          <w:lang w:val="fr-CH"/>
        </w:rPr>
        <w:t>XXI</w:t>
      </w:r>
      <w:r w:rsidRPr="00521628">
        <w:t xml:space="preserve"> веке стал тяжелый острый респираторный синдром (ТОРС), наблюдавшийся в 2003 году.</w:t>
      </w:r>
    </w:p>
  </w:footnote>
  <w:footnote w:id="2">
    <w:p w14:paraId="220CBFAB" w14:textId="3A834356" w:rsidR="00082147" w:rsidRPr="00521628" w:rsidRDefault="00082147" w:rsidP="00082147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rPr>
          <w:rFonts w:eastAsia="SimSun"/>
          <w:lang w:val="en-US"/>
        </w:rPr>
      </w:pPr>
      <w:r w:rsidRPr="00521628">
        <w:rPr>
          <w:rStyle w:val="FootnoteReference"/>
          <w:rFonts w:eastAsia="SimSun"/>
        </w:rPr>
        <w:footnoteRef/>
      </w:r>
      <w:r w:rsidRPr="00521628">
        <w:rPr>
          <w:lang w:val="en-US"/>
        </w:rPr>
        <w:tab/>
      </w:r>
      <w:r w:rsidRPr="00521628">
        <w:t>См</w:t>
      </w:r>
      <w:r w:rsidRPr="00521628">
        <w:rPr>
          <w:lang w:val="en-US"/>
        </w:rPr>
        <w:t xml:space="preserve">. </w:t>
      </w:r>
      <w:r w:rsidRPr="00521628">
        <w:t>документ</w:t>
      </w:r>
      <w:r w:rsidRPr="00521628">
        <w:rPr>
          <w:lang w:val="en-US"/>
        </w:rPr>
        <w:t xml:space="preserve"> </w:t>
      </w:r>
      <w:r w:rsidRPr="00521628">
        <w:t>для</w:t>
      </w:r>
      <w:r w:rsidRPr="00521628">
        <w:rPr>
          <w:lang w:val="en-US"/>
        </w:rPr>
        <w:t xml:space="preserve"> </w:t>
      </w:r>
      <w:r w:rsidRPr="00521628">
        <w:t>обсуждения</w:t>
      </w:r>
      <w:r w:rsidRPr="00521628">
        <w:rPr>
          <w:lang w:val="en-US"/>
        </w:rPr>
        <w:t xml:space="preserve"> </w:t>
      </w:r>
      <w:r w:rsidRPr="00521628">
        <w:t>МСЭ</w:t>
      </w:r>
      <w:r w:rsidRPr="00521628">
        <w:rPr>
          <w:lang w:val="en-US"/>
        </w:rPr>
        <w:t xml:space="preserve">: </w:t>
      </w:r>
      <w:r w:rsidRPr="00521628">
        <w:rPr>
          <w:i/>
          <w:iCs/>
          <w:lang w:val="en-US"/>
        </w:rPr>
        <w:t>Pandemic in the Internet Age: communications industry responses</w:t>
      </w:r>
      <w:r w:rsidRPr="00521628">
        <w:rPr>
          <w:lang w:val="en-US"/>
        </w:rPr>
        <w:t xml:space="preserve">, </w:t>
      </w:r>
      <w:hyperlink r:id="rId1" w:history="1">
        <w:r w:rsidRPr="00521628">
          <w:rPr>
            <w:rStyle w:val="Hyperlink"/>
            <w:lang w:val="en-US"/>
          </w:rPr>
          <w:t>https://www.itu.int/en/ITU-D/Conferences/GSR/2020/Documents/ITU_COVID-19_and_Telecom-ICT.pdf</w:t>
        </w:r>
      </w:hyperlink>
      <w:r w:rsidRPr="00521628">
        <w:rPr>
          <w:lang w:val="en-US"/>
        </w:rPr>
        <w:t>.</w:t>
      </w:r>
    </w:p>
  </w:footnote>
  <w:footnote w:id="3">
    <w:p w14:paraId="5E21C236" w14:textId="58BB13C8" w:rsidR="00082147" w:rsidRPr="00B83407" w:rsidRDefault="00082147" w:rsidP="00082147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rPr>
          <w:rFonts w:eastAsia="SimSun"/>
          <w:b/>
        </w:rPr>
      </w:pPr>
      <w:r w:rsidRPr="00521628">
        <w:rPr>
          <w:rStyle w:val="FootnoteReference"/>
          <w:rFonts w:eastAsia="SimSun"/>
        </w:rPr>
        <w:footnoteRef/>
      </w:r>
      <w:r w:rsidRPr="00521628">
        <w:tab/>
        <w:t xml:space="preserve">См. раздел "О Международном союзе электросвязи (МСЭ)": </w:t>
      </w:r>
      <w:hyperlink r:id="rId2" w:history="1">
        <w:r w:rsidRPr="00521628">
          <w:rPr>
            <w:rStyle w:val="Hyperlink"/>
          </w:rPr>
          <w:t>https://www.itu.int/zh/about/Pages/default.aspx</w:t>
        </w:r>
      </w:hyperlink>
      <w:r>
        <w:t>.</w:t>
      </w:r>
    </w:p>
  </w:footnote>
  <w:footnote w:id="4">
    <w:p w14:paraId="50246935" w14:textId="3C8E0247" w:rsidR="00082147" w:rsidRPr="00521628" w:rsidRDefault="00082147" w:rsidP="00082147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rPr>
          <w:rFonts w:eastAsia="SimSun"/>
          <w:b/>
        </w:rPr>
      </w:pPr>
      <w:r w:rsidRPr="00521628">
        <w:rPr>
          <w:rStyle w:val="FootnoteReference"/>
          <w:rFonts w:eastAsia="SimSun"/>
        </w:rPr>
        <w:footnoteRef/>
      </w:r>
      <w:r w:rsidRPr="00521628">
        <w:rPr>
          <w:rStyle w:val="FootnoteReference"/>
        </w:rPr>
        <w:tab/>
      </w:r>
      <w:r w:rsidRPr="00521628">
        <w:t xml:space="preserve">См. "Руководящие указания МСЭ по разработке национальных планов электросвязи в чрезвычайных ситуациях", </w:t>
      </w:r>
      <w:hyperlink r:id="rId3" w:history="1">
        <w:r w:rsidR="00AF5752" w:rsidRPr="001E08CE">
          <w:rPr>
            <w:rStyle w:val="Hyperlink"/>
          </w:rPr>
          <w:t>https://www.itu.int/en/ITU</w:t>
        </w:r>
        <w:r w:rsidR="00AF5752" w:rsidRPr="001E08CE">
          <w:rPr>
            <w:rStyle w:val="Hyperlink"/>
          </w:rPr>
          <w:noBreakHyphen/>
          <w:t>D/Emergency</w:t>
        </w:r>
        <w:r w:rsidR="00AF5752" w:rsidRPr="001E08CE">
          <w:rPr>
            <w:rStyle w:val="Hyperlink"/>
          </w:rPr>
          <w:noBreakHyphen/>
          <w:t>Telecommunications/Pages/Publications/Guidelines</w:t>
        </w:r>
        <w:r w:rsidR="00AF5752" w:rsidRPr="001E08CE">
          <w:rPr>
            <w:rStyle w:val="Hyperlink"/>
          </w:rPr>
          <w:noBreakHyphen/>
          <w:t>for</w:t>
        </w:r>
        <w:r w:rsidR="00AF5752" w:rsidRPr="001E08CE">
          <w:rPr>
            <w:rStyle w:val="Hyperlink"/>
          </w:rPr>
          <w:noBreakHyphen/>
          <w:t>NETPs.aspx</w:t>
        </w:r>
      </w:hyperlink>
      <w:r w:rsidRPr="00521628">
        <w:t>.</w:t>
      </w:r>
    </w:p>
  </w:footnote>
  <w:footnote w:id="5">
    <w:p w14:paraId="1FE4FD0F" w14:textId="4A1C2ACD" w:rsidR="00082147" w:rsidRPr="00521628" w:rsidRDefault="00082147" w:rsidP="00082147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rPr>
          <w:rFonts w:eastAsia="SimSun"/>
        </w:rPr>
      </w:pPr>
      <w:r w:rsidRPr="00521628">
        <w:rPr>
          <w:rStyle w:val="FootnoteReference"/>
          <w:rFonts w:eastAsia="SimSun"/>
        </w:rPr>
        <w:footnoteRef/>
      </w:r>
      <w:r w:rsidRPr="00521628">
        <w:tab/>
        <w:t xml:space="preserve">Задача 3.3, предусмотренная резолюцией ГА ООН "Преобразование нашего мира: Повестка дня в области устойчивого развития на период до 2030 года": "К 2030 году положить конец эпидемиям СПИДа, туберкулеза, малярии и тропических болезней, которым не уделяется должного внимания, и обеспечить борьбу с гепатитом, заболеваниями, передаваемыми через воду, и другими инфекционными заболеваниями"; Задача 9.1: "Развивать качественную, надежную, устойчивую и стойкую инфраструктуру, включая региональную и трансграничную инфраструктуру, в целях поддержания экономического развития и благополучия людей, уделяя особое внимание обеспечению недорогого и равноправного доступа для всех"; Задача 11.5: "К 2030 году существенно сократить количество погибших и пострадавших и значительно уменьшить экономический ущерб в виде потерь валового внутреннего продукта в результате бедствий, в том числе связанных с водой, с уделением особого внимания защите малоимущих и уязвимых категорий населения", </w:t>
      </w:r>
      <w:hyperlink r:id="rId4" w:history="1">
        <w:r w:rsidRPr="00521628">
          <w:rPr>
            <w:rStyle w:val="Hyperlink"/>
          </w:rPr>
          <w:t>https://www.un.org/zh/documents/treaty/files/A-RES-70-1.shtml</w:t>
        </w:r>
      </w:hyperlink>
      <w:r w:rsidRPr="00521628">
        <w:t>.</w:t>
      </w:r>
    </w:p>
  </w:footnote>
  <w:footnote w:id="6">
    <w:p w14:paraId="2ECCE405" w14:textId="6C2F63A0" w:rsidR="00082147" w:rsidRPr="00AF5752" w:rsidRDefault="00082147" w:rsidP="00E933E2">
      <w:pPr>
        <w:pStyle w:val="FootnoteText"/>
        <w:tabs>
          <w:tab w:val="clear" w:pos="794"/>
          <w:tab w:val="clear" w:pos="1191"/>
          <w:tab w:val="clear" w:pos="1588"/>
          <w:tab w:val="clear" w:pos="1985"/>
          <w:tab w:val="left" w:pos="284"/>
        </w:tabs>
        <w:rPr>
          <w:rFonts w:eastAsia="SimSun"/>
        </w:rPr>
      </w:pPr>
      <w:r w:rsidRPr="00521628">
        <w:rPr>
          <w:rStyle w:val="FootnoteReference"/>
          <w:rFonts w:eastAsia="SimSun"/>
        </w:rPr>
        <w:footnoteRef/>
      </w:r>
      <w:r w:rsidRPr="00AF5752">
        <w:tab/>
      </w:r>
      <w:r w:rsidRPr="00521628">
        <w:t>См</w:t>
      </w:r>
      <w:r w:rsidRPr="00AF5752">
        <w:t xml:space="preserve">. </w:t>
      </w:r>
      <w:r w:rsidR="00E933E2">
        <w:t>"</w:t>
      </w:r>
      <w:r w:rsidR="00E933E2" w:rsidRPr="00E933E2">
        <w:t>Регуляторное колесо изменений: регулирование для обеспечения цифровой трансформации</w:t>
      </w:r>
      <w:r w:rsidR="00E933E2">
        <w:t>"</w:t>
      </w:r>
      <w:r w:rsidRPr="00AF5752">
        <w:t xml:space="preserve">, </w:t>
      </w:r>
      <w:hyperlink r:id="rId5" w:history="1">
        <w:r w:rsidRPr="00521628">
          <w:rPr>
            <w:rStyle w:val="Hyperlink"/>
            <w:lang w:val="en-US"/>
          </w:rPr>
          <w:t>https</w:t>
        </w:r>
        <w:r w:rsidRPr="00AF5752">
          <w:rPr>
            <w:rStyle w:val="Hyperlink"/>
          </w:rPr>
          <w:t>://</w:t>
        </w:r>
        <w:r w:rsidRPr="00521628">
          <w:rPr>
            <w:rStyle w:val="Hyperlink"/>
            <w:lang w:val="en-US"/>
          </w:rPr>
          <w:t>www</w:t>
        </w:r>
        <w:r w:rsidRPr="00AF5752">
          <w:rPr>
            <w:rStyle w:val="Hyperlink"/>
          </w:rPr>
          <w:t>.</w:t>
        </w:r>
        <w:proofErr w:type="spellStart"/>
        <w:r w:rsidRPr="00521628">
          <w:rPr>
            <w:rStyle w:val="Hyperlink"/>
            <w:lang w:val="en-US"/>
          </w:rPr>
          <w:t>itu</w:t>
        </w:r>
        <w:proofErr w:type="spellEnd"/>
        <w:r w:rsidRPr="00AF5752">
          <w:rPr>
            <w:rStyle w:val="Hyperlink"/>
          </w:rPr>
          <w:t>.</w:t>
        </w:r>
        <w:r w:rsidRPr="00521628">
          <w:rPr>
            <w:rStyle w:val="Hyperlink"/>
            <w:lang w:val="en-US"/>
          </w:rPr>
          <w:t>int</w:t>
        </w:r>
        <w:r w:rsidRPr="00AF5752">
          <w:rPr>
            <w:rStyle w:val="Hyperlink"/>
          </w:rPr>
          <w:t>/</w:t>
        </w:r>
        <w:proofErr w:type="spellStart"/>
        <w:r w:rsidRPr="00521628">
          <w:rPr>
            <w:rStyle w:val="Hyperlink"/>
            <w:lang w:val="en-US"/>
          </w:rPr>
          <w:t>en</w:t>
        </w:r>
        <w:proofErr w:type="spellEnd"/>
        <w:r w:rsidRPr="00AF5752">
          <w:rPr>
            <w:rStyle w:val="Hyperlink"/>
          </w:rPr>
          <w:t>/</w:t>
        </w:r>
        <w:r w:rsidRPr="00521628">
          <w:rPr>
            <w:rStyle w:val="Hyperlink"/>
            <w:lang w:val="en-US"/>
          </w:rPr>
          <w:t>ITU</w:t>
        </w:r>
        <w:r w:rsidRPr="00AF5752">
          <w:rPr>
            <w:rStyle w:val="Hyperlink"/>
          </w:rPr>
          <w:t>-</w:t>
        </w:r>
        <w:r w:rsidRPr="00521628">
          <w:rPr>
            <w:rStyle w:val="Hyperlink"/>
            <w:lang w:val="en-US"/>
          </w:rPr>
          <w:t>D</w:t>
        </w:r>
        <w:r w:rsidRPr="00AF5752">
          <w:rPr>
            <w:rStyle w:val="Hyperlink"/>
          </w:rPr>
          <w:t>/</w:t>
        </w:r>
        <w:r w:rsidRPr="00521628">
          <w:rPr>
            <w:rStyle w:val="Hyperlink"/>
            <w:lang w:val="en-US"/>
          </w:rPr>
          <w:t>Conferences</w:t>
        </w:r>
        <w:r w:rsidRPr="00AF5752">
          <w:rPr>
            <w:rStyle w:val="Hyperlink"/>
          </w:rPr>
          <w:t>/</w:t>
        </w:r>
        <w:r w:rsidRPr="00521628">
          <w:rPr>
            <w:rStyle w:val="Hyperlink"/>
            <w:lang w:val="en-US"/>
          </w:rPr>
          <w:t>GSR</w:t>
        </w:r>
        <w:r w:rsidRPr="00AF5752">
          <w:rPr>
            <w:rStyle w:val="Hyperlink"/>
          </w:rPr>
          <w:t>/2020/</w:t>
        </w:r>
        <w:r w:rsidRPr="00521628">
          <w:rPr>
            <w:rStyle w:val="Hyperlink"/>
            <w:lang w:val="en-US"/>
          </w:rPr>
          <w:t>Documents</w:t>
        </w:r>
        <w:r w:rsidRPr="00AF5752">
          <w:rPr>
            <w:rStyle w:val="Hyperlink"/>
          </w:rPr>
          <w:t>/</w:t>
        </w:r>
        <w:r w:rsidRPr="00521628">
          <w:rPr>
            <w:rStyle w:val="Hyperlink"/>
            <w:lang w:val="en-US"/>
          </w:rPr>
          <w:t>Final</w:t>
        </w:r>
        <w:r w:rsidRPr="00AF5752">
          <w:rPr>
            <w:rStyle w:val="Hyperlink"/>
          </w:rPr>
          <w:t>_</w:t>
        </w:r>
        <w:proofErr w:type="spellStart"/>
        <w:r w:rsidRPr="00521628">
          <w:rPr>
            <w:rStyle w:val="Hyperlink"/>
            <w:lang w:val="en-US"/>
          </w:rPr>
          <w:t>Chairmans</w:t>
        </w:r>
        <w:proofErr w:type="spellEnd"/>
        <w:r w:rsidRPr="00AF5752">
          <w:rPr>
            <w:rStyle w:val="Hyperlink"/>
          </w:rPr>
          <w:t>-</w:t>
        </w:r>
        <w:r w:rsidRPr="00521628">
          <w:rPr>
            <w:rStyle w:val="Hyperlink"/>
            <w:lang w:val="en-US"/>
          </w:rPr>
          <w:t>Report</w:t>
        </w:r>
        <w:r w:rsidRPr="00AF5752">
          <w:rPr>
            <w:rStyle w:val="Hyperlink"/>
          </w:rPr>
          <w:t>_</w:t>
        </w:r>
        <w:r w:rsidRPr="00521628">
          <w:rPr>
            <w:rStyle w:val="Hyperlink"/>
            <w:lang w:val="en-US"/>
          </w:rPr>
          <w:t>GSR</w:t>
        </w:r>
        <w:r w:rsidRPr="00AF5752">
          <w:rPr>
            <w:rStyle w:val="Hyperlink"/>
          </w:rPr>
          <w:t>-20_</w:t>
        </w:r>
        <w:r w:rsidRPr="00521628">
          <w:rPr>
            <w:rStyle w:val="Hyperlink"/>
            <w:lang w:val="en-US"/>
          </w:rPr>
          <w:t>C</w:t>
        </w:r>
        <w:r w:rsidRPr="00AF5752">
          <w:rPr>
            <w:rStyle w:val="Hyperlink"/>
          </w:rPr>
          <w:t>.</w:t>
        </w:r>
        <w:r w:rsidRPr="00521628">
          <w:rPr>
            <w:rStyle w:val="Hyperlink"/>
            <w:lang w:val="en-US"/>
          </w:rPr>
          <w:t>pdf</w:t>
        </w:r>
      </w:hyperlink>
      <w:r w:rsidRPr="00AF5752">
        <w:t>.</w:t>
      </w:r>
    </w:p>
  </w:footnote>
  <w:footnote w:id="7">
    <w:p w14:paraId="055456CE" w14:textId="2604E036" w:rsidR="00082147" w:rsidRPr="00B83407" w:rsidRDefault="00082147" w:rsidP="00082147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rPr>
          <w:rFonts w:eastAsia="SimSun"/>
        </w:rPr>
      </w:pPr>
      <w:r>
        <w:rPr>
          <w:rStyle w:val="FootnoteReference"/>
          <w:rFonts w:eastAsia="SimSun"/>
        </w:rPr>
        <w:footnoteRef/>
      </w:r>
      <w:r>
        <w:tab/>
        <w:t xml:space="preserve">См. Глобальный симпозиум для регуляторных органов </w:t>
      </w:r>
      <w:r w:rsidR="00E933E2" w:rsidRPr="00AF5752">
        <w:t>(</w:t>
      </w:r>
      <w:r w:rsidR="00E933E2">
        <w:t xml:space="preserve">ГСР) </w:t>
      </w:r>
      <w:r>
        <w:t xml:space="preserve">2020 года, Руководящие указания на основе примеров передового опыта − Золотой стандарт для цифрового регулирования, </w:t>
      </w:r>
      <w:hyperlink r:id="rId6" w:history="1">
        <w:r w:rsidR="00AF5752" w:rsidRPr="001E08CE">
          <w:rPr>
            <w:rStyle w:val="Hyperlink"/>
          </w:rPr>
          <w:t>https://www.itu.int/en/ITU</w:t>
        </w:r>
        <w:r w:rsidR="00AF5752" w:rsidRPr="001E08CE">
          <w:rPr>
            <w:rStyle w:val="Hyperlink"/>
          </w:rPr>
          <w:noBreakHyphen/>
          <w:t>D/Conferences/GSR/2020/Documents/GSR-20_Best-Practice-Guidelines_Final_C.pdf</w:t>
        </w:r>
      </w:hyperlink>
      <w:r>
        <w:t>.</w:t>
      </w:r>
    </w:p>
  </w:footnote>
  <w:footnote w:id="8">
    <w:p w14:paraId="0F92DF27" w14:textId="4218F84D" w:rsidR="00082147" w:rsidRPr="00521628" w:rsidRDefault="00082147" w:rsidP="00082147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rPr>
          <w:rFonts w:eastAsia="SimSun"/>
          <w:lang w:val="en-US"/>
        </w:rPr>
      </w:pPr>
      <w:r>
        <w:rPr>
          <w:rStyle w:val="FootnoteReference"/>
        </w:rPr>
        <w:footnoteRef/>
      </w:r>
      <w:r w:rsidRPr="00521628">
        <w:rPr>
          <w:rStyle w:val="FootnoteReference"/>
          <w:lang w:val="en-US"/>
        </w:rPr>
        <w:tab/>
      </w:r>
      <w:r w:rsidRPr="00521628">
        <w:t>См</w:t>
      </w:r>
      <w:r w:rsidRPr="00521628">
        <w:rPr>
          <w:lang w:val="en-US"/>
        </w:rPr>
        <w:t xml:space="preserve">. BBC NEWS, </w:t>
      </w:r>
      <w:r w:rsidRPr="00521628">
        <w:rPr>
          <w:i/>
          <w:lang w:val="en-US"/>
        </w:rPr>
        <w:t xml:space="preserve">Ebola: Can big data analytics help contain its </w:t>
      </w:r>
      <w:proofErr w:type="gramStart"/>
      <w:r w:rsidRPr="00521628">
        <w:rPr>
          <w:i/>
          <w:lang w:val="en-US"/>
        </w:rPr>
        <w:t>spread?</w:t>
      </w:r>
      <w:r w:rsidRPr="00521628">
        <w:rPr>
          <w:lang w:val="en-US"/>
        </w:rPr>
        <w:t>,</w:t>
      </w:r>
      <w:proofErr w:type="gramEnd"/>
      <w:r w:rsidRPr="00521628">
        <w:rPr>
          <w:lang w:val="en-US"/>
        </w:rPr>
        <w:t xml:space="preserve"> 15 </w:t>
      </w:r>
      <w:r w:rsidRPr="00521628">
        <w:t>октября</w:t>
      </w:r>
      <w:r w:rsidRPr="00521628">
        <w:rPr>
          <w:lang w:val="en-US"/>
        </w:rPr>
        <w:t xml:space="preserve"> 2014 </w:t>
      </w:r>
      <w:r w:rsidRPr="00521628">
        <w:t>г</w:t>
      </w:r>
      <w:r w:rsidR="00AF5752">
        <w:t>ода</w:t>
      </w:r>
      <w:r w:rsidRPr="00521628">
        <w:rPr>
          <w:lang w:val="en-US"/>
        </w:rPr>
        <w:t xml:space="preserve">, </w:t>
      </w:r>
      <w:hyperlink r:id="rId7" w:history="1">
        <w:r w:rsidRPr="00521628">
          <w:rPr>
            <w:rStyle w:val="Hyperlink"/>
            <w:lang w:val="en-US"/>
          </w:rPr>
          <w:t>http://www.bbc.com/news/business-29617831</w:t>
        </w:r>
      </w:hyperlink>
      <w:r w:rsidRPr="00521628">
        <w:rPr>
          <w:lang w:val="en-US"/>
        </w:rPr>
        <w:t>.</w:t>
      </w:r>
    </w:p>
  </w:footnote>
  <w:footnote w:id="9">
    <w:p w14:paraId="10878522" w14:textId="14FF0DAE" w:rsidR="00082147" w:rsidRPr="00521628" w:rsidRDefault="00082147" w:rsidP="00082147">
      <w:pPr>
        <w:pStyle w:val="FootnoteText"/>
        <w:spacing w:line="240" w:lineRule="exact"/>
        <w:ind w:left="0" w:firstLine="0"/>
        <w:rPr>
          <w:rFonts w:cs="Calibri"/>
        </w:rPr>
      </w:pPr>
      <w:r w:rsidRPr="00521628">
        <w:rPr>
          <w:rStyle w:val="FootnoteReference"/>
        </w:rPr>
        <w:footnoteRef/>
      </w:r>
      <w:r w:rsidRPr="00521628">
        <w:rPr>
          <w:rFonts w:ascii="Times New Roman" w:hAnsi="Times New Roman"/>
        </w:rPr>
        <w:tab/>
      </w:r>
      <w:r w:rsidRPr="00521628">
        <w:t xml:space="preserve">См. официальный веб-сайт </w:t>
      </w:r>
      <w:proofErr w:type="spellStart"/>
      <w:r w:rsidRPr="00521628">
        <w:t>Aarogya</w:t>
      </w:r>
      <w:proofErr w:type="spellEnd"/>
      <w:r w:rsidRPr="00521628">
        <w:t xml:space="preserve"> </w:t>
      </w:r>
      <w:proofErr w:type="spellStart"/>
      <w:r w:rsidRPr="00521628">
        <w:t>Setu</w:t>
      </w:r>
      <w:proofErr w:type="spellEnd"/>
      <w:r w:rsidRPr="00521628">
        <w:t xml:space="preserve">, </w:t>
      </w:r>
      <w:hyperlink r:id="rId8" w:history="1">
        <w:r w:rsidRPr="00521628">
          <w:rPr>
            <w:rStyle w:val="Hyperlink"/>
          </w:rPr>
          <w:t>https://www.aarogyasetu.gov.in/faq/</w:t>
        </w:r>
      </w:hyperlink>
      <w:r w:rsidRPr="00521628">
        <w:t>.</w:t>
      </w:r>
    </w:p>
  </w:footnote>
  <w:footnote w:id="10">
    <w:p w14:paraId="3A0B120A" w14:textId="17BC9A70" w:rsidR="00082147" w:rsidRPr="00521628" w:rsidRDefault="00082147" w:rsidP="00082147">
      <w:pPr>
        <w:pStyle w:val="FootnoteText"/>
        <w:spacing w:line="240" w:lineRule="exact"/>
        <w:ind w:left="0" w:firstLine="0"/>
        <w:rPr>
          <w:lang w:val="en-US"/>
        </w:rPr>
      </w:pPr>
      <w:r w:rsidRPr="00521628">
        <w:rPr>
          <w:rStyle w:val="FootnoteReference"/>
        </w:rPr>
        <w:footnoteRef/>
      </w:r>
      <w:r w:rsidRPr="00521628">
        <w:rPr>
          <w:rStyle w:val="FootnoteReference"/>
          <w:lang w:val="en-US"/>
        </w:rPr>
        <w:tab/>
      </w:r>
      <w:r w:rsidRPr="00521628">
        <w:t>См</w:t>
      </w:r>
      <w:r w:rsidRPr="00521628">
        <w:rPr>
          <w:lang w:val="en-US"/>
        </w:rPr>
        <w:t xml:space="preserve">. </w:t>
      </w:r>
      <w:r w:rsidRPr="00521628">
        <w:t>официальный</w:t>
      </w:r>
      <w:r w:rsidRPr="00521628">
        <w:rPr>
          <w:lang w:val="en-US"/>
        </w:rPr>
        <w:t xml:space="preserve"> </w:t>
      </w:r>
      <w:r w:rsidRPr="00521628">
        <w:t>веб</w:t>
      </w:r>
      <w:r w:rsidRPr="00521628">
        <w:rPr>
          <w:lang w:val="en-US"/>
        </w:rPr>
        <w:t>-</w:t>
      </w:r>
      <w:r w:rsidRPr="00521628">
        <w:t>сайт</w:t>
      </w:r>
      <w:r w:rsidRPr="00521628">
        <w:rPr>
          <w:lang w:val="en-US"/>
        </w:rPr>
        <w:t xml:space="preserve"> Communication Big Data Itinerary Card, </w:t>
      </w:r>
      <w:hyperlink r:id="rId9" w:history="1">
        <w:r w:rsidRPr="00521628">
          <w:rPr>
            <w:rStyle w:val="Hyperlink"/>
            <w:lang w:val="en-US"/>
          </w:rPr>
          <w:t>https://xc.caict.ac.cn/help.html</w:t>
        </w:r>
      </w:hyperlink>
      <w:r w:rsidRPr="00521628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17BE82BD" w:rsidR="00E0307A" w:rsidRPr="007D4E22" w:rsidRDefault="00E0307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029A1">
      <w:t>2</w:t>
    </w:r>
    <w:r>
      <w:fldChar w:fldCharType="end"/>
    </w:r>
    <w:r>
      <w:br/>
      <w:t>CWG-SFP-1\10-R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5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141D1"/>
    <w:multiLevelType w:val="hybridMultilevel"/>
    <w:tmpl w:val="BA1EB88A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569B4"/>
    <w:rsid w:val="00080E82"/>
    <w:rsid w:val="00080EA0"/>
    <w:rsid w:val="00082147"/>
    <w:rsid w:val="000917D4"/>
    <w:rsid w:val="00091F4A"/>
    <w:rsid w:val="000A3178"/>
    <w:rsid w:val="000B0875"/>
    <w:rsid w:val="000B4F95"/>
    <w:rsid w:val="000B5A54"/>
    <w:rsid w:val="000C7CF6"/>
    <w:rsid w:val="000E0C53"/>
    <w:rsid w:val="000E568E"/>
    <w:rsid w:val="00115791"/>
    <w:rsid w:val="0013215A"/>
    <w:rsid w:val="0014734F"/>
    <w:rsid w:val="00154AAD"/>
    <w:rsid w:val="0015710D"/>
    <w:rsid w:val="00163A32"/>
    <w:rsid w:val="00192B41"/>
    <w:rsid w:val="001B7B09"/>
    <w:rsid w:val="001D255C"/>
    <w:rsid w:val="001E6719"/>
    <w:rsid w:val="0020256B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46481"/>
    <w:rsid w:val="00250815"/>
    <w:rsid w:val="00254AC9"/>
    <w:rsid w:val="0026121E"/>
    <w:rsid w:val="00267C05"/>
    <w:rsid w:val="00271B93"/>
    <w:rsid w:val="002873E6"/>
    <w:rsid w:val="00287DB8"/>
    <w:rsid w:val="00291EB6"/>
    <w:rsid w:val="0029467A"/>
    <w:rsid w:val="002D2F57"/>
    <w:rsid w:val="002D48C5"/>
    <w:rsid w:val="002E0AA8"/>
    <w:rsid w:val="002E135C"/>
    <w:rsid w:val="002E397A"/>
    <w:rsid w:val="002E55DE"/>
    <w:rsid w:val="002F1B8A"/>
    <w:rsid w:val="002F27A0"/>
    <w:rsid w:val="003169EE"/>
    <w:rsid w:val="00320560"/>
    <w:rsid w:val="00325EFE"/>
    <w:rsid w:val="0034013D"/>
    <w:rsid w:val="00340157"/>
    <w:rsid w:val="00347CE6"/>
    <w:rsid w:val="00354D64"/>
    <w:rsid w:val="00357AB0"/>
    <w:rsid w:val="003624D9"/>
    <w:rsid w:val="0038641D"/>
    <w:rsid w:val="00391A7C"/>
    <w:rsid w:val="003A72C0"/>
    <w:rsid w:val="003B6E1C"/>
    <w:rsid w:val="003D66DA"/>
    <w:rsid w:val="003D7317"/>
    <w:rsid w:val="003E78A6"/>
    <w:rsid w:val="003F099E"/>
    <w:rsid w:val="003F235E"/>
    <w:rsid w:val="003F5E61"/>
    <w:rsid w:val="004023E0"/>
    <w:rsid w:val="00403DD8"/>
    <w:rsid w:val="00411CC5"/>
    <w:rsid w:val="00415632"/>
    <w:rsid w:val="004179A3"/>
    <w:rsid w:val="0045686C"/>
    <w:rsid w:val="00466522"/>
    <w:rsid w:val="00472F91"/>
    <w:rsid w:val="00473C1E"/>
    <w:rsid w:val="004740B2"/>
    <w:rsid w:val="004877E9"/>
    <w:rsid w:val="004918C4"/>
    <w:rsid w:val="004A45B5"/>
    <w:rsid w:val="004C61DA"/>
    <w:rsid w:val="004D0129"/>
    <w:rsid w:val="004F04CA"/>
    <w:rsid w:val="004F4060"/>
    <w:rsid w:val="0050159A"/>
    <w:rsid w:val="0050785A"/>
    <w:rsid w:val="0051092F"/>
    <w:rsid w:val="00510F55"/>
    <w:rsid w:val="00521628"/>
    <w:rsid w:val="00532B85"/>
    <w:rsid w:val="00534CFB"/>
    <w:rsid w:val="00550E88"/>
    <w:rsid w:val="00552268"/>
    <w:rsid w:val="005654A0"/>
    <w:rsid w:val="00597216"/>
    <w:rsid w:val="005A64D5"/>
    <w:rsid w:val="005B4CAE"/>
    <w:rsid w:val="005D708E"/>
    <w:rsid w:val="005F3666"/>
    <w:rsid w:val="00601994"/>
    <w:rsid w:val="006077E5"/>
    <w:rsid w:val="00617F2C"/>
    <w:rsid w:val="00625BF6"/>
    <w:rsid w:val="006264E3"/>
    <w:rsid w:val="00626678"/>
    <w:rsid w:val="006369BD"/>
    <w:rsid w:val="00636E91"/>
    <w:rsid w:val="0068458A"/>
    <w:rsid w:val="006A0DC4"/>
    <w:rsid w:val="006A2CD3"/>
    <w:rsid w:val="006B5206"/>
    <w:rsid w:val="006C160C"/>
    <w:rsid w:val="006D49FF"/>
    <w:rsid w:val="006E082D"/>
    <w:rsid w:val="006E2D42"/>
    <w:rsid w:val="006F13E8"/>
    <w:rsid w:val="006F779D"/>
    <w:rsid w:val="00703676"/>
    <w:rsid w:val="00707304"/>
    <w:rsid w:val="00714617"/>
    <w:rsid w:val="00715EEB"/>
    <w:rsid w:val="00725FDE"/>
    <w:rsid w:val="00732269"/>
    <w:rsid w:val="00762756"/>
    <w:rsid w:val="0076356D"/>
    <w:rsid w:val="00767211"/>
    <w:rsid w:val="007743BF"/>
    <w:rsid w:val="00785ABD"/>
    <w:rsid w:val="00792EF4"/>
    <w:rsid w:val="007A2DD4"/>
    <w:rsid w:val="007A30C1"/>
    <w:rsid w:val="007A3ABD"/>
    <w:rsid w:val="007B0DB2"/>
    <w:rsid w:val="007B5EF1"/>
    <w:rsid w:val="007D38B5"/>
    <w:rsid w:val="007D4E22"/>
    <w:rsid w:val="007E7EA0"/>
    <w:rsid w:val="007F5014"/>
    <w:rsid w:val="007F68EE"/>
    <w:rsid w:val="00800C0D"/>
    <w:rsid w:val="00807255"/>
    <w:rsid w:val="00807830"/>
    <w:rsid w:val="0081023E"/>
    <w:rsid w:val="008173AA"/>
    <w:rsid w:val="00821479"/>
    <w:rsid w:val="00821783"/>
    <w:rsid w:val="00830305"/>
    <w:rsid w:val="008400BE"/>
    <w:rsid w:val="00840173"/>
    <w:rsid w:val="00840A14"/>
    <w:rsid w:val="00845B22"/>
    <w:rsid w:val="00857A89"/>
    <w:rsid w:val="008817D3"/>
    <w:rsid w:val="008956FA"/>
    <w:rsid w:val="008A6EEF"/>
    <w:rsid w:val="008B6F60"/>
    <w:rsid w:val="008C6D60"/>
    <w:rsid w:val="008D2D7B"/>
    <w:rsid w:val="008E0737"/>
    <w:rsid w:val="008F2220"/>
    <w:rsid w:val="008F7C2C"/>
    <w:rsid w:val="0090751B"/>
    <w:rsid w:val="00924053"/>
    <w:rsid w:val="00940E96"/>
    <w:rsid w:val="00971C23"/>
    <w:rsid w:val="0097342A"/>
    <w:rsid w:val="00974665"/>
    <w:rsid w:val="00995826"/>
    <w:rsid w:val="009A22F7"/>
    <w:rsid w:val="009A2ABF"/>
    <w:rsid w:val="009B0766"/>
    <w:rsid w:val="009B0BAE"/>
    <w:rsid w:val="009C1C89"/>
    <w:rsid w:val="009D7381"/>
    <w:rsid w:val="009D7A25"/>
    <w:rsid w:val="009D7E9E"/>
    <w:rsid w:val="009F6B34"/>
    <w:rsid w:val="00A01AC9"/>
    <w:rsid w:val="00A14B33"/>
    <w:rsid w:val="00A25DDC"/>
    <w:rsid w:val="00A47254"/>
    <w:rsid w:val="00A536CA"/>
    <w:rsid w:val="00A57161"/>
    <w:rsid w:val="00A71773"/>
    <w:rsid w:val="00A80799"/>
    <w:rsid w:val="00A94C82"/>
    <w:rsid w:val="00AB531E"/>
    <w:rsid w:val="00AB5545"/>
    <w:rsid w:val="00AC06CE"/>
    <w:rsid w:val="00AC556F"/>
    <w:rsid w:val="00AE03EA"/>
    <w:rsid w:val="00AE2C85"/>
    <w:rsid w:val="00AF56EE"/>
    <w:rsid w:val="00AF5752"/>
    <w:rsid w:val="00B12A37"/>
    <w:rsid w:val="00B13C39"/>
    <w:rsid w:val="00B167C3"/>
    <w:rsid w:val="00B23CB8"/>
    <w:rsid w:val="00B2661E"/>
    <w:rsid w:val="00B273F8"/>
    <w:rsid w:val="00B558E6"/>
    <w:rsid w:val="00B63EF2"/>
    <w:rsid w:val="00B7579C"/>
    <w:rsid w:val="00B83407"/>
    <w:rsid w:val="00B862CD"/>
    <w:rsid w:val="00B902C9"/>
    <w:rsid w:val="00B936E2"/>
    <w:rsid w:val="00B973D4"/>
    <w:rsid w:val="00BC0D39"/>
    <w:rsid w:val="00BC4690"/>
    <w:rsid w:val="00BC7BC0"/>
    <w:rsid w:val="00BD57B7"/>
    <w:rsid w:val="00BE63E2"/>
    <w:rsid w:val="00BE658A"/>
    <w:rsid w:val="00BF0C61"/>
    <w:rsid w:val="00C070C1"/>
    <w:rsid w:val="00C158B1"/>
    <w:rsid w:val="00C229F9"/>
    <w:rsid w:val="00C404C3"/>
    <w:rsid w:val="00C45E60"/>
    <w:rsid w:val="00C46787"/>
    <w:rsid w:val="00C505A5"/>
    <w:rsid w:val="00C529D0"/>
    <w:rsid w:val="00C61CEC"/>
    <w:rsid w:val="00C639CD"/>
    <w:rsid w:val="00C96AB1"/>
    <w:rsid w:val="00CB156F"/>
    <w:rsid w:val="00CD2009"/>
    <w:rsid w:val="00CF629C"/>
    <w:rsid w:val="00D10A28"/>
    <w:rsid w:val="00D1411E"/>
    <w:rsid w:val="00D16813"/>
    <w:rsid w:val="00D17F88"/>
    <w:rsid w:val="00D27955"/>
    <w:rsid w:val="00D31BAF"/>
    <w:rsid w:val="00D356D0"/>
    <w:rsid w:val="00D36D92"/>
    <w:rsid w:val="00D402F7"/>
    <w:rsid w:val="00D405CE"/>
    <w:rsid w:val="00D460D2"/>
    <w:rsid w:val="00D712F0"/>
    <w:rsid w:val="00D767C7"/>
    <w:rsid w:val="00D77DF3"/>
    <w:rsid w:val="00D92EEA"/>
    <w:rsid w:val="00DA3752"/>
    <w:rsid w:val="00DA5D4E"/>
    <w:rsid w:val="00DB2408"/>
    <w:rsid w:val="00DC359C"/>
    <w:rsid w:val="00DC366E"/>
    <w:rsid w:val="00DE14AF"/>
    <w:rsid w:val="00DF2730"/>
    <w:rsid w:val="00E01258"/>
    <w:rsid w:val="00E0307A"/>
    <w:rsid w:val="00E165D1"/>
    <w:rsid w:val="00E176BA"/>
    <w:rsid w:val="00E31666"/>
    <w:rsid w:val="00E423EC"/>
    <w:rsid w:val="00E734D2"/>
    <w:rsid w:val="00E87641"/>
    <w:rsid w:val="00E908DF"/>
    <w:rsid w:val="00E933E2"/>
    <w:rsid w:val="00E969A5"/>
    <w:rsid w:val="00EA72A3"/>
    <w:rsid w:val="00EB461B"/>
    <w:rsid w:val="00EC6BC5"/>
    <w:rsid w:val="00F029A1"/>
    <w:rsid w:val="00F111FD"/>
    <w:rsid w:val="00F20BE1"/>
    <w:rsid w:val="00F2793E"/>
    <w:rsid w:val="00F32EA6"/>
    <w:rsid w:val="00F35898"/>
    <w:rsid w:val="00F36526"/>
    <w:rsid w:val="00F434D5"/>
    <w:rsid w:val="00F5225B"/>
    <w:rsid w:val="00F56DAE"/>
    <w:rsid w:val="00F5742C"/>
    <w:rsid w:val="00F94E97"/>
    <w:rsid w:val="00F958FD"/>
    <w:rsid w:val="00FA1188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qFormat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ru-RU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ru-RU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character" w:styleId="UnresolvedMention">
    <w:name w:val="Unresolved Mention"/>
    <w:basedOn w:val="DefaultParagraphFont"/>
    <w:uiPriority w:val="99"/>
    <w:semiHidden/>
    <w:unhideWhenUsed/>
    <w:rsid w:val="00E01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rogyasetu.gov.in/faq/" TargetMode="External"/><Relationship Id="rId3" Type="http://schemas.openxmlformats.org/officeDocument/2006/relationships/hyperlink" Target="https://www.itu.int/en/ITUD/EmergencyTelecommunications/Pages/Publications/GuidelinesforNETPs.aspx" TargetMode="External"/><Relationship Id="rId7" Type="http://schemas.openxmlformats.org/officeDocument/2006/relationships/hyperlink" Target="http://www.bbc.com/news/business-29617831" TargetMode="External"/><Relationship Id="rId2" Type="http://schemas.openxmlformats.org/officeDocument/2006/relationships/hyperlink" Target="https://www.itu.int/zh/about/Pages/default.aspx" TargetMode="External"/><Relationship Id="rId1" Type="http://schemas.openxmlformats.org/officeDocument/2006/relationships/hyperlink" Target="https://www.itu.int/en/ITU-D/Conferences/GSR/2020/Documents/ITU_COVID-19_and_Telecom-ICT.pdf" TargetMode="External"/><Relationship Id="rId6" Type="http://schemas.openxmlformats.org/officeDocument/2006/relationships/hyperlink" Target="https://www.itu.int/en/ITUD/Conferences/GSR/2020/Documents/GSR-20_Best-Practice-Guidelines_Final_C.pdf" TargetMode="External"/><Relationship Id="rId5" Type="http://schemas.openxmlformats.org/officeDocument/2006/relationships/hyperlink" Target="https://www.itu.int/en/ITU-D/Conferences/GSR/2020/Documents/Final_Chairmans-Report_GSR-20_C.pdf" TargetMode="External"/><Relationship Id="rId4" Type="http://schemas.openxmlformats.org/officeDocument/2006/relationships/hyperlink" Target="https://www.un.org/zh/documents/treaty/files/A-RES-70-1.shtml" TargetMode="External"/><Relationship Id="rId9" Type="http://schemas.openxmlformats.org/officeDocument/2006/relationships/hyperlink" Target="https://xc.caict.ac.cn/help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72888-D7F9-4056-8F31-E5F135CE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</TotalTime>
  <Pages>3</Pages>
  <Words>1010</Words>
  <Characters>7130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8124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People’s Republic of China-Recommendations to Include the ICTs for Public Health Emergency of International Concern (PHEIC) into the Strategic Goals of ITU Strategic Plan for 2024-2027</dc:title>
  <dc:subject>Counciil Working Group for Strategic and Financial Plans 2024-2027</dc:subject>
  <dc:creator>Maloletkova, Svetlana</dc:creator>
  <cp:keywords>CWG-SFP, CWG, CWGs &amp; EGs</cp:keywords>
  <dc:description/>
  <cp:lastModifiedBy>Xue, Kun</cp:lastModifiedBy>
  <cp:revision>2</cp:revision>
  <cp:lastPrinted>2018-04-13T12:59:00Z</cp:lastPrinted>
  <dcterms:created xsi:type="dcterms:W3CDTF">2021-09-27T09:17:00Z</dcterms:created>
  <dcterms:modified xsi:type="dcterms:W3CDTF">2021-09-27T09:17:00Z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