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7C04B7" w14:paraId="728409CC" w14:textId="77777777">
        <w:trPr>
          <w:cantSplit/>
        </w:trPr>
        <w:tc>
          <w:tcPr>
            <w:tcW w:w="6912" w:type="dxa"/>
          </w:tcPr>
          <w:p w14:paraId="14B85E8A" w14:textId="77777777" w:rsidR="00520F36" w:rsidRPr="007C04B7" w:rsidRDefault="00D76368" w:rsidP="009045E9">
            <w:pPr>
              <w:spacing w:before="360"/>
            </w:pPr>
            <w:r w:rsidRPr="007C04B7">
              <w:rPr>
                <w:b/>
                <w:bCs/>
                <w:sz w:val="30"/>
                <w:szCs w:val="30"/>
              </w:rPr>
              <w:t>Groupe de travail du Conseil</w:t>
            </w:r>
            <w:r w:rsidRPr="007C04B7">
              <w:rPr>
                <w:b/>
                <w:bCs/>
                <w:color w:val="000000"/>
                <w:sz w:val="30"/>
                <w:szCs w:val="30"/>
              </w:rPr>
              <w:t xml:space="preserve"> chargé d</w:t>
            </w:r>
            <w:r w:rsidR="00197210" w:rsidRPr="007C04B7">
              <w:rPr>
                <w:b/>
                <w:bCs/>
                <w:color w:val="000000"/>
                <w:sz w:val="30"/>
                <w:szCs w:val="30"/>
              </w:rPr>
              <w:t>'</w:t>
            </w:r>
            <w:r w:rsidRPr="007C04B7">
              <w:rPr>
                <w:b/>
                <w:bCs/>
                <w:color w:val="000000"/>
                <w:sz w:val="30"/>
                <w:szCs w:val="30"/>
              </w:rPr>
              <w:t xml:space="preserve">élaborer </w:t>
            </w:r>
            <w:r w:rsidRPr="007C04B7">
              <w:rPr>
                <w:b/>
                <w:bCs/>
                <w:color w:val="000000"/>
                <w:sz w:val="30"/>
                <w:szCs w:val="30"/>
              </w:rPr>
              <w:br/>
              <w:t>le Plan stratégique et le Plan financier pour la période 202</w:t>
            </w:r>
            <w:r w:rsidR="001E7878" w:rsidRPr="007C04B7">
              <w:rPr>
                <w:b/>
                <w:bCs/>
                <w:color w:val="000000"/>
                <w:sz w:val="30"/>
                <w:szCs w:val="30"/>
              </w:rPr>
              <w:t>4</w:t>
            </w:r>
            <w:r w:rsidRPr="007C04B7">
              <w:rPr>
                <w:b/>
                <w:bCs/>
                <w:color w:val="000000"/>
                <w:sz w:val="30"/>
                <w:szCs w:val="30"/>
              </w:rPr>
              <w:t>-202</w:t>
            </w:r>
            <w:r w:rsidR="001E7878" w:rsidRPr="007C04B7">
              <w:rPr>
                <w:b/>
                <w:bCs/>
                <w:color w:val="000000"/>
                <w:sz w:val="30"/>
                <w:szCs w:val="30"/>
              </w:rPr>
              <w:t>7</w:t>
            </w:r>
          </w:p>
        </w:tc>
        <w:tc>
          <w:tcPr>
            <w:tcW w:w="3261" w:type="dxa"/>
          </w:tcPr>
          <w:p w14:paraId="000FA044" w14:textId="5CDC60B9" w:rsidR="00520F36" w:rsidRPr="007C04B7" w:rsidRDefault="00763451" w:rsidP="009045E9">
            <w:bookmarkStart w:id="0" w:name="ditulogo"/>
            <w:bookmarkEnd w:id="0"/>
            <w:r w:rsidRPr="007C04B7">
              <w:rPr>
                <w:noProof/>
                <w:lang w:val="en-US"/>
              </w:rPr>
              <w:drawing>
                <wp:inline distT="0" distB="0" distL="0" distR="0" wp14:anchorId="0D778016" wp14:editId="3C798E87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7C04B7" w14:paraId="4958C80A" w14:textId="7777777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4E78C0AF" w14:textId="77777777" w:rsidR="00520F36" w:rsidRPr="007C04B7" w:rsidRDefault="001E7878" w:rsidP="009045E9">
            <w:pPr>
              <w:spacing w:before="60" w:after="60"/>
              <w:rPr>
                <w:b/>
                <w:bCs/>
                <w:szCs w:val="24"/>
              </w:rPr>
            </w:pPr>
            <w:r w:rsidRPr="007C04B7">
              <w:rPr>
                <w:b/>
                <w:bCs/>
                <w:szCs w:val="24"/>
              </w:rPr>
              <w:t>Première</w:t>
            </w:r>
            <w:r w:rsidR="00E11212" w:rsidRPr="007C04B7">
              <w:rPr>
                <w:b/>
                <w:bCs/>
                <w:szCs w:val="24"/>
              </w:rPr>
              <w:t xml:space="preserve"> </w:t>
            </w:r>
            <w:r w:rsidR="00D76368" w:rsidRPr="007C04B7">
              <w:rPr>
                <w:b/>
                <w:bCs/>
                <w:szCs w:val="24"/>
              </w:rPr>
              <w:t xml:space="preserve">réunion – </w:t>
            </w:r>
            <w:r w:rsidRPr="007C04B7">
              <w:rPr>
                <w:b/>
                <w:bCs/>
                <w:szCs w:val="24"/>
              </w:rPr>
              <w:t>Virtuelle</w:t>
            </w:r>
            <w:r w:rsidR="00D76368" w:rsidRPr="007C04B7">
              <w:rPr>
                <w:b/>
                <w:bCs/>
                <w:szCs w:val="24"/>
              </w:rPr>
              <w:t xml:space="preserve">, </w:t>
            </w:r>
            <w:r w:rsidRPr="007C04B7">
              <w:rPr>
                <w:b/>
                <w:bCs/>
                <w:szCs w:val="24"/>
              </w:rPr>
              <w:t>29-30 septembre 2021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0984DE82" w14:textId="77777777" w:rsidR="00520F36" w:rsidRPr="007C04B7" w:rsidRDefault="00520F36" w:rsidP="009045E9">
            <w:pPr>
              <w:spacing w:before="0"/>
              <w:rPr>
                <w:b/>
                <w:bCs/>
              </w:rPr>
            </w:pPr>
          </w:p>
        </w:tc>
      </w:tr>
      <w:tr w:rsidR="00520F36" w:rsidRPr="007C04B7" w14:paraId="3E1110D9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6DFF04EB" w14:textId="77777777" w:rsidR="00520F36" w:rsidRPr="007C04B7" w:rsidRDefault="00520F36" w:rsidP="009045E9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6B6C8AAD" w14:textId="77777777" w:rsidR="00520F36" w:rsidRPr="007C04B7" w:rsidRDefault="00520F36" w:rsidP="009045E9">
            <w:pPr>
              <w:spacing w:before="0"/>
              <w:rPr>
                <w:b/>
                <w:bCs/>
              </w:rPr>
            </w:pPr>
          </w:p>
        </w:tc>
      </w:tr>
      <w:tr w:rsidR="00520F36" w:rsidRPr="007C04B7" w14:paraId="21699D9D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2FC0345E" w14:textId="77777777" w:rsidR="00520F36" w:rsidRPr="007C04B7" w:rsidRDefault="00520F36" w:rsidP="009045E9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1" w:name="dnum" w:colFirst="1" w:colLast="1"/>
            <w:bookmarkStart w:id="2" w:name="dmeeting" w:colFirst="0" w:colLast="0"/>
          </w:p>
        </w:tc>
        <w:tc>
          <w:tcPr>
            <w:tcW w:w="3261" w:type="dxa"/>
          </w:tcPr>
          <w:p w14:paraId="7BA5C453" w14:textId="4BCBADFC" w:rsidR="00520F36" w:rsidRPr="007C04B7" w:rsidRDefault="00520F36" w:rsidP="009045E9">
            <w:pPr>
              <w:spacing w:before="0"/>
              <w:rPr>
                <w:b/>
                <w:bCs/>
              </w:rPr>
            </w:pPr>
            <w:r w:rsidRPr="007C04B7">
              <w:rPr>
                <w:b/>
                <w:bCs/>
              </w:rPr>
              <w:t xml:space="preserve">Document </w:t>
            </w:r>
            <w:r w:rsidR="006224B9" w:rsidRPr="007C04B7">
              <w:rPr>
                <w:b/>
                <w:bCs/>
              </w:rPr>
              <w:t>CWG-SFP-</w:t>
            </w:r>
            <w:r w:rsidR="001E7878" w:rsidRPr="007C04B7">
              <w:rPr>
                <w:b/>
                <w:bCs/>
              </w:rPr>
              <w:t>1</w:t>
            </w:r>
            <w:r w:rsidR="00D76368" w:rsidRPr="007C04B7">
              <w:rPr>
                <w:b/>
                <w:bCs/>
              </w:rPr>
              <w:t>/</w:t>
            </w:r>
            <w:r w:rsidR="00BB4490" w:rsidRPr="007C04B7">
              <w:rPr>
                <w:b/>
                <w:bCs/>
              </w:rPr>
              <w:t>1</w:t>
            </w:r>
            <w:r w:rsidR="00763451" w:rsidRPr="007C04B7">
              <w:rPr>
                <w:b/>
                <w:bCs/>
              </w:rPr>
              <w:t>0</w:t>
            </w:r>
            <w:r w:rsidRPr="007C04B7">
              <w:rPr>
                <w:b/>
                <w:bCs/>
              </w:rPr>
              <w:t>-F</w:t>
            </w:r>
          </w:p>
        </w:tc>
      </w:tr>
      <w:tr w:rsidR="00520F36" w:rsidRPr="007C04B7" w14:paraId="0617C106" w14:textId="77777777">
        <w:trPr>
          <w:cantSplit/>
          <w:trHeight w:val="20"/>
        </w:trPr>
        <w:tc>
          <w:tcPr>
            <w:tcW w:w="6912" w:type="dxa"/>
            <w:vMerge/>
          </w:tcPr>
          <w:p w14:paraId="6BD05471" w14:textId="77777777" w:rsidR="00520F36" w:rsidRPr="007C04B7" w:rsidRDefault="00520F36" w:rsidP="009045E9">
            <w:pPr>
              <w:shd w:val="solid" w:color="FFFFFF" w:fill="FFFFFF"/>
              <w:spacing w:before="180"/>
              <w:rPr>
                <w:smallCaps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261" w:type="dxa"/>
          </w:tcPr>
          <w:p w14:paraId="32446D09" w14:textId="0E565AEE" w:rsidR="00520F36" w:rsidRPr="007C04B7" w:rsidRDefault="00763451" w:rsidP="009045E9">
            <w:pPr>
              <w:spacing w:before="0"/>
              <w:rPr>
                <w:b/>
                <w:bCs/>
              </w:rPr>
            </w:pPr>
            <w:r w:rsidRPr="007C04B7">
              <w:rPr>
                <w:b/>
                <w:bCs/>
              </w:rPr>
              <w:t>13 septembre</w:t>
            </w:r>
            <w:r w:rsidR="001E7878" w:rsidRPr="007C04B7">
              <w:rPr>
                <w:b/>
                <w:bCs/>
              </w:rPr>
              <w:t xml:space="preserve"> 2021</w:t>
            </w:r>
          </w:p>
        </w:tc>
      </w:tr>
      <w:tr w:rsidR="00520F36" w:rsidRPr="007C04B7" w14:paraId="2F0FBA24" w14:textId="77777777">
        <w:trPr>
          <w:cantSplit/>
          <w:trHeight w:val="20"/>
        </w:trPr>
        <w:tc>
          <w:tcPr>
            <w:tcW w:w="6912" w:type="dxa"/>
            <w:vMerge/>
          </w:tcPr>
          <w:p w14:paraId="5854B2FC" w14:textId="77777777" w:rsidR="00520F36" w:rsidRPr="007C04B7" w:rsidRDefault="00520F36" w:rsidP="009045E9">
            <w:pPr>
              <w:shd w:val="solid" w:color="FFFFFF" w:fill="FFFFFF"/>
              <w:spacing w:before="180"/>
              <w:rPr>
                <w:smallCaps/>
              </w:rPr>
            </w:pPr>
            <w:bookmarkStart w:id="4" w:name="dorlang" w:colFirst="1" w:colLast="1"/>
            <w:bookmarkEnd w:id="3"/>
          </w:p>
        </w:tc>
        <w:tc>
          <w:tcPr>
            <w:tcW w:w="3261" w:type="dxa"/>
          </w:tcPr>
          <w:p w14:paraId="4463430A" w14:textId="77777777" w:rsidR="00520F36" w:rsidRPr="007C04B7" w:rsidRDefault="00520F36" w:rsidP="009045E9">
            <w:pPr>
              <w:spacing w:before="0"/>
              <w:rPr>
                <w:b/>
                <w:bCs/>
              </w:rPr>
            </w:pPr>
            <w:proofErr w:type="gramStart"/>
            <w:r w:rsidRPr="007C04B7">
              <w:rPr>
                <w:b/>
                <w:bCs/>
              </w:rPr>
              <w:t>Original:</w:t>
            </w:r>
            <w:proofErr w:type="gramEnd"/>
            <w:r w:rsidRPr="007C04B7">
              <w:rPr>
                <w:b/>
                <w:bCs/>
              </w:rPr>
              <w:t xml:space="preserve"> anglais</w:t>
            </w:r>
          </w:p>
        </w:tc>
      </w:tr>
      <w:tr w:rsidR="00B104C8" w:rsidRPr="007C04B7" w14:paraId="4852988F" w14:textId="77777777" w:rsidTr="006E5F36">
        <w:trPr>
          <w:cantSplit/>
        </w:trPr>
        <w:tc>
          <w:tcPr>
            <w:tcW w:w="10173" w:type="dxa"/>
            <w:gridSpan w:val="2"/>
          </w:tcPr>
          <w:p w14:paraId="07FB21F6" w14:textId="5DFE23AF" w:rsidR="00B104C8" w:rsidRPr="007C04B7" w:rsidRDefault="00755513" w:rsidP="009045E9">
            <w:pPr>
              <w:pStyle w:val="Source"/>
            </w:pPr>
            <w:bookmarkStart w:id="5" w:name="_Hlk83020788"/>
            <w:bookmarkEnd w:id="4"/>
            <w:r w:rsidRPr="007C04B7">
              <w:t>Contribution de la République populaire de Chine</w:t>
            </w:r>
          </w:p>
        </w:tc>
      </w:tr>
      <w:tr w:rsidR="00B104C8" w:rsidRPr="007C04B7" w14:paraId="36DB89D5" w14:textId="77777777" w:rsidTr="006E5F36">
        <w:trPr>
          <w:cantSplit/>
        </w:trPr>
        <w:tc>
          <w:tcPr>
            <w:tcW w:w="10173" w:type="dxa"/>
            <w:gridSpan w:val="2"/>
          </w:tcPr>
          <w:p w14:paraId="23B376A6" w14:textId="4041A60D" w:rsidR="00B104C8" w:rsidRPr="007C04B7" w:rsidRDefault="00755513" w:rsidP="009045E9">
            <w:pPr>
              <w:pStyle w:val="Title1"/>
            </w:pPr>
            <w:r w:rsidRPr="007C04B7">
              <w:rPr>
                <w:bCs/>
                <w:szCs w:val="28"/>
              </w:rPr>
              <w:t>RECOMMANDATIONS VISANT À IN</w:t>
            </w:r>
            <w:r w:rsidR="004A4FA0" w:rsidRPr="007C04B7">
              <w:rPr>
                <w:bCs/>
                <w:szCs w:val="28"/>
              </w:rPr>
              <w:t>tégrer</w:t>
            </w:r>
            <w:r w:rsidRPr="007C04B7">
              <w:rPr>
                <w:bCs/>
                <w:szCs w:val="28"/>
              </w:rPr>
              <w:t xml:space="preserve"> LES TIC </w:t>
            </w:r>
            <w:r w:rsidR="004A4FA0" w:rsidRPr="007C04B7">
              <w:rPr>
                <w:bCs/>
                <w:szCs w:val="28"/>
              </w:rPr>
              <w:t>au service d</w:t>
            </w:r>
            <w:r w:rsidRPr="007C04B7">
              <w:rPr>
                <w:bCs/>
                <w:szCs w:val="28"/>
              </w:rPr>
              <w:t xml:space="preserve">ES URGENCES DE SANTÉ PUBLIQUE DE PORTÉE INTERNATIONALE DANS LES </w:t>
            </w:r>
            <w:r w:rsidR="004A4FA0" w:rsidRPr="007C04B7">
              <w:rPr>
                <w:bCs/>
                <w:szCs w:val="28"/>
              </w:rPr>
              <w:t>buts</w:t>
            </w:r>
            <w:r w:rsidR="009045E9" w:rsidRPr="007C04B7">
              <w:rPr>
                <w:bCs/>
                <w:szCs w:val="28"/>
              </w:rPr>
              <w:br/>
            </w:r>
            <w:r w:rsidR="003761D5">
              <w:rPr>
                <w:bCs/>
                <w:szCs w:val="28"/>
              </w:rPr>
              <w:t>e</w:t>
            </w:r>
            <w:r w:rsidRPr="007C04B7">
              <w:rPr>
                <w:bCs/>
                <w:szCs w:val="28"/>
              </w:rPr>
              <w:t xml:space="preserve">STRATÉGIQUES </w:t>
            </w:r>
            <w:r w:rsidR="00C77B9A" w:rsidRPr="007C04B7">
              <w:rPr>
                <w:bCs/>
                <w:szCs w:val="28"/>
              </w:rPr>
              <w:t>énoncés dans le</w:t>
            </w:r>
            <w:r w:rsidRPr="007C04B7">
              <w:rPr>
                <w:bCs/>
                <w:szCs w:val="28"/>
              </w:rPr>
              <w:t xml:space="preserve"> PLAN STRATÉGIQUE</w:t>
            </w:r>
            <w:r w:rsidR="009045E9" w:rsidRPr="007C04B7">
              <w:rPr>
                <w:bCs/>
                <w:szCs w:val="28"/>
              </w:rPr>
              <w:br/>
            </w:r>
            <w:r w:rsidRPr="007C04B7">
              <w:rPr>
                <w:bCs/>
                <w:szCs w:val="28"/>
              </w:rPr>
              <w:t>DE L'UIT</w:t>
            </w:r>
            <w:r w:rsidR="009045E9" w:rsidRPr="007C04B7">
              <w:rPr>
                <w:bCs/>
                <w:szCs w:val="28"/>
              </w:rPr>
              <w:t xml:space="preserve"> </w:t>
            </w:r>
            <w:r w:rsidRPr="007C04B7">
              <w:rPr>
                <w:bCs/>
                <w:szCs w:val="28"/>
              </w:rPr>
              <w:t xml:space="preserve">POUR </w:t>
            </w:r>
            <w:r w:rsidR="004A4FA0" w:rsidRPr="007C04B7">
              <w:rPr>
                <w:bCs/>
                <w:szCs w:val="28"/>
              </w:rPr>
              <w:t xml:space="preserve">la période </w:t>
            </w:r>
            <w:r w:rsidRPr="007C04B7">
              <w:rPr>
                <w:bCs/>
                <w:szCs w:val="28"/>
              </w:rPr>
              <w:t>2024-2027</w:t>
            </w:r>
          </w:p>
        </w:tc>
      </w:tr>
    </w:tbl>
    <w:bookmarkEnd w:id="5"/>
    <w:p w14:paraId="72339E19" w14:textId="0D799ED8" w:rsidR="00763451" w:rsidRPr="007C04B7" w:rsidRDefault="00755513" w:rsidP="009045E9">
      <w:pPr>
        <w:pStyle w:val="Headingb"/>
        <w:spacing w:before="360"/>
        <w:rPr>
          <w:rFonts w:eastAsia="仿宋"/>
        </w:rPr>
      </w:pPr>
      <w:r w:rsidRPr="007C04B7">
        <w:rPr>
          <w:rFonts w:eastAsia="仿宋"/>
        </w:rPr>
        <w:t>Considérations générales</w:t>
      </w:r>
    </w:p>
    <w:p w14:paraId="414522E3" w14:textId="79126A8F" w:rsidR="00763451" w:rsidRPr="007C04B7" w:rsidRDefault="00755513" w:rsidP="009045E9">
      <w:pPr>
        <w:rPr>
          <w:rFonts w:eastAsia="仿宋"/>
        </w:rPr>
      </w:pPr>
      <w:r w:rsidRPr="007C04B7">
        <w:rPr>
          <w:rFonts w:eastAsia="仿宋"/>
        </w:rPr>
        <w:t>Le 15 juillet 2021, l'Organisation mondiale de la santé (OM</w:t>
      </w:r>
      <w:r w:rsidR="00376F48">
        <w:rPr>
          <w:rFonts w:eastAsia="仿宋"/>
        </w:rPr>
        <w:t>S) a déclaré que la pandémie de </w:t>
      </w:r>
      <w:r w:rsidRPr="007C04B7">
        <w:rPr>
          <w:rFonts w:eastAsia="仿宋"/>
        </w:rPr>
        <w:t>COVID</w:t>
      </w:r>
      <w:r w:rsidR="009045E9" w:rsidRPr="007C04B7">
        <w:rPr>
          <w:rFonts w:eastAsia="仿宋"/>
        </w:rPr>
        <w:noBreakHyphen/>
      </w:r>
      <w:r w:rsidRPr="007C04B7">
        <w:rPr>
          <w:rFonts w:eastAsia="仿宋"/>
        </w:rPr>
        <w:t xml:space="preserve">19 </w:t>
      </w:r>
      <w:r w:rsidR="004A4FA0" w:rsidRPr="007C04B7">
        <w:rPr>
          <w:rFonts w:eastAsia="仿宋"/>
        </w:rPr>
        <w:t>demeurait</w:t>
      </w:r>
      <w:r w:rsidRPr="007C04B7">
        <w:rPr>
          <w:rFonts w:eastAsia="仿宋"/>
        </w:rPr>
        <w:t xml:space="preserve"> une urgence de santé publique de portée internationale</w:t>
      </w:r>
      <w:r w:rsidR="00763451" w:rsidRPr="007C04B7">
        <w:rPr>
          <w:rStyle w:val="FootnoteReference"/>
          <w:rFonts w:eastAsia="仿宋"/>
        </w:rPr>
        <w:footnoteReference w:id="1"/>
      </w:r>
      <w:r w:rsidR="009045E9" w:rsidRPr="007C04B7">
        <w:rPr>
          <w:rFonts w:eastAsia="仿宋"/>
        </w:rPr>
        <w:t xml:space="preserve">. </w:t>
      </w:r>
      <w:r w:rsidR="004A4FA0" w:rsidRPr="007C04B7">
        <w:rPr>
          <w:rFonts w:eastAsia="仿宋"/>
        </w:rPr>
        <w:t xml:space="preserve">Les </w:t>
      </w:r>
      <w:r w:rsidRPr="007C04B7">
        <w:rPr>
          <w:rFonts w:eastAsia="仿宋"/>
        </w:rPr>
        <w:t>déclarations de l'OMS</w:t>
      </w:r>
      <w:r w:rsidR="004A4FA0" w:rsidRPr="007C04B7">
        <w:rPr>
          <w:rFonts w:eastAsia="仿宋"/>
        </w:rPr>
        <w:t xml:space="preserve"> montrent que </w:t>
      </w:r>
      <w:r w:rsidR="004B440F" w:rsidRPr="007C04B7">
        <w:rPr>
          <w:rFonts w:eastAsia="仿宋"/>
        </w:rPr>
        <w:t>les urgences de cette nature</w:t>
      </w:r>
      <w:r w:rsidRPr="007C04B7">
        <w:rPr>
          <w:rFonts w:eastAsia="仿宋"/>
        </w:rPr>
        <w:t xml:space="preserve"> plus</w:t>
      </w:r>
      <w:r w:rsidR="00376F48">
        <w:rPr>
          <w:rFonts w:eastAsia="仿宋"/>
        </w:rPr>
        <w:t xml:space="preserve"> fréquemment depuis le début du </w:t>
      </w:r>
      <w:r w:rsidR="004A4FA0" w:rsidRPr="007C04B7">
        <w:rPr>
          <w:rFonts w:eastAsia="仿宋"/>
        </w:rPr>
        <w:t>XXIe</w:t>
      </w:r>
      <w:r w:rsidR="009045E9" w:rsidRPr="007C04B7">
        <w:rPr>
          <w:rFonts w:eastAsia="仿宋"/>
        </w:rPr>
        <w:t> </w:t>
      </w:r>
      <w:r w:rsidRPr="007C04B7">
        <w:rPr>
          <w:rFonts w:eastAsia="仿宋"/>
        </w:rPr>
        <w:t>siècle, et</w:t>
      </w:r>
      <w:r w:rsidR="004A4FA0" w:rsidRPr="007C04B7">
        <w:rPr>
          <w:rFonts w:eastAsia="仿宋"/>
        </w:rPr>
        <w:t xml:space="preserve"> que</w:t>
      </w:r>
      <w:r w:rsidRPr="007C04B7">
        <w:rPr>
          <w:rFonts w:eastAsia="仿宋"/>
        </w:rPr>
        <w:t xml:space="preserve"> leur propagation et </w:t>
      </w:r>
      <w:r w:rsidR="004A4FA0" w:rsidRPr="007C04B7">
        <w:rPr>
          <w:rFonts w:eastAsia="仿宋"/>
        </w:rPr>
        <w:t>leurs</w:t>
      </w:r>
      <w:r w:rsidRPr="007C04B7">
        <w:rPr>
          <w:rFonts w:eastAsia="仿宋"/>
        </w:rPr>
        <w:t xml:space="preserve"> </w:t>
      </w:r>
      <w:r w:rsidR="004A4FA0" w:rsidRPr="007C04B7">
        <w:rPr>
          <w:rFonts w:eastAsia="仿宋"/>
        </w:rPr>
        <w:t>incidences</w:t>
      </w:r>
      <w:r w:rsidRPr="007C04B7">
        <w:rPr>
          <w:rFonts w:eastAsia="仿宋"/>
        </w:rPr>
        <w:t xml:space="preserve"> </w:t>
      </w:r>
      <w:r w:rsidR="004A4FA0" w:rsidRPr="007C04B7">
        <w:rPr>
          <w:rFonts w:eastAsia="仿宋"/>
        </w:rPr>
        <w:t xml:space="preserve">ont une </w:t>
      </w:r>
      <w:r w:rsidR="004B440F" w:rsidRPr="007C04B7">
        <w:rPr>
          <w:rFonts w:eastAsia="仿宋"/>
        </w:rPr>
        <w:t xml:space="preserve">portée </w:t>
      </w:r>
      <w:r w:rsidR="004A4FA0" w:rsidRPr="007C04B7">
        <w:rPr>
          <w:rFonts w:eastAsia="仿宋"/>
        </w:rPr>
        <w:t>mondiale</w:t>
      </w:r>
      <w:r w:rsidR="009045E9" w:rsidRPr="007C04B7">
        <w:rPr>
          <w:rFonts w:eastAsia="仿宋"/>
        </w:rPr>
        <w:t>,</w:t>
      </w:r>
      <w:r w:rsidR="004B440F" w:rsidRPr="007C04B7">
        <w:rPr>
          <w:rFonts w:eastAsia="仿宋"/>
        </w:rPr>
        <w:t xml:space="preserve"> et non plus régionale</w:t>
      </w:r>
      <w:r w:rsidRPr="007C04B7">
        <w:rPr>
          <w:rFonts w:eastAsia="仿宋"/>
        </w:rPr>
        <w:t xml:space="preserve">, </w:t>
      </w:r>
      <w:r w:rsidR="004A4FA0" w:rsidRPr="007C04B7">
        <w:rPr>
          <w:rFonts w:eastAsia="仿宋"/>
        </w:rPr>
        <w:t xml:space="preserve">avec </w:t>
      </w:r>
      <w:r w:rsidR="004B440F" w:rsidRPr="007C04B7">
        <w:rPr>
          <w:rFonts w:eastAsia="仿宋"/>
        </w:rPr>
        <w:t>de lourdes retombées</w:t>
      </w:r>
      <w:r w:rsidR="009045E9" w:rsidRPr="007C04B7">
        <w:rPr>
          <w:rFonts w:eastAsia="仿宋"/>
        </w:rPr>
        <w:t xml:space="preserve"> </w:t>
      </w:r>
      <w:r w:rsidR="004A4FA0" w:rsidRPr="007C04B7">
        <w:rPr>
          <w:rFonts w:eastAsia="仿宋"/>
        </w:rPr>
        <w:t>pour</w:t>
      </w:r>
      <w:r w:rsidRPr="007C04B7">
        <w:rPr>
          <w:rFonts w:eastAsia="仿宋"/>
        </w:rPr>
        <w:t xml:space="preserve"> la population mondiale et le développement économique. Aujourd'hui, les télécommunications et les </w:t>
      </w:r>
      <w:r w:rsidR="00DB0C29" w:rsidRPr="007C04B7">
        <w:rPr>
          <w:rFonts w:eastAsia="仿宋"/>
        </w:rPr>
        <w:t>technologies de l'information et de la communication (TIC)</w:t>
      </w:r>
      <w:r w:rsidRPr="007C04B7">
        <w:rPr>
          <w:rFonts w:eastAsia="仿宋"/>
        </w:rPr>
        <w:t xml:space="preserve"> </w:t>
      </w:r>
      <w:r w:rsidR="004A4FA0" w:rsidRPr="007C04B7">
        <w:rPr>
          <w:rFonts w:eastAsia="仿宋"/>
        </w:rPr>
        <w:t>permettent à l'humanité de disposer de n</w:t>
      </w:r>
      <w:r w:rsidRPr="007C04B7">
        <w:rPr>
          <w:rFonts w:eastAsia="仿宋"/>
        </w:rPr>
        <w:t xml:space="preserve">ouveaux outils pour répondre aux urgences de santé publique et </w:t>
      </w:r>
      <w:r w:rsidR="004B440F" w:rsidRPr="007C04B7">
        <w:rPr>
          <w:rFonts w:eastAsia="仿宋"/>
        </w:rPr>
        <w:t>sont devenus</w:t>
      </w:r>
      <w:r w:rsidR="009045E9" w:rsidRPr="007C04B7">
        <w:rPr>
          <w:rFonts w:eastAsia="仿宋"/>
        </w:rPr>
        <w:t xml:space="preserve"> </w:t>
      </w:r>
      <w:r w:rsidR="004A4FA0" w:rsidRPr="007C04B7">
        <w:rPr>
          <w:rFonts w:eastAsia="仿宋"/>
        </w:rPr>
        <w:t>indispensable</w:t>
      </w:r>
      <w:r w:rsidR="004B440F" w:rsidRPr="007C04B7">
        <w:rPr>
          <w:rFonts w:eastAsia="仿宋"/>
        </w:rPr>
        <w:t>s</w:t>
      </w:r>
      <w:r w:rsidR="004A4FA0" w:rsidRPr="007C04B7">
        <w:rPr>
          <w:rFonts w:eastAsia="仿宋"/>
        </w:rPr>
        <w:t xml:space="preserve"> </w:t>
      </w:r>
      <w:r w:rsidR="004B440F" w:rsidRPr="007C04B7">
        <w:rPr>
          <w:rFonts w:eastAsia="仿宋"/>
        </w:rPr>
        <w:t>pour</w:t>
      </w:r>
      <w:r w:rsidR="004A4FA0" w:rsidRPr="007C04B7">
        <w:rPr>
          <w:rFonts w:eastAsia="仿宋"/>
        </w:rPr>
        <w:t xml:space="preserve"> </w:t>
      </w:r>
      <w:r w:rsidRPr="007C04B7">
        <w:rPr>
          <w:rFonts w:eastAsia="仿宋"/>
        </w:rPr>
        <w:t xml:space="preserve">l'économie mondiale et nationale et </w:t>
      </w:r>
      <w:r w:rsidR="004B440F" w:rsidRPr="007C04B7">
        <w:rPr>
          <w:rFonts w:eastAsia="仿宋"/>
        </w:rPr>
        <w:t>le</w:t>
      </w:r>
      <w:r w:rsidR="009045E9" w:rsidRPr="007C04B7">
        <w:rPr>
          <w:rFonts w:eastAsia="仿宋"/>
        </w:rPr>
        <w:t xml:space="preserve"> </w:t>
      </w:r>
      <w:r w:rsidRPr="007C04B7">
        <w:rPr>
          <w:rFonts w:eastAsia="仿宋"/>
        </w:rPr>
        <w:t>bien-être de toutes les sociétés</w:t>
      </w:r>
      <w:r w:rsidR="00763451" w:rsidRPr="007C04B7">
        <w:rPr>
          <w:rFonts w:eastAsia="仿宋"/>
        </w:rPr>
        <w:t xml:space="preserve">. </w:t>
      </w:r>
      <w:r w:rsidR="004A4FA0" w:rsidRPr="007C04B7">
        <w:rPr>
          <w:rFonts w:eastAsia="仿宋"/>
        </w:rPr>
        <w:t>Ces technologies</w:t>
      </w:r>
      <w:r w:rsidRPr="007C04B7">
        <w:rPr>
          <w:rFonts w:eastAsia="仿宋"/>
        </w:rPr>
        <w:t xml:space="preserve"> ont joué un rôle important dans les phases d'intervention d'urgence et de rétablissement </w:t>
      </w:r>
      <w:r w:rsidR="004A4FA0" w:rsidRPr="007C04B7">
        <w:rPr>
          <w:rFonts w:eastAsia="仿宋"/>
        </w:rPr>
        <w:t xml:space="preserve">en </w:t>
      </w:r>
      <w:r w:rsidR="004B440F" w:rsidRPr="007C04B7">
        <w:rPr>
          <w:rFonts w:eastAsia="仿宋"/>
        </w:rPr>
        <w:t xml:space="preserve">cas </w:t>
      </w:r>
      <w:r w:rsidR="004A4FA0" w:rsidRPr="007C04B7">
        <w:rPr>
          <w:rFonts w:eastAsia="仿宋"/>
        </w:rPr>
        <w:t>d'</w:t>
      </w:r>
      <w:r w:rsidRPr="007C04B7">
        <w:rPr>
          <w:rFonts w:eastAsia="仿宋"/>
        </w:rPr>
        <w:t xml:space="preserve">urgence de santé publique, et </w:t>
      </w:r>
      <w:r w:rsidR="004A4FA0" w:rsidRPr="007C04B7">
        <w:rPr>
          <w:rFonts w:eastAsia="仿宋"/>
        </w:rPr>
        <w:t>offrent</w:t>
      </w:r>
      <w:r w:rsidRPr="007C04B7">
        <w:rPr>
          <w:rFonts w:eastAsia="仿宋"/>
        </w:rPr>
        <w:t xml:space="preserve"> </w:t>
      </w:r>
      <w:r w:rsidR="004A4FA0" w:rsidRPr="007C04B7">
        <w:rPr>
          <w:rFonts w:eastAsia="仿宋"/>
        </w:rPr>
        <w:t>des possibilités</w:t>
      </w:r>
      <w:r w:rsidRPr="007C04B7">
        <w:rPr>
          <w:rFonts w:eastAsia="仿宋"/>
        </w:rPr>
        <w:t xml:space="preserve"> de développement</w:t>
      </w:r>
      <w:r w:rsidR="004A4FA0" w:rsidRPr="007C04B7">
        <w:rPr>
          <w:rFonts w:eastAsia="仿宋"/>
        </w:rPr>
        <w:t xml:space="preserve"> exceptionnelles</w:t>
      </w:r>
      <w:r w:rsidR="00763451" w:rsidRPr="007C04B7">
        <w:rPr>
          <w:rStyle w:val="FootnoteReference"/>
          <w:rFonts w:eastAsia="仿宋"/>
        </w:rPr>
        <w:footnoteReference w:id="2"/>
      </w:r>
      <w:r w:rsidR="00763451" w:rsidRPr="007C04B7">
        <w:rPr>
          <w:rFonts w:eastAsia="仿宋"/>
        </w:rPr>
        <w:t>. L'UIT</w:t>
      </w:r>
      <w:r w:rsidR="009045E9" w:rsidRPr="007C04B7">
        <w:rPr>
          <w:rFonts w:eastAsia="仿宋"/>
        </w:rPr>
        <w:t>,</w:t>
      </w:r>
      <w:r w:rsidR="004B440F" w:rsidRPr="007C04B7">
        <w:rPr>
          <w:rFonts w:eastAsia="仿宋"/>
        </w:rPr>
        <w:t xml:space="preserve"> en sa qualité d</w:t>
      </w:r>
      <w:r w:rsidR="00763451" w:rsidRPr="007C04B7">
        <w:rPr>
          <w:rFonts w:eastAsia="仿宋"/>
        </w:rPr>
        <w:t>'institution spécialisée des Nations Unies pour les télécommunications/TIC</w:t>
      </w:r>
      <w:r w:rsidR="009045E9" w:rsidRPr="007C04B7">
        <w:rPr>
          <w:rFonts w:eastAsia="仿宋"/>
        </w:rPr>
        <w:t xml:space="preserve">, </w:t>
      </w:r>
      <w:r w:rsidR="00763451" w:rsidRPr="007C04B7">
        <w:rPr>
          <w:rFonts w:eastAsia="仿宋"/>
        </w:rPr>
        <w:t xml:space="preserve">attribue sur le plan international des fréquences radioélectriques et des orbites de satellites, élabore des normes techniques qui garantissent la </w:t>
      </w:r>
      <w:proofErr w:type="gramStart"/>
      <w:r w:rsidR="00763451" w:rsidRPr="007C04B7">
        <w:rPr>
          <w:rFonts w:eastAsia="仿宋"/>
        </w:rPr>
        <w:lastRenderedPageBreak/>
        <w:t>parfaite</w:t>
      </w:r>
      <w:proofErr w:type="gramEnd"/>
      <w:r w:rsidR="00763451" w:rsidRPr="007C04B7">
        <w:rPr>
          <w:rFonts w:eastAsia="仿宋"/>
        </w:rPr>
        <w:t xml:space="preserve"> interconnexion des réseaux et l'interopérabilité des technologies</w:t>
      </w:r>
      <w:r w:rsidR="009045E9" w:rsidRPr="007C04B7">
        <w:rPr>
          <w:rFonts w:eastAsia="仿宋"/>
        </w:rPr>
        <w:t xml:space="preserve"> </w:t>
      </w:r>
      <w:r w:rsidR="00763451" w:rsidRPr="007C04B7">
        <w:rPr>
          <w:rFonts w:eastAsia="仿宋"/>
        </w:rPr>
        <w:t>et s'efforce d'améliorer l'accès aux TIC pour les communautés mal desservies dans le monde entier</w:t>
      </w:r>
      <w:r w:rsidR="00763451" w:rsidRPr="007C04B7">
        <w:rPr>
          <w:rStyle w:val="FootnoteReference"/>
          <w:rFonts w:eastAsia="仿宋"/>
        </w:rPr>
        <w:footnoteReference w:id="3"/>
      </w:r>
      <w:r w:rsidR="00763451" w:rsidRPr="007C04B7">
        <w:rPr>
          <w:rFonts w:eastAsia="仿宋"/>
        </w:rPr>
        <w:t>.</w:t>
      </w:r>
      <w:r w:rsidR="00763451" w:rsidRPr="007C04B7">
        <w:rPr>
          <w:rFonts w:eastAsia="SimSun"/>
          <w:position w:val="6"/>
          <w:vertAlign w:val="superscript"/>
        </w:rPr>
        <w:t xml:space="preserve"> </w:t>
      </w:r>
      <w:r w:rsidRPr="007C04B7">
        <w:rPr>
          <w:rFonts w:eastAsia="仿宋"/>
        </w:rPr>
        <w:t xml:space="preserve">En tirant parti de ses atouts pendant la pandémie, l'UIT </w:t>
      </w:r>
      <w:r w:rsidR="00BA05E2" w:rsidRPr="007C04B7">
        <w:rPr>
          <w:rFonts w:eastAsia="仿宋"/>
        </w:rPr>
        <w:t xml:space="preserve">s'est imposée comme un acteur important </w:t>
      </w:r>
      <w:r w:rsidRPr="007C04B7">
        <w:rPr>
          <w:rFonts w:eastAsia="仿宋"/>
        </w:rPr>
        <w:t xml:space="preserve">pour assurer la résilience et la connectivité </w:t>
      </w:r>
      <w:r w:rsidR="00BA05E2" w:rsidRPr="007C04B7">
        <w:rPr>
          <w:rFonts w:eastAsia="仿宋"/>
        </w:rPr>
        <w:t>dans le</w:t>
      </w:r>
      <w:r w:rsidRPr="007C04B7">
        <w:rPr>
          <w:rFonts w:eastAsia="仿宋"/>
        </w:rPr>
        <w:t xml:space="preserve"> monde. </w:t>
      </w:r>
      <w:r w:rsidR="00BA05E2" w:rsidRPr="007C04B7">
        <w:rPr>
          <w:rFonts w:eastAsia="仿宋"/>
        </w:rPr>
        <w:t>En mars 2020, e</w:t>
      </w:r>
      <w:r w:rsidRPr="007C04B7">
        <w:rPr>
          <w:rFonts w:eastAsia="仿宋"/>
        </w:rPr>
        <w:t xml:space="preserve">lle a lancé la </w:t>
      </w:r>
      <w:r w:rsidR="000E362E" w:rsidRPr="007C04B7">
        <w:rPr>
          <w:rFonts w:eastAsia="仿宋"/>
        </w:rPr>
        <w:t>p</w:t>
      </w:r>
      <w:r w:rsidRPr="007C04B7">
        <w:rPr>
          <w:rFonts w:eastAsia="仿宋"/>
        </w:rPr>
        <w:t>late-forme mondiale pour la résilience des réseaux (#REG4COVID)</w:t>
      </w:r>
      <w:r w:rsidR="001E42EA" w:rsidRPr="007C04B7">
        <w:rPr>
          <w:rFonts w:eastAsia="仿宋"/>
        </w:rPr>
        <w:t>,</w:t>
      </w:r>
      <w:r w:rsidR="009045E9" w:rsidRPr="007C04B7">
        <w:rPr>
          <w:rFonts w:eastAsia="仿宋"/>
        </w:rPr>
        <w:t xml:space="preserve"> </w:t>
      </w:r>
      <w:r w:rsidR="00BA05E2" w:rsidRPr="007C04B7">
        <w:rPr>
          <w:rFonts w:eastAsia="仿宋"/>
        </w:rPr>
        <w:t>afin d'</w:t>
      </w:r>
      <w:r w:rsidRPr="007C04B7">
        <w:rPr>
          <w:rFonts w:eastAsia="仿宋"/>
        </w:rPr>
        <w:t xml:space="preserve">aider les décideurs, les régulateurs et les acteurs du secteur à </w:t>
      </w:r>
      <w:r w:rsidR="00BA05E2" w:rsidRPr="007C04B7">
        <w:rPr>
          <w:rFonts w:eastAsia="仿宋"/>
        </w:rPr>
        <w:t>faire face</w:t>
      </w:r>
      <w:r w:rsidRPr="007C04B7">
        <w:rPr>
          <w:rFonts w:eastAsia="仿宋"/>
        </w:rPr>
        <w:t xml:space="preserve"> </w:t>
      </w:r>
      <w:r w:rsidR="00BA05E2" w:rsidRPr="007C04B7">
        <w:rPr>
          <w:rFonts w:eastAsia="仿宋"/>
        </w:rPr>
        <w:t>à la</w:t>
      </w:r>
      <w:r w:rsidRPr="007C04B7">
        <w:rPr>
          <w:rFonts w:eastAsia="仿宋"/>
        </w:rPr>
        <w:t xml:space="preserve"> pression </w:t>
      </w:r>
      <w:r w:rsidR="001E42EA" w:rsidRPr="007C04B7">
        <w:rPr>
          <w:rFonts w:eastAsia="仿宋"/>
        </w:rPr>
        <w:t xml:space="preserve">croissante </w:t>
      </w:r>
      <w:r w:rsidRPr="007C04B7">
        <w:rPr>
          <w:rFonts w:eastAsia="仿宋"/>
        </w:rPr>
        <w:t xml:space="preserve">exercée sur les réseaux mondiaux pendant la crise du COVID-19, et a publié </w:t>
      </w:r>
      <w:r w:rsidR="00BA05E2" w:rsidRPr="007C04B7">
        <w:rPr>
          <w:rFonts w:eastAsia="仿宋"/>
        </w:rPr>
        <w:t>des</w:t>
      </w:r>
      <w:r w:rsidRPr="007C04B7">
        <w:rPr>
          <w:rFonts w:eastAsia="仿宋"/>
        </w:rPr>
        <w:t xml:space="preserve"> </w:t>
      </w:r>
      <w:r w:rsidRPr="007C04B7">
        <w:rPr>
          <w:rFonts w:eastAsia="仿宋"/>
          <w:i/>
          <w:iCs/>
        </w:rPr>
        <w:t xml:space="preserve">Lignes directrices </w:t>
      </w:r>
      <w:r w:rsidR="00BA05E2" w:rsidRPr="007C04B7">
        <w:rPr>
          <w:rFonts w:eastAsia="仿宋"/>
          <w:i/>
          <w:iCs/>
        </w:rPr>
        <w:t>relatives à l'élaboration de</w:t>
      </w:r>
      <w:r w:rsidRPr="007C04B7">
        <w:rPr>
          <w:rFonts w:eastAsia="仿宋"/>
          <w:i/>
          <w:iCs/>
        </w:rPr>
        <w:t xml:space="preserve"> plans nationaux </w:t>
      </w:r>
      <w:r w:rsidR="00BA05E2" w:rsidRPr="007C04B7">
        <w:rPr>
          <w:rFonts w:eastAsia="仿宋"/>
          <w:i/>
          <w:iCs/>
        </w:rPr>
        <w:t>pour les</w:t>
      </w:r>
      <w:r w:rsidRPr="007C04B7">
        <w:rPr>
          <w:rFonts w:eastAsia="仿宋"/>
          <w:i/>
          <w:iCs/>
        </w:rPr>
        <w:t xml:space="preserve"> télécommunications d'urgence</w:t>
      </w:r>
      <w:r w:rsidR="00BA05E2" w:rsidRPr="007C04B7">
        <w:rPr>
          <w:rFonts w:eastAsia="仿宋"/>
        </w:rPr>
        <w:t xml:space="preserve">, portant sur </w:t>
      </w:r>
      <w:r w:rsidRPr="007C04B7">
        <w:rPr>
          <w:rFonts w:eastAsia="仿宋"/>
        </w:rPr>
        <w:t xml:space="preserve">l'élaboration et la mise en œuvre de plans nationaux </w:t>
      </w:r>
      <w:r w:rsidR="00BA05E2" w:rsidRPr="007C04B7">
        <w:rPr>
          <w:rFonts w:eastAsia="仿宋"/>
        </w:rPr>
        <w:t>pour les</w:t>
      </w:r>
      <w:r w:rsidRPr="007C04B7">
        <w:rPr>
          <w:rFonts w:eastAsia="仿宋"/>
        </w:rPr>
        <w:t xml:space="preserve"> télécommunications d'urgence </w:t>
      </w:r>
      <w:r w:rsidR="001E42EA" w:rsidRPr="007C04B7">
        <w:rPr>
          <w:rFonts w:eastAsia="仿宋"/>
        </w:rPr>
        <w:t>(NETP)</w:t>
      </w:r>
      <w:r w:rsidRPr="007C04B7">
        <w:rPr>
          <w:rFonts w:eastAsia="仿宋"/>
        </w:rPr>
        <w:t>et d</w:t>
      </w:r>
      <w:r w:rsidR="009045E9" w:rsidRPr="007C04B7">
        <w:rPr>
          <w:rFonts w:eastAsia="仿宋"/>
        </w:rPr>
        <w:t>'</w:t>
      </w:r>
      <w:r w:rsidRPr="007C04B7">
        <w:rPr>
          <w:rFonts w:eastAsia="仿宋"/>
        </w:rPr>
        <w:t>autre</w:t>
      </w:r>
      <w:r w:rsidR="001E42EA" w:rsidRPr="007C04B7">
        <w:rPr>
          <w:rFonts w:eastAsia="仿宋"/>
        </w:rPr>
        <w:t>s</w:t>
      </w:r>
      <w:r w:rsidRPr="007C04B7">
        <w:rPr>
          <w:rFonts w:eastAsia="仿宋"/>
        </w:rPr>
        <w:t xml:space="preserve"> plan</w:t>
      </w:r>
      <w:r w:rsidR="001E42EA" w:rsidRPr="007C04B7">
        <w:rPr>
          <w:rFonts w:eastAsia="仿宋"/>
        </w:rPr>
        <w:t>s</w:t>
      </w:r>
      <w:r w:rsidRPr="007C04B7">
        <w:rPr>
          <w:rFonts w:eastAsia="仿宋"/>
        </w:rPr>
        <w:t xml:space="preserve"> d'urgence adapté</w:t>
      </w:r>
      <w:r w:rsidR="001E42EA" w:rsidRPr="007C04B7">
        <w:rPr>
          <w:rFonts w:eastAsia="仿宋"/>
        </w:rPr>
        <w:t>s</w:t>
      </w:r>
      <w:r w:rsidRPr="007C04B7">
        <w:rPr>
          <w:rFonts w:eastAsia="仿宋"/>
        </w:rPr>
        <w:t xml:space="preserve">, </w:t>
      </w:r>
      <w:r w:rsidR="00C77B9A" w:rsidRPr="007C04B7">
        <w:rPr>
          <w:rFonts w:eastAsia="仿宋"/>
        </w:rPr>
        <w:t>applicable</w:t>
      </w:r>
      <w:r w:rsidR="001E42EA" w:rsidRPr="007C04B7">
        <w:rPr>
          <w:rFonts w:eastAsia="仿宋"/>
        </w:rPr>
        <w:t>s</w:t>
      </w:r>
      <w:r w:rsidR="00C77B9A" w:rsidRPr="007C04B7">
        <w:rPr>
          <w:rFonts w:eastAsia="仿宋"/>
        </w:rPr>
        <w:t xml:space="preserve"> </w:t>
      </w:r>
      <w:r w:rsidR="00BA05E2" w:rsidRPr="007C04B7">
        <w:rPr>
          <w:rFonts w:eastAsia="仿宋"/>
        </w:rPr>
        <w:t xml:space="preserve">à différents types de catastrophes, dont les </w:t>
      </w:r>
      <w:r w:rsidRPr="007C04B7">
        <w:rPr>
          <w:rFonts w:eastAsia="仿宋"/>
        </w:rPr>
        <w:t>maladies infectieuses</w:t>
      </w:r>
      <w:r w:rsidR="00763451" w:rsidRPr="007C04B7">
        <w:rPr>
          <w:rStyle w:val="FootnoteReference"/>
          <w:rFonts w:eastAsia="仿宋"/>
        </w:rPr>
        <w:footnoteReference w:id="4"/>
      </w:r>
      <w:r w:rsidR="000E362E" w:rsidRPr="007C04B7">
        <w:rPr>
          <w:rFonts w:eastAsia="仿宋"/>
        </w:rPr>
        <w:t>.</w:t>
      </w:r>
    </w:p>
    <w:p w14:paraId="14583768" w14:textId="0E95AAE0" w:rsidR="00763451" w:rsidRPr="007C04B7" w:rsidRDefault="00BA05E2" w:rsidP="009045E9">
      <w:pPr>
        <w:rPr>
          <w:color w:val="000000"/>
        </w:rPr>
      </w:pPr>
      <w:r w:rsidRPr="007C04B7">
        <w:rPr>
          <w:rFonts w:eastAsia="仿宋"/>
        </w:rPr>
        <w:t xml:space="preserve">Au niveau international, l'Assemblée générale des Nations Unies a adopté </w:t>
      </w:r>
      <w:r w:rsidR="001E42EA" w:rsidRPr="007C04B7">
        <w:rPr>
          <w:rFonts w:eastAsia="仿宋"/>
        </w:rPr>
        <w:t xml:space="preserve">en 2015 </w:t>
      </w:r>
      <w:r w:rsidRPr="007C04B7">
        <w:rPr>
          <w:rFonts w:eastAsia="仿宋"/>
        </w:rPr>
        <w:t>le Programme</w:t>
      </w:r>
      <w:r w:rsidR="00C91B0C" w:rsidRPr="007C04B7">
        <w:rPr>
          <w:rFonts w:eastAsia="仿宋"/>
        </w:rPr>
        <w:t xml:space="preserve"> "</w:t>
      </w:r>
      <w:r w:rsidR="00C91B0C" w:rsidRPr="007C04B7">
        <w:rPr>
          <w:rFonts w:eastAsia="仿宋"/>
          <w:i/>
          <w:iCs/>
        </w:rPr>
        <w:t>Transformer notre monde: Programme</w:t>
      </w:r>
      <w:r w:rsidRPr="007C04B7">
        <w:rPr>
          <w:rFonts w:eastAsia="仿宋"/>
          <w:i/>
          <w:iCs/>
        </w:rPr>
        <w:t xml:space="preserve"> de développement durable à l'horizon 2030</w:t>
      </w:r>
      <w:r w:rsidR="00C91B0C" w:rsidRPr="007C04B7">
        <w:rPr>
          <w:rFonts w:eastAsia="仿宋"/>
        </w:rPr>
        <w:t xml:space="preserve">", </w:t>
      </w:r>
      <w:r w:rsidR="001E42EA" w:rsidRPr="007C04B7">
        <w:rPr>
          <w:rFonts w:eastAsia="仿宋"/>
        </w:rPr>
        <w:t xml:space="preserve">qui </w:t>
      </w:r>
      <w:r w:rsidR="00C91B0C" w:rsidRPr="007C04B7">
        <w:rPr>
          <w:rFonts w:eastAsia="仿宋"/>
        </w:rPr>
        <w:t>définit des objectifs consistant par exemple à "p</w:t>
      </w:r>
      <w:r w:rsidR="00CB2D94" w:rsidRPr="007C04B7">
        <w:rPr>
          <w:rFonts w:eastAsia="仿宋"/>
        </w:rPr>
        <w:t>ermettre à tous de vivre en bonne santé et promouvoir le bien-être de tous, à tout âge</w:t>
      </w:r>
      <w:r w:rsidR="00C91B0C" w:rsidRPr="007C04B7">
        <w:rPr>
          <w:rFonts w:eastAsia="仿宋"/>
        </w:rPr>
        <w:t>", à "b</w:t>
      </w:r>
      <w:r w:rsidR="00CB2D94" w:rsidRPr="007C04B7">
        <w:rPr>
          <w:rFonts w:eastAsia="仿宋"/>
        </w:rPr>
        <w:t xml:space="preserve">âtir une infrastructure résiliente, promouvoir une industrialisation durable qui profite à tous et encourager l'innovation et </w:t>
      </w:r>
      <w:r w:rsidR="00C91B0C" w:rsidRPr="007C04B7">
        <w:rPr>
          <w:rFonts w:eastAsia="仿宋"/>
        </w:rPr>
        <w:t>à "f</w:t>
      </w:r>
      <w:r w:rsidR="00CB2D94" w:rsidRPr="007C04B7">
        <w:rPr>
          <w:rFonts w:eastAsia="仿宋"/>
        </w:rPr>
        <w:t>aire en sorte que les villes et les établissements humains soient ouverts, sûrs, résilients et durables</w:t>
      </w:r>
      <w:r w:rsidR="00C91B0C" w:rsidRPr="007C04B7">
        <w:rPr>
          <w:rFonts w:eastAsia="仿宋"/>
        </w:rPr>
        <w:t>"</w:t>
      </w:r>
      <w:r w:rsidR="00763451" w:rsidRPr="007C04B7">
        <w:rPr>
          <w:rStyle w:val="FootnoteReference"/>
          <w:rFonts w:eastAsia="仿宋"/>
        </w:rPr>
        <w:footnoteReference w:id="5"/>
      </w:r>
      <w:r w:rsidR="000E362E" w:rsidRPr="007C04B7">
        <w:rPr>
          <w:rFonts w:eastAsia="仿宋"/>
        </w:rPr>
        <w:t>.</w:t>
      </w:r>
      <w:r w:rsidR="00763451" w:rsidRPr="007C04B7">
        <w:rPr>
          <w:rFonts w:eastAsia="SimSun"/>
          <w:position w:val="6"/>
          <w:vertAlign w:val="superscript"/>
        </w:rPr>
        <w:t xml:space="preserve"> </w:t>
      </w:r>
      <w:r w:rsidR="00C91B0C" w:rsidRPr="007C04B7">
        <w:rPr>
          <w:rFonts w:eastAsia="仿宋"/>
        </w:rPr>
        <w:t>Le</w:t>
      </w:r>
      <w:r w:rsidR="00755513" w:rsidRPr="007C04B7">
        <w:rPr>
          <w:rFonts w:eastAsia="仿宋"/>
        </w:rPr>
        <w:t xml:space="preserve"> </w:t>
      </w:r>
      <w:r w:rsidR="00C91B0C" w:rsidRPr="007C04B7">
        <w:rPr>
          <w:rFonts w:eastAsia="仿宋"/>
        </w:rPr>
        <w:t>Colloque mondial des régulateurs</w:t>
      </w:r>
      <w:r w:rsidR="00755513" w:rsidRPr="007C04B7">
        <w:rPr>
          <w:rFonts w:eastAsia="仿宋"/>
        </w:rPr>
        <w:t xml:space="preserve"> de l'UIT</w:t>
      </w:r>
      <w:r w:rsidR="00C91B0C" w:rsidRPr="007C04B7">
        <w:rPr>
          <w:rFonts w:eastAsia="仿宋"/>
        </w:rPr>
        <w:t>, dans le cadre de son édition de 2020</w:t>
      </w:r>
      <w:r w:rsidR="00755513" w:rsidRPr="007C04B7">
        <w:rPr>
          <w:rFonts w:eastAsia="仿宋"/>
        </w:rPr>
        <w:t xml:space="preserve"> (GSR-20)</w:t>
      </w:r>
      <w:r w:rsidR="00C91B0C" w:rsidRPr="007C04B7">
        <w:rPr>
          <w:rFonts w:eastAsia="仿宋"/>
        </w:rPr>
        <w:t>,</w:t>
      </w:r>
      <w:r w:rsidR="00755513" w:rsidRPr="007C04B7">
        <w:rPr>
          <w:rFonts w:eastAsia="仿宋"/>
        </w:rPr>
        <w:t xml:space="preserve"> a proposé la</w:t>
      </w:r>
      <w:r w:rsidR="00C91B0C" w:rsidRPr="007C04B7">
        <w:t xml:space="preserve"> </w:t>
      </w:r>
      <w:r w:rsidR="00C91B0C" w:rsidRPr="007C04B7">
        <w:rPr>
          <w:rFonts w:eastAsia="仿宋"/>
        </w:rPr>
        <w:t>mise en place d'un écosystème réglementaire modulable, résilient, collaboratif et adapté au but recherché</w:t>
      </w:r>
      <w:r w:rsidR="001E42EA" w:rsidRPr="007C04B7">
        <w:rPr>
          <w:rFonts w:eastAsia="仿宋"/>
        </w:rPr>
        <w:t>,</w:t>
      </w:r>
      <w:r w:rsidR="00C91B0C" w:rsidRPr="007C04B7">
        <w:rPr>
          <w:rFonts w:eastAsia="仿宋"/>
        </w:rPr>
        <w:t xml:space="preserve"> afin de mieux reconstruire le monde, de promouvoir la transformation numérique pour tous et de relever les défis de la transformation numérique au lendemain des crises mondiales, et bien au-delà</w:t>
      </w:r>
      <w:r w:rsidR="00763451" w:rsidRPr="007C04B7">
        <w:rPr>
          <w:rStyle w:val="FootnoteReference"/>
          <w:rFonts w:eastAsia="仿宋"/>
        </w:rPr>
        <w:footnoteReference w:id="6"/>
      </w:r>
      <w:r w:rsidR="000E362E" w:rsidRPr="007C04B7">
        <w:rPr>
          <w:rFonts w:eastAsia="仿宋"/>
        </w:rPr>
        <w:t xml:space="preserve">. </w:t>
      </w:r>
      <w:r w:rsidR="00AF56AD" w:rsidRPr="007C04B7">
        <w:rPr>
          <w:rFonts w:eastAsia="仿宋"/>
        </w:rPr>
        <w:t xml:space="preserve">Le GSR a donné lieu à la publication des </w:t>
      </w:r>
      <w:r w:rsidR="00C604A5" w:rsidRPr="007C04B7">
        <w:rPr>
          <w:rFonts w:eastAsia="仿宋"/>
          <w:i/>
          <w:iCs/>
        </w:rPr>
        <w:t xml:space="preserve">Lignes directrices relatives aux bonnes </w:t>
      </w:r>
      <w:proofErr w:type="gramStart"/>
      <w:r w:rsidR="00C604A5" w:rsidRPr="007C04B7">
        <w:rPr>
          <w:rFonts w:eastAsia="仿宋"/>
          <w:i/>
          <w:iCs/>
        </w:rPr>
        <w:t>pratiques</w:t>
      </w:r>
      <w:r w:rsidR="00AF56AD" w:rsidRPr="007C04B7">
        <w:rPr>
          <w:rFonts w:eastAsia="仿宋"/>
          <w:i/>
          <w:iCs/>
        </w:rPr>
        <w:t>:</w:t>
      </w:r>
      <w:proofErr w:type="gramEnd"/>
      <w:r w:rsidR="00AF56AD" w:rsidRPr="007C04B7">
        <w:rPr>
          <w:rFonts w:eastAsia="仿宋"/>
          <w:i/>
          <w:iCs/>
        </w:rPr>
        <w:t xml:space="preserve"> </w:t>
      </w:r>
      <w:r w:rsidR="00C604A5" w:rsidRPr="007C04B7">
        <w:rPr>
          <w:rFonts w:eastAsia="仿宋"/>
          <w:i/>
          <w:iCs/>
        </w:rPr>
        <w:t>Modèle de référence en matière de réglementation du numérique</w:t>
      </w:r>
      <w:r w:rsidR="00763451" w:rsidRPr="007C04B7">
        <w:rPr>
          <w:rFonts w:eastAsia="仿宋"/>
        </w:rPr>
        <w:t xml:space="preserve">. </w:t>
      </w:r>
      <w:r w:rsidR="00755513" w:rsidRPr="007C04B7">
        <w:rPr>
          <w:rFonts w:eastAsia="仿宋"/>
        </w:rPr>
        <w:t xml:space="preserve">L'une des réformes proposées consiste à </w:t>
      </w:r>
      <w:r w:rsidR="00AF56AD" w:rsidRPr="007C04B7">
        <w:rPr>
          <w:rFonts w:eastAsia="仿宋"/>
        </w:rPr>
        <w:t>moderniser</w:t>
      </w:r>
      <w:r w:rsidR="00755513" w:rsidRPr="007C04B7">
        <w:rPr>
          <w:rFonts w:eastAsia="仿宋"/>
        </w:rPr>
        <w:t xml:space="preserve"> les plans d'urgence nationaux </w:t>
      </w:r>
      <w:r w:rsidR="00AF56AD" w:rsidRPr="007C04B7">
        <w:rPr>
          <w:rFonts w:eastAsia="仿宋"/>
        </w:rPr>
        <w:t>au moyen de l'élaboration et de la mise en place de plans d'urgence efficaces permettent d'améliorer l'état de préparation et la prise de décisions en cas de crise.</w:t>
      </w:r>
      <w:r w:rsidR="00755513" w:rsidRPr="007C04B7">
        <w:rPr>
          <w:rFonts w:eastAsia="仿宋"/>
        </w:rPr>
        <w:t xml:space="preserve"> Une coopération bilatérale, régionale et internationale s'impose pour </w:t>
      </w:r>
      <w:r w:rsidR="00755513" w:rsidRPr="007C04B7">
        <w:rPr>
          <w:rFonts w:eastAsia="仿宋"/>
        </w:rPr>
        <w:lastRenderedPageBreak/>
        <w:t>assurer la continuité des activités et des services publics et</w:t>
      </w:r>
      <w:r w:rsidR="009045E9" w:rsidRPr="007C04B7">
        <w:rPr>
          <w:rFonts w:eastAsia="仿宋"/>
        </w:rPr>
        <w:t xml:space="preserve"> </w:t>
      </w:r>
      <w:r w:rsidR="00755513" w:rsidRPr="007C04B7">
        <w:rPr>
          <w:rFonts w:eastAsia="仿宋"/>
        </w:rPr>
        <w:t>soutenir les activités de rétablissement au niveau national. Les décideurs devraient faire en sorte que ces plans</w:t>
      </w:r>
      <w:r w:rsidR="001E42EA" w:rsidRPr="007C04B7">
        <w:rPr>
          <w:rFonts w:eastAsia="仿宋"/>
        </w:rPr>
        <w:t xml:space="preserve"> prennent en considération</w:t>
      </w:r>
      <w:r w:rsidR="00755513" w:rsidRPr="007C04B7">
        <w:rPr>
          <w:rFonts w:eastAsia="仿宋"/>
        </w:rPr>
        <w:t xml:space="preserve"> </w:t>
      </w:r>
      <w:r w:rsidR="000E362E" w:rsidRPr="007C04B7">
        <w:rPr>
          <w:rFonts w:eastAsia="仿宋"/>
        </w:rPr>
        <w:t>–</w:t>
      </w:r>
      <w:r w:rsidR="00755513" w:rsidRPr="007C04B7">
        <w:rPr>
          <w:rFonts w:eastAsia="仿宋"/>
        </w:rPr>
        <w:t xml:space="preserve"> si tel n'est pas déjà le cas </w:t>
      </w:r>
      <w:r w:rsidR="000E362E" w:rsidRPr="007C04B7">
        <w:rPr>
          <w:rFonts w:eastAsia="仿宋"/>
        </w:rPr>
        <w:t>–</w:t>
      </w:r>
      <w:r w:rsidR="00755513" w:rsidRPr="007C04B7">
        <w:rPr>
          <w:rFonts w:eastAsia="仿宋"/>
        </w:rPr>
        <w:t xml:space="preserve"> les urgences sanitaires ainsi que les catastrophes matérielle</w:t>
      </w:r>
      <w:r w:rsidR="001E42EA" w:rsidRPr="007C04B7">
        <w:rPr>
          <w:rFonts w:eastAsia="仿宋"/>
        </w:rPr>
        <w:t>s</w:t>
      </w:r>
      <w:r w:rsidR="00763451" w:rsidRPr="007C04B7">
        <w:rPr>
          <w:rStyle w:val="FootnoteReference"/>
          <w:rFonts w:eastAsia="仿宋"/>
        </w:rPr>
        <w:footnoteReference w:id="7"/>
      </w:r>
      <w:r w:rsidR="000E362E" w:rsidRPr="007C04B7">
        <w:rPr>
          <w:rFonts w:eastAsia="仿宋"/>
        </w:rPr>
        <w:t>.</w:t>
      </w:r>
    </w:p>
    <w:p w14:paraId="17525B90" w14:textId="13A9ABE1" w:rsidR="00763451" w:rsidRPr="007C04B7" w:rsidRDefault="00AF56AD" w:rsidP="009045E9">
      <w:pPr>
        <w:spacing w:after="120"/>
        <w:rPr>
          <w:rFonts w:eastAsia="仿宋" w:cstheme="minorHAnsi"/>
          <w:szCs w:val="24"/>
        </w:rPr>
      </w:pPr>
      <w:r w:rsidRPr="007C04B7">
        <w:rPr>
          <w:rFonts w:eastAsia="仿宋" w:cstheme="minorHAnsi"/>
          <w:szCs w:val="24"/>
        </w:rPr>
        <w:t>S'agissant des</w:t>
      </w:r>
      <w:r w:rsidR="001E0114" w:rsidRPr="007C04B7">
        <w:rPr>
          <w:rFonts w:eastAsia="仿宋" w:cstheme="minorHAnsi"/>
          <w:szCs w:val="24"/>
        </w:rPr>
        <w:t xml:space="preserve"> États membres, tous les pays accordent un</w:t>
      </w:r>
      <w:r w:rsidR="001E42EA" w:rsidRPr="007C04B7">
        <w:rPr>
          <w:rFonts w:eastAsia="仿宋" w:cstheme="minorHAnsi"/>
          <w:szCs w:val="24"/>
        </w:rPr>
        <w:t xml:space="preserve"> rang de</w:t>
      </w:r>
      <w:r w:rsidR="009045E9" w:rsidRPr="007C04B7">
        <w:rPr>
          <w:rFonts w:eastAsia="仿宋" w:cstheme="minorHAnsi"/>
          <w:szCs w:val="24"/>
        </w:rPr>
        <w:t xml:space="preserve"> </w:t>
      </w:r>
      <w:r w:rsidR="001E0114" w:rsidRPr="007C04B7">
        <w:rPr>
          <w:rFonts w:eastAsia="仿宋" w:cstheme="minorHAnsi"/>
          <w:szCs w:val="24"/>
        </w:rPr>
        <w:t>priorité</w:t>
      </w:r>
      <w:r w:rsidR="001E42EA" w:rsidRPr="007C04B7">
        <w:rPr>
          <w:rFonts w:eastAsia="仿宋" w:cstheme="minorHAnsi"/>
          <w:szCs w:val="24"/>
        </w:rPr>
        <w:t xml:space="preserve"> élevé</w:t>
      </w:r>
      <w:r w:rsidR="009045E9" w:rsidRPr="007C04B7">
        <w:rPr>
          <w:rFonts w:eastAsia="仿宋" w:cstheme="minorHAnsi"/>
          <w:szCs w:val="24"/>
        </w:rPr>
        <w:t xml:space="preserve"> </w:t>
      </w:r>
      <w:r w:rsidR="001E0114" w:rsidRPr="007C04B7">
        <w:rPr>
          <w:rFonts w:eastAsia="仿宋" w:cstheme="minorHAnsi"/>
          <w:szCs w:val="24"/>
        </w:rPr>
        <w:t xml:space="preserve">au rôle important </w:t>
      </w:r>
      <w:r w:rsidRPr="007C04B7">
        <w:rPr>
          <w:rFonts w:eastAsia="仿宋" w:cstheme="minorHAnsi"/>
          <w:szCs w:val="24"/>
        </w:rPr>
        <w:t xml:space="preserve">que jouent les </w:t>
      </w:r>
      <w:r w:rsidR="001E0114" w:rsidRPr="007C04B7">
        <w:rPr>
          <w:rFonts w:eastAsia="仿宋" w:cstheme="minorHAnsi"/>
          <w:szCs w:val="24"/>
        </w:rPr>
        <w:t xml:space="preserve">TIC dans la prévention et le contrôle des urgences de santé publique. De nombreux pays ont déjà utilisé </w:t>
      </w:r>
      <w:r w:rsidR="001E42EA" w:rsidRPr="007C04B7">
        <w:rPr>
          <w:rFonts w:eastAsia="仿宋" w:cstheme="minorHAnsi"/>
          <w:szCs w:val="24"/>
        </w:rPr>
        <w:t xml:space="preserve">des </w:t>
      </w:r>
      <w:r w:rsidR="0098078F" w:rsidRPr="007C04B7">
        <w:rPr>
          <w:rFonts w:eastAsia="仿宋" w:cstheme="minorHAnsi"/>
          <w:szCs w:val="24"/>
        </w:rPr>
        <w:t>relevés</w:t>
      </w:r>
      <w:r w:rsidR="001E0114" w:rsidRPr="007C04B7">
        <w:rPr>
          <w:rFonts w:eastAsia="仿宋" w:cstheme="minorHAnsi"/>
          <w:szCs w:val="24"/>
        </w:rPr>
        <w:t xml:space="preserve"> de communication </w:t>
      </w:r>
      <w:r w:rsidR="001E42EA" w:rsidRPr="007C04B7">
        <w:rPr>
          <w:rFonts w:eastAsia="仿宋" w:cstheme="minorHAnsi"/>
          <w:szCs w:val="24"/>
        </w:rPr>
        <w:t xml:space="preserve">et des données </w:t>
      </w:r>
      <w:r w:rsidR="001E0114" w:rsidRPr="007C04B7">
        <w:rPr>
          <w:rFonts w:eastAsia="仿宋" w:cstheme="minorHAnsi"/>
          <w:szCs w:val="24"/>
        </w:rPr>
        <w:t xml:space="preserve">pour suivre la dynamique de la pandémie, retracer l'historique de l'exposition au virus, localiser les voies de transmission du virus et </w:t>
      </w:r>
      <w:r w:rsidR="0098078F" w:rsidRPr="007C04B7">
        <w:rPr>
          <w:rFonts w:eastAsia="仿宋" w:cstheme="minorHAnsi"/>
          <w:szCs w:val="24"/>
        </w:rPr>
        <w:t>prévoir</w:t>
      </w:r>
      <w:r w:rsidR="001E0114" w:rsidRPr="007C04B7">
        <w:rPr>
          <w:rFonts w:eastAsia="仿宋" w:cstheme="minorHAnsi"/>
          <w:szCs w:val="24"/>
        </w:rPr>
        <w:t xml:space="preserve"> l'évolution de la pandémie.</w:t>
      </w:r>
      <w:r w:rsidR="001E42EA" w:rsidRPr="007C04B7">
        <w:rPr>
          <w:rFonts w:eastAsia="仿宋" w:cstheme="minorHAnsi"/>
          <w:szCs w:val="24"/>
        </w:rPr>
        <w:t xml:space="preserve"> En 2014</w:t>
      </w:r>
      <w:r w:rsidR="001E0114" w:rsidRPr="007C04B7">
        <w:rPr>
          <w:rFonts w:eastAsia="仿宋" w:cstheme="minorHAnsi"/>
          <w:szCs w:val="24"/>
        </w:rPr>
        <w:t xml:space="preserve"> </w:t>
      </w:r>
      <w:r w:rsidR="0098078F" w:rsidRPr="007C04B7">
        <w:rPr>
          <w:rFonts w:eastAsia="仿宋" w:cstheme="minorHAnsi"/>
          <w:szCs w:val="24"/>
        </w:rPr>
        <w:t xml:space="preserve">lors de </w:t>
      </w:r>
      <w:r w:rsidR="001E0114" w:rsidRPr="007C04B7">
        <w:rPr>
          <w:rFonts w:eastAsia="仿宋" w:cstheme="minorHAnsi"/>
          <w:szCs w:val="24"/>
        </w:rPr>
        <w:t>l'épidémie d</w:t>
      </w:r>
      <w:r w:rsidR="0098078F" w:rsidRPr="007C04B7">
        <w:rPr>
          <w:rFonts w:eastAsia="仿宋" w:cstheme="minorHAnsi"/>
          <w:szCs w:val="24"/>
        </w:rPr>
        <w:t xml:space="preserve">e maladie à virus </w:t>
      </w:r>
      <w:r w:rsidR="001E0114" w:rsidRPr="007C04B7">
        <w:rPr>
          <w:rFonts w:eastAsia="仿宋" w:cstheme="minorHAnsi"/>
          <w:szCs w:val="24"/>
        </w:rPr>
        <w:t xml:space="preserve">Ebola </w:t>
      </w:r>
      <w:r w:rsidR="001E42EA" w:rsidRPr="007C04B7">
        <w:rPr>
          <w:rFonts w:eastAsia="仿宋" w:cstheme="minorHAnsi"/>
          <w:szCs w:val="24"/>
        </w:rPr>
        <w:t xml:space="preserve">qui a sévi </w:t>
      </w:r>
      <w:r w:rsidR="001E0114" w:rsidRPr="007C04B7">
        <w:rPr>
          <w:rFonts w:eastAsia="仿宋" w:cstheme="minorHAnsi"/>
          <w:szCs w:val="24"/>
        </w:rPr>
        <w:t>dans plusieurs pays d'Afrique de l'Ouest</w:t>
      </w:r>
      <w:r w:rsidR="0098078F" w:rsidRPr="007C04B7">
        <w:rPr>
          <w:rFonts w:eastAsia="仿宋" w:cstheme="minorHAnsi"/>
          <w:szCs w:val="24"/>
        </w:rPr>
        <w:t xml:space="preserve">, </w:t>
      </w:r>
      <w:r w:rsidR="001E0114" w:rsidRPr="007C04B7">
        <w:rPr>
          <w:rFonts w:eastAsia="仿宋" w:cstheme="minorHAnsi"/>
          <w:szCs w:val="24"/>
        </w:rPr>
        <w:t>Orange Telecom</w:t>
      </w:r>
      <w:r w:rsidR="001E42EA" w:rsidRPr="007C04B7">
        <w:rPr>
          <w:rFonts w:eastAsia="仿宋" w:cstheme="minorHAnsi"/>
          <w:szCs w:val="24"/>
        </w:rPr>
        <w:t xml:space="preserve"> au Sénégal</w:t>
      </w:r>
      <w:r w:rsidR="001E0114" w:rsidRPr="007C04B7">
        <w:rPr>
          <w:rFonts w:eastAsia="仿宋" w:cstheme="minorHAnsi"/>
          <w:szCs w:val="24"/>
        </w:rPr>
        <w:t xml:space="preserve"> a fourni des messages vocaux et des SMS anonymes extraits de 150 000 téléphones portables à </w:t>
      </w:r>
      <w:proofErr w:type="spellStart"/>
      <w:r w:rsidR="001E0114" w:rsidRPr="007C04B7">
        <w:rPr>
          <w:rFonts w:eastAsia="仿宋" w:cstheme="minorHAnsi"/>
          <w:szCs w:val="24"/>
        </w:rPr>
        <w:t>Flowminder</w:t>
      </w:r>
      <w:proofErr w:type="spellEnd"/>
      <w:r w:rsidR="001E0114" w:rsidRPr="007C04B7">
        <w:rPr>
          <w:rFonts w:eastAsia="仿宋" w:cstheme="minorHAnsi"/>
          <w:szCs w:val="24"/>
        </w:rPr>
        <w:t>,</w:t>
      </w:r>
      <w:r w:rsidR="009045E9" w:rsidRPr="007C04B7">
        <w:rPr>
          <w:rFonts w:eastAsia="仿宋" w:cstheme="minorHAnsi"/>
          <w:szCs w:val="24"/>
        </w:rPr>
        <w:t xml:space="preserve"> </w:t>
      </w:r>
      <w:r w:rsidR="001E0114" w:rsidRPr="007C04B7">
        <w:rPr>
          <w:rFonts w:eastAsia="仿宋" w:cstheme="minorHAnsi"/>
          <w:szCs w:val="24"/>
        </w:rPr>
        <w:t>organisation suédoise à but non lucratif</w:t>
      </w:r>
      <w:r w:rsidR="001E42EA" w:rsidRPr="007C04B7">
        <w:rPr>
          <w:rFonts w:eastAsia="仿宋" w:cstheme="minorHAnsi"/>
          <w:szCs w:val="24"/>
        </w:rPr>
        <w:t xml:space="preserve"> </w:t>
      </w:r>
      <w:r w:rsidR="001E0114" w:rsidRPr="007C04B7">
        <w:rPr>
          <w:rFonts w:eastAsia="仿宋" w:cstheme="minorHAnsi"/>
          <w:szCs w:val="24"/>
        </w:rPr>
        <w:t xml:space="preserve">qui a utilisé ces informations pour cartographier les mouvements de population dans la région, localiser les </w:t>
      </w:r>
      <w:r w:rsidR="0098078F" w:rsidRPr="007C04B7">
        <w:rPr>
          <w:rFonts w:eastAsia="仿宋" w:cstheme="minorHAnsi"/>
          <w:szCs w:val="24"/>
        </w:rPr>
        <w:t>foyers épidémiques locaux</w:t>
      </w:r>
      <w:r w:rsidR="001E0114" w:rsidRPr="007C04B7">
        <w:rPr>
          <w:rFonts w:eastAsia="仿宋" w:cstheme="minorHAnsi"/>
          <w:szCs w:val="24"/>
        </w:rPr>
        <w:t xml:space="preserve">, </w:t>
      </w:r>
      <w:r w:rsidR="0098078F" w:rsidRPr="007C04B7">
        <w:rPr>
          <w:rFonts w:eastAsia="仿宋" w:cstheme="minorHAnsi"/>
          <w:szCs w:val="24"/>
        </w:rPr>
        <w:t>prévoir</w:t>
      </w:r>
      <w:r w:rsidR="001E0114" w:rsidRPr="007C04B7">
        <w:rPr>
          <w:rFonts w:eastAsia="仿宋" w:cstheme="minorHAnsi"/>
          <w:szCs w:val="24"/>
        </w:rPr>
        <w:t xml:space="preserve"> la propagation du virus et fournir des informations de première main pour la distribution rationnelle des fournitures médicales et l'acheminement optimal de</w:t>
      </w:r>
      <w:r w:rsidR="00ED41A7" w:rsidRPr="007C04B7">
        <w:rPr>
          <w:rFonts w:eastAsia="仿宋" w:cstheme="minorHAnsi"/>
          <w:szCs w:val="24"/>
        </w:rPr>
        <w:t xml:space="preserve"> l</w:t>
      </w:r>
      <w:r w:rsidR="009045E9" w:rsidRPr="007C04B7">
        <w:rPr>
          <w:rFonts w:eastAsia="仿宋" w:cstheme="minorHAnsi"/>
          <w:szCs w:val="24"/>
        </w:rPr>
        <w:t>'</w:t>
      </w:r>
      <w:r w:rsidR="00ED41A7" w:rsidRPr="007C04B7">
        <w:rPr>
          <w:rFonts w:eastAsia="仿宋" w:cstheme="minorHAnsi"/>
          <w:szCs w:val="24"/>
        </w:rPr>
        <w:t>assistance</w:t>
      </w:r>
      <w:r w:rsidR="00D37D5D">
        <w:rPr>
          <w:rFonts w:eastAsia="仿宋" w:cstheme="minorHAnsi"/>
          <w:szCs w:val="24"/>
        </w:rPr>
        <w:t>.</w:t>
      </w:r>
      <w:r w:rsidR="00763451" w:rsidRPr="007C04B7">
        <w:rPr>
          <w:rFonts w:eastAsia="仿宋" w:cstheme="minorHAnsi"/>
          <w:szCs w:val="24"/>
        </w:rPr>
        <w:t xml:space="preserve"> </w:t>
      </w:r>
      <w:r w:rsidR="001E0114" w:rsidRPr="007C04B7">
        <w:rPr>
          <w:rFonts w:eastAsia="仿宋" w:cstheme="minorHAnsi"/>
          <w:szCs w:val="24"/>
        </w:rPr>
        <w:t xml:space="preserve">Les Centres de contrôle et de prévention des maladies (CDC) </w:t>
      </w:r>
      <w:r w:rsidR="00C7400E" w:rsidRPr="007C04B7">
        <w:rPr>
          <w:rFonts w:eastAsia="仿宋" w:cstheme="minorHAnsi"/>
          <w:szCs w:val="24"/>
        </w:rPr>
        <w:t xml:space="preserve">des États-Unis </w:t>
      </w:r>
      <w:r w:rsidR="001E0114" w:rsidRPr="007C04B7">
        <w:rPr>
          <w:rFonts w:eastAsia="仿宋" w:cstheme="minorHAnsi"/>
          <w:szCs w:val="24"/>
        </w:rPr>
        <w:t xml:space="preserve">ont obtenu des informations sur la localisation des utilisateurs appelant la ligne d'assistance </w:t>
      </w:r>
      <w:r w:rsidR="00C7400E" w:rsidRPr="007C04B7">
        <w:rPr>
          <w:rFonts w:eastAsia="仿宋" w:cstheme="minorHAnsi"/>
          <w:szCs w:val="24"/>
        </w:rPr>
        <w:t xml:space="preserve">pour le virus </w:t>
      </w:r>
      <w:r w:rsidR="001E0114" w:rsidRPr="007C04B7">
        <w:rPr>
          <w:rFonts w:eastAsia="仿宋" w:cstheme="minorHAnsi"/>
          <w:szCs w:val="24"/>
        </w:rPr>
        <w:t>Ebola</w:t>
      </w:r>
      <w:r w:rsidR="00C7400E" w:rsidRPr="007C04B7">
        <w:rPr>
          <w:rFonts w:eastAsia="仿宋" w:cstheme="minorHAnsi"/>
          <w:szCs w:val="24"/>
        </w:rPr>
        <w:t xml:space="preserve"> auprès</w:t>
      </w:r>
      <w:r w:rsidR="00C7400E" w:rsidRPr="007C04B7">
        <w:t xml:space="preserve"> </w:t>
      </w:r>
      <w:r w:rsidR="00C7400E" w:rsidRPr="007C04B7">
        <w:rPr>
          <w:rFonts w:eastAsia="仿宋" w:cstheme="minorHAnsi"/>
          <w:szCs w:val="24"/>
        </w:rPr>
        <w:t>des opérateurs de téléphonie mobile</w:t>
      </w:r>
      <w:r w:rsidR="001E0114" w:rsidRPr="007C04B7">
        <w:rPr>
          <w:rFonts w:eastAsia="仿宋" w:cstheme="minorHAnsi"/>
          <w:szCs w:val="24"/>
        </w:rPr>
        <w:t xml:space="preserve"> et ont </w:t>
      </w:r>
      <w:r w:rsidR="00BF0C44" w:rsidRPr="007C04B7">
        <w:rPr>
          <w:rFonts w:eastAsia="仿宋" w:cstheme="minorHAnsi"/>
          <w:szCs w:val="24"/>
        </w:rPr>
        <w:t xml:space="preserve">mandaté la </w:t>
      </w:r>
      <w:r w:rsidR="001E0114" w:rsidRPr="007C04B7">
        <w:rPr>
          <w:rFonts w:eastAsia="仿宋" w:cstheme="minorHAnsi"/>
          <w:szCs w:val="24"/>
        </w:rPr>
        <w:t>société de logiciels de cartographie</w:t>
      </w:r>
      <w:r w:rsidR="00BF0C44" w:rsidRPr="007C04B7">
        <w:rPr>
          <w:rFonts w:eastAsia="仿宋" w:cstheme="minorHAnsi"/>
          <w:szCs w:val="24"/>
        </w:rPr>
        <w:t xml:space="preserve"> ESRI pour </w:t>
      </w:r>
      <w:r w:rsidR="001E0114" w:rsidRPr="007C04B7">
        <w:rPr>
          <w:rFonts w:eastAsia="仿宋" w:cstheme="minorHAnsi"/>
          <w:szCs w:val="24"/>
        </w:rPr>
        <w:t xml:space="preserve">utiliser ces informations de localisation et les données d'enquête sur la population </w:t>
      </w:r>
      <w:r w:rsidR="00BF0C44" w:rsidRPr="007C04B7">
        <w:rPr>
          <w:rFonts w:eastAsia="仿宋" w:cstheme="minorHAnsi"/>
          <w:szCs w:val="24"/>
        </w:rPr>
        <w:t>afin de</w:t>
      </w:r>
      <w:r w:rsidR="001E0114" w:rsidRPr="007C04B7">
        <w:rPr>
          <w:rFonts w:eastAsia="仿宋" w:cstheme="minorHAnsi"/>
          <w:szCs w:val="24"/>
        </w:rPr>
        <w:t xml:space="preserve"> créer une carte </w:t>
      </w:r>
      <w:r w:rsidR="00BF0C44" w:rsidRPr="007C04B7">
        <w:rPr>
          <w:rFonts w:eastAsia="仿宋" w:cstheme="minorHAnsi"/>
          <w:szCs w:val="24"/>
        </w:rPr>
        <w:t>de visualisation. Cette carte</w:t>
      </w:r>
      <w:r w:rsidR="009045E9" w:rsidRPr="007C04B7">
        <w:rPr>
          <w:rFonts w:eastAsia="仿宋" w:cstheme="minorHAnsi"/>
          <w:szCs w:val="24"/>
        </w:rPr>
        <w:t xml:space="preserve"> </w:t>
      </w:r>
      <w:r w:rsidR="00791A54" w:rsidRPr="007C04B7">
        <w:rPr>
          <w:rFonts w:eastAsia="仿宋" w:cstheme="minorHAnsi"/>
          <w:szCs w:val="24"/>
        </w:rPr>
        <w:t xml:space="preserve">indique </w:t>
      </w:r>
      <w:r w:rsidR="001E0114" w:rsidRPr="007C04B7">
        <w:rPr>
          <w:rFonts w:eastAsia="仿宋" w:cstheme="minorHAnsi"/>
          <w:szCs w:val="24"/>
        </w:rPr>
        <w:t xml:space="preserve">clairement la localisation et le chemin de migration des personnes </w:t>
      </w:r>
      <w:r w:rsidR="00BF0C44" w:rsidRPr="007C04B7">
        <w:rPr>
          <w:rFonts w:eastAsia="仿宋" w:cstheme="minorHAnsi"/>
          <w:szCs w:val="24"/>
        </w:rPr>
        <w:t xml:space="preserve">contaminées et permet aux pouvoirs publics de </w:t>
      </w:r>
      <w:r w:rsidR="001E0114" w:rsidRPr="007C04B7">
        <w:rPr>
          <w:rFonts w:eastAsia="仿宋" w:cstheme="minorHAnsi"/>
          <w:szCs w:val="24"/>
        </w:rPr>
        <w:t xml:space="preserve">mobiliser davantage de ressources médicales pour aider les </w:t>
      </w:r>
      <w:r w:rsidR="00BF0C44" w:rsidRPr="007C04B7">
        <w:rPr>
          <w:rFonts w:eastAsia="仿宋" w:cstheme="minorHAnsi"/>
          <w:szCs w:val="24"/>
        </w:rPr>
        <w:t>habitants</w:t>
      </w:r>
      <w:r w:rsidR="001E0114" w:rsidRPr="007C04B7">
        <w:rPr>
          <w:rFonts w:eastAsia="仿宋" w:cstheme="minorHAnsi"/>
          <w:szCs w:val="24"/>
        </w:rPr>
        <w:t xml:space="preserve"> de la région</w:t>
      </w:r>
      <w:r w:rsidR="00763451" w:rsidRPr="007C04B7">
        <w:rPr>
          <w:rStyle w:val="FootnoteReference"/>
          <w:rFonts w:eastAsia="仿宋"/>
        </w:rPr>
        <w:footnoteReference w:id="8"/>
      </w:r>
      <w:r w:rsidR="00CA0289" w:rsidRPr="007C04B7">
        <w:rPr>
          <w:rFonts w:eastAsia="仿宋" w:cstheme="minorHAnsi"/>
          <w:szCs w:val="24"/>
        </w:rPr>
        <w:t>.</w:t>
      </w:r>
      <w:r w:rsidR="00763451" w:rsidRPr="007C04B7">
        <w:rPr>
          <w:rFonts w:eastAsia="仿宋" w:cstheme="minorHAnsi"/>
          <w:szCs w:val="24"/>
        </w:rPr>
        <w:t xml:space="preserve"> </w:t>
      </w:r>
      <w:r w:rsidR="001E0114" w:rsidRPr="007C04B7">
        <w:rPr>
          <w:rFonts w:eastAsia="仿宋" w:cstheme="minorHAnsi"/>
          <w:szCs w:val="24"/>
        </w:rPr>
        <w:t xml:space="preserve">En 2020, le </w:t>
      </w:r>
      <w:r w:rsidR="00791A54" w:rsidRPr="007C04B7">
        <w:rPr>
          <w:rFonts w:eastAsia="仿宋" w:cstheme="minorHAnsi"/>
          <w:szCs w:val="24"/>
        </w:rPr>
        <w:t xml:space="preserve">Gouvernement </w:t>
      </w:r>
      <w:r w:rsidR="00BF0C44" w:rsidRPr="007C04B7">
        <w:rPr>
          <w:rFonts w:eastAsia="仿宋" w:cstheme="minorHAnsi"/>
          <w:szCs w:val="24"/>
        </w:rPr>
        <w:t>de l'Inde</w:t>
      </w:r>
      <w:r w:rsidR="001E0114" w:rsidRPr="007C04B7">
        <w:rPr>
          <w:rFonts w:eastAsia="仿宋" w:cstheme="minorHAnsi"/>
          <w:szCs w:val="24"/>
        </w:rPr>
        <w:t xml:space="preserve"> a </w:t>
      </w:r>
      <w:r w:rsidR="00BF0C44" w:rsidRPr="007C04B7">
        <w:rPr>
          <w:rFonts w:eastAsia="仿宋" w:cstheme="minorHAnsi"/>
          <w:szCs w:val="24"/>
        </w:rPr>
        <w:t>conçu</w:t>
      </w:r>
      <w:r w:rsidR="001E0114" w:rsidRPr="007C04B7">
        <w:rPr>
          <w:rFonts w:eastAsia="仿宋" w:cstheme="minorHAnsi"/>
          <w:szCs w:val="24"/>
        </w:rPr>
        <w:t xml:space="preserve"> une application mobile </w:t>
      </w:r>
      <w:r w:rsidR="00BF0C44" w:rsidRPr="007C04B7">
        <w:rPr>
          <w:rFonts w:eastAsia="仿宋" w:cstheme="minorHAnsi"/>
          <w:szCs w:val="24"/>
        </w:rPr>
        <w:t>baptisée</w:t>
      </w:r>
      <w:r w:rsidR="001E0114" w:rsidRPr="007C04B7">
        <w:rPr>
          <w:rFonts w:eastAsia="仿宋" w:cstheme="minorHAnsi"/>
          <w:szCs w:val="24"/>
        </w:rPr>
        <w:t xml:space="preserve"> "</w:t>
      </w:r>
      <w:proofErr w:type="spellStart"/>
      <w:r w:rsidR="001E0114" w:rsidRPr="007C04B7">
        <w:rPr>
          <w:rFonts w:eastAsia="仿宋" w:cstheme="minorHAnsi"/>
          <w:szCs w:val="24"/>
        </w:rPr>
        <w:t>Aarogya</w:t>
      </w:r>
      <w:proofErr w:type="spellEnd"/>
      <w:r w:rsidR="001E0114" w:rsidRPr="007C04B7">
        <w:rPr>
          <w:rFonts w:eastAsia="仿宋" w:cstheme="minorHAnsi"/>
          <w:szCs w:val="24"/>
        </w:rPr>
        <w:t xml:space="preserve"> </w:t>
      </w:r>
      <w:proofErr w:type="spellStart"/>
      <w:r w:rsidR="001E0114" w:rsidRPr="007C04B7">
        <w:rPr>
          <w:rFonts w:eastAsia="仿宋" w:cstheme="minorHAnsi"/>
          <w:szCs w:val="24"/>
        </w:rPr>
        <w:t>Setu</w:t>
      </w:r>
      <w:proofErr w:type="spellEnd"/>
      <w:r w:rsidR="001E0114" w:rsidRPr="007C04B7">
        <w:rPr>
          <w:rFonts w:eastAsia="仿宋" w:cstheme="minorHAnsi"/>
          <w:szCs w:val="24"/>
        </w:rPr>
        <w:t>", qui utilise l</w:t>
      </w:r>
      <w:r w:rsidR="00BF0C44" w:rsidRPr="007C04B7">
        <w:rPr>
          <w:rFonts w:eastAsia="仿宋" w:cstheme="minorHAnsi"/>
          <w:szCs w:val="24"/>
        </w:rPr>
        <w:t>a technologie</w:t>
      </w:r>
      <w:r w:rsidR="001E0114" w:rsidRPr="007C04B7">
        <w:rPr>
          <w:rFonts w:eastAsia="仿宋" w:cstheme="minorHAnsi"/>
          <w:szCs w:val="24"/>
        </w:rPr>
        <w:t xml:space="preserve"> Bluetooth pour </w:t>
      </w:r>
      <w:r w:rsidR="00BF0C44" w:rsidRPr="007C04B7">
        <w:rPr>
          <w:rFonts w:eastAsia="仿宋" w:cstheme="minorHAnsi"/>
          <w:szCs w:val="24"/>
        </w:rPr>
        <w:t>tracer</w:t>
      </w:r>
      <w:r w:rsidR="001E0114" w:rsidRPr="007C04B7">
        <w:rPr>
          <w:rFonts w:eastAsia="仿宋" w:cstheme="minorHAnsi"/>
          <w:szCs w:val="24"/>
        </w:rPr>
        <w:t xml:space="preserve"> automatiquement les contacts et </w:t>
      </w:r>
      <w:r w:rsidR="00BF0C44" w:rsidRPr="007C04B7">
        <w:rPr>
          <w:rFonts w:eastAsia="仿宋" w:cstheme="minorHAnsi"/>
          <w:szCs w:val="24"/>
        </w:rPr>
        <w:t>établir</w:t>
      </w:r>
      <w:r w:rsidR="001E0114" w:rsidRPr="007C04B7">
        <w:rPr>
          <w:rFonts w:eastAsia="仿宋" w:cstheme="minorHAnsi"/>
          <w:szCs w:val="24"/>
        </w:rPr>
        <w:t xml:space="preserve"> des statistiques</w:t>
      </w:r>
      <w:r w:rsidR="00BF0C44" w:rsidRPr="007C04B7">
        <w:rPr>
          <w:rFonts w:eastAsia="仿宋" w:cstheme="minorHAnsi"/>
          <w:szCs w:val="24"/>
        </w:rPr>
        <w:t xml:space="preserve"> sur le</w:t>
      </w:r>
      <w:r w:rsidR="001E0114" w:rsidRPr="007C04B7">
        <w:rPr>
          <w:rFonts w:eastAsia="仿宋" w:cstheme="minorHAnsi"/>
          <w:szCs w:val="24"/>
        </w:rPr>
        <w:t xml:space="preserve"> COVID-19 </w:t>
      </w:r>
      <w:r w:rsidR="00BF0C44" w:rsidRPr="007C04B7">
        <w:rPr>
          <w:rFonts w:eastAsia="仿宋" w:cstheme="minorHAnsi"/>
          <w:szCs w:val="24"/>
        </w:rPr>
        <w:t>fondées</w:t>
      </w:r>
      <w:r w:rsidR="001E0114" w:rsidRPr="007C04B7">
        <w:rPr>
          <w:rFonts w:eastAsia="仿宋" w:cstheme="minorHAnsi"/>
          <w:szCs w:val="24"/>
        </w:rPr>
        <w:t xml:space="preserve"> sur la localisation</w:t>
      </w:r>
      <w:r w:rsidR="00763451" w:rsidRPr="007C04B7">
        <w:rPr>
          <w:rStyle w:val="FootnoteReference"/>
          <w:rFonts w:eastAsia="仿宋"/>
        </w:rPr>
        <w:footnoteReference w:id="9"/>
      </w:r>
      <w:r w:rsidR="00CA0289" w:rsidRPr="007C04B7">
        <w:rPr>
          <w:rFonts w:eastAsia="仿宋" w:cstheme="minorHAnsi"/>
          <w:szCs w:val="24"/>
        </w:rPr>
        <w:t>.</w:t>
      </w:r>
      <w:r w:rsidR="00763451" w:rsidRPr="007C04B7">
        <w:rPr>
          <w:rFonts w:eastAsia="仿宋" w:cstheme="minorHAnsi"/>
          <w:szCs w:val="24"/>
        </w:rPr>
        <w:t xml:space="preserve"> </w:t>
      </w:r>
      <w:r w:rsidR="008666BD" w:rsidRPr="007C04B7">
        <w:rPr>
          <w:rFonts w:eastAsia="仿宋" w:cstheme="minorHAnsi"/>
          <w:szCs w:val="24"/>
        </w:rPr>
        <w:t>Pendant la pandémie, l</w:t>
      </w:r>
      <w:r w:rsidR="001E0114" w:rsidRPr="007C04B7">
        <w:rPr>
          <w:rFonts w:eastAsia="仿宋" w:cstheme="minorHAnsi"/>
          <w:szCs w:val="24"/>
        </w:rPr>
        <w:t xml:space="preserve">a Chine a </w:t>
      </w:r>
      <w:r w:rsidR="008666BD" w:rsidRPr="007C04B7">
        <w:rPr>
          <w:rFonts w:eastAsia="仿宋" w:cstheme="minorHAnsi"/>
          <w:szCs w:val="24"/>
        </w:rPr>
        <w:t xml:space="preserve">inauguré un outil </w:t>
      </w:r>
      <w:r w:rsidR="00FD0C3F" w:rsidRPr="007C04B7">
        <w:rPr>
          <w:rFonts w:eastAsia="仿宋" w:cstheme="minorHAnsi"/>
          <w:szCs w:val="24"/>
        </w:rPr>
        <w:t>baptisé</w:t>
      </w:r>
      <w:r w:rsidR="008666BD" w:rsidRPr="007C04B7">
        <w:rPr>
          <w:rFonts w:eastAsia="仿宋" w:cstheme="minorHAnsi"/>
          <w:szCs w:val="24"/>
        </w:rPr>
        <w:t xml:space="preserve"> "</w:t>
      </w:r>
      <w:r w:rsidR="00791A54" w:rsidRPr="007C04B7">
        <w:t>Carnet de circulation</w:t>
      </w:r>
      <w:r w:rsidR="00791A54" w:rsidRPr="007C04B7" w:rsidDel="00791A54">
        <w:rPr>
          <w:rFonts w:eastAsia="仿宋" w:cstheme="minorHAnsi"/>
          <w:szCs w:val="24"/>
        </w:rPr>
        <w:t xml:space="preserve"> </w:t>
      </w:r>
      <w:r w:rsidR="008666BD" w:rsidRPr="007C04B7">
        <w:rPr>
          <w:rFonts w:eastAsia="仿宋" w:cstheme="minorHAnsi"/>
          <w:szCs w:val="24"/>
        </w:rPr>
        <w:t>des</w:t>
      </w:r>
      <w:r w:rsidR="001E0114" w:rsidRPr="007C04B7">
        <w:rPr>
          <w:rFonts w:eastAsia="仿宋" w:cstheme="minorHAnsi"/>
          <w:szCs w:val="24"/>
        </w:rPr>
        <w:t xml:space="preserve"> </w:t>
      </w:r>
      <w:r w:rsidR="008666BD" w:rsidRPr="007C04B7">
        <w:rPr>
          <w:rFonts w:eastAsia="仿宋" w:cstheme="minorHAnsi"/>
          <w:szCs w:val="24"/>
        </w:rPr>
        <w:t>mégadonnées sur la communication</w:t>
      </w:r>
      <w:r w:rsidR="001E0114" w:rsidRPr="007C04B7">
        <w:rPr>
          <w:rFonts w:eastAsia="仿宋" w:cstheme="minorHAnsi"/>
          <w:szCs w:val="24"/>
        </w:rPr>
        <w:t>"</w:t>
      </w:r>
      <w:r w:rsidR="008666BD" w:rsidRPr="007C04B7">
        <w:rPr>
          <w:rFonts w:eastAsia="仿宋" w:cstheme="minorHAnsi"/>
          <w:szCs w:val="24"/>
        </w:rPr>
        <w:t xml:space="preserve">, </w:t>
      </w:r>
      <w:r w:rsidR="001E0114" w:rsidRPr="007C04B7">
        <w:rPr>
          <w:rFonts w:eastAsia="仿宋" w:cstheme="minorHAnsi"/>
          <w:szCs w:val="24"/>
        </w:rPr>
        <w:t xml:space="preserve">qui permet aux </w:t>
      </w:r>
      <w:r w:rsidR="00380F72" w:rsidRPr="007C04B7">
        <w:rPr>
          <w:rFonts w:eastAsia="仿宋" w:cstheme="minorHAnsi"/>
          <w:szCs w:val="24"/>
        </w:rPr>
        <w:t xml:space="preserve">personnes </w:t>
      </w:r>
      <w:r w:rsidR="001E0114" w:rsidRPr="007C04B7">
        <w:rPr>
          <w:rFonts w:eastAsia="仿宋" w:cstheme="minorHAnsi"/>
          <w:szCs w:val="24"/>
        </w:rPr>
        <w:t>de vérifier le</w:t>
      </w:r>
      <w:r w:rsidR="00380F72" w:rsidRPr="007C04B7">
        <w:rPr>
          <w:rFonts w:eastAsia="仿宋" w:cstheme="minorHAnsi"/>
          <w:szCs w:val="24"/>
        </w:rPr>
        <w:t>s</w:t>
      </w:r>
      <w:r w:rsidR="009045E9" w:rsidRPr="007C04B7">
        <w:rPr>
          <w:rFonts w:eastAsia="仿宋" w:cstheme="minorHAnsi"/>
          <w:szCs w:val="24"/>
        </w:rPr>
        <w:t xml:space="preserve"> </w:t>
      </w:r>
      <w:r w:rsidR="001E0114" w:rsidRPr="007C04B7">
        <w:rPr>
          <w:rFonts w:eastAsia="仿宋" w:cstheme="minorHAnsi"/>
          <w:szCs w:val="24"/>
        </w:rPr>
        <w:t xml:space="preserve">itinéraires nationaux et internationaux </w:t>
      </w:r>
      <w:r w:rsidR="00380F72" w:rsidRPr="007C04B7">
        <w:rPr>
          <w:rFonts w:eastAsia="仿宋" w:cstheme="minorHAnsi"/>
          <w:szCs w:val="24"/>
        </w:rPr>
        <w:t>qu</w:t>
      </w:r>
      <w:r w:rsidR="009045E9" w:rsidRPr="007C04B7">
        <w:rPr>
          <w:rFonts w:eastAsia="仿宋" w:cstheme="minorHAnsi"/>
          <w:szCs w:val="24"/>
        </w:rPr>
        <w:t>'</w:t>
      </w:r>
      <w:r w:rsidR="00380F72" w:rsidRPr="007C04B7">
        <w:rPr>
          <w:rFonts w:eastAsia="仿宋" w:cstheme="minorHAnsi"/>
          <w:szCs w:val="24"/>
        </w:rPr>
        <w:t xml:space="preserve">ils ont </w:t>
      </w:r>
      <w:r w:rsidR="008666BD" w:rsidRPr="007C04B7">
        <w:rPr>
          <w:rFonts w:eastAsia="仿宋" w:cstheme="minorHAnsi"/>
          <w:szCs w:val="24"/>
        </w:rPr>
        <w:t>effectués au cours de</w:t>
      </w:r>
      <w:r w:rsidR="001E0114" w:rsidRPr="007C04B7">
        <w:rPr>
          <w:rFonts w:eastAsia="仿宋" w:cstheme="minorHAnsi"/>
          <w:szCs w:val="24"/>
        </w:rPr>
        <w:t xml:space="preserve"> 14 derniers jours, et </w:t>
      </w:r>
      <w:r w:rsidR="008666BD" w:rsidRPr="007C04B7">
        <w:rPr>
          <w:rFonts w:eastAsia="仿宋" w:cstheme="minorHAnsi"/>
          <w:szCs w:val="24"/>
        </w:rPr>
        <w:t xml:space="preserve">s'appuie sur les mégadonnées relatives à la communication </w:t>
      </w:r>
      <w:r w:rsidR="001E0114" w:rsidRPr="007C04B7">
        <w:rPr>
          <w:rFonts w:eastAsia="仿宋" w:cstheme="minorHAnsi"/>
          <w:szCs w:val="24"/>
        </w:rPr>
        <w:t xml:space="preserve">pour créer une nouvelle génération de modèles </w:t>
      </w:r>
      <w:r w:rsidR="008666BD" w:rsidRPr="007C04B7">
        <w:rPr>
          <w:rFonts w:eastAsia="仿宋" w:cstheme="minorHAnsi"/>
          <w:szCs w:val="24"/>
        </w:rPr>
        <w:t>de suivi</w:t>
      </w:r>
      <w:r w:rsidR="001E0114" w:rsidRPr="007C04B7">
        <w:rPr>
          <w:rFonts w:eastAsia="仿宋" w:cstheme="minorHAnsi"/>
          <w:szCs w:val="24"/>
        </w:rPr>
        <w:t xml:space="preserve">, </w:t>
      </w:r>
      <w:r w:rsidR="008666BD" w:rsidRPr="007C04B7">
        <w:rPr>
          <w:rFonts w:eastAsia="仿宋" w:cstheme="minorHAnsi"/>
          <w:szCs w:val="24"/>
        </w:rPr>
        <w:t>de</w:t>
      </w:r>
      <w:r w:rsidR="001E0114" w:rsidRPr="007C04B7">
        <w:rPr>
          <w:rFonts w:eastAsia="仿宋" w:cstheme="minorHAnsi"/>
          <w:szCs w:val="24"/>
        </w:rPr>
        <w:t xml:space="preserve"> prévention et </w:t>
      </w:r>
      <w:r w:rsidR="008666BD" w:rsidRPr="007C04B7">
        <w:rPr>
          <w:rFonts w:eastAsia="仿宋" w:cstheme="minorHAnsi"/>
          <w:szCs w:val="24"/>
        </w:rPr>
        <w:t>de</w:t>
      </w:r>
      <w:r w:rsidR="001E0114" w:rsidRPr="007C04B7">
        <w:rPr>
          <w:rFonts w:eastAsia="仿宋" w:cstheme="minorHAnsi"/>
          <w:szCs w:val="24"/>
        </w:rPr>
        <w:t xml:space="preserve"> contrôle des maladies transmissibles</w:t>
      </w:r>
      <w:r w:rsidR="00763451" w:rsidRPr="007C04B7">
        <w:rPr>
          <w:rStyle w:val="FootnoteReference"/>
          <w:rFonts w:eastAsia="仿宋"/>
        </w:rPr>
        <w:footnoteReference w:id="10"/>
      </w:r>
      <w:r w:rsidR="00CA0289" w:rsidRPr="007C04B7">
        <w:rPr>
          <w:rFonts w:eastAsia="仿宋" w:cstheme="minorHAnsi"/>
          <w:szCs w:val="24"/>
        </w:rPr>
        <w:t>.</w:t>
      </w:r>
    </w:p>
    <w:p w14:paraId="4D8F616D" w14:textId="10706D8D" w:rsidR="00763451" w:rsidRPr="007C04B7" w:rsidRDefault="001E0114" w:rsidP="009045E9">
      <w:pPr>
        <w:pStyle w:val="Headingb"/>
        <w:rPr>
          <w:rFonts w:eastAsia="仿宋"/>
        </w:rPr>
      </w:pPr>
      <w:r w:rsidRPr="007C04B7">
        <w:rPr>
          <w:rFonts w:eastAsia="仿宋"/>
        </w:rPr>
        <w:t>Analyse</w:t>
      </w:r>
    </w:p>
    <w:p w14:paraId="0B27999E" w14:textId="7461A89F" w:rsidR="00CA0289" w:rsidRPr="007C04B7" w:rsidRDefault="00D37D5D" w:rsidP="009045E9">
      <w:pPr>
        <w:spacing w:after="120"/>
        <w:rPr>
          <w:rFonts w:eastAsia="仿宋" w:cstheme="minorHAnsi"/>
          <w:szCs w:val="24"/>
        </w:rPr>
      </w:pPr>
      <w:r>
        <w:rPr>
          <w:rFonts w:eastAsia="仿宋" w:cstheme="minorHAnsi"/>
          <w:szCs w:val="24"/>
        </w:rPr>
        <w:t>Le P</w:t>
      </w:r>
      <w:r w:rsidR="001E0114" w:rsidRPr="007C04B7">
        <w:rPr>
          <w:rFonts w:eastAsia="仿宋" w:cstheme="minorHAnsi"/>
          <w:szCs w:val="24"/>
        </w:rPr>
        <w:t>lan stratégique de l'UIT</w:t>
      </w:r>
      <w:r w:rsidR="009045E9" w:rsidRPr="007C04B7">
        <w:rPr>
          <w:rFonts w:eastAsia="仿宋" w:cstheme="minorHAnsi"/>
          <w:szCs w:val="24"/>
        </w:rPr>
        <w:t>,</w:t>
      </w:r>
      <w:r w:rsidR="001E0114" w:rsidRPr="007C04B7">
        <w:rPr>
          <w:rFonts w:eastAsia="仿宋" w:cstheme="minorHAnsi"/>
          <w:szCs w:val="24"/>
        </w:rPr>
        <w:t xml:space="preserve"> document stratégique élaboré conformément à la Constitution et à la Convention de l'Union</w:t>
      </w:r>
      <w:r w:rsidR="00380F72" w:rsidRPr="007C04B7">
        <w:rPr>
          <w:rFonts w:eastAsia="仿宋" w:cstheme="minorHAnsi"/>
          <w:szCs w:val="24"/>
        </w:rPr>
        <w:t>,</w:t>
      </w:r>
      <w:r w:rsidR="009045E9" w:rsidRPr="007C04B7">
        <w:rPr>
          <w:rFonts w:eastAsia="仿宋" w:cstheme="minorHAnsi"/>
          <w:szCs w:val="24"/>
        </w:rPr>
        <w:t xml:space="preserve"> </w:t>
      </w:r>
      <w:r w:rsidR="001E0114" w:rsidRPr="007C04B7">
        <w:rPr>
          <w:rFonts w:eastAsia="仿宋" w:cstheme="minorHAnsi"/>
          <w:szCs w:val="24"/>
        </w:rPr>
        <w:t xml:space="preserve">constitue un document important qui orientera les activités de l'Union pour une période de quatre ans. Les </w:t>
      </w:r>
      <w:r w:rsidR="009A143D" w:rsidRPr="007C04B7">
        <w:rPr>
          <w:rFonts w:eastAsia="仿宋" w:cstheme="minorHAnsi"/>
          <w:szCs w:val="24"/>
        </w:rPr>
        <w:t>buts énoncés</w:t>
      </w:r>
      <w:r w:rsidR="001E0114" w:rsidRPr="007C04B7">
        <w:rPr>
          <w:rFonts w:eastAsia="仿宋" w:cstheme="minorHAnsi"/>
          <w:szCs w:val="24"/>
        </w:rPr>
        <w:t xml:space="preserve"> dans la Résolution 71 (Rév. Dubaï, 2018) </w:t>
      </w:r>
      <w:r w:rsidR="009A143D" w:rsidRPr="007C04B7">
        <w:rPr>
          <w:rFonts w:eastAsia="仿宋" w:cstheme="minorHAnsi"/>
          <w:szCs w:val="24"/>
        </w:rPr>
        <w:t xml:space="preserve">relative </w:t>
      </w:r>
      <w:proofErr w:type="gramStart"/>
      <w:r w:rsidR="009A143D" w:rsidRPr="007C04B7">
        <w:rPr>
          <w:rFonts w:eastAsia="仿宋" w:cstheme="minorHAnsi"/>
          <w:szCs w:val="24"/>
        </w:rPr>
        <w:t>au</w:t>
      </w:r>
      <w:proofErr w:type="gramEnd"/>
      <w:r w:rsidR="009D17A6">
        <w:rPr>
          <w:rFonts w:eastAsia="仿宋" w:cstheme="minorHAnsi"/>
          <w:szCs w:val="24"/>
        </w:rPr>
        <w:t xml:space="preserve"> P</w:t>
      </w:r>
      <w:r w:rsidR="001E0114" w:rsidRPr="007C04B7">
        <w:rPr>
          <w:rFonts w:eastAsia="仿宋" w:cstheme="minorHAnsi"/>
          <w:szCs w:val="24"/>
        </w:rPr>
        <w:t xml:space="preserve">lan stratégique de l'UIT pour </w:t>
      </w:r>
      <w:r w:rsidR="009A143D" w:rsidRPr="007C04B7">
        <w:rPr>
          <w:rFonts w:eastAsia="仿宋" w:cstheme="minorHAnsi"/>
          <w:szCs w:val="24"/>
        </w:rPr>
        <w:t xml:space="preserve">la période </w:t>
      </w:r>
      <w:r w:rsidR="001E0114" w:rsidRPr="007C04B7">
        <w:rPr>
          <w:rFonts w:eastAsia="仿宋" w:cstheme="minorHAnsi"/>
          <w:szCs w:val="24"/>
        </w:rPr>
        <w:t xml:space="preserve">2020-2023 ne </w:t>
      </w:r>
      <w:r w:rsidR="009A143D" w:rsidRPr="007C04B7">
        <w:rPr>
          <w:rFonts w:eastAsia="仿宋" w:cstheme="minorHAnsi"/>
          <w:szCs w:val="24"/>
        </w:rPr>
        <w:t xml:space="preserve">reflètent pas encore clairement </w:t>
      </w:r>
      <w:r w:rsidR="00CA0289" w:rsidRPr="007C04B7">
        <w:rPr>
          <w:rFonts w:eastAsia="仿宋" w:cstheme="minorHAnsi"/>
          <w:szCs w:val="24"/>
        </w:rPr>
        <w:br w:type="page"/>
      </w:r>
    </w:p>
    <w:p w14:paraId="109982B2" w14:textId="48F21BF6" w:rsidR="00763451" w:rsidRPr="007C04B7" w:rsidRDefault="00380F72" w:rsidP="009045E9">
      <w:pPr>
        <w:spacing w:after="120"/>
        <w:rPr>
          <w:rFonts w:eastAsia="仿宋" w:cstheme="minorHAnsi"/>
          <w:szCs w:val="24"/>
        </w:rPr>
      </w:pPr>
      <w:proofErr w:type="gramStart"/>
      <w:r w:rsidRPr="007C04B7">
        <w:rPr>
          <w:rFonts w:eastAsia="仿宋" w:cstheme="minorHAnsi"/>
          <w:szCs w:val="24"/>
        </w:rPr>
        <w:lastRenderedPageBreak/>
        <w:t>l</w:t>
      </w:r>
      <w:r w:rsidR="009045E9" w:rsidRPr="007C04B7">
        <w:rPr>
          <w:rFonts w:eastAsia="仿宋" w:cstheme="minorHAnsi"/>
          <w:szCs w:val="24"/>
        </w:rPr>
        <w:t>'</w:t>
      </w:r>
      <w:r w:rsidRPr="007C04B7">
        <w:rPr>
          <w:rFonts w:eastAsia="仿宋" w:cstheme="minorHAnsi"/>
          <w:szCs w:val="24"/>
        </w:rPr>
        <w:t>évolution</w:t>
      </w:r>
      <w:proofErr w:type="gramEnd"/>
      <w:r w:rsidRPr="007C04B7">
        <w:rPr>
          <w:rFonts w:eastAsia="仿宋" w:cstheme="minorHAnsi"/>
          <w:szCs w:val="24"/>
        </w:rPr>
        <w:t xml:space="preserve"> récente</w:t>
      </w:r>
      <w:r w:rsidR="009A143D" w:rsidRPr="007C04B7">
        <w:rPr>
          <w:rFonts w:eastAsia="仿宋" w:cstheme="minorHAnsi"/>
          <w:szCs w:val="24"/>
        </w:rPr>
        <w:t xml:space="preserve"> dans le domaine des TIC au service des urgences de santé publique de portée internationale et les incidences à cet égard. Il est donc recommandé d'intégrer ces considérations dans le plan pour les quatre prochaines années et d'en tenir pleinement compte</w:t>
      </w:r>
      <w:r w:rsidR="00763451" w:rsidRPr="007C04B7">
        <w:rPr>
          <w:rFonts w:eastAsia="仿宋" w:cstheme="minorHAnsi"/>
          <w:szCs w:val="24"/>
        </w:rPr>
        <w:t>.</w:t>
      </w:r>
    </w:p>
    <w:p w14:paraId="6C378FF2" w14:textId="6BD5EDAC" w:rsidR="00763451" w:rsidRPr="007C04B7" w:rsidRDefault="001E0114" w:rsidP="009045E9">
      <w:pPr>
        <w:pStyle w:val="Headingb"/>
        <w:rPr>
          <w:rFonts w:eastAsia="仿宋"/>
        </w:rPr>
      </w:pPr>
      <w:r w:rsidRPr="007C04B7">
        <w:rPr>
          <w:rFonts w:eastAsia="仿宋"/>
        </w:rPr>
        <w:t>Proposition</w:t>
      </w:r>
    </w:p>
    <w:p w14:paraId="2A9A3A57" w14:textId="5CE887CA" w:rsidR="00763451" w:rsidRPr="007C04B7" w:rsidRDefault="009A143D" w:rsidP="009D17A6">
      <w:pPr>
        <w:widowControl w:val="0"/>
        <w:rPr>
          <w:rFonts w:eastAsia="仿宋" w:cstheme="minorHAnsi"/>
          <w:szCs w:val="24"/>
        </w:rPr>
      </w:pPr>
      <w:r w:rsidRPr="007C04B7">
        <w:rPr>
          <w:rFonts w:eastAsia="仿宋" w:cstheme="minorHAnsi"/>
          <w:szCs w:val="24"/>
        </w:rPr>
        <w:t>Pour</w:t>
      </w:r>
      <w:r w:rsidR="001E0114" w:rsidRPr="007C04B7">
        <w:rPr>
          <w:rFonts w:eastAsia="仿宋" w:cstheme="minorHAnsi"/>
          <w:szCs w:val="24"/>
        </w:rPr>
        <w:t xml:space="preserve"> résumé, il est recommandé </w:t>
      </w:r>
      <w:r w:rsidRPr="007C04B7">
        <w:rPr>
          <w:rFonts w:eastAsia="仿宋" w:cstheme="minorHAnsi"/>
          <w:szCs w:val="24"/>
        </w:rPr>
        <w:t>que l'UIT intègre la question des TIC au service des urgences de santé publique de portée internationale dans</w:t>
      </w:r>
      <w:r w:rsidR="001E0114" w:rsidRPr="007C04B7">
        <w:rPr>
          <w:rFonts w:eastAsia="仿宋" w:cstheme="minorHAnsi"/>
          <w:szCs w:val="24"/>
        </w:rPr>
        <w:t xml:space="preserve"> son plan stratégique à moyen et </w:t>
      </w:r>
      <w:r w:rsidRPr="007C04B7">
        <w:rPr>
          <w:rFonts w:eastAsia="仿宋" w:cstheme="minorHAnsi"/>
          <w:szCs w:val="24"/>
        </w:rPr>
        <w:t xml:space="preserve">à </w:t>
      </w:r>
      <w:r w:rsidR="001E0114" w:rsidRPr="007C04B7">
        <w:rPr>
          <w:rFonts w:eastAsia="仿宋" w:cstheme="minorHAnsi"/>
          <w:szCs w:val="24"/>
        </w:rPr>
        <w:t xml:space="preserve">long </w:t>
      </w:r>
      <w:r w:rsidRPr="007C04B7">
        <w:rPr>
          <w:rFonts w:eastAsia="仿宋" w:cstheme="minorHAnsi"/>
          <w:szCs w:val="24"/>
        </w:rPr>
        <w:t>terme</w:t>
      </w:r>
      <w:r w:rsidR="001E0114" w:rsidRPr="007C04B7">
        <w:rPr>
          <w:rFonts w:eastAsia="仿宋" w:cstheme="minorHAnsi"/>
          <w:szCs w:val="24"/>
        </w:rPr>
        <w:t xml:space="preserve">. </w:t>
      </w:r>
      <w:r w:rsidRPr="007C04B7">
        <w:rPr>
          <w:rFonts w:eastAsia="仿宋" w:cstheme="minorHAnsi"/>
          <w:szCs w:val="24"/>
        </w:rPr>
        <w:t xml:space="preserve">Nous recommandons en </w:t>
      </w:r>
      <w:proofErr w:type="gramStart"/>
      <w:r w:rsidRPr="007C04B7">
        <w:rPr>
          <w:rFonts w:eastAsia="仿宋" w:cstheme="minorHAnsi"/>
          <w:szCs w:val="24"/>
        </w:rPr>
        <w:t>particulier:</w:t>
      </w:r>
      <w:proofErr w:type="gramEnd"/>
    </w:p>
    <w:p w14:paraId="79BCE628" w14:textId="5277499F" w:rsidR="00763451" w:rsidRPr="007C04B7" w:rsidRDefault="00B104C8" w:rsidP="009045E9">
      <w:pPr>
        <w:pStyle w:val="enumlev1"/>
        <w:rPr>
          <w:rFonts w:eastAsia="仿宋"/>
        </w:rPr>
      </w:pPr>
      <w:r w:rsidRPr="007C04B7">
        <w:rPr>
          <w:rFonts w:eastAsia="仿宋"/>
        </w:rPr>
        <w:t>•</w:t>
      </w:r>
      <w:r w:rsidRPr="007C04B7">
        <w:rPr>
          <w:rFonts w:eastAsia="仿宋"/>
        </w:rPr>
        <w:tab/>
      </w:r>
      <w:r w:rsidR="009A143D" w:rsidRPr="007C04B7">
        <w:rPr>
          <w:rFonts w:eastAsia="仿宋"/>
        </w:rPr>
        <w:t>d'e</w:t>
      </w:r>
      <w:r w:rsidR="001E0114" w:rsidRPr="007C04B7">
        <w:rPr>
          <w:rFonts w:eastAsia="仿宋"/>
        </w:rPr>
        <w:t xml:space="preserve">nvisager </w:t>
      </w:r>
      <w:r w:rsidR="009A143D" w:rsidRPr="007C04B7">
        <w:rPr>
          <w:rFonts w:eastAsia="仿宋"/>
        </w:rPr>
        <w:t>de tenir compte, dans les</w:t>
      </w:r>
      <w:r w:rsidR="009A143D" w:rsidRPr="007C04B7">
        <w:t xml:space="preserve"> </w:t>
      </w:r>
      <w:r w:rsidR="009A143D" w:rsidRPr="007C04B7">
        <w:rPr>
          <w:rFonts w:eastAsia="仿宋"/>
        </w:rPr>
        <w:t xml:space="preserve">buts stratégiques </w:t>
      </w:r>
      <w:r w:rsidR="00DB5EB8" w:rsidRPr="007C04B7">
        <w:rPr>
          <w:rFonts w:eastAsia="仿宋"/>
        </w:rPr>
        <w:t>énoncés dans le</w:t>
      </w:r>
      <w:r w:rsidR="009D6C7B">
        <w:rPr>
          <w:rFonts w:eastAsia="仿宋"/>
        </w:rPr>
        <w:t xml:space="preserve"> P</w:t>
      </w:r>
      <w:r w:rsidR="009A143D" w:rsidRPr="007C04B7">
        <w:rPr>
          <w:rFonts w:eastAsia="仿宋"/>
        </w:rPr>
        <w:t xml:space="preserve">lan stratégique de l'UIT pour 2024-2027, de la nécessité de faire </w:t>
      </w:r>
      <w:r w:rsidR="00380F72" w:rsidRPr="007C04B7">
        <w:rPr>
          <w:rFonts w:eastAsia="仿宋"/>
        </w:rPr>
        <w:t>un</w:t>
      </w:r>
      <w:r w:rsidR="009045E9" w:rsidRPr="007C04B7">
        <w:rPr>
          <w:rFonts w:eastAsia="仿宋"/>
        </w:rPr>
        <w:t xml:space="preserve"> </w:t>
      </w:r>
      <w:r w:rsidR="00380F72" w:rsidRPr="007C04B7">
        <w:rPr>
          <w:rFonts w:eastAsia="仿宋"/>
        </w:rPr>
        <w:t>meilleur usage</w:t>
      </w:r>
      <w:r w:rsidR="009045E9" w:rsidRPr="007C04B7">
        <w:rPr>
          <w:rFonts w:eastAsia="仿宋"/>
        </w:rPr>
        <w:t xml:space="preserve"> </w:t>
      </w:r>
      <w:r w:rsidR="001E0114" w:rsidRPr="007C04B7">
        <w:rPr>
          <w:rFonts w:eastAsia="仿宋"/>
        </w:rPr>
        <w:t xml:space="preserve">des TIC pour contribuer </w:t>
      </w:r>
      <w:r w:rsidR="009A143D" w:rsidRPr="007C04B7">
        <w:rPr>
          <w:rFonts w:eastAsia="仿宋"/>
        </w:rPr>
        <w:t>aux efforts de</w:t>
      </w:r>
      <w:r w:rsidR="001E0114" w:rsidRPr="007C04B7">
        <w:rPr>
          <w:rFonts w:eastAsia="仿宋"/>
        </w:rPr>
        <w:t xml:space="preserve"> prévention</w:t>
      </w:r>
      <w:r w:rsidR="009A143D" w:rsidRPr="007C04B7">
        <w:rPr>
          <w:rFonts w:eastAsia="仿宋"/>
        </w:rPr>
        <w:t xml:space="preserve">, de contrôle et de rétablissement en cas d'urgence de santé publique de portée </w:t>
      </w:r>
      <w:proofErr w:type="gramStart"/>
      <w:r w:rsidR="009A143D" w:rsidRPr="007C04B7">
        <w:rPr>
          <w:rFonts w:eastAsia="仿宋"/>
        </w:rPr>
        <w:t>internationale</w:t>
      </w:r>
      <w:r w:rsidR="00CA0289" w:rsidRPr="007C04B7">
        <w:rPr>
          <w:rFonts w:eastAsia="仿宋"/>
        </w:rPr>
        <w:t>;</w:t>
      </w:r>
      <w:proofErr w:type="gramEnd"/>
    </w:p>
    <w:p w14:paraId="5ED68278" w14:textId="02E1E94C" w:rsidR="00763451" w:rsidRDefault="00B104C8" w:rsidP="009045E9">
      <w:pPr>
        <w:pStyle w:val="enumlev1"/>
        <w:rPr>
          <w:rFonts w:eastAsia="仿宋"/>
        </w:rPr>
      </w:pPr>
      <w:r w:rsidRPr="007C04B7">
        <w:rPr>
          <w:rFonts w:eastAsia="仿宋"/>
        </w:rPr>
        <w:t>•</w:t>
      </w:r>
      <w:r w:rsidRPr="007C04B7">
        <w:rPr>
          <w:rFonts w:eastAsia="仿宋"/>
        </w:rPr>
        <w:tab/>
      </w:r>
      <w:r w:rsidR="009A143D" w:rsidRPr="007C04B7">
        <w:rPr>
          <w:rFonts w:eastAsia="仿宋"/>
        </w:rPr>
        <w:t>de p</w:t>
      </w:r>
      <w:r w:rsidR="001E0114" w:rsidRPr="007C04B7">
        <w:rPr>
          <w:rFonts w:eastAsia="仿宋"/>
        </w:rPr>
        <w:t xml:space="preserve">romouvoir la collecte et la compilation des </w:t>
      </w:r>
      <w:r w:rsidR="009A143D" w:rsidRPr="007C04B7">
        <w:rPr>
          <w:rFonts w:eastAsia="仿宋"/>
        </w:rPr>
        <w:t>bonnes</w:t>
      </w:r>
      <w:r w:rsidR="001E0114" w:rsidRPr="007C04B7">
        <w:rPr>
          <w:rFonts w:eastAsia="仿宋"/>
        </w:rPr>
        <w:t xml:space="preserve"> pratiques </w:t>
      </w:r>
      <w:r w:rsidR="009A143D" w:rsidRPr="007C04B7">
        <w:rPr>
          <w:rFonts w:eastAsia="仿宋"/>
        </w:rPr>
        <w:t>relatives à l'</w:t>
      </w:r>
      <w:r w:rsidR="009D17A6">
        <w:rPr>
          <w:rFonts w:eastAsia="仿宋"/>
        </w:rPr>
        <w:t>utilisation des </w:t>
      </w:r>
      <w:r w:rsidR="001E0114" w:rsidRPr="007C04B7">
        <w:rPr>
          <w:rFonts w:eastAsia="仿宋"/>
        </w:rPr>
        <w:t xml:space="preserve">TIC pour </w:t>
      </w:r>
      <w:r w:rsidR="009A143D" w:rsidRPr="007C04B7">
        <w:rPr>
          <w:rFonts w:eastAsia="仿宋"/>
        </w:rPr>
        <w:t xml:space="preserve">faire face aux urgences de santé publique de portée internationale </w:t>
      </w:r>
      <w:r w:rsidR="00380F72" w:rsidRPr="007C04B7">
        <w:rPr>
          <w:rFonts w:eastAsia="仿宋"/>
        </w:rPr>
        <w:t xml:space="preserve">suivies </w:t>
      </w:r>
      <w:r w:rsidR="009A143D" w:rsidRPr="007C04B7">
        <w:rPr>
          <w:rFonts w:eastAsia="仿宋"/>
        </w:rPr>
        <w:t xml:space="preserve">par </w:t>
      </w:r>
      <w:r w:rsidR="001E0114" w:rsidRPr="007C04B7">
        <w:rPr>
          <w:rFonts w:eastAsia="仿宋"/>
        </w:rPr>
        <w:t>des pays et des régions sur la plate</w:t>
      </w:r>
      <w:r w:rsidR="00CA0289" w:rsidRPr="007C04B7">
        <w:rPr>
          <w:rFonts w:eastAsia="仿宋"/>
        </w:rPr>
        <w:t>-</w:t>
      </w:r>
      <w:r w:rsidR="001E0114" w:rsidRPr="007C04B7">
        <w:rPr>
          <w:rFonts w:eastAsia="仿宋"/>
        </w:rPr>
        <w:t xml:space="preserve">forme #REG4COVID, et </w:t>
      </w:r>
      <w:r w:rsidR="009A143D" w:rsidRPr="007C04B7">
        <w:rPr>
          <w:rFonts w:eastAsia="仿宋"/>
        </w:rPr>
        <w:t xml:space="preserve">de </w:t>
      </w:r>
      <w:r w:rsidR="001E0114" w:rsidRPr="007C04B7">
        <w:rPr>
          <w:rFonts w:eastAsia="仿宋"/>
        </w:rPr>
        <w:t xml:space="preserve">publier </w:t>
      </w:r>
      <w:r w:rsidR="00380F72" w:rsidRPr="007C04B7">
        <w:rPr>
          <w:rFonts w:eastAsia="仿宋"/>
        </w:rPr>
        <w:t xml:space="preserve">périodiquement </w:t>
      </w:r>
      <w:r w:rsidR="009A143D" w:rsidRPr="007C04B7">
        <w:rPr>
          <w:rFonts w:eastAsia="仿宋"/>
        </w:rPr>
        <w:t>des</w:t>
      </w:r>
      <w:r w:rsidR="001E0114" w:rsidRPr="007C04B7">
        <w:rPr>
          <w:rFonts w:eastAsia="仿宋"/>
        </w:rPr>
        <w:t xml:space="preserve"> "</w:t>
      </w:r>
      <w:r w:rsidR="009A143D" w:rsidRPr="007C04B7">
        <w:rPr>
          <w:rFonts w:eastAsia="仿宋"/>
        </w:rPr>
        <w:t>kits</w:t>
      </w:r>
      <w:r w:rsidR="00CA0289" w:rsidRPr="007C04B7">
        <w:rPr>
          <w:rFonts w:eastAsia="仿宋"/>
        </w:rPr>
        <w:t> </w:t>
      </w:r>
      <w:r w:rsidR="009A143D" w:rsidRPr="007C04B7">
        <w:rPr>
          <w:rFonts w:eastAsia="仿宋"/>
        </w:rPr>
        <w:t>pratiques</w:t>
      </w:r>
      <w:r w:rsidR="001E0114" w:rsidRPr="007C04B7">
        <w:rPr>
          <w:rFonts w:eastAsia="仿宋"/>
        </w:rPr>
        <w:t xml:space="preserve">" </w:t>
      </w:r>
      <w:r w:rsidR="009A143D" w:rsidRPr="007C04B7">
        <w:rPr>
          <w:rFonts w:eastAsia="仿宋"/>
        </w:rPr>
        <w:t>comprenant des bonnes pratiques et</w:t>
      </w:r>
      <w:r w:rsidR="001E0114" w:rsidRPr="007C04B7">
        <w:rPr>
          <w:rFonts w:eastAsia="仿宋"/>
        </w:rPr>
        <w:t xml:space="preserve"> des études </w:t>
      </w:r>
      <w:r w:rsidR="009A143D" w:rsidRPr="007C04B7">
        <w:rPr>
          <w:rFonts w:eastAsia="仿宋"/>
        </w:rPr>
        <w:t>dans ce domaine</w:t>
      </w:r>
      <w:r w:rsidR="00763451" w:rsidRPr="007C04B7">
        <w:rPr>
          <w:rFonts w:eastAsia="仿宋"/>
        </w:rPr>
        <w:t>.</w:t>
      </w:r>
    </w:p>
    <w:p w14:paraId="2FBFBCFC" w14:textId="77777777" w:rsidR="009D17A6" w:rsidRPr="007C04B7" w:rsidRDefault="009D17A6" w:rsidP="009045E9">
      <w:pPr>
        <w:pStyle w:val="enumlev1"/>
        <w:rPr>
          <w:rFonts w:eastAsia="仿宋"/>
        </w:rPr>
      </w:pPr>
    </w:p>
    <w:p w14:paraId="102A0887" w14:textId="66580BD6" w:rsidR="00FC24D4" w:rsidRPr="007C04B7" w:rsidRDefault="00763451" w:rsidP="009045E9">
      <w:pPr>
        <w:spacing w:before="360"/>
        <w:jc w:val="center"/>
      </w:pPr>
      <w:r w:rsidRPr="007C04B7">
        <w:rPr>
          <w:rFonts w:ascii="Times New Roman" w:hAnsi="Times New Roman"/>
          <w:szCs w:val="24"/>
        </w:rPr>
        <w:t>______________</w:t>
      </w:r>
    </w:p>
    <w:sectPr w:rsidR="00FC24D4" w:rsidRPr="007C04B7" w:rsidSect="006A697F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68FAC" w14:textId="77777777" w:rsidR="0044407D" w:rsidRDefault="0044407D">
      <w:r>
        <w:separator/>
      </w:r>
    </w:p>
  </w:endnote>
  <w:endnote w:type="continuationSeparator" w:id="0">
    <w:p w14:paraId="54F617D4" w14:textId="77777777" w:rsidR="0044407D" w:rsidRDefault="0044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仿宋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9753B" w14:textId="02DACF03" w:rsidR="00732045" w:rsidRPr="001B2D93" w:rsidRDefault="0006001F">
    <w:pPr>
      <w:pStyle w:val="Footer"/>
      <w:rPr>
        <w:lang w:val="en-US"/>
      </w:rPr>
    </w:pPr>
    <w:r>
      <w:fldChar w:fldCharType="begin"/>
    </w:r>
    <w:r w:rsidRPr="001B2D93">
      <w:rPr>
        <w:lang w:val="en-US"/>
      </w:rPr>
      <w:instrText xml:space="preserve"> FILENAME \p \* MERGEFORMAT </w:instrText>
    </w:r>
    <w:r>
      <w:fldChar w:fldCharType="separate"/>
    </w:r>
    <w:r w:rsidR="009D6C7B">
      <w:rPr>
        <w:lang w:val="en-US"/>
      </w:rPr>
      <w:t>P:\FRA\SG\CONSEIL\CWG-SFP\CWG-SFP1\000\010F.docx</w:t>
    </w:r>
    <w:r>
      <w:fldChar w:fldCharType="end"/>
    </w:r>
    <w:r w:rsidR="00732045" w:rsidRPr="001B2D93">
      <w:rPr>
        <w:lang w:val="en-US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3761D5">
      <w:t>20.09.21</w:t>
    </w:r>
    <w:r w:rsidR="002F1B76">
      <w:fldChar w:fldCharType="end"/>
    </w:r>
    <w:r w:rsidR="00732045" w:rsidRPr="001B2D93">
      <w:rPr>
        <w:lang w:val="en-US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9D6C7B">
      <w:t>04.04.18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BF252" w14:textId="6E3A9D80" w:rsidR="00BB4490" w:rsidRPr="003761D5" w:rsidRDefault="003761D5" w:rsidP="00B104C8">
    <w:pPr>
      <w:pStyle w:val="Footer"/>
      <w:rPr>
        <w:color w:val="F2F2F2" w:themeColor="background1" w:themeShade="F2"/>
      </w:rPr>
    </w:pPr>
    <w:r w:rsidRPr="003761D5">
      <w:rPr>
        <w:color w:val="F2F2F2" w:themeColor="background1" w:themeShade="F2"/>
      </w:rPr>
      <w:fldChar w:fldCharType="begin"/>
    </w:r>
    <w:r w:rsidRPr="003761D5">
      <w:rPr>
        <w:color w:val="F2F2F2" w:themeColor="background1" w:themeShade="F2"/>
      </w:rPr>
      <w:instrText xml:space="preserve"> FILENAME \p  \* MERGEFORMAT </w:instrText>
    </w:r>
    <w:r w:rsidRPr="003761D5">
      <w:rPr>
        <w:color w:val="F2F2F2" w:themeColor="background1" w:themeShade="F2"/>
      </w:rPr>
      <w:fldChar w:fldCharType="separate"/>
    </w:r>
    <w:r w:rsidR="009D6C7B" w:rsidRPr="003761D5">
      <w:rPr>
        <w:color w:val="F2F2F2" w:themeColor="background1" w:themeShade="F2"/>
      </w:rPr>
      <w:t>P:\FRA\SG\CONSEIL\CWG-SFP\CWG-SFP1\000\010F.docx</w:t>
    </w:r>
    <w:r w:rsidRPr="003761D5">
      <w:rPr>
        <w:color w:val="F2F2F2" w:themeColor="background1" w:themeShade="F2"/>
      </w:rPr>
      <w:fldChar w:fldCharType="end"/>
    </w:r>
    <w:r w:rsidR="004834D6" w:rsidRPr="003761D5">
      <w:rPr>
        <w:color w:val="F2F2F2" w:themeColor="background1" w:themeShade="F2"/>
      </w:rPr>
      <w:t xml:space="preserve"> (49</w:t>
    </w:r>
    <w:r w:rsidR="00B104C8" w:rsidRPr="003761D5">
      <w:rPr>
        <w:color w:val="F2F2F2" w:themeColor="background1" w:themeShade="F2"/>
      </w:rPr>
      <w:t>4358)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BF10D" w14:textId="77777777" w:rsidR="00274751" w:rsidRDefault="00274751" w:rsidP="00274751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8C66E" w14:textId="77777777" w:rsidR="0044407D" w:rsidRDefault="0044407D">
      <w:r>
        <w:t>____________________</w:t>
      </w:r>
    </w:p>
  </w:footnote>
  <w:footnote w:type="continuationSeparator" w:id="0">
    <w:p w14:paraId="0C6AF9FB" w14:textId="77777777" w:rsidR="0044407D" w:rsidRDefault="0044407D">
      <w:r>
        <w:continuationSeparator/>
      </w:r>
    </w:p>
  </w:footnote>
  <w:footnote w:id="1">
    <w:p w14:paraId="5ACAED34" w14:textId="2CE424E7" w:rsidR="00763451" w:rsidRPr="00DB0C29" w:rsidRDefault="00763451" w:rsidP="00376F48">
      <w:pPr>
        <w:pStyle w:val="Heading6"/>
        <w:shd w:val="clear" w:color="auto" w:fill="FFFFFF"/>
        <w:tabs>
          <w:tab w:val="clear" w:pos="567"/>
          <w:tab w:val="left" w:pos="284"/>
        </w:tabs>
        <w:spacing w:before="0"/>
        <w:ind w:left="0" w:firstLine="0"/>
        <w:rPr>
          <w:rFonts w:ascii="Times New Roman" w:eastAsia="SimSun" w:hAnsi="Times New Roman"/>
          <w:sz w:val="18"/>
          <w:szCs w:val="18"/>
        </w:rPr>
      </w:pPr>
      <w:r w:rsidRPr="00CB2D94">
        <w:rPr>
          <w:rStyle w:val="FootnoteReference"/>
          <w:rFonts w:asciiTheme="minorHAnsi" w:eastAsia="SimSun" w:hAnsiTheme="minorHAnsi" w:cstheme="minorHAnsi"/>
          <w:b w:val="0"/>
          <w:szCs w:val="18"/>
        </w:rPr>
        <w:footnoteRef/>
      </w:r>
      <w:r w:rsidR="006A7FEA" w:rsidRPr="008475F4">
        <w:rPr>
          <w:rStyle w:val="FootnoteTextChar"/>
        </w:rPr>
        <w:tab/>
      </w:r>
      <w:r w:rsidR="004A4FA0" w:rsidRPr="009045E9">
        <w:rPr>
          <w:rStyle w:val="FootnoteTextChar"/>
          <w:rFonts w:eastAsia="SimSun"/>
          <w:b w:val="0"/>
          <w:bCs/>
        </w:rPr>
        <w:t>Selon le Règlement sanitaire internationa</w:t>
      </w:r>
      <w:r w:rsidR="008475F4" w:rsidRPr="009045E9">
        <w:rPr>
          <w:rStyle w:val="FootnoteTextChar"/>
          <w:rFonts w:eastAsia="SimSun"/>
          <w:b w:val="0"/>
          <w:bCs/>
        </w:rPr>
        <w:t>l</w:t>
      </w:r>
      <w:r w:rsidR="004A4FA0" w:rsidRPr="009045E9">
        <w:rPr>
          <w:rStyle w:val="FootnoteTextChar"/>
          <w:rFonts w:eastAsia="SimSun"/>
          <w:b w:val="0"/>
          <w:bCs/>
        </w:rPr>
        <w:t xml:space="preserve">, </w:t>
      </w:r>
      <w:r w:rsidR="008475F4" w:rsidRPr="009045E9">
        <w:rPr>
          <w:rStyle w:val="FootnoteTextChar"/>
          <w:rFonts w:eastAsia="SimSun"/>
          <w:b w:val="0"/>
          <w:bCs/>
        </w:rPr>
        <w:t>une</w:t>
      </w:r>
      <w:r w:rsidR="004A4FA0" w:rsidRPr="009045E9">
        <w:rPr>
          <w:rStyle w:val="FootnoteTextChar"/>
          <w:rFonts w:eastAsia="SimSun"/>
          <w:b w:val="0"/>
          <w:bCs/>
        </w:rPr>
        <w:t xml:space="preserve"> "urgence de santé publique de portée internationale" </w:t>
      </w:r>
      <w:r w:rsidR="008475F4" w:rsidRPr="009045E9">
        <w:rPr>
          <w:rStyle w:val="FootnoteTextChar"/>
          <w:rFonts w:eastAsia="SimSun"/>
          <w:b w:val="0"/>
          <w:bCs/>
        </w:rPr>
        <w:t>s'entend d'un "</w:t>
      </w:r>
      <w:r w:rsidR="008475F4" w:rsidRPr="009045E9">
        <w:rPr>
          <w:rStyle w:val="FootnoteTextChar"/>
          <w:b w:val="0"/>
          <w:bCs/>
        </w:rPr>
        <w:t>événement extraordinaire dont il est déterminé, comme prévu dans le présent Règlement, 1) qu</w:t>
      </w:r>
      <w:r w:rsidR="009045E9">
        <w:rPr>
          <w:rStyle w:val="FootnoteTextChar"/>
          <w:b w:val="0"/>
          <w:bCs/>
        </w:rPr>
        <w:t>'</w:t>
      </w:r>
      <w:r w:rsidR="008475F4" w:rsidRPr="009045E9">
        <w:rPr>
          <w:rStyle w:val="FootnoteTextChar"/>
          <w:b w:val="0"/>
          <w:bCs/>
        </w:rPr>
        <w:t>il constitue un risque pour la santé publique dans d</w:t>
      </w:r>
      <w:r w:rsidR="009045E9">
        <w:rPr>
          <w:rStyle w:val="FootnoteTextChar"/>
          <w:b w:val="0"/>
          <w:bCs/>
        </w:rPr>
        <w:t>'</w:t>
      </w:r>
      <w:r w:rsidR="008475F4" w:rsidRPr="009045E9">
        <w:rPr>
          <w:rStyle w:val="FootnoteTextChar"/>
          <w:b w:val="0"/>
          <w:bCs/>
        </w:rPr>
        <w:t xml:space="preserve">autres </w:t>
      </w:r>
      <w:r w:rsidR="00C77B9A" w:rsidRPr="009045E9">
        <w:rPr>
          <w:rStyle w:val="FootnoteTextChar"/>
          <w:b w:val="0"/>
          <w:bCs/>
        </w:rPr>
        <w:t>États</w:t>
      </w:r>
      <w:r w:rsidR="008475F4" w:rsidRPr="009045E9">
        <w:rPr>
          <w:rStyle w:val="FootnoteTextChar"/>
          <w:b w:val="0"/>
          <w:bCs/>
        </w:rPr>
        <w:t xml:space="preserve"> en raison du risque de propagation internationale de </w:t>
      </w:r>
      <w:proofErr w:type="gramStart"/>
      <w:r w:rsidR="008475F4" w:rsidRPr="009045E9">
        <w:rPr>
          <w:rStyle w:val="FootnoteTextChar"/>
          <w:b w:val="0"/>
          <w:bCs/>
        </w:rPr>
        <w:t>maladies;</w:t>
      </w:r>
      <w:proofErr w:type="gramEnd"/>
      <w:r w:rsidR="008475F4" w:rsidRPr="009045E9">
        <w:rPr>
          <w:rStyle w:val="FootnoteTextChar"/>
          <w:b w:val="0"/>
          <w:bCs/>
        </w:rPr>
        <w:t xml:space="preserve"> et 2) qu</w:t>
      </w:r>
      <w:r w:rsidR="009045E9">
        <w:rPr>
          <w:rStyle w:val="FootnoteTextChar"/>
          <w:b w:val="0"/>
          <w:bCs/>
        </w:rPr>
        <w:t>'</w:t>
      </w:r>
      <w:r w:rsidR="008475F4" w:rsidRPr="009045E9">
        <w:rPr>
          <w:rStyle w:val="FootnoteTextChar"/>
          <w:b w:val="0"/>
          <w:bCs/>
        </w:rPr>
        <w:t>il peut requérir une action internationale coordonnée"</w:t>
      </w:r>
      <w:r w:rsidRPr="009045E9">
        <w:rPr>
          <w:rStyle w:val="FootnoteTextChar"/>
          <w:rFonts w:eastAsia="SimSun"/>
          <w:b w:val="0"/>
          <w:bCs/>
        </w:rPr>
        <w:t xml:space="preserve">. </w:t>
      </w:r>
      <w:r w:rsidR="008475F4" w:rsidRPr="009045E9">
        <w:rPr>
          <w:rStyle w:val="FootnoteTextChar"/>
          <w:rFonts w:eastAsia="SimSun"/>
          <w:b w:val="0"/>
          <w:bCs/>
        </w:rPr>
        <w:t>Depuis l'entrée en vigueur du Règlement sanitaire international (RSI), l'OMS a déclaré six urgences de santé publique de portée internationale à ce jour, dont les cinq</w:t>
      </w:r>
      <w:r w:rsidR="009045E9">
        <w:rPr>
          <w:rStyle w:val="FootnoteTextChar"/>
          <w:rFonts w:eastAsia="SimSun"/>
          <w:b w:val="0"/>
          <w:bCs/>
        </w:rPr>
        <w:t> </w:t>
      </w:r>
      <w:r w:rsidR="008475F4" w:rsidRPr="009045E9">
        <w:rPr>
          <w:rStyle w:val="FootnoteTextChar"/>
          <w:rFonts w:eastAsia="SimSun"/>
          <w:b w:val="0"/>
          <w:bCs/>
        </w:rPr>
        <w:t>premières étaient la grippe H1N1 en 2009, la poliomyélite en 2014, le virus Ebola en Afrique de l'Ouest en 2014</w:t>
      </w:r>
      <w:r w:rsidRPr="009045E9">
        <w:rPr>
          <w:rStyle w:val="FootnoteTextChar"/>
          <w:rFonts w:eastAsia="SimSun"/>
          <w:b w:val="0"/>
          <w:bCs/>
        </w:rPr>
        <w:t>,</w:t>
      </w:r>
      <w:r w:rsidR="008475F4" w:rsidRPr="009045E9">
        <w:rPr>
          <w:rStyle w:val="FootnoteTextChar"/>
          <w:rFonts w:eastAsia="SimSun"/>
          <w:b w:val="0"/>
          <w:bCs/>
        </w:rPr>
        <w:t xml:space="preserve"> le virus Zika en 2016 et le virus Ebola en République démocratique du Congo en 2019</w:t>
      </w:r>
      <w:r w:rsidRPr="009045E9">
        <w:rPr>
          <w:rStyle w:val="FootnoteTextChar"/>
          <w:rFonts w:eastAsia="SimSun"/>
          <w:b w:val="0"/>
          <w:bCs/>
        </w:rPr>
        <w:t>.</w:t>
      </w:r>
      <w:r w:rsidR="008475F4" w:rsidRPr="009045E9">
        <w:rPr>
          <w:rStyle w:val="FootnoteTextChar"/>
          <w:rFonts w:eastAsia="SimSun"/>
          <w:b w:val="0"/>
          <w:bCs/>
        </w:rPr>
        <w:t xml:space="preserve"> </w:t>
      </w:r>
      <w:r w:rsidR="00DB0C29" w:rsidRPr="009045E9">
        <w:rPr>
          <w:rStyle w:val="FootnoteTextChar"/>
          <w:rFonts w:eastAsia="SimSun"/>
          <w:b w:val="0"/>
          <w:bCs/>
        </w:rPr>
        <w:t>En 2003, l</w:t>
      </w:r>
      <w:r w:rsidR="008475F4" w:rsidRPr="009045E9">
        <w:rPr>
          <w:rStyle w:val="FootnoteTextChar"/>
          <w:rFonts w:eastAsia="SimSun"/>
          <w:b w:val="0"/>
          <w:bCs/>
        </w:rPr>
        <w:t>e Syndrome respiratoire aigu sévère (SARS)</w:t>
      </w:r>
      <w:r w:rsidR="00DB0C29" w:rsidRPr="009045E9">
        <w:rPr>
          <w:rStyle w:val="FootnoteTextChar"/>
          <w:rFonts w:eastAsia="SimSun"/>
          <w:b w:val="0"/>
          <w:bCs/>
        </w:rPr>
        <w:t xml:space="preserve"> a été la première urgence de santé publique de portée internationale du XXI</w:t>
      </w:r>
      <w:r w:rsidR="009045E9">
        <w:rPr>
          <w:rStyle w:val="FootnoteTextChar"/>
          <w:rFonts w:eastAsia="SimSun"/>
          <w:b w:val="0"/>
          <w:bCs/>
        </w:rPr>
        <w:t>e</w:t>
      </w:r>
      <w:r w:rsidR="00DB0C29" w:rsidRPr="009045E9">
        <w:rPr>
          <w:rStyle w:val="FootnoteTextChar"/>
          <w:rFonts w:eastAsia="SimSun"/>
          <w:b w:val="0"/>
          <w:bCs/>
        </w:rPr>
        <w:t xml:space="preserve"> siècle</w:t>
      </w:r>
      <w:r w:rsidRPr="009045E9">
        <w:rPr>
          <w:rStyle w:val="FootnoteTextChar"/>
          <w:rFonts w:eastAsia="SimSun"/>
          <w:b w:val="0"/>
          <w:bCs/>
        </w:rPr>
        <w:t>.</w:t>
      </w:r>
    </w:p>
  </w:footnote>
  <w:footnote w:id="2">
    <w:p w14:paraId="35FAC346" w14:textId="4F8B37A5" w:rsidR="00763451" w:rsidRPr="00CB2D94" w:rsidRDefault="00763451" w:rsidP="00CA0289">
      <w:pPr>
        <w:pStyle w:val="FootnoteText"/>
        <w:ind w:left="0" w:firstLine="0"/>
        <w:rPr>
          <w:rFonts w:asciiTheme="minorHAnsi" w:eastAsia="SimSun" w:hAnsiTheme="minorHAnsi" w:cstheme="minorHAnsi"/>
          <w:sz w:val="18"/>
          <w:szCs w:val="18"/>
        </w:rPr>
      </w:pPr>
      <w:r w:rsidRPr="00CB2D94">
        <w:rPr>
          <w:rStyle w:val="FootnoteReference"/>
          <w:rFonts w:asciiTheme="minorHAnsi" w:eastAsia="SimSun" w:hAnsiTheme="minorHAnsi" w:cstheme="minorHAnsi"/>
          <w:szCs w:val="18"/>
        </w:rPr>
        <w:footnoteRef/>
      </w:r>
      <w:r w:rsidR="006A7FEA" w:rsidRPr="00CB2D94">
        <w:rPr>
          <w:rFonts w:asciiTheme="minorHAnsi" w:eastAsia="SimSun" w:hAnsiTheme="minorHAnsi" w:cstheme="minorHAnsi"/>
          <w:sz w:val="18"/>
          <w:szCs w:val="18"/>
        </w:rPr>
        <w:tab/>
      </w:r>
      <w:r w:rsidR="00DB0C29">
        <w:rPr>
          <w:rFonts w:asciiTheme="minorHAnsi" w:eastAsia="SimSun" w:hAnsiTheme="minorHAnsi" w:cstheme="minorHAnsi"/>
        </w:rPr>
        <w:t>Voir le document de travail de l'UIT</w:t>
      </w:r>
      <w:r w:rsidR="00C77B9A">
        <w:rPr>
          <w:rFonts w:asciiTheme="minorHAnsi" w:eastAsia="SimSun" w:hAnsiTheme="minorHAnsi" w:cstheme="minorHAnsi"/>
        </w:rPr>
        <w:t>,</w:t>
      </w:r>
      <w:r w:rsidR="00DB0C29">
        <w:rPr>
          <w:rFonts w:asciiTheme="minorHAnsi" w:eastAsia="SimSun" w:hAnsiTheme="minorHAnsi" w:cstheme="minorHAnsi"/>
        </w:rPr>
        <w:t xml:space="preserve"> intitulé</w:t>
      </w:r>
      <w:r w:rsidRPr="00CB2D94">
        <w:rPr>
          <w:rFonts w:asciiTheme="minorHAnsi" w:eastAsia="SimSun" w:hAnsiTheme="minorHAnsi" w:cstheme="minorHAnsi"/>
        </w:rPr>
        <w:t xml:space="preserve"> </w:t>
      </w:r>
      <w:r w:rsidR="009045E9">
        <w:rPr>
          <w:rFonts w:asciiTheme="minorHAnsi" w:eastAsia="SimSun" w:hAnsiTheme="minorHAnsi" w:cstheme="minorHAnsi"/>
        </w:rPr>
        <w:t>"</w:t>
      </w:r>
      <w:r w:rsidR="00CB2D94" w:rsidRPr="00CB2D94">
        <w:rPr>
          <w:rFonts w:asciiTheme="minorHAnsi" w:eastAsia="SimSun" w:hAnsiTheme="minorHAnsi" w:cstheme="minorHAnsi"/>
          <w:i/>
          <w:iCs/>
        </w:rPr>
        <w:t xml:space="preserve">Pandémie à l'ère de </w:t>
      </w:r>
      <w:proofErr w:type="gramStart"/>
      <w:r w:rsidR="00CB2D94" w:rsidRPr="00CB2D94">
        <w:rPr>
          <w:rFonts w:asciiTheme="minorHAnsi" w:eastAsia="SimSun" w:hAnsiTheme="minorHAnsi" w:cstheme="minorHAnsi"/>
          <w:i/>
          <w:iCs/>
        </w:rPr>
        <w:t>l'Internet:</w:t>
      </w:r>
      <w:proofErr w:type="gramEnd"/>
      <w:r w:rsidR="00CB2D94" w:rsidRPr="00CB2D94">
        <w:rPr>
          <w:rFonts w:asciiTheme="minorHAnsi" w:eastAsia="SimSun" w:hAnsiTheme="minorHAnsi" w:cstheme="minorHAnsi"/>
          <w:i/>
          <w:iCs/>
        </w:rPr>
        <w:t xml:space="preserve"> les réponses du secteur des communications</w:t>
      </w:r>
      <w:r w:rsidR="009045E9">
        <w:rPr>
          <w:rFonts w:asciiTheme="minorHAnsi" w:eastAsia="SimSun" w:hAnsiTheme="minorHAnsi" w:cstheme="minorHAnsi"/>
          <w:i/>
          <w:iCs/>
        </w:rPr>
        <w:t>"</w:t>
      </w:r>
      <w:r w:rsidRPr="00CB2D94">
        <w:rPr>
          <w:rFonts w:asciiTheme="minorHAnsi" w:eastAsia="SimSun" w:hAnsiTheme="minorHAnsi" w:cstheme="minorHAnsi"/>
        </w:rPr>
        <w:t xml:space="preserve">, </w:t>
      </w:r>
      <w:hyperlink r:id="rId1" w:history="1">
        <w:r w:rsidR="00DB0C29" w:rsidRPr="0052741F">
          <w:rPr>
            <w:rStyle w:val="Hyperlink"/>
            <w:rFonts w:asciiTheme="minorHAnsi" w:eastAsia="SimSun" w:hAnsiTheme="minorHAnsi" w:cstheme="minorHAnsi"/>
          </w:rPr>
          <w:t>https://www.itu.int/en/ITU-D/Conferences/GSR/2020/Documents/ITU_COVID-19_and_Telecom-ICT.pdf</w:t>
        </w:r>
      </w:hyperlink>
      <w:r w:rsidR="009045E9">
        <w:rPr>
          <w:rFonts w:asciiTheme="minorHAnsi" w:eastAsia="SimSun" w:hAnsiTheme="minorHAnsi" w:cstheme="minorHAnsi"/>
        </w:rPr>
        <w:t>.</w:t>
      </w:r>
    </w:p>
  </w:footnote>
  <w:footnote w:id="3">
    <w:p w14:paraId="70223708" w14:textId="099534D9" w:rsidR="00763451" w:rsidRPr="00DB0C29" w:rsidRDefault="00763451" w:rsidP="00CA0289">
      <w:pPr>
        <w:pStyle w:val="Heading1"/>
        <w:shd w:val="clear" w:color="auto" w:fill="FFFFFF"/>
        <w:tabs>
          <w:tab w:val="left" w:pos="284"/>
        </w:tabs>
        <w:spacing w:before="0"/>
        <w:ind w:left="0" w:firstLine="0"/>
        <w:rPr>
          <w:rFonts w:asciiTheme="minorHAnsi" w:eastAsia="SimSun" w:hAnsiTheme="minorHAnsi" w:cstheme="minorHAnsi"/>
          <w:b w:val="0"/>
          <w:sz w:val="18"/>
          <w:szCs w:val="18"/>
        </w:rPr>
      </w:pPr>
      <w:r w:rsidRPr="0032269D">
        <w:rPr>
          <w:rStyle w:val="FootnoteReference"/>
          <w:rFonts w:asciiTheme="minorHAnsi" w:eastAsia="SimSun" w:hAnsiTheme="minorHAnsi" w:cstheme="minorHAnsi"/>
          <w:b w:val="0"/>
          <w:bCs/>
          <w:szCs w:val="18"/>
        </w:rPr>
        <w:footnoteRef/>
      </w:r>
      <w:r w:rsidR="006A7FEA" w:rsidRPr="00DB0C29">
        <w:rPr>
          <w:rStyle w:val="FootnoteReference"/>
          <w:rFonts w:asciiTheme="minorHAnsi" w:hAnsiTheme="minorHAnsi" w:cstheme="minorHAnsi"/>
          <w:b w:val="0"/>
          <w:bCs/>
        </w:rPr>
        <w:tab/>
      </w:r>
      <w:r w:rsidR="00DB0C29" w:rsidRPr="00DB0C29">
        <w:rPr>
          <w:rStyle w:val="FootnoteTextChar"/>
          <w:rFonts w:asciiTheme="minorHAnsi" w:eastAsia="SimSun" w:hAnsiTheme="minorHAnsi" w:cstheme="minorHAnsi"/>
          <w:b w:val="0"/>
          <w:bCs/>
        </w:rPr>
        <w:t>Voir "À pr</w:t>
      </w:r>
      <w:r w:rsidR="00DB0C29">
        <w:rPr>
          <w:rStyle w:val="FootnoteTextChar"/>
          <w:rFonts w:asciiTheme="minorHAnsi" w:eastAsia="SimSun" w:hAnsiTheme="minorHAnsi" w:cstheme="minorHAnsi"/>
          <w:b w:val="0"/>
          <w:bCs/>
        </w:rPr>
        <w:t>opos de l'Union internationale des télécommunications (UIT</w:t>
      </w:r>
      <w:proofErr w:type="gramStart"/>
      <w:r w:rsidRPr="00DB0C29">
        <w:rPr>
          <w:rStyle w:val="FootnoteTextChar"/>
          <w:rFonts w:asciiTheme="minorHAnsi" w:eastAsia="SimSun" w:hAnsiTheme="minorHAnsi" w:cstheme="minorHAnsi"/>
          <w:b w:val="0"/>
          <w:bCs/>
        </w:rPr>
        <w:t>):</w:t>
      </w:r>
      <w:proofErr w:type="gramEnd"/>
      <w:r w:rsidRPr="00DB0C29">
        <w:rPr>
          <w:rStyle w:val="FootnoteTextChar"/>
          <w:rFonts w:asciiTheme="minorHAnsi" w:eastAsia="SimSun" w:hAnsiTheme="minorHAnsi" w:cstheme="minorHAnsi"/>
          <w:b w:val="0"/>
          <w:bCs/>
        </w:rPr>
        <w:t xml:space="preserve"> </w:t>
      </w:r>
      <w:hyperlink r:id="rId2" w:history="1">
        <w:r w:rsidR="00D37D5D">
          <w:rPr>
            <w:rStyle w:val="Hyperlink"/>
            <w:rFonts w:asciiTheme="minorHAnsi" w:eastAsia="SimSun" w:hAnsiTheme="minorHAnsi" w:cstheme="minorHAnsi"/>
            <w:b w:val="0"/>
            <w:bCs/>
            <w:sz w:val="24"/>
          </w:rPr>
          <w:t>https://www.itu.int/zh/about/Pages/default.aspx</w:t>
        </w:r>
      </w:hyperlink>
      <w:r w:rsidR="007C04B7">
        <w:rPr>
          <w:rStyle w:val="FootnoteTextChar"/>
          <w:rFonts w:asciiTheme="minorHAnsi" w:eastAsia="SimSun" w:hAnsiTheme="minorHAnsi" w:cstheme="minorHAnsi"/>
          <w:b w:val="0"/>
          <w:bCs/>
        </w:rPr>
        <w:t>.</w:t>
      </w:r>
    </w:p>
  </w:footnote>
  <w:footnote w:id="4">
    <w:p w14:paraId="6BA62F9B" w14:textId="709BF4D0" w:rsidR="00763451" w:rsidRPr="00502648" w:rsidRDefault="00763451" w:rsidP="00CA0289">
      <w:pPr>
        <w:pStyle w:val="Heading1"/>
        <w:shd w:val="clear" w:color="auto" w:fill="FFFFFF"/>
        <w:tabs>
          <w:tab w:val="clear" w:pos="567"/>
          <w:tab w:val="left" w:pos="284"/>
        </w:tabs>
        <w:spacing w:before="0"/>
        <w:ind w:left="0" w:firstLine="0"/>
        <w:rPr>
          <w:rFonts w:ascii="Times New Roman" w:eastAsia="SimSun" w:hAnsi="Times New Roman"/>
          <w:b w:val="0"/>
          <w:bCs/>
          <w:sz w:val="18"/>
          <w:szCs w:val="18"/>
        </w:rPr>
      </w:pPr>
      <w:r w:rsidRPr="00CB2D94">
        <w:rPr>
          <w:rStyle w:val="FootnoteReference"/>
          <w:rFonts w:asciiTheme="minorHAnsi" w:eastAsia="SimSun" w:hAnsiTheme="minorHAnsi" w:cstheme="minorHAnsi"/>
          <w:b w:val="0"/>
          <w:bCs/>
          <w:szCs w:val="18"/>
        </w:rPr>
        <w:footnoteRef/>
      </w:r>
      <w:r w:rsidR="006A7FEA" w:rsidRPr="00502648">
        <w:rPr>
          <w:rStyle w:val="FootnoteReference"/>
          <w:rFonts w:asciiTheme="minorHAnsi" w:hAnsiTheme="minorHAnsi" w:cstheme="minorHAnsi"/>
          <w:b w:val="0"/>
          <w:bCs/>
        </w:rPr>
        <w:tab/>
      </w:r>
      <w:r w:rsidR="00BA05E2">
        <w:rPr>
          <w:rStyle w:val="FootnoteTextChar"/>
          <w:rFonts w:asciiTheme="minorHAnsi" w:eastAsia="SimSun" w:hAnsiTheme="minorHAnsi" w:cstheme="minorHAnsi"/>
          <w:b w:val="0"/>
          <w:bCs/>
        </w:rPr>
        <w:t>Voir les</w:t>
      </w:r>
      <w:r w:rsidRPr="00502648">
        <w:rPr>
          <w:rStyle w:val="FootnoteTextChar"/>
          <w:rFonts w:asciiTheme="minorHAnsi" w:eastAsia="SimSun" w:hAnsiTheme="minorHAnsi" w:cstheme="minorHAnsi"/>
          <w:b w:val="0"/>
          <w:bCs/>
        </w:rPr>
        <w:t xml:space="preserve"> </w:t>
      </w:r>
      <w:r w:rsidR="00502648" w:rsidRPr="00502648">
        <w:rPr>
          <w:rStyle w:val="FootnoteTextChar"/>
          <w:b w:val="0"/>
          <w:bCs/>
          <w:i/>
          <w:iCs/>
        </w:rPr>
        <w:t>Lignes directrices de l'UIT relatives à l'élaboration de plans nationaux pour les télécommunications d'urgence</w:t>
      </w:r>
      <w:r w:rsidRPr="00502648">
        <w:rPr>
          <w:rStyle w:val="FootnoteTextChar"/>
          <w:rFonts w:asciiTheme="minorHAnsi" w:eastAsia="SimSun" w:hAnsiTheme="minorHAnsi" w:cstheme="minorHAnsi"/>
          <w:b w:val="0"/>
          <w:bCs/>
        </w:rPr>
        <w:t xml:space="preserve">, </w:t>
      </w:r>
      <w:hyperlink r:id="rId3" w:history="1">
        <w:r w:rsidRPr="000E362E">
          <w:rPr>
            <w:rStyle w:val="Hyperlink"/>
            <w:rFonts w:asciiTheme="minorHAnsi" w:eastAsia="SimSun" w:hAnsiTheme="minorHAnsi" w:cstheme="minorHAnsi"/>
            <w:b w:val="0"/>
            <w:bCs/>
            <w:sz w:val="24"/>
          </w:rPr>
          <w:t>https://www.itu.int/en/ITU-D/Emergency-Telecommunications/Pages/Publications/Guidelines-for-NETPs.aspx</w:t>
        </w:r>
      </w:hyperlink>
      <w:r w:rsidR="007C04B7">
        <w:rPr>
          <w:rStyle w:val="FootnoteTextChar"/>
          <w:rFonts w:asciiTheme="minorHAnsi" w:eastAsia="SimSun" w:hAnsiTheme="minorHAnsi" w:cstheme="minorHAnsi"/>
          <w:b w:val="0"/>
          <w:bCs/>
        </w:rPr>
        <w:t>.</w:t>
      </w:r>
    </w:p>
  </w:footnote>
  <w:footnote w:id="5">
    <w:p w14:paraId="617D3755" w14:textId="4EFD4A33" w:rsidR="00763451" w:rsidRPr="00502648" w:rsidRDefault="00763451" w:rsidP="00CA0289">
      <w:pPr>
        <w:pStyle w:val="FootnoteText"/>
        <w:ind w:left="0" w:firstLine="0"/>
        <w:rPr>
          <w:rFonts w:ascii="Times New Roman" w:eastAsia="SimSun" w:hAnsi="Times New Roman"/>
          <w:sz w:val="18"/>
          <w:szCs w:val="18"/>
        </w:rPr>
      </w:pPr>
      <w:r w:rsidRPr="00B104C8">
        <w:rPr>
          <w:rStyle w:val="FootnoteReference"/>
          <w:rFonts w:asciiTheme="minorHAnsi" w:eastAsia="SimSun" w:hAnsiTheme="minorHAnsi" w:cstheme="minorHAnsi"/>
          <w:szCs w:val="18"/>
        </w:rPr>
        <w:footnoteRef/>
      </w:r>
      <w:r w:rsidR="000E362E">
        <w:rPr>
          <w:rFonts w:asciiTheme="minorHAnsi" w:eastAsia="SimSun" w:hAnsiTheme="minorHAnsi" w:cstheme="minorHAnsi"/>
          <w:sz w:val="18"/>
          <w:szCs w:val="18"/>
        </w:rPr>
        <w:tab/>
      </w:r>
      <w:r w:rsidR="00C91B0C" w:rsidRPr="00C91B0C">
        <w:rPr>
          <w:rFonts w:eastAsia="SimSun"/>
        </w:rPr>
        <w:t>Cible 3.3 de l'initiative</w:t>
      </w:r>
      <w:r w:rsidR="00502648" w:rsidRPr="00502648">
        <w:rPr>
          <w:rFonts w:eastAsia="SimSun"/>
        </w:rPr>
        <w:t xml:space="preserve"> "Transformer notre monde: le Programme de développement durable à l'horizon 2030"</w:t>
      </w:r>
      <w:r w:rsidR="00C91B0C">
        <w:rPr>
          <w:rFonts w:eastAsia="SimSun"/>
        </w:rPr>
        <w:t xml:space="preserve"> de l'Assemblée générale des Nations Unies:</w:t>
      </w:r>
      <w:r w:rsidRPr="00502648">
        <w:rPr>
          <w:rFonts w:eastAsia="SimSun"/>
        </w:rPr>
        <w:t xml:space="preserve"> "</w:t>
      </w:r>
      <w:r w:rsidR="00C91B0C" w:rsidRPr="00C91B0C">
        <w:rPr>
          <w:rFonts w:eastAsia="SimSun"/>
        </w:rPr>
        <w:t>D</w:t>
      </w:r>
      <w:r w:rsidR="009045E9">
        <w:rPr>
          <w:rFonts w:eastAsia="SimSun"/>
        </w:rPr>
        <w:t>'</w:t>
      </w:r>
      <w:r w:rsidR="00C91B0C" w:rsidRPr="00C91B0C">
        <w:rPr>
          <w:rFonts w:eastAsia="SimSun"/>
        </w:rPr>
        <w:t>ici à 2030, mettre fin à l</w:t>
      </w:r>
      <w:r w:rsidR="009045E9">
        <w:rPr>
          <w:rFonts w:eastAsia="SimSun"/>
        </w:rPr>
        <w:t>'</w:t>
      </w:r>
      <w:r w:rsidR="00C91B0C" w:rsidRPr="00C91B0C">
        <w:rPr>
          <w:rFonts w:eastAsia="SimSun"/>
        </w:rPr>
        <w:t>épidémie de sida, à la tuberculose, au paludisme et aux maladies tropicales négligées et combattre l</w:t>
      </w:r>
      <w:r w:rsidR="009045E9">
        <w:rPr>
          <w:rFonts w:eastAsia="SimSun"/>
        </w:rPr>
        <w:t>'</w:t>
      </w:r>
      <w:r w:rsidR="00C91B0C" w:rsidRPr="00C91B0C">
        <w:rPr>
          <w:rFonts w:eastAsia="SimSun"/>
        </w:rPr>
        <w:t>hépatite, les maladies transmises par l</w:t>
      </w:r>
      <w:r w:rsidR="009045E9">
        <w:rPr>
          <w:rFonts w:eastAsia="SimSun"/>
        </w:rPr>
        <w:t>'</w:t>
      </w:r>
      <w:r w:rsidR="00C91B0C" w:rsidRPr="00C91B0C">
        <w:rPr>
          <w:rFonts w:eastAsia="SimSun"/>
        </w:rPr>
        <w:t>eau et autres maladies transmissibles</w:t>
      </w:r>
      <w:r w:rsidRPr="00502648">
        <w:rPr>
          <w:rFonts w:eastAsia="SimSun"/>
        </w:rPr>
        <w:t xml:space="preserve">"; </w:t>
      </w:r>
      <w:r w:rsidR="00502648" w:rsidRPr="00502648">
        <w:rPr>
          <w:rFonts w:eastAsia="SimSun"/>
        </w:rPr>
        <w:t>Cible 9.1</w:t>
      </w:r>
      <w:r w:rsidR="00C91B0C">
        <w:rPr>
          <w:rFonts w:eastAsia="SimSun"/>
        </w:rPr>
        <w:t>: "</w:t>
      </w:r>
      <w:r w:rsidR="00502648" w:rsidRPr="00502648">
        <w:rPr>
          <w:rFonts w:eastAsia="SimSun"/>
        </w:rPr>
        <w:t>Mettre en place une infrastructure de qualité, fiable, durable et résiliente, y compris une infrastructure régionale et transfrontière, pour favoriser le développement économique et le bien-être de l'être humain, en privilégiant un accès universel, financièrement abordable et équitable</w:t>
      </w:r>
      <w:r w:rsidR="00C91B0C">
        <w:rPr>
          <w:rFonts w:eastAsia="SimSun"/>
        </w:rPr>
        <w:t>"</w:t>
      </w:r>
      <w:r w:rsidRPr="00502648">
        <w:rPr>
          <w:rFonts w:eastAsia="SimSun"/>
        </w:rPr>
        <w:t xml:space="preserve">; </w:t>
      </w:r>
      <w:r w:rsidR="00502648" w:rsidRPr="00502648">
        <w:rPr>
          <w:rFonts w:eastAsia="SimSun"/>
        </w:rPr>
        <w:t>Cible</w:t>
      </w:r>
      <w:r w:rsidR="000E362E">
        <w:rPr>
          <w:rFonts w:eastAsia="SimSun"/>
        </w:rPr>
        <w:t> </w:t>
      </w:r>
      <w:r w:rsidR="00502648" w:rsidRPr="00502648">
        <w:rPr>
          <w:rFonts w:eastAsia="SimSun"/>
        </w:rPr>
        <w:t>11.5</w:t>
      </w:r>
      <w:r w:rsidR="00C91B0C">
        <w:rPr>
          <w:rFonts w:eastAsia="SimSun"/>
        </w:rPr>
        <w:t>:</w:t>
      </w:r>
      <w:r w:rsidR="000E362E">
        <w:rPr>
          <w:rFonts w:eastAsia="SimSun"/>
        </w:rPr>
        <w:t> </w:t>
      </w:r>
      <w:r w:rsidR="00C91B0C">
        <w:rPr>
          <w:rFonts w:eastAsia="SimSun"/>
        </w:rPr>
        <w:t>"</w:t>
      </w:r>
      <w:r w:rsidR="00502648" w:rsidRPr="00502648">
        <w:rPr>
          <w:rFonts w:eastAsia="SimSun"/>
        </w:rPr>
        <w:t>D'ici à 2030, réduire nettement le nombre de personnes tuées et le nombre de personnes touchées par les catastrophes, y compris celles qui sont liées à l'eau, et réduire nettement la part du produit intérieur brut mondial représentée par les pertes économiques directement imputables à ces catastrophes, l'accent étant mis sur la protection des pauvres et des personnes en situation vulnérable</w:t>
      </w:r>
      <w:r w:rsidR="00C91B0C">
        <w:rPr>
          <w:rFonts w:eastAsia="SimSun"/>
        </w:rPr>
        <w:t>"</w:t>
      </w:r>
      <w:r w:rsidRPr="00502648">
        <w:rPr>
          <w:rFonts w:eastAsia="SimSun"/>
        </w:rPr>
        <w:t xml:space="preserve">, </w:t>
      </w:r>
      <w:hyperlink r:id="rId4" w:history="1">
        <w:r w:rsidRPr="000E362E">
          <w:rPr>
            <w:rStyle w:val="Hyperlink"/>
            <w:rFonts w:eastAsia="SimSun"/>
          </w:rPr>
          <w:t>https://www.un.org/zh/documents/treaty/files/A-RES-70-1.shtml</w:t>
        </w:r>
      </w:hyperlink>
      <w:r w:rsidRPr="00502648">
        <w:rPr>
          <w:rFonts w:eastAsia="SimSun"/>
        </w:rPr>
        <w:t>.</w:t>
      </w:r>
    </w:p>
  </w:footnote>
  <w:footnote w:id="6">
    <w:p w14:paraId="1BC0929F" w14:textId="77F49B6F" w:rsidR="00763451" w:rsidRPr="00B104C8" w:rsidRDefault="00763451" w:rsidP="00CA0289">
      <w:pPr>
        <w:pStyle w:val="FootnoteText"/>
        <w:ind w:left="0" w:firstLine="0"/>
        <w:rPr>
          <w:rFonts w:ascii="Times New Roman" w:eastAsia="SimSun" w:hAnsi="Times New Roman"/>
          <w:sz w:val="18"/>
          <w:szCs w:val="18"/>
        </w:rPr>
      </w:pPr>
      <w:r w:rsidRPr="00B104C8">
        <w:rPr>
          <w:rStyle w:val="FootnoteReference"/>
          <w:rFonts w:asciiTheme="minorHAnsi" w:eastAsia="SimSun" w:hAnsiTheme="minorHAnsi" w:cstheme="minorHAnsi"/>
          <w:szCs w:val="18"/>
        </w:rPr>
        <w:footnoteRef/>
      </w:r>
      <w:r w:rsidR="006A7FEA" w:rsidRPr="00B104C8">
        <w:rPr>
          <w:rFonts w:ascii="Times New Roman" w:eastAsia="SimSun" w:hAnsi="Times New Roman"/>
          <w:sz w:val="18"/>
          <w:szCs w:val="18"/>
        </w:rPr>
        <w:tab/>
      </w:r>
      <w:r w:rsidR="00BF0C44">
        <w:rPr>
          <w:rFonts w:eastAsia="SimSun"/>
        </w:rPr>
        <w:t>Voir</w:t>
      </w:r>
      <w:r w:rsidRPr="00B104C8">
        <w:rPr>
          <w:rFonts w:eastAsia="SimSun"/>
        </w:rPr>
        <w:t xml:space="preserve"> </w:t>
      </w:r>
      <w:r w:rsidR="000E362E">
        <w:rPr>
          <w:rFonts w:eastAsia="SimSun"/>
        </w:rPr>
        <w:t>"</w:t>
      </w:r>
      <w:r w:rsidR="00B104C8" w:rsidRPr="0032269D">
        <w:rPr>
          <w:rFonts w:eastAsia="SimSun"/>
          <w:i/>
          <w:iCs/>
        </w:rPr>
        <w:t xml:space="preserve">Roue du changement </w:t>
      </w:r>
      <w:proofErr w:type="gramStart"/>
      <w:r w:rsidR="00B104C8" w:rsidRPr="0032269D">
        <w:rPr>
          <w:rFonts w:eastAsia="SimSun"/>
          <w:i/>
          <w:iCs/>
        </w:rPr>
        <w:t>réglementaire:</w:t>
      </w:r>
      <w:proofErr w:type="gramEnd"/>
      <w:r w:rsidR="00B104C8" w:rsidRPr="0032269D">
        <w:rPr>
          <w:rFonts w:eastAsia="SimSun"/>
          <w:i/>
          <w:iCs/>
        </w:rPr>
        <w:t xml:space="preserve"> La réglementation au service de la transformation numérique</w:t>
      </w:r>
      <w:r w:rsidR="000E362E" w:rsidRPr="000E362E">
        <w:rPr>
          <w:rFonts w:eastAsia="SimSun"/>
        </w:rPr>
        <w:t>"</w:t>
      </w:r>
      <w:r w:rsidRPr="00B104C8">
        <w:rPr>
          <w:rFonts w:eastAsia="SimSun"/>
        </w:rPr>
        <w:t xml:space="preserve">, </w:t>
      </w:r>
      <w:hyperlink r:id="rId5" w:history="1">
        <w:r w:rsidRPr="000E362E">
          <w:rPr>
            <w:rStyle w:val="Hyperlink"/>
            <w:rFonts w:eastAsia="SimSun"/>
          </w:rPr>
          <w:t>https://www.itu.int/en/ITU-D/Conferences/GSR/2020/Documents/Final_Chairmans-Report_GSR-20_C.pdf</w:t>
        </w:r>
      </w:hyperlink>
      <w:r w:rsidRPr="00B104C8">
        <w:rPr>
          <w:rFonts w:eastAsia="SimSun"/>
        </w:rPr>
        <w:t>.</w:t>
      </w:r>
    </w:p>
  </w:footnote>
  <w:footnote w:id="7">
    <w:p w14:paraId="45C58FF7" w14:textId="13498AD7" w:rsidR="00763451" w:rsidRPr="00B104C8" w:rsidRDefault="00763451" w:rsidP="00CA0289">
      <w:pPr>
        <w:pStyle w:val="FootnoteText"/>
        <w:ind w:left="0" w:firstLine="0"/>
        <w:rPr>
          <w:rFonts w:asciiTheme="minorHAnsi" w:eastAsia="SimSun" w:hAnsiTheme="minorHAnsi" w:cstheme="minorHAnsi"/>
          <w:sz w:val="18"/>
          <w:szCs w:val="18"/>
        </w:rPr>
      </w:pPr>
      <w:r w:rsidRPr="00B104C8">
        <w:rPr>
          <w:rStyle w:val="FootnoteReference"/>
          <w:rFonts w:asciiTheme="minorHAnsi" w:eastAsia="SimSun" w:hAnsiTheme="minorHAnsi" w:cstheme="minorHAnsi"/>
          <w:szCs w:val="18"/>
        </w:rPr>
        <w:footnoteRef/>
      </w:r>
      <w:r w:rsidR="006A7FEA" w:rsidRPr="00B104C8">
        <w:rPr>
          <w:rFonts w:asciiTheme="minorHAnsi" w:eastAsia="SimSun" w:hAnsiTheme="minorHAnsi" w:cstheme="minorHAnsi"/>
          <w:sz w:val="18"/>
          <w:szCs w:val="18"/>
        </w:rPr>
        <w:tab/>
      </w:r>
      <w:r w:rsidR="00B104C8" w:rsidRPr="00B104C8">
        <w:rPr>
          <w:rFonts w:asciiTheme="minorHAnsi" w:eastAsia="SimSun" w:hAnsiTheme="minorHAnsi" w:cstheme="minorHAnsi"/>
        </w:rPr>
        <w:t xml:space="preserve">Voir </w:t>
      </w:r>
      <w:r w:rsidR="00380F72">
        <w:rPr>
          <w:rFonts w:asciiTheme="minorHAnsi" w:eastAsia="SimSun" w:hAnsiTheme="minorHAnsi" w:cstheme="minorHAnsi"/>
        </w:rPr>
        <w:t xml:space="preserve">le </w:t>
      </w:r>
      <w:r w:rsidR="00BF0C44" w:rsidRPr="00CA0289">
        <w:rPr>
          <w:rFonts w:asciiTheme="minorHAnsi" w:eastAsia="SimSun" w:hAnsiTheme="minorHAnsi" w:cstheme="minorHAnsi"/>
          <w:i/>
          <w:iCs/>
        </w:rPr>
        <w:t xml:space="preserve">Colloque mondial des </w:t>
      </w:r>
      <w:proofErr w:type="gramStart"/>
      <w:r w:rsidR="00BF0C44" w:rsidRPr="00CA0289">
        <w:rPr>
          <w:rFonts w:asciiTheme="minorHAnsi" w:eastAsia="SimSun" w:hAnsiTheme="minorHAnsi" w:cstheme="minorHAnsi"/>
          <w:i/>
          <w:iCs/>
        </w:rPr>
        <w:t>régulateurs:</w:t>
      </w:r>
      <w:proofErr w:type="gramEnd"/>
      <w:r w:rsidR="00BF0C44" w:rsidRPr="00CA0289">
        <w:rPr>
          <w:rFonts w:asciiTheme="minorHAnsi" w:eastAsia="SimSun" w:hAnsiTheme="minorHAnsi" w:cstheme="minorHAnsi"/>
          <w:i/>
          <w:iCs/>
        </w:rPr>
        <w:t xml:space="preserve"> L</w:t>
      </w:r>
      <w:r w:rsidR="00B104C8" w:rsidRPr="00CA0289">
        <w:rPr>
          <w:rFonts w:asciiTheme="minorHAnsi" w:eastAsia="SimSun" w:hAnsiTheme="minorHAnsi" w:cstheme="minorHAnsi"/>
          <w:i/>
          <w:iCs/>
        </w:rPr>
        <w:t>ignes directrices relatives aux bonnes pratiques du GSR de 202</w:t>
      </w:r>
      <w:r w:rsidR="00CA0289" w:rsidRPr="00CA0289">
        <w:rPr>
          <w:rFonts w:asciiTheme="minorHAnsi" w:eastAsia="SimSun" w:hAnsiTheme="minorHAnsi" w:cstheme="minorHAnsi"/>
          <w:i/>
          <w:iCs/>
        </w:rPr>
        <w:t>0</w:t>
      </w:r>
      <w:r w:rsidR="00BF0C44" w:rsidRPr="00CA0289">
        <w:rPr>
          <w:rFonts w:asciiTheme="minorHAnsi" w:eastAsia="SimSun" w:hAnsiTheme="minorHAnsi" w:cstheme="minorHAnsi"/>
          <w:i/>
          <w:iCs/>
        </w:rPr>
        <w:t xml:space="preserve">: </w:t>
      </w:r>
      <w:r w:rsidR="00B104C8" w:rsidRPr="00CA0289">
        <w:rPr>
          <w:rFonts w:asciiTheme="minorHAnsi" w:eastAsia="SimSun" w:hAnsiTheme="minorHAnsi" w:cstheme="minorHAnsi"/>
          <w:i/>
          <w:iCs/>
        </w:rPr>
        <w:t>Modèle de référence en matière de réglementation du numérique</w:t>
      </w:r>
      <w:r w:rsidR="00BF0C44">
        <w:rPr>
          <w:rFonts w:asciiTheme="minorHAnsi" w:eastAsia="SimSun" w:hAnsiTheme="minorHAnsi" w:cstheme="minorHAnsi"/>
        </w:rPr>
        <w:t>.</w:t>
      </w:r>
      <w:r w:rsidRPr="00B104C8">
        <w:rPr>
          <w:rFonts w:asciiTheme="minorHAnsi" w:eastAsia="SimSun" w:hAnsiTheme="minorHAnsi" w:cstheme="minorHAnsi"/>
        </w:rPr>
        <w:t xml:space="preserve"> </w:t>
      </w:r>
      <w:hyperlink r:id="rId6" w:history="1">
        <w:r w:rsidRPr="00CA0289">
          <w:rPr>
            <w:rStyle w:val="Hyperlink"/>
            <w:rFonts w:asciiTheme="minorHAnsi" w:eastAsia="SimSun" w:hAnsiTheme="minorHAnsi" w:cstheme="minorHAnsi"/>
          </w:rPr>
          <w:t>https://www.itu.int/en/ITU-D/Conferences/GSR/2020/Documents/GSR-20_Best-Practice-Guidelines_Final_C.pdf</w:t>
        </w:r>
      </w:hyperlink>
      <w:r w:rsidRPr="00B104C8">
        <w:rPr>
          <w:rFonts w:asciiTheme="minorHAnsi" w:eastAsia="SimSun" w:hAnsiTheme="minorHAnsi" w:cstheme="minorHAnsi"/>
        </w:rPr>
        <w:t>.</w:t>
      </w:r>
    </w:p>
  </w:footnote>
  <w:footnote w:id="8">
    <w:p w14:paraId="4730C508" w14:textId="3753AD51" w:rsidR="00763451" w:rsidRPr="00B104C8" w:rsidRDefault="00763451" w:rsidP="00CA0289">
      <w:pPr>
        <w:pStyle w:val="FootnoteText"/>
        <w:ind w:left="0" w:firstLine="0"/>
        <w:rPr>
          <w:rFonts w:asciiTheme="minorHAnsi" w:eastAsia="SimSun" w:hAnsiTheme="minorHAnsi" w:cstheme="minorHAnsi"/>
          <w:sz w:val="18"/>
          <w:szCs w:val="18"/>
          <w:lang w:val="en-US"/>
        </w:rPr>
      </w:pPr>
      <w:r w:rsidRPr="00B104C8">
        <w:rPr>
          <w:rStyle w:val="FootnoteReference"/>
          <w:rFonts w:asciiTheme="minorHAnsi" w:hAnsiTheme="minorHAnsi" w:cstheme="minorHAnsi"/>
        </w:rPr>
        <w:footnoteRef/>
      </w:r>
      <w:r w:rsidR="006A7FEA" w:rsidRPr="00B104C8">
        <w:rPr>
          <w:rFonts w:asciiTheme="minorHAnsi" w:hAnsiTheme="minorHAnsi" w:cstheme="minorHAnsi"/>
          <w:lang w:val="en-US"/>
        </w:rPr>
        <w:tab/>
      </w:r>
      <w:proofErr w:type="spellStart"/>
      <w:r w:rsidR="00BF0C44">
        <w:rPr>
          <w:rFonts w:asciiTheme="minorHAnsi" w:eastAsia="SimSun" w:hAnsiTheme="minorHAnsi" w:cstheme="minorHAnsi"/>
          <w:lang w:val="en-US"/>
        </w:rPr>
        <w:t>Voir</w:t>
      </w:r>
      <w:proofErr w:type="spellEnd"/>
      <w:r w:rsidR="00BF0C44">
        <w:rPr>
          <w:rFonts w:asciiTheme="minorHAnsi" w:eastAsia="SimSun" w:hAnsiTheme="minorHAnsi" w:cstheme="minorHAnsi"/>
          <w:lang w:val="en-US"/>
        </w:rPr>
        <w:t xml:space="preserve"> "</w:t>
      </w:r>
      <w:r w:rsidRPr="00B104C8">
        <w:rPr>
          <w:rFonts w:asciiTheme="minorHAnsi" w:eastAsia="SimSun" w:hAnsiTheme="minorHAnsi" w:cstheme="minorHAnsi"/>
          <w:lang w:val="en-US"/>
        </w:rPr>
        <w:t>BBC NEWS, Ebola: Can big data analytics help contain its spread</w:t>
      </w:r>
      <w:r w:rsidR="00BF0C44">
        <w:rPr>
          <w:rFonts w:asciiTheme="minorHAnsi" w:eastAsia="SimSun" w:hAnsiTheme="minorHAnsi" w:cstheme="minorHAnsi"/>
          <w:lang w:val="en-US"/>
        </w:rPr>
        <w:t>"</w:t>
      </w:r>
      <w:r w:rsidRPr="00B104C8">
        <w:rPr>
          <w:rFonts w:asciiTheme="minorHAnsi" w:eastAsia="SimSun" w:hAnsiTheme="minorHAnsi" w:cstheme="minorHAnsi"/>
          <w:lang w:val="en-US"/>
        </w:rPr>
        <w:t xml:space="preserve">, 15 </w:t>
      </w:r>
      <w:proofErr w:type="spellStart"/>
      <w:r w:rsidR="00BF0C44">
        <w:rPr>
          <w:rFonts w:asciiTheme="minorHAnsi" w:eastAsia="SimSun" w:hAnsiTheme="minorHAnsi" w:cstheme="minorHAnsi"/>
          <w:lang w:val="en-US"/>
        </w:rPr>
        <w:t>octobre</w:t>
      </w:r>
      <w:proofErr w:type="spellEnd"/>
      <w:r w:rsidRPr="00B104C8">
        <w:rPr>
          <w:rFonts w:asciiTheme="minorHAnsi" w:eastAsia="SimSun" w:hAnsiTheme="minorHAnsi" w:cstheme="minorHAnsi"/>
          <w:lang w:val="en-US"/>
        </w:rPr>
        <w:t xml:space="preserve"> 2014, </w:t>
      </w:r>
      <w:hyperlink r:id="rId7" w:history="1">
        <w:r w:rsidRPr="00CA0289">
          <w:rPr>
            <w:rStyle w:val="Hyperlink"/>
            <w:rFonts w:asciiTheme="minorHAnsi" w:eastAsia="SimSun" w:hAnsiTheme="minorHAnsi" w:cstheme="minorHAnsi"/>
            <w:lang w:val="en-US"/>
          </w:rPr>
          <w:t>http://www.bbc.com/news/business-29617831</w:t>
        </w:r>
      </w:hyperlink>
      <w:r w:rsidRPr="00B104C8">
        <w:rPr>
          <w:rFonts w:asciiTheme="minorHAnsi" w:eastAsia="SimSun" w:hAnsiTheme="minorHAnsi" w:cstheme="minorHAnsi"/>
          <w:lang w:val="en-US"/>
        </w:rPr>
        <w:t>.</w:t>
      </w:r>
    </w:p>
  </w:footnote>
  <w:footnote w:id="9">
    <w:p w14:paraId="350396A1" w14:textId="256598A1" w:rsidR="00763451" w:rsidRPr="00BF0C44" w:rsidRDefault="00763451" w:rsidP="00CA0289">
      <w:pPr>
        <w:pStyle w:val="FootnoteText"/>
        <w:ind w:left="0" w:firstLine="0"/>
        <w:rPr>
          <w:rFonts w:asciiTheme="minorHAnsi" w:hAnsiTheme="minorHAnsi" w:cstheme="minorHAnsi"/>
        </w:rPr>
      </w:pPr>
      <w:r w:rsidRPr="00B104C8">
        <w:rPr>
          <w:rStyle w:val="FootnoteReference"/>
          <w:rFonts w:asciiTheme="minorHAnsi" w:hAnsiTheme="minorHAnsi" w:cstheme="minorHAnsi"/>
        </w:rPr>
        <w:footnoteRef/>
      </w:r>
      <w:r w:rsidR="006A7FEA" w:rsidRPr="00BF0C44">
        <w:rPr>
          <w:rFonts w:asciiTheme="minorHAnsi" w:hAnsiTheme="minorHAnsi" w:cstheme="minorHAnsi"/>
        </w:rPr>
        <w:tab/>
      </w:r>
      <w:r w:rsidR="00BF0C44" w:rsidRPr="00BF0C44">
        <w:rPr>
          <w:rFonts w:asciiTheme="minorHAnsi" w:eastAsia="SimSun" w:hAnsiTheme="minorHAnsi" w:cstheme="minorHAnsi"/>
        </w:rPr>
        <w:t>Voir le site officiel de l'ap</w:t>
      </w:r>
      <w:r w:rsidR="00BF0C44">
        <w:rPr>
          <w:rFonts w:asciiTheme="minorHAnsi" w:eastAsia="SimSun" w:hAnsiTheme="minorHAnsi" w:cstheme="minorHAnsi"/>
        </w:rPr>
        <w:t xml:space="preserve">plication </w:t>
      </w:r>
      <w:proofErr w:type="spellStart"/>
      <w:r w:rsidRPr="00BF0C44">
        <w:rPr>
          <w:rFonts w:asciiTheme="minorHAnsi" w:eastAsia="SimSun" w:hAnsiTheme="minorHAnsi" w:cstheme="minorHAnsi"/>
        </w:rPr>
        <w:t>Aarogya</w:t>
      </w:r>
      <w:proofErr w:type="spellEnd"/>
      <w:r w:rsidRPr="00BF0C44">
        <w:rPr>
          <w:rFonts w:asciiTheme="minorHAnsi" w:eastAsia="SimSun" w:hAnsiTheme="minorHAnsi" w:cstheme="minorHAnsi"/>
        </w:rPr>
        <w:t xml:space="preserve"> </w:t>
      </w:r>
      <w:proofErr w:type="spellStart"/>
      <w:r w:rsidRPr="00BF0C44">
        <w:rPr>
          <w:rFonts w:asciiTheme="minorHAnsi" w:eastAsia="SimSun" w:hAnsiTheme="minorHAnsi" w:cstheme="minorHAnsi"/>
        </w:rPr>
        <w:t>Setu</w:t>
      </w:r>
      <w:proofErr w:type="spellEnd"/>
      <w:r w:rsidRPr="00BF0C44">
        <w:rPr>
          <w:rFonts w:asciiTheme="minorHAnsi" w:eastAsia="SimSun" w:hAnsiTheme="minorHAnsi" w:cstheme="minorHAnsi"/>
        </w:rPr>
        <w:t xml:space="preserve">, </w:t>
      </w:r>
      <w:hyperlink r:id="rId8" w:history="1">
        <w:r w:rsidRPr="00CA0289">
          <w:rPr>
            <w:rStyle w:val="Hyperlink"/>
            <w:rFonts w:asciiTheme="minorHAnsi" w:eastAsia="SimSun" w:hAnsiTheme="minorHAnsi" w:cstheme="minorHAnsi"/>
          </w:rPr>
          <w:t>https://www.aarogyasetu.gov.in/faq/</w:t>
        </w:r>
      </w:hyperlink>
      <w:r w:rsidRPr="00BF0C44">
        <w:rPr>
          <w:rFonts w:asciiTheme="minorHAnsi" w:eastAsia="SimSun" w:hAnsiTheme="minorHAnsi" w:cstheme="minorHAnsi"/>
        </w:rPr>
        <w:t>.</w:t>
      </w:r>
    </w:p>
  </w:footnote>
  <w:footnote w:id="10">
    <w:p w14:paraId="65B66658" w14:textId="189D12D7" w:rsidR="00763451" w:rsidRPr="00763451" w:rsidRDefault="00763451" w:rsidP="00CA0289">
      <w:pPr>
        <w:pStyle w:val="FootnoteText"/>
        <w:ind w:left="0" w:firstLine="0"/>
        <w:rPr>
          <w:rFonts w:ascii="Times New Roman" w:hAnsi="Times New Roman"/>
          <w:lang w:val="en-US"/>
        </w:rPr>
      </w:pPr>
      <w:r w:rsidRPr="00B104C8">
        <w:rPr>
          <w:rStyle w:val="FootnoteReference"/>
          <w:rFonts w:asciiTheme="minorHAnsi" w:hAnsiTheme="minorHAnsi" w:cstheme="minorHAnsi"/>
        </w:rPr>
        <w:footnoteRef/>
      </w:r>
      <w:r w:rsidR="00B104C8" w:rsidRPr="00755513">
        <w:rPr>
          <w:lang w:val="en-US"/>
        </w:rPr>
        <w:tab/>
      </w:r>
      <w:r w:rsidR="00380F72" w:rsidRPr="00BF0C44">
        <w:rPr>
          <w:rFonts w:asciiTheme="minorHAnsi" w:eastAsia="SimSun" w:hAnsiTheme="minorHAnsi" w:cstheme="minorHAnsi"/>
        </w:rPr>
        <w:t xml:space="preserve">Voir le site officiel </w:t>
      </w:r>
      <w:r w:rsidR="00380F72">
        <w:rPr>
          <w:rFonts w:asciiTheme="minorHAnsi" w:eastAsia="SimSun" w:hAnsiTheme="minorHAnsi" w:cstheme="minorHAnsi"/>
        </w:rPr>
        <w:t>de</w:t>
      </w:r>
      <w:r w:rsidR="00CA0289">
        <w:rPr>
          <w:rFonts w:eastAsia="SimSun"/>
          <w:lang w:val="en-US"/>
        </w:rPr>
        <w:t>"</w:t>
      </w:r>
      <w:r w:rsidRPr="00B104C8">
        <w:rPr>
          <w:rFonts w:eastAsia="SimSun"/>
          <w:lang w:val="en-US"/>
        </w:rPr>
        <w:t>Communication Big Data Itinerary Card</w:t>
      </w:r>
      <w:r w:rsidR="00CA0289">
        <w:rPr>
          <w:rFonts w:eastAsia="SimSun"/>
          <w:lang w:val="en-US"/>
        </w:rPr>
        <w:t>"</w:t>
      </w:r>
      <w:r w:rsidRPr="00B104C8">
        <w:rPr>
          <w:rFonts w:eastAsia="SimSun"/>
          <w:lang w:val="en-US"/>
        </w:rPr>
        <w:t xml:space="preserve">, </w:t>
      </w:r>
      <w:hyperlink r:id="rId9" w:history="1">
        <w:r w:rsidRPr="00CA0289">
          <w:rPr>
            <w:rStyle w:val="Hyperlink"/>
            <w:rFonts w:eastAsia="SimSun"/>
            <w:lang w:val="en-US"/>
          </w:rPr>
          <w:t>https://xc.caict.ac.cn/help.html</w:t>
        </w:r>
      </w:hyperlink>
      <w:r w:rsidRPr="00B104C8">
        <w:rPr>
          <w:rFonts w:eastAsia="SimSun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BB8E1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21F05772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59C89" w14:textId="4C7073DF" w:rsidR="00732045" w:rsidRPr="00FC24D4" w:rsidRDefault="00C27A7C" w:rsidP="00515660">
    <w:pPr>
      <w:pStyle w:val="Header"/>
    </w:pPr>
    <w:r>
      <w:fldChar w:fldCharType="begin"/>
    </w:r>
    <w:r>
      <w:instrText>PAGE</w:instrText>
    </w:r>
    <w:r>
      <w:fldChar w:fldCharType="separate"/>
    </w:r>
    <w:r w:rsidR="009D6C7B">
      <w:rPr>
        <w:noProof/>
      </w:rPr>
      <w:t>2</w:t>
    </w:r>
    <w:r>
      <w:rPr>
        <w:noProof/>
      </w:rPr>
      <w:fldChar w:fldCharType="end"/>
    </w:r>
    <w:r w:rsidR="00FC24D4">
      <w:rPr>
        <w:noProof/>
      </w:rPr>
      <w:br/>
    </w:r>
    <w:r w:rsidR="00FC24D4" w:rsidRPr="00FC24D4">
      <w:rPr>
        <w:bCs/>
      </w:rPr>
      <w:t>CWG-SFP-1/1</w:t>
    </w:r>
    <w:r w:rsidR="00B104C8">
      <w:rPr>
        <w:bCs/>
      </w:rPr>
      <w:t>0</w:t>
    </w:r>
    <w:r w:rsidR="00FC24D4" w:rsidRPr="00FC24D4">
      <w:rPr>
        <w:bCs/>
      </w:rPr>
      <w:t>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FEA7C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EC2A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AC8C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1C64F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CAFA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D6FC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22E7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E446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2A04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C2E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9C0858"/>
    <w:multiLevelType w:val="hybridMultilevel"/>
    <w:tmpl w:val="ED5EE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64D6D"/>
    <w:multiLevelType w:val="hybridMultilevel"/>
    <w:tmpl w:val="029EC916"/>
    <w:lvl w:ilvl="0" w:tplc="0C6AAEBC">
      <w:start w:val="40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895AC0"/>
    <w:multiLevelType w:val="hybridMultilevel"/>
    <w:tmpl w:val="64CAF728"/>
    <w:lvl w:ilvl="0" w:tplc="53647612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F57F5F"/>
    <w:multiLevelType w:val="hybridMultilevel"/>
    <w:tmpl w:val="67382C24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9F1552C"/>
    <w:multiLevelType w:val="hybridMultilevel"/>
    <w:tmpl w:val="985C66C0"/>
    <w:lvl w:ilvl="0" w:tplc="EB582B7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548F4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4A2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47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E8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A054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43E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E9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DA3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A141D1"/>
    <w:multiLevelType w:val="hybridMultilevel"/>
    <w:tmpl w:val="BA1EB88A"/>
    <w:lvl w:ilvl="0" w:tplc="04090003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5329970-4F75-4F3A-AAE2-057C117FFF20}"/>
    <w:docVar w:name="dgnword-eventsink" w:val="2422979629360"/>
  </w:docVars>
  <w:rsids>
    <w:rsidRoot w:val="0044407D"/>
    <w:rsid w:val="00001392"/>
    <w:rsid w:val="00033613"/>
    <w:rsid w:val="00050E0A"/>
    <w:rsid w:val="0006001F"/>
    <w:rsid w:val="00083EF6"/>
    <w:rsid w:val="000D0D0A"/>
    <w:rsid w:val="000E362E"/>
    <w:rsid w:val="000E66E9"/>
    <w:rsid w:val="00103163"/>
    <w:rsid w:val="00115D93"/>
    <w:rsid w:val="001179D8"/>
    <w:rsid w:val="001247A8"/>
    <w:rsid w:val="001378C0"/>
    <w:rsid w:val="00157691"/>
    <w:rsid w:val="00182B08"/>
    <w:rsid w:val="0018694A"/>
    <w:rsid w:val="00192154"/>
    <w:rsid w:val="00197210"/>
    <w:rsid w:val="001A3287"/>
    <w:rsid w:val="001A6508"/>
    <w:rsid w:val="001B2D93"/>
    <w:rsid w:val="001D0B38"/>
    <w:rsid w:val="001D25EB"/>
    <w:rsid w:val="001D4C31"/>
    <w:rsid w:val="001E0114"/>
    <w:rsid w:val="001E42EA"/>
    <w:rsid w:val="001E4D21"/>
    <w:rsid w:val="001E7878"/>
    <w:rsid w:val="00207CD1"/>
    <w:rsid w:val="002477A2"/>
    <w:rsid w:val="00261A7A"/>
    <w:rsid w:val="00263A51"/>
    <w:rsid w:val="00264E11"/>
    <w:rsid w:val="002673E5"/>
    <w:rsid w:val="00267E02"/>
    <w:rsid w:val="00274751"/>
    <w:rsid w:val="00275A42"/>
    <w:rsid w:val="00290AFA"/>
    <w:rsid w:val="002954AF"/>
    <w:rsid w:val="002A5D44"/>
    <w:rsid w:val="002E0BC4"/>
    <w:rsid w:val="002F1B76"/>
    <w:rsid w:val="0032269D"/>
    <w:rsid w:val="00355FF5"/>
    <w:rsid w:val="003561B4"/>
    <w:rsid w:val="00361350"/>
    <w:rsid w:val="003624EF"/>
    <w:rsid w:val="003761D5"/>
    <w:rsid w:val="00376F48"/>
    <w:rsid w:val="00380F72"/>
    <w:rsid w:val="003A4EB1"/>
    <w:rsid w:val="00402B10"/>
    <w:rsid w:val="004038CB"/>
    <w:rsid w:val="0040546F"/>
    <w:rsid w:val="0041212E"/>
    <w:rsid w:val="00415A40"/>
    <w:rsid w:val="0042404A"/>
    <w:rsid w:val="00425F87"/>
    <w:rsid w:val="0044407D"/>
    <w:rsid w:val="0044618F"/>
    <w:rsid w:val="00464C6C"/>
    <w:rsid w:val="0046769A"/>
    <w:rsid w:val="00475FB3"/>
    <w:rsid w:val="004834D6"/>
    <w:rsid w:val="004A4E55"/>
    <w:rsid w:val="004A4FA0"/>
    <w:rsid w:val="004B440F"/>
    <w:rsid w:val="004C37A9"/>
    <w:rsid w:val="004F259E"/>
    <w:rsid w:val="00502648"/>
    <w:rsid w:val="0050626B"/>
    <w:rsid w:val="00511F1D"/>
    <w:rsid w:val="00515660"/>
    <w:rsid w:val="00517190"/>
    <w:rsid w:val="00520BAE"/>
    <w:rsid w:val="00520F36"/>
    <w:rsid w:val="00540615"/>
    <w:rsid w:val="00540A6D"/>
    <w:rsid w:val="00571EEA"/>
    <w:rsid w:val="00575417"/>
    <w:rsid w:val="005768E1"/>
    <w:rsid w:val="005C307F"/>
    <w:rsid w:val="005C3890"/>
    <w:rsid w:val="005F7BFE"/>
    <w:rsid w:val="00600017"/>
    <w:rsid w:val="006224B9"/>
    <w:rsid w:val="00622526"/>
    <w:rsid w:val="006235CA"/>
    <w:rsid w:val="00644CF6"/>
    <w:rsid w:val="006643AB"/>
    <w:rsid w:val="00674891"/>
    <w:rsid w:val="006A697F"/>
    <w:rsid w:val="006A7FEA"/>
    <w:rsid w:val="00720F7A"/>
    <w:rsid w:val="00721016"/>
    <w:rsid w:val="007210CD"/>
    <w:rsid w:val="00732045"/>
    <w:rsid w:val="007369DB"/>
    <w:rsid w:val="0074521D"/>
    <w:rsid w:val="007475BB"/>
    <w:rsid w:val="00755513"/>
    <w:rsid w:val="00756E95"/>
    <w:rsid w:val="00763451"/>
    <w:rsid w:val="00791A54"/>
    <w:rsid w:val="00792E35"/>
    <w:rsid w:val="007956C2"/>
    <w:rsid w:val="007A187E"/>
    <w:rsid w:val="007C04B7"/>
    <w:rsid w:val="007C72C2"/>
    <w:rsid w:val="007D4436"/>
    <w:rsid w:val="007E3E88"/>
    <w:rsid w:val="007F257A"/>
    <w:rsid w:val="007F3665"/>
    <w:rsid w:val="00800037"/>
    <w:rsid w:val="008379AF"/>
    <w:rsid w:val="008475F4"/>
    <w:rsid w:val="00856E34"/>
    <w:rsid w:val="00861D73"/>
    <w:rsid w:val="008666BD"/>
    <w:rsid w:val="008A4E87"/>
    <w:rsid w:val="008C5036"/>
    <w:rsid w:val="008D76E6"/>
    <w:rsid w:val="008F5231"/>
    <w:rsid w:val="009045E9"/>
    <w:rsid w:val="0092392D"/>
    <w:rsid w:val="0093234A"/>
    <w:rsid w:val="0098078F"/>
    <w:rsid w:val="009A143D"/>
    <w:rsid w:val="009C307F"/>
    <w:rsid w:val="009D17A6"/>
    <w:rsid w:val="009D6C7B"/>
    <w:rsid w:val="009F642D"/>
    <w:rsid w:val="00A2113E"/>
    <w:rsid w:val="00A23A51"/>
    <w:rsid w:val="00A24607"/>
    <w:rsid w:val="00A25CD3"/>
    <w:rsid w:val="00A82767"/>
    <w:rsid w:val="00AA332F"/>
    <w:rsid w:val="00AA7BBB"/>
    <w:rsid w:val="00AB4DF4"/>
    <w:rsid w:val="00AB64A8"/>
    <w:rsid w:val="00AC0266"/>
    <w:rsid w:val="00AD24EC"/>
    <w:rsid w:val="00AE57BE"/>
    <w:rsid w:val="00AF56AD"/>
    <w:rsid w:val="00B104C8"/>
    <w:rsid w:val="00B1656A"/>
    <w:rsid w:val="00B20B18"/>
    <w:rsid w:val="00B22860"/>
    <w:rsid w:val="00B309F9"/>
    <w:rsid w:val="00B32B60"/>
    <w:rsid w:val="00B61619"/>
    <w:rsid w:val="00B72DC6"/>
    <w:rsid w:val="00B749D5"/>
    <w:rsid w:val="00BA05E2"/>
    <w:rsid w:val="00BA3817"/>
    <w:rsid w:val="00BB4490"/>
    <w:rsid w:val="00BB4545"/>
    <w:rsid w:val="00BD5873"/>
    <w:rsid w:val="00BF0C44"/>
    <w:rsid w:val="00C04BE3"/>
    <w:rsid w:val="00C14F68"/>
    <w:rsid w:val="00C25D29"/>
    <w:rsid w:val="00C27A7C"/>
    <w:rsid w:val="00C3602D"/>
    <w:rsid w:val="00C604A5"/>
    <w:rsid w:val="00C7400E"/>
    <w:rsid w:val="00C77B9A"/>
    <w:rsid w:val="00C91B0C"/>
    <w:rsid w:val="00CA0289"/>
    <w:rsid w:val="00CA08ED"/>
    <w:rsid w:val="00CB2D94"/>
    <w:rsid w:val="00CD0673"/>
    <w:rsid w:val="00CF183B"/>
    <w:rsid w:val="00D039A6"/>
    <w:rsid w:val="00D168DD"/>
    <w:rsid w:val="00D375CD"/>
    <w:rsid w:val="00D37D5D"/>
    <w:rsid w:val="00D553A2"/>
    <w:rsid w:val="00D610E4"/>
    <w:rsid w:val="00D70651"/>
    <w:rsid w:val="00D73C53"/>
    <w:rsid w:val="00D76368"/>
    <w:rsid w:val="00D774D3"/>
    <w:rsid w:val="00D904E8"/>
    <w:rsid w:val="00D93E2C"/>
    <w:rsid w:val="00DA0137"/>
    <w:rsid w:val="00DA08C3"/>
    <w:rsid w:val="00DB0C29"/>
    <w:rsid w:val="00DB5A3E"/>
    <w:rsid w:val="00DB5EB8"/>
    <w:rsid w:val="00DC22AA"/>
    <w:rsid w:val="00DD5A89"/>
    <w:rsid w:val="00DF74DD"/>
    <w:rsid w:val="00E10843"/>
    <w:rsid w:val="00E11212"/>
    <w:rsid w:val="00E23176"/>
    <w:rsid w:val="00E25AD0"/>
    <w:rsid w:val="00E532D1"/>
    <w:rsid w:val="00E56B46"/>
    <w:rsid w:val="00E61DBD"/>
    <w:rsid w:val="00E61EE6"/>
    <w:rsid w:val="00E817A0"/>
    <w:rsid w:val="00EB6350"/>
    <w:rsid w:val="00EC5E54"/>
    <w:rsid w:val="00ED41A7"/>
    <w:rsid w:val="00EF5BE1"/>
    <w:rsid w:val="00F06495"/>
    <w:rsid w:val="00F12404"/>
    <w:rsid w:val="00F15B57"/>
    <w:rsid w:val="00F427DB"/>
    <w:rsid w:val="00FA2BE1"/>
    <w:rsid w:val="00FA5EB1"/>
    <w:rsid w:val="00FA7439"/>
    <w:rsid w:val="00FC24D4"/>
    <w:rsid w:val="00FC4EC0"/>
    <w:rsid w:val="00FD0C3F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337CB027"/>
  <w15:docId w15:val="{4EFCA2D6-9B68-4B24-A1A3-4E1D6C9D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,Style 12,(NECG) Footnote Reference,Style 124,Appel note de bas de p + 11 pt,Italic,Appel note de bas de p1,Appel note de bas de p2,Appel note de bas de p3,o"/>
    <w:basedOn w:val="DefaultParagraphFont"/>
    <w:qFormat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aliases w:val="ALTS FOOTNOTE,Footnote Text Char1,Footnote Text... +"/>
    <w:basedOn w:val="Normal"/>
    <w:link w:val="FootnoteTextChar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AnnexNoTitle">
    <w:name w:val="Annex_No&amp;Title"/>
    <w:basedOn w:val="AnnexNo"/>
    <w:qFormat/>
    <w:rsid w:val="00D76368"/>
    <w:pPr>
      <w:keepNext/>
      <w:keepLines/>
      <w:tabs>
        <w:tab w:val="clear" w:pos="567"/>
        <w:tab w:val="left" w:pos="851"/>
      </w:tabs>
      <w:spacing w:before="480" w:after="80"/>
    </w:pPr>
    <w:rPr>
      <w:rFonts w:eastAsia="Batang" w:cs="Times New Roman Bold"/>
      <w:b/>
      <w:caps w:val="0"/>
      <w:color w:val="4A442A"/>
      <w:sz w:val="34"/>
      <w:lang w:val="en-GB"/>
    </w:rPr>
  </w:style>
  <w:style w:type="table" w:styleId="LightList-Accent1">
    <w:name w:val="Light List Accent 1"/>
    <w:basedOn w:val="TableNormal"/>
    <w:uiPriority w:val="61"/>
    <w:rsid w:val="00D76368"/>
    <w:rPr>
      <w:rFonts w:asciiTheme="minorHAnsi" w:eastAsiaTheme="minorEastAsia" w:hAnsiTheme="minorHAnsi" w:cstheme="minorBidi"/>
      <w:sz w:val="24"/>
      <w:szCs w:val="24"/>
      <w:lang w:val="fr-FR"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mmentReference">
    <w:name w:val="annotation reference"/>
    <w:semiHidden/>
    <w:rsid w:val="008C5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C503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8C5036"/>
    <w:rPr>
      <w:rFonts w:asciiTheme="minorHAnsi" w:eastAsia="SimSun" w:hAnsiTheme="minorHAnsi"/>
    </w:rPr>
  </w:style>
  <w:style w:type="paragraph" w:styleId="ListParagraph">
    <w:name w:val="List Paragraph"/>
    <w:basedOn w:val="Normal"/>
    <w:link w:val="ListParagraphChar"/>
    <w:uiPriority w:val="34"/>
    <w:qFormat/>
    <w:rsid w:val="0019721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 w:val="22"/>
      <w:szCs w:val="24"/>
      <w:lang w:val="en-US" w:eastAsia="zh-CN"/>
    </w:rPr>
  </w:style>
  <w:style w:type="character" w:styleId="Emphasis">
    <w:name w:val="Emphasis"/>
    <w:uiPriority w:val="20"/>
    <w:qFormat/>
    <w:rsid w:val="00BB4490"/>
    <w:rPr>
      <w:i/>
      <w:iCs/>
    </w:rPr>
  </w:style>
  <w:style w:type="table" w:styleId="PlainTable4">
    <w:name w:val="Plain Table 4"/>
    <w:basedOn w:val="TableNormal"/>
    <w:uiPriority w:val="44"/>
    <w:rsid w:val="00BB4490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1E7878"/>
    <w:rPr>
      <w:rFonts w:asciiTheme="minorHAnsi" w:eastAsia="SimSun" w:hAnsiTheme="minorHAnsi"/>
      <w:sz w:val="22"/>
      <w:szCs w:val="24"/>
    </w:rPr>
  </w:style>
  <w:style w:type="character" w:customStyle="1" w:styleId="FootnoteTextChar">
    <w:name w:val="Footnote Text Char"/>
    <w:aliases w:val="ALTS FOOTNOTE Char,Footnote Text Char1 Char,Footnote Text... + Char"/>
    <w:basedOn w:val="DefaultParagraphFont"/>
    <w:link w:val="FootnoteText"/>
    <w:rsid w:val="00763451"/>
    <w:rPr>
      <w:rFonts w:ascii="Calibri" w:hAnsi="Calibri"/>
      <w:sz w:val="24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04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arogyasetu.gov.in/faq/" TargetMode="External"/><Relationship Id="rId3" Type="http://schemas.openxmlformats.org/officeDocument/2006/relationships/hyperlink" Target="https://www.itu.int/en/ITU-D/Emergency-Telecommunications/Pages/Publications/Guidelines-for-NETPs.aspx" TargetMode="External"/><Relationship Id="rId7" Type="http://schemas.openxmlformats.org/officeDocument/2006/relationships/hyperlink" Target="https://www.bbc.com/news/business-29617831" TargetMode="External"/><Relationship Id="rId2" Type="http://schemas.openxmlformats.org/officeDocument/2006/relationships/hyperlink" Target="https://www.itu.int/fr/about/Pages/default.aspx" TargetMode="External"/><Relationship Id="rId1" Type="http://schemas.openxmlformats.org/officeDocument/2006/relationships/hyperlink" Target="https://www.itu.int/en/ITU-D/Conferences/GSR/2020/Documents/ITU_COVID-19_and_Telecom-ICT.pdf" TargetMode="External"/><Relationship Id="rId6" Type="http://schemas.openxmlformats.org/officeDocument/2006/relationships/hyperlink" Target="https://www.itu.int/en/ITU-D/Conferences/GSR/2020/Documents/GSR-20_Best-Practice-Guidelines_Final_F.pdf" TargetMode="External"/><Relationship Id="rId5" Type="http://schemas.openxmlformats.org/officeDocument/2006/relationships/hyperlink" Target="https://www.itu.int/en/ITU-D/Conferences/GSR/2020/Documents/Final_Chairmans-Report_GSR-20_F.pdf" TargetMode="External"/><Relationship Id="rId4" Type="http://schemas.openxmlformats.org/officeDocument/2006/relationships/hyperlink" Target="https://www.un.org/zh/documents/treaty/files/A-RES-70-1.shtml" TargetMode="External"/><Relationship Id="rId9" Type="http://schemas.openxmlformats.org/officeDocument/2006/relationships/hyperlink" Target="https://xc.caict.ac.cn/help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A8C2C-511D-4A64-A6B0-54B7B8AF4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PF_C17.dotx</Template>
  <TotalTime>0</TotalTime>
  <Pages>4</Pages>
  <Words>1254</Words>
  <Characters>7087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Projet d'ordre du jour -Groupe de Travail du Conseil chargé d'élaborer le plan stratégique et le plan financier pour la période 2024-2027</vt:lpstr>
    </vt:vector>
  </TitlesOfParts>
  <Manager>Secrétariat général - Pool</Manager>
  <Company>Union internationale des télécommunications (UIT)</Company>
  <LinksUpToDate>false</LinksUpToDate>
  <CharactersWithSpaces>8325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de la République populaire de Chine - Recommandations visant à integrer les tic au service des urgences de santé publique de portée internationale dans les buts stratégiques enonces dans le plan stratégique de l'UIT pour la periode 2024-2027</dc:title>
  <dc:subject>Counciil Working Group for Strategic and Financial Plans 2024-2027</dc:subject>
  <dc:creator>Royer, Veronique</dc:creator>
  <cp:keywords>CWG-SFP, CWG, CWGs &amp; EGs</cp:keywords>
  <dc:description/>
  <cp:lastModifiedBy>Xue, Kun</cp:lastModifiedBy>
  <cp:revision>2</cp:revision>
  <cp:lastPrinted>2018-04-04T11:54:00Z</cp:lastPrinted>
  <dcterms:created xsi:type="dcterms:W3CDTF">2021-09-20T07:08:00Z</dcterms:created>
  <dcterms:modified xsi:type="dcterms:W3CDTF">2021-09-20T07:08:00Z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