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37" w:type="dxa"/>
        <w:tblLayout w:type="fixed"/>
        <w:tblLook w:val="0000" w:firstRow="0" w:lastRow="0" w:firstColumn="0" w:lastColumn="0" w:noHBand="0" w:noVBand="0"/>
      </w:tblPr>
      <w:tblGrid>
        <w:gridCol w:w="6237"/>
        <w:gridCol w:w="3600"/>
      </w:tblGrid>
      <w:tr w:rsidR="00923A1B" w14:paraId="1BA6AB20" w14:textId="77777777" w:rsidTr="003370ED">
        <w:trPr>
          <w:cantSplit/>
          <w:trHeight w:val="851"/>
        </w:trPr>
        <w:tc>
          <w:tcPr>
            <w:tcW w:w="6237" w:type="dxa"/>
            <w:vAlign w:val="center"/>
          </w:tcPr>
          <w:p w14:paraId="725EBB16" w14:textId="4C77810B" w:rsidR="00923A1B" w:rsidRPr="003370ED" w:rsidRDefault="00D412C7" w:rsidP="00D412C7">
            <w:pPr>
              <w:shd w:val="solid" w:color="FFFFFF" w:fill="FFFFFF"/>
              <w:spacing w:before="40" w:after="120"/>
              <w:rPr>
                <w:rFonts w:cs="Times"/>
                <w:b/>
                <w:sz w:val="30"/>
                <w:szCs w:val="30"/>
              </w:rPr>
            </w:pPr>
            <w:r w:rsidRPr="00D412C7">
              <w:rPr>
                <w:rFonts w:cs="Times"/>
                <w:b/>
                <w:sz w:val="30"/>
                <w:szCs w:val="30"/>
              </w:rPr>
              <w:t>Council Working Group for</w:t>
            </w:r>
            <w:r>
              <w:rPr>
                <w:rFonts w:cs="Times"/>
                <w:b/>
                <w:sz w:val="30"/>
                <w:szCs w:val="30"/>
              </w:rPr>
              <w:br/>
            </w:r>
            <w:r w:rsidRPr="00D412C7">
              <w:rPr>
                <w:rFonts w:cs="Times"/>
                <w:b/>
                <w:sz w:val="30"/>
                <w:szCs w:val="30"/>
              </w:rPr>
              <w:t>Strategic and Financial Plans 2024-2027</w:t>
            </w:r>
            <w:r w:rsidR="003370ED">
              <w:rPr>
                <w:rFonts w:cs="Times"/>
                <w:b/>
                <w:sz w:val="30"/>
                <w:szCs w:val="30"/>
              </w:rPr>
              <w:br/>
            </w:r>
            <w:r>
              <w:rPr>
                <w:rFonts w:cs="Times New Roman Bold"/>
                <w:b/>
                <w:sz w:val="24"/>
              </w:rPr>
              <w:t>First meeting</w:t>
            </w:r>
            <w:r w:rsidRPr="001B506B">
              <w:rPr>
                <w:rFonts w:cs="Times New Roman Bold"/>
                <w:b/>
                <w:sz w:val="24"/>
              </w:rPr>
              <w:t xml:space="preserve"> </w:t>
            </w:r>
            <w:r w:rsidRPr="001B506B">
              <w:rPr>
                <w:rFonts w:eastAsia="Calibri" w:cs="Calibri"/>
                <w:b/>
                <w:color w:val="000000"/>
                <w:sz w:val="24"/>
              </w:rPr>
              <w:t>–</w:t>
            </w:r>
            <w:r w:rsidRPr="000F2E67">
              <w:rPr>
                <w:rFonts w:cs="Times New Roman Bold"/>
                <w:b/>
                <w:sz w:val="24"/>
              </w:rPr>
              <w:t xml:space="preserve"> </w:t>
            </w:r>
            <w:r>
              <w:rPr>
                <w:rFonts w:cs="Times New Roman Bold"/>
                <w:b/>
                <w:sz w:val="24"/>
              </w:rPr>
              <w:t>Virtual</w:t>
            </w:r>
            <w:r w:rsidRPr="000F2E67">
              <w:rPr>
                <w:rFonts w:cs="Times New Roman Bold"/>
                <w:b/>
                <w:sz w:val="24"/>
              </w:rPr>
              <w:t xml:space="preserve">, </w:t>
            </w:r>
            <w:r>
              <w:rPr>
                <w:rFonts w:cs="Times New Roman Bold"/>
                <w:b/>
                <w:sz w:val="24"/>
              </w:rPr>
              <w:t>29-30 September 2021</w:t>
            </w:r>
          </w:p>
        </w:tc>
        <w:tc>
          <w:tcPr>
            <w:tcW w:w="3600" w:type="dxa"/>
            <w:vAlign w:val="center"/>
          </w:tcPr>
          <w:p w14:paraId="373C3414" w14:textId="77777777" w:rsidR="00923A1B" w:rsidRDefault="00B36E39" w:rsidP="000950D1">
            <w:pPr>
              <w:pStyle w:val="dnum"/>
              <w:framePr w:hSpace="0" w:wrap="auto" w:vAnchor="margin" w:hAnchor="text" w:yAlign="inline"/>
              <w:spacing w:after="120"/>
            </w:pPr>
            <w:r>
              <w:rPr>
                <w:noProof/>
              </w:rPr>
              <w:drawing>
                <wp:inline distT="0" distB="0" distL="0" distR="0" wp14:anchorId="322B3A0D" wp14:editId="3F5ECE27">
                  <wp:extent cx="682302"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2302" cy="720000"/>
                          </a:xfrm>
                          <a:prstGeom prst="rect">
                            <a:avLst/>
                          </a:prstGeom>
                        </pic:spPr>
                      </pic:pic>
                    </a:graphicData>
                  </a:graphic>
                </wp:inline>
              </w:drawing>
            </w:r>
          </w:p>
        </w:tc>
      </w:tr>
      <w:tr w:rsidR="00923A1B" w:rsidRPr="00F5094D" w14:paraId="2DE1D477" w14:textId="77777777" w:rsidTr="00D30768">
        <w:trPr>
          <w:cantSplit/>
          <w:trHeight w:val="138"/>
        </w:trPr>
        <w:tc>
          <w:tcPr>
            <w:tcW w:w="6237" w:type="dxa"/>
            <w:tcBorders>
              <w:top w:val="single" w:sz="12" w:space="0" w:color="auto"/>
            </w:tcBorders>
          </w:tcPr>
          <w:p w14:paraId="63FFA584" w14:textId="77777777" w:rsidR="00923A1B" w:rsidRDefault="00923A1B" w:rsidP="0025471D">
            <w:pPr>
              <w:shd w:val="solid" w:color="FFFFFF" w:fill="FFFFFF"/>
              <w:spacing w:after="0"/>
              <w:ind w:right="284"/>
            </w:pPr>
          </w:p>
        </w:tc>
        <w:tc>
          <w:tcPr>
            <w:tcW w:w="3600" w:type="dxa"/>
            <w:tcBorders>
              <w:top w:val="single" w:sz="12" w:space="0" w:color="auto"/>
            </w:tcBorders>
          </w:tcPr>
          <w:p w14:paraId="617DB050" w14:textId="77777777" w:rsidR="00923A1B" w:rsidRPr="00F5094D" w:rsidRDefault="00923A1B" w:rsidP="0025471D">
            <w:pPr>
              <w:tabs>
                <w:tab w:val="left" w:pos="851"/>
              </w:tabs>
              <w:spacing w:after="0"/>
              <w:ind w:right="284"/>
              <w:rPr>
                <w:rFonts w:ascii="Times New Roman Bold" w:hAnsi="Times New Roman Bold" w:cs="Times New Roman Bold"/>
                <w:b/>
              </w:rPr>
            </w:pPr>
          </w:p>
        </w:tc>
      </w:tr>
      <w:tr w:rsidR="00923A1B" w:rsidRPr="00FB38F1" w14:paraId="38544AD0" w14:textId="77777777" w:rsidTr="00D30768">
        <w:trPr>
          <w:cantSplit/>
          <w:trHeight w:val="138"/>
        </w:trPr>
        <w:tc>
          <w:tcPr>
            <w:tcW w:w="6237" w:type="dxa"/>
          </w:tcPr>
          <w:p w14:paraId="4BA0A62E" w14:textId="77777777" w:rsidR="00923A1B" w:rsidRPr="002238C4" w:rsidRDefault="00923A1B" w:rsidP="0025471D">
            <w:pPr>
              <w:spacing w:after="0"/>
              <w:rPr>
                <w:b/>
                <w:bCs/>
                <w:sz w:val="24"/>
                <w:szCs w:val="24"/>
              </w:rPr>
            </w:pPr>
          </w:p>
        </w:tc>
        <w:tc>
          <w:tcPr>
            <w:tcW w:w="3600" w:type="dxa"/>
          </w:tcPr>
          <w:p w14:paraId="6D142174" w14:textId="487F1942" w:rsidR="00923A1B" w:rsidRPr="00FB38F1" w:rsidRDefault="00923A1B" w:rsidP="00877393">
            <w:pPr>
              <w:spacing w:after="0"/>
              <w:rPr>
                <w:b/>
                <w:bCs/>
                <w:sz w:val="24"/>
                <w:szCs w:val="24"/>
                <w:lang w:val="fr-CH"/>
              </w:rPr>
            </w:pPr>
            <w:r w:rsidRPr="00FB38F1">
              <w:rPr>
                <w:b/>
                <w:bCs/>
                <w:sz w:val="24"/>
                <w:szCs w:val="24"/>
                <w:lang w:val="fr-CH"/>
              </w:rPr>
              <w:t xml:space="preserve">Document </w:t>
            </w:r>
            <w:r w:rsidR="00D412C7" w:rsidRPr="00FB38F1">
              <w:rPr>
                <w:rFonts w:cs="Times New Roman Bold"/>
                <w:b/>
                <w:spacing w:val="-4"/>
                <w:sz w:val="24"/>
                <w:lang w:val="de-CH"/>
              </w:rPr>
              <w:t>CWG-SFP-1</w:t>
            </w:r>
            <w:r w:rsidR="00877393" w:rsidRPr="00FB38F1">
              <w:rPr>
                <w:b/>
                <w:bCs/>
                <w:sz w:val="24"/>
                <w:szCs w:val="24"/>
                <w:lang w:val="fr-CH"/>
              </w:rPr>
              <w:t>/</w:t>
            </w:r>
            <w:r w:rsidR="009E2EE9">
              <w:rPr>
                <w:b/>
                <w:bCs/>
                <w:sz w:val="24"/>
                <w:szCs w:val="24"/>
                <w:lang w:val="fr-CH"/>
              </w:rPr>
              <w:t>10</w:t>
            </w:r>
            <w:r w:rsidR="00877393" w:rsidRPr="00FB38F1">
              <w:rPr>
                <w:b/>
                <w:bCs/>
                <w:sz w:val="24"/>
                <w:szCs w:val="24"/>
                <w:lang w:val="fr-CH"/>
              </w:rPr>
              <w:t>-</w:t>
            </w:r>
            <w:r w:rsidR="00D30768" w:rsidRPr="00FB38F1">
              <w:rPr>
                <w:b/>
                <w:bCs/>
                <w:sz w:val="24"/>
                <w:szCs w:val="24"/>
                <w:lang w:val="fr-CH"/>
              </w:rPr>
              <w:t>E</w:t>
            </w:r>
          </w:p>
        </w:tc>
      </w:tr>
      <w:tr w:rsidR="00923A1B" w:rsidRPr="00FB38F1" w14:paraId="76706AA6" w14:textId="77777777" w:rsidTr="00D30768">
        <w:trPr>
          <w:cantSplit/>
          <w:trHeight w:val="138"/>
        </w:trPr>
        <w:tc>
          <w:tcPr>
            <w:tcW w:w="6237" w:type="dxa"/>
          </w:tcPr>
          <w:p w14:paraId="14C6E827" w14:textId="77777777" w:rsidR="00923A1B" w:rsidRPr="00FB38F1" w:rsidRDefault="00923A1B" w:rsidP="0025471D">
            <w:pPr>
              <w:shd w:val="solid" w:color="FFFFFF" w:fill="FFFFFF"/>
              <w:spacing w:after="0"/>
              <w:ind w:right="284"/>
              <w:rPr>
                <w:lang w:val="fr-CH"/>
              </w:rPr>
            </w:pPr>
          </w:p>
        </w:tc>
        <w:tc>
          <w:tcPr>
            <w:tcW w:w="3600" w:type="dxa"/>
          </w:tcPr>
          <w:p w14:paraId="2DC4EACC" w14:textId="58737359" w:rsidR="00923A1B" w:rsidRPr="00FB38F1" w:rsidRDefault="00FB38F1" w:rsidP="00877393">
            <w:pPr>
              <w:tabs>
                <w:tab w:val="left" w:pos="851"/>
              </w:tabs>
              <w:spacing w:after="0"/>
              <w:ind w:right="284"/>
              <w:rPr>
                <w:b/>
                <w:sz w:val="24"/>
                <w:szCs w:val="24"/>
              </w:rPr>
            </w:pPr>
            <w:r w:rsidRPr="00FB38F1">
              <w:rPr>
                <w:rFonts w:hint="eastAsia"/>
                <w:b/>
                <w:sz w:val="24"/>
                <w:szCs w:val="24"/>
              </w:rPr>
              <w:t>1</w:t>
            </w:r>
            <w:r w:rsidR="00391600">
              <w:rPr>
                <w:b/>
                <w:sz w:val="24"/>
                <w:szCs w:val="24"/>
              </w:rPr>
              <w:t>3</w:t>
            </w:r>
            <w:r w:rsidRPr="00FB38F1">
              <w:rPr>
                <w:b/>
                <w:sz w:val="24"/>
                <w:szCs w:val="24"/>
              </w:rPr>
              <w:t xml:space="preserve"> September </w:t>
            </w:r>
            <w:r w:rsidR="00923A1B" w:rsidRPr="00FB38F1">
              <w:rPr>
                <w:b/>
                <w:sz w:val="24"/>
                <w:szCs w:val="24"/>
              </w:rPr>
              <w:t>20</w:t>
            </w:r>
            <w:r w:rsidR="00877393" w:rsidRPr="00FB38F1">
              <w:rPr>
                <w:b/>
                <w:sz w:val="24"/>
                <w:szCs w:val="24"/>
              </w:rPr>
              <w:t>2</w:t>
            </w:r>
            <w:r w:rsidR="002C22D5" w:rsidRPr="00FB38F1">
              <w:rPr>
                <w:b/>
                <w:sz w:val="24"/>
                <w:szCs w:val="24"/>
              </w:rPr>
              <w:t>1</w:t>
            </w:r>
          </w:p>
        </w:tc>
      </w:tr>
      <w:tr w:rsidR="00923A1B" w:rsidRPr="00FB38F1" w14:paraId="6E76302A" w14:textId="77777777" w:rsidTr="00D30768">
        <w:trPr>
          <w:cantSplit/>
          <w:trHeight w:val="138"/>
        </w:trPr>
        <w:tc>
          <w:tcPr>
            <w:tcW w:w="6237" w:type="dxa"/>
          </w:tcPr>
          <w:p w14:paraId="51B85AA4" w14:textId="77777777" w:rsidR="00923A1B" w:rsidRPr="00FB38F1" w:rsidRDefault="00923A1B" w:rsidP="0025471D">
            <w:pPr>
              <w:shd w:val="solid" w:color="FFFFFF" w:fill="FFFFFF"/>
              <w:spacing w:after="0"/>
              <w:ind w:right="284"/>
            </w:pPr>
          </w:p>
        </w:tc>
        <w:tc>
          <w:tcPr>
            <w:tcW w:w="3600" w:type="dxa"/>
          </w:tcPr>
          <w:p w14:paraId="287A14A1" w14:textId="266124AC" w:rsidR="00923A1B" w:rsidRPr="00FB38F1" w:rsidRDefault="00D412C7" w:rsidP="0025471D">
            <w:pPr>
              <w:tabs>
                <w:tab w:val="left" w:pos="851"/>
              </w:tabs>
              <w:spacing w:after="0"/>
              <w:ind w:right="284"/>
              <w:rPr>
                <w:b/>
                <w:sz w:val="24"/>
                <w:szCs w:val="24"/>
              </w:rPr>
            </w:pPr>
            <w:r w:rsidRPr="00FB38F1">
              <w:rPr>
                <w:b/>
                <w:sz w:val="24"/>
                <w:szCs w:val="24"/>
              </w:rPr>
              <w:t>Original: English</w:t>
            </w:r>
          </w:p>
        </w:tc>
      </w:tr>
    </w:tbl>
    <w:p w14:paraId="4722A6A1" w14:textId="77777777" w:rsidR="000854C6" w:rsidRPr="00FB38F1" w:rsidRDefault="000854C6" w:rsidP="003370ED">
      <w:pPr>
        <w:tabs>
          <w:tab w:val="right" w:pos="8789"/>
        </w:tabs>
        <w:spacing w:before="120" w:line="240" w:lineRule="auto"/>
        <w:rPr>
          <w:sz w:val="24"/>
          <w:szCs w:val="24"/>
        </w:rPr>
      </w:pPr>
    </w:p>
    <w:p w14:paraId="175F5392" w14:textId="77777777" w:rsidR="00877393" w:rsidRPr="00FB38F1" w:rsidRDefault="00877393" w:rsidP="00FB38F1">
      <w:pPr>
        <w:spacing w:line="240" w:lineRule="auto"/>
        <w:rPr>
          <w:b/>
        </w:rPr>
      </w:pPr>
    </w:p>
    <w:p w14:paraId="3F15BCCA" w14:textId="77777777" w:rsidR="00877393" w:rsidRPr="00FB38F1" w:rsidRDefault="00877393" w:rsidP="00391600">
      <w:pPr>
        <w:spacing w:line="240" w:lineRule="auto"/>
        <w:jc w:val="center"/>
        <w:rPr>
          <w:b/>
        </w:rPr>
      </w:pPr>
    </w:p>
    <w:p w14:paraId="3FF8666D" w14:textId="4D5F27AC" w:rsidR="00877393" w:rsidRPr="00FB38F1" w:rsidRDefault="00877393" w:rsidP="00391600">
      <w:pPr>
        <w:spacing w:line="240" w:lineRule="auto"/>
        <w:jc w:val="center"/>
        <w:rPr>
          <w:b/>
          <w:sz w:val="28"/>
        </w:rPr>
      </w:pPr>
      <w:r w:rsidRPr="00FB38F1">
        <w:rPr>
          <w:b/>
          <w:sz w:val="28"/>
        </w:rPr>
        <w:t xml:space="preserve">Contribution by </w:t>
      </w:r>
      <w:r w:rsidR="00FB38F1" w:rsidRPr="00FB38F1">
        <w:rPr>
          <w:b/>
          <w:sz w:val="28"/>
        </w:rPr>
        <w:t>the People’s Republic of China</w:t>
      </w:r>
    </w:p>
    <w:p w14:paraId="01F658A1" w14:textId="505F198C" w:rsidR="00877393" w:rsidRDefault="00A7414F" w:rsidP="00391600">
      <w:pPr>
        <w:spacing w:line="240" w:lineRule="auto"/>
        <w:jc w:val="center"/>
        <w:rPr>
          <w:bCs/>
          <w:sz w:val="28"/>
          <w:szCs w:val="28"/>
        </w:rPr>
      </w:pPr>
      <w:r w:rsidRPr="00A7414F">
        <w:rPr>
          <w:bCs/>
          <w:sz w:val="28"/>
          <w:szCs w:val="28"/>
        </w:rPr>
        <w:t>Recommendations to Include the ICTs for Public Health Emergency of International Concern (PHEIC) into the Strategic Goals of ITU Strategic Plan for 2024-2027</w:t>
      </w:r>
    </w:p>
    <w:p w14:paraId="456D6B23" w14:textId="77777777" w:rsidR="00A7414F" w:rsidRPr="00A7414F" w:rsidRDefault="00A7414F" w:rsidP="00391600">
      <w:pPr>
        <w:keepNext/>
        <w:keepLines/>
        <w:spacing w:before="360" w:after="120" w:line="240" w:lineRule="auto"/>
        <w:outlineLvl w:val="0"/>
        <w:rPr>
          <w:rFonts w:eastAsia="仿宋" w:cstheme="minorHAnsi"/>
          <w:color w:val="2E74B5"/>
          <w:sz w:val="24"/>
          <w:szCs w:val="24"/>
          <w:lang w:val="en-US"/>
        </w:rPr>
      </w:pPr>
      <w:r w:rsidRPr="00A7414F">
        <w:rPr>
          <w:rFonts w:eastAsia="仿宋" w:cstheme="minorHAnsi"/>
          <w:color w:val="2E74B5"/>
          <w:sz w:val="24"/>
          <w:szCs w:val="24"/>
          <w:lang w:val="en-US"/>
        </w:rPr>
        <w:t>Background</w:t>
      </w:r>
    </w:p>
    <w:p w14:paraId="11B404F8" w14:textId="0953B018" w:rsidR="00A7414F" w:rsidRPr="00A7414F" w:rsidRDefault="00A7414F" w:rsidP="00391600">
      <w:pPr>
        <w:spacing w:before="120" w:after="120" w:line="240" w:lineRule="auto"/>
        <w:jc w:val="both"/>
        <w:rPr>
          <w:rFonts w:eastAsia="仿宋" w:cstheme="minorHAnsi"/>
          <w:sz w:val="24"/>
          <w:szCs w:val="24"/>
          <w:lang w:val="en-US"/>
        </w:rPr>
      </w:pPr>
      <w:r w:rsidRPr="00A7414F">
        <w:rPr>
          <w:rFonts w:eastAsia="仿宋" w:cstheme="minorHAnsi"/>
          <w:sz w:val="24"/>
          <w:szCs w:val="24"/>
          <w:lang w:val="en-US"/>
        </w:rPr>
        <w:t>On July 15, 2021, the World Health Organization (WHO) declared that the COVID-19 pandemic continued to constitute a Public Health Emergency of International Concern (PHEIC).</w:t>
      </w:r>
      <w:r w:rsidRPr="00A7414F">
        <w:rPr>
          <w:rFonts w:eastAsia="仿宋" w:cstheme="minorHAnsi"/>
          <w:sz w:val="24"/>
          <w:szCs w:val="24"/>
          <w:vertAlign w:val="superscript"/>
          <w:lang w:val="en-US"/>
        </w:rPr>
        <w:footnoteReference w:id="1"/>
      </w:r>
      <w:r w:rsidRPr="00A7414F">
        <w:rPr>
          <w:rFonts w:eastAsia="仿宋" w:cstheme="minorHAnsi"/>
          <w:sz w:val="24"/>
          <w:szCs w:val="24"/>
          <w:lang w:val="en-US"/>
        </w:rPr>
        <w:t xml:space="preserve"> Judging from the WHO's declarations, PHEICs are occurring more frequently since the beginning of the 21st century, and their spread and impact are expanding from regional to global, causing huge impacts on global population and economic development. Today, telecommunications and ICTs are offering new tools for mankind to respond to public health emergencies and are indispensable core inputs for the global and national economy and the well-being of all societies. They have played a significant part in both the emergency response and recovery phases of public health </w:t>
      </w:r>
      <w:proofErr w:type="gramStart"/>
      <w:r w:rsidRPr="00A7414F">
        <w:rPr>
          <w:rFonts w:eastAsia="仿宋" w:cstheme="minorHAnsi"/>
          <w:sz w:val="24"/>
          <w:szCs w:val="24"/>
          <w:lang w:val="en-US"/>
        </w:rPr>
        <w:t>emergencies, and</w:t>
      </w:r>
      <w:proofErr w:type="gramEnd"/>
      <w:r w:rsidRPr="00A7414F">
        <w:rPr>
          <w:rFonts w:eastAsia="仿宋" w:cstheme="minorHAnsi"/>
          <w:sz w:val="24"/>
          <w:szCs w:val="24"/>
          <w:lang w:val="en-US"/>
        </w:rPr>
        <w:t xml:space="preserve"> are showing great potentials for development.</w:t>
      </w:r>
      <w:r w:rsidRPr="00A7414F">
        <w:rPr>
          <w:rFonts w:eastAsia="仿宋" w:cstheme="minorHAnsi"/>
          <w:position w:val="6"/>
          <w:sz w:val="24"/>
          <w:szCs w:val="24"/>
          <w:vertAlign w:val="superscript"/>
          <w:lang w:val="en-US"/>
        </w:rPr>
        <w:footnoteReference w:id="2"/>
      </w:r>
      <w:r w:rsidRPr="00A7414F">
        <w:rPr>
          <w:rFonts w:eastAsia="仿宋" w:cstheme="minorHAnsi"/>
          <w:sz w:val="24"/>
          <w:szCs w:val="24"/>
          <w:lang w:val="en-US"/>
        </w:rPr>
        <w:t xml:space="preserve"> The ITU is the United Nations specialized agency for information and communication technologies (ICTs). It allocates global radio spectrum and satellite orbits, develops the technical standards that ensure networks and technologies seamlessly interconnect, and strives to improve access to ICTs to underserved communities worldwide.</w:t>
      </w:r>
      <w:r w:rsidRPr="00A7414F">
        <w:rPr>
          <w:rFonts w:eastAsia="仿宋" w:cstheme="minorHAnsi"/>
          <w:position w:val="6"/>
          <w:sz w:val="24"/>
          <w:szCs w:val="24"/>
          <w:vertAlign w:val="superscript"/>
          <w:lang w:val="en-US"/>
        </w:rPr>
        <w:footnoteReference w:id="3"/>
      </w:r>
      <w:r w:rsidRPr="00A7414F">
        <w:rPr>
          <w:rFonts w:eastAsia="SimSun" w:cstheme="minorHAnsi"/>
          <w:position w:val="6"/>
          <w:sz w:val="24"/>
          <w:szCs w:val="24"/>
          <w:vertAlign w:val="superscript"/>
          <w:lang w:val="en-US"/>
        </w:rPr>
        <w:t xml:space="preserve"> </w:t>
      </w:r>
      <w:r w:rsidRPr="00A7414F">
        <w:rPr>
          <w:rFonts w:eastAsia="仿宋" w:cstheme="minorHAnsi"/>
          <w:sz w:val="24"/>
          <w:szCs w:val="24"/>
          <w:lang w:val="en-US"/>
        </w:rPr>
        <w:t xml:space="preserve">By leveraging its strengths during the pandemic, the ITU has become an important force in ensuring the resilience and connectivity of the world. It launched the Global Network Resiliency Platform (#REG4COVID) in March 2020 to assist national policy-makers, regulators and </w:t>
      </w:r>
      <w:r w:rsidRPr="00A7414F">
        <w:rPr>
          <w:rFonts w:eastAsia="仿宋" w:cstheme="minorHAnsi"/>
          <w:sz w:val="24"/>
          <w:szCs w:val="24"/>
          <w:lang w:val="en-US"/>
        </w:rPr>
        <w:lastRenderedPageBreak/>
        <w:t xml:space="preserve">industry stakeholders in responding to the increasing pressures on global networks during the COVID-19 crisis, and published the </w:t>
      </w:r>
      <w:r w:rsidRPr="00A7414F">
        <w:rPr>
          <w:rFonts w:eastAsia="仿宋" w:cstheme="minorHAnsi"/>
          <w:i/>
          <w:sz w:val="24"/>
          <w:szCs w:val="24"/>
          <w:lang w:val="en-US"/>
        </w:rPr>
        <w:t xml:space="preserve">ITU Guidelines for National Emergency Telecommunication Plans </w:t>
      </w:r>
      <w:r w:rsidRPr="00A7414F">
        <w:rPr>
          <w:rFonts w:eastAsia="仿宋" w:cstheme="minorHAnsi"/>
          <w:sz w:val="24"/>
          <w:szCs w:val="24"/>
          <w:lang w:val="en-US"/>
        </w:rPr>
        <w:t>for the development and implementation of national emergency telecommunication plans (NETPs) and any other tailored contingency plans, which cover infectious diseases by disaster type.</w:t>
      </w:r>
      <w:r w:rsidRPr="00A7414F">
        <w:rPr>
          <w:rFonts w:eastAsia="仿宋" w:cstheme="minorHAnsi"/>
          <w:position w:val="6"/>
          <w:sz w:val="24"/>
          <w:szCs w:val="24"/>
          <w:vertAlign w:val="superscript"/>
          <w:lang w:val="en-US"/>
        </w:rPr>
        <w:footnoteReference w:id="4"/>
      </w:r>
    </w:p>
    <w:p w14:paraId="422F5D1C" w14:textId="77777777" w:rsidR="00A7414F" w:rsidRPr="00A7414F" w:rsidRDefault="00A7414F" w:rsidP="00391600">
      <w:pPr>
        <w:spacing w:before="120" w:after="120" w:line="240" w:lineRule="auto"/>
        <w:jc w:val="both"/>
        <w:rPr>
          <w:rFonts w:eastAsia="仿宋" w:cstheme="minorHAnsi"/>
          <w:sz w:val="24"/>
          <w:szCs w:val="24"/>
          <w:lang w:val="en-US"/>
        </w:rPr>
      </w:pPr>
      <w:r w:rsidRPr="00A7414F">
        <w:rPr>
          <w:rFonts w:eastAsia="仿宋" w:cstheme="minorHAnsi"/>
          <w:sz w:val="24"/>
          <w:szCs w:val="24"/>
          <w:lang w:val="en-US"/>
        </w:rPr>
        <w:t xml:space="preserve">Internationally, the United Nations General Assembly adopted the </w:t>
      </w:r>
      <w:r w:rsidRPr="00A7414F">
        <w:rPr>
          <w:rFonts w:eastAsia="仿宋" w:cstheme="minorHAnsi"/>
          <w:i/>
          <w:sz w:val="24"/>
          <w:szCs w:val="24"/>
          <w:lang w:val="en-US"/>
        </w:rPr>
        <w:t>Transforming our World: the 2030 Agenda for Sustainable Development</w:t>
      </w:r>
      <w:r w:rsidRPr="00A7414F">
        <w:rPr>
          <w:rFonts w:eastAsia="仿宋" w:cstheme="minorHAnsi"/>
          <w:sz w:val="24"/>
          <w:szCs w:val="24"/>
          <w:lang w:val="en-US"/>
        </w:rPr>
        <w:t xml:space="preserve"> in 2015, which sets such goals as "ensure healthy lives and promote well-being for all at all ages" "build resilient infrastructure, promote inclusive and sustainable industrialization and foster innovation" and "make cities and human settlements inclusive, safe, resilient and sustainable".</w:t>
      </w:r>
      <w:r w:rsidRPr="00A7414F">
        <w:rPr>
          <w:rFonts w:eastAsia="仿宋" w:cstheme="minorHAnsi"/>
          <w:position w:val="6"/>
          <w:sz w:val="24"/>
          <w:szCs w:val="24"/>
          <w:vertAlign w:val="superscript"/>
          <w:lang w:val="en-US"/>
        </w:rPr>
        <w:footnoteReference w:id="5"/>
      </w:r>
      <w:r w:rsidRPr="00A7414F">
        <w:rPr>
          <w:rFonts w:eastAsia="SimSun" w:cstheme="minorHAnsi"/>
          <w:position w:val="6"/>
          <w:sz w:val="24"/>
          <w:szCs w:val="24"/>
          <w:vertAlign w:val="superscript"/>
          <w:lang w:val="en-US"/>
        </w:rPr>
        <w:t xml:space="preserve"> </w:t>
      </w:r>
      <w:r w:rsidRPr="00A7414F">
        <w:rPr>
          <w:rFonts w:eastAsia="仿宋" w:cstheme="minorHAnsi"/>
          <w:sz w:val="24"/>
          <w:szCs w:val="24"/>
          <w:lang w:val="en-US"/>
        </w:rPr>
        <w:t>The 20</w:t>
      </w:r>
      <w:r w:rsidRPr="00A7414F">
        <w:rPr>
          <w:rFonts w:eastAsia="仿宋" w:cstheme="minorHAnsi"/>
          <w:sz w:val="24"/>
          <w:szCs w:val="24"/>
          <w:vertAlign w:val="superscript"/>
          <w:lang w:val="en-US"/>
        </w:rPr>
        <w:t>th</w:t>
      </w:r>
      <w:r w:rsidRPr="00A7414F">
        <w:rPr>
          <w:rFonts w:eastAsia="仿宋" w:cstheme="minorHAnsi"/>
          <w:sz w:val="24"/>
          <w:szCs w:val="24"/>
          <w:lang w:val="en-US"/>
        </w:rPr>
        <w:t xml:space="preserve"> Edition of ITU GSR (GSR-20) proposed the creation of an adaptive, resilient, collaborative and fit-for-purpose regulatory ecosystem to build back better, drive digital transformation for all, and respond to the challenges of digital transformation in the aftermath of global crises and beyond.</w:t>
      </w:r>
      <w:r w:rsidRPr="00A7414F">
        <w:rPr>
          <w:rFonts w:eastAsia="仿宋" w:cstheme="minorHAnsi"/>
          <w:position w:val="6"/>
          <w:sz w:val="24"/>
          <w:szCs w:val="24"/>
          <w:vertAlign w:val="superscript"/>
          <w:lang w:val="en-US"/>
        </w:rPr>
        <w:footnoteReference w:id="6"/>
      </w:r>
      <w:r w:rsidRPr="00A7414F">
        <w:rPr>
          <w:rFonts w:eastAsia="仿宋" w:cstheme="minorHAnsi"/>
          <w:position w:val="6"/>
          <w:sz w:val="24"/>
          <w:szCs w:val="24"/>
          <w:vertAlign w:val="superscript"/>
          <w:lang w:val="en-US"/>
        </w:rPr>
        <w:t xml:space="preserve"> </w:t>
      </w:r>
      <w:r w:rsidRPr="00A7414F">
        <w:rPr>
          <w:rFonts w:eastAsia="仿宋" w:cstheme="minorHAnsi"/>
          <w:sz w:val="24"/>
          <w:szCs w:val="24"/>
          <w:lang w:val="en-US"/>
        </w:rPr>
        <w:t>The outcome of the GSR is the</w:t>
      </w:r>
      <w:r w:rsidRPr="00A7414F">
        <w:rPr>
          <w:rFonts w:eastAsia="仿宋" w:cstheme="minorHAnsi"/>
          <w:i/>
          <w:sz w:val="24"/>
          <w:szCs w:val="24"/>
          <w:lang w:val="en-US"/>
        </w:rPr>
        <w:t xml:space="preserve"> Best Practice Guidelines: The gold standard for digital regulation</w:t>
      </w:r>
      <w:r w:rsidRPr="00A7414F">
        <w:rPr>
          <w:rFonts w:eastAsia="仿宋" w:cstheme="minorHAnsi"/>
          <w:sz w:val="24"/>
          <w:szCs w:val="24"/>
          <w:lang w:val="en-US"/>
        </w:rPr>
        <w:t>. One of the proposed reforms is to upgrade national emergency plans: creation and implementation of effective emergency plans provides for better preparedness for and decision-making during crises. Bilateral, regional and international cooperation is required to ensure business and public service continuity and underpin national recovery efforts. Policymakers should ensure that these plans, if they do not already do so, address health emergencies as well as physical disasters.</w:t>
      </w:r>
      <w:r w:rsidRPr="00A7414F">
        <w:rPr>
          <w:rFonts w:eastAsia="仿宋" w:cstheme="minorHAnsi"/>
          <w:position w:val="6"/>
          <w:sz w:val="24"/>
          <w:szCs w:val="24"/>
          <w:vertAlign w:val="superscript"/>
          <w:lang w:val="en-US"/>
        </w:rPr>
        <w:footnoteReference w:id="7"/>
      </w:r>
      <w:r w:rsidRPr="00A7414F">
        <w:rPr>
          <w:rFonts w:eastAsia="仿宋" w:cstheme="minorHAnsi"/>
          <w:sz w:val="24"/>
          <w:szCs w:val="24"/>
          <w:lang w:val="en-US"/>
        </w:rPr>
        <w:t xml:space="preserve"> </w:t>
      </w:r>
    </w:p>
    <w:p w14:paraId="2E13CBCC" w14:textId="2E26CA71" w:rsidR="00A7414F" w:rsidRPr="00A7414F" w:rsidRDefault="00A7414F" w:rsidP="00391600">
      <w:pPr>
        <w:spacing w:before="120" w:after="120" w:line="240" w:lineRule="auto"/>
        <w:jc w:val="both"/>
        <w:rPr>
          <w:rFonts w:eastAsia="仿宋" w:cstheme="minorHAnsi"/>
          <w:sz w:val="24"/>
          <w:szCs w:val="24"/>
          <w:lang w:val="en-US"/>
        </w:rPr>
      </w:pPr>
      <w:r w:rsidRPr="00A7414F">
        <w:rPr>
          <w:rFonts w:eastAsia="仿宋" w:cstheme="minorHAnsi"/>
          <w:sz w:val="24"/>
          <w:szCs w:val="24"/>
          <w:lang w:val="en-US"/>
        </w:rPr>
        <w:t>From the perspective of member states, countries all place a high priority on the important role of ICTs in preventing and controlling public health emergencies. Many countries have already used communication records and data to track the dynamics of the pandemic, trace the history of exposure to the virus, locate virus transmission paths, and predict the developments of the pandemic. During the</w:t>
      </w:r>
      <w:r w:rsidR="00391600">
        <w:rPr>
          <w:rFonts w:eastAsia="仿宋" w:cstheme="minorHAnsi"/>
          <w:sz w:val="24"/>
          <w:szCs w:val="24"/>
          <w:lang w:val="en-US"/>
        </w:rPr>
        <w:t xml:space="preserve"> </w:t>
      </w:r>
      <w:r w:rsidRPr="00A7414F">
        <w:rPr>
          <w:rFonts w:eastAsia="仿宋" w:cstheme="minorHAnsi"/>
          <w:sz w:val="24"/>
          <w:szCs w:val="24"/>
          <w:lang w:val="en-US"/>
        </w:rPr>
        <w:t xml:space="preserve">2014 Outbreak of Ebola in multiple countries in West Africa, Orange Telecom in Senegal supplied anonymous voice and SMS messages extracted from 150,000 cell phones to </w:t>
      </w:r>
      <w:proofErr w:type="spellStart"/>
      <w:r w:rsidRPr="00A7414F">
        <w:rPr>
          <w:rFonts w:eastAsia="仿宋" w:cstheme="minorHAnsi"/>
          <w:sz w:val="24"/>
          <w:szCs w:val="24"/>
          <w:lang w:val="en-US"/>
        </w:rPr>
        <w:t>Flowminder</w:t>
      </w:r>
      <w:proofErr w:type="spellEnd"/>
      <w:r w:rsidRPr="00A7414F">
        <w:rPr>
          <w:rFonts w:eastAsia="仿宋" w:cstheme="minorHAnsi"/>
          <w:sz w:val="24"/>
          <w:szCs w:val="24"/>
          <w:lang w:val="en-US"/>
        </w:rPr>
        <w:t>,</w:t>
      </w:r>
      <w:r w:rsidR="00391600">
        <w:rPr>
          <w:rFonts w:eastAsia="仿宋" w:cstheme="minorHAnsi"/>
          <w:sz w:val="24"/>
          <w:szCs w:val="24"/>
          <w:lang w:val="en-US"/>
        </w:rPr>
        <w:t xml:space="preserve"> </w:t>
      </w:r>
      <w:r w:rsidRPr="00A7414F">
        <w:rPr>
          <w:rFonts w:eastAsia="仿宋" w:cstheme="minorHAnsi"/>
          <w:sz w:val="24"/>
          <w:szCs w:val="24"/>
          <w:lang w:val="en-US"/>
        </w:rPr>
        <w:t xml:space="preserve">a Swedish nonprofit organization, which used the information to map population movements in the region, locate local outbreak areas, predict the spread of the virus, and provide first-hand information for the rational distribution of medical supplies and the optimal routing of aids. The U.S. Centers for Disease Control and Prevention (CDC) obtained location information from mobile operators for users calling the Ebola helpline and commissioned Esri, a mapping software company, to use this location information and population survey data to create a visualized map, which clearly shows the location and migration path of people infected with the virus, helping the </w:t>
      </w:r>
      <w:r w:rsidRPr="00A7414F">
        <w:rPr>
          <w:rFonts w:eastAsia="仿宋" w:cstheme="minorHAnsi"/>
          <w:sz w:val="24"/>
          <w:szCs w:val="24"/>
          <w:lang w:val="en-US"/>
        </w:rPr>
        <w:lastRenderedPageBreak/>
        <w:t>government mobilize more medical resources to assist residents in the area.</w:t>
      </w:r>
      <w:r w:rsidRPr="00A7414F">
        <w:rPr>
          <w:rFonts w:eastAsia="仿宋" w:cstheme="minorHAnsi"/>
          <w:position w:val="6"/>
          <w:sz w:val="16"/>
          <w:szCs w:val="16"/>
          <w:lang w:val="en-US"/>
        </w:rPr>
        <w:footnoteReference w:id="8"/>
      </w:r>
      <w:r w:rsidRPr="00A7414F">
        <w:rPr>
          <w:rFonts w:eastAsia="仿宋" w:cstheme="minorHAnsi"/>
          <w:sz w:val="24"/>
          <w:szCs w:val="24"/>
          <w:lang w:val="en-US"/>
        </w:rPr>
        <w:t xml:space="preserve"> In 2020, the Indian government developed a mobile app called "</w:t>
      </w:r>
      <w:proofErr w:type="spellStart"/>
      <w:r w:rsidRPr="00A7414F">
        <w:rPr>
          <w:rFonts w:eastAsia="仿宋" w:cstheme="minorHAnsi"/>
          <w:sz w:val="24"/>
          <w:szCs w:val="24"/>
          <w:lang w:val="en-US"/>
        </w:rPr>
        <w:t>Aarogya</w:t>
      </w:r>
      <w:proofErr w:type="spellEnd"/>
      <w:r w:rsidRPr="00A7414F">
        <w:rPr>
          <w:rFonts w:eastAsia="仿宋" w:cstheme="minorHAnsi"/>
          <w:sz w:val="24"/>
          <w:szCs w:val="24"/>
          <w:lang w:val="en-US"/>
        </w:rPr>
        <w:t xml:space="preserve"> </w:t>
      </w:r>
      <w:proofErr w:type="spellStart"/>
      <w:r w:rsidRPr="00A7414F">
        <w:rPr>
          <w:rFonts w:eastAsia="仿宋" w:cstheme="minorHAnsi"/>
          <w:sz w:val="24"/>
          <w:szCs w:val="24"/>
          <w:lang w:val="en-US"/>
        </w:rPr>
        <w:t>Setu</w:t>
      </w:r>
      <w:proofErr w:type="spellEnd"/>
      <w:r w:rsidRPr="00A7414F">
        <w:rPr>
          <w:rFonts w:eastAsia="仿宋" w:cstheme="minorHAnsi"/>
          <w:sz w:val="24"/>
          <w:szCs w:val="24"/>
          <w:lang w:val="en-US"/>
        </w:rPr>
        <w:t>", which uses the Bluetooth to automatically track contacts and conduct location-based COVID-19 statistics.</w:t>
      </w:r>
      <w:r w:rsidRPr="00A7414F">
        <w:rPr>
          <w:rFonts w:eastAsia="仿宋" w:cstheme="minorHAnsi"/>
          <w:position w:val="6"/>
          <w:sz w:val="16"/>
          <w:szCs w:val="16"/>
          <w:lang w:val="en-US"/>
        </w:rPr>
        <w:footnoteReference w:id="9"/>
      </w:r>
      <w:r w:rsidRPr="00A7414F">
        <w:rPr>
          <w:rFonts w:eastAsia="仿宋" w:cstheme="minorHAnsi"/>
          <w:sz w:val="24"/>
          <w:szCs w:val="24"/>
          <w:lang w:val="en-US"/>
        </w:rPr>
        <w:t xml:space="preserve"> China launched the "Communication Big Data Travel Card" during the pandemic, which allows individuals to check their domestic and international itineraries for the past 14 days, and explores the use of communication big data to create a new generation of models for the monitoring, prevention and control of communicable diseases.</w:t>
      </w:r>
      <w:r w:rsidRPr="00A7414F">
        <w:rPr>
          <w:rFonts w:eastAsia="仿宋" w:cstheme="minorHAnsi"/>
          <w:position w:val="6"/>
          <w:sz w:val="16"/>
          <w:szCs w:val="16"/>
          <w:lang w:val="en-US"/>
        </w:rPr>
        <w:footnoteReference w:id="10"/>
      </w:r>
      <w:r w:rsidRPr="00A7414F">
        <w:rPr>
          <w:rFonts w:eastAsia="仿宋" w:cstheme="minorHAnsi"/>
          <w:sz w:val="24"/>
          <w:szCs w:val="24"/>
          <w:lang w:val="en-US"/>
        </w:rPr>
        <w:t xml:space="preserve"> </w:t>
      </w:r>
    </w:p>
    <w:p w14:paraId="487E15AB" w14:textId="77777777" w:rsidR="00A7414F" w:rsidRPr="00A7414F" w:rsidRDefault="00A7414F" w:rsidP="00391600">
      <w:pPr>
        <w:spacing w:before="360" w:after="120" w:line="240" w:lineRule="auto"/>
        <w:rPr>
          <w:rFonts w:eastAsia="仿宋" w:cstheme="minorHAnsi"/>
          <w:color w:val="2E74B5"/>
          <w:sz w:val="24"/>
          <w:szCs w:val="24"/>
          <w:lang w:val="en-US"/>
        </w:rPr>
      </w:pPr>
      <w:r w:rsidRPr="00A7414F">
        <w:rPr>
          <w:rFonts w:eastAsia="仿宋" w:cstheme="minorHAnsi"/>
          <w:color w:val="2E74B5"/>
          <w:sz w:val="24"/>
          <w:szCs w:val="24"/>
          <w:lang w:val="en-US"/>
        </w:rPr>
        <w:t>Analysis</w:t>
      </w:r>
    </w:p>
    <w:p w14:paraId="281222AE" w14:textId="77777777" w:rsidR="00A7414F" w:rsidRPr="00A7414F" w:rsidRDefault="00A7414F" w:rsidP="00391600">
      <w:pPr>
        <w:spacing w:before="120" w:after="120" w:line="240" w:lineRule="auto"/>
        <w:jc w:val="both"/>
        <w:rPr>
          <w:rFonts w:eastAsia="仿宋" w:cstheme="minorHAnsi"/>
          <w:sz w:val="24"/>
          <w:szCs w:val="24"/>
          <w:lang w:val="en-US"/>
        </w:rPr>
      </w:pPr>
      <w:r w:rsidRPr="00A7414F">
        <w:rPr>
          <w:rFonts w:eastAsia="仿宋" w:cstheme="minorHAnsi"/>
          <w:sz w:val="24"/>
          <w:szCs w:val="24"/>
          <w:lang w:val="en-US"/>
        </w:rPr>
        <w:t>The ITU Strategic Plan is a strategic document developed in accordance with the Constitution and the Convention of the Union and is an important document that will guide the activities of the Union for a four-year period. The goals identified in Resolution 71 (Rev. Dubai, 2018) on the ITU strategic plan for 2020-2023 do not yet clearly show the latest developments and impact of ICTs for PHEIC, and it is recommended to include this into the Plan for the next four years and take it into consideration.</w:t>
      </w:r>
    </w:p>
    <w:p w14:paraId="5AC933B8" w14:textId="0AE962BE" w:rsidR="00A7414F" w:rsidRPr="00A7414F" w:rsidRDefault="00A7414F" w:rsidP="00391600">
      <w:pPr>
        <w:widowControl w:val="0"/>
        <w:tabs>
          <w:tab w:val="left" w:pos="2800"/>
        </w:tabs>
        <w:spacing w:before="360" w:after="120" w:line="240" w:lineRule="auto"/>
        <w:jc w:val="both"/>
        <w:rPr>
          <w:rFonts w:eastAsia="仿宋" w:cstheme="minorHAnsi"/>
          <w:color w:val="2E74B5"/>
          <w:sz w:val="24"/>
          <w:szCs w:val="24"/>
          <w:lang w:val="en-US"/>
        </w:rPr>
      </w:pPr>
      <w:r w:rsidRPr="00A7414F">
        <w:rPr>
          <w:rFonts w:eastAsia="仿宋" w:cstheme="minorHAnsi"/>
          <w:color w:val="2E74B5"/>
          <w:sz w:val="24"/>
          <w:szCs w:val="24"/>
          <w:lang w:val="en-US"/>
        </w:rPr>
        <w:t>Proposal</w:t>
      </w:r>
    </w:p>
    <w:p w14:paraId="73D1F0C2" w14:textId="77777777" w:rsidR="00A7414F" w:rsidRPr="00A7414F" w:rsidRDefault="00A7414F" w:rsidP="00391600">
      <w:pPr>
        <w:widowControl w:val="0"/>
        <w:spacing w:before="120" w:after="120" w:line="240" w:lineRule="auto"/>
        <w:jc w:val="both"/>
        <w:rPr>
          <w:rFonts w:eastAsia="仿宋" w:cstheme="minorHAnsi"/>
          <w:sz w:val="24"/>
          <w:szCs w:val="24"/>
          <w:lang w:val="en-US"/>
        </w:rPr>
      </w:pPr>
      <w:r w:rsidRPr="00A7414F">
        <w:rPr>
          <w:rFonts w:eastAsia="仿宋" w:cstheme="minorHAnsi"/>
          <w:sz w:val="24"/>
          <w:szCs w:val="24"/>
          <w:lang w:val="en-US"/>
        </w:rPr>
        <w:t xml:space="preserve">In summary, it is recommended that the ITU add the ICTs for PHEIC into its medium- and long-term strategic plan for consideration. The specific recommendations are as follows: </w:t>
      </w:r>
    </w:p>
    <w:p w14:paraId="580E374A" w14:textId="77777777" w:rsidR="00A7414F" w:rsidRPr="00A7414F" w:rsidRDefault="00A7414F" w:rsidP="00391600">
      <w:pPr>
        <w:widowControl w:val="0"/>
        <w:numPr>
          <w:ilvl w:val="0"/>
          <w:numId w:val="21"/>
        </w:numPr>
        <w:spacing w:before="120" w:after="120" w:line="240" w:lineRule="auto"/>
        <w:jc w:val="both"/>
        <w:rPr>
          <w:rFonts w:eastAsia="仿宋" w:cstheme="minorHAnsi"/>
          <w:sz w:val="24"/>
          <w:szCs w:val="24"/>
          <w:lang w:val="en-US"/>
        </w:rPr>
      </w:pPr>
      <w:r w:rsidRPr="00A7414F">
        <w:rPr>
          <w:rFonts w:eastAsia="仿宋" w:cstheme="minorHAnsi"/>
          <w:sz w:val="24"/>
          <w:szCs w:val="24"/>
          <w:lang w:val="en-US"/>
        </w:rPr>
        <w:t>Consider including make better use of ICTs to help prevent, control, and recover from PHEICs in the Strategic Goals of the ITU Strategic Plan for 2024-2027.</w:t>
      </w:r>
    </w:p>
    <w:p w14:paraId="346BF29E" w14:textId="77777777" w:rsidR="00A7414F" w:rsidRPr="00A7414F" w:rsidRDefault="00A7414F" w:rsidP="00391600">
      <w:pPr>
        <w:widowControl w:val="0"/>
        <w:numPr>
          <w:ilvl w:val="0"/>
          <w:numId w:val="21"/>
        </w:numPr>
        <w:spacing w:before="120" w:after="120" w:line="240" w:lineRule="auto"/>
        <w:jc w:val="both"/>
        <w:rPr>
          <w:rFonts w:eastAsia="仿宋" w:cstheme="minorHAnsi"/>
          <w:sz w:val="24"/>
          <w:szCs w:val="24"/>
          <w:lang w:val="en-US"/>
        </w:rPr>
      </w:pPr>
      <w:r w:rsidRPr="00A7414F">
        <w:rPr>
          <w:rFonts w:eastAsia="仿宋" w:cstheme="minorHAnsi"/>
          <w:sz w:val="24"/>
          <w:szCs w:val="24"/>
          <w:lang w:val="en-US"/>
        </w:rPr>
        <w:t>Promote the collection and compilation of best practices in the use of ICTs to respond to PHEICs from countries and regions on the #REG4COVID platform, and regularly publish the "toolkits" of best practices or related studies.</w:t>
      </w:r>
    </w:p>
    <w:p w14:paraId="550F306E" w14:textId="77777777" w:rsidR="00FB38F1" w:rsidRPr="00391600" w:rsidRDefault="00FB38F1" w:rsidP="00FB38F1">
      <w:pPr>
        <w:tabs>
          <w:tab w:val="left" w:pos="794"/>
          <w:tab w:val="left" w:pos="1191"/>
          <w:tab w:val="left" w:pos="1588"/>
          <w:tab w:val="left" w:pos="1985"/>
        </w:tabs>
        <w:overflowPunct w:val="0"/>
        <w:autoSpaceDE w:val="0"/>
        <w:autoSpaceDN w:val="0"/>
        <w:adjustRightInd w:val="0"/>
        <w:spacing w:before="840" w:after="0" w:line="240" w:lineRule="auto"/>
        <w:jc w:val="center"/>
        <w:textAlignment w:val="baseline"/>
        <w:rPr>
          <w:rFonts w:ascii="Times New Roman" w:eastAsia="Times New Roman" w:hAnsi="Times New Roman" w:cs="Times New Roman"/>
          <w:sz w:val="24"/>
          <w:szCs w:val="24"/>
          <w:lang w:val="ru-RU" w:eastAsia="en-US"/>
        </w:rPr>
      </w:pPr>
      <w:r w:rsidRPr="00391600">
        <w:rPr>
          <w:rFonts w:ascii="Times New Roman" w:eastAsia="Times New Roman" w:hAnsi="Times New Roman" w:cs="Times New Roman"/>
          <w:sz w:val="24"/>
          <w:szCs w:val="24"/>
          <w:lang w:val="ru-RU" w:eastAsia="en-US"/>
        </w:rPr>
        <w:t>______________</w:t>
      </w:r>
    </w:p>
    <w:sectPr w:rsidR="00FB38F1" w:rsidRPr="00391600" w:rsidSect="00FE392A">
      <w:headerReference w:type="default" r:id="rId9"/>
      <w:footerReference w:type="first" r:id="rId10"/>
      <w:pgSz w:w="11907" w:h="16834" w:code="9"/>
      <w:pgMar w:top="1134" w:right="1134" w:bottom="1134" w:left="1134" w:header="720" w:footer="720" w:gutter="0"/>
      <w:paperSrc w:first="15" w:other="1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683CF" w14:textId="77777777" w:rsidR="00DB6DC2" w:rsidRDefault="00DB6DC2">
      <w:r>
        <w:separator/>
      </w:r>
    </w:p>
  </w:endnote>
  <w:endnote w:type="continuationSeparator" w:id="0">
    <w:p w14:paraId="7500D0ED" w14:textId="77777777" w:rsidR="00DB6DC2" w:rsidRDefault="00DB6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altName w:val="Times"/>
    <w:panose1 w:val="02020603050405020304"/>
    <w:charset w:val="00"/>
    <w:family w:val="auto"/>
    <w:pitch w:val="variable"/>
    <w:sig w:usb0="E00002FF" w:usb1="5000205A" w:usb2="0000000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仿宋">
    <w:altName w:val="Microsoft YaHei"/>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0A7B" w14:textId="77777777" w:rsidR="002238C4" w:rsidRDefault="002238C4" w:rsidP="002238C4">
    <w:pPr>
      <w:spacing w:after="120"/>
      <w:jc w:val="center"/>
      <w:rPr>
        <w:lang w:val="es-ES"/>
      </w:rPr>
    </w:pPr>
    <w:r>
      <w:rPr>
        <w:lang w:val="es-ES"/>
      </w:rPr>
      <w:t xml:space="preserve">• </w:t>
    </w:r>
    <w:hyperlink r:id="rId1" w:history="1">
      <w:r w:rsidRPr="003F22D4">
        <w:rPr>
          <w:rStyle w:val="Hyperlink"/>
          <w:rFonts w:cstheme="minorHAnsi"/>
          <w:lang w:val="es-ES"/>
        </w:rPr>
        <w:t>http://www.itu.int/council</w:t>
      </w:r>
    </w:hyperlink>
    <w:r>
      <w:rPr>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7884F" w14:textId="77777777" w:rsidR="00DB6DC2" w:rsidRDefault="00DB6DC2">
      <w:r>
        <w:t>____________________</w:t>
      </w:r>
    </w:p>
  </w:footnote>
  <w:footnote w:type="continuationSeparator" w:id="0">
    <w:p w14:paraId="0F4F7803" w14:textId="77777777" w:rsidR="00DB6DC2" w:rsidRDefault="00DB6DC2">
      <w:r>
        <w:continuationSeparator/>
      </w:r>
    </w:p>
  </w:footnote>
  <w:footnote w:id="1">
    <w:p w14:paraId="2C475DFB" w14:textId="77777777" w:rsidR="00A7414F" w:rsidRPr="004C274B" w:rsidRDefault="00A7414F" w:rsidP="00391600">
      <w:pPr>
        <w:pStyle w:val="Heading6"/>
        <w:numPr>
          <w:ilvl w:val="0"/>
          <w:numId w:val="0"/>
        </w:numPr>
        <w:shd w:val="clear" w:color="auto" w:fill="FFFFFF"/>
        <w:spacing w:before="0" w:after="255" w:line="312" w:lineRule="atLeast"/>
        <w:rPr>
          <w:rFonts w:ascii="Times New Roman" w:eastAsia="SimSun" w:hAnsi="Times New Roman" w:cs="Times New Roman"/>
          <w:sz w:val="18"/>
          <w:szCs w:val="18"/>
        </w:rPr>
      </w:pPr>
      <w:r w:rsidRPr="004C274B">
        <w:rPr>
          <w:rStyle w:val="FootnoteReference"/>
          <w:rFonts w:ascii="Times New Roman" w:eastAsia="SimSun" w:hAnsi="Times New Roman" w:cs="Times New Roman"/>
          <w:b w:val="0"/>
          <w:szCs w:val="18"/>
          <w:lang w:eastAsia="en-US"/>
        </w:rPr>
        <w:footnoteRef/>
      </w:r>
      <w:r w:rsidRPr="004C274B">
        <w:rPr>
          <w:rStyle w:val="FootnoteReference"/>
          <w:rFonts w:ascii="Times New Roman" w:hAnsi="Times New Roman" w:cs="Times New Roman"/>
          <w:b w:val="0"/>
        </w:rPr>
        <w:t xml:space="preserve"> </w:t>
      </w:r>
      <w:r w:rsidRPr="004C274B">
        <w:rPr>
          <w:rFonts w:ascii="Times New Roman" w:eastAsia="SimSun" w:hAnsi="Times New Roman" w:cs="Times New Roman"/>
          <w:b w:val="0"/>
          <w:sz w:val="18"/>
          <w:szCs w:val="18"/>
        </w:rPr>
        <w:t xml:space="preserve">According to International Health Regulations, the term “Public Health Emergency of International Concern” is defined as “an extraordinary event which is determined, as provided in these regulations; (1) to constitute a public health risk to other States through the international spread of disease; and (2) to potentially require a coordinated international response”. Since the entry into force of the International Health Regulations (IHR), WHO declared six public health emergencies of international concern (PHEICs) till now, with the first five being 2009 H1N1, 2014 polio, 2014 Ebola in West Africa, 2016 Zika, and 2019 Ebola in the Democratic Republic of the Congo. In addition, the </w:t>
      </w:r>
      <w:proofErr w:type="gramStart"/>
      <w:r w:rsidRPr="004C274B">
        <w:rPr>
          <w:rFonts w:ascii="Times New Roman" w:eastAsia="SimSun" w:hAnsi="Times New Roman" w:cs="Times New Roman"/>
          <w:b w:val="0"/>
          <w:sz w:val="18"/>
          <w:szCs w:val="18"/>
        </w:rPr>
        <w:t>Severe Acute Respiratory Syndrome</w:t>
      </w:r>
      <w:proofErr w:type="gramEnd"/>
      <w:r w:rsidRPr="004C274B">
        <w:rPr>
          <w:rFonts w:ascii="Times New Roman" w:eastAsia="SimSun" w:hAnsi="Times New Roman" w:cs="Times New Roman"/>
          <w:b w:val="0"/>
          <w:sz w:val="18"/>
          <w:szCs w:val="18"/>
        </w:rPr>
        <w:t xml:space="preserve"> (SARS) in 2003 was the first Public Health Emergency of International Concern in the 21st century.</w:t>
      </w:r>
    </w:p>
  </w:footnote>
  <w:footnote w:id="2">
    <w:p w14:paraId="48ED4412" w14:textId="77777777" w:rsidR="00A7414F" w:rsidRPr="004C274B" w:rsidRDefault="00A7414F" w:rsidP="00A7414F">
      <w:pPr>
        <w:pStyle w:val="FootnoteText"/>
        <w:spacing w:line="240" w:lineRule="exact"/>
        <w:ind w:left="0" w:firstLine="0"/>
        <w:jc w:val="both"/>
        <w:rPr>
          <w:rFonts w:ascii="Times New Roman" w:eastAsia="SimSun" w:hAnsi="Times New Roman"/>
          <w:sz w:val="18"/>
          <w:szCs w:val="18"/>
        </w:rPr>
      </w:pPr>
      <w:r w:rsidRPr="004C274B">
        <w:rPr>
          <w:rStyle w:val="FootnoteReference"/>
          <w:rFonts w:ascii="Times New Roman" w:eastAsia="SimSun" w:hAnsi="Times New Roman"/>
          <w:szCs w:val="18"/>
        </w:rPr>
        <w:footnoteRef/>
      </w:r>
      <w:r w:rsidRPr="004C274B">
        <w:rPr>
          <w:rFonts w:ascii="Times New Roman" w:eastAsia="SimSun" w:hAnsi="Times New Roman"/>
          <w:sz w:val="18"/>
          <w:szCs w:val="18"/>
        </w:rPr>
        <w:t xml:space="preserve"> See ITU Discussion Paper: </w:t>
      </w:r>
      <w:r w:rsidRPr="004C274B">
        <w:rPr>
          <w:rFonts w:ascii="Times New Roman" w:eastAsia="SimSun" w:hAnsi="Times New Roman"/>
          <w:i/>
          <w:iCs/>
          <w:sz w:val="18"/>
          <w:szCs w:val="18"/>
        </w:rPr>
        <w:t>Pandemic in the Internet Age: communications industry responses</w:t>
      </w:r>
      <w:r w:rsidRPr="004C274B">
        <w:rPr>
          <w:rFonts w:ascii="Times New Roman" w:eastAsia="SimSun" w:hAnsi="Times New Roman"/>
          <w:sz w:val="18"/>
          <w:szCs w:val="18"/>
        </w:rPr>
        <w:t>, https://www.itu.int/en/ITU-D/Conferences/GSR/2020/Documents/ITU_COVID-19_and_Telecom-ICT.pdf</w:t>
      </w:r>
    </w:p>
  </w:footnote>
  <w:footnote w:id="3">
    <w:p w14:paraId="515930DE" w14:textId="77777777" w:rsidR="00A7414F" w:rsidRPr="00391600" w:rsidRDefault="00A7414F" w:rsidP="00391600">
      <w:pPr>
        <w:pStyle w:val="Heading1"/>
        <w:numPr>
          <w:ilvl w:val="0"/>
          <w:numId w:val="0"/>
        </w:numPr>
        <w:shd w:val="clear" w:color="auto" w:fill="FFFFFF"/>
        <w:spacing w:before="0"/>
        <w:ind w:left="432" w:hanging="432"/>
        <w:textAlignment w:val="baseline"/>
        <w:rPr>
          <w:rFonts w:ascii="Times New Roman" w:eastAsia="SimSun" w:hAnsi="Times New Roman"/>
          <w:b w:val="0"/>
          <w:sz w:val="18"/>
          <w:szCs w:val="18"/>
        </w:rPr>
      </w:pPr>
      <w:r w:rsidRPr="004C274B">
        <w:rPr>
          <w:rStyle w:val="FootnoteReference"/>
          <w:rFonts w:ascii="Times New Roman" w:eastAsia="SimSun" w:hAnsi="Times New Roman" w:cs="Times New Roman"/>
          <w:szCs w:val="18"/>
          <w:lang w:eastAsia="en-US"/>
        </w:rPr>
        <w:footnoteRef/>
      </w:r>
      <w:r w:rsidRPr="004C274B">
        <w:rPr>
          <w:rStyle w:val="FootnoteReference"/>
          <w:rFonts w:ascii="Times New Roman" w:hAnsi="Times New Roman" w:cs="Times New Roman"/>
          <w:lang w:eastAsia="en-US"/>
        </w:rPr>
        <w:t xml:space="preserve"> </w:t>
      </w:r>
      <w:r w:rsidRPr="00391600">
        <w:rPr>
          <w:rFonts w:ascii="Times New Roman" w:eastAsia="SimSun" w:hAnsi="Times New Roman"/>
          <w:b w:val="0"/>
          <w:sz w:val="18"/>
          <w:szCs w:val="18"/>
        </w:rPr>
        <w:t>See About International Telecommunication Union (ITU): https://www.itu.int/zh/about/Pages/default.aspx</w:t>
      </w:r>
    </w:p>
  </w:footnote>
  <w:footnote w:id="4">
    <w:p w14:paraId="65B495AE" w14:textId="77777777" w:rsidR="00A7414F" w:rsidRPr="00391600" w:rsidRDefault="00A7414F" w:rsidP="00391600">
      <w:pPr>
        <w:pStyle w:val="Heading1"/>
        <w:numPr>
          <w:ilvl w:val="0"/>
          <w:numId w:val="0"/>
        </w:numPr>
        <w:shd w:val="clear" w:color="auto" w:fill="FFFFFF"/>
        <w:spacing w:before="0"/>
        <w:textAlignment w:val="baseline"/>
        <w:rPr>
          <w:rFonts w:ascii="Times New Roman" w:eastAsia="SimSun" w:hAnsi="Times New Roman" w:cs="Times New Roman"/>
          <w:b w:val="0"/>
          <w:bCs/>
          <w:sz w:val="18"/>
          <w:szCs w:val="18"/>
        </w:rPr>
      </w:pPr>
      <w:r w:rsidRPr="00391600">
        <w:rPr>
          <w:rStyle w:val="FootnoteReference"/>
          <w:rFonts w:ascii="Times New Roman" w:eastAsia="SimSun" w:hAnsi="Times New Roman" w:cs="Times New Roman"/>
          <w:b w:val="0"/>
          <w:bCs/>
          <w:szCs w:val="18"/>
          <w:lang w:eastAsia="en-US"/>
        </w:rPr>
        <w:footnoteRef/>
      </w:r>
      <w:r w:rsidRPr="00391600">
        <w:rPr>
          <w:rStyle w:val="FootnoteReference"/>
          <w:rFonts w:ascii="Times New Roman" w:hAnsi="Times New Roman" w:cs="Times New Roman"/>
          <w:b w:val="0"/>
          <w:bCs/>
          <w:lang w:eastAsia="en-US"/>
        </w:rPr>
        <w:t xml:space="preserve"> </w:t>
      </w:r>
      <w:r w:rsidRPr="00391600">
        <w:rPr>
          <w:rFonts w:ascii="Times New Roman" w:eastAsia="SimSun" w:hAnsi="Times New Roman" w:cs="Times New Roman"/>
          <w:b w:val="0"/>
          <w:bCs/>
          <w:sz w:val="18"/>
          <w:szCs w:val="18"/>
        </w:rPr>
        <w:t xml:space="preserve">See </w:t>
      </w:r>
      <w:r w:rsidRPr="00391600">
        <w:rPr>
          <w:rFonts w:ascii="Times New Roman" w:eastAsia="SimSun" w:hAnsi="Times New Roman" w:cs="Times New Roman"/>
          <w:b w:val="0"/>
          <w:bCs/>
          <w:i/>
          <w:iCs/>
          <w:sz w:val="18"/>
          <w:szCs w:val="18"/>
        </w:rPr>
        <w:t>ITU Guidelines for national emergency telecommunication plans</w:t>
      </w:r>
      <w:r w:rsidRPr="00391600">
        <w:rPr>
          <w:rFonts w:ascii="Times New Roman" w:eastAsia="SimSun" w:hAnsi="Times New Roman" w:cs="Times New Roman"/>
          <w:b w:val="0"/>
          <w:bCs/>
          <w:sz w:val="18"/>
          <w:szCs w:val="18"/>
        </w:rPr>
        <w:t>, https://www.itu.int/en/ITU-D/Emergency-Telecommunications/Pages/Publications/Guidelines-for-NETPs.aspx</w:t>
      </w:r>
    </w:p>
  </w:footnote>
  <w:footnote w:id="5">
    <w:p w14:paraId="5BDF16AA" w14:textId="77777777" w:rsidR="00A7414F" w:rsidRPr="004C274B" w:rsidRDefault="00A7414F" w:rsidP="00A7414F">
      <w:pPr>
        <w:pStyle w:val="FootnoteText"/>
        <w:spacing w:line="240" w:lineRule="exact"/>
        <w:ind w:left="0" w:firstLine="0"/>
        <w:rPr>
          <w:rFonts w:ascii="Times New Roman" w:eastAsia="SimSun" w:hAnsi="Times New Roman"/>
          <w:sz w:val="18"/>
          <w:szCs w:val="18"/>
        </w:rPr>
      </w:pPr>
      <w:r w:rsidRPr="004C274B">
        <w:rPr>
          <w:rStyle w:val="FootnoteReference"/>
          <w:rFonts w:ascii="Times New Roman" w:eastAsia="SimSun" w:hAnsi="Times New Roman"/>
          <w:szCs w:val="18"/>
        </w:rPr>
        <w:footnoteRef/>
      </w:r>
      <w:r w:rsidRPr="004C274B">
        <w:rPr>
          <w:rFonts w:ascii="Times New Roman" w:eastAsia="SimSun" w:hAnsi="Times New Roman"/>
          <w:sz w:val="18"/>
          <w:szCs w:val="18"/>
        </w:rPr>
        <w:t xml:space="preserve"> Target 3.3 of the UNGA Transforming our world: the 2030 Agenda for Sustainable Development: "By 2030, end the epidemics of AIDS, tuberculosis, malaria and neglected tropical diseases and combat hepatitis, water-borne diseases and other communicable diseases"; Target 9.1: “Develop quality, reliable, sustainable and resilient infrastructure, including regional and trans-border infrastructure, to support economic development and human well-being, with a focus on affordable and equitable access for all”; Target 11.5: “By 2030, significantly reduce the number of deaths and the number of people affected and substantially decrease the direct economic losses relative to global gross domestic product caused by disasters, including water-related disasters, with a focus on protecting the poor and people in vulnerable situations”, https://www.un.org/zh/documents/treaty/files/A-RES-70-1.shtml.</w:t>
      </w:r>
    </w:p>
  </w:footnote>
  <w:footnote w:id="6">
    <w:p w14:paraId="18756B86" w14:textId="77777777" w:rsidR="00A7414F" w:rsidRPr="004C274B" w:rsidRDefault="00A7414F" w:rsidP="00A7414F">
      <w:pPr>
        <w:pStyle w:val="FootnoteText"/>
        <w:spacing w:line="240" w:lineRule="exact"/>
        <w:ind w:left="0" w:firstLine="0"/>
        <w:rPr>
          <w:rFonts w:ascii="Times New Roman" w:eastAsia="SimSun" w:hAnsi="Times New Roman"/>
          <w:sz w:val="18"/>
          <w:szCs w:val="18"/>
        </w:rPr>
      </w:pPr>
      <w:r w:rsidRPr="004C274B">
        <w:rPr>
          <w:rStyle w:val="FootnoteReference"/>
          <w:rFonts w:ascii="Times New Roman" w:eastAsia="SimSun" w:hAnsi="Times New Roman"/>
          <w:szCs w:val="18"/>
        </w:rPr>
        <w:footnoteRef/>
      </w:r>
      <w:r w:rsidRPr="004C274B">
        <w:rPr>
          <w:rFonts w:ascii="Times New Roman" w:eastAsia="SimSun" w:hAnsi="Times New Roman"/>
          <w:sz w:val="18"/>
          <w:szCs w:val="18"/>
        </w:rPr>
        <w:t xml:space="preserve"> See </w:t>
      </w:r>
      <w:r w:rsidRPr="004C274B">
        <w:rPr>
          <w:rFonts w:ascii="Times New Roman" w:eastAsia="SimSun" w:hAnsi="Times New Roman"/>
          <w:i/>
          <w:iCs/>
          <w:sz w:val="18"/>
          <w:szCs w:val="18"/>
        </w:rPr>
        <w:t>The regulatory wheel of change: Regulation for digital transformation</w:t>
      </w:r>
      <w:r w:rsidRPr="004C274B">
        <w:rPr>
          <w:rFonts w:ascii="Times New Roman" w:eastAsia="SimSun" w:hAnsi="Times New Roman"/>
          <w:sz w:val="18"/>
          <w:szCs w:val="18"/>
        </w:rPr>
        <w:t>, https://www.itu.int/en/ITU-D/Conferences/GSR/2020/Documents/Final_Chairmans-Report_GSR-20_C.pdf.</w:t>
      </w:r>
    </w:p>
  </w:footnote>
  <w:footnote w:id="7">
    <w:p w14:paraId="6BAABF81" w14:textId="77777777" w:rsidR="00A7414F" w:rsidRPr="004C274B" w:rsidRDefault="00A7414F" w:rsidP="00A7414F">
      <w:pPr>
        <w:pStyle w:val="FootnoteText"/>
        <w:spacing w:line="240" w:lineRule="exact"/>
        <w:ind w:left="0" w:firstLine="0"/>
        <w:rPr>
          <w:rFonts w:ascii="Times New Roman" w:eastAsia="SimSun" w:hAnsi="Times New Roman"/>
          <w:sz w:val="18"/>
          <w:szCs w:val="18"/>
        </w:rPr>
      </w:pPr>
      <w:r w:rsidRPr="004C274B">
        <w:rPr>
          <w:rStyle w:val="FootnoteReference"/>
          <w:rFonts w:ascii="Times New Roman" w:eastAsia="SimSun" w:hAnsi="Times New Roman"/>
          <w:szCs w:val="18"/>
        </w:rPr>
        <w:footnoteRef/>
      </w:r>
      <w:r w:rsidRPr="004C274B">
        <w:rPr>
          <w:rFonts w:ascii="Times New Roman" w:eastAsia="SimSun" w:hAnsi="Times New Roman"/>
          <w:sz w:val="18"/>
          <w:szCs w:val="18"/>
        </w:rPr>
        <w:t xml:space="preserve"> See </w:t>
      </w:r>
      <w:r w:rsidRPr="004C274B">
        <w:rPr>
          <w:rFonts w:ascii="Times New Roman" w:eastAsia="SimSun" w:hAnsi="Times New Roman"/>
          <w:i/>
          <w:iCs/>
          <w:sz w:val="18"/>
          <w:szCs w:val="18"/>
        </w:rPr>
        <w:t>Global Symposium for Regulators (GSR) 2020 Best Practice Guidelines: The gold standard for digital regulation</w:t>
      </w:r>
      <w:r w:rsidRPr="004C274B">
        <w:rPr>
          <w:rFonts w:ascii="Times New Roman" w:eastAsia="SimSun" w:hAnsi="Times New Roman"/>
          <w:sz w:val="18"/>
          <w:szCs w:val="18"/>
        </w:rPr>
        <w:t>, https://www.itu.int/en/ITU-D/Conferences/GSR/2020/Documents/GSR-20_Best-Practice-Guidelines_Final_C.pdf.</w:t>
      </w:r>
    </w:p>
  </w:footnote>
  <w:footnote w:id="8">
    <w:p w14:paraId="1081B12D" w14:textId="77777777" w:rsidR="00A7414F" w:rsidRPr="004C274B" w:rsidRDefault="00A7414F" w:rsidP="00A7414F">
      <w:pPr>
        <w:pStyle w:val="FootnoteText"/>
        <w:spacing w:line="240" w:lineRule="exact"/>
        <w:ind w:left="0" w:firstLine="0"/>
        <w:rPr>
          <w:rFonts w:ascii="Times New Roman" w:eastAsia="SimSun" w:hAnsi="Times New Roman"/>
          <w:sz w:val="18"/>
          <w:szCs w:val="18"/>
        </w:rPr>
      </w:pPr>
      <w:r w:rsidRPr="004C274B">
        <w:rPr>
          <w:rStyle w:val="FootnoteReference"/>
          <w:rFonts w:ascii="Times New Roman" w:hAnsi="Times New Roman"/>
        </w:rPr>
        <w:footnoteRef/>
      </w:r>
      <w:r w:rsidRPr="004C274B">
        <w:rPr>
          <w:rFonts w:ascii="Times New Roman" w:hAnsi="Times New Roman"/>
        </w:rPr>
        <w:t xml:space="preserve"> </w:t>
      </w:r>
      <w:r w:rsidRPr="004C274B">
        <w:rPr>
          <w:rFonts w:ascii="Times New Roman" w:eastAsia="SimSun" w:hAnsi="Times New Roman"/>
          <w:sz w:val="18"/>
          <w:szCs w:val="18"/>
        </w:rPr>
        <w:t xml:space="preserve">See BBC NEWS, </w:t>
      </w:r>
      <w:r w:rsidRPr="004C274B">
        <w:rPr>
          <w:rFonts w:ascii="Times New Roman" w:eastAsia="SimSun" w:hAnsi="Times New Roman"/>
          <w:i/>
          <w:sz w:val="18"/>
          <w:szCs w:val="18"/>
        </w:rPr>
        <w:t xml:space="preserve">Ebola: Can big data analytics help contain its </w:t>
      </w:r>
      <w:proofErr w:type="gramStart"/>
      <w:r w:rsidRPr="004C274B">
        <w:rPr>
          <w:rFonts w:ascii="Times New Roman" w:eastAsia="SimSun" w:hAnsi="Times New Roman"/>
          <w:i/>
          <w:sz w:val="18"/>
          <w:szCs w:val="18"/>
        </w:rPr>
        <w:t>spread?</w:t>
      </w:r>
      <w:r w:rsidRPr="004C274B">
        <w:rPr>
          <w:rFonts w:ascii="Times New Roman" w:eastAsia="SimSun" w:hAnsi="Times New Roman"/>
          <w:sz w:val="18"/>
          <w:szCs w:val="18"/>
        </w:rPr>
        <w:t>,</w:t>
      </w:r>
      <w:proofErr w:type="gramEnd"/>
      <w:r w:rsidRPr="004C274B">
        <w:rPr>
          <w:rFonts w:ascii="Times New Roman" w:eastAsia="SimSun" w:hAnsi="Times New Roman"/>
          <w:sz w:val="18"/>
          <w:szCs w:val="18"/>
        </w:rPr>
        <w:t xml:space="preserve"> 15 October 2014, http://www.bbc.com/news/business-29617831.</w:t>
      </w:r>
    </w:p>
  </w:footnote>
  <w:footnote w:id="9">
    <w:p w14:paraId="5A76C1D2" w14:textId="77777777" w:rsidR="00A7414F" w:rsidRPr="004C274B" w:rsidRDefault="00A7414F" w:rsidP="00A7414F">
      <w:pPr>
        <w:pStyle w:val="FootnoteText"/>
        <w:spacing w:line="240" w:lineRule="exact"/>
        <w:ind w:left="0" w:firstLine="0"/>
        <w:rPr>
          <w:rFonts w:ascii="Times New Roman" w:hAnsi="Times New Roman"/>
        </w:rPr>
      </w:pPr>
      <w:r w:rsidRPr="004C274B">
        <w:rPr>
          <w:rStyle w:val="FootnoteReference"/>
          <w:rFonts w:ascii="Times New Roman" w:hAnsi="Times New Roman"/>
        </w:rPr>
        <w:footnoteRef/>
      </w:r>
      <w:r w:rsidRPr="004C274B">
        <w:rPr>
          <w:rFonts w:ascii="Times New Roman" w:hAnsi="Times New Roman"/>
        </w:rPr>
        <w:t xml:space="preserve"> </w:t>
      </w:r>
      <w:r w:rsidRPr="004C274B">
        <w:rPr>
          <w:rFonts w:ascii="Times New Roman" w:eastAsia="SimSun" w:hAnsi="Times New Roman"/>
          <w:sz w:val="18"/>
          <w:szCs w:val="18"/>
        </w:rPr>
        <w:t xml:space="preserve">See the official website of </w:t>
      </w:r>
      <w:proofErr w:type="spellStart"/>
      <w:r w:rsidRPr="004C274B">
        <w:rPr>
          <w:rFonts w:ascii="Times New Roman" w:eastAsia="SimSun" w:hAnsi="Times New Roman"/>
          <w:sz w:val="18"/>
          <w:szCs w:val="18"/>
        </w:rPr>
        <w:t>Aarogya</w:t>
      </w:r>
      <w:proofErr w:type="spellEnd"/>
      <w:r w:rsidRPr="004C274B">
        <w:rPr>
          <w:rFonts w:ascii="Times New Roman" w:eastAsia="SimSun" w:hAnsi="Times New Roman"/>
          <w:sz w:val="18"/>
          <w:szCs w:val="18"/>
        </w:rPr>
        <w:t xml:space="preserve"> </w:t>
      </w:r>
      <w:proofErr w:type="spellStart"/>
      <w:r w:rsidRPr="004C274B">
        <w:rPr>
          <w:rFonts w:ascii="Times New Roman" w:eastAsia="SimSun" w:hAnsi="Times New Roman"/>
          <w:sz w:val="18"/>
          <w:szCs w:val="18"/>
        </w:rPr>
        <w:t>Setu</w:t>
      </w:r>
      <w:proofErr w:type="spellEnd"/>
      <w:r w:rsidRPr="004C274B">
        <w:rPr>
          <w:rFonts w:ascii="Times New Roman" w:eastAsia="SimSun" w:hAnsi="Times New Roman"/>
          <w:sz w:val="18"/>
          <w:szCs w:val="18"/>
        </w:rPr>
        <w:t>, https://www.aarogyasetu.gov.in/faq/.</w:t>
      </w:r>
    </w:p>
  </w:footnote>
  <w:footnote w:id="10">
    <w:p w14:paraId="18F67127" w14:textId="77777777" w:rsidR="00A7414F" w:rsidRPr="004C274B" w:rsidRDefault="00A7414F" w:rsidP="00A7414F">
      <w:pPr>
        <w:pStyle w:val="FootnoteText"/>
        <w:spacing w:line="240" w:lineRule="exact"/>
        <w:ind w:left="0" w:firstLine="0"/>
        <w:rPr>
          <w:rFonts w:ascii="Times New Roman" w:hAnsi="Times New Roman"/>
        </w:rPr>
      </w:pPr>
      <w:r w:rsidRPr="004C274B">
        <w:rPr>
          <w:rStyle w:val="FootnoteReference"/>
          <w:rFonts w:ascii="Times New Roman" w:hAnsi="Times New Roman"/>
        </w:rPr>
        <w:footnoteRef/>
      </w:r>
      <w:r w:rsidRPr="004C274B">
        <w:rPr>
          <w:rFonts w:ascii="Times New Roman" w:hAnsi="Times New Roman"/>
        </w:rPr>
        <w:t xml:space="preserve"> </w:t>
      </w:r>
      <w:r w:rsidRPr="004C274B">
        <w:rPr>
          <w:rFonts w:ascii="Times New Roman" w:eastAsia="SimSun" w:hAnsi="Times New Roman"/>
          <w:sz w:val="18"/>
          <w:szCs w:val="18"/>
        </w:rPr>
        <w:t>See the official website of Communication Big Data Itinerary Card, https://xc.caict.ac.cn/help.html.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AE526" w14:textId="76B4FE3E" w:rsidR="00542BAB" w:rsidRDefault="00542BAB" w:rsidP="000854C6">
    <w:pPr>
      <w:pStyle w:val="Header"/>
      <w:spacing w:after="120"/>
    </w:pPr>
    <w:r w:rsidRPr="00FB38F1">
      <w:fldChar w:fldCharType="begin"/>
    </w:r>
    <w:r w:rsidRPr="00FB38F1">
      <w:instrText xml:space="preserve"> PAGE   \* MERGEFORMAT </w:instrText>
    </w:r>
    <w:r w:rsidRPr="00FB38F1">
      <w:fldChar w:fldCharType="separate"/>
    </w:r>
    <w:r w:rsidR="001B1941" w:rsidRPr="00FB38F1">
      <w:rPr>
        <w:noProof/>
      </w:rPr>
      <w:t>2</w:t>
    </w:r>
    <w:r w:rsidRPr="00FB38F1">
      <w:rPr>
        <w:noProof/>
      </w:rPr>
      <w:fldChar w:fldCharType="end"/>
    </w:r>
    <w:r w:rsidRPr="00FB38F1">
      <w:rPr>
        <w:noProof/>
      </w:rPr>
      <w:br/>
    </w:r>
    <w:r w:rsidR="00D412C7" w:rsidRPr="00FB38F1">
      <w:rPr>
        <w:noProof/>
      </w:rPr>
      <w:t>CWG-SFP</w:t>
    </w:r>
    <w:r w:rsidR="00965A18" w:rsidRPr="00FB38F1">
      <w:rPr>
        <w:noProof/>
      </w:rPr>
      <w:t>-1</w:t>
    </w:r>
    <w:r w:rsidR="000854C6" w:rsidRPr="00FB38F1">
      <w:rPr>
        <w:noProof/>
      </w:rPr>
      <w:t>\</w:t>
    </w:r>
    <w:r w:rsidR="00FB38F1" w:rsidRPr="00FB38F1">
      <w:rPr>
        <w:noProof/>
      </w:rPr>
      <w:t>9</w:t>
    </w:r>
    <w:r w:rsidRPr="00FB38F1">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CDAD35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DC9B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BF096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0D8F4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4265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E330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6D2DED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86AF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445C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2824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2A15F1"/>
    <w:multiLevelType w:val="hybridMultilevel"/>
    <w:tmpl w:val="E51ADA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E823FFE"/>
    <w:multiLevelType w:val="hybridMultilevel"/>
    <w:tmpl w:val="F192F9D2"/>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F52473"/>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B5E1726"/>
    <w:multiLevelType w:val="hybridMultilevel"/>
    <w:tmpl w:val="F1A60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BA6547"/>
    <w:multiLevelType w:val="hybridMultilevel"/>
    <w:tmpl w:val="4DFE797E"/>
    <w:lvl w:ilvl="0" w:tplc="AAC85838">
      <w:start w:val="1"/>
      <w:numFmt w:val="lowerLetter"/>
      <w:lvlText w:val="%1)"/>
      <w:lvlJc w:val="left"/>
      <w:pPr>
        <w:ind w:left="931" w:hanging="571"/>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F3E643A"/>
    <w:multiLevelType w:val="hybridMultilevel"/>
    <w:tmpl w:val="408805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357F85"/>
    <w:multiLevelType w:val="multilevel"/>
    <w:tmpl w:val="81981312"/>
    <w:lvl w:ilvl="0">
      <w:start w:val="1"/>
      <w:numFmt w:val="decimal"/>
      <w:pStyle w:val="Heading1"/>
      <w:lvlText w:val="%1"/>
      <w:lvlJc w:val="left"/>
      <w:pPr>
        <w:ind w:left="432" w:hanging="432"/>
      </w:pPr>
    </w:lvl>
    <w:lvl w:ilvl="1">
      <w:start w:val="1"/>
      <w:numFmt w:val="decimal"/>
      <w:pStyle w:val="Heading2"/>
      <w:lvlText w:val="%1.%2"/>
      <w:lvlJc w:val="left"/>
      <w:pPr>
        <w:ind w:left="576" w:hanging="576"/>
      </w:pPr>
      <w:rPr>
        <w:color w:val="FF000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50C9066D"/>
    <w:multiLevelType w:val="hybridMultilevel"/>
    <w:tmpl w:val="D316AE1C"/>
    <w:lvl w:ilvl="0" w:tplc="440C0FAE">
      <w:start w:val="1"/>
      <w:numFmt w:val="decimal"/>
      <w:lvlText w:val="Z%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8" w15:restartNumberingAfterBreak="0">
    <w:nsid w:val="6D774F28"/>
    <w:multiLevelType w:val="multilevel"/>
    <w:tmpl w:val="F1AC0AA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7AA141D1"/>
    <w:multiLevelType w:val="hybridMultilevel"/>
    <w:tmpl w:val="BA1EB88A"/>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7BAD6EE8"/>
    <w:multiLevelType w:val="hybridMultilevel"/>
    <w:tmpl w:val="07ACC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9"/>
  </w:num>
  <w:num w:numId="2">
    <w:abstractNumId w:val="17"/>
  </w:num>
  <w:num w:numId="3">
    <w:abstractNumId w:val="11"/>
  </w:num>
  <w:num w:numId="4">
    <w:abstractNumId w:val="14"/>
  </w:num>
  <w:num w:numId="5">
    <w:abstractNumId w:val="20"/>
  </w:num>
  <w:num w:numId="6">
    <w:abstractNumId w:val="12"/>
  </w:num>
  <w:num w:numId="7">
    <w:abstractNumId w:val="18"/>
  </w:num>
  <w:num w:numId="8">
    <w:abstractNumId w:val="16"/>
  </w:num>
  <w:num w:numId="9">
    <w:abstractNumId w:val="13"/>
  </w:num>
  <w:num w:numId="10">
    <w:abstractNumId w:val="10"/>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8C5"/>
    <w:rsid w:val="0000609D"/>
    <w:rsid w:val="00030247"/>
    <w:rsid w:val="0003420F"/>
    <w:rsid w:val="0005540C"/>
    <w:rsid w:val="00063016"/>
    <w:rsid w:val="00066DF5"/>
    <w:rsid w:val="00076AF6"/>
    <w:rsid w:val="00083635"/>
    <w:rsid w:val="000854C6"/>
    <w:rsid w:val="00085CF2"/>
    <w:rsid w:val="000915E5"/>
    <w:rsid w:val="000950D1"/>
    <w:rsid w:val="000B1705"/>
    <w:rsid w:val="000C0529"/>
    <w:rsid w:val="000C2903"/>
    <w:rsid w:val="000C2F74"/>
    <w:rsid w:val="000C37C9"/>
    <w:rsid w:val="000D75B2"/>
    <w:rsid w:val="000E01F5"/>
    <w:rsid w:val="001121F5"/>
    <w:rsid w:val="00140CE1"/>
    <w:rsid w:val="00143690"/>
    <w:rsid w:val="00144165"/>
    <w:rsid w:val="0016020C"/>
    <w:rsid w:val="00171F42"/>
    <w:rsid w:val="0017539C"/>
    <w:rsid w:val="00175AC2"/>
    <w:rsid w:val="0017609F"/>
    <w:rsid w:val="00195328"/>
    <w:rsid w:val="001B1941"/>
    <w:rsid w:val="001C628E"/>
    <w:rsid w:val="001E0F7B"/>
    <w:rsid w:val="001F4FF7"/>
    <w:rsid w:val="001F7552"/>
    <w:rsid w:val="002119FD"/>
    <w:rsid w:val="002130E0"/>
    <w:rsid w:val="00221C8F"/>
    <w:rsid w:val="002238C4"/>
    <w:rsid w:val="002303BC"/>
    <w:rsid w:val="00237401"/>
    <w:rsid w:val="0025471D"/>
    <w:rsid w:val="00256D0F"/>
    <w:rsid w:val="00257BDE"/>
    <w:rsid w:val="00265875"/>
    <w:rsid w:val="00265977"/>
    <w:rsid w:val="002667C5"/>
    <w:rsid w:val="0027303B"/>
    <w:rsid w:val="0028109B"/>
    <w:rsid w:val="002828F3"/>
    <w:rsid w:val="00293DE5"/>
    <w:rsid w:val="00295397"/>
    <w:rsid w:val="002B1870"/>
    <w:rsid w:val="002B1F58"/>
    <w:rsid w:val="002C1C7A"/>
    <w:rsid w:val="002C22D5"/>
    <w:rsid w:val="002C5285"/>
    <w:rsid w:val="002D1E7F"/>
    <w:rsid w:val="002D494F"/>
    <w:rsid w:val="0030160F"/>
    <w:rsid w:val="0032195E"/>
    <w:rsid w:val="00322D0D"/>
    <w:rsid w:val="00326D48"/>
    <w:rsid w:val="0033276E"/>
    <w:rsid w:val="003370ED"/>
    <w:rsid w:val="00337854"/>
    <w:rsid w:val="00337CE2"/>
    <w:rsid w:val="003439CB"/>
    <w:rsid w:val="003662CE"/>
    <w:rsid w:val="003735DF"/>
    <w:rsid w:val="0037461E"/>
    <w:rsid w:val="00375F3C"/>
    <w:rsid w:val="0038108D"/>
    <w:rsid w:val="00384DD6"/>
    <w:rsid w:val="0039110F"/>
    <w:rsid w:val="003914A7"/>
    <w:rsid w:val="00391600"/>
    <w:rsid w:val="003942D4"/>
    <w:rsid w:val="003958A8"/>
    <w:rsid w:val="003A71C2"/>
    <w:rsid w:val="003C0228"/>
    <w:rsid w:val="003C2533"/>
    <w:rsid w:val="003D15D8"/>
    <w:rsid w:val="003D6F32"/>
    <w:rsid w:val="003E10DE"/>
    <w:rsid w:val="0040435A"/>
    <w:rsid w:val="00407B9C"/>
    <w:rsid w:val="00415736"/>
    <w:rsid w:val="00416A24"/>
    <w:rsid w:val="00431D9E"/>
    <w:rsid w:val="00433805"/>
    <w:rsid w:val="00433CE8"/>
    <w:rsid w:val="0043412A"/>
    <w:rsid w:val="00434145"/>
    <w:rsid w:val="00434A5C"/>
    <w:rsid w:val="00437504"/>
    <w:rsid w:val="004449F3"/>
    <w:rsid w:val="00451A5A"/>
    <w:rsid w:val="0045337A"/>
    <w:rsid w:val="004535DE"/>
    <w:rsid w:val="004544D9"/>
    <w:rsid w:val="004616C7"/>
    <w:rsid w:val="004617B3"/>
    <w:rsid w:val="0046438A"/>
    <w:rsid w:val="004648CF"/>
    <w:rsid w:val="00480571"/>
    <w:rsid w:val="004841B7"/>
    <w:rsid w:val="00490E72"/>
    <w:rsid w:val="004921C8"/>
    <w:rsid w:val="0049335F"/>
    <w:rsid w:val="004A29FF"/>
    <w:rsid w:val="004A45DD"/>
    <w:rsid w:val="004B0FC9"/>
    <w:rsid w:val="004B5D1C"/>
    <w:rsid w:val="004D0B58"/>
    <w:rsid w:val="004D0C40"/>
    <w:rsid w:val="004D1851"/>
    <w:rsid w:val="004D599D"/>
    <w:rsid w:val="004E2EA5"/>
    <w:rsid w:val="004E3AEB"/>
    <w:rsid w:val="00500C7D"/>
    <w:rsid w:val="00501014"/>
    <w:rsid w:val="0050223C"/>
    <w:rsid w:val="005243FF"/>
    <w:rsid w:val="00542AE7"/>
    <w:rsid w:val="00542BAB"/>
    <w:rsid w:val="00544CA6"/>
    <w:rsid w:val="005467AE"/>
    <w:rsid w:val="005471D2"/>
    <w:rsid w:val="00564FBC"/>
    <w:rsid w:val="00574E97"/>
    <w:rsid w:val="0057569B"/>
    <w:rsid w:val="00582442"/>
    <w:rsid w:val="0058499C"/>
    <w:rsid w:val="005A3B8A"/>
    <w:rsid w:val="005B4351"/>
    <w:rsid w:val="005C37A0"/>
    <w:rsid w:val="005D32DC"/>
    <w:rsid w:val="005D6131"/>
    <w:rsid w:val="005F2D25"/>
    <w:rsid w:val="005F40A4"/>
    <w:rsid w:val="00605347"/>
    <w:rsid w:val="006535F1"/>
    <w:rsid w:val="0065557D"/>
    <w:rsid w:val="00662984"/>
    <w:rsid w:val="006716BB"/>
    <w:rsid w:val="006771E7"/>
    <w:rsid w:val="006B472C"/>
    <w:rsid w:val="006B6DCC"/>
    <w:rsid w:val="006B7318"/>
    <w:rsid w:val="006C7699"/>
    <w:rsid w:val="006D3B24"/>
    <w:rsid w:val="006D3B29"/>
    <w:rsid w:val="00733B71"/>
    <w:rsid w:val="00741793"/>
    <w:rsid w:val="0075051B"/>
    <w:rsid w:val="00763E73"/>
    <w:rsid w:val="00782C0B"/>
    <w:rsid w:val="00790142"/>
    <w:rsid w:val="007901DA"/>
    <w:rsid w:val="00794D34"/>
    <w:rsid w:val="007A34B1"/>
    <w:rsid w:val="007C116C"/>
    <w:rsid w:val="007C2E8B"/>
    <w:rsid w:val="007D134F"/>
    <w:rsid w:val="007D7FD5"/>
    <w:rsid w:val="00813E5E"/>
    <w:rsid w:val="0081547A"/>
    <w:rsid w:val="00820BAF"/>
    <w:rsid w:val="0083581B"/>
    <w:rsid w:val="00855BA7"/>
    <w:rsid w:val="00864AFF"/>
    <w:rsid w:val="008662BD"/>
    <w:rsid w:val="00877393"/>
    <w:rsid w:val="008911FB"/>
    <w:rsid w:val="0089474C"/>
    <w:rsid w:val="008A16A8"/>
    <w:rsid w:val="008B4A6A"/>
    <w:rsid w:val="008C7E27"/>
    <w:rsid w:val="008E3733"/>
    <w:rsid w:val="008F1108"/>
    <w:rsid w:val="008F3912"/>
    <w:rsid w:val="00915A48"/>
    <w:rsid w:val="00917052"/>
    <w:rsid w:val="009173EF"/>
    <w:rsid w:val="00923A1B"/>
    <w:rsid w:val="00926B92"/>
    <w:rsid w:val="00932906"/>
    <w:rsid w:val="00933CC0"/>
    <w:rsid w:val="00933E81"/>
    <w:rsid w:val="00944BC2"/>
    <w:rsid w:val="00961B0B"/>
    <w:rsid w:val="00965A18"/>
    <w:rsid w:val="00987D95"/>
    <w:rsid w:val="00996E42"/>
    <w:rsid w:val="009A4E24"/>
    <w:rsid w:val="009A56C8"/>
    <w:rsid w:val="009B38C3"/>
    <w:rsid w:val="009C6A0F"/>
    <w:rsid w:val="009D629C"/>
    <w:rsid w:val="009E17BD"/>
    <w:rsid w:val="009E2EE9"/>
    <w:rsid w:val="00A04CEC"/>
    <w:rsid w:val="00A27F92"/>
    <w:rsid w:val="00A30574"/>
    <w:rsid w:val="00A32257"/>
    <w:rsid w:val="00A36066"/>
    <w:rsid w:val="00A36D20"/>
    <w:rsid w:val="00A462B5"/>
    <w:rsid w:val="00A54FD8"/>
    <w:rsid w:val="00A550D1"/>
    <w:rsid w:val="00A55622"/>
    <w:rsid w:val="00A56000"/>
    <w:rsid w:val="00A620DA"/>
    <w:rsid w:val="00A7414F"/>
    <w:rsid w:val="00A83502"/>
    <w:rsid w:val="00AA0BEA"/>
    <w:rsid w:val="00AB2815"/>
    <w:rsid w:val="00AB393C"/>
    <w:rsid w:val="00AC393D"/>
    <w:rsid w:val="00AF6E49"/>
    <w:rsid w:val="00B04A67"/>
    <w:rsid w:val="00B0583C"/>
    <w:rsid w:val="00B131C2"/>
    <w:rsid w:val="00B36E39"/>
    <w:rsid w:val="00B40A81"/>
    <w:rsid w:val="00B447F3"/>
    <w:rsid w:val="00B44910"/>
    <w:rsid w:val="00B47B8F"/>
    <w:rsid w:val="00B71F52"/>
    <w:rsid w:val="00B72267"/>
    <w:rsid w:val="00B769F8"/>
    <w:rsid w:val="00B76EB6"/>
    <w:rsid w:val="00B824C8"/>
    <w:rsid w:val="00B85905"/>
    <w:rsid w:val="00BA74C0"/>
    <w:rsid w:val="00BB1653"/>
    <w:rsid w:val="00BC251A"/>
    <w:rsid w:val="00BD032B"/>
    <w:rsid w:val="00BD6810"/>
    <w:rsid w:val="00BE2640"/>
    <w:rsid w:val="00BE30A1"/>
    <w:rsid w:val="00BF27F0"/>
    <w:rsid w:val="00C01189"/>
    <w:rsid w:val="00C03DBE"/>
    <w:rsid w:val="00C10E06"/>
    <w:rsid w:val="00C11946"/>
    <w:rsid w:val="00C24A9E"/>
    <w:rsid w:val="00C26704"/>
    <w:rsid w:val="00C374DE"/>
    <w:rsid w:val="00C37D85"/>
    <w:rsid w:val="00C413A2"/>
    <w:rsid w:val="00C47AD4"/>
    <w:rsid w:val="00C52D81"/>
    <w:rsid w:val="00C55198"/>
    <w:rsid w:val="00C664FA"/>
    <w:rsid w:val="00C7265C"/>
    <w:rsid w:val="00C8040F"/>
    <w:rsid w:val="00CA238E"/>
    <w:rsid w:val="00CA6393"/>
    <w:rsid w:val="00CB18FF"/>
    <w:rsid w:val="00CC5EF0"/>
    <w:rsid w:val="00CD0C08"/>
    <w:rsid w:val="00CE03FB"/>
    <w:rsid w:val="00CE433C"/>
    <w:rsid w:val="00CF33F3"/>
    <w:rsid w:val="00D00FA2"/>
    <w:rsid w:val="00D0338D"/>
    <w:rsid w:val="00D06183"/>
    <w:rsid w:val="00D22C42"/>
    <w:rsid w:val="00D30768"/>
    <w:rsid w:val="00D3608E"/>
    <w:rsid w:val="00D412C7"/>
    <w:rsid w:val="00D65041"/>
    <w:rsid w:val="00D9148E"/>
    <w:rsid w:val="00D945E6"/>
    <w:rsid w:val="00DA51F3"/>
    <w:rsid w:val="00DA6905"/>
    <w:rsid w:val="00DB6DC2"/>
    <w:rsid w:val="00DE2B20"/>
    <w:rsid w:val="00DF0F5D"/>
    <w:rsid w:val="00E00F7D"/>
    <w:rsid w:val="00E10E80"/>
    <w:rsid w:val="00E124F0"/>
    <w:rsid w:val="00E378C5"/>
    <w:rsid w:val="00E53777"/>
    <w:rsid w:val="00E60F04"/>
    <w:rsid w:val="00E8113B"/>
    <w:rsid w:val="00E9013A"/>
    <w:rsid w:val="00EA48F9"/>
    <w:rsid w:val="00EB0D6F"/>
    <w:rsid w:val="00EB2232"/>
    <w:rsid w:val="00EB52A2"/>
    <w:rsid w:val="00EC1A42"/>
    <w:rsid w:val="00EC5337"/>
    <w:rsid w:val="00EE2A3B"/>
    <w:rsid w:val="00F2150A"/>
    <w:rsid w:val="00F231D8"/>
    <w:rsid w:val="00F44ED7"/>
    <w:rsid w:val="00F46C5F"/>
    <w:rsid w:val="00F54A63"/>
    <w:rsid w:val="00F56D59"/>
    <w:rsid w:val="00F70098"/>
    <w:rsid w:val="00F856EC"/>
    <w:rsid w:val="00F863A8"/>
    <w:rsid w:val="00F94A63"/>
    <w:rsid w:val="00F96CA1"/>
    <w:rsid w:val="00FB38F1"/>
    <w:rsid w:val="00FB7596"/>
    <w:rsid w:val="00FC08D9"/>
    <w:rsid w:val="00FD60B3"/>
    <w:rsid w:val="00FE1048"/>
    <w:rsid w:val="00FE392A"/>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4C160C20"/>
  <w15:docId w15:val="{7E68A750-2D85-4C8E-A17E-AAD520EBD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38F1"/>
    <w:pPr>
      <w:spacing w:after="160" w:line="259" w:lineRule="auto"/>
    </w:pPr>
    <w:rPr>
      <w:rFonts w:asciiTheme="minorHAnsi" w:eastAsiaTheme="minorEastAsia" w:hAnsiTheme="minorHAnsi" w:cstheme="minorBidi"/>
      <w:sz w:val="22"/>
      <w:szCs w:val="22"/>
      <w:lang w:val="en-GB"/>
    </w:rPr>
  </w:style>
  <w:style w:type="paragraph" w:styleId="Heading1">
    <w:name w:val="heading 1"/>
    <w:basedOn w:val="Normal"/>
    <w:next w:val="Normal"/>
    <w:qFormat/>
    <w:rsid w:val="00EE2A3B"/>
    <w:pPr>
      <w:keepNext/>
      <w:keepLines/>
      <w:numPr>
        <w:numId w:val="8"/>
      </w:numPr>
      <w:spacing w:before="480"/>
      <w:outlineLvl w:val="0"/>
    </w:pPr>
    <w:rPr>
      <w:b/>
      <w:sz w:val="28"/>
    </w:rPr>
  </w:style>
  <w:style w:type="paragraph" w:styleId="Heading2">
    <w:name w:val="heading 2"/>
    <w:basedOn w:val="Heading1"/>
    <w:next w:val="Normal"/>
    <w:qFormat/>
    <w:rsid w:val="00EE2A3B"/>
    <w:pPr>
      <w:numPr>
        <w:ilvl w:val="1"/>
      </w:numPr>
      <w:spacing w:before="320"/>
      <w:outlineLvl w:val="1"/>
    </w:pPr>
    <w:rPr>
      <w:sz w:val="24"/>
    </w:rPr>
  </w:style>
  <w:style w:type="paragraph" w:styleId="Heading3">
    <w:name w:val="heading 3"/>
    <w:basedOn w:val="Heading1"/>
    <w:next w:val="Normal"/>
    <w:qFormat/>
    <w:rsid w:val="00EE2A3B"/>
    <w:pPr>
      <w:numPr>
        <w:ilvl w:val="2"/>
      </w:numPr>
      <w:spacing w:before="200"/>
      <w:outlineLvl w:val="2"/>
    </w:pPr>
    <w:rPr>
      <w:sz w:val="24"/>
    </w:rPr>
  </w:style>
  <w:style w:type="paragraph" w:styleId="Heading4">
    <w:name w:val="heading 4"/>
    <w:basedOn w:val="Heading3"/>
    <w:next w:val="Normal"/>
    <w:qFormat/>
    <w:rsid w:val="00EE2A3B"/>
    <w:pPr>
      <w:numPr>
        <w:ilvl w:val="3"/>
      </w:numPr>
      <w:outlineLvl w:val="3"/>
    </w:pPr>
  </w:style>
  <w:style w:type="paragraph" w:styleId="Heading5">
    <w:name w:val="heading 5"/>
    <w:basedOn w:val="Heading4"/>
    <w:next w:val="Normal"/>
    <w:qFormat/>
    <w:rsid w:val="00EE2A3B"/>
    <w:pPr>
      <w:numPr>
        <w:ilvl w:val="4"/>
      </w:numPr>
      <w:outlineLvl w:val="4"/>
    </w:pPr>
  </w:style>
  <w:style w:type="paragraph" w:styleId="Heading6">
    <w:name w:val="heading 6"/>
    <w:basedOn w:val="Heading4"/>
    <w:next w:val="Normal"/>
    <w:qFormat/>
    <w:rsid w:val="00EE2A3B"/>
    <w:pPr>
      <w:numPr>
        <w:ilvl w:val="5"/>
      </w:numPr>
      <w:outlineLvl w:val="5"/>
    </w:pPr>
  </w:style>
  <w:style w:type="paragraph" w:styleId="Heading7">
    <w:name w:val="heading 7"/>
    <w:basedOn w:val="Heading4"/>
    <w:next w:val="Normal"/>
    <w:qFormat/>
    <w:rsid w:val="00EE2A3B"/>
    <w:pPr>
      <w:numPr>
        <w:ilvl w:val="6"/>
      </w:numPr>
      <w:outlineLvl w:val="6"/>
    </w:pPr>
  </w:style>
  <w:style w:type="paragraph" w:styleId="Heading8">
    <w:name w:val="heading 8"/>
    <w:basedOn w:val="Heading4"/>
    <w:next w:val="Normal"/>
    <w:qFormat/>
    <w:rsid w:val="00EE2A3B"/>
    <w:pPr>
      <w:numPr>
        <w:ilvl w:val="7"/>
      </w:numPr>
      <w:outlineLvl w:val="7"/>
    </w:pPr>
  </w:style>
  <w:style w:type="paragraph" w:styleId="Heading9">
    <w:name w:val="heading 9"/>
    <w:basedOn w:val="Heading4"/>
    <w:next w:val="Normal"/>
    <w:qFormat/>
    <w:rsid w:val="00EE2A3B"/>
    <w:pPr>
      <w:numPr>
        <w:ilvl w:val="8"/>
      </w:numPr>
      <w:outlineLvl w:val="8"/>
    </w:pPr>
  </w:style>
  <w:style w:type="character" w:default="1" w:styleId="DefaultParagraphFont">
    <w:name w:val="Default Paragraph Font"/>
    <w:uiPriority w:val="1"/>
    <w:semiHidden/>
    <w:unhideWhenUsed/>
    <w:rsid w:val="00FB38F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B38F1"/>
  </w:style>
  <w:style w:type="paragraph" w:styleId="TOC8">
    <w:name w:val="toc 8"/>
    <w:basedOn w:val="Normal"/>
    <w:next w:val="Normal"/>
    <w:rsid w:val="00EE2A3B"/>
    <w:pPr>
      <w:tabs>
        <w:tab w:val="left" w:pos="964"/>
        <w:tab w:val="left" w:leader="dot" w:pos="8789"/>
        <w:tab w:val="right" w:pos="9639"/>
      </w:tabs>
      <w:ind w:left="964" w:hanging="964"/>
    </w:pPr>
  </w:style>
  <w:style w:type="paragraph" w:styleId="TOC4">
    <w:name w:val="toc 4"/>
    <w:basedOn w:val="Normal"/>
    <w:next w:val="Normal"/>
    <w:rsid w:val="00EE2A3B"/>
    <w:pPr>
      <w:tabs>
        <w:tab w:val="left" w:pos="964"/>
        <w:tab w:val="left" w:pos="8789"/>
        <w:tab w:val="right" w:pos="9639"/>
      </w:tabs>
      <w:ind w:left="964" w:hanging="964"/>
    </w:pPr>
  </w:style>
  <w:style w:type="paragraph" w:styleId="TOC3">
    <w:name w:val="toc 3"/>
    <w:basedOn w:val="Normal"/>
    <w:next w:val="Normal"/>
    <w:rsid w:val="00EE2A3B"/>
    <w:pPr>
      <w:tabs>
        <w:tab w:val="left" w:pos="964"/>
        <w:tab w:val="left" w:leader="dot" w:pos="8789"/>
        <w:tab w:val="right" w:pos="9639"/>
      </w:tabs>
      <w:ind w:left="964" w:hanging="964"/>
    </w:pPr>
  </w:style>
  <w:style w:type="paragraph" w:styleId="TOC2">
    <w:name w:val="toc 2"/>
    <w:basedOn w:val="Normal"/>
    <w:next w:val="Normal"/>
    <w:rsid w:val="00EE2A3B"/>
    <w:pPr>
      <w:tabs>
        <w:tab w:val="left" w:pos="964"/>
        <w:tab w:val="left" w:leader="dot" w:pos="8789"/>
        <w:tab w:val="right" w:pos="9639"/>
      </w:tabs>
      <w:ind w:left="964" w:hanging="964"/>
    </w:pPr>
  </w:style>
  <w:style w:type="paragraph" w:styleId="TOC1">
    <w:name w:val="toc 1"/>
    <w:basedOn w:val="Normal"/>
    <w:rsid w:val="00EE2A3B"/>
    <w:pPr>
      <w:tabs>
        <w:tab w:val="left" w:pos="964"/>
        <w:tab w:val="left" w:leader="dot" w:pos="8789"/>
        <w:tab w:val="right" w:pos="9639"/>
      </w:tabs>
      <w:spacing w:before="240"/>
      <w:ind w:left="964" w:hanging="964"/>
    </w:pPr>
  </w:style>
  <w:style w:type="paragraph" w:styleId="TOC7">
    <w:name w:val="toc 7"/>
    <w:basedOn w:val="Normal"/>
    <w:next w:val="Normal"/>
    <w:rsid w:val="00EE2A3B"/>
    <w:pPr>
      <w:tabs>
        <w:tab w:val="left" w:pos="964"/>
        <w:tab w:val="left" w:leader="dot" w:pos="8789"/>
        <w:tab w:val="right" w:pos="9639"/>
      </w:tabs>
      <w:ind w:left="964" w:hanging="964"/>
    </w:pPr>
  </w:style>
  <w:style w:type="paragraph" w:styleId="TOC6">
    <w:name w:val="toc 6"/>
    <w:basedOn w:val="Normal"/>
    <w:next w:val="Normal"/>
    <w:rsid w:val="00EE2A3B"/>
    <w:pPr>
      <w:tabs>
        <w:tab w:val="left" w:pos="964"/>
        <w:tab w:val="left" w:leader="dot" w:pos="8789"/>
        <w:tab w:val="right" w:pos="9639"/>
      </w:tabs>
      <w:ind w:left="964" w:hanging="964"/>
    </w:pPr>
  </w:style>
  <w:style w:type="paragraph" w:styleId="TOC5">
    <w:name w:val="toc 5"/>
    <w:basedOn w:val="Normal"/>
    <w:next w:val="Normal"/>
    <w:rsid w:val="00EE2A3B"/>
    <w:pPr>
      <w:tabs>
        <w:tab w:val="left" w:pos="964"/>
        <w:tab w:val="left" w:leader="dot" w:pos="8789"/>
        <w:tab w:val="right" w:pos="9639"/>
      </w:tabs>
      <w:ind w:left="964" w:hanging="964"/>
    </w:pPr>
  </w:style>
  <w:style w:type="paragraph" w:styleId="Index7">
    <w:name w:val="index 7"/>
    <w:basedOn w:val="Normal"/>
    <w:next w:val="Normal"/>
    <w:rsid w:val="00EE2A3B"/>
    <w:pPr>
      <w:ind w:left="1698"/>
    </w:pPr>
  </w:style>
  <w:style w:type="paragraph" w:styleId="Index6">
    <w:name w:val="index 6"/>
    <w:basedOn w:val="Normal"/>
    <w:next w:val="Normal"/>
    <w:rsid w:val="00EE2A3B"/>
    <w:pPr>
      <w:ind w:left="1415"/>
    </w:pPr>
  </w:style>
  <w:style w:type="paragraph" w:styleId="Index5">
    <w:name w:val="index 5"/>
    <w:basedOn w:val="Normal"/>
    <w:next w:val="Normal"/>
    <w:rsid w:val="00EE2A3B"/>
    <w:pPr>
      <w:ind w:left="1132"/>
    </w:pPr>
  </w:style>
  <w:style w:type="paragraph" w:styleId="Index4">
    <w:name w:val="index 4"/>
    <w:basedOn w:val="Normal"/>
    <w:next w:val="Normal"/>
    <w:rsid w:val="00EE2A3B"/>
    <w:pPr>
      <w:ind w:left="849"/>
    </w:pPr>
  </w:style>
  <w:style w:type="paragraph" w:styleId="Index3">
    <w:name w:val="index 3"/>
    <w:basedOn w:val="Normal"/>
    <w:next w:val="Normal"/>
    <w:rsid w:val="00EE2A3B"/>
    <w:pPr>
      <w:ind w:left="566"/>
    </w:pPr>
  </w:style>
  <w:style w:type="paragraph" w:styleId="Index2">
    <w:name w:val="index 2"/>
    <w:basedOn w:val="Normal"/>
    <w:next w:val="Normal"/>
    <w:rsid w:val="00EE2A3B"/>
    <w:pPr>
      <w:ind w:left="283"/>
    </w:pPr>
  </w:style>
  <w:style w:type="paragraph" w:styleId="Index1">
    <w:name w:val="index 1"/>
    <w:basedOn w:val="Normal"/>
    <w:next w:val="Normal"/>
    <w:rsid w:val="00EE2A3B"/>
  </w:style>
  <w:style w:type="character" w:styleId="LineNumber">
    <w:name w:val="line number"/>
    <w:basedOn w:val="DefaultParagraphFont"/>
    <w:rsid w:val="00EE2A3B"/>
  </w:style>
  <w:style w:type="paragraph" w:styleId="IndexHeading">
    <w:name w:val="index heading"/>
    <w:basedOn w:val="Normal"/>
    <w:next w:val="Index1"/>
    <w:rsid w:val="00EE2A3B"/>
  </w:style>
  <w:style w:type="paragraph" w:styleId="Footer">
    <w:name w:val="footer"/>
    <w:basedOn w:val="Normal"/>
    <w:rsid w:val="00EE2A3B"/>
    <w:pPr>
      <w:tabs>
        <w:tab w:val="left" w:pos="5954"/>
        <w:tab w:val="right" w:pos="9639"/>
      </w:tabs>
    </w:pPr>
    <w:rPr>
      <w:caps/>
      <w:noProof/>
      <w:sz w:val="16"/>
    </w:rPr>
  </w:style>
  <w:style w:type="paragraph" w:styleId="Header">
    <w:name w:val="header"/>
    <w:basedOn w:val="Normal"/>
    <w:rsid w:val="00EE2A3B"/>
    <w:pPr>
      <w:jc w:val="center"/>
    </w:pPr>
    <w:rPr>
      <w:sz w:val="18"/>
    </w:rPr>
  </w:style>
  <w:style w:type="character" w:styleId="FootnoteReference">
    <w:name w:val="footnote reference"/>
    <w:aliases w:val="Appel note de bas de p,Footnote Reference/,Footnote symbol,Ref,de nota al pie,Style 12,(NECG) Footnote Reference,Style 124,Appel note de bas de p + 11 pt,Italic,Appel note de bas de p1,Appel note de bas de p2,Appel note de bas de p3,o"/>
    <w:basedOn w:val="DefaultParagraphFont"/>
    <w:qFormat/>
    <w:rsid w:val="00EE2A3B"/>
    <w:rPr>
      <w:rFonts w:ascii="Calibri" w:hAnsi="Calibri"/>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Footnote Text Char1 Char1 Char1 Char Char Char1,DNV-FT,DN,Char1,DNV,fn"/>
    <w:basedOn w:val="Normal"/>
    <w:link w:val="FootnoteTextChar"/>
    <w:rsid w:val="00EE2A3B"/>
    <w:pPr>
      <w:keepLines/>
      <w:tabs>
        <w:tab w:val="left" w:pos="256"/>
      </w:tabs>
      <w:ind w:left="256" w:hanging="256"/>
    </w:pPr>
  </w:style>
  <w:style w:type="paragraph" w:styleId="NormalIndent">
    <w:name w:val="Normal Indent"/>
    <w:basedOn w:val="Normal"/>
    <w:rsid w:val="00EE2A3B"/>
    <w:pPr>
      <w:ind w:left="567"/>
    </w:pPr>
  </w:style>
  <w:style w:type="paragraph" w:customStyle="1" w:styleId="enumlev1">
    <w:name w:val="enumlev1"/>
    <w:basedOn w:val="Normal"/>
    <w:link w:val="enumlev1Char"/>
    <w:qFormat/>
    <w:rsid w:val="00EE2A3B"/>
    <w:pPr>
      <w:spacing w:before="86"/>
      <w:ind w:left="567" w:hanging="567"/>
    </w:pPr>
  </w:style>
  <w:style w:type="paragraph" w:customStyle="1" w:styleId="enumlev2">
    <w:name w:val="enumlev2"/>
    <w:basedOn w:val="enumlev1"/>
    <w:rsid w:val="00EE2A3B"/>
    <w:pPr>
      <w:ind w:left="1134"/>
    </w:pPr>
  </w:style>
  <w:style w:type="paragraph" w:customStyle="1" w:styleId="enumlev3">
    <w:name w:val="enumlev3"/>
    <w:basedOn w:val="enumlev2"/>
    <w:rsid w:val="00EE2A3B"/>
    <w:pPr>
      <w:ind w:left="1701"/>
    </w:pPr>
  </w:style>
  <w:style w:type="paragraph" w:customStyle="1" w:styleId="Normalaftertitle">
    <w:name w:val="Normal after title"/>
    <w:basedOn w:val="Normal"/>
    <w:next w:val="Normal"/>
    <w:link w:val="NormalaftertitleChar"/>
    <w:rsid w:val="00EE2A3B"/>
    <w:pPr>
      <w:spacing w:before="240"/>
    </w:pPr>
  </w:style>
  <w:style w:type="paragraph" w:customStyle="1" w:styleId="Equation">
    <w:name w:val="Equation"/>
    <w:basedOn w:val="Normal"/>
    <w:rsid w:val="00EE2A3B"/>
    <w:pPr>
      <w:tabs>
        <w:tab w:val="center" w:pos="4820"/>
        <w:tab w:val="right" w:pos="9639"/>
      </w:tabs>
    </w:pPr>
  </w:style>
  <w:style w:type="paragraph" w:customStyle="1" w:styleId="Head">
    <w:name w:val="Head"/>
    <w:basedOn w:val="Normal"/>
    <w:rsid w:val="00EE2A3B"/>
    <w:pPr>
      <w:tabs>
        <w:tab w:val="left" w:pos="6663"/>
      </w:tabs>
    </w:pPr>
  </w:style>
  <w:style w:type="paragraph" w:customStyle="1" w:styleId="toc0">
    <w:name w:val="toc 0"/>
    <w:basedOn w:val="Normal"/>
    <w:next w:val="TOC1"/>
    <w:rsid w:val="00EE2A3B"/>
    <w:pPr>
      <w:tabs>
        <w:tab w:val="right" w:pos="9781"/>
      </w:tabs>
    </w:pPr>
    <w:rPr>
      <w:b/>
    </w:rPr>
  </w:style>
  <w:style w:type="paragraph" w:styleId="List">
    <w:name w:val="List"/>
    <w:basedOn w:val="Normal"/>
    <w:rsid w:val="00EE2A3B"/>
    <w:pPr>
      <w:tabs>
        <w:tab w:val="left" w:pos="2127"/>
      </w:tabs>
      <w:ind w:left="2127" w:hanging="2127"/>
    </w:pPr>
  </w:style>
  <w:style w:type="paragraph" w:customStyle="1" w:styleId="Part">
    <w:name w:val="Part"/>
    <w:basedOn w:val="Normal"/>
    <w:next w:val="Normal"/>
    <w:rsid w:val="00EE2A3B"/>
    <w:pPr>
      <w:spacing w:before="600"/>
      <w:jc w:val="center"/>
    </w:pPr>
    <w:rPr>
      <w:caps/>
      <w:sz w:val="28"/>
    </w:rPr>
  </w:style>
  <w:style w:type="paragraph" w:customStyle="1" w:styleId="docnoted">
    <w:name w:val="docnoted"/>
    <w:basedOn w:val="Normal"/>
    <w:next w:val="Head"/>
    <w:rsid w:val="00EE2A3B"/>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Title1"/>
    <w:autoRedefine/>
    <w:rsid w:val="00D30768"/>
    <w:pPr>
      <w:spacing w:before="480" w:after="0"/>
      <w:jc w:val="center"/>
    </w:pPr>
    <w:rPr>
      <w:bCs/>
      <w:sz w:val="28"/>
    </w:rPr>
  </w:style>
  <w:style w:type="paragraph" w:customStyle="1" w:styleId="meeting">
    <w:name w:val="meeting"/>
    <w:basedOn w:val="Head"/>
    <w:next w:val="Head"/>
    <w:rsid w:val="00EE2A3B"/>
    <w:pPr>
      <w:tabs>
        <w:tab w:val="left" w:pos="7371"/>
      </w:tabs>
      <w:spacing w:after="567"/>
    </w:pPr>
  </w:style>
  <w:style w:type="paragraph" w:customStyle="1" w:styleId="Subject">
    <w:name w:val="Subject"/>
    <w:basedOn w:val="Normal"/>
    <w:next w:val="Source"/>
    <w:rsid w:val="00EE2A3B"/>
    <w:pPr>
      <w:ind w:left="1134" w:hanging="1134"/>
    </w:pPr>
  </w:style>
  <w:style w:type="paragraph" w:customStyle="1" w:styleId="Object">
    <w:name w:val="Object"/>
    <w:basedOn w:val="Subject"/>
    <w:next w:val="Subject"/>
    <w:rsid w:val="00EE2A3B"/>
  </w:style>
  <w:style w:type="paragraph" w:customStyle="1" w:styleId="Data">
    <w:name w:val="Data"/>
    <w:basedOn w:val="Subject"/>
    <w:next w:val="Subject"/>
    <w:rsid w:val="00EE2A3B"/>
  </w:style>
  <w:style w:type="paragraph" w:customStyle="1" w:styleId="Reasons">
    <w:name w:val="Reasons"/>
    <w:basedOn w:val="Normal"/>
    <w:rsid w:val="00EE2A3B"/>
  </w:style>
  <w:style w:type="character" w:styleId="Hyperlink">
    <w:name w:val="Hyperlink"/>
    <w:basedOn w:val="DefaultParagraphFont"/>
    <w:rsid w:val="00EE2A3B"/>
    <w:rPr>
      <w:color w:val="0000FF"/>
      <w:u w:val="single"/>
    </w:rPr>
  </w:style>
  <w:style w:type="paragraph" w:customStyle="1" w:styleId="FirstFooter">
    <w:name w:val="FirstFooter"/>
    <w:basedOn w:val="Footer"/>
    <w:rsid w:val="00EE2A3B"/>
    <w:rPr>
      <w:caps w:val="0"/>
    </w:rPr>
  </w:style>
  <w:style w:type="paragraph" w:customStyle="1" w:styleId="Note">
    <w:name w:val="Note"/>
    <w:basedOn w:val="Normal"/>
    <w:rsid w:val="00EE2A3B"/>
    <w:pPr>
      <w:tabs>
        <w:tab w:val="left" w:pos="851"/>
      </w:tabs>
    </w:pPr>
  </w:style>
  <w:style w:type="paragraph" w:styleId="TOC9">
    <w:name w:val="toc 9"/>
    <w:basedOn w:val="TOC4"/>
    <w:rsid w:val="00EE2A3B"/>
  </w:style>
  <w:style w:type="paragraph" w:customStyle="1" w:styleId="Headingb">
    <w:name w:val="Heading_b"/>
    <w:basedOn w:val="Heading3"/>
    <w:next w:val="Normal"/>
    <w:rsid w:val="00EE2A3B"/>
    <w:pPr>
      <w:spacing w:before="160"/>
      <w:outlineLvl w:val="0"/>
    </w:pPr>
  </w:style>
  <w:style w:type="character" w:styleId="FollowedHyperlink">
    <w:name w:val="FollowedHyperlink"/>
    <w:basedOn w:val="DefaultParagraphFont"/>
    <w:rsid w:val="00EE2A3B"/>
    <w:rPr>
      <w:color w:val="800080"/>
      <w:u w:val="single"/>
    </w:rPr>
  </w:style>
  <w:style w:type="paragraph" w:customStyle="1" w:styleId="Title1">
    <w:name w:val="Title 1"/>
    <w:basedOn w:val="Source"/>
    <w:next w:val="Title2"/>
    <w:rsid w:val="00EE2A3B"/>
    <w:pPr>
      <w:spacing w:before="240"/>
    </w:pPr>
    <w:rPr>
      <w:b/>
      <w:caps/>
    </w:rPr>
  </w:style>
  <w:style w:type="paragraph" w:customStyle="1" w:styleId="Title2">
    <w:name w:val="Title 2"/>
    <w:basedOn w:val="Source"/>
    <w:next w:val="Title3"/>
    <w:rsid w:val="00EE2A3B"/>
    <w:pPr>
      <w:spacing w:before="240"/>
    </w:pPr>
    <w:rPr>
      <w:b/>
      <w:caps/>
    </w:rPr>
  </w:style>
  <w:style w:type="paragraph" w:customStyle="1" w:styleId="Title3">
    <w:name w:val="Title 3"/>
    <w:basedOn w:val="Title2"/>
    <w:next w:val="Normalaftertitle"/>
    <w:rsid w:val="00EE2A3B"/>
    <w:rPr>
      <w:caps w:val="0"/>
    </w:rPr>
  </w:style>
  <w:style w:type="paragraph" w:customStyle="1" w:styleId="Title4">
    <w:name w:val="Title 4"/>
    <w:basedOn w:val="Title3"/>
    <w:next w:val="Heading1"/>
    <w:rsid w:val="00EE2A3B"/>
    <w:rPr>
      <w:b w:val="0"/>
    </w:rPr>
  </w:style>
  <w:style w:type="paragraph" w:customStyle="1" w:styleId="dnum">
    <w:name w:val="dnum"/>
    <w:basedOn w:val="Normal"/>
    <w:rsid w:val="00EE2A3B"/>
    <w:pPr>
      <w:framePr w:hSpace="181" w:wrap="around" w:vAnchor="page" w:hAnchor="margin" w:y="852"/>
      <w:shd w:val="solid" w:color="FFFFFF" w:fill="FFFFFF"/>
      <w:tabs>
        <w:tab w:val="left" w:pos="1871"/>
      </w:tabs>
    </w:pPr>
    <w:rPr>
      <w:b/>
      <w:bCs/>
    </w:rPr>
  </w:style>
  <w:style w:type="paragraph" w:customStyle="1" w:styleId="ddate">
    <w:name w:val="ddate"/>
    <w:basedOn w:val="Normal"/>
    <w:rsid w:val="00EE2A3B"/>
    <w:pPr>
      <w:framePr w:hSpace="181" w:wrap="around" w:vAnchor="page" w:hAnchor="margin" w:y="852"/>
      <w:shd w:val="solid" w:color="FFFFFF" w:fill="FFFFFF"/>
      <w:tabs>
        <w:tab w:val="left" w:pos="1871"/>
      </w:tabs>
    </w:pPr>
    <w:rPr>
      <w:b/>
      <w:bCs/>
    </w:rPr>
  </w:style>
  <w:style w:type="paragraph" w:customStyle="1" w:styleId="dorlang">
    <w:name w:val="dorlang"/>
    <w:basedOn w:val="Normal"/>
    <w:rsid w:val="00EE2A3B"/>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link w:val="AnnexNoChar"/>
    <w:rsid w:val="00EE2A3B"/>
    <w:pPr>
      <w:spacing w:before="720"/>
      <w:jc w:val="center"/>
    </w:pPr>
    <w:rPr>
      <w:caps/>
      <w:sz w:val="28"/>
    </w:rPr>
  </w:style>
  <w:style w:type="paragraph" w:customStyle="1" w:styleId="Annextitle">
    <w:name w:val="Annex_title"/>
    <w:basedOn w:val="Normal"/>
    <w:next w:val="Normal"/>
    <w:link w:val="AnnextitleChar"/>
    <w:rsid w:val="00EE2A3B"/>
    <w:pPr>
      <w:spacing w:before="240" w:after="240"/>
      <w:jc w:val="center"/>
    </w:pPr>
    <w:rPr>
      <w:b/>
      <w:sz w:val="28"/>
    </w:rPr>
  </w:style>
  <w:style w:type="paragraph" w:customStyle="1" w:styleId="Annexref">
    <w:name w:val="Annex_ref"/>
    <w:basedOn w:val="Normal"/>
    <w:next w:val="Annextitle"/>
    <w:rsid w:val="00EE2A3B"/>
    <w:pPr>
      <w:jc w:val="center"/>
    </w:pPr>
  </w:style>
  <w:style w:type="paragraph" w:customStyle="1" w:styleId="AppendixNo">
    <w:name w:val="Appendix_No"/>
    <w:basedOn w:val="AnnexNo"/>
    <w:next w:val="Appendixref"/>
    <w:rsid w:val="00EE2A3B"/>
  </w:style>
  <w:style w:type="paragraph" w:customStyle="1" w:styleId="Appendixtitle">
    <w:name w:val="Appendix_title"/>
    <w:basedOn w:val="Annextitle"/>
    <w:next w:val="Normal"/>
    <w:rsid w:val="00EE2A3B"/>
  </w:style>
  <w:style w:type="paragraph" w:customStyle="1" w:styleId="Appendixref">
    <w:name w:val="Appendix_ref"/>
    <w:basedOn w:val="Annexref"/>
    <w:next w:val="Appendixtitle"/>
    <w:rsid w:val="00EE2A3B"/>
  </w:style>
  <w:style w:type="paragraph" w:customStyle="1" w:styleId="Call">
    <w:name w:val="Call"/>
    <w:basedOn w:val="Normal"/>
    <w:next w:val="Normal"/>
    <w:link w:val="CallChar"/>
    <w:rsid w:val="00EE2A3B"/>
    <w:pPr>
      <w:keepNext/>
      <w:keepLines/>
      <w:spacing w:before="160"/>
      <w:ind w:left="567"/>
    </w:pPr>
    <w:rPr>
      <w:i/>
    </w:rPr>
  </w:style>
  <w:style w:type="character" w:styleId="EndnoteReference">
    <w:name w:val="endnote reference"/>
    <w:basedOn w:val="DefaultParagraphFont"/>
    <w:rsid w:val="00EE2A3B"/>
    <w:rPr>
      <w:vertAlign w:val="superscript"/>
    </w:rPr>
  </w:style>
  <w:style w:type="paragraph" w:customStyle="1" w:styleId="Equationlegend">
    <w:name w:val="Equation_legend"/>
    <w:basedOn w:val="Normal"/>
    <w:rsid w:val="00EE2A3B"/>
    <w:pPr>
      <w:tabs>
        <w:tab w:val="right" w:pos="1531"/>
      </w:tabs>
      <w:spacing w:before="80"/>
      <w:ind w:left="1701" w:hanging="1701"/>
    </w:pPr>
  </w:style>
  <w:style w:type="paragraph" w:customStyle="1" w:styleId="Figure">
    <w:name w:val="Figure"/>
    <w:basedOn w:val="Normal"/>
    <w:next w:val="Figuretitle"/>
    <w:rsid w:val="00EE2A3B"/>
    <w:pPr>
      <w:keepNext/>
      <w:keepLines/>
      <w:spacing w:after="120"/>
      <w:jc w:val="center"/>
    </w:pPr>
  </w:style>
  <w:style w:type="paragraph" w:customStyle="1" w:styleId="Figuretitle">
    <w:name w:val="Figure_title"/>
    <w:basedOn w:val="Tabletitle"/>
    <w:next w:val="Normalaftertitle"/>
    <w:rsid w:val="00EE2A3B"/>
    <w:pPr>
      <w:spacing w:before="240" w:after="480"/>
    </w:pPr>
  </w:style>
  <w:style w:type="paragraph" w:customStyle="1" w:styleId="Tabletitle">
    <w:name w:val="Table_title"/>
    <w:basedOn w:val="TableNo"/>
    <w:next w:val="Tabletext"/>
    <w:rsid w:val="00EE2A3B"/>
    <w:pPr>
      <w:tabs>
        <w:tab w:val="left" w:pos="2948"/>
        <w:tab w:val="left" w:pos="4082"/>
      </w:tabs>
      <w:spacing w:before="0"/>
    </w:pPr>
    <w:rPr>
      <w:b/>
      <w:caps w:val="0"/>
    </w:rPr>
  </w:style>
  <w:style w:type="paragraph" w:customStyle="1" w:styleId="TableNo">
    <w:name w:val="Table_No"/>
    <w:basedOn w:val="Normal"/>
    <w:next w:val="Tabletitle"/>
    <w:rsid w:val="00EE2A3B"/>
    <w:pPr>
      <w:keepNext/>
      <w:spacing w:before="560" w:after="120"/>
      <w:jc w:val="center"/>
    </w:pPr>
    <w:rPr>
      <w:caps/>
    </w:rPr>
  </w:style>
  <w:style w:type="paragraph" w:customStyle="1" w:styleId="Tabletext">
    <w:name w:val="Table_text"/>
    <w:basedOn w:val="Normal"/>
    <w:rsid w:val="00EE2A3B"/>
    <w:pPr>
      <w:spacing w:before="60" w:after="60"/>
    </w:pPr>
  </w:style>
  <w:style w:type="paragraph" w:customStyle="1" w:styleId="Figurelegend">
    <w:name w:val="Figure_legend"/>
    <w:basedOn w:val="Normal"/>
    <w:rsid w:val="00EE2A3B"/>
    <w:pPr>
      <w:keepNext/>
      <w:keepLines/>
      <w:spacing w:before="20" w:after="20"/>
    </w:pPr>
    <w:rPr>
      <w:sz w:val="18"/>
    </w:rPr>
  </w:style>
  <w:style w:type="paragraph" w:customStyle="1" w:styleId="FigureNo">
    <w:name w:val="Figure_No"/>
    <w:basedOn w:val="Normal"/>
    <w:next w:val="Figuretitle"/>
    <w:rsid w:val="00EE2A3B"/>
    <w:pPr>
      <w:keepNext/>
      <w:keepLines/>
      <w:spacing w:before="240" w:after="120"/>
      <w:jc w:val="center"/>
    </w:pPr>
    <w:rPr>
      <w:caps/>
    </w:rPr>
  </w:style>
  <w:style w:type="paragraph" w:customStyle="1" w:styleId="Figurewithouttitle">
    <w:name w:val="Figure_without_title"/>
    <w:basedOn w:val="Figure"/>
    <w:next w:val="Normalaftertitle"/>
    <w:rsid w:val="00EE2A3B"/>
    <w:pPr>
      <w:keepNext w:val="0"/>
      <w:spacing w:after="240"/>
    </w:pPr>
  </w:style>
  <w:style w:type="paragraph" w:customStyle="1" w:styleId="Headingi">
    <w:name w:val="Heading_i"/>
    <w:basedOn w:val="Heading3"/>
    <w:next w:val="Normal"/>
    <w:rsid w:val="00EE2A3B"/>
    <w:pPr>
      <w:spacing w:before="160"/>
      <w:outlineLvl w:val="0"/>
    </w:pPr>
    <w:rPr>
      <w:b w:val="0"/>
      <w:i/>
    </w:rPr>
  </w:style>
  <w:style w:type="character" w:styleId="PageNumber">
    <w:name w:val="page number"/>
    <w:basedOn w:val="DefaultParagraphFont"/>
    <w:rsid w:val="00EE2A3B"/>
    <w:rPr>
      <w:rFonts w:ascii="Calibri" w:hAnsi="Calibri"/>
    </w:rPr>
  </w:style>
  <w:style w:type="paragraph" w:customStyle="1" w:styleId="PartNo">
    <w:name w:val="Part_No"/>
    <w:basedOn w:val="AnnexNo"/>
    <w:next w:val="Parttitle"/>
    <w:rsid w:val="00EE2A3B"/>
  </w:style>
  <w:style w:type="paragraph" w:customStyle="1" w:styleId="Parttitle">
    <w:name w:val="Part_title"/>
    <w:basedOn w:val="Annextitle"/>
    <w:next w:val="Partref"/>
    <w:rsid w:val="00EE2A3B"/>
  </w:style>
  <w:style w:type="paragraph" w:customStyle="1" w:styleId="Partref">
    <w:name w:val="Part_ref"/>
    <w:basedOn w:val="Annexref"/>
    <w:next w:val="Normalaftertitle"/>
    <w:rsid w:val="00EE2A3B"/>
  </w:style>
  <w:style w:type="paragraph" w:customStyle="1" w:styleId="RecNo">
    <w:name w:val="Rec_No"/>
    <w:basedOn w:val="Normal"/>
    <w:next w:val="Rectitle"/>
    <w:rsid w:val="00EE2A3B"/>
    <w:pPr>
      <w:spacing w:before="720"/>
      <w:jc w:val="center"/>
    </w:pPr>
    <w:rPr>
      <w:caps/>
      <w:sz w:val="28"/>
    </w:rPr>
  </w:style>
  <w:style w:type="paragraph" w:customStyle="1" w:styleId="Rectitle">
    <w:name w:val="Rec_title"/>
    <w:basedOn w:val="Normal"/>
    <w:next w:val="Heading1"/>
    <w:rsid w:val="00EE2A3B"/>
    <w:pPr>
      <w:spacing w:before="240"/>
      <w:jc w:val="center"/>
    </w:pPr>
    <w:rPr>
      <w:b/>
      <w:sz w:val="28"/>
    </w:rPr>
  </w:style>
  <w:style w:type="paragraph" w:customStyle="1" w:styleId="Recref">
    <w:name w:val="Rec_ref"/>
    <w:basedOn w:val="Rectitle"/>
    <w:next w:val="Recdate"/>
    <w:rsid w:val="00EE2A3B"/>
    <w:pPr>
      <w:spacing w:before="120"/>
    </w:pPr>
    <w:rPr>
      <w:rFonts w:ascii="Times New Roman" w:hAnsi="Times New Roman"/>
      <w:b w:val="0"/>
      <w:sz w:val="24"/>
    </w:rPr>
  </w:style>
  <w:style w:type="paragraph" w:customStyle="1" w:styleId="Recdate">
    <w:name w:val="Rec_date"/>
    <w:basedOn w:val="Recref"/>
    <w:next w:val="Normalaftertitle"/>
    <w:rsid w:val="00EE2A3B"/>
    <w:pPr>
      <w:jc w:val="right"/>
    </w:pPr>
    <w:rPr>
      <w:sz w:val="22"/>
    </w:rPr>
  </w:style>
  <w:style w:type="paragraph" w:customStyle="1" w:styleId="Questiondate">
    <w:name w:val="Question_date"/>
    <w:basedOn w:val="Recdate"/>
    <w:next w:val="Normalaftertitle"/>
    <w:rsid w:val="00EE2A3B"/>
  </w:style>
  <w:style w:type="paragraph" w:customStyle="1" w:styleId="QuestionNo">
    <w:name w:val="Question_No"/>
    <w:basedOn w:val="RecNo"/>
    <w:next w:val="Questiontitle"/>
    <w:rsid w:val="00EE2A3B"/>
  </w:style>
  <w:style w:type="paragraph" w:customStyle="1" w:styleId="Questionref">
    <w:name w:val="Question_ref"/>
    <w:basedOn w:val="Recref"/>
    <w:next w:val="Questiondate"/>
    <w:rsid w:val="00EE2A3B"/>
  </w:style>
  <w:style w:type="paragraph" w:customStyle="1" w:styleId="Questiontitle">
    <w:name w:val="Question_title"/>
    <w:basedOn w:val="Rectitle"/>
    <w:next w:val="Questionref"/>
    <w:rsid w:val="00EE2A3B"/>
  </w:style>
  <w:style w:type="paragraph" w:customStyle="1" w:styleId="Reftext">
    <w:name w:val="Ref_text"/>
    <w:basedOn w:val="Normal"/>
    <w:rsid w:val="00EE2A3B"/>
    <w:pPr>
      <w:ind w:left="567" w:hanging="567"/>
    </w:pPr>
  </w:style>
  <w:style w:type="paragraph" w:customStyle="1" w:styleId="Reftitle">
    <w:name w:val="Ref_title"/>
    <w:basedOn w:val="Normal"/>
    <w:next w:val="Reftext"/>
    <w:rsid w:val="00EE2A3B"/>
    <w:pPr>
      <w:spacing w:before="480"/>
      <w:jc w:val="center"/>
    </w:pPr>
    <w:rPr>
      <w:caps/>
      <w:sz w:val="28"/>
    </w:rPr>
  </w:style>
  <w:style w:type="paragraph" w:customStyle="1" w:styleId="Repdate">
    <w:name w:val="Rep_date"/>
    <w:basedOn w:val="Recdate"/>
    <w:next w:val="Normalaftertitle"/>
    <w:rsid w:val="00EE2A3B"/>
  </w:style>
  <w:style w:type="paragraph" w:customStyle="1" w:styleId="RepNo">
    <w:name w:val="Rep_No"/>
    <w:basedOn w:val="RecNo"/>
    <w:next w:val="Reptitle"/>
    <w:rsid w:val="00EE2A3B"/>
  </w:style>
  <w:style w:type="paragraph" w:customStyle="1" w:styleId="Reptitle">
    <w:name w:val="Rep_title"/>
    <w:basedOn w:val="Rectitle"/>
    <w:next w:val="Repref"/>
    <w:rsid w:val="00EE2A3B"/>
  </w:style>
  <w:style w:type="paragraph" w:customStyle="1" w:styleId="Repref">
    <w:name w:val="Rep_ref"/>
    <w:basedOn w:val="Recref"/>
    <w:next w:val="Repdate"/>
    <w:rsid w:val="00EE2A3B"/>
  </w:style>
  <w:style w:type="paragraph" w:customStyle="1" w:styleId="Resdate">
    <w:name w:val="Res_date"/>
    <w:basedOn w:val="Recdate"/>
    <w:next w:val="Normalaftertitle"/>
    <w:rsid w:val="00EE2A3B"/>
  </w:style>
  <w:style w:type="paragraph" w:customStyle="1" w:styleId="ResNo">
    <w:name w:val="Res_No"/>
    <w:basedOn w:val="AnnexNo"/>
    <w:next w:val="Restitle"/>
    <w:rsid w:val="00EE2A3B"/>
  </w:style>
  <w:style w:type="paragraph" w:customStyle="1" w:styleId="Restitle">
    <w:name w:val="Res_title"/>
    <w:basedOn w:val="Annextitle"/>
    <w:next w:val="Normal"/>
    <w:link w:val="RestitleChar"/>
    <w:rsid w:val="00EE2A3B"/>
  </w:style>
  <w:style w:type="paragraph" w:customStyle="1" w:styleId="Resref">
    <w:name w:val="Res_ref"/>
    <w:basedOn w:val="Recref"/>
    <w:next w:val="Resdate"/>
    <w:rsid w:val="00EE2A3B"/>
  </w:style>
  <w:style w:type="paragraph" w:customStyle="1" w:styleId="SectionNo">
    <w:name w:val="Section_No"/>
    <w:basedOn w:val="AnnexNo"/>
    <w:next w:val="Sectiontitle"/>
    <w:rsid w:val="00EE2A3B"/>
  </w:style>
  <w:style w:type="paragraph" w:customStyle="1" w:styleId="Sectiontitle">
    <w:name w:val="Section_title"/>
    <w:basedOn w:val="Normal"/>
    <w:next w:val="Normalaftertitle"/>
    <w:rsid w:val="00EE2A3B"/>
    <w:rPr>
      <w:sz w:val="28"/>
    </w:rPr>
  </w:style>
  <w:style w:type="paragraph" w:customStyle="1" w:styleId="SpecialFooter">
    <w:name w:val="Special Footer"/>
    <w:basedOn w:val="Footer"/>
    <w:rsid w:val="00EE2A3B"/>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EE2A3B"/>
    <w:pPr>
      <w:spacing w:before="120" w:after="120"/>
      <w:jc w:val="center"/>
    </w:pPr>
    <w:rPr>
      <w:b/>
    </w:rPr>
  </w:style>
  <w:style w:type="paragraph" w:customStyle="1" w:styleId="Tablelegend">
    <w:name w:val="Table_legend"/>
    <w:basedOn w:val="Tabletext"/>
    <w:rsid w:val="00EE2A3B"/>
    <w:pPr>
      <w:spacing w:before="120"/>
    </w:pPr>
  </w:style>
  <w:style w:type="paragraph" w:customStyle="1" w:styleId="Tableref">
    <w:name w:val="Table_ref"/>
    <w:basedOn w:val="Normal"/>
    <w:next w:val="Tabletitle"/>
    <w:rsid w:val="00EE2A3B"/>
    <w:pPr>
      <w:keepNext/>
      <w:spacing w:before="567"/>
      <w:jc w:val="center"/>
    </w:pPr>
  </w:style>
  <w:style w:type="paragraph" w:customStyle="1" w:styleId="Artheading">
    <w:name w:val="Art_heading"/>
    <w:basedOn w:val="Normal"/>
    <w:next w:val="Normalaftertitle"/>
    <w:rsid w:val="00EE2A3B"/>
    <w:pPr>
      <w:spacing w:before="480"/>
      <w:jc w:val="center"/>
    </w:pPr>
    <w:rPr>
      <w:b/>
    </w:rPr>
  </w:style>
  <w:style w:type="paragraph" w:customStyle="1" w:styleId="ArtNo">
    <w:name w:val="Art_No"/>
    <w:basedOn w:val="Normal"/>
    <w:next w:val="Arttitle"/>
    <w:rsid w:val="00EE2A3B"/>
    <w:pPr>
      <w:spacing w:before="600"/>
      <w:jc w:val="center"/>
    </w:pPr>
    <w:rPr>
      <w:caps/>
      <w:sz w:val="28"/>
    </w:rPr>
  </w:style>
  <w:style w:type="paragraph" w:customStyle="1" w:styleId="Arttitle">
    <w:name w:val="Art_title"/>
    <w:basedOn w:val="Normal"/>
    <w:next w:val="Normal"/>
    <w:rsid w:val="00EE2A3B"/>
    <w:pPr>
      <w:spacing w:before="240" w:after="240"/>
      <w:jc w:val="center"/>
    </w:pPr>
    <w:rPr>
      <w:b/>
      <w:sz w:val="28"/>
    </w:rPr>
  </w:style>
  <w:style w:type="paragraph" w:customStyle="1" w:styleId="ChapNo">
    <w:name w:val="Chap_No"/>
    <w:basedOn w:val="ArtNo"/>
    <w:next w:val="Chaptitle"/>
    <w:rsid w:val="00EE2A3B"/>
  </w:style>
  <w:style w:type="paragraph" w:customStyle="1" w:styleId="Chaptitle">
    <w:name w:val="Chap_title"/>
    <w:basedOn w:val="Arttitle"/>
    <w:next w:val="Normal"/>
    <w:rsid w:val="00EE2A3B"/>
  </w:style>
  <w:style w:type="paragraph" w:customStyle="1" w:styleId="firstfooter0">
    <w:name w:val="firstfooter"/>
    <w:basedOn w:val="Normal"/>
    <w:rsid w:val="00EE2A3B"/>
    <w:pPr>
      <w:spacing w:before="100" w:beforeAutospacing="1" w:after="100" w:afterAutospacing="1"/>
    </w:pPr>
    <w:rPr>
      <w:rFonts w:eastAsia="SimSun"/>
    </w:rPr>
  </w:style>
  <w:style w:type="paragraph" w:customStyle="1" w:styleId="Table">
    <w:name w:val="Table_#"/>
    <w:basedOn w:val="Normal"/>
    <w:next w:val="Normal"/>
    <w:rsid w:val="00EE2A3B"/>
    <w:pPr>
      <w:keepNext/>
      <w:tabs>
        <w:tab w:val="left" w:pos="794"/>
        <w:tab w:val="left" w:pos="1191"/>
        <w:tab w:val="left" w:pos="1588"/>
        <w:tab w:val="left" w:pos="1985"/>
      </w:tabs>
      <w:spacing w:before="560" w:after="120"/>
      <w:jc w:val="center"/>
    </w:pPr>
    <w:rPr>
      <w:rFonts w:ascii="Times New Roman" w:hAnsi="Times New Roman"/>
      <w:caps/>
    </w:rPr>
  </w:style>
  <w:style w:type="character" w:customStyle="1" w:styleId="CallChar">
    <w:name w:val="Call Char"/>
    <w:basedOn w:val="DefaultParagraphFont"/>
    <w:link w:val="Call"/>
    <w:rsid w:val="004535DE"/>
    <w:rPr>
      <w:rFonts w:ascii="Calibri" w:hAnsi="Calibri"/>
      <w:i/>
      <w:sz w:val="24"/>
      <w:lang w:val="en-GB" w:eastAsia="en-US"/>
    </w:rPr>
  </w:style>
  <w:style w:type="character" w:customStyle="1" w:styleId="NormalaftertitleChar">
    <w:name w:val="Normal after title Char"/>
    <w:basedOn w:val="DefaultParagraphFont"/>
    <w:link w:val="Normalaftertitle"/>
    <w:rsid w:val="004535DE"/>
    <w:rPr>
      <w:rFonts w:ascii="Calibri" w:hAnsi="Calibri"/>
      <w:sz w:val="24"/>
      <w:lang w:val="en-GB" w:eastAsia="en-US"/>
    </w:rPr>
  </w:style>
  <w:style w:type="character" w:customStyle="1" w:styleId="enumlev1Char">
    <w:name w:val="enumlev1 Char"/>
    <w:basedOn w:val="DefaultParagraphFont"/>
    <w:link w:val="enumlev1"/>
    <w:rsid w:val="004535DE"/>
    <w:rPr>
      <w:rFonts w:ascii="Calibri" w:hAnsi="Calibri"/>
      <w:sz w:val="24"/>
      <w:lang w:val="en-GB" w:eastAsia="en-US"/>
    </w:rPr>
  </w:style>
  <w:style w:type="character" w:customStyle="1" w:styleId="RestitleChar">
    <w:name w:val="Res_title Char"/>
    <w:basedOn w:val="DefaultParagraphFont"/>
    <w:link w:val="Restitle"/>
    <w:rsid w:val="004535DE"/>
    <w:rPr>
      <w:rFonts w:ascii="Calibri" w:hAnsi="Calibri"/>
      <w:b/>
      <w:sz w:val="28"/>
      <w:lang w:val="en-GB" w:eastAsia="en-US"/>
    </w:rPr>
  </w:style>
  <w:style w:type="character" w:customStyle="1" w:styleId="AnnexNoChar">
    <w:name w:val="Annex_No Char"/>
    <w:basedOn w:val="DefaultParagraphFont"/>
    <w:link w:val="AnnexNo"/>
    <w:rsid w:val="004535DE"/>
    <w:rPr>
      <w:rFonts w:ascii="Calibri" w:hAnsi="Calibri"/>
      <w:caps/>
      <w:sz w:val="28"/>
      <w:lang w:val="en-GB" w:eastAsia="en-US"/>
    </w:rPr>
  </w:style>
  <w:style w:type="character" w:customStyle="1" w:styleId="AnnextitleChar">
    <w:name w:val="Annex_title Char"/>
    <w:basedOn w:val="DefaultParagraphFont"/>
    <w:link w:val="Annextitle"/>
    <w:rsid w:val="004535DE"/>
    <w:rPr>
      <w:rFonts w:ascii="Calibri" w:hAnsi="Calibri"/>
      <w:b/>
      <w:sz w:val="28"/>
      <w:lang w:val="en-GB" w:eastAsia="en-US"/>
    </w:rPr>
  </w:style>
  <w:style w:type="paragraph" w:styleId="BalloonText">
    <w:name w:val="Balloon Text"/>
    <w:basedOn w:val="Normal"/>
    <w:link w:val="BalloonTextChar"/>
    <w:semiHidden/>
    <w:unhideWhenUsed/>
    <w:rsid w:val="009A4E24"/>
    <w:rPr>
      <w:rFonts w:ascii="Segoe UI" w:hAnsi="Segoe UI" w:cs="Segoe UI"/>
      <w:sz w:val="18"/>
      <w:szCs w:val="18"/>
    </w:rPr>
  </w:style>
  <w:style w:type="character" w:customStyle="1" w:styleId="BalloonTextChar">
    <w:name w:val="Balloon Text Char"/>
    <w:basedOn w:val="DefaultParagraphFont"/>
    <w:link w:val="BalloonText"/>
    <w:semiHidden/>
    <w:rsid w:val="009A4E24"/>
    <w:rPr>
      <w:rFonts w:ascii="Segoe UI" w:eastAsiaTheme="minorEastAsia" w:hAnsi="Segoe UI" w:cs="Segoe UI"/>
      <w:sz w:val="18"/>
      <w:szCs w:val="18"/>
      <w:lang w:val="en-GB"/>
    </w:rPr>
  </w:style>
  <w:style w:type="paragraph" w:styleId="ListParagraph">
    <w:name w:val="List Paragraph"/>
    <w:basedOn w:val="Normal"/>
    <w:uiPriority w:val="34"/>
    <w:qFormat/>
    <w:rsid w:val="00F56D59"/>
    <w:pPr>
      <w:ind w:left="720"/>
      <w:contextualSpacing/>
    </w:p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DN Char,Char1 Char"/>
    <w:basedOn w:val="DefaultParagraphFont"/>
    <w:link w:val="FootnoteText"/>
    <w:rsid w:val="00CC5EF0"/>
    <w:rPr>
      <w:rFonts w:asciiTheme="minorHAnsi" w:eastAsiaTheme="minorEastAsia" w:hAnsiTheme="minorHAnsi" w:cstheme="minorBidi"/>
      <w:sz w:val="22"/>
      <w:szCs w:val="22"/>
      <w:lang w:val="en-GB"/>
    </w:rPr>
  </w:style>
  <w:style w:type="paragraph" w:styleId="Revision">
    <w:name w:val="Revision"/>
    <w:hidden/>
    <w:uiPriority w:val="99"/>
    <w:semiHidden/>
    <w:rsid w:val="005F2D25"/>
    <w:rPr>
      <w:rFonts w:asciiTheme="minorHAnsi" w:eastAsiaTheme="minorEastAsia" w:hAnsiTheme="minorHAnsi" w:cstheme="minorBidi"/>
      <w:sz w:val="22"/>
      <w:szCs w:val="22"/>
      <w:lang w:val="en-GB"/>
    </w:rPr>
  </w:style>
  <w:style w:type="table" w:styleId="TableGrid">
    <w:name w:val="Table Grid"/>
    <w:basedOn w:val="TableNormal"/>
    <w:uiPriority w:val="39"/>
    <w:rsid w:val="00C03DBE"/>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ard1">
    <w:name w:val="Standaard1"/>
    <w:rsid w:val="00C03DBE"/>
    <w:pPr>
      <w:tabs>
        <w:tab w:val="left" w:pos="567"/>
        <w:tab w:val="left" w:pos="1134"/>
        <w:tab w:val="left" w:pos="1701"/>
        <w:tab w:val="left" w:pos="2268"/>
        <w:tab w:val="left" w:pos="2835"/>
      </w:tabs>
      <w:spacing w:before="120"/>
    </w:pPr>
    <w:rPr>
      <w:rFonts w:ascii="Calibri" w:eastAsia="Calibri" w:hAnsi="Calibri" w:cs="Calibri"/>
      <w:color w:val="000000"/>
      <w:sz w:val="24"/>
      <w:szCs w:val="24"/>
      <w:lang w:val="en-GB" w:eastAsia="en-US"/>
    </w:rPr>
  </w:style>
  <w:style w:type="character" w:styleId="CommentReference">
    <w:name w:val="annotation reference"/>
    <w:basedOn w:val="DefaultParagraphFont"/>
    <w:semiHidden/>
    <w:unhideWhenUsed/>
    <w:rsid w:val="00407B9C"/>
    <w:rPr>
      <w:sz w:val="16"/>
      <w:szCs w:val="16"/>
    </w:rPr>
  </w:style>
  <w:style w:type="paragraph" w:styleId="CommentText">
    <w:name w:val="annotation text"/>
    <w:basedOn w:val="Normal"/>
    <w:link w:val="CommentTextChar"/>
    <w:semiHidden/>
    <w:unhideWhenUsed/>
    <w:rsid w:val="00407B9C"/>
    <w:rPr>
      <w:sz w:val="20"/>
      <w:szCs w:val="20"/>
    </w:rPr>
  </w:style>
  <w:style w:type="character" w:customStyle="1" w:styleId="CommentTextChar">
    <w:name w:val="Comment Text Char"/>
    <w:basedOn w:val="DefaultParagraphFont"/>
    <w:link w:val="CommentText"/>
    <w:semiHidden/>
    <w:rsid w:val="00407B9C"/>
    <w:rPr>
      <w:rFonts w:asciiTheme="minorHAnsi" w:eastAsiaTheme="minorEastAsia" w:hAnsiTheme="minorHAnsi" w:cstheme="minorBidi"/>
      <w:lang w:val="en-GB"/>
    </w:rPr>
  </w:style>
  <w:style w:type="paragraph" w:styleId="CommentSubject">
    <w:name w:val="annotation subject"/>
    <w:basedOn w:val="CommentText"/>
    <w:next w:val="CommentText"/>
    <w:link w:val="CommentSubjectChar"/>
    <w:semiHidden/>
    <w:unhideWhenUsed/>
    <w:rsid w:val="00407B9C"/>
    <w:rPr>
      <w:b/>
      <w:bCs/>
    </w:rPr>
  </w:style>
  <w:style w:type="character" w:customStyle="1" w:styleId="CommentSubjectChar">
    <w:name w:val="Comment Subject Char"/>
    <w:basedOn w:val="CommentTextChar"/>
    <w:link w:val="CommentSubject"/>
    <w:semiHidden/>
    <w:rsid w:val="00407B9C"/>
    <w:rPr>
      <w:rFonts w:asciiTheme="minorHAnsi" w:eastAsiaTheme="minorEastAsia" w:hAnsiTheme="minorHAnsi" w:cstheme="minorBidi"/>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60984F-D56C-46C3-8EC7-FA1643A48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947</Words>
  <Characters>5499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Contribution by the People’s Republic of China-Recommendations to Include the ICTs for Public Health Emergency of International Concern (PHEIC) into the Strategic Goals of ITU Strategic Plan for 2024-2027</vt:lpstr>
    </vt:vector>
  </TitlesOfParts>
  <Manager>General Secretariat - Pool</Manager>
  <Company>International Telecommunication Union (ITU)</Company>
  <LinksUpToDate>false</LinksUpToDate>
  <CharactersWithSpaces>6434</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by the People’s Republic of China-Recommendations to Include the ICTs for Public Health Emergency of International Concern (PHEIC) into the Strategic Goals of ITU Strategic Plan for 2024-2027</dc:title>
  <dc:subject>Counciil Working Group for Strategic and Financial Plans 2024-2027</dc:subject>
  <dc:creator>Brouard, Ricarda</dc:creator>
  <cp:keywords>CWG-SFP, CWG, CWGs &amp; EGs</cp:keywords>
  <dc:description/>
  <cp:lastModifiedBy>Xue, Kun</cp:lastModifiedBy>
  <cp:revision>3</cp:revision>
  <cp:lastPrinted>2000-07-18T13:30:00Z</cp:lastPrinted>
  <dcterms:created xsi:type="dcterms:W3CDTF">2021-09-14T12:34:00Z</dcterms:created>
  <dcterms:modified xsi:type="dcterms:W3CDTF">2021-09-14T12:42:00Z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