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20256B" w14:paraId="38FD7E05" w14:textId="77777777" w:rsidTr="00821479">
        <w:trPr>
          <w:cantSplit/>
        </w:trPr>
        <w:tc>
          <w:tcPr>
            <w:tcW w:w="6911" w:type="dxa"/>
          </w:tcPr>
          <w:p w14:paraId="1CA22095" w14:textId="4A6CC0CE" w:rsidR="00821479" w:rsidRPr="0020256B" w:rsidRDefault="0076356D" w:rsidP="0076356D">
            <w:pPr>
              <w:spacing w:before="240" w:after="48"/>
              <w:rPr>
                <w:position w:val="6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Рабочая группа Совета по разработке Стратегического и Финансового планов на 2024–2027 годы</w:t>
            </w:r>
          </w:p>
        </w:tc>
        <w:tc>
          <w:tcPr>
            <w:tcW w:w="2870" w:type="dxa"/>
          </w:tcPr>
          <w:p w14:paraId="12C8B612" w14:textId="52A83F62" w:rsidR="00821479" w:rsidRPr="0020256B" w:rsidRDefault="00DF2730" w:rsidP="00DF2730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B24BFC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0FA78CB" w:rsidR="00821479" w:rsidRPr="0020256B" w:rsidRDefault="00DF2730" w:rsidP="00715EEB">
            <w:pPr>
              <w:spacing w:before="0" w:after="48" w:line="240" w:lineRule="atLeast"/>
              <w:rPr>
                <w:b/>
                <w:smallCaps/>
                <w:szCs w:val="22"/>
              </w:rPr>
            </w:pPr>
            <w:r>
              <w:rPr>
                <w:b/>
                <w:color w:val="000000"/>
                <w:szCs w:val="24"/>
              </w:rPr>
              <w:t xml:space="preserve">Первое собрание – Виртуальное собрание, </w:t>
            </w:r>
            <w:proofErr w:type="gramStart"/>
            <w:r>
              <w:rPr>
                <w:b/>
                <w:color w:val="000000"/>
                <w:szCs w:val="24"/>
              </w:rPr>
              <w:t>29−30</w:t>
            </w:r>
            <w:proofErr w:type="gramEnd"/>
            <w:r>
              <w:rPr>
                <w:b/>
                <w:color w:val="000000"/>
                <w:szCs w:val="24"/>
              </w:rPr>
              <w:t xml:space="preserve"> сентября 2021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20256B" w:rsidRDefault="00821479" w:rsidP="00821479">
            <w:pPr>
              <w:spacing w:before="0" w:line="240" w:lineRule="atLeast"/>
              <w:rPr>
                <w:szCs w:val="22"/>
              </w:rPr>
            </w:pPr>
          </w:p>
        </w:tc>
      </w:tr>
      <w:tr w:rsidR="00821479" w:rsidRPr="00B24BFC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20256B" w:rsidRDefault="00821479" w:rsidP="0082147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20256B" w:rsidRDefault="00821479" w:rsidP="00821479">
            <w:pPr>
              <w:spacing w:before="0" w:line="240" w:lineRule="atLeast"/>
              <w:rPr>
                <w:szCs w:val="22"/>
              </w:rPr>
            </w:pPr>
          </w:p>
        </w:tc>
      </w:tr>
      <w:tr w:rsidR="00821479" w:rsidRPr="0020256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20256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14:paraId="27E707EA" w14:textId="1CBC43C3" w:rsidR="00821479" w:rsidRPr="0020256B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Документ CWG-SFP-1/9-R</w:t>
            </w:r>
          </w:p>
        </w:tc>
      </w:tr>
      <w:tr w:rsidR="00821479" w:rsidRPr="0020256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20256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14:paraId="613F1D24" w14:textId="1730C814" w:rsidR="00821479" w:rsidRPr="0020256B" w:rsidRDefault="00D31BAF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 сентября 2021 года</w:t>
            </w:r>
          </w:p>
        </w:tc>
      </w:tr>
      <w:tr w:rsidR="00821479" w:rsidRPr="0020256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20256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2870" w:type="dxa"/>
          </w:tcPr>
          <w:p w14:paraId="50F6F1E1" w14:textId="77777777" w:rsidR="00821479" w:rsidRPr="0020256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DF2730" w:rsidRPr="0020256B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0C2F86D5" w:rsidR="00DF2730" w:rsidRPr="0020256B" w:rsidRDefault="00DF2730" w:rsidP="00DF2730">
            <w:pPr>
              <w:pStyle w:val="Title1"/>
            </w:pPr>
          </w:p>
        </w:tc>
      </w:tr>
      <w:tr w:rsidR="00821479" w:rsidRPr="0020256B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3679800" w:rsidR="00821479" w:rsidRPr="0020256B" w:rsidRDefault="008B6F60" w:rsidP="007F5014">
            <w:pPr>
              <w:pStyle w:val="Source"/>
            </w:pPr>
            <w:r>
              <w:t>Вклад Китайской Народной Республики</w:t>
            </w:r>
          </w:p>
        </w:tc>
      </w:tr>
      <w:tr w:rsidR="00DB2408" w:rsidRPr="0020256B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66002DBD" w:rsidR="00715EEB" w:rsidRPr="00B24BFC" w:rsidRDefault="00E01258" w:rsidP="007F5014">
            <w:pPr>
              <w:pStyle w:val="Title1"/>
              <w:rPr>
                <w:szCs w:val="22"/>
              </w:rPr>
            </w:pPr>
            <w:bookmarkStart w:id="1" w:name="lt_pId011"/>
            <w:r w:rsidRPr="00A8049B">
              <w:rPr>
                <w:bCs/>
              </w:rPr>
              <w:t xml:space="preserve">РЕКОМЕНДАЦИИ ПО ВКЛЮЧЕНИЮ ВОПРОСА ОБ ИСПОЛЬЗОВАНИИ СУЩЕСТВУЮЩИХ ПЛАТФОРМ ДЛЯ ПРОВЕДЕНИЯ МЕЖДУНАРОДНЫХ </w:t>
            </w:r>
            <w:r w:rsidR="00E81824">
              <w:rPr>
                <w:bCs/>
              </w:rPr>
              <w:t>собраний</w:t>
            </w:r>
            <w:r w:rsidRPr="00A8049B">
              <w:rPr>
                <w:bCs/>
              </w:rPr>
              <w:t xml:space="preserve"> ВЫСОКОГО УРОВНЯ В ЦЕЛЯХ СОДЕЙСТВИЯ ДОСТИЖЕНИЮ ГЛОБАЛЬНОГО КОНСЕНСУСА ПО ЦИФРОВОМУ УПРАВЛЕНИЮ В МЕЖСЕКТОРАЛЬНЫЕ ЗАДАЧИ СТРАТЕГИЧЕСКОГО ПЛАНА МСЭ НА 2024–2027 ГОДЫ</w:t>
            </w:r>
            <w:bookmarkEnd w:id="1"/>
          </w:p>
        </w:tc>
      </w:tr>
    </w:tbl>
    <w:p w14:paraId="7CC488A7" w14:textId="5753FD63" w:rsidR="00E01258" w:rsidRPr="00A8049B" w:rsidRDefault="00F56DAE" w:rsidP="00A01AC9">
      <w:pPr>
        <w:pStyle w:val="Headingb"/>
        <w:spacing w:before="480"/>
        <w:rPr>
          <w:rFonts w:eastAsia="仿宋"/>
        </w:rPr>
      </w:pPr>
      <w:bookmarkStart w:id="2" w:name="lt_pId053"/>
      <w:r w:rsidRPr="00A8049B">
        <w:t>Базовая информация</w:t>
      </w:r>
    </w:p>
    <w:p w14:paraId="1ABB68CE" w14:textId="64CD425C" w:rsidR="00E01258" w:rsidRPr="00A8049B" w:rsidRDefault="00E01258" w:rsidP="00A01AC9">
      <w:pPr>
        <w:rPr>
          <w:rFonts w:eastAsia="仿宋"/>
        </w:rPr>
      </w:pPr>
      <w:r w:rsidRPr="00A8049B">
        <w:t>В современном мире цифровая глобализация стала важным символом нового витка глобализации,</w:t>
      </w:r>
      <w:r w:rsidR="005322B1" w:rsidRPr="00F42A81">
        <w:t xml:space="preserve"> </w:t>
      </w:r>
      <w:r w:rsidR="005322B1">
        <w:t xml:space="preserve">но с ней сопряжены </w:t>
      </w:r>
      <w:r w:rsidRPr="00A8049B">
        <w:t xml:space="preserve">и </w:t>
      </w:r>
      <w:r w:rsidR="005322B1">
        <w:t>серьезные проблемы</w:t>
      </w:r>
      <w:r w:rsidRPr="00A8049B">
        <w:t xml:space="preserve">. </w:t>
      </w:r>
      <w:r w:rsidR="005322B1">
        <w:t>Ц</w:t>
      </w:r>
      <w:r w:rsidRPr="00A8049B">
        <w:t>ифрово</w:t>
      </w:r>
      <w:r w:rsidR="005322B1">
        <w:t>й</w:t>
      </w:r>
      <w:r w:rsidRPr="00A8049B">
        <w:t xml:space="preserve"> </w:t>
      </w:r>
      <w:r w:rsidR="005322B1">
        <w:t xml:space="preserve">разрыв, </w:t>
      </w:r>
      <w:r w:rsidRPr="00A8049B">
        <w:t>применени</w:t>
      </w:r>
      <w:r w:rsidR="005322B1">
        <w:t>е</w:t>
      </w:r>
      <w:r w:rsidRPr="00A8049B">
        <w:t xml:space="preserve"> </w:t>
      </w:r>
      <w:r w:rsidR="005322B1">
        <w:t>возникающих</w:t>
      </w:r>
      <w:r w:rsidRPr="00A8049B">
        <w:t xml:space="preserve"> технологий, угрозы кибербезопасности и ряд других вопросов требуют безотлагательного решения. Страны</w:t>
      </w:r>
      <w:r w:rsidR="005322B1" w:rsidRPr="00F42A81">
        <w:t xml:space="preserve"> </w:t>
      </w:r>
      <w:r w:rsidR="005322B1">
        <w:t>принимают</w:t>
      </w:r>
      <w:r w:rsidRPr="00A8049B">
        <w:t xml:space="preserve"> различные </w:t>
      </w:r>
      <w:r w:rsidR="005322B1">
        <w:t xml:space="preserve">политические меры </w:t>
      </w:r>
      <w:r w:rsidRPr="00A8049B">
        <w:t>с учетом своих национальных особенностей, что затрудняет координацию политики в отношении цифрового управления на глобальном уровне. Международное сообщество призывает создать новую глобальную систему цифрового управления. Являясь специализированным учреждением О</w:t>
      </w:r>
      <w:r w:rsidR="005322B1">
        <w:t xml:space="preserve">рганизации Объединенных Наций в области </w:t>
      </w:r>
      <w:r w:rsidRPr="00A8049B">
        <w:t xml:space="preserve">ИКТ, МСЭ объединяет различные заинтересованные стороны со всего мира, представляющие правительства, промышленность, академические организации и гражданское общество, для содействия достижению глобального консенсуса в области цифрового управления и разработке правил осуществления такого управления на глобальном уровне. Основные направления деятельности МСЭ также охватывают вопросы кибербезопасности, цифрового разрыва, электросвязи в чрезвычайных ситуациях, политики в отношении интернета и управления соответствующей деятельностью, а также другие важные аспекты </w:t>
      </w:r>
      <w:r w:rsidR="00753AAC">
        <w:t xml:space="preserve">цифрового </w:t>
      </w:r>
      <w:r w:rsidRPr="00A8049B">
        <w:t>управления</w:t>
      </w:r>
      <w:r w:rsidRPr="00A8049B">
        <w:rPr>
          <w:rStyle w:val="FootnoteReference"/>
          <w:rFonts w:eastAsia="仿宋"/>
        </w:rPr>
        <w:footnoteReference w:id="1"/>
      </w:r>
      <w:r w:rsidRPr="00A8049B">
        <w:t>. МСЭ регулярно проводит такие ключевые мероприятия, как Глобальный симпозиум для регуляторных органов (ГСР) и Симпозиум по всемирным показателям в области электросвязи/ИКТ (WTIS). В ходе Глобального симпозиума для регуляторных органов 2020 года (ГСР-20) было высказано предложение, что "</w:t>
      </w:r>
      <w:bookmarkStart w:id="3" w:name="lt_pId055"/>
      <w:r w:rsidRPr="00A8049B">
        <w:t>четкие, жесткие и реализуемые правила, касающиеся управления данными, могут обеспечить надлежащее укрытие для цифровой защиты потребителей, создавая при этом предсказуемую и структурированную основу для ведения цифровой хозяйственной деятельности</w:t>
      </w:r>
      <w:bookmarkEnd w:id="3"/>
      <w:r w:rsidRPr="00A8049B">
        <w:t>"</w:t>
      </w:r>
      <w:r w:rsidRPr="00A8049B">
        <w:rPr>
          <w:rStyle w:val="FootnoteReference"/>
          <w:rFonts w:eastAsia="仿宋"/>
        </w:rPr>
        <w:footnoteReference w:id="2"/>
      </w:r>
      <w:r w:rsidRPr="00A8049B">
        <w:t>.</w:t>
      </w:r>
    </w:p>
    <w:p w14:paraId="22B05D50" w14:textId="437F8A65" w:rsidR="00E01258" w:rsidRPr="00A8049B" w:rsidRDefault="00E01258" w:rsidP="00A01AC9">
      <w:pPr>
        <w:rPr>
          <w:rFonts w:eastAsia="SimHei"/>
        </w:rPr>
      </w:pPr>
      <w:r w:rsidRPr="00A8049B">
        <w:t>В настоящее время многосторонние, двусторонние и специализированные механизмы управления функционируют параллельно под руководством частного сектора, что способствует формированию условий для цифрового управления в глобальном масштабе.</w:t>
      </w:r>
      <w:r w:rsidRPr="00A8049B">
        <w:rPr>
          <w:b/>
          <w:bCs/>
        </w:rPr>
        <w:t xml:space="preserve"> В контексте глобальных </w:t>
      </w:r>
      <w:r w:rsidRPr="00A8049B">
        <w:rPr>
          <w:b/>
          <w:bCs/>
        </w:rPr>
        <w:lastRenderedPageBreak/>
        <w:t>многосторонних механизмов управления</w:t>
      </w:r>
      <w:r w:rsidRPr="00A8049B">
        <w:t xml:space="preserve"> в ходе саммита "Группы двадцати" (Группа 20), состоявшегося в Ханчжоу в 2016 году, цифровая экономика впервые была включена в модель управления, что положило начало важному процессу координации политики крупных стран в отношении глобального цифрового управления; в рамках Организации Объединенных Наций Всемирная торговая организация (ВТО)</w:t>
      </w:r>
      <w:r w:rsidR="00753AAC">
        <w:t>,</w:t>
      </w:r>
      <w:r w:rsidRPr="00A8049B">
        <w:t xml:space="preserve"> Международный валютный фонд (МВФ) и Всемирный банк уделяют повышенное внимание вопросам цифрового управления</w:t>
      </w:r>
      <w:r w:rsidRPr="00A8049B">
        <w:rPr>
          <w:rStyle w:val="FootnoteReference"/>
          <w:rFonts w:eastAsia="仿宋"/>
        </w:rPr>
        <w:footnoteReference w:id="3"/>
      </w:r>
      <w:r w:rsidRPr="00A8049B">
        <w:t>; ОЭСР, Всемирный экономический форум и другие организации опубликовали большое количество научных работ в области цифровой экономики, что способствует повышению уровня осведомленности различных заинтересованных сторон о цифровом управлении. Что касается двусторонних и региональных механизмов, обширные соглашения о свободной торговле (ССТ)</w:t>
      </w:r>
      <w:r w:rsidRPr="00A8049B">
        <w:rPr>
          <w:rStyle w:val="FootnoteReference"/>
          <w:rFonts w:eastAsia="仿宋"/>
        </w:rPr>
        <w:footnoteReference w:id="4"/>
      </w:r>
      <w:r w:rsidRPr="00A8049B">
        <w:t xml:space="preserve"> играют все более значительную роль в формировании правил глобального цифрового управления. Большое значение для формирования таких правил в будущем играют переговоры, направленные на удовлетворение требований различных заинтересованных сторон в цифровой сфере. Так, в сентябре 2020 года Китай и ЕС организовали цифровой диалог высокого уровня, в ходе которого стороны обменялись мнениями о политике в области стандартизации ИКТ и управления ИИ</w:t>
      </w:r>
      <w:r w:rsidRPr="00A8049B">
        <w:rPr>
          <w:rStyle w:val="FootnoteReference"/>
          <w:rFonts w:eastAsia="仿宋"/>
        </w:rPr>
        <w:footnoteReference w:id="5"/>
      </w:r>
      <w:r w:rsidRPr="00A8049B">
        <w:t xml:space="preserve">. </w:t>
      </w:r>
      <w:r w:rsidRPr="00753AAC">
        <w:rPr>
          <w:b/>
          <w:bCs/>
        </w:rPr>
        <w:t>Частный сектор также оказывает существенное влияние на глобальное цифровое управление, например путем установления международных стандартов.</w:t>
      </w:r>
      <w:r w:rsidRPr="00A8049B">
        <w:t xml:space="preserve"> Международная организация по стандартизации (ИСО), Международная электротехническая комиссия (МЭК) и Институт инженеров по электротехнике и радиоэлектронике (IEEE) учредили специальные рабочие группы для проведения исследований в области стандартов, связанных с этикой ИИ. Однако в силу множества причин, таких как тенденция </w:t>
      </w:r>
      <w:proofErr w:type="spellStart"/>
      <w:r w:rsidRPr="00A8049B">
        <w:t>деглобализации</w:t>
      </w:r>
      <w:proofErr w:type="spellEnd"/>
      <w:r w:rsidRPr="00A8049B">
        <w:t xml:space="preserve">, расширение сферы охвата вопросов управления данными и отсутствие глобального консенсуса, функционирование многосторонних механизмов носит ограниченный характер. Хотя некоторые двусторонние соглашения и способствуют установлению правил в новых областях цифрового управления, в будущем наибольшей проблемой глобального цифрового управления станет его </w:t>
      </w:r>
      <w:proofErr w:type="spellStart"/>
      <w:r w:rsidRPr="00A8049B">
        <w:t>фрагментированность</w:t>
      </w:r>
      <w:proofErr w:type="spellEnd"/>
      <w:r w:rsidRPr="00A8049B">
        <w:t xml:space="preserve">. Проблема поиска путей создания единой, прозрачной и справедливой глобальной системы правил, предотвращения </w:t>
      </w:r>
      <w:proofErr w:type="spellStart"/>
      <w:r w:rsidRPr="00A8049B">
        <w:t>фрагментированности</w:t>
      </w:r>
      <w:proofErr w:type="spellEnd"/>
      <w:r w:rsidRPr="00A8049B">
        <w:t xml:space="preserve"> нормативной базы, увеличивающей "цифровой разрыв", и обеспечения глобального всеобъемлющего роста остается серьезным препятствием на пути к глобальному цифровому управлению в будущем.</w:t>
      </w:r>
    </w:p>
    <w:p w14:paraId="62F87B8F" w14:textId="77777777" w:rsidR="00E01258" w:rsidRPr="00A8049B" w:rsidRDefault="00E01258" w:rsidP="00A01AC9">
      <w:pPr>
        <w:pStyle w:val="Headingb"/>
        <w:rPr>
          <w:rFonts w:eastAsia="SimHei"/>
        </w:rPr>
      </w:pPr>
      <w:r w:rsidRPr="00A8049B">
        <w:t>Анализ</w:t>
      </w:r>
    </w:p>
    <w:p w14:paraId="71A9114F" w14:textId="7BADE3FA" w:rsidR="00E01258" w:rsidRPr="00A8049B" w:rsidRDefault="00E01258" w:rsidP="00E01258">
      <w:pPr>
        <w:rPr>
          <w:rFonts w:eastAsia="仿宋" w:cs="Calibri"/>
          <w:kern w:val="2"/>
          <w:szCs w:val="22"/>
        </w:rPr>
      </w:pPr>
      <w:r w:rsidRPr="00A8049B">
        <w:rPr>
          <w:szCs w:val="22"/>
        </w:rPr>
        <w:t>Стратегический план МСЭ – это стратегический документ, разраб</w:t>
      </w:r>
      <w:r w:rsidR="00753AAC">
        <w:rPr>
          <w:szCs w:val="22"/>
        </w:rPr>
        <w:t xml:space="preserve">атываемый </w:t>
      </w:r>
      <w:r w:rsidRPr="00A8049B">
        <w:rPr>
          <w:szCs w:val="22"/>
        </w:rPr>
        <w:t xml:space="preserve">в соответствии с положениями Устава и Конвенции Союза, который имеет важное значение для определения направлений его деятельности в течение четырехлетнего периода. </w:t>
      </w:r>
      <w:r w:rsidRPr="00A8049B">
        <w:t xml:space="preserve">Хотя каждая из </w:t>
      </w:r>
      <w:r w:rsidRPr="00A8049B">
        <w:rPr>
          <w:szCs w:val="22"/>
        </w:rPr>
        <w:t xml:space="preserve">стратегических </w:t>
      </w:r>
      <w:r w:rsidRPr="00A8049B">
        <w:rPr>
          <w:szCs w:val="22"/>
        </w:rPr>
        <w:lastRenderedPageBreak/>
        <w:t>целей</w:t>
      </w:r>
      <w:r w:rsidRPr="00A8049B">
        <w:rPr>
          <w:rStyle w:val="FootnoteReference"/>
          <w:rFonts w:eastAsia="仿宋"/>
          <w:szCs w:val="16"/>
        </w:rPr>
        <w:footnoteReference w:id="6"/>
      </w:r>
      <w:r w:rsidRPr="00A8049B">
        <w:rPr>
          <w:szCs w:val="22"/>
        </w:rPr>
        <w:t>, установленных Резолюцией 71 (Пересм. Дубай, 2018 г.) в отношении Стратегического плана МСЭ на 2020–2023 годы, охватывает те или иные аспекты цифрового управления, необходимые вспомогательные механизмы для проведения консультаций ими не предусмотрены. Поэтому рекомендуется сформулировать "</w:t>
      </w:r>
      <w:proofErr w:type="spellStart"/>
      <w:r w:rsidRPr="00A8049B">
        <w:rPr>
          <w:szCs w:val="22"/>
        </w:rPr>
        <w:t>межсекторальные</w:t>
      </w:r>
      <w:proofErr w:type="spellEnd"/>
      <w:r w:rsidRPr="00A8049B">
        <w:rPr>
          <w:szCs w:val="22"/>
        </w:rPr>
        <w:t xml:space="preserve"> задачи"</w:t>
      </w:r>
      <w:r w:rsidRPr="00A8049B">
        <w:rPr>
          <w:rStyle w:val="FootnoteReference"/>
          <w:rFonts w:eastAsia="仿宋"/>
          <w:szCs w:val="16"/>
        </w:rPr>
        <w:footnoteReference w:id="7"/>
      </w:r>
      <w:r w:rsidRPr="00A8049B">
        <w:rPr>
          <w:rStyle w:val="FootnoteReference"/>
          <w:rFonts w:eastAsia="仿宋"/>
          <w:sz w:val="22"/>
          <w:szCs w:val="22"/>
        </w:rPr>
        <w:t xml:space="preserve"> </w:t>
      </w:r>
      <w:r w:rsidRPr="00A8049B">
        <w:rPr>
          <w:szCs w:val="22"/>
        </w:rPr>
        <w:t xml:space="preserve">Стратегического плана МСЭ на 2024–2027 годы таким образом, чтобы они прямо предусматривали использование существующих платформ для проведения международных </w:t>
      </w:r>
      <w:r w:rsidR="00AD3815">
        <w:rPr>
          <w:szCs w:val="22"/>
        </w:rPr>
        <w:t>собраний</w:t>
      </w:r>
      <w:r w:rsidRPr="00A8049B">
        <w:rPr>
          <w:szCs w:val="22"/>
        </w:rPr>
        <w:t xml:space="preserve"> высокого уровня в целях организации консультаций по вопросам цифрового управления и содействия укреплению глобального консенсуса по вопросам цифрового управления.</w:t>
      </w:r>
    </w:p>
    <w:p w14:paraId="7E0A0745" w14:textId="31231566" w:rsidR="00E01258" w:rsidRPr="00A8049B" w:rsidRDefault="006A2CD3" w:rsidP="00E01258">
      <w:pPr>
        <w:pStyle w:val="Headingb"/>
        <w:rPr>
          <w:rFonts w:eastAsia="仿宋"/>
          <w:kern w:val="2"/>
        </w:rPr>
      </w:pPr>
      <w:r w:rsidRPr="00A8049B">
        <w:t>Предложение</w:t>
      </w:r>
    </w:p>
    <w:p w14:paraId="61C5E0C5" w14:textId="4408202B" w:rsidR="00E01258" w:rsidRPr="00A8049B" w:rsidRDefault="00E01258" w:rsidP="00E01258">
      <w:pPr>
        <w:rPr>
          <w:rFonts w:eastAsia="DengXian"/>
        </w:rPr>
      </w:pPr>
      <w:r w:rsidRPr="00A8049B">
        <w:t xml:space="preserve">В целом мы рекомендуем МСЭ включить вопрос об использовании платформ для проведения регулярных международных </w:t>
      </w:r>
      <w:r w:rsidR="00AD3815">
        <w:t>собраний</w:t>
      </w:r>
      <w:r w:rsidRPr="00A8049B">
        <w:t xml:space="preserve"> высокого уровня по теме глобального цифрового управления в стратегический план МСЭ на средне- и долгосрочную перспективу для рассмотрения. В частности, рекомендуется:</w:t>
      </w:r>
    </w:p>
    <w:p w14:paraId="7F4CC565" w14:textId="66CF7B59" w:rsidR="00E01258" w:rsidRPr="00A8049B" w:rsidRDefault="00E01258" w:rsidP="00E01258">
      <w:pPr>
        <w:pStyle w:val="enumlev1"/>
        <w:rPr>
          <w:rFonts w:eastAsia="仿宋"/>
        </w:rPr>
      </w:pPr>
      <w:r w:rsidRPr="00A8049B">
        <w:t>•</w:t>
      </w:r>
      <w:r w:rsidRPr="00A8049B">
        <w:tab/>
        <w:t xml:space="preserve">рассмотреть возможность включения вопроса об использовании существующих платформ для проведения международных </w:t>
      </w:r>
      <w:r w:rsidR="00AD3815">
        <w:t xml:space="preserve">собраний </w:t>
      </w:r>
      <w:r w:rsidRPr="00A8049B">
        <w:t xml:space="preserve">высокого уровня в целях содействия достижению глобального консенсуса по цифровому управлению в </w:t>
      </w:r>
      <w:r w:rsidR="00AD3815">
        <w:t>"</w:t>
      </w:r>
      <w:proofErr w:type="spellStart"/>
      <w:r w:rsidRPr="00A8049B">
        <w:t>межсекторальные</w:t>
      </w:r>
      <w:proofErr w:type="spellEnd"/>
      <w:r w:rsidRPr="00A8049B">
        <w:t xml:space="preserve"> задачи</w:t>
      </w:r>
      <w:r w:rsidR="00AD3815">
        <w:t>"</w:t>
      </w:r>
      <w:r w:rsidRPr="00A8049B">
        <w:t xml:space="preserve"> Стратегического плана МСЭ на 2024–2027 годы;</w:t>
      </w:r>
    </w:p>
    <w:p w14:paraId="3F3DC01B" w14:textId="2F3D5A77" w:rsidR="00E01258" w:rsidRPr="00A8049B" w:rsidRDefault="00E01258" w:rsidP="00E01258">
      <w:pPr>
        <w:pStyle w:val="enumlev1"/>
        <w:rPr>
          <w:rFonts w:eastAsia="仿宋"/>
        </w:rPr>
      </w:pPr>
      <w:r w:rsidRPr="00A8049B">
        <w:t>•</w:t>
      </w:r>
      <w:r w:rsidRPr="00A8049B">
        <w:tab/>
        <w:t xml:space="preserve">содействовать достижению глобального консенсуса по вопросам цифрового управления в таких областях, как управление ИИ, цифровой разрыв и цифровая безопасность, с помощью существующих платформ для проведения международных </w:t>
      </w:r>
      <w:r w:rsidR="00AD3815">
        <w:t xml:space="preserve">собраний </w:t>
      </w:r>
      <w:r w:rsidRPr="00A8049B">
        <w:t>высокого уровня, а также на основе глобального консенсуса разработать концепцию цифрового управления, включая концепцию развития, учета, ведения статистики, мониторинга и т. д.;</w:t>
      </w:r>
    </w:p>
    <w:p w14:paraId="3EFFB4EF" w14:textId="0B030B82" w:rsidR="00E01258" w:rsidRPr="00A8049B" w:rsidRDefault="00E01258" w:rsidP="00E01258">
      <w:pPr>
        <w:pStyle w:val="enumlev1"/>
        <w:rPr>
          <w:rFonts w:eastAsia="仿宋"/>
        </w:rPr>
      </w:pPr>
      <w:r w:rsidRPr="00A8049B">
        <w:t>•</w:t>
      </w:r>
      <w:r w:rsidRPr="00A8049B">
        <w:tab/>
        <w:t>содействовать МСЭ в опубликовании ежегодных аналитических отчетов по вопросу глобального цифрового управления.</w:t>
      </w:r>
    </w:p>
    <w:p w14:paraId="00BDFA5D" w14:textId="5FB8B396" w:rsidR="0020256B" w:rsidRPr="00E01258" w:rsidRDefault="00E01258" w:rsidP="00E01258">
      <w:pPr>
        <w:spacing w:before="720"/>
        <w:jc w:val="center"/>
      </w:pPr>
      <w:r w:rsidRPr="00A8049B">
        <w:t>______________</w:t>
      </w:r>
    </w:p>
    <w:bookmarkEnd w:id="2"/>
    <w:sectPr w:rsidR="0020256B" w:rsidRPr="00E01258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1015" w14:textId="77777777" w:rsidR="00D17F88" w:rsidRDefault="00D17F88">
      <w:r>
        <w:separator/>
      </w:r>
    </w:p>
  </w:endnote>
  <w:endnote w:type="continuationSeparator" w:id="0">
    <w:p w14:paraId="229C3400" w14:textId="77777777" w:rsidR="00D17F88" w:rsidRDefault="00D1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2F1A65A3" w:rsidR="00E0307A" w:rsidRPr="00F42A81" w:rsidRDefault="00A8049B" w:rsidP="00A8049B">
    <w:pPr>
      <w:pStyle w:val="Footer"/>
      <w:rPr>
        <w:color w:val="F2F2F2" w:themeColor="background1" w:themeShade="F2"/>
      </w:rPr>
    </w:pPr>
    <w:r w:rsidRPr="00F42A81">
      <w:rPr>
        <w:color w:val="F2F2F2" w:themeColor="background1" w:themeShade="F2"/>
      </w:rPr>
      <w:t>P:\RUS\SG\CONSEIL\CWG-SFP\CWG-SFP1\000\009R.DOCX (494357)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1F4C4853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212A" w14:textId="77777777" w:rsidR="00D17F88" w:rsidRDefault="00D17F88">
      <w:r>
        <w:t>____________________</w:t>
      </w:r>
    </w:p>
  </w:footnote>
  <w:footnote w:type="continuationSeparator" w:id="0">
    <w:p w14:paraId="41067DE5" w14:textId="77777777" w:rsidR="00D17F88" w:rsidRDefault="00D17F88">
      <w:r>
        <w:continuationSeparator/>
      </w:r>
    </w:p>
  </w:footnote>
  <w:footnote w:id="1">
    <w:p w14:paraId="72CD0897" w14:textId="4C7F6BB2" w:rsidR="00E01258" w:rsidRPr="00A01AC9" w:rsidRDefault="00E01258" w:rsidP="00A01AC9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 w:rsidRPr="00A8049B">
        <w:rPr>
          <w:rStyle w:val="FootnoteReference"/>
          <w:rFonts w:eastAsia="SimSun"/>
        </w:rPr>
        <w:footnoteRef/>
      </w:r>
      <w:r w:rsidRPr="00A8049B">
        <w:rPr>
          <w:rFonts w:ascii="Times New Roman" w:hAnsi="Times New Roman"/>
          <w:sz w:val="18"/>
          <w:szCs w:val="18"/>
        </w:rPr>
        <w:tab/>
      </w:r>
      <w:r w:rsidRPr="00A8049B">
        <w:t xml:space="preserve">С подробной информацией можно ознакомиться на официальном веб-сайте МСЭ: </w:t>
      </w:r>
      <w:hyperlink r:id="rId1" w:history="1">
        <w:r w:rsidRPr="00A8049B">
          <w:rPr>
            <w:rStyle w:val="Hyperlink"/>
          </w:rPr>
          <w:t>https://www.itu.int/zh/action/Pages/default.aspx</w:t>
        </w:r>
      </w:hyperlink>
      <w:r w:rsidRPr="00A8049B">
        <w:t>.</w:t>
      </w:r>
    </w:p>
  </w:footnote>
  <w:footnote w:id="2">
    <w:p w14:paraId="3ECF8BE8" w14:textId="4F5379CF" w:rsidR="00E01258" w:rsidRPr="00B24BFC" w:rsidRDefault="00E01258" w:rsidP="00A01AC9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>
        <w:rPr>
          <w:rStyle w:val="FootnoteReference"/>
          <w:rFonts w:eastAsia="SimSun"/>
        </w:rPr>
        <w:footnoteRef/>
      </w:r>
      <w:r>
        <w:rPr>
          <w:rFonts w:ascii="Times New Roman" w:hAnsi="Times New Roman"/>
          <w:sz w:val="18"/>
          <w:szCs w:val="18"/>
        </w:rPr>
        <w:tab/>
      </w:r>
      <w:r>
        <w:t xml:space="preserve">См. Глобальный симпозиум для регуляторных органов 2020 года (ГСР-20), Руководящие указания на основе примеров передового опыта − Золотой стандарт для цифрового регулирования, </w:t>
      </w:r>
      <w:hyperlink r:id="rId2" w:history="1">
        <w:r>
          <w:rPr>
            <w:rStyle w:val="Hyperlink"/>
          </w:rPr>
          <w:t>https://www.itu.int/en/ITU-D/Conferences/GSR/2020/Documents/GSR-20_Best-Practice-Guidelines_Final_C.pdf</w:t>
        </w:r>
      </w:hyperlink>
      <w:r>
        <w:t>.</w:t>
      </w:r>
    </w:p>
  </w:footnote>
  <w:footnote w:id="3">
    <w:p w14:paraId="3B371148" w14:textId="57BA3539" w:rsidR="00E01258" w:rsidRPr="00A8049B" w:rsidRDefault="00E01258" w:rsidP="00E01258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>
        <w:rPr>
          <w:rStyle w:val="FootnoteReference"/>
          <w:rFonts w:eastAsia="SimSun"/>
        </w:rPr>
        <w:footnoteRef/>
      </w:r>
      <w:r>
        <w:tab/>
      </w:r>
      <w:r w:rsidRPr="00A8049B">
        <w:t>Всемирная торговая организация (ВТО) включила торговые вопросы, связанные с цифровыми технологиями, в свои правила торговли услугами и в дальнейшем инициировала отдельный переговорный процесс по торговым аспектам электронной коммерции; Международный валютный фонд (МВФ) опубликовал аналитические отчеты по таким вопросам, как цифровые валюты и трансграничные платежи; Всемирный банк начал уделять особое внимание финансированию развития цифровой инфраструктуры.</w:t>
      </w:r>
    </w:p>
  </w:footnote>
  <w:footnote w:id="4">
    <w:p w14:paraId="4A9ED45E" w14:textId="462C20C8" w:rsidR="00E01258" w:rsidRPr="00A8049B" w:rsidRDefault="00E01258" w:rsidP="00E01258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 w:rsidRPr="00A8049B">
        <w:rPr>
          <w:rStyle w:val="FootnoteReference"/>
          <w:rFonts w:eastAsia="SimSun"/>
        </w:rPr>
        <w:footnoteRef/>
      </w:r>
      <w:r w:rsidRPr="00A8049B">
        <w:rPr>
          <w:rFonts w:ascii="Times New Roman" w:hAnsi="Times New Roman"/>
          <w:sz w:val="18"/>
          <w:szCs w:val="18"/>
        </w:rPr>
        <w:tab/>
      </w:r>
      <w:r w:rsidRPr="00A8049B">
        <w:t xml:space="preserve">К упомянутым здесь обширным соглашениям о свободной торговле, среди прочего, относятся подписание и вступление в силу Соглашения о </w:t>
      </w:r>
      <w:proofErr w:type="spellStart"/>
      <w:r w:rsidRPr="00A8049B">
        <w:t>Транстихоокеанском</w:t>
      </w:r>
      <w:proofErr w:type="spellEnd"/>
      <w:r w:rsidRPr="00A8049B">
        <w:t xml:space="preserve"> партнерстве (ТТП)/Всеобъемлющего и прогрессивного соглашения о </w:t>
      </w:r>
      <w:proofErr w:type="spellStart"/>
      <w:r w:rsidRPr="00A8049B">
        <w:t>Транстихоокеанском</w:t>
      </w:r>
      <w:proofErr w:type="spellEnd"/>
      <w:r w:rsidRPr="00A8049B">
        <w:t xml:space="preserve"> партнерстве (ВПТТП), Торгового соглашения между США и Японией и Соглашения о цифровой торговле между США и Японией, Соглашения об экономическом партнерстве между ЕС и Японией, первой фазы торгово-экономического соглашения между Китаем и США и Всестороннего регионального экономического партнерства (RCEP, в настоящее время подписано и вступит в силу в 2022 году), а также продвижение переговорного процесса по Всеобъемлющему соглашению об инвестициях между Китаем и ЕС (CAI) и Соглашению о свободной торговле между Китаем, Японией и Южной Кореей.</w:t>
      </w:r>
    </w:p>
  </w:footnote>
  <w:footnote w:id="5">
    <w:p w14:paraId="4A45F27D" w14:textId="5074D47D" w:rsidR="00E01258" w:rsidRPr="00A8049B" w:rsidRDefault="00E01258" w:rsidP="00E01258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  <w:highlight w:val="yellow"/>
          <w:lang w:val="en-US"/>
        </w:rPr>
      </w:pPr>
      <w:r w:rsidRPr="00A8049B">
        <w:rPr>
          <w:rStyle w:val="FootnoteReference"/>
          <w:rFonts w:eastAsia="SimSun"/>
        </w:rPr>
        <w:footnoteRef/>
      </w:r>
      <w:r w:rsidRPr="00A8049B">
        <w:rPr>
          <w:rStyle w:val="FootnoteReference"/>
          <w:lang w:val="en-US"/>
        </w:rPr>
        <w:tab/>
      </w:r>
      <w:proofErr w:type="spellStart"/>
      <w:r w:rsidRPr="00A8049B">
        <w:rPr>
          <w:lang w:val="en-US"/>
        </w:rPr>
        <w:t>Xinhuanet</w:t>
      </w:r>
      <w:proofErr w:type="spellEnd"/>
      <w:r w:rsidRPr="00A8049B">
        <w:rPr>
          <w:lang w:val="en-US"/>
        </w:rPr>
        <w:t xml:space="preserve">: "Xi Jinping meets jointly with German and EU leaders", 15 </w:t>
      </w:r>
      <w:r w:rsidRPr="00A8049B">
        <w:t>сентября</w:t>
      </w:r>
      <w:r w:rsidRPr="00A8049B">
        <w:rPr>
          <w:lang w:val="en-US"/>
        </w:rPr>
        <w:t xml:space="preserve"> 2020 </w:t>
      </w:r>
      <w:r w:rsidRPr="00A8049B">
        <w:t>года</w:t>
      </w:r>
      <w:r w:rsidRPr="00A8049B">
        <w:rPr>
          <w:lang w:val="en-US"/>
        </w:rPr>
        <w:t xml:space="preserve">, </w:t>
      </w:r>
      <w:hyperlink r:id="rId3" w:history="1">
        <w:r w:rsidRPr="00A8049B">
          <w:rPr>
            <w:rStyle w:val="Hyperlink"/>
            <w:lang w:val="en-US"/>
          </w:rPr>
          <w:t>http://www.xinhuanet.com/politics/leaders/2020-09/15/c_1126493059.htm</w:t>
        </w:r>
      </w:hyperlink>
      <w:r w:rsidRPr="00A8049B">
        <w:rPr>
          <w:lang w:val="en-US"/>
        </w:rPr>
        <w:t>.</w:t>
      </w:r>
    </w:p>
  </w:footnote>
  <w:footnote w:id="6">
    <w:p w14:paraId="7874852A" w14:textId="392EBC1F" w:rsidR="00E01258" w:rsidRPr="00A8049B" w:rsidRDefault="00E01258" w:rsidP="00E01258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 w:rsidRPr="00A8049B">
        <w:rPr>
          <w:rStyle w:val="FootnoteReference"/>
          <w:rFonts w:eastAsia="SimSun"/>
        </w:rPr>
        <w:footnoteRef/>
      </w:r>
      <w:r w:rsidRPr="00A8049B">
        <w:rPr>
          <w:rStyle w:val="FootnoteReference"/>
        </w:rPr>
        <w:tab/>
      </w:r>
      <w:r w:rsidRPr="00A8049B">
        <w:t>Стратегические цели МСЭ на 2020–2023 годы: "Цель 1 – Рост: Предоставить доступ к электросвязи/ИКТ, расширять его и увеличивать использование электросвязи/ИКТ с целью поддержки цифровой экономики и цифрового общества; Цель 2 – Открытость: сократить цифровой разрыв и обеспечить широкополосный доступ всех; Цель 3 – Устойчивость: Управлять рисками, проблемами и возможностями, возникающими в результате стремительного роста электросвязи/ИКТ; Цель 4 – Инновации Создавать возможности для инноваций в области электросвязи/ИКТ в поддержку цифровой трансформации общества; Цель 5 – Партнерство: Укреплять сотрудничество между членами МСЭ и всеми остальными заинтересованными сторонами в поддержку достижения всех стратегических целей МСЭ".</w:t>
      </w:r>
    </w:p>
  </w:footnote>
  <w:footnote w:id="7">
    <w:p w14:paraId="2925A1B5" w14:textId="63148033" w:rsidR="00E01258" w:rsidRPr="00E01258" w:rsidRDefault="00E01258" w:rsidP="00E01258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rFonts w:eastAsia="SimSun"/>
        </w:rPr>
      </w:pPr>
      <w:r w:rsidRPr="00A8049B">
        <w:rPr>
          <w:rStyle w:val="FootnoteReference"/>
          <w:rFonts w:eastAsia="SimSun"/>
        </w:rPr>
        <w:footnoteRef/>
      </w:r>
      <w:r w:rsidRPr="00A8049B">
        <w:tab/>
        <w:t>См. пункт "</w:t>
      </w:r>
      <w:proofErr w:type="spellStart"/>
      <w:r w:rsidRPr="00A8049B">
        <w:t>Межсекторальные</w:t>
      </w:r>
      <w:proofErr w:type="spellEnd"/>
      <w:r w:rsidRPr="00A8049B">
        <w:t xml:space="preserve"> задачи" Раздела 2 "Структура результатов деятельности МСЭ" ПРИЛОЖЕНИЯ 1 К РЕЗОЛЮЦИИ 71 (ПЕРЕСМ. ДУБАЙ, 2018 г.) о Стратегическом плане МСЭ на 2020–2023 годы.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2198434C" w:rsidR="00E0307A" w:rsidRPr="007D4E22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029A1">
      <w:t>2</w:t>
    </w:r>
    <w:r>
      <w:fldChar w:fldCharType="end"/>
    </w:r>
    <w:r>
      <w:br/>
      <w:t>CWG-SFP-1\9-R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141D1"/>
    <w:multiLevelType w:val="hybridMultilevel"/>
    <w:tmpl w:val="BA1EB88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15791"/>
    <w:rsid w:val="001300DA"/>
    <w:rsid w:val="0014734F"/>
    <w:rsid w:val="00154AAD"/>
    <w:rsid w:val="0015710D"/>
    <w:rsid w:val="00163A32"/>
    <w:rsid w:val="00192B41"/>
    <w:rsid w:val="001B7B09"/>
    <w:rsid w:val="001D255C"/>
    <w:rsid w:val="001E6719"/>
    <w:rsid w:val="001F00E5"/>
    <w:rsid w:val="0020256B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EB6"/>
    <w:rsid w:val="0029467A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0157"/>
    <w:rsid w:val="00347CE6"/>
    <w:rsid w:val="00354D64"/>
    <w:rsid w:val="003624D9"/>
    <w:rsid w:val="0038641D"/>
    <w:rsid w:val="00391A7C"/>
    <w:rsid w:val="003A72C0"/>
    <w:rsid w:val="003B6E1C"/>
    <w:rsid w:val="003D66DA"/>
    <w:rsid w:val="003D7317"/>
    <w:rsid w:val="003E78A6"/>
    <w:rsid w:val="003F099E"/>
    <w:rsid w:val="003F235E"/>
    <w:rsid w:val="003F5E61"/>
    <w:rsid w:val="004023E0"/>
    <w:rsid w:val="00403DD8"/>
    <w:rsid w:val="00411CC5"/>
    <w:rsid w:val="00415632"/>
    <w:rsid w:val="004179A3"/>
    <w:rsid w:val="0045686C"/>
    <w:rsid w:val="00466522"/>
    <w:rsid w:val="00472F91"/>
    <w:rsid w:val="00473C1E"/>
    <w:rsid w:val="004740B2"/>
    <w:rsid w:val="004877E9"/>
    <w:rsid w:val="004918C4"/>
    <w:rsid w:val="004A45B5"/>
    <w:rsid w:val="004D0129"/>
    <w:rsid w:val="004F04CA"/>
    <w:rsid w:val="004F4060"/>
    <w:rsid w:val="0050159A"/>
    <w:rsid w:val="0050785A"/>
    <w:rsid w:val="0051092F"/>
    <w:rsid w:val="00510F55"/>
    <w:rsid w:val="005322B1"/>
    <w:rsid w:val="00532B85"/>
    <w:rsid w:val="00534CFB"/>
    <w:rsid w:val="00550E88"/>
    <w:rsid w:val="00552268"/>
    <w:rsid w:val="005654A0"/>
    <w:rsid w:val="00597216"/>
    <w:rsid w:val="005A64D5"/>
    <w:rsid w:val="005D708E"/>
    <w:rsid w:val="005E4D79"/>
    <w:rsid w:val="005F3666"/>
    <w:rsid w:val="00601994"/>
    <w:rsid w:val="006077E5"/>
    <w:rsid w:val="00617F2C"/>
    <w:rsid w:val="00625BF6"/>
    <w:rsid w:val="006264E3"/>
    <w:rsid w:val="00626678"/>
    <w:rsid w:val="006369BD"/>
    <w:rsid w:val="00636E91"/>
    <w:rsid w:val="0068458A"/>
    <w:rsid w:val="006A0DC4"/>
    <w:rsid w:val="006A2CD3"/>
    <w:rsid w:val="006B5206"/>
    <w:rsid w:val="006C160C"/>
    <w:rsid w:val="006D49FF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3AAC"/>
    <w:rsid w:val="00762756"/>
    <w:rsid w:val="0076356D"/>
    <w:rsid w:val="00767211"/>
    <w:rsid w:val="007743BF"/>
    <w:rsid w:val="00785ABD"/>
    <w:rsid w:val="00792EF4"/>
    <w:rsid w:val="007A2DD4"/>
    <w:rsid w:val="007A30C1"/>
    <w:rsid w:val="007A3ABD"/>
    <w:rsid w:val="007B0DB2"/>
    <w:rsid w:val="007B5EF1"/>
    <w:rsid w:val="007D38B5"/>
    <w:rsid w:val="007D4E22"/>
    <w:rsid w:val="007E7EA0"/>
    <w:rsid w:val="007F5014"/>
    <w:rsid w:val="007F68EE"/>
    <w:rsid w:val="00800C0D"/>
    <w:rsid w:val="00807255"/>
    <w:rsid w:val="00807830"/>
    <w:rsid w:val="0081023E"/>
    <w:rsid w:val="008173AA"/>
    <w:rsid w:val="00821479"/>
    <w:rsid w:val="00821783"/>
    <w:rsid w:val="00830305"/>
    <w:rsid w:val="008400BE"/>
    <w:rsid w:val="00840173"/>
    <w:rsid w:val="00840A14"/>
    <w:rsid w:val="00845B22"/>
    <w:rsid w:val="00857A89"/>
    <w:rsid w:val="008817D3"/>
    <w:rsid w:val="008956FA"/>
    <w:rsid w:val="008A6EEF"/>
    <w:rsid w:val="008B6F60"/>
    <w:rsid w:val="008C6D60"/>
    <w:rsid w:val="008D2D7B"/>
    <w:rsid w:val="008E0737"/>
    <w:rsid w:val="008F2220"/>
    <w:rsid w:val="008F7C2C"/>
    <w:rsid w:val="0090751B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01AC9"/>
    <w:rsid w:val="00A14B33"/>
    <w:rsid w:val="00A25DDC"/>
    <w:rsid w:val="00A536CA"/>
    <w:rsid w:val="00A57161"/>
    <w:rsid w:val="00A71773"/>
    <w:rsid w:val="00A8049B"/>
    <w:rsid w:val="00A80799"/>
    <w:rsid w:val="00A94C82"/>
    <w:rsid w:val="00AB531E"/>
    <w:rsid w:val="00AB5545"/>
    <w:rsid w:val="00AC06CE"/>
    <w:rsid w:val="00AC556F"/>
    <w:rsid w:val="00AD3815"/>
    <w:rsid w:val="00AE2C85"/>
    <w:rsid w:val="00AF56EE"/>
    <w:rsid w:val="00B12A37"/>
    <w:rsid w:val="00B13C39"/>
    <w:rsid w:val="00B167C3"/>
    <w:rsid w:val="00B23CB8"/>
    <w:rsid w:val="00B24BFC"/>
    <w:rsid w:val="00B273F8"/>
    <w:rsid w:val="00B558E6"/>
    <w:rsid w:val="00B63EF2"/>
    <w:rsid w:val="00B7579C"/>
    <w:rsid w:val="00B862CD"/>
    <w:rsid w:val="00B902C9"/>
    <w:rsid w:val="00B936E2"/>
    <w:rsid w:val="00B973D4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04C3"/>
    <w:rsid w:val="00C45E60"/>
    <w:rsid w:val="00C46787"/>
    <w:rsid w:val="00C505A5"/>
    <w:rsid w:val="00C529D0"/>
    <w:rsid w:val="00C61CEC"/>
    <w:rsid w:val="00C639CD"/>
    <w:rsid w:val="00C96AB1"/>
    <w:rsid w:val="00CB156F"/>
    <w:rsid w:val="00CD2009"/>
    <w:rsid w:val="00CF629C"/>
    <w:rsid w:val="00D10A28"/>
    <w:rsid w:val="00D1411E"/>
    <w:rsid w:val="00D16813"/>
    <w:rsid w:val="00D17F88"/>
    <w:rsid w:val="00D31BAF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C366E"/>
    <w:rsid w:val="00DE14AF"/>
    <w:rsid w:val="00DF2730"/>
    <w:rsid w:val="00E01258"/>
    <w:rsid w:val="00E0307A"/>
    <w:rsid w:val="00E165D1"/>
    <w:rsid w:val="00E176BA"/>
    <w:rsid w:val="00E31666"/>
    <w:rsid w:val="00E423EC"/>
    <w:rsid w:val="00E734D2"/>
    <w:rsid w:val="00E81824"/>
    <w:rsid w:val="00E87641"/>
    <w:rsid w:val="00E908DF"/>
    <w:rsid w:val="00E969A5"/>
    <w:rsid w:val="00EA72A3"/>
    <w:rsid w:val="00EB461B"/>
    <w:rsid w:val="00EC6BC5"/>
    <w:rsid w:val="00F029A1"/>
    <w:rsid w:val="00F111FD"/>
    <w:rsid w:val="00F20BE1"/>
    <w:rsid w:val="00F2793E"/>
    <w:rsid w:val="00F32EA6"/>
    <w:rsid w:val="00F35898"/>
    <w:rsid w:val="00F36526"/>
    <w:rsid w:val="00F42A81"/>
    <w:rsid w:val="00F434D5"/>
    <w:rsid w:val="00F5225B"/>
    <w:rsid w:val="00F56DAE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ru-RU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ru-RU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character" w:styleId="UnresolvedMention">
    <w:name w:val="Unresolved Mention"/>
    <w:basedOn w:val="DefaultParagraphFont"/>
    <w:uiPriority w:val="99"/>
    <w:semiHidden/>
    <w:unhideWhenUsed/>
    <w:rsid w:val="00E0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inhuanet.com/politics/leaders/2020-09/15/c_1126493059.htm" TargetMode="External"/><Relationship Id="rId2" Type="http://schemas.openxmlformats.org/officeDocument/2006/relationships/hyperlink" Target="https://www.itu.int/en/ITU-D/Conferences/GSR/2020/Documents/GSR-20_Best-Practice-Guidelines_Final_C.pdf" TargetMode="External"/><Relationship Id="rId1" Type="http://schemas.openxmlformats.org/officeDocument/2006/relationships/hyperlink" Target="https://www.itu.int/zh/actio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08AB-2FF3-40BC-8890-FBB7BBD9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3</Pages>
  <Words>827</Words>
  <Characters>6218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7031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People’s Republic of China-Recommendations to Include Leveraging Existing High-level International Meeting Platforms to Promote Global Consensus on Digital Governance in the Inter-sectoral Objectives of ITU Strategic Plan for 2024-2027</dc:title>
  <dc:subject>Counciil Working Group for Strategic and Financial Plans 2024-2027</dc:subject>
  <dc:creator>Maloletkova, Svetlana</dc:creator>
  <cp:keywords>CWG-SFP, CWG, CWGs &amp; EGs</cp:keywords>
  <dc:description/>
  <cp:lastModifiedBy>Xue, Kun</cp:lastModifiedBy>
  <cp:revision>2</cp:revision>
  <cp:lastPrinted>2018-04-13T12:59:00Z</cp:lastPrinted>
  <dcterms:created xsi:type="dcterms:W3CDTF">2021-09-27T06:28:00Z</dcterms:created>
  <dcterms:modified xsi:type="dcterms:W3CDTF">2021-09-27T06:28:00Z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