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47B0E" w:rsidRPr="00DD227A" w14:paraId="649EAD46" w14:textId="77777777">
        <w:trPr>
          <w:cantSplit/>
        </w:trPr>
        <w:tc>
          <w:tcPr>
            <w:tcW w:w="6912" w:type="dxa"/>
          </w:tcPr>
          <w:p w14:paraId="35EC2192" w14:textId="3CA39711" w:rsidR="00047B0E" w:rsidRPr="00DD227A" w:rsidRDefault="00EE6985" w:rsidP="00B5268B">
            <w:pPr>
              <w:spacing w:before="360"/>
            </w:pPr>
            <w:r w:rsidRPr="00DD227A">
              <w:rPr>
                <w:b/>
                <w:bCs/>
                <w:sz w:val="30"/>
                <w:szCs w:val="30"/>
              </w:rPr>
              <w:t>Groupe de travail du Conseil chargé d'élaborer le Plan stratégique et le Plan financier pour la période 2024</w:t>
            </w:r>
            <w:r w:rsidRPr="00DD227A">
              <w:rPr>
                <w:b/>
                <w:bCs/>
                <w:sz w:val="30"/>
                <w:szCs w:val="30"/>
              </w:rPr>
              <w:noBreakHyphen/>
              <w:t>2027</w:t>
            </w:r>
          </w:p>
        </w:tc>
        <w:tc>
          <w:tcPr>
            <w:tcW w:w="3261" w:type="dxa"/>
          </w:tcPr>
          <w:p w14:paraId="3ED0A033" w14:textId="77777777" w:rsidR="00047B0E" w:rsidRPr="00DD227A" w:rsidRDefault="00EE6985" w:rsidP="00DD6326">
            <w:pPr>
              <w:spacing w:before="240"/>
            </w:pPr>
            <w:bookmarkStart w:id="0" w:name="ditulogo"/>
            <w:bookmarkEnd w:id="0"/>
            <w:r w:rsidRPr="00DD227A">
              <w:rPr>
                <w:noProof/>
                <w:lang w:val="en-US"/>
              </w:rPr>
              <w:drawing>
                <wp:inline distT="0" distB="0" distL="0" distR="0" wp14:anchorId="07B63FE6" wp14:editId="75BDFE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47B0E" w:rsidRPr="00DD227A" w14:paraId="38CC1BCA" w14:textId="77777777">
        <w:trPr>
          <w:cantSplit/>
          <w:trHeight w:val="20"/>
        </w:trPr>
        <w:tc>
          <w:tcPr>
            <w:tcW w:w="6912" w:type="dxa"/>
            <w:tcBorders>
              <w:bottom w:val="single" w:sz="12" w:space="0" w:color="auto"/>
            </w:tcBorders>
            <w:vAlign w:val="center"/>
          </w:tcPr>
          <w:p w14:paraId="366A5416" w14:textId="0D119B73" w:rsidR="00047B0E" w:rsidRPr="00DD227A" w:rsidRDefault="00EE6985" w:rsidP="00B5268B">
            <w:pPr>
              <w:spacing w:before="0"/>
              <w:rPr>
                <w:b/>
                <w:bCs/>
                <w:sz w:val="26"/>
                <w:szCs w:val="26"/>
              </w:rPr>
            </w:pPr>
            <w:r w:rsidRPr="00DD227A">
              <w:rPr>
                <w:b/>
                <w:bCs/>
                <w:szCs w:val="24"/>
              </w:rPr>
              <w:t xml:space="preserve">Première réunion </w:t>
            </w:r>
            <w:r w:rsidR="00B5268B" w:rsidRPr="00DD227A">
              <w:rPr>
                <w:b/>
                <w:bCs/>
                <w:szCs w:val="24"/>
              </w:rPr>
              <w:t>–</w:t>
            </w:r>
            <w:r w:rsidRPr="00DD227A">
              <w:rPr>
                <w:b/>
                <w:bCs/>
                <w:szCs w:val="24"/>
              </w:rPr>
              <w:t xml:space="preserve"> Virtuelle, 29-30 septembre 2021</w:t>
            </w:r>
          </w:p>
        </w:tc>
        <w:tc>
          <w:tcPr>
            <w:tcW w:w="3261" w:type="dxa"/>
            <w:tcBorders>
              <w:bottom w:val="single" w:sz="12" w:space="0" w:color="auto"/>
            </w:tcBorders>
          </w:tcPr>
          <w:p w14:paraId="28289AEC" w14:textId="77777777" w:rsidR="00047B0E" w:rsidRPr="00DD227A" w:rsidRDefault="00047B0E" w:rsidP="00B5268B">
            <w:pPr>
              <w:spacing w:before="0"/>
              <w:rPr>
                <w:b/>
                <w:bCs/>
              </w:rPr>
            </w:pPr>
          </w:p>
        </w:tc>
      </w:tr>
      <w:tr w:rsidR="00047B0E" w:rsidRPr="00DD227A" w14:paraId="3BF43E2A" w14:textId="77777777">
        <w:trPr>
          <w:cantSplit/>
          <w:trHeight w:val="20"/>
        </w:trPr>
        <w:tc>
          <w:tcPr>
            <w:tcW w:w="6912" w:type="dxa"/>
            <w:tcBorders>
              <w:top w:val="single" w:sz="12" w:space="0" w:color="auto"/>
            </w:tcBorders>
          </w:tcPr>
          <w:p w14:paraId="0952D5E0" w14:textId="77777777" w:rsidR="00047B0E" w:rsidRPr="00DD227A" w:rsidRDefault="00047B0E" w:rsidP="00B5268B">
            <w:pPr>
              <w:spacing w:before="0"/>
              <w:rPr>
                <w:smallCaps/>
                <w:sz w:val="22"/>
              </w:rPr>
            </w:pPr>
          </w:p>
        </w:tc>
        <w:tc>
          <w:tcPr>
            <w:tcW w:w="3261" w:type="dxa"/>
            <w:tcBorders>
              <w:top w:val="single" w:sz="12" w:space="0" w:color="auto"/>
            </w:tcBorders>
          </w:tcPr>
          <w:p w14:paraId="49E39C69" w14:textId="77777777" w:rsidR="00047B0E" w:rsidRPr="00DD227A" w:rsidRDefault="00047B0E" w:rsidP="00B5268B">
            <w:pPr>
              <w:spacing w:before="0"/>
              <w:rPr>
                <w:b/>
                <w:bCs/>
              </w:rPr>
            </w:pPr>
          </w:p>
        </w:tc>
      </w:tr>
      <w:tr w:rsidR="00047B0E" w:rsidRPr="00DD227A" w14:paraId="5FFF6B2E" w14:textId="77777777">
        <w:trPr>
          <w:cantSplit/>
          <w:trHeight w:val="20"/>
        </w:trPr>
        <w:tc>
          <w:tcPr>
            <w:tcW w:w="6912" w:type="dxa"/>
            <w:vMerge w:val="restart"/>
          </w:tcPr>
          <w:p w14:paraId="240198D1" w14:textId="77777777" w:rsidR="00047B0E" w:rsidRPr="00DD227A" w:rsidRDefault="00047B0E" w:rsidP="00B5268B">
            <w:pPr>
              <w:spacing w:before="0"/>
              <w:rPr>
                <w:rFonts w:cs="Times"/>
                <w:b/>
                <w:bCs/>
                <w:szCs w:val="24"/>
              </w:rPr>
            </w:pPr>
            <w:bookmarkStart w:id="1" w:name="dnum" w:colFirst="1" w:colLast="1"/>
            <w:bookmarkStart w:id="2" w:name="dmeeting" w:colFirst="0" w:colLast="0"/>
          </w:p>
        </w:tc>
        <w:tc>
          <w:tcPr>
            <w:tcW w:w="3261" w:type="dxa"/>
          </w:tcPr>
          <w:p w14:paraId="6C504F4F" w14:textId="4B4E47E6" w:rsidR="00047B0E" w:rsidRPr="00DD227A" w:rsidRDefault="00EE6985" w:rsidP="00B5268B">
            <w:pPr>
              <w:spacing w:before="0"/>
              <w:rPr>
                <w:b/>
                <w:bCs/>
              </w:rPr>
            </w:pPr>
            <w:r w:rsidRPr="00DD227A">
              <w:rPr>
                <w:b/>
                <w:bCs/>
              </w:rPr>
              <w:t>Document CWG-SFP-1/9-F</w:t>
            </w:r>
          </w:p>
        </w:tc>
      </w:tr>
      <w:tr w:rsidR="00047B0E" w:rsidRPr="00DD227A" w14:paraId="7D5A5BDD" w14:textId="77777777">
        <w:trPr>
          <w:cantSplit/>
          <w:trHeight w:val="20"/>
        </w:trPr>
        <w:tc>
          <w:tcPr>
            <w:tcW w:w="6912" w:type="dxa"/>
            <w:vMerge/>
          </w:tcPr>
          <w:p w14:paraId="64BFA9B0" w14:textId="77777777" w:rsidR="00047B0E" w:rsidRPr="00DD227A" w:rsidRDefault="00047B0E" w:rsidP="00B5268B">
            <w:pPr>
              <w:shd w:val="solid" w:color="FFFFFF" w:fill="FFFFFF"/>
              <w:spacing w:before="180"/>
              <w:rPr>
                <w:smallCaps/>
              </w:rPr>
            </w:pPr>
            <w:bookmarkStart w:id="3" w:name="ddate" w:colFirst="1" w:colLast="1"/>
            <w:bookmarkEnd w:id="1"/>
            <w:bookmarkEnd w:id="2"/>
          </w:p>
        </w:tc>
        <w:tc>
          <w:tcPr>
            <w:tcW w:w="3261" w:type="dxa"/>
          </w:tcPr>
          <w:p w14:paraId="27DDA6F2" w14:textId="78284812" w:rsidR="00047B0E" w:rsidRPr="00DD227A" w:rsidRDefault="00EE6985" w:rsidP="00B5268B">
            <w:pPr>
              <w:spacing w:before="0"/>
              <w:rPr>
                <w:b/>
                <w:bCs/>
              </w:rPr>
            </w:pPr>
            <w:r w:rsidRPr="00DD227A">
              <w:rPr>
                <w:b/>
                <w:bCs/>
              </w:rPr>
              <w:t>13 septembre 2021</w:t>
            </w:r>
          </w:p>
        </w:tc>
      </w:tr>
      <w:tr w:rsidR="00047B0E" w:rsidRPr="00DD227A" w14:paraId="0E067321" w14:textId="77777777">
        <w:trPr>
          <w:cantSplit/>
          <w:trHeight w:val="20"/>
        </w:trPr>
        <w:tc>
          <w:tcPr>
            <w:tcW w:w="6912" w:type="dxa"/>
            <w:vMerge/>
          </w:tcPr>
          <w:p w14:paraId="0E833835" w14:textId="77777777" w:rsidR="00047B0E" w:rsidRPr="00DD227A" w:rsidRDefault="00047B0E" w:rsidP="00B5268B">
            <w:pPr>
              <w:shd w:val="solid" w:color="FFFFFF" w:fill="FFFFFF"/>
              <w:spacing w:before="180"/>
              <w:rPr>
                <w:smallCaps/>
              </w:rPr>
            </w:pPr>
            <w:bookmarkStart w:id="4" w:name="dorlang" w:colFirst="1" w:colLast="1"/>
            <w:bookmarkEnd w:id="3"/>
          </w:p>
        </w:tc>
        <w:tc>
          <w:tcPr>
            <w:tcW w:w="3261" w:type="dxa"/>
          </w:tcPr>
          <w:p w14:paraId="5B0FF3BD" w14:textId="6B564724" w:rsidR="00047B0E" w:rsidRPr="00DD227A" w:rsidRDefault="00EE6985" w:rsidP="00B5268B">
            <w:pPr>
              <w:spacing w:before="0"/>
              <w:rPr>
                <w:b/>
                <w:bCs/>
              </w:rPr>
            </w:pPr>
            <w:r w:rsidRPr="00DD227A">
              <w:rPr>
                <w:b/>
                <w:bCs/>
              </w:rPr>
              <w:t>Original</w:t>
            </w:r>
            <w:r w:rsidR="00B5268B" w:rsidRPr="00DD227A">
              <w:rPr>
                <w:b/>
                <w:bCs/>
              </w:rPr>
              <w:t>:</w:t>
            </w:r>
            <w:r w:rsidRPr="00DD227A">
              <w:rPr>
                <w:b/>
                <w:bCs/>
              </w:rPr>
              <w:t xml:space="preserve"> anglais</w:t>
            </w:r>
          </w:p>
        </w:tc>
      </w:tr>
      <w:tr w:rsidR="00047B0E" w:rsidRPr="00DD227A" w14:paraId="214AAAEC" w14:textId="77777777">
        <w:trPr>
          <w:cantSplit/>
        </w:trPr>
        <w:tc>
          <w:tcPr>
            <w:tcW w:w="10173" w:type="dxa"/>
            <w:gridSpan w:val="2"/>
          </w:tcPr>
          <w:p w14:paraId="287B67D2" w14:textId="7B48849F" w:rsidR="00047B0E" w:rsidRPr="00DD227A" w:rsidRDefault="00EE6985" w:rsidP="00B5268B">
            <w:pPr>
              <w:pStyle w:val="Source"/>
            </w:pPr>
            <w:bookmarkStart w:id="5" w:name="lt_pId010"/>
            <w:bookmarkStart w:id="6" w:name="dsource" w:colFirst="0" w:colLast="0"/>
            <w:bookmarkStart w:id="7" w:name="_Hlk82790022"/>
            <w:bookmarkEnd w:id="4"/>
            <w:r w:rsidRPr="00DD227A">
              <w:t>Contribution de la République populaire de Chine</w:t>
            </w:r>
            <w:bookmarkEnd w:id="5"/>
          </w:p>
        </w:tc>
      </w:tr>
      <w:tr w:rsidR="00047B0E" w:rsidRPr="00DD227A" w14:paraId="3AECE55A" w14:textId="77777777">
        <w:trPr>
          <w:cantSplit/>
        </w:trPr>
        <w:tc>
          <w:tcPr>
            <w:tcW w:w="10173" w:type="dxa"/>
            <w:gridSpan w:val="2"/>
          </w:tcPr>
          <w:p w14:paraId="488BEC16" w14:textId="565A4F90" w:rsidR="00047B0E" w:rsidRPr="00DD227A" w:rsidRDefault="007E2007" w:rsidP="00B5268B">
            <w:pPr>
              <w:pStyle w:val="Title1"/>
            </w:pPr>
            <w:bookmarkStart w:id="8" w:name="lt_pId011"/>
            <w:bookmarkStart w:id="9" w:name="dtitle1" w:colFirst="0" w:colLast="0"/>
            <w:bookmarkEnd w:id="6"/>
            <w:r w:rsidRPr="00DD227A">
              <w:rPr>
                <w:bCs/>
                <w:caps w:val="0"/>
                <w:szCs w:val="28"/>
              </w:rPr>
              <w:t>RECOMMANDATIONS VISANT À</w:t>
            </w:r>
            <w:r w:rsidR="00B5268B" w:rsidRPr="00DD227A">
              <w:rPr>
                <w:bCs/>
                <w:caps w:val="0"/>
                <w:szCs w:val="28"/>
              </w:rPr>
              <w:t xml:space="preserve"> </w:t>
            </w:r>
            <w:r w:rsidR="00A30CB1" w:rsidRPr="00DD227A">
              <w:rPr>
                <w:bCs/>
                <w:caps w:val="0"/>
                <w:szCs w:val="28"/>
              </w:rPr>
              <w:t>TENIR COMPTE DE</w:t>
            </w:r>
            <w:r w:rsidR="00B5268B" w:rsidRPr="00DD227A">
              <w:rPr>
                <w:bCs/>
                <w:caps w:val="0"/>
                <w:szCs w:val="28"/>
              </w:rPr>
              <w:t xml:space="preserve"> </w:t>
            </w:r>
            <w:r w:rsidRPr="00DD227A">
              <w:rPr>
                <w:bCs/>
                <w:caps w:val="0"/>
                <w:szCs w:val="28"/>
              </w:rPr>
              <w:t xml:space="preserve">LA NÉCESSITÉ DE TIRER PARTI DES </w:t>
            </w:r>
            <w:r w:rsidR="00A30CB1" w:rsidRPr="00DD227A">
              <w:rPr>
                <w:bCs/>
                <w:caps w:val="0"/>
                <w:szCs w:val="28"/>
              </w:rPr>
              <w:t xml:space="preserve">PLATES-FORMES </w:t>
            </w:r>
            <w:r w:rsidRPr="00DD227A">
              <w:rPr>
                <w:bCs/>
                <w:caps w:val="0"/>
                <w:szCs w:val="28"/>
              </w:rPr>
              <w:t xml:space="preserve">DE RÉUNION </w:t>
            </w:r>
            <w:r w:rsidR="00A30CB1" w:rsidRPr="00DD227A">
              <w:rPr>
                <w:bCs/>
                <w:caps w:val="0"/>
                <w:szCs w:val="28"/>
              </w:rPr>
              <w:t xml:space="preserve">INTERNATIONALES </w:t>
            </w:r>
            <w:r w:rsidRPr="00DD227A">
              <w:rPr>
                <w:bCs/>
                <w:caps w:val="0"/>
                <w:szCs w:val="28"/>
              </w:rPr>
              <w:t>DE HAUT NIVEAU EXISTANT</w:t>
            </w:r>
            <w:r w:rsidR="00A30CB1" w:rsidRPr="00DD227A">
              <w:rPr>
                <w:bCs/>
                <w:caps w:val="0"/>
                <w:szCs w:val="28"/>
              </w:rPr>
              <w:t>E</w:t>
            </w:r>
            <w:r w:rsidRPr="00DD227A">
              <w:rPr>
                <w:bCs/>
                <w:caps w:val="0"/>
                <w:szCs w:val="28"/>
              </w:rPr>
              <w:t>S</w:t>
            </w:r>
            <w:r w:rsidR="00B5268B" w:rsidRPr="00DD227A">
              <w:rPr>
                <w:bCs/>
                <w:caps w:val="0"/>
                <w:szCs w:val="28"/>
              </w:rPr>
              <w:br/>
            </w:r>
            <w:r w:rsidR="00A30CB1" w:rsidRPr="00DD227A">
              <w:rPr>
                <w:bCs/>
                <w:caps w:val="0"/>
                <w:szCs w:val="28"/>
              </w:rPr>
              <w:t>POUR</w:t>
            </w:r>
            <w:r w:rsidRPr="00DD227A">
              <w:rPr>
                <w:bCs/>
                <w:caps w:val="0"/>
                <w:szCs w:val="28"/>
              </w:rPr>
              <w:t xml:space="preserve"> PROMOUVOIR UN CONSENSUS MONDIAL SUR LA GOUVERNANCE</w:t>
            </w:r>
            <w:r w:rsidR="002E5278" w:rsidRPr="00DD227A">
              <w:rPr>
                <w:bCs/>
                <w:caps w:val="0"/>
                <w:szCs w:val="28"/>
              </w:rPr>
              <w:t xml:space="preserve"> DU</w:t>
            </w:r>
            <w:r w:rsidRPr="00DD227A">
              <w:rPr>
                <w:bCs/>
                <w:caps w:val="0"/>
                <w:szCs w:val="28"/>
              </w:rPr>
              <w:t xml:space="preserve"> NUMÉRIQUE</w:t>
            </w:r>
            <w:bookmarkEnd w:id="8"/>
            <w:r w:rsidR="00B5268B" w:rsidRPr="00DD227A">
              <w:rPr>
                <w:bCs/>
                <w:caps w:val="0"/>
                <w:szCs w:val="28"/>
              </w:rPr>
              <w:t xml:space="preserve"> </w:t>
            </w:r>
            <w:r w:rsidR="002E5278" w:rsidRPr="00DD227A">
              <w:rPr>
                <w:bCs/>
                <w:caps w:val="0"/>
                <w:szCs w:val="28"/>
              </w:rPr>
              <w:t xml:space="preserve">DANS LES OBJECTIFS INTERSECTORIELS </w:t>
            </w:r>
            <w:r w:rsidR="00ED26B1" w:rsidRPr="00DD227A">
              <w:rPr>
                <w:bCs/>
                <w:caps w:val="0"/>
                <w:szCs w:val="28"/>
              </w:rPr>
              <w:t>DU</w:t>
            </w:r>
            <w:r w:rsidR="00B5268B" w:rsidRPr="00DD227A">
              <w:rPr>
                <w:bCs/>
                <w:caps w:val="0"/>
                <w:szCs w:val="28"/>
              </w:rPr>
              <w:t xml:space="preserve"> </w:t>
            </w:r>
            <w:r w:rsidR="002E5278" w:rsidRPr="00DD227A">
              <w:rPr>
                <w:bCs/>
                <w:caps w:val="0"/>
                <w:szCs w:val="28"/>
              </w:rPr>
              <w:t>PLAN</w:t>
            </w:r>
            <w:r w:rsidR="00B5268B" w:rsidRPr="00DD227A">
              <w:rPr>
                <w:bCs/>
                <w:caps w:val="0"/>
                <w:szCs w:val="28"/>
              </w:rPr>
              <w:br/>
            </w:r>
            <w:r w:rsidR="002E5278" w:rsidRPr="00DD227A">
              <w:rPr>
                <w:bCs/>
                <w:caps w:val="0"/>
                <w:szCs w:val="28"/>
              </w:rPr>
              <w:t>STRATÉGIQUE</w:t>
            </w:r>
            <w:r w:rsidR="00B5268B" w:rsidRPr="00DD227A">
              <w:rPr>
                <w:bCs/>
                <w:caps w:val="0"/>
                <w:szCs w:val="28"/>
              </w:rPr>
              <w:t xml:space="preserve"> </w:t>
            </w:r>
            <w:r w:rsidR="002E5278" w:rsidRPr="00DD227A">
              <w:rPr>
                <w:bCs/>
                <w:caps w:val="0"/>
                <w:szCs w:val="28"/>
              </w:rPr>
              <w:t>DE L'UIT POUR LA PÉRIODE 2024-2027</w:t>
            </w:r>
          </w:p>
        </w:tc>
      </w:tr>
    </w:tbl>
    <w:bookmarkEnd w:id="9"/>
    <w:bookmarkEnd w:id="7"/>
    <w:p w14:paraId="3B24A40C" w14:textId="5032D92E" w:rsidR="00047B0E" w:rsidRPr="00DD227A" w:rsidRDefault="008D4CF3" w:rsidP="0073652A">
      <w:pPr>
        <w:pStyle w:val="Headingb"/>
        <w:spacing w:before="480"/>
      </w:pPr>
      <w:r w:rsidRPr="00DD227A">
        <w:t>Considérations générales</w:t>
      </w:r>
    </w:p>
    <w:p w14:paraId="0262E8A0" w14:textId="77777777" w:rsidR="0073652A" w:rsidRDefault="00DD227A" w:rsidP="00B5268B">
      <w:r w:rsidRPr="00DD227A">
        <w:t>À</w:t>
      </w:r>
      <w:r w:rsidR="00ED26B1" w:rsidRPr="00DD227A">
        <w:t xml:space="preserve"> l</w:t>
      </w:r>
      <w:r w:rsidR="00B5268B" w:rsidRPr="00DD227A">
        <w:t>'</w:t>
      </w:r>
      <w:r w:rsidR="00ED26B1" w:rsidRPr="00DD227A">
        <w:t>heure actuelle</w:t>
      </w:r>
      <w:r w:rsidR="00EE6985" w:rsidRPr="00DD227A">
        <w:t xml:space="preserve">, la mondialisation numérique </w:t>
      </w:r>
      <w:r w:rsidR="002E5278" w:rsidRPr="00DD227A">
        <w:t xml:space="preserve">s'est imposée comme </w:t>
      </w:r>
      <w:r w:rsidR="00EE6985" w:rsidRPr="00DD227A">
        <w:t>un symbole important du nouveau cycle de mondialisation</w:t>
      </w:r>
      <w:r w:rsidR="002E5278" w:rsidRPr="00DD227A">
        <w:t xml:space="preserve"> qui s'opère. Toutefois, elle s'accompagne aussi </w:t>
      </w:r>
      <w:r w:rsidR="00EE6985" w:rsidRPr="00DD227A">
        <w:t xml:space="preserve">de défis </w:t>
      </w:r>
      <w:r w:rsidR="00D24620" w:rsidRPr="00DD227A">
        <w:t>de taille</w:t>
      </w:r>
      <w:r w:rsidR="00EE6985" w:rsidRPr="00DD227A">
        <w:t xml:space="preserve">. </w:t>
      </w:r>
      <w:r w:rsidR="00D24620" w:rsidRPr="00DD227A">
        <w:t>L</w:t>
      </w:r>
      <w:r w:rsidR="00EE6985" w:rsidRPr="00DD227A">
        <w:t>a fracture numérique</w:t>
      </w:r>
      <w:r w:rsidR="00D24620" w:rsidRPr="00DD227A">
        <w:t xml:space="preserve">, </w:t>
      </w:r>
      <w:r w:rsidR="00EE6985" w:rsidRPr="00DD227A">
        <w:t>l</w:t>
      </w:r>
      <w:r w:rsidR="00D24620" w:rsidRPr="00DD227A">
        <w:t xml:space="preserve">es </w:t>
      </w:r>
      <w:r w:rsidR="00EE6985" w:rsidRPr="00DD227A">
        <w:t>application</w:t>
      </w:r>
      <w:r w:rsidR="00D24620" w:rsidRPr="00DD227A">
        <w:t>s</w:t>
      </w:r>
      <w:r w:rsidR="00EE6985" w:rsidRPr="00DD227A">
        <w:t xml:space="preserve"> des technologies émergentes</w:t>
      </w:r>
      <w:r w:rsidR="00D24620" w:rsidRPr="00DD227A">
        <w:t xml:space="preserve"> et les </w:t>
      </w:r>
      <w:r w:rsidR="00EE6985" w:rsidRPr="00DD227A">
        <w:t>menaces pour la cybersécurité</w:t>
      </w:r>
      <w:r w:rsidR="00D24620" w:rsidRPr="00DD227A">
        <w:t>, entre autres problématiques,</w:t>
      </w:r>
      <w:r w:rsidR="00EE6985" w:rsidRPr="00DD227A">
        <w:t xml:space="preserve"> </w:t>
      </w:r>
      <w:r w:rsidR="00D24620" w:rsidRPr="00DD227A">
        <w:t>sont autant de questions qu'il convient de traiter de toute urgence</w:t>
      </w:r>
      <w:r w:rsidR="00EE6985" w:rsidRPr="00DD227A">
        <w:t xml:space="preserve">. Les pays adoptent des politiques différentes en fonction </w:t>
      </w:r>
      <w:r w:rsidR="002143F4" w:rsidRPr="00DD227A">
        <w:t>de leur situation</w:t>
      </w:r>
      <w:r w:rsidR="00EE6985" w:rsidRPr="00DD227A">
        <w:t xml:space="preserve">, ce qui </w:t>
      </w:r>
      <w:r w:rsidR="002143F4" w:rsidRPr="00DD227A">
        <w:t>complique</w:t>
      </w:r>
      <w:r w:rsidR="00EE6985" w:rsidRPr="00DD227A">
        <w:t xml:space="preserve"> la coordination des politiques dans le domaine de la gouvernance </w:t>
      </w:r>
      <w:r w:rsidR="009A77E6" w:rsidRPr="00DD227A">
        <w:t xml:space="preserve">du </w:t>
      </w:r>
      <w:r w:rsidR="00EE6985" w:rsidRPr="00DD227A">
        <w:t xml:space="preserve">numérique </w:t>
      </w:r>
      <w:r w:rsidR="002143F4" w:rsidRPr="00DD227A">
        <w:t>au niveau mondial</w:t>
      </w:r>
      <w:r w:rsidR="00EE6985" w:rsidRPr="00DD227A">
        <w:t xml:space="preserve">. La communauté internationale appelle </w:t>
      </w:r>
      <w:r w:rsidR="002143F4" w:rsidRPr="00DD227A">
        <w:t xml:space="preserve">de ses vœux </w:t>
      </w:r>
      <w:r w:rsidR="00EE6985" w:rsidRPr="00DD227A">
        <w:t>la mise en place d'un nouveau système</w:t>
      </w:r>
      <w:r w:rsidR="002143F4" w:rsidRPr="00DD227A">
        <w:t xml:space="preserve"> mondial pour la</w:t>
      </w:r>
      <w:r w:rsidR="00EE6985" w:rsidRPr="00DD227A">
        <w:t xml:space="preserve"> gouvernance </w:t>
      </w:r>
      <w:r w:rsidR="009A77E6" w:rsidRPr="00DD227A">
        <w:t xml:space="preserve">du </w:t>
      </w:r>
      <w:r w:rsidR="00EE6985" w:rsidRPr="00DD227A">
        <w:t xml:space="preserve">numérique. En tant qu'institution spécialisée des Nations Unies pour les TIC, l'UIT </w:t>
      </w:r>
      <w:r w:rsidR="002143F4" w:rsidRPr="00DD227A">
        <w:t>réunit</w:t>
      </w:r>
      <w:r w:rsidR="00EE6985" w:rsidRPr="00DD227A">
        <w:t xml:space="preserve"> diverses parties prenantes représentant des </w:t>
      </w:r>
      <w:r w:rsidR="00350BCB" w:rsidRPr="00DD227A">
        <w:t>gouvernements</w:t>
      </w:r>
      <w:r w:rsidR="00EE6985" w:rsidRPr="00DD227A">
        <w:t>, des entreprises, des établissements universitaires et des</w:t>
      </w:r>
      <w:r w:rsidR="002143F4" w:rsidRPr="00DD227A">
        <w:t xml:space="preserve"> entités de la</w:t>
      </w:r>
      <w:r w:rsidR="00EE6985" w:rsidRPr="00DD227A">
        <w:t xml:space="preserve"> société civile du monde entier</w:t>
      </w:r>
      <w:r w:rsidR="00350BCB" w:rsidRPr="00DD227A">
        <w:t>,</w:t>
      </w:r>
      <w:r w:rsidR="00EE6985" w:rsidRPr="00DD227A">
        <w:t xml:space="preserve"> afin de promouvoir un consensus mondial sur la gouvernance </w:t>
      </w:r>
      <w:r w:rsidR="009A77E6" w:rsidRPr="00DD227A">
        <w:t xml:space="preserve">du </w:t>
      </w:r>
      <w:r w:rsidR="00EE6985" w:rsidRPr="00DD227A">
        <w:t xml:space="preserve">numérique et de faciliter l'élaboration de règles pour la gouvernance </w:t>
      </w:r>
      <w:r w:rsidR="009A77E6" w:rsidRPr="00DD227A">
        <w:t xml:space="preserve">mondiale du </w:t>
      </w:r>
      <w:r w:rsidR="00EE6985" w:rsidRPr="00DD227A">
        <w:t xml:space="preserve">numérique. Les principaux domaines d'action de l'UIT </w:t>
      </w:r>
      <w:r w:rsidR="00350BCB" w:rsidRPr="00DD227A">
        <w:t xml:space="preserve">sont </w:t>
      </w:r>
      <w:r w:rsidR="00B91878" w:rsidRPr="00DD227A">
        <w:t xml:space="preserve">aussi </w:t>
      </w:r>
      <w:r w:rsidR="00EE6985" w:rsidRPr="00DD227A">
        <w:t>la cybersécurité, la fracture numérique, les télécommunications d'urgence, l</w:t>
      </w:r>
      <w:r w:rsidR="00350BCB" w:rsidRPr="00DD227A">
        <w:t>es</w:t>
      </w:r>
      <w:r w:rsidR="00EE6985" w:rsidRPr="00DD227A">
        <w:t xml:space="preserve"> politique</w:t>
      </w:r>
      <w:r w:rsidR="00350BCB" w:rsidRPr="00DD227A">
        <w:t>s</w:t>
      </w:r>
      <w:r w:rsidR="00EE6985" w:rsidRPr="00DD227A">
        <w:t xml:space="preserve"> </w:t>
      </w:r>
      <w:r w:rsidR="00350BCB" w:rsidRPr="00DD227A">
        <w:t xml:space="preserve">relatives à l'Internet </w:t>
      </w:r>
      <w:r w:rsidR="00EE6985" w:rsidRPr="00DD227A">
        <w:t xml:space="preserve">et la gouvernance de l'Internet, ainsi que d'autres aspects importants de la gouvernance </w:t>
      </w:r>
      <w:r w:rsidR="009A77E6" w:rsidRPr="00DD227A">
        <w:t xml:space="preserve">du </w:t>
      </w:r>
      <w:r w:rsidR="00EE6985" w:rsidRPr="00DD227A">
        <w:t>numérique</w:t>
      </w:r>
      <w:r w:rsidR="00AB5793" w:rsidRPr="00DD227A">
        <w:rPr>
          <w:rStyle w:val="FootnoteReference"/>
        </w:rPr>
        <w:footnoteReference w:id="1"/>
      </w:r>
      <w:r w:rsidR="00EE6985" w:rsidRPr="00DD227A">
        <w:t xml:space="preserve">. </w:t>
      </w:r>
      <w:r w:rsidR="00AB5793" w:rsidRPr="00DD227A">
        <w:t xml:space="preserve">L'UIT organise régulièrement des manifestations importantes, telles que le Colloque mondial des régulateurs (GSR) et le Colloque sur les indicateurs des télécommunications/TIC dans le monde (WTIS). Lors </w:t>
      </w:r>
      <w:r w:rsidR="00B91878" w:rsidRPr="00DD227A">
        <w:t>de l</w:t>
      </w:r>
      <w:r w:rsidR="00B5268B" w:rsidRPr="00DD227A">
        <w:t>'</w:t>
      </w:r>
      <w:r w:rsidR="00B91878" w:rsidRPr="00DD227A">
        <w:t xml:space="preserve">édition </w:t>
      </w:r>
      <w:r w:rsidR="00AB5793" w:rsidRPr="00DD227A">
        <w:t>de 2020 (GSR-20</w:t>
      </w:r>
      <w:r w:rsidR="00B5268B" w:rsidRPr="00DD227A">
        <w:t>),</w:t>
      </w:r>
      <w:r w:rsidR="00AB5793" w:rsidRPr="00DD227A">
        <w:t xml:space="preserve"> il a été proposé que "le fait de disposer de règles précises, strictes et </w:t>
      </w:r>
      <w:r w:rsidR="0073652A">
        <w:br w:type="page"/>
      </w:r>
    </w:p>
    <w:p w14:paraId="377A1597" w14:textId="5A6C28B7" w:rsidR="00047B0E" w:rsidRPr="00DD227A" w:rsidRDefault="00AB5793" w:rsidP="00B5268B">
      <w:r w:rsidRPr="00DD227A">
        <w:lastRenderedPageBreak/>
        <w:t>ayant force exécutoire en matière de gouvernance des données peut constituer un mécanisme approprié de protection des consommateurs du numérique et créer un cadre prévisible et structuré pour le secteur du numérique</w:t>
      </w:r>
      <w:r w:rsidR="00B5268B" w:rsidRPr="00DD227A">
        <w:t>"</w:t>
      </w:r>
      <w:r w:rsidRPr="00DD227A">
        <w:rPr>
          <w:rStyle w:val="FootnoteReference"/>
        </w:rPr>
        <w:footnoteReference w:id="2"/>
      </w:r>
      <w:r w:rsidR="00B5268B" w:rsidRPr="00DD227A">
        <w:t>.</w:t>
      </w:r>
    </w:p>
    <w:p w14:paraId="17B8BF5F" w14:textId="6B68D21A" w:rsidR="00047B0E" w:rsidRPr="00DD227A" w:rsidRDefault="00334EFA" w:rsidP="00B5268B">
      <w:bookmarkStart w:id="10" w:name="lt_pId021"/>
      <w:r w:rsidRPr="00DD227A">
        <w:t>À l'heure actuelle</w:t>
      </w:r>
      <w:r w:rsidR="00EE6985" w:rsidRPr="00DD227A">
        <w:t>, des mécanismes de gouvernance multilatéraux</w:t>
      </w:r>
      <w:r w:rsidR="00C75611" w:rsidRPr="00DD227A">
        <w:t xml:space="preserve"> ou </w:t>
      </w:r>
      <w:r w:rsidR="00EE6985" w:rsidRPr="00DD227A">
        <w:t xml:space="preserve">bilatéraux et des mécanismes de gouvernance </w:t>
      </w:r>
      <w:r w:rsidR="00C75611" w:rsidRPr="00DD227A">
        <w:t>spéciaux mis en place à l</w:t>
      </w:r>
      <w:r w:rsidR="00B5268B" w:rsidRPr="00DD227A">
        <w:t>'</w:t>
      </w:r>
      <w:r w:rsidR="00C75611" w:rsidRPr="00DD227A">
        <w:t>initiative du</w:t>
      </w:r>
      <w:r w:rsidR="00EE6985" w:rsidRPr="00DD227A">
        <w:t xml:space="preserve"> secteur privé </w:t>
      </w:r>
      <w:r w:rsidRPr="00DD227A">
        <w:t>sont utilisés</w:t>
      </w:r>
      <w:r w:rsidR="00EE6985" w:rsidRPr="00DD227A">
        <w:t xml:space="preserve"> en parallèle</w:t>
      </w:r>
      <w:r w:rsidR="00C75611" w:rsidRPr="00DD227A">
        <w:t>,</w:t>
      </w:r>
      <w:r w:rsidR="00EE6985" w:rsidRPr="00DD227A">
        <w:t xml:space="preserve"> </w:t>
      </w:r>
      <w:r w:rsidRPr="00DD227A">
        <w:t>afin de</w:t>
      </w:r>
      <w:r w:rsidR="00EE6985" w:rsidRPr="00DD227A">
        <w:t xml:space="preserve"> promouvoir le développement d</w:t>
      </w:r>
      <w:r w:rsidRPr="00DD227A">
        <w:t>e l'environnement</w:t>
      </w:r>
      <w:r w:rsidR="00EE6985" w:rsidRPr="00DD227A">
        <w:t xml:space="preserve"> mondial de la gouvernance </w:t>
      </w:r>
      <w:r w:rsidR="009A77E6" w:rsidRPr="00DD227A">
        <w:t xml:space="preserve">du </w:t>
      </w:r>
      <w:r w:rsidR="00EE6985" w:rsidRPr="00DD227A">
        <w:t>numérique.</w:t>
      </w:r>
      <w:bookmarkEnd w:id="10"/>
      <w:r w:rsidR="00EE6985" w:rsidRPr="00DD227A">
        <w:rPr>
          <w:b/>
          <w:bCs/>
        </w:rPr>
        <w:t xml:space="preserve"> </w:t>
      </w:r>
      <w:bookmarkStart w:id="11" w:name="lt_pId022"/>
      <w:r w:rsidRPr="00DD227A">
        <w:rPr>
          <w:b/>
          <w:bCs/>
        </w:rPr>
        <w:t>S'agissant</w:t>
      </w:r>
      <w:r w:rsidR="00EE6985" w:rsidRPr="00DD227A">
        <w:rPr>
          <w:b/>
          <w:bCs/>
        </w:rPr>
        <w:t xml:space="preserve"> des mécanismes de gouvernance multilatéra</w:t>
      </w:r>
      <w:r w:rsidRPr="00DD227A">
        <w:rPr>
          <w:b/>
          <w:bCs/>
        </w:rPr>
        <w:t>ux au niveau mondial</w:t>
      </w:r>
      <w:r w:rsidR="00EE6985" w:rsidRPr="00DD227A">
        <w:t xml:space="preserve">, le </w:t>
      </w:r>
      <w:r w:rsidR="00C75611" w:rsidRPr="00DD227A">
        <w:t xml:space="preserve">Sommet </w:t>
      </w:r>
      <w:r w:rsidR="00EE6985" w:rsidRPr="00DD227A">
        <w:t>du Groupe des Vingt (G20)</w:t>
      </w:r>
      <w:r w:rsidR="00B5268B" w:rsidRPr="00DD227A">
        <w:t xml:space="preserve"> </w:t>
      </w:r>
      <w:r w:rsidR="00EE6985" w:rsidRPr="00DD227A">
        <w:t>tenu à Hangzhou en 2016 a</w:t>
      </w:r>
      <w:r w:rsidRPr="00DD227A">
        <w:t>,</w:t>
      </w:r>
      <w:r w:rsidR="00EE6985" w:rsidRPr="00DD227A">
        <w:t xml:space="preserve"> pour la première fois</w:t>
      </w:r>
      <w:r w:rsidRPr="00DD227A">
        <w:t>,</w:t>
      </w:r>
      <w:r w:rsidR="00EE6985" w:rsidRPr="00DD227A">
        <w:t xml:space="preserve"> </w:t>
      </w:r>
      <w:r w:rsidR="00C75611" w:rsidRPr="00DD227A">
        <w:t xml:space="preserve">inscrit </w:t>
      </w:r>
      <w:r w:rsidR="00EE6985" w:rsidRPr="00DD227A">
        <w:t xml:space="preserve">l'économie numérique </w:t>
      </w:r>
      <w:r w:rsidR="00C75611" w:rsidRPr="00DD227A">
        <w:t>dans le</w:t>
      </w:r>
      <w:r w:rsidRPr="00DD227A">
        <w:t xml:space="preserve"> </w:t>
      </w:r>
      <w:r w:rsidR="00EE6985" w:rsidRPr="00DD227A">
        <w:t xml:space="preserve">cadre de gouvernance, </w:t>
      </w:r>
      <w:r w:rsidRPr="00DD227A">
        <w:t>engageant</w:t>
      </w:r>
      <w:r w:rsidR="00EE6985" w:rsidRPr="00DD227A">
        <w:t xml:space="preserve"> ainsi un important processus de coordination des politiques entre </w:t>
      </w:r>
      <w:r w:rsidRPr="00DD227A">
        <w:t>de grands pays dans le domaine de la</w:t>
      </w:r>
      <w:r w:rsidR="00EE6985" w:rsidRPr="00DD227A">
        <w:t xml:space="preserve"> gouvernance </w:t>
      </w:r>
      <w:r w:rsidR="003D7D8D" w:rsidRPr="00DD227A">
        <w:t xml:space="preserve">mondiale du </w:t>
      </w:r>
      <w:r w:rsidR="00EE6985" w:rsidRPr="00DD227A">
        <w:t xml:space="preserve">numérique; l'Organisation mondiale du commerce (OMC), le Fonds monétaire international (FMI) et la Banque mondiale, </w:t>
      </w:r>
      <w:r w:rsidRPr="00DD227A">
        <w:t xml:space="preserve">sous l'égide de l'Organisation </w:t>
      </w:r>
      <w:r w:rsidR="00EE6985" w:rsidRPr="00DD227A">
        <w:t xml:space="preserve">des Nations </w:t>
      </w:r>
      <w:r w:rsidRPr="00DD227A">
        <w:t>U</w:t>
      </w:r>
      <w:r w:rsidR="00EE6985" w:rsidRPr="00DD227A">
        <w:t xml:space="preserve">nies, </w:t>
      </w:r>
      <w:r w:rsidRPr="00DD227A">
        <w:t xml:space="preserve">portent aujourd'hui une attention accrue </w:t>
      </w:r>
      <w:r w:rsidR="00EE6985" w:rsidRPr="00DD227A">
        <w:t xml:space="preserve">aux questions de gouvernance </w:t>
      </w:r>
      <w:r w:rsidR="003D7D8D" w:rsidRPr="00DD227A">
        <w:t xml:space="preserve">du </w:t>
      </w:r>
      <w:r w:rsidR="00EE6985" w:rsidRPr="00DD227A">
        <w:t>numérique</w:t>
      </w:r>
      <w:r w:rsidR="00FA7C2B" w:rsidRPr="00DD227A">
        <w:rPr>
          <w:rStyle w:val="FootnoteReference"/>
        </w:rPr>
        <w:footnoteReference w:id="3"/>
      </w:r>
      <w:r w:rsidR="00EE6985" w:rsidRPr="00DD227A">
        <w:t xml:space="preserve">; l'OCDE, le Forum économique mondial et d'autres organisations ont publié un grand nombre de </w:t>
      </w:r>
      <w:r w:rsidR="00293B9D" w:rsidRPr="00DD227A">
        <w:t>travaux</w:t>
      </w:r>
      <w:r w:rsidR="00EE6985" w:rsidRPr="00DD227A">
        <w:t xml:space="preserve"> de recherche dans le domaine de l'économie numérique,</w:t>
      </w:r>
      <w:r w:rsidR="00293B9D" w:rsidRPr="00DD227A">
        <w:t xml:space="preserve"> ce qui a contribué à accroître la sensibilisation des diffé</w:t>
      </w:r>
      <w:r w:rsidR="00EE6985" w:rsidRPr="00DD227A">
        <w:t xml:space="preserve">rentes parties prenantes </w:t>
      </w:r>
      <w:r w:rsidR="00293B9D" w:rsidRPr="00DD227A">
        <w:t>en ce qui concerne</w:t>
      </w:r>
      <w:r w:rsidR="00EE6985" w:rsidRPr="00DD227A">
        <w:t xml:space="preserve"> la gouvernance </w:t>
      </w:r>
      <w:r w:rsidR="003D7D8D" w:rsidRPr="00DD227A">
        <w:t xml:space="preserve">du </w:t>
      </w:r>
      <w:r w:rsidR="00EE6985" w:rsidRPr="00DD227A">
        <w:t>numérique.</w:t>
      </w:r>
      <w:bookmarkEnd w:id="11"/>
      <w:r w:rsidR="00EE6985" w:rsidRPr="00DD227A">
        <w:t xml:space="preserve"> </w:t>
      </w:r>
      <w:bookmarkStart w:id="12" w:name="lt_pId023"/>
      <w:r w:rsidR="00293B9D" w:rsidRPr="00DD227A">
        <w:rPr>
          <w:b/>
          <w:bCs/>
        </w:rPr>
        <w:t>S'agissant des</w:t>
      </w:r>
      <w:r w:rsidR="00EE6985" w:rsidRPr="00DD227A">
        <w:rPr>
          <w:b/>
          <w:bCs/>
        </w:rPr>
        <w:t xml:space="preserve"> mécanismes bilatéraux et régionaux</w:t>
      </w:r>
      <w:r w:rsidR="00EE6985" w:rsidRPr="00DD227A">
        <w:t xml:space="preserve">, </w:t>
      </w:r>
      <w:r w:rsidR="00293B9D" w:rsidRPr="00DD227A">
        <w:t xml:space="preserve">les </w:t>
      </w:r>
      <w:r w:rsidR="00EE6985" w:rsidRPr="00DD227A">
        <w:t xml:space="preserve">accords </w:t>
      </w:r>
      <w:r w:rsidR="00C75611" w:rsidRPr="00DD227A">
        <w:t xml:space="preserve">géants </w:t>
      </w:r>
      <w:r w:rsidR="00EE6985" w:rsidRPr="00DD227A">
        <w:t>de libre-échange</w:t>
      </w:r>
      <w:r w:rsidR="0044268B" w:rsidRPr="00DD227A">
        <w:rPr>
          <w:rStyle w:val="FootnoteReference"/>
        </w:rPr>
        <w:footnoteReference w:id="4"/>
      </w:r>
      <w:r w:rsidR="00EE6985" w:rsidRPr="00DD227A">
        <w:t xml:space="preserve"> jouent un rôle de plus en plus important dans l'élaboration des règles </w:t>
      </w:r>
      <w:r w:rsidR="00C75611" w:rsidRPr="00DD227A">
        <w:t>en matière de</w:t>
      </w:r>
      <w:r w:rsidR="00B5268B" w:rsidRPr="00DD227A">
        <w:t xml:space="preserve"> </w:t>
      </w:r>
      <w:r w:rsidR="00EE6985" w:rsidRPr="00DD227A">
        <w:t xml:space="preserve">gouvernance </w:t>
      </w:r>
      <w:r w:rsidR="003D7D8D" w:rsidRPr="00DD227A">
        <w:t xml:space="preserve">du </w:t>
      </w:r>
      <w:r w:rsidR="00EE6985" w:rsidRPr="00DD227A">
        <w:t xml:space="preserve">numérique </w:t>
      </w:r>
      <w:r w:rsidR="00293B9D" w:rsidRPr="00DD227A">
        <w:t>au niveau mondial</w:t>
      </w:r>
      <w:r w:rsidR="00EE6985" w:rsidRPr="00DD227A">
        <w:t>.</w:t>
      </w:r>
      <w:bookmarkEnd w:id="12"/>
      <w:r w:rsidR="00EE6985" w:rsidRPr="00DD227A">
        <w:t xml:space="preserve"> </w:t>
      </w:r>
      <w:bookmarkStart w:id="13" w:name="lt_pId024"/>
      <w:r w:rsidR="00293B9D" w:rsidRPr="00DD227A">
        <w:t xml:space="preserve">Il est essentiel de tenir compte des besoins des </w:t>
      </w:r>
      <w:r w:rsidR="00EE6985" w:rsidRPr="00DD227A">
        <w:t xml:space="preserve">différentes parties prenantes dans le domaine </w:t>
      </w:r>
      <w:r w:rsidR="00C75611" w:rsidRPr="00DD227A">
        <w:t xml:space="preserve">du </w:t>
      </w:r>
      <w:r w:rsidR="00EE6985" w:rsidRPr="00DD227A">
        <w:t xml:space="preserve">numérique </w:t>
      </w:r>
      <w:r w:rsidR="00C75611" w:rsidRPr="00DD227A">
        <w:t>dans le cadre</w:t>
      </w:r>
      <w:r w:rsidR="00293B9D" w:rsidRPr="00DD227A">
        <w:t xml:space="preserve"> de</w:t>
      </w:r>
      <w:r w:rsidR="00EE6985" w:rsidRPr="00DD227A">
        <w:t xml:space="preserve"> négociations </w:t>
      </w:r>
      <w:r w:rsidR="00C75611" w:rsidRPr="00DD227A">
        <w:t>pour</w:t>
      </w:r>
      <w:r w:rsidR="00293B9D" w:rsidRPr="00DD227A">
        <w:t xml:space="preserve"> l'élaboration</w:t>
      </w:r>
      <w:r w:rsidR="00C75611" w:rsidRPr="00DD227A">
        <w:t>, à terme,</w:t>
      </w:r>
      <w:r w:rsidR="00B5268B" w:rsidRPr="00DD227A">
        <w:t xml:space="preserve"> </w:t>
      </w:r>
      <w:r w:rsidR="00293B9D" w:rsidRPr="00DD227A">
        <w:t xml:space="preserve">des </w:t>
      </w:r>
      <w:r w:rsidR="00EE6985" w:rsidRPr="00DD227A">
        <w:t xml:space="preserve">règles de la gouvernance </w:t>
      </w:r>
      <w:r w:rsidR="003D7D8D" w:rsidRPr="00DD227A">
        <w:t xml:space="preserve">mondiale du </w:t>
      </w:r>
      <w:r w:rsidR="00EE6985" w:rsidRPr="00DD227A">
        <w:t>numérique</w:t>
      </w:r>
      <w:r w:rsidR="00B5268B" w:rsidRPr="00DD227A">
        <w:t>.</w:t>
      </w:r>
      <w:bookmarkEnd w:id="13"/>
      <w:r w:rsidR="00EE6985" w:rsidRPr="00DD227A">
        <w:t xml:space="preserve"> </w:t>
      </w:r>
      <w:bookmarkStart w:id="14" w:name="lt_pId025"/>
      <w:r w:rsidR="00293B9D" w:rsidRPr="00DD227A">
        <w:t>À titre d'exemple</w:t>
      </w:r>
      <w:r w:rsidR="00EE6985" w:rsidRPr="00DD227A">
        <w:t xml:space="preserve">, la Chine et </w:t>
      </w:r>
      <w:r w:rsidR="00293B9D" w:rsidRPr="00DD227A">
        <w:t>l'Union européenne ont organisé</w:t>
      </w:r>
      <w:r w:rsidR="00C75611" w:rsidRPr="00DD227A">
        <w:t xml:space="preserve"> en septembre 2020</w:t>
      </w:r>
      <w:r w:rsidR="00293B9D" w:rsidRPr="00DD227A">
        <w:t xml:space="preserve"> un dialogue numérique de haut </w:t>
      </w:r>
      <w:r w:rsidR="00EE6985" w:rsidRPr="00DD227A">
        <w:t xml:space="preserve">niveau, </w:t>
      </w:r>
      <w:r w:rsidR="00C75611" w:rsidRPr="00DD227A">
        <w:t xml:space="preserve">qui </w:t>
      </w:r>
      <w:r w:rsidR="00293B9D" w:rsidRPr="00DD227A">
        <w:t>a permis aux</w:t>
      </w:r>
      <w:r w:rsidR="00EE6985" w:rsidRPr="00DD227A">
        <w:t xml:space="preserve"> deux parties </w:t>
      </w:r>
      <w:r w:rsidR="00C75611" w:rsidRPr="00DD227A">
        <w:t xml:space="preserve">de procéder à des échanges </w:t>
      </w:r>
      <w:r w:rsidR="00293B9D" w:rsidRPr="00DD227A">
        <w:t xml:space="preserve">au sujet des </w:t>
      </w:r>
      <w:r w:rsidR="00EE6985" w:rsidRPr="00DD227A">
        <w:t xml:space="preserve">politiques </w:t>
      </w:r>
      <w:r w:rsidR="00293B9D" w:rsidRPr="00DD227A">
        <w:t>relatives à</w:t>
      </w:r>
      <w:r w:rsidR="00EE6985" w:rsidRPr="00DD227A">
        <w:t xml:space="preserve"> la normalisation des TIC et </w:t>
      </w:r>
      <w:r w:rsidR="00293B9D" w:rsidRPr="00DD227A">
        <w:t>à</w:t>
      </w:r>
      <w:r w:rsidR="00EE6985" w:rsidRPr="00DD227A">
        <w:t xml:space="preserve"> la </w:t>
      </w:r>
      <w:r w:rsidR="00EE6985" w:rsidRPr="00DD227A">
        <w:lastRenderedPageBreak/>
        <w:t xml:space="preserve">gouvernance de </w:t>
      </w:r>
      <w:r w:rsidR="00293B9D" w:rsidRPr="00DD227A">
        <w:t>l'intelligence artificielle</w:t>
      </w:r>
      <w:r w:rsidR="004F74FA" w:rsidRPr="00DD227A">
        <w:rPr>
          <w:rStyle w:val="FootnoteReference"/>
        </w:rPr>
        <w:footnoteReference w:id="5"/>
      </w:r>
      <w:r w:rsidR="00EE6985" w:rsidRPr="00DD227A">
        <w:t>.</w:t>
      </w:r>
      <w:bookmarkEnd w:id="14"/>
      <w:r w:rsidR="00EE6985" w:rsidRPr="00DD227A">
        <w:t xml:space="preserve"> </w:t>
      </w:r>
      <w:bookmarkStart w:id="15" w:name="lt_pId026"/>
      <w:r w:rsidR="00EE6985" w:rsidRPr="00DD227A">
        <w:rPr>
          <w:b/>
          <w:bCs/>
        </w:rPr>
        <w:t xml:space="preserve">Le secteur privé exerce également une influence considérable sur la gouvernance </w:t>
      </w:r>
      <w:r w:rsidR="00DD350D" w:rsidRPr="00DD227A">
        <w:rPr>
          <w:b/>
          <w:bCs/>
        </w:rPr>
        <w:t xml:space="preserve">mondiale du </w:t>
      </w:r>
      <w:r w:rsidR="00EE6985" w:rsidRPr="00DD227A">
        <w:rPr>
          <w:b/>
          <w:bCs/>
        </w:rPr>
        <w:t xml:space="preserve">numérique, notamment </w:t>
      </w:r>
      <w:r w:rsidR="00DD350D" w:rsidRPr="00DD227A">
        <w:rPr>
          <w:b/>
          <w:bCs/>
        </w:rPr>
        <w:t>dans le cadre</w:t>
      </w:r>
      <w:r w:rsidR="00B5268B" w:rsidRPr="00DD227A">
        <w:rPr>
          <w:b/>
          <w:bCs/>
        </w:rPr>
        <w:t xml:space="preserve"> </w:t>
      </w:r>
      <w:r w:rsidR="00DD350D" w:rsidRPr="00DD227A">
        <w:rPr>
          <w:b/>
          <w:bCs/>
        </w:rPr>
        <w:t xml:space="preserve">de </w:t>
      </w:r>
      <w:r w:rsidR="00C75611" w:rsidRPr="00DD227A">
        <w:rPr>
          <w:b/>
          <w:bCs/>
        </w:rPr>
        <w:t>l</w:t>
      </w:r>
      <w:r w:rsidR="00B5268B" w:rsidRPr="00DD227A">
        <w:rPr>
          <w:b/>
          <w:bCs/>
        </w:rPr>
        <w:t>'</w:t>
      </w:r>
      <w:r w:rsidR="00C75611" w:rsidRPr="00DD227A">
        <w:rPr>
          <w:b/>
          <w:bCs/>
        </w:rPr>
        <w:t>élaboration de normes</w:t>
      </w:r>
      <w:r w:rsidR="00B5268B" w:rsidRPr="00DD227A">
        <w:rPr>
          <w:b/>
          <w:bCs/>
        </w:rPr>
        <w:t xml:space="preserve"> </w:t>
      </w:r>
      <w:r w:rsidR="00EE6985" w:rsidRPr="00DD227A">
        <w:rPr>
          <w:b/>
          <w:bCs/>
        </w:rPr>
        <w:t>internationales.</w:t>
      </w:r>
      <w:bookmarkEnd w:id="15"/>
      <w:r w:rsidR="00EE6985" w:rsidRPr="00DD227A">
        <w:t xml:space="preserve"> </w:t>
      </w:r>
      <w:bookmarkStart w:id="16" w:name="lt_pId027"/>
      <w:r w:rsidR="00EE6985" w:rsidRPr="00DD227A">
        <w:t xml:space="preserve">L'Organisation internationale de normalisation (ISO), la Commission électrotechnique internationale (CEI) et </w:t>
      </w:r>
      <w:r w:rsidR="00C75611" w:rsidRPr="00DD227A">
        <w:rPr>
          <w:color w:val="000000"/>
        </w:rPr>
        <w:t>l</w:t>
      </w:r>
      <w:r w:rsidR="00B5268B" w:rsidRPr="00DD227A">
        <w:rPr>
          <w:color w:val="000000"/>
        </w:rPr>
        <w:t>'</w:t>
      </w:r>
      <w:r w:rsidR="00C75611" w:rsidRPr="00DD227A">
        <w:rPr>
          <w:color w:val="000000"/>
        </w:rPr>
        <w:t>Institute of Electrical and Electronics Engineers</w:t>
      </w:r>
      <w:r w:rsidR="00C75611" w:rsidRPr="00DD227A" w:rsidDel="00C75611">
        <w:t xml:space="preserve"> </w:t>
      </w:r>
      <w:r w:rsidR="00EE6985" w:rsidRPr="00DD227A">
        <w:t xml:space="preserve">(IEEE) ont tous créé des groupes de travail spéciaux </w:t>
      </w:r>
      <w:r w:rsidR="00DD350D" w:rsidRPr="00DD227A">
        <w:t>chargés de</w:t>
      </w:r>
      <w:r w:rsidR="00EE6985" w:rsidRPr="00DD227A">
        <w:t xml:space="preserve"> mener des études sur les normes </w:t>
      </w:r>
      <w:r w:rsidR="00DD350D" w:rsidRPr="00DD227A">
        <w:t>relatives</w:t>
      </w:r>
      <w:r w:rsidR="00EE6985" w:rsidRPr="00DD227A">
        <w:t xml:space="preserve"> </w:t>
      </w:r>
      <w:r w:rsidR="00DD350D" w:rsidRPr="00DD227A">
        <w:t xml:space="preserve">aux </w:t>
      </w:r>
      <w:r w:rsidR="003673A8" w:rsidRPr="00DD227A">
        <w:t xml:space="preserve">aspects </w:t>
      </w:r>
      <w:r w:rsidR="00DD350D" w:rsidRPr="00DD227A">
        <w:t>éthiques de l'intelligence artificielle</w:t>
      </w:r>
      <w:r w:rsidR="00EE6985" w:rsidRPr="00DD227A">
        <w:t>.</w:t>
      </w:r>
      <w:bookmarkEnd w:id="16"/>
      <w:r w:rsidR="00EE6985" w:rsidRPr="00DD227A">
        <w:t xml:space="preserve"> </w:t>
      </w:r>
      <w:bookmarkStart w:id="17" w:name="lt_pId028"/>
      <w:r w:rsidR="00EE6985" w:rsidRPr="00DD227A">
        <w:t>Toutefois, pour d</w:t>
      </w:r>
      <w:r w:rsidR="00DD350D" w:rsidRPr="00DD227A">
        <w:t>iverses</w:t>
      </w:r>
      <w:r w:rsidR="00EE6985" w:rsidRPr="00DD227A">
        <w:t xml:space="preserve"> raisons, </w:t>
      </w:r>
      <w:r w:rsidR="005C55E7" w:rsidRPr="00DD227A">
        <w:t>par exemple</w:t>
      </w:r>
      <w:r w:rsidR="00EE6985" w:rsidRPr="00DD227A">
        <w:t xml:space="preserve"> la tendance à la </w:t>
      </w:r>
      <w:r w:rsidR="005C55E7" w:rsidRPr="00DD227A">
        <w:t>démondialisation</w:t>
      </w:r>
      <w:r w:rsidR="00EE6985" w:rsidRPr="00DD227A">
        <w:t xml:space="preserve">, la portée </w:t>
      </w:r>
      <w:r w:rsidR="005C55E7" w:rsidRPr="00DD227A">
        <w:t xml:space="preserve">plus globale </w:t>
      </w:r>
      <w:r w:rsidR="00EE6985" w:rsidRPr="00DD227A">
        <w:t xml:space="preserve">des questions de gouvernance des données et l'absence de consensus </w:t>
      </w:r>
      <w:r w:rsidR="005C55E7" w:rsidRPr="00DD227A">
        <w:t>au niveau mondial</w:t>
      </w:r>
      <w:r w:rsidR="00EE6985" w:rsidRPr="00DD227A">
        <w:t>, les cadres multilatéraux sont limités.</w:t>
      </w:r>
      <w:bookmarkEnd w:id="17"/>
      <w:r w:rsidR="00EE6985" w:rsidRPr="00DD227A">
        <w:t xml:space="preserve"> </w:t>
      </w:r>
      <w:bookmarkStart w:id="18" w:name="lt_pId029"/>
      <w:r w:rsidR="00EE6985" w:rsidRPr="00DD227A">
        <w:t xml:space="preserve">Une série d'accords bilatéraux ont </w:t>
      </w:r>
      <w:r w:rsidR="005C55E7" w:rsidRPr="00DD227A">
        <w:t>permis de favoriser</w:t>
      </w:r>
      <w:r w:rsidR="00EE6985" w:rsidRPr="00DD227A">
        <w:t xml:space="preserve"> l'établissement de règles dans de nouveaux domaines de la gouvernance </w:t>
      </w:r>
      <w:r w:rsidR="005C55E7" w:rsidRPr="00DD227A">
        <w:t xml:space="preserve">du </w:t>
      </w:r>
      <w:r w:rsidR="00EE6985" w:rsidRPr="00DD227A">
        <w:t xml:space="preserve">numérique, mais </w:t>
      </w:r>
      <w:r w:rsidR="005C55E7" w:rsidRPr="00DD227A">
        <w:t xml:space="preserve">la fragmentation de la gouvernance </w:t>
      </w:r>
      <w:r w:rsidR="00EE6985" w:rsidRPr="00DD227A">
        <w:t>deviendra le</w:t>
      </w:r>
      <w:r w:rsidR="00B5268B" w:rsidRPr="00DD227A">
        <w:t xml:space="preserve"> </w:t>
      </w:r>
      <w:r w:rsidR="003673A8" w:rsidRPr="00DD227A">
        <w:t>principal obstacle à</w:t>
      </w:r>
      <w:r w:rsidR="00EE6985" w:rsidRPr="00DD227A">
        <w:t xml:space="preserve"> la gouvernance</w:t>
      </w:r>
      <w:r w:rsidR="005C55E7" w:rsidRPr="00DD227A">
        <w:t xml:space="preserve"> mondiale</w:t>
      </w:r>
      <w:r w:rsidR="00EE6985" w:rsidRPr="00DD227A">
        <w:t xml:space="preserve"> </w:t>
      </w:r>
      <w:r w:rsidR="005C55E7" w:rsidRPr="00DD227A">
        <w:t xml:space="preserve">du </w:t>
      </w:r>
      <w:r w:rsidR="00EE6985" w:rsidRPr="00DD227A">
        <w:t xml:space="preserve">numérique </w:t>
      </w:r>
      <w:bookmarkEnd w:id="18"/>
      <w:r w:rsidR="003673A8" w:rsidRPr="00DD227A">
        <w:t>à terme</w:t>
      </w:r>
      <w:r w:rsidR="00EE6985" w:rsidRPr="00DD227A">
        <w:t xml:space="preserve"> </w:t>
      </w:r>
      <w:bookmarkStart w:id="19" w:name="lt_pId030"/>
      <w:r w:rsidR="005C55E7" w:rsidRPr="00DD227A">
        <w:t xml:space="preserve">La question de savoir comment </w:t>
      </w:r>
      <w:r w:rsidR="00EE6985" w:rsidRPr="00DD227A">
        <w:t xml:space="preserve">promouvoir un </w:t>
      </w:r>
      <w:r w:rsidR="005C55E7" w:rsidRPr="00DD227A">
        <w:t>cadre de règles</w:t>
      </w:r>
      <w:r w:rsidR="00EE6985" w:rsidRPr="00DD227A">
        <w:t xml:space="preserve"> unifié, transparent</w:t>
      </w:r>
      <w:r w:rsidR="003673A8" w:rsidRPr="00DD227A">
        <w:t xml:space="preserve"> </w:t>
      </w:r>
      <w:r w:rsidR="00EE6985" w:rsidRPr="00DD227A">
        <w:t>et équitable</w:t>
      </w:r>
      <w:r w:rsidR="005C55E7" w:rsidRPr="00DD227A">
        <w:t xml:space="preserve"> au niveau mondial, </w:t>
      </w:r>
      <w:r w:rsidR="00EE6985" w:rsidRPr="00DD227A">
        <w:t xml:space="preserve">empêcher que la fragmentation des règles n'aggrave la "fracture numérique" et parvenir à une croissance mondiale inclusive </w:t>
      </w:r>
      <w:r w:rsidR="005C55E7" w:rsidRPr="00DD227A">
        <w:t xml:space="preserve">constitue un enjeu de taille </w:t>
      </w:r>
      <w:r w:rsidR="00EE6985" w:rsidRPr="00DD227A">
        <w:t xml:space="preserve">pour la gouvernance </w:t>
      </w:r>
      <w:r w:rsidR="005C55E7" w:rsidRPr="00DD227A">
        <w:t>mondiale</w:t>
      </w:r>
      <w:r w:rsidR="00B5268B" w:rsidRPr="00DD227A">
        <w:t xml:space="preserve"> </w:t>
      </w:r>
      <w:r w:rsidR="005C55E7" w:rsidRPr="00DD227A">
        <w:t xml:space="preserve">du </w:t>
      </w:r>
      <w:r w:rsidR="00EE6985" w:rsidRPr="00DD227A">
        <w:t xml:space="preserve">numérique </w:t>
      </w:r>
      <w:r w:rsidR="005C55E7" w:rsidRPr="00DD227A">
        <w:t>dans le futur</w:t>
      </w:r>
      <w:r w:rsidR="00EE6985" w:rsidRPr="00DD227A">
        <w:t>.</w:t>
      </w:r>
      <w:bookmarkEnd w:id="19"/>
    </w:p>
    <w:p w14:paraId="7BBFABF9" w14:textId="5929F70B" w:rsidR="00047B0E" w:rsidRPr="00DD227A" w:rsidRDefault="00EE6985" w:rsidP="00B5268B">
      <w:pPr>
        <w:pStyle w:val="Headingb"/>
      </w:pPr>
      <w:r w:rsidRPr="00DD227A">
        <w:t>Analyse</w:t>
      </w:r>
    </w:p>
    <w:p w14:paraId="2F71B649" w14:textId="4A4B78F0" w:rsidR="00047B0E" w:rsidRPr="00DD227A" w:rsidRDefault="00EE6985" w:rsidP="00B5268B">
      <w:bookmarkStart w:id="20" w:name="lt_pId032"/>
      <w:r w:rsidRPr="00DD227A">
        <w:t xml:space="preserve">Le Plan stratégique de l'UIT est un document stratégique élaboré conformément à la Constitution et à la Convention de l'Union. </w:t>
      </w:r>
      <w:r w:rsidR="005C55E7" w:rsidRPr="00DD227A">
        <w:t>Il s'agit d'</w:t>
      </w:r>
      <w:r w:rsidRPr="00DD227A">
        <w:t>un document important qui orientera les activités de l'Union pour une période de quatre ans.</w:t>
      </w:r>
      <w:bookmarkEnd w:id="20"/>
      <w:r w:rsidRPr="00DD227A">
        <w:t xml:space="preserve"> </w:t>
      </w:r>
      <w:bookmarkStart w:id="21" w:name="lt_pId033"/>
      <w:r w:rsidRPr="00DD227A">
        <w:t xml:space="preserve">Les </w:t>
      </w:r>
      <w:r w:rsidR="004F74FA" w:rsidRPr="00DD227A">
        <w:t>buts</w:t>
      </w:r>
      <w:r w:rsidRPr="00DD227A">
        <w:t xml:space="preserve"> stratégiques</w:t>
      </w:r>
      <w:r w:rsidR="004F74FA" w:rsidRPr="00DD227A">
        <w:rPr>
          <w:rStyle w:val="FootnoteReference"/>
        </w:rPr>
        <w:footnoteReference w:id="6"/>
      </w:r>
      <w:r w:rsidRPr="00DD227A">
        <w:t xml:space="preserve"> </w:t>
      </w:r>
      <w:r w:rsidR="004F74FA" w:rsidRPr="00DD227A">
        <w:t>énoncés</w:t>
      </w:r>
      <w:r w:rsidRPr="00DD227A">
        <w:t xml:space="preserve"> dans la Résolution 71 (Rév.</w:t>
      </w:r>
      <w:r w:rsidR="0076728F" w:rsidRPr="00DD227A">
        <w:t> </w:t>
      </w:r>
      <w:r w:rsidRPr="00DD227A">
        <w:t>Dubaï, 2018)</w:t>
      </w:r>
      <w:r w:rsidR="004F74FA" w:rsidRPr="00DD227A">
        <w:t xml:space="preserve"> de la Conférence de plénipotentiaires</w:t>
      </w:r>
      <w:r w:rsidRPr="00DD227A">
        <w:t xml:space="preserve"> sur le Plan stratégique de l'UIT pour </w:t>
      </w:r>
      <w:r w:rsidR="004F74FA" w:rsidRPr="00DD227A">
        <w:t xml:space="preserve">la période </w:t>
      </w:r>
      <w:r w:rsidRPr="00DD227A">
        <w:t xml:space="preserve">2020-2023 </w:t>
      </w:r>
      <w:r w:rsidR="004F74FA" w:rsidRPr="00DD227A">
        <w:t xml:space="preserve">portent sur </w:t>
      </w:r>
      <w:r w:rsidRPr="00DD227A">
        <w:t xml:space="preserve">certains aspects de la gouvernance </w:t>
      </w:r>
      <w:r w:rsidR="00BF626B" w:rsidRPr="00DD227A">
        <w:t xml:space="preserve">du </w:t>
      </w:r>
      <w:r w:rsidRPr="00DD227A">
        <w:t xml:space="preserve">numérique, mais ne </w:t>
      </w:r>
      <w:r w:rsidR="00BF626B" w:rsidRPr="00DD227A">
        <w:t>sont pas appuyés par des</w:t>
      </w:r>
      <w:r w:rsidRPr="00DD227A">
        <w:t xml:space="preserve"> mécanismes de consultation suffisants.</w:t>
      </w:r>
      <w:bookmarkEnd w:id="21"/>
      <w:r w:rsidRPr="00DD227A">
        <w:t xml:space="preserve"> </w:t>
      </w:r>
      <w:bookmarkStart w:id="22" w:name="lt_pId034"/>
      <w:r w:rsidRPr="00DD227A">
        <w:t>Il est donc recommandé que les "objectifs intersectoriels"</w:t>
      </w:r>
      <w:r w:rsidR="003923C9" w:rsidRPr="00DD227A">
        <w:rPr>
          <w:rStyle w:val="FootnoteReference"/>
          <w:rFonts w:eastAsia="仿宋"/>
        </w:rPr>
        <w:footnoteReference w:id="7"/>
      </w:r>
      <w:r w:rsidR="0076728F" w:rsidRPr="00DD227A">
        <w:t xml:space="preserve"> </w:t>
      </w:r>
      <w:r w:rsidR="00BF626B" w:rsidRPr="00DD227A">
        <w:t xml:space="preserve">énoncés dans le Plan stratégique </w:t>
      </w:r>
      <w:r w:rsidRPr="00DD227A">
        <w:t xml:space="preserve">de l'UIT pour 2024-2027 prévoient </w:t>
      </w:r>
      <w:r w:rsidR="003673A8" w:rsidRPr="00DD227A">
        <w:t xml:space="preserve">expressément </w:t>
      </w:r>
      <w:r w:rsidR="00BF626B" w:rsidRPr="00DD227A">
        <w:t xml:space="preserve">le recours aux </w:t>
      </w:r>
      <w:r w:rsidR="003673A8" w:rsidRPr="00DD227A">
        <w:t>plates-formes de réunion</w:t>
      </w:r>
      <w:r w:rsidR="00B5268B" w:rsidRPr="00DD227A">
        <w:t xml:space="preserve"> </w:t>
      </w:r>
      <w:r w:rsidR="003673A8" w:rsidRPr="00DD227A">
        <w:t xml:space="preserve">internationales </w:t>
      </w:r>
      <w:r w:rsidRPr="00DD227A">
        <w:t>de haut niveau existant</w:t>
      </w:r>
      <w:r w:rsidR="003673A8" w:rsidRPr="00DD227A">
        <w:t>e</w:t>
      </w:r>
      <w:r w:rsidRPr="00DD227A">
        <w:t xml:space="preserve">s pour mener </w:t>
      </w:r>
      <w:r w:rsidR="00BF626B" w:rsidRPr="00DD227A">
        <w:t xml:space="preserve">à bien </w:t>
      </w:r>
      <w:r w:rsidRPr="00DD227A">
        <w:t>des consultations sur la gouvernance</w:t>
      </w:r>
      <w:r w:rsidR="00BF626B" w:rsidRPr="00DD227A">
        <w:t xml:space="preserve"> du</w:t>
      </w:r>
      <w:r w:rsidRPr="00DD227A">
        <w:t xml:space="preserve"> numérique et promouvoir un consensus </w:t>
      </w:r>
      <w:r w:rsidR="00BF626B" w:rsidRPr="00DD227A">
        <w:t xml:space="preserve">plus large </w:t>
      </w:r>
      <w:r w:rsidRPr="00DD227A">
        <w:t xml:space="preserve">sur la gouvernance </w:t>
      </w:r>
      <w:r w:rsidR="00BF626B" w:rsidRPr="00DD227A">
        <w:t xml:space="preserve">du </w:t>
      </w:r>
      <w:r w:rsidRPr="00DD227A">
        <w:t>numérique</w:t>
      </w:r>
      <w:r w:rsidR="00BF626B" w:rsidRPr="00DD227A">
        <w:t xml:space="preserve"> au niveau mondial</w:t>
      </w:r>
      <w:r w:rsidRPr="00DD227A">
        <w:t>.</w:t>
      </w:r>
      <w:bookmarkEnd w:id="22"/>
    </w:p>
    <w:p w14:paraId="0A806A65" w14:textId="77777777" w:rsidR="0076728F" w:rsidRPr="00DD227A" w:rsidRDefault="0076728F" w:rsidP="00B5268B">
      <w:pPr>
        <w:pStyle w:val="Headingb"/>
      </w:pPr>
      <w:r w:rsidRPr="00DD227A">
        <w:br w:type="page"/>
      </w:r>
    </w:p>
    <w:p w14:paraId="28F7281E" w14:textId="682C6736" w:rsidR="00047B0E" w:rsidRPr="00DD227A" w:rsidRDefault="00EE6985" w:rsidP="00B5268B">
      <w:pPr>
        <w:pStyle w:val="Headingb"/>
      </w:pPr>
      <w:r w:rsidRPr="00DD227A">
        <w:lastRenderedPageBreak/>
        <w:t>Proposition</w:t>
      </w:r>
    </w:p>
    <w:p w14:paraId="2CCABD13" w14:textId="7870A161" w:rsidR="00047B0E" w:rsidRPr="00DD227A" w:rsidRDefault="00BF626B" w:rsidP="00B5268B">
      <w:r w:rsidRPr="00DD227A">
        <w:t>Pour</w:t>
      </w:r>
      <w:r w:rsidR="00EE6985" w:rsidRPr="00DD227A">
        <w:t xml:space="preserve"> résumé, nous recommandons à l'UIT</w:t>
      </w:r>
      <w:r w:rsidR="00B5268B" w:rsidRPr="00DD227A">
        <w:t xml:space="preserve"> </w:t>
      </w:r>
      <w:r w:rsidR="003673A8" w:rsidRPr="00DD227A">
        <w:t xml:space="preserve">de tenir compte de </w:t>
      </w:r>
      <w:r w:rsidRPr="00DD227A">
        <w:t xml:space="preserve">la nécessité de tirer parti des </w:t>
      </w:r>
      <w:r w:rsidR="003673A8" w:rsidRPr="00DD227A">
        <w:t>plates</w:t>
      </w:r>
      <w:r w:rsidR="0076728F" w:rsidRPr="00DD227A">
        <w:noBreakHyphen/>
      </w:r>
      <w:r w:rsidR="003673A8" w:rsidRPr="00DD227A">
        <w:t xml:space="preserve">formes </w:t>
      </w:r>
      <w:r w:rsidRPr="00DD227A">
        <w:t xml:space="preserve">de réunion </w:t>
      </w:r>
      <w:r w:rsidR="003673A8" w:rsidRPr="00DD227A">
        <w:t xml:space="preserve">internationales </w:t>
      </w:r>
      <w:r w:rsidRPr="00DD227A">
        <w:t>de haut niveau existant</w:t>
      </w:r>
      <w:r w:rsidR="003673A8" w:rsidRPr="00DD227A">
        <w:t>e</w:t>
      </w:r>
      <w:r w:rsidRPr="00DD227A">
        <w:t>s dans le domaine de la gouvernance mondiale du numérique dans son plan stratégique à moyen et long terme</w:t>
      </w:r>
      <w:r w:rsidR="00EE6985" w:rsidRPr="00DD227A">
        <w:t xml:space="preserve">. </w:t>
      </w:r>
      <w:r w:rsidRPr="00DD227A">
        <w:t>Nous recommandons en particulier</w:t>
      </w:r>
      <w:r w:rsidR="00EE6985" w:rsidRPr="00DD227A">
        <w:t>:</w:t>
      </w:r>
    </w:p>
    <w:p w14:paraId="78C441E3" w14:textId="577B1356" w:rsidR="00047B0E" w:rsidRPr="00DD227A" w:rsidRDefault="00DD227A" w:rsidP="00B5268B">
      <w:pPr>
        <w:pStyle w:val="enumlev1"/>
      </w:pPr>
      <w:r w:rsidRPr="00DD227A">
        <w:t>•</w:t>
      </w:r>
      <w:r w:rsidR="0076728F" w:rsidRPr="00DD227A">
        <w:tab/>
      </w:r>
      <w:r w:rsidR="00BF626B" w:rsidRPr="00DD227A">
        <w:t>d'e</w:t>
      </w:r>
      <w:r w:rsidR="00EE6985" w:rsidRPr="00DD227A">
        <w:t xml:space="preserve">nvisager </w:t>
      </w:r>
      <w:r w:rsidR="00BF626B" w:rsidRPr="00DD227A">
        <w:t>d'intégrer,</w:t>
      </w:r>
      <w:r w:rsidR="00EE6985" w:rsidRPr="00DD227A">
        <w:t xml:space="preserve"> dans les </w:t>
      </w:r>
      <w:r w:rsidR="007203ED">
        <w:t>"objectifs intersectoriels" du P</w:t>
      </w:r>
      <w:r w:rsidR="00EE6985" w:rsidRPr="00DD227A">
        <w:t>lan stratégique de l'UIT pour</w:t>
      </w:r>
      <w:r w:rsidR="003673A8" w:rsidRPr="00DD227A">
        <w:t xml:space="preserve"> la période</w:t>
      </w:r>
      <w:r w:rsidR="00EE6985" w:rsidRPr="00DD227A">
        <w:t xml:space="preserve"> 2024-2027</w:t>
      </w:r>
      <w:r w:rsidR="007E2007" w:rsidRPr="00DD227A">
        <w:t>, la nécessité de tirer parti des</w:t>
      </w:r>
      <w:r w:rsidR="003673A8" w:rsidRPr="00DD227A">
        <w:t xml:space="preserve"> plates-formes </w:t>
      </w:r>
      <w:r w:rsidR="00EE6985" w:rsidRPr="00DD227A">
        <w:t xml:space="preserve">de réunion </w:t>
      </w:r>
      <w:r w:rsidR="003673A8" w:rsidRPr="00DD227A">
        <w:t xml:space="preserve">internationales </w:t>
      </w:r>
      <w:r w:rsidR="00EE6985" w:rsidRPr="00DD227A">
        <w:t>de haut niveau existant</w:t>
      </w:r>
      <w:r w:rsidR="003673A8" w:rsidRPr="00DD227A">
        <w:t>e</w:t>
      </w:r>
      <w:r w:rsidR="00EE6985" w:rsidRPr="00DD227A">
        <w:t>s</w:t>
      </w:r>
      <w:r w:rsidR="007E2007" w:rsidRPr="00DD227A">
        <w:t xml:space="preserve">, afin de </w:t>
      </w:r>
      <w:r w:rsidR="00EE6985" w:rsidRPr="00DD227A">
        <w:t>promouvoir un consensus sur la gouvernance</w:t>
      </w:r>
      <w:r w:rsidR="00B5268B" w:rsidRPr="00DD227A">
        <w:t xml:space="preserve"> </w:t>
      </w:r>
      <w:r w:rsidR="007E2007" w:rsidRPr="00DD227A">
        <w:t xml:space="preserve">du </w:t>
      </w:r>
      <w:r w:rsidR="00EE6985" w:rsidRPr="00DD227A">
        <w:t>numérique</w:t>
      </w:r>
      <w:r w:rsidR="007E2007" w:rsidRPr="00DD227A">
        <w:t xml:space="preserve"> au niveau mondial</w:t>
      </w:r>
      <w:r w:rsidR="0076728F" w:rsidRPr="00DD227A">
        <w:t>;</w:t>
      </w:r>
    </w:p>
    <w:p w14:paraId="1C20A651" w14:textId="6D5FEDDF" w:rsidR="00047B0E" w:rsidRPr="00DD227A" w:rsidRDefault="00DD227A" w:rsidP="00B5268B">
      <w:pPr>
        <w:pStyle w:val="enumlev1"/>
      </w:pPr>
      <w:r w:rsidRPr="00DD227A">
        <w:t>•</w:t>
      </w:r>
      <w:r w:rsidR="0076728F" w:rsidRPr="00DD227A">
        <w:tab/>
      </w:r>
      <w:r w:rsidR="007E2007" w:rsidRPr="00DD227A">
        <w:t xml:space="preserve">de </w:t>
      </w:r>
      <w:r w:rsidR="003673A8" w:rsidRPr="00DD227A">
        <w:t xml:space="preserve">favoriser </w:t>
      </w:r>
      <w:r w:rsidR="00EE6985" w:rsidRPr="00DD227A">
        <w:t>un consensus mondial sur la gouvernance</w:t>
      </w:r>
      <w:r w:rsidR="007E2007" w:rsidRPr="00DD227A">
        <w:t xml:space="preserve"> du</w:t>
      </w:r>
      <w:r w:rsidR="00EE6985" w:rsidRPr="00DD227A">
        <w:t xml:space="preserve"> numérique dans des domaines tels que la gouvernance de l'intelligence artificielle, la fracture numérique et la sécurité numérique </w:t>
      </w:r>
      <w:r w:rsidR="007E2007" w:rsidRPr="00DD227A">
        <w:t xml:space="preserve">au moyen des plates-formes de </w:t>
      </w:r>
      <w:r w:rsidR="00EE6985" w:rsidRPr="00DD227A">
        <w:t xml:space="preserve">réunion internationales de haut niveau existantes, et </w:t>
      </w:r>
      <w:r w:rsidR="007E2007" w:rsidRPr="00DD227A">
        <w:t>d'</w:t>
      </w:r>
      <w:r w:rsidR="00EE6985" w:rsidRPr="00DD227A">
        <w:t xml:space="preserve">élaborer des cadres </w:t>
      </w:r>
      <w:r w:rsidR="007E2007" w:rsidRPr="00DD227A">
        <w:t xml:space="preserve">pour la </w:t>
      </w:r>
      <w:r w:rsidR="00EE6985" w:rsidRPr="00DD227A">
        <w:t xml:space="preserve">recherche sur la gouvernance </w:t>
      </w:r>
      <w:r w:rsidR="003673A8" w:rsidRPr="00DD227A">
        <w:t xml:space="preserve">du </w:t>
      </w:r>
      <w:r w:rsidR="00EE6985" w:rsidRPr="00DD227A">
        <w:t>numérique</w:t>
      </w:r>
      <w:r w:rsidR="007E2007" w:rsidRPr="00DD227A">
        <w:t>,</w:t>
      </w:r>
      <w:r w:rsidR="00EE6985" w:rsidRPr="00DD227A">
        <w:t xml:space="preserve"> sur la base d'un consensus mondial, notamment un cadre de développement, un cadre </w:t>
      </w:r>
      <w:r w:rsidR="007E2007" w:rsidRPr="00DD227A">
        <w:t>de comptabilité</w:t>
      </w:r>
      <w:r w:rsidR="00EE6985" w:rsidRPr="00DD227A">
        <w:t>, un cadre statistique et un cadre de suivi, etc.</w:t>
      </w:r>
      <w:r w:rsidR="0076728F" w:rsidRPr="00DD227A">
        <w:t>;</w:t>
      </w:r>
    </w:p>
    <w:p w14:paraId="326B8AC4" w14:textId="6049CFE7" w:rsidR="00047B0E" w:rsidRPr="00DD227A" w:rsidRDefault="00DD227A" w:rsidP="00B5268B">
      <w:pPr>
        <w:pStyle w:val="enumlev1"/>
      </w:pPr>
      <w:r w:rsidRPr="00DD227A">
        <w:t>•</w:t>
      </w:r>
      <w:r w:rsidR="0076728F" w:rsidRPr="00DD227A">
        <w:tab/>
      </w:r>
      <w:r w:rsidR="007E2007" w:rsidRPr="00DD227A">
        <w:t>d'e</w:t>
      </w:r>
      <w:r w:rsidR="00EE6985" w:rsidRPr="00DD227A">
        <w:t xml:space="preserve">ncourager l'UIT à publier des rapports de recherche annuels sur la gouvernance </w:t>
      </w:r>
      <w:r w:rsidR="007E2007" w:rsidRPr="00DD227A">
        <w:t xml:space="preserve">mondiale du </w:t>
      </w:r>
      <w:r w:rsidR="00EE6985" w:rsidRPr="00DD227A">
        <w:t>numérique.</w:t>
      </w:r>
    </w:p>
    <w:p w14:paraId="3C4E45D4" w14:textId="77777777" w:rsidR="00047B0E" w:rsidRPr="00DD227A" w:rsidRDefault="00EE6985" w:rsidP="0076728F">
      <w:pPr>
        <w:spacing w:before="360"/>
        <w:jc w:val="center"/>
      </w:pPr>
      <w:r w:rsidRPr="00DD227A">
        <w:t>______________</w:t>
      </w:r>
    </w:p>
    <w:sectPr w:rsidR="00047B0E" w:rsidRPr="00DD227A">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4414" w14:textId="77777777" w:rsidR="00EE6985" w:rsidRDefault="00EE6985">
      <w:r>
        <w:separator/>
      </w:r>
    </w:p>
  </w:endnote>
  <w:endnote w:type="continuationSeparator" w:id="0">
    <w:p w14:paraId="35C58443" w14:textId="77777777" w:rsidR="00EE6985" w:rsidRDefault="00E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805" w14:textId="0B08DC70" w:rsidR="00047B0E" w:rsidRDefault="00407EB1">
    <w:pPr>
      <w:pStyle w:val="Footer"/>
    </w:pPr>
    <w:fldSimple w:instr=" FILENAME \p \* MERGEFORMAT ">
      <w:r w:rsidR="00433A46">
        <w:rPr>
          <w:noProof/>
        </w:rPr>
        <w:t>P:\FRA\SG\CONSEIL\CWG-SFP\CWG-SFP1\000\009F.docx</w:t>
      </w:r>
    </w:fldSimple>
    <w:r w:rsidR="00EE6985">
      <w:t xml:space="preserve"> </w:t>
    </w:r>
    <w:r w:rsidR="00EE6985">
      <w:fldChar w:fldCharType="begin"/>
    </w:r>
    <w:r w:rsidR="00EE6985">
      <w:instrText xml:space="preserve"> savedate \@ dd.MM.yy </w:instrText>
    </w:r>
    <w:r w:rsidR="00EE6985">
      <w:fldChar w:fldCharType="separate"/>
    </w:r>
    <w:r w:rsidR="00ED0103">
      <w:rPr>
        <w:noProof/>
      </w:rPr>
      <w:t>17.09.21</w:t>
    </w:r>
    <w:r w:rsidR="00EE6985">
      <w:fldChar w:fldCharType="end"/>
    </w:r>
    <w:r w:rsidR="00EE6985">
      <w:t xml:space="preserve"> </w:t>
    </w:r>
    <w:r w:rsidR="00EE6985">
      <w:fldChar w:fldCharType="begin"/>
    </w:r>
    <w:r w:rsidR="00EE6985">
      <w:instrText xml:space="preserve"> printdate \@ dd.MM.yy </w:instrText>
    </w:r>
    <w:r w:rsidR="00EE6985">
      <w:fldChar w:fldCharType="separate"/>
    </w:r>
    <w:r w:rsidR="00433A46">
      <w:rPr>
        <w:noProof/>
      </w:rPr>
      <w:t>18.07.00</w:t>
    </w:r>
    <w:r w:rsidR="00EE698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1F4A" w14:textId="7C424819" w:rsidR="00047B0E" w:rsidRPr="00ED0103" w:rsidRDefault="00407EB1">
    <w:pPr>
      <w:pStyle w:val="Footer"/>
      <w:rPr>
        <w:color w:val="F2F2F2" w:themeColor="background1" w:themeShade="F2"/>
      </w:rPr>
    </w:pPr>
    <w:r w:rsidRPr="00ED0103">
      <w:rPr>
        <w:color w:val="F2F2F2" w:themeColor="background1" w:themeShade="F2"/>
      </w:rPr>
      <w:fldChar w:fldCharType="begin"/>
    </w:r>
    <w:r w:rsidRPr="00ED0103">
      <w:rPr>
        <w:color w:val="F2F2F2" w:themeColor="background1" w:themeShade="F2"/>
      </w:rPr>
      <w:instrText xml:space="preserve"> FILENAME \p \* MERGEFORMAT </w:instrText>
    </w:r>
    <w:r w:rsidRPr="00ED0103">
      <w:rPr>
        <w:color w:val="F2F2F2" w:themeColor="background1" w:themeShade="F2"/>
      </w:rPr>
      <w:fldChar w:fldCharType="separate"/>
    </w:r>
    <w:r w:rsidR="00433A46" w:rsidRPr="00ED0103">
      <w:rPr>
        <w:noProof/>
        <w:color w:val="F2F2F2" w:themeColor="background1" w:themeShade="F2"/>
      </w:rPr>
      <w:t>P:\FRA\SG\CONSEIL\CWG-SFP\CWG-SFP1\000\009F.docx</w:t>
    </w:r>
    <w:r w:rsidRPr="00ED0103">
      <w:rPr>
        <w:noProof/>
        <w:color w:val="F2F2F2" w:themeColor="background1" w:themeShade="F2"/>
      </w:rPr>
      <w:fldChar w:fldCharType="end"/>
    </w:r>
    <w:r w:rsidR="00EE6985" w:rsidRPr="00ED0103">
      <w:rPr>
        <w:color w:val="F2F2F2" w:themeColor="background1" w:themeShade="F2"/>
      </w:rPr>
      <w:t xml:space="preserve"> (494357)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758" w14:textId="77777777" w:rsidR="00047B0E" w:rsidRDefault="00EE698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91DE" w14:textId="77777777" w:rsidR="00EE6985" w:rsidRDefault="00EE6985">
      <w:r>
        <w:t>____________________</w:t>
      </w:r>
    </w:p>
  </w:footnote>
  <w:footnote w:type="continuationSeparator" w:id="0">
    <w:p w14:paraId="6A2F90AA" w14:textId="77777777" w:rsidR="00EE6985" w:rsidRDefault="00EE6985">
      <w:r>
        <w:continuationSeparator/>
      </w:r>
    </w:p>
  </w:footnote>
  <w:footnote w:id="1">
    <w:p w14:paraId="12BFDDF4" w14:textId="24F7AE1F" w:rsidR="00AB5793" w:rsidRPr="007203ED" w:rsidRDefault="00AB5793" w:rsidP="00B5268B">
      <w:pPr>
        <w:pStyle w:val="FootnoteText"/>
      </w:pPr>
      <w:r>
        <w:rPr>
          <w:rStyle w:val="FootnoteReference"/>
        </w:rPr>
        <w:footnoteRef/>
      </w:r>
      <w:r w:rsidR="00B5268B">
        <w:tab/>
      </w:r>
      <w:r>
        <w:t>On trouvera des renseignements détaillés sur le site web officiel de l'UIT</w:t>
      </w:r>
      <w:r w:rsidR="000E741E">
        <w:t xml:space="preserve"> à l'adresse: </w:t>
      </w:r>
      <w:hyperlink r:id="rId1" w:history="1">
        <w:r w:rsidR="007203ED">
          <w:rPr>
            <w:rStyle w:val="Hyperlink"/>
          </w:rPr>
          <w:t>https://www.itu.int/zh/action/Pages/default.aspx</w:t>
        </w:r>
      </w:hyperlink>
      <w:r w:rsidR="000E741E">
        <w:t>.</w:t>
      </w:r>
      <w:r w:rsidR="007203ED" w:rsidRPr="007203ED">
        <w:rPr>
          <w:rFonts w:ascii="Times New Roman" w:eastAsia="SimSun" w:hAnsi="Times New Roman" w:cstheme="minorBidi"/>
          <w:sz w:val="18"/>
          <w:szCs w:val="18"/>
        </w:rPr>
        <w:t xml:space="preserve"> </w:t>
      </w:r>
    </w:p>
  </w:footnote>
  <w:footnote w:id="2">
    <w:p w14:paraId="4A4A3DAD" w14:textId="1244E8BE" w:rsidR="00AB5793" w:rsidRDefault="00AB5793" w:rsidP="00B5268B">
      <w:pPr>
        <w:pStyle w:val="FootnoteText"/>
        <w:tabs>
          <w:tab w:val="clear" w:pos="1134"/>
          <w:tab w:val="clear" w:pos="1701"/>
          <w:tab w:val="clear" w:pos="2268"/>
          <w:tab w:val="clear" w:pos="2835"/>
        </w:tabs>
      </w:pPr>
      <w:r>
        <w:rPr>
          <w:rStyle w:val="FootnoteReference"/>
        </w:rPr>
        <w:footnoteRef/>
      </w:r>
      <w:r w:rsidR="00334EFA">
        <w:tab/>
        <w:t xml:space="preserve">Voir l'édition de 2020 du Colloque mondial des régulateurs (GSR), Lignes directrices relatives aux bonnes pratiques </w:t>
      </w:r>
      <w:r w:rsidR="00B5268B">
        <w:t>–</w:t>
      </w:r>
      <w:r w:rsidR="00334EFA">
        <w:t xml:space="preserve"> </w:t>
      </w:r>
      <w:r w:rsidR="00334EFA" w:rsidRPr="00334EFA">
        <w:t>Le modèle de référence en matière de réglementation du numérique</w:t>
      </w:r>
      <w:r w:rsidR="00334EFA">
        <w:t xml:space="preserve">. </w:t>
      </w:r>
      <w:hyperlink r:id="rId2" w:history="1">
        <w:r w:rsidR="00334EFA" w:rsidRPr="00E2029E">
          <w:rPr>
            <w:rStyle w:val="Hyperlink"/>
          </w:rPr>
          <w:t>https://www.itu.int/en/ITU-D/Conferences/GSR/2020/Documents/GSR-20_Best-Practice-Guidelines_Final_F.pdf</w:t>
        </w:r>
      </w:hyperlink>
      <w:r w:rsidR="00334EFA">
        <w:t>.</w:t>
      </w:r>
    </w:p>
  </w:footnote>
  <w:footnote w:id="3">
    <w:p w14:paraId="5A982D11" w14:textId="61F07A04" w:rsidR="00FA7C2B" w:rsidRDefault="00FA7C2B" w:rsidP="00B5268B">
      <w:pPr>
        <w:pStyle w:val="FootnoteText"/>
      </w:pPr>
      <w:r>
        <w:rPr>
          <w:rStyle w:val="FootnoteReference"/>
        </w:rPr>
        <w:footnoteRef/>
      </w:r>
      <w:r w:rsidR="00B5268B">
        <w:tab/>
      </w:r>
      <w:r>
        <w:t>L'Organisation mondiale du commerce (OMC) a</w:t>
      </w:r>
      <w:r w:rsidR="00B5268B">
        <w:t xml:space="preserve"> </w:t>
      </w:r>
      <w:r w:rsidR="003923C9">
        <w:t>fait figurer</w:t>
      </w:r>
      <w:r>
        <w:t xml:space="preserve"> les questions commerciales liées au numérique dans ses règles applicables au commerce de services. Elle a par la suite lancé un processus de négociation distinct pour les aspects du commerce électronique liés au commerce; le Fonds monétaire international (FMI) a publié des travaux de recherche sur des questions telles que les </w:t>
      </w:r>
      <w:r w:rsidR="003923C9">
        <w:t xml:space="preserve">monnaies </w:t>
      </w:r>
      <w:r>
        <w:t xml:space="preserve">numériques et les paiements transfrontières; et la Banque mondiale a entamé des </w:t>
      </w:r>
      <w:r w:rsidR="0044268B">
        <w:t>travaux sur le financement aux fins du développement de l'infrastructure numérique.</w:t>
      </w:r>
    </w:p>
  </w:footnote>
  <w:footnote w:id="4">
    <w:p w14:paraId="736D3C38" w14:textId="21868FFC" w:rsidR="0044268B" w:rsidRDefault="0044268B" w:rsidP="00B5268B">
      <w:pPr>
        <w:pStyle w:val="FootnoteText"/>
      </w:pPr>
      <w:r>
        <w:rPr>
          <w:rStyle w:val="FootnoteReference"/>
        </w:rPr>
        <w:footnoteRef/>
      </w:r>
      <w:r w:rsidR="00B5268B">
        <w:tab/>
      </w:r>
      <w:r>
        <w:t xml:space="preserve">Les accords </w:t>
      </w:r>
      <w:r w:rsidR="003923C9">
        <w:t>géants</w:t>
      </w:r>
      <w:r w:rsidR="00B5268B">
        <w:t xml:space="preserve"> </w:t>
      </w:r>
      <w:r>
        <w:t xml:space="preserve">de libre-échange auxquels il est fait référence comprennent notamment, mais non exclusivement, la signature et l'entrée en vigueur de l'Accord de partenariat </w:t>
      </w:r>
      <w:r w:rsidR="003923C9">
        <w:t>transpacifique</w:t>
      </w:r>
      <w:r>
        <w:t>/l'Accord de partenariat transpacifique global et progressiste (PTPGP),</w:t>
      </w:r>
      <w:r w:rsidR="00B5268B">
        <w:t xml:space="preserve"> </w:t>
      </w:r>
      <w:r>
        <w:t>l'Accord</w:t>
      </w:r>
      <w:r w:rsidR="00B5268B">
        <w:t xml:space="preserve"> </w:t>
      </w:r>
      <w:r w:rsidR="003923C9">
        <w:t>commercial</w:t>
      </w:r>
      <w:r>
        <w:t xml:space="preserve"> entre les États-Unis et le Japon et de l'Accord </w:t>
      </w:r>
      <w:r w:rsidR="003923C9">
        <w:t>commercial</w:t>
      </w:r>
      <w:r w:rsidR="003923C9" w:rsidDel="003923C9">
        <w:t xml:space="preserve"> </w:t>
      </w:r>
      <w:r w:rsidR="003923C9">
        <w:t xml:space="preserve">sur le </w:t>
      </w:r>
      <w:r>
        <w:t xml:space="preserve">numérique entre les États-Unis et le Japon, de l'Accord de partenariat économique </w:t>
      </w:r>
      <w:r w:rsidR="003923C9">
        <w:t>UE</w:t>
      </w:r>
      <w:r>
        <w:t>-Japon, de la Première phase d</w:t>
      </w:r>
      <w:r w:rsidR="004F74FA">
        <w:t>e l'Accord économique et commercial Chine-États-Unis</w:t>
      </w:r>
      <w:r w:rsidR="00B5268B">
        <w:t xml:space="preserve"> </w:t>
      </w:r>
      <w:r w:rsidR="004F74FA">
        <w:t>et du Partenariat régional économique global (RCEP,</w:t>
      </w:r>
      <w:r w:rsidR="00B5268B">
        <w:t xml:space="preserve"> </w:t>
      </w:r>
      <w:r w:rsidR="004F74FA">
        <w:t>actuellement en cours de signature</w:t>
      </w:r>
      <w:r w:rsidR="00B5268B">
        <w:t>,</w:t>
      </w:r>
      <w:r w:rsidR="003923C9">
        <w:t xml:space="preserve"> qui </w:t>
      </w:r>
      <w:r w:rsidR="004F74FA">
        <w:t>entrera en vigueur en 2022), ainsi que le processus de négociation en cours concernant l'Accord global d'investissement Chine-UE et l'Accord de libre-échange Chine-Japon-Corée du Sud.</w:t>
      </w:r>
    </w:p>
  </w:footnote>
  <w:footnote w:id="5">
    <w:p w14:paraId="7894AF83" w14:textId="5A845912" w:rsidR="004F74FA" w:rsidRPr="004F74FA" w:rsidRDefault="004F74FA" w:rsidP="00B5268B">
      <w:pPr>
        <w:pStyle w:val="FootnoteText"/>
        <w:rPr>
          <w:lang w:val="en-US"/>
        </w:rPr>
      </w:pPr>
      <w:r>
        <w:rPr>
          <w:rStyle w:val="FootnoteReference"/>
        </w:rPr>
        <w:footnoteRef/>
      </w:r>
      <w:r w:rsidR="0076728F">
        <w:rPr>
          <w:lang w:val="en-US"/>
        </w:rPr>
        <w:tab/>
      </w:r>
      <w:r w:rsidRPr="004F74FA">
        <w:rPr>
          <w:lang w:val="en-US"/>
        </w:rPr>
        <w:t>Xinhuanet: "Xi Jinping meets jointly w</w:t>
      </w:r>
      <w:r>
        <w:rPr>
          <w:lang w:val="en-US"/>
        </w:rPr>
        <w:t xml:space="preserve">ith German and EU leaders", 15 </w:t>
      </w:r>
      <w:proofErr w:type="spellStart"/>
      <w:r>
        <w:rPr>
          <w:lang w:val="en-US"/>
        </w:rPr>
        <w:t>septembre</w:t>
      </w:r>
      <w:proofErr w:type="spellEnd"/>
      <w:r>
        <w:rPr>
          <w:lang w:val="en-US"/>
        </w:rPr>
        <w:t xml:space="preserve"> 2020, </w:t>
      </w:r>
      <w:hyperlink r:id="rId3" w:history="1">
        <w:r w:rsidRPr="00E2029E">
          <w:rPr>
            <w:rStyle w:val="Hyperlink"/>
            <w:lang w:val="en-US"/>
          </w:rPr>
          <w:t>http://www.xinhuanet.com/politics/leaders/2020-09/15/c_1126493059.htm</w:t>
        </w:r>
      </w:hyperlink>
      <w:r w:rsidRPr="004F74FA">
        <w:rPr>
          <w:lang w:val="en-US"/>
        </w:rPr>
        <w:t>.</w:t>
      </w:r>
    </w:p>
  </w:footnote>
  <w:footnote w:id="6">
    <w:p w14:paraId="03E4A06C" w14:textId="14A7AC89" w:rsidR="004F74FA" w:rsidRPr="004F74FA" w:rsidRDefault="004F74FA" w:rsidP="00B5268B">
      <w:pPr>
        <w:pStyle w:val="FootnoteText"/>
      </w:pPr>
      <w:r>
        <w:rPr>
          <w:rStyle w:val="FootnoteReference"/>
        </w:rPr>
        <w:footnoteRef/>
      </w:r>
      <w:r w:rsidR="0076728F">
        <w:tab/>
      </w:r>
      <w:r w:rsidRPr="004F74FA">
        <w:t>Les buts stratégiques de l'UIT pour la période 2020-2023 sont les suivants: But 1 – Croissance</w:t>
      </w:r>
      <w:r>
        <w:t xml:space="preserve">: </w:t>
      </w:r>
      <w:r w:rsidRPr="004F74FA">
        <w:t>Permettre et encourager l'accès aux télécommunications/TIC et leur utilisation accrue à l'appui de l'économie et de la société numériques; But 2 – Inclusion</w:t>
      </w:r>
      <w:r>
        <w:t xml:space="preserve">: </w:t>
      </w:r>
      <w:r w:rsidRPr="004F74FA">
        <w:t>Réduire la fracture numérique et fournir à tout un chacun un accès au large bande; But 3 – Durabilité</w:t>
      </w:r>
      <w:r>
        <w:t xml:space="preserve">: </w:t>
      </w:r>
      <w:r w:rsidRPr="004F74FA">
        <w:t>Gérer les nouveaux risques, enjeux et perspectives résultant de l'essor rapide des télécommunications/TIC; But</w:t>
      </w:r>
      <w:r w:rsidR="0076728F">
        <w:t> </w:t>
      </w:r>
      <w:r w:rsidRPr="004F74FA">
        <w:t>4</w:t>
      </w:r>
      <w:r w:rsidR="0076728F">
        <w:t> </w:t>
      </w:r>
      <w:r w:rsidRPr="004F74FA">
        <w:t>–</w:t>
      </w:r>
      <w:r w:rsidR="0076728F">
        <w:t> </w:t>
      </w:r>
      <w:r w:rsidRPr="004F74FA">
        <w:t>Innovation</w:t>
      </w:r>
      <w:r>
        <w:t xml:space="preserve">: </w:t>
      </w:r>
      <w:r w:rsidRPr="004F74FA">
        <w:t>Permettre l'innovation dans le domaine des télécommunications/TIC pour appuyer la transformation numérique de la société; But 5 – Partenariats</w:t>
      </w:r>
      <w:r>
        <w:t xml:space="preserve">: </w:t>
      </w:r>
      <w:r w:rsidRPr="004F74FA">
        <w:t>Renforcer la coopération entre les membres de l'UIT et toutes les autres parties prenantes pour appuyer la réalisation de tous les buts stratégiques de l'UIT</w:t>
      </w:r>
      <w:r>
        <w:t>.</w:t>
      </w:r>
    </w:p>
  </w:footnote>
  <w:footnote w:id="7">
    <w:p w14:paraId="1AB00CED" w14:textId="4FA595E1" w:rsidR="003923C9" w:rsidRPr="00E43070" w:rsidRDefault="003923C9" w:rsidP="0076728F">
      <w:pPr>
        <w:pStyle w:val="FootnoteText"/>
        <w:rPr>
          <w:rFonts w:ascii="Times New Roman" w:eastAsia="SimSun" w:hAnsi="Times New Roman"/>
          <w:sz w:val="18"/>
          <w:szCs w:val="18"/>
        </w:rPr>
      </w:pPr>
      <w:r w:rsidRPr="00433A46">
        <w:rPr>
          <w:rStyle w:val="FootnoteReference"/>
          <w:rFonts w:asciiTheme="minorHAnsi" w:eastAsia="SimSun" w:hAnsiTheme="minorHAnsi"/>
          <w:szCs w:val="18"/>
        </w:rPr>
        <w:footnoteRef/>
      </w:r>
      <w:bookmarkStart w:id="23" w:name="lt_pId048"/>
      <w:r w:rsidR="0076728F">
        <w:rPr>
          <w:rFonts w:ascii="Times New Roman" w:eastAsia="SimSun" w:hAnsi="Times New Roman"/>
          <w:sz w:val="18"/>
          <w:szCs w:val="18"/>
          <w:lang w:val="fr-CH"/>
        </w:rPr>
        <w:tab/>
      </w:r>
      <w:r w:rsidRPr="0076728F">
        <w:rPr>
          <w:rFonts w:eastAsia="SimSun"/>
        </w:rPr>
        <w:t>Voir la partie "Objectifs intersectoriels", Section 2, "Cadre des résultats de l'UIT" de l'Annexe 1 de la Résolution 71 (Rév. Dubaï, 2018) de la Conféren</w:t>
      </w:r>
      <w:r w:rsidR="00065F75">
        <w:rPr>
          <w:rFonts w:eastAsia="SimSun"/>
        </w:rPr>
        <w:t>ce de plénipotentiaires sur le P</w:t>
      </w:r>
      <w:r w:rsidRPr="0076728F">
        <w:rPr>
          <w:rFonts w:eastAsia="SimSun"/>
        </w:rPr>
        <w:t>lan stratégique de l'UIT pour la période 2020-2023.</w:t>
      </w:r>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BF81" w14:textId="77777777" w:rsidR="00047B0E" w:rsidRDefault="00EE6985">
    <w:pPr>
      <w:pStyle w:val="Header"/>
    </w:pPr>
    <w:r>
      <w:t xml:space="preserve">- </w:t>
    </w:r>
    <w:r>
      <w:fldChar w:fldCharType="begin"/>
    </w:r>
    <w:r>
      <w:instrText>PAGE</w:instrText>
    </w:r>
    <w:r>
      <w:fldChar w:fldCharType="separate"/>
    </w:r>
    <w:r>
      <w:t>2</w:t>
    </w:r>
    <w:r>
      <w:fldChar w:fldCharType="end"/>
    </w:r>
    <w:r>
      <w:t xml:space="preserve"> -</w:t>
    </w:r>
  </w:p>
  <w:p w14:paraId="70EB85B6" w14:textId="77777777" w:rsidR="00047B0E" w:rsidRDefault="00EE698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A8D9" w14:textId="285911B9" w:rsidR="00047B0E" w:rsidRDefault="00EE6985">
    <w:pPr>
      <w:pStyle w:val="Header"/>
    </w:pPr>
    <w:r>
      <w:fldChar w:fldCharType="begin"/>
    </w:r>
    <w:r>
      <w:instrText>PAGE</w:instrText>
    </w:r>
    <w:r>
      <w:fldChar w:fldCharType="separate"/>
    </w:r>
    <w:r w:rsidR="00407EB1">
      <w:rPr>
        <w:noProof/>
      </w:rPr>
      <w:t>3</w:t>
    </w:r>
    <w:r>
      <w:fldChar w:fldCharType="end"/>
    </w:r>
  </w:p>
  <w:p w14:paraId="0C4B536B" w14:textId="402B267F" w:rsidR="00047B0E" w:rsidRDefault="00EE6985">
    <w:pPr>
      <w:pStyle w:val="Header"/>
    </w:pPr>
    <w:r>
      <w:t>CWG-SFP-1\9-F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7F731-631A-406C-A9C5-586DA0FB5C3B}"/>
    <w:docVar w:name="dgnword-eventsink" w:val="2423155869584"/>
  </w:docVars>
  <w:rsids>
    <w:rsidRoot w:val="00047B0E"/>
    <w:rsid w:val="00047B0E"/>
    <w:rsid w:val="00065F75"/>
    <w:rsid w:val="000E741E"/>
    <w:rsid w:val="002143F4"/>
    <w:rsid w:val="00293B9D"/>
    <w:rsid w:val="002E5278"/>
    <w:rsid w:val="00334EFA"/>
    <w:rsid w:val="00350BCB"/>
    <w:rsid w:val="003673A8"/>
    <w:rsid w:val="003923C9"/>
    <w:rsid w:val="003D7D8D"/>
    <w:rsid w:val="00407EB1"/>
    <w:rsid w:val="00433A46"/>
    <w:rsid w:val="0044268B"/>
    <w:rsid w:val="004659B4"/>
    <w:rsid w:val="004A4402"/>
    <w:rsid w:val="004F74FA"/>
    <w:rsid w:val="005C55E7"/>
    <w:rsid w:val="007203ED"/>
    <w:rsid w:val="0073652A"/>
    <w:rsid w:val="0076728F"/>
    <w:rsid w:val="007E2007"/>
    <w:rsid w:val="008729F3"/>
    <w:rsid w:val="008D4CF3"/>
    <w:rsid w:val="009A77E6"/>
    <w:rsid w:val="00A30CB1"/>
    <w:rsid w:val="00AB5793"/>
    <w:rsid w:val="00B5268B"/>
    <w:rsid w:val="00B91878"/>
    <w:rsid w:val="00BF626B"/>
    <w:rsid w:val="00C75611"/>
    <w:rsid w:val="00D24620"/>
    <w:rsid w:val="00DD227A"/>
    <w:rsid w:val="00DD350D"/>
    <w:rsid w:val="00DD6326"/>
    <w:rsid w:val="00ED0103"/>
    <w:rsid w:val="00ED26B1"/>
    <w:rsid w:val="00EE6985"/>
    <w:rsid w:val="00FA7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DFBAB1"/>
  <w15:docId w15:val="{8D25C395-D7D2-4DFD-9DDF-6F5F484D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3923C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0622">
      <w:bodyDiv w:val="1"/>
      <w:marLeft w:val="0"/>
      <w:marRight w:val="0"/>
      <w:marTop w:val="0"/>
      <w:marBottom w:val="0"/>
      <w:divBdr>
        <w:top w:val="none" w:sz="0" w:space="0" w:color="auto"/>
        <w:left w:val="none" w:sz="0" w:space="0" w:color="auto"/>
        <w:bottom w:val="none" w:sz="0" w:space="0" w:color="auto"/>
        <w:right w:val="none" w:sz="0" w:space="0" w:color="auto"/>
      </w:divBdr>
      <w:divsChild>
        <w:div w:id="1528366752">
          <w:marLeft w:val="75"/>
          <w:marRight w:val="75"/>
          <w:marTop w:val="0"/>
          <w:marBottom w:val="75"/>
          <w:divBdr>
            <w:top w:val="none" w:sz="0" w:space="0" w:color="auto"/>
            <w:left w:val="none" w:sz="0" w:space="0" w:color="auto"/>
            <w:bottom w:val="none" w:sz="0" w:space="0" w:color="auto"/>
            <w:right w:val="none" w:sz="0" w:space="0" w:color="auto"/>
          </w:divBdr>
          <w:divsChild>
            <w:div w:id="1926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xinhuanet.com/politics/leaders/2020-09/15/c_1126493059.htm" TargetMode="External"/><Relationship Id="rId2" Type="http://schemas.openxmlformats.org/officeDocument/2006/relationships/hyperlink" Target="https://www.itu.int/en/ITU-D/Conferences/GSR/2020/Documents/GSR-20_Best-Practice-Guidelines_Final_F.pdf" TargetMode="External"/><Relationship Id="rId1" Type="http://schemas.openxmlformats.org/officeDocument/2006/relationships/hyperlink" Target="https://www.itu.int/fr/ac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5AA5-0E8A-4D59-8994-243C7FBD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4</Pages>
  <Words>1147</Words>
  <Characters>6733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populaire de Chine - Recommandations visant à tenir compte de la nécessité de tirer parti des plates-formes de réunion internationales de haut niveau existantes pour promouvoir un consensus mondial sur la gouvernance du numérique dans les objectifs intersectoriels du plan stratégique de l'UIT pour la période 2024-2027</dc:title>
  <dc:subject>Counciil Working Group for Strategic and Financial Plans 2024-2027</dc:subject>
  <dc:creator>French</dc:creator>
  <cp:keywords>CWG-SFP, CWG, CWGs &amp; EGs</cp:keywords>
  <dc:description/>
  <cp:lastModifiedBy>Xue, Kun</cp:lastModifiedBy>
  <cp:revision>2</cp:revision>
  <cp:lastPrinted>2000-07-18T08:55:00Z</cp:lastPrinted>
  <dcterms:created xsi:type="dcterms:W3CDTF">2021-09-17T14:56:00Z</dcterms:created>
  <dcterms:modified xsi:type="dcterms:W3CDTF">2021-09-17T14:56:00Z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