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1BA6AB20" w14:textId="77777777" w:rsidTr="003370ED">
        <w:trPr>
          <w:cantSplit/>
          <w:trHeight w:val="851"/>
        </w:trPr>
        <w:tc>
          <w:tcPr>
            <w:tcW w:w="6237" w:type="dxa"/>
            <w:vAlign w:val="center"/>
          </w:tcPr>
          <w:p w14:paraId="725EBB16" w14:textId="4C77810B" w:rsidR="00923A1B" w:rsidRPr="003370ED" w:rsidRDefault="00D412C7" w:rsidP="00D412C7">
            <w:pPr>
              <w:shd w:val="solid" w:color="FFFFFF" w:fill="FFFFFF"/>
              <w:spacing w:before="40" w:after="120"/>
              <w:rPr>
                <w:rFonts w:cs="Times"/>
                <w:b/>
                <w:sz w:val="30"/>
                <w:szCs w:val="30"/>
              </w:rPr>
            </w:pPr>
            <w:r w:rsidRPr="00D412C7">
              <w:rPr>
                <w:rFonts w:cs="Times"/>
                <w:b/>
                <w:sz w:val="30"/>
                <w:szCs w:val="30"/>
              </w:rPr>
              <w:t>Council Working Group for</w:t>
            </w:r>
            <w:r>
              <w:rPr>
                <w:rFonts w:cs="Times"/>
                <w:b/>
                <w:sz w:val="30"/>
                <w:szCs w:val="30"/>
              </w:rPr>
              <w:br/>
            </w:r>
            <w:r w:rsidRPr="00D412C7">
              <w:rPr>
                <w:rFonts w:cs="Times"/>
                <w:b/>
                <w:sz w:val="30"/>
                <w:szCs w:val="30"/>
              </w:rPr>
              <w:t>Strategic and Financial Plans 2024-2027</w:t>
            </w:r>
            <w:r w:rsidR="003370ED">
              <w:rPr>
                <w:rFonts w:cs="Times"/>
                <w:b/>
                <w:sz w:val="30"/>
                <w:szCs w:val="30"/>
              </w:rPr>
              <w:br/>
            </w:r>
            <w:r>
              <w:rPr>
                <w:rFonts w:cs="Times New Roman Bold"/>
                <w:b/>
                <w:sz w:val="24"/>
              </w:rPr>
              <w:t>First meeting</w:t>
            </w:r>
            <w:r w:rsidRPr="001B506B">
              <w:rPr>
                <w:rFonts w:cs="Times New Roman Bold"/>
                <w:b/>
                <w:sz w:val="24"/>
              </w:rPr>
              <w:t xml:space="preserve"> </w:t>
            </w:r>
            <w:r w:rsidRPr="001B506B">
              <w:rPr>
                <w:rFonts w:eastAsia="Calibri" w:cs="Calibri"/>
                <w:b/>
                <w:color w:val="000000"/>
                <w:sz w:val="24"/>
              </w:rPr>
              <w:t>–</w:t>
            </w:r>
            <w:r w:rsidRPr="000F2E67">
              <w:rPr>
                <w:rFonts w:cs="Times New Roman Bold"/>
                <w:b/>
                <w:sz w:val="24"/>
              </w:rPr>
              <w:t xml:space="preserve"> </w:t>
            </w:r>
            <w:r>
              <w:rPr>
                <w:rFonts w:cs="Times New Roman Bold"/>
                <w:b/>
                <w:sz w:val="24"/>
              </w:rPr>
              <w:t>Virtual</w:t>
            </w:r>
            <w:r w:rsidRPr="000F2E67">
              <w:rPr>
                <w:rFonts w:cs="Times New Roman Bold"/>
                <w:b/>
                <w:sz w:val="24"/>
              </w:rPr>
              <w:t xml:space="preserve">, </w:t>
            </w:r>
            <w:r>
              <w:rPr>
                <w:rFonts w:cs="Times New Roman Bold"/>
                <w:b/>
                <w:sz w:val="24"/>
              </w:rPr>
              <w:t>29-30 September 2021</w:t>
            </w:r>
          </w:p>
        </w:tc>
        <w:tc>
          <w:tcPr>
            <w:tcW w:w="3600" w:type="dxa"/>
            <w:vAlign w:val="center"/>
          </w:tcPr>
          <w:p w14:paraId="373C3414" w14:textId="77777777" w:rsidR="00923A1B" w:rsidRDefault="00B36E39" w:rsidP="000950D1">
            <w:pPr>
              <w:pStyle w:val="dnum"/>
              <w:framePr w:hSpace="0" w:wrap="auto" w:vAnchor="margin" w:hAnchor="text" w:yAlign="inline"/>
              <w:spacing w:after="120"/>
            </w:pPr>
            <w:r>
              <w:rPr>
                <w:noProof/>
              </w:rPr>
              <w:drawing>
                <wp:inline distT="0" distB="0" distL="0" distR="0" wp14:anchorId="322B3A0D" wp14:editId="3F5ECE27">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2DE1D477" w14:textId="77777777" w:rsidTr="00D30768">
        <w:trPr>
          <w:cantSplit/>
          <w:trHeight w:val="138"/>
        </w:trPr>
        <w:tc>
          <w:tcPr>
            <w:tcW w:w="6237" w:type="dxa"/>
            <w:tcBorders>
              <w:top w:val="single" w:sz="12" w:space="0" w:color="auto"/>
            </w:tcBorders>
          </w:tcPr>
          <w:p w14:paraId="63FFA584" w14:textId="77777777" w:rsidR="00923A1B" w:rsidRDefault="00923A1B" w:rsidP="0025471D">
            <w:pPr>
              <w:shd w:val="solid" w:color="FFFFFF" w:fill="FFFFFF"/>
              <w:spacing w:after="0"/>
              <w:ind w:right="284"/>
            </w:pPr>
          </w:p>
        </w:tc>
        <w:tc>
          <w:tcPr>
            <w:tcW w:w="3600" w:type="dxa"/>
            <w:tcBorders>
              <w:top w:val="single" w:sz="12" w:space="0" w:color="auto"/>
            </w:tcBorders>
          </w:tcPr>
          <w:p w14:paraId="617DB050"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FB38F1" w14:paraId="38544AD0" w14:textId="77777777" w:rsidTr="00D30768">
        <w:trPr>
          <w:cantSplit/>
          <w:trHeight w:val="138"/>
        </w:trPr>
        <w:tc>
          <w:tcPr>
            <w:tcW w:w="6237" w:type="dxa"/>
          </w:tcPr>
          <w:p w14:paraId="4BA0A62E" w14:textId="77777777" w:rsidR="00923A1B" w:rsidRPr="002238C4" w:rsidRDefault="00923A1B" w:rsidP="0025471D">
            <w:pPr>
              <w:spacing w:after="0"/>
              <w:rPr>
                <w:b/>
                <w:bCs/>
                <w:sz w:val="24"/>
                <w:szCs w:val="24"/>
              </w:rPr>
            </w:pPr>
          </w:p>
        </w:tc>
        <w:tc>
          <w:tcPr>
            <w:tcW w:w="3600" w:type="dxa"/>
          </w:tcPr>
          <w:p w14:paraId="6D142174" w14:textId="6D1B2BDB" w:rsidR="00923A1B" w:rsidRPr="00FB38F1" w:rsidRDefault="00923A1B" w:rsidP="00877393">
            <w:pPr>
              <w:spacing w:after="0"/>
              <w:rPr>
                <w:b/>
                <w:bCs/>
                <w:sz w:val="24"/>
                <w:szCs w:val="24"/>
                <w:lang w:val="fr-CH"/>
              </w:rPr>
            </w:pPr>
            <w:r w:rsidRPr="00FB38F1">
              <w:rPr>
                <w:b/>
                <w:bCs/>
                <w:sz w:val="24"/>
                <w:szCs w:val="24"/>
                <w:lang w:val="fr-CH"/>
              </w:rPr>
              <w:t xml:space="preserve">Document </w:t>
            </w:r>
            <w:r w:rsidR="00D412C7" w:rsidRPr="00FB38F1">
              <w:rPr>
                <w:rFonts w:cs="Times New Roman Bold"/>
                <w:b/>
                <w:spacing w:val="-4"/>
                <w:sz w:val="24"/>
                <w:lang w:val="de-CH"/>
              </w:rPr>
              <w:t>CWG-SFP-1</w:t>
            </w:r>
            <w:r w:rsidR="00877393" w:rsidRPr="00FB38F1">
              <w:rPr>
                <w:b/>
                <w:bCs/>
                <w:sz w:val="24"/>
                <w:szCs w:val="24"/>
                <w:lang w:val="fr-CH"/>
              </w:rPr>
              <w:t>/</w:t>
            </w:r>
            <w:r w:rsidR="00FB38F1" w:rsidRPr="00FB38F1">
              <w:rPr>
                <w:rFonts w:hint="eastAsia"/>
                <w:b/>
                <w:bCs/>
                <w:sz w:val="24"/>
                <w:szCs w:val="24"/>
                <w:lang w:val="fr-CH"/>
              </w:rPr>
              <w:t>9</w:t>
            </w:r>
            <w:r w:rsidR="00877393" w:rsidRPr="00FB38F1">
              <w:rPr>
                <w:b/>
                <w:bCs/>
                <w:sz w:val="24"/>
                <w:szCs w:val="24"/>
                <w:lang w:val="fr-CH"/>
              </w:rPr>
              <w:t>-</w:t>
            </w:r>
            <w:r w:rsidR="00D30768" w:rsidRPr="00FB38F1">
              <w:rPr>
                <w:b/>
                <w:bCs/>
                <w:sz w:val="24"/>
                <w:szCs w:val="24"/>
                <w:lang w:val="fr-CH"/>
              </w:rPr>
              <w:t>E</w:t>
            </w:r>
          </w:p>
        </w:tc>
      </w:tr>
      <w:tr w:rsidR="00923A1B" w:rsidRPr="00FB38F1" w14:paraId="76706AA6" w14:textId="77777777" w:rsidTr="00D30768">
        <w:trPr>
          <w:cantSplit/>
          <w:trHeight w:val="138"/>
        </w:trPr>
        <w:tc>
          <w:tcPr>
            <w:tcW w:w="6237" w:type="dxa"/>
          </w:tcPr>
          <w:p w14:paraId="14C6E827" w14:textId="77777777" w:rsidR="00923A1B" w:rsidRPr="00FB38F1" w:rsidRDefault="00923A1B" w:rsidP="0025471D">
            <w:pPr>
              <w:shd w:val="solid" w:color="FFFFFF" w:fill="FFFFFF"/>
              <w:spacing w:after="0"/>
              <w:ind w:right="284"/>
              <w:rPr>
                <w:lang w:val="fr-CH"/>
              </w:rPr>
            </w:pPr>
          </w:p>
        </w:tc>
        <w:tc>
          <w:tcPr>
            <w:tcW w:w="3600" w:type="dxa"/>
          </w:tcPr>
          <w:p w14:paraId="2DC4EACC" w14:textId="48CC4972" w:rsidR="00923A1B" w:rsidRPr="00FB38F1" w:rsidRDefault="00FB38F1" w:rsidP="00877393">
            <w:pPr>
              <w:tabs>
                <w:tab w:val="left" w:pos="851"/>
              </w:tabs>
              <w:spacing w:after="0"/>
              <w:ind w:right="284"/>
              <w:rPr>
                <w:b/>
                <w:sz w:val="24"/>
                <w:szCs w:val="24"/>
              </w:rPr>
            </w:pPr>
            <w:r w:rsidRPr="00FB38F1">
              <w:rPr>
                <w:rFonts w:hint="eastAsia"/>
                <w:b/>
                <w:sz w:val="24"/>
                <w:szCs w:val="24"/>
              </w:rPr>
              <w:t>1</w:t>
            </w:r>
            <w:r w:rsidR="00971B4A">
              <w:rPr>
                <w:b/>
                <w:sz w:val="24"/>
                <w:szCs w:val="24"/>
              </w:rPr>
              <w:t>3</w:t>
            </w:r>
            <w:r w:rsidRPr="00FB38F1">
              <w:rPr>
                <w:b/>
                <w:sz w:val="24"/>
                <w:szCs w:val="24"/>
              </w:rPr>
              <w:t xml:space="preserve"> September </w:t>
            </w:r>
            <w:r w:rsidR="00923A1B" w:rsidRPr="00FB38F1">
              <w:rPr>
                <w:b/>
                <w:sz w:val="24"/>
                <w:szCs w:val="24"/>
              </w:rPr>
              <w:t>20</w:t>
            </w:r>
            <w:r w:rsidR="00877393" w:rsidRPr="00FB38F1">
              <w:rPr>
                <w:b/>
                <w:sz w:val="24"/>
                <w:szCs w:val="24"/>
              </w:rPr>
              <w:t>2</w:t>
            </w:r>
            <w:r w:rsidR="002C22D5" w:rsidRPr="00FB38F1">
              <w:rPr>
                <w:b/>
                <w:sz w:val="24"/>
                <w:szCs w:val="24"/>
              </w:rPr>
              <w:t>1</w:t>
            </w:r>
          </w:p>
        </w:tc>
      </w:tr>
      <w:tr w:rsidR="00923A1B" w:rsidRPr="00FB38F1" w14:paraId="6E76302A" w14:textId="77777777" w:rsidTr="00D30768">
        <w:trPr>
          <w:cantSplit/>
          <w:trHeight w:val="138"/>
        </w:trPr>
        <w:tc>
          <w:tcPr>
            <w:tcW w:w="6237" w:type="dxa"/>
          </w:tcPr>
          <w:p w14:paraId="51B85AA4" w14:textId="77777777" w:rsidR="00923A1B" w:rsidRPr="00FB38F1" w:rsidRDefault="00923A1B" w:rsidP="0025471D">
            <w:pPr>
              <w:shd w:val="solid" w:color="FFFFFF" w:fill="FFFFFF"/>
              <w:spacing w:after="0"/>
              <w:ind w:right="284"/>
            </w:pPr>
          </w:p>
        </w:tc>
        <w:tc>
          <w:tcPr>
            <w:tcW w:w="3600" w:type="dxa"/>
          </w:tcPr>
          <w:p w14:paraId="287A14A1" w14:textId="266124AC" w:rsidR="00923A1B" w:rsidRPr="00FB38F1" w:rsidRDefault="00D412C7" w:rsidP="0025471D">
            <w:pPr>
              <w:tabs>
                <w:tab w:val="left" w:pos="851"/>
              </w:tabs>
              <w:spacing w:after="0"/>
              <w:ind w:right="284"/>
              <w:rPr>
                <w:b/>
                <w:sz w:val="24"/>
                <w:szCs w:val="24"/>
              </w:rPr>
            </w:pPr>
            <w:r w:rsidRPr="00FB38F1">
              <w:rPr>
                <w:b/>
                <w:sz w:val="24"/>
                <w:szCs w:val="24"/>
              </w:rPr>
              <w:t>Original: English</w:t>
            </w:r>
          </w:p>
        </w:tc>
      </w:tr>
    </w:tbl>
    <w:p w14:paraId="4722A6A1" w14:textId="77777777" w:rsidR="000854C6" w:rsidRPr="00FB38F1" w:rsidRDefault="000854C6" w:rsidP="003370ED">
      <w:pPr>
        <w:tabs>
          <w:tab w:val="right" w:pos="8789"/>
        </w:tabs>
        <w:spacing w:before="120" w:line="240" w:lineRule="auto"/>
        <w:rPr>
          <w:sz w:val="24"/>
          <w:szCs w:val="24"/>
        </w:rPr>
      </w:pPr>
    </w:p>
    <w:p w14:paraId="175F5392" w14:textId="77777777" w:rsidR="00877393" w:rsidRPr="00FB38F1" w:rsidRDefault="00877393" w:rsidP="00FB38F1">
      <w:pPr>
        <w:spacing w:line="240" w:lineRule="auto"/>
        <w:rPr>
          <w:b/>
        </w:rPr>
      </w:pPr>
    </w:p>
    <w:p w14:paraId="3F15BCCA" w14:textId="77777777" w:rsidR="00877393" w:rsidRPr="00FB38F1" w:rsidRDefault="00877393" w:rsidP="00FB38F1">
      <w:pPr>
        <w:spacing w:line="240" w:lineRule="auto"/>
        <w:jc w:val="center"/>
        <w:rPr>
          <w:b/>
        </w:rPr>
      </w:pPr>
    </w:p>
    <w:p w14:paraId="3FF8666D" w14:textId="4D5F27AC" w:rsidR="00877393" w:rsidRPr="00FB38F1" w:rsidRDefault="00877393" w:rsidP="00FB38F1">
      <w:pPr>
        <w:spacing w:line="240" w:lineRule="auto"/>
        <w:jc w:val="center"/>
        <w:rPr>
          <w:b/>
          <w:sz w:val="28"/>
        </w:rPr>
      </w:pPr>
      <w:r w:rsidRPr="00FB38F1">
        <w:rPr>
          <w:b/>
          <w:sz w:val="28"/>
        </w:rPr>
        <w:t xml:space="preserve">Contribution by </w:t>
      </w:r>
      <w:r w:rsidR="00FB38F1" w:rsidRPr="00FB38F1">
        <w:rPr>
          <w:b/>
          <w:sz w:val="28"/>
        </w:rPr>
        <w:t>the People’s Republic of China</w:t>
      </w:r>
    </w:p>
    <w:p w14:paraId="01F658A1" w14:textId="35CB7CA5" w:rsidR="00877393" w:rsidRDefault="00FB38F1" w:rsidP="00FB38F1">
      <w:pPr>
        <w:spacing w:line="240" w:lineRule="auto"/>
        <w:jc w:val="center"/>
        <w:rPr>
          <w:bCs/>
          <w:sz w:val="28"/>
          <w:szCs w:val="28"/>
        </w:rPr>
      </w:pPr>
      <w:r w:rsidRPr="00FB38F1">
        <w:rPr>
          <w:bCs/>
          <w:sz w:val="28"/>
          <w:szCs w:val="28"/>
        </w:rPr>
        <w:t>RECOMMENDATIONS TO INCLUDE LEVERAGING EXISTING HIGH-LEVEL INTERNATIONAL MEETING PLATFORMS TO PROMOTE GLOBAL CONSENSUS ON DIGITAL GOVERNANCE IN THE INTER-SECTORAL OBJECTIVES OF ITU STRATEGIC PLAN FOR 2024-2027</w:t>
      </w:r>
    </w:p>
    <w:p w14:paraId="576AC8C2" w14:textId="77777777" w:rsidR="00FB38F1" w:rsidRPr="00FB38F1" w:rsidRDefault="00FB38F1" w:rsidP="00FB38F1">
      <w:pPr>
        <w:keepNext/>
        <w:keepLines/>
        <w:widowControl w:val="0"/>
        <w:spacing w:before="360" w:after="120" w:line="240" w:lineRule="auto"/>
        <w:jc w:val="both"/>
        <w:outlineLvl w:val="0"/>
        <w:rPr>
          <w:rFonts w:ascii="Calibri" w:eastAsia="仿宋" w:hAnsi="Calibri" w:cs="Calibri"/>
          <w:color w:val="2F5496"/>
          <w:sz w:val="24"/>
          <w:szCs w:val="24"/>
          <w:lang w:val="en-US"/>
        </w:rPr>
      </w:pPr>
      <w:r w:rsidRPr="00FB38F1">
        <w:rPr>
          <w:rFonts w:ascii="Calibri" w:eastAsia="仿宋" w:hAnsi="Calibri" w:cs="Calibri"/>
          <w:color w:val="2F5496"/>
          <w:sz w:val="24"/>
          <w:szCs w:val="24"/>
          <w:lang w:val="en-US"/>
        </w:rPr>
        <w:t>Background</w:t>
      </w:r>
    </w:p>
    <w:p w14:paraId="36A49511" w14:textId="77777777" w:rsidR="00FB38F1" w:rsidRPr="00FB38F1" w:rsidRDefault="00FB38F1" w:rsidP="00FB38F1">
      <w:pPr>
        <w:widowControl w:val="0"/>
        <w:spacing w:before="120" w:after="120" w:line="240" w:lineRule="auto"/>
        <w:jc w:val="both"/>
        <w:rPr>
          <w:rFonts w:ascii="Calibri" w:eastAsia="仿宋" w:hAnsi="Calibri" w:cs="Calibri"/>
          <w:kern w:val="2"/>
          <w:sz w:val="24"/>
          <w:szCs w:val="24"/>
          <w:lang w:val="en-US"/>
        </w:rPr>
      </w:pPr>
      <w:r w:rsidRPr="00FB38F1">
        <w:rPr>
          <w:rFonts w:ascii="Calibri" w:eastAsia="仿宋" w:hAnsi="Calibri" w:cs="Calibri"/>
          <w:kern w:val="2"/>
          <w:sz w:val="24"/>
          <w:szCs w:val="24"/>
          <w:lang w:val="en-US"/>
        </w:rPr>
        <w:t>In today's world, digital globalization has become an important symbol of the new round of globalization, however it also brings significant challenges. Digital divide, emerging technologies application, cybersecurity threats and a series of other issues need to be addressed urgently. Countries adopt different policies according to their national conditions, making policy coordination in global digital governance more difficult. The international community calls for a new global digital governance system. As the specialized agency of the United Nations for ICTs, ITU brings together various stakeholders representing governments, industry, academic institutions, and civil societies from all over the world to promote global consensus in digital governance and facilitate rules-making for global digital governance.</w:t>
      </w:r>
      <w:r w:rsidRPr="00FB38F1">
        <w:rPr>
          <w:rFonts w:ascii="Calibri" w:eastAsia="仿宋" w:hAnsi="Calibri" w:cs="Calibri" w:hint="eastAsia"/>
          <w:kern w:val="2"/>
          <w:sz w:val="24"/>
          <w:szCs w:val="24"/>
          <w:lang w:val="en-US"/>
        </w:rPr>
        <w:t xml:space="preserve"> </w:t>
      </w:r>
      <w:r w:rsidRPr="00FB38F1">
        <w:rPr>
          <w:rFonts w:ascii="Calibri" w:eastAsia="仿宋" w:hAnsi="Calibri" w:cs="Calibri"/>
          <w:kern w:val="2"/>
          <w:sz w:val="24"/>
          <w:szCs w:val="24"/>
          <w:lang w:val="en-US"/>
        </w:rPr>
        <w:t>ITU's key areas of action also cover cybersecurity, digital divide, emergency telecommunications, Internet policy and governance, and other important aspects of digital governance.</w:t>
      </w:r>
      <w:r w:rsidRPr="00FB38F1">
        <w:rPr>
          <w:rFonts w:ascii="Calibri" w:eastAsia="仿宋" w:hAnsi="Calibri" w:cs="Calibri"/>
          <w:kern w:val="2"/>
          <w:position w:val="6"/>
          <w:sz w:val="24"/>
          <w:szCs w:val="24"/>
          <w:vertAlign w:val="superscript"/>
          <w:lang w:val="en-US"/>
        </w:rPr>
        <w:footnoteReference w:id="1"/>
      </w:r>
      <w:r w:rsidRPr="00FB38F1">
        <w:rPr>
          <w:rFonts w:ascii="Calibri" w:eastAsia="仿宋" w:hAnsi="Calibri" w:cs="Calibri"/>
          <w:kern w:val="2"/>
          <w:sz w:val="24"/>
          <w:szCs w:val="24"/>
          <w:lang w:val="en-US"/>
        </w:rPr>
        <w:t xml:space="preserve"> ITU regularly hosts key events such as the Global Symposium for Regulators (GSR) and the World Telecommunication/ICT Indicators Symposium (WTIS). It was proposed at the Global Symposium for Regulators 2020 (GSR-20) that “Clear, strong and enforceable rules related to data governance can provide adequate shield for digital consumer protection while creating a predictable, structured framework for doing digital business.”</w:t>
      </w:r>
      <w:r w:rsidRPr="00FB38F1">
        <w:rPr>
          <w:rFonts w:ascii="Calibri" w:eastAsia="仿宋" w:hAnsi="Calibri" w:cs="Calibri"/>
          <w:kern w:val="2"/>
          <w:position w:val="6"/>
          <w:sz w:val="24"/>
          <w:szCs w:val="24"/>
          <w:vertAlign w:val="superscript"/>
          <w:lang w:val="en-US"/>
        </w:rPr>
        <w:footnoteReference w:id="2"/>
      </w:r>
      <w:r w:rsidRPr="00FB38F1">
        <w:rPr>
          <w:rFonts w:ascii="Calibri" w:eastAsia="仿宋" w:hAnsi="Calibri" w:cs="Calibri"/>
          <w:kern w:val="2"/>
          <w:sz w:val="24"/>
          <w:szCs w:val="24"/>
          <w:lang w:val="en-US"/>
        </w:rPr>
        <w:t xml:space="preserve"> </w:t>
      </w:r>
    </w:p>
    <w:p w14:paraId="36562A61" w14:textId="77777777" w:rsidR="00FB38F1" w:rsidRDefault="00FB38F1" w:rsidP="00FB38F1">
      <w:pPr>
        <w:widowControl w:val="0"/>
        <w:spacing w:before="120" w:after="120" w:line="240" w:lineRule="auto"/>
        <w:jc w:val="both"/>
        <w:rPr>
          <w:rFonts w:ascii="Calibri" w:eastAsia="SimHei" w:hAnsi="Calibri" w:cs="Calibri"/>
          <w:kern w:val="2"/>
          <w:sz w:val="24"/>
          <w:szCs w:val="24"/>
          <w:lang w:val="en-US"/>
        </w:rPr>
      </w:pPr>
      <w:r w:rsidRPr="00FB38F1">
        <w:rPr>
          <w:rFonts w:ascii="Calibri" w:eastAsia="SimHei" w:hAnsi="Calibri" w:cs="Calibri"/>
          <w:kern w:val="2"/>
          <w:sz w:val="24"/>
          <w:szCs w:val="24"/>
          <w:lang w:val="en-US"/>
        </w:rPr>
        <w:t>Currently, multilateral governance mechanisms, bilateral governance mechanisms and specialized governance mechanisms led by the private sector are running in parallel to promote the development of global digital governance landscape.</w:t>
      </w:r>
      <w:r w:rsidRPr="00FB38F1">
        <w:rPr>
          <w:rFonts w:ascii="Calibri" w:eastAsia="SimHei" w:hAnsi="Calibri" w:cs="Calibri"/>
          <w:b/>
          <w:bCs/>
          <w:kern w:val="2"/>
          <w:sz w:val="24"/>
          <w:szCs w:val="24"/>
          <w:lang w:val="en-US"/>
        </w:rPr>
        <w:t xml:space="preserve"> On the front of global multilateral governance mechanisms</w:t>
      </w:r>
      <w:r w:rsidRPr="00FB38F1">
        <w:rPr>
          <w:rFonts w:ascii="Calibri" w:eastAsia="SimHei" w:hAnsi="Calibri" w:cs="Calibri"/>
          <w:kern w:val="2"/>
          <w:sz w:val="24"/>
          <w:szCs w:val="24"/>
          <w:lang w:val="en-US"/>
        </w:rPr>
        <w:t xml:space="preserve">, the Group of Twenty (G20) Summit held in Hangzhou in 2016 first included the digital economy in the governance framework, initiating an important process of policy coordination among major countries around global digital governance; the World Trade Organization (WTO), the </w:t>
      </w:r>
      <w:r w:rsidRPr="00FB38F1">
        <w:rPr>
          <w:rFonts w:ascii="Calibri" w:eastAsia="SimHei" w:hAnsi="Calibri" w:cs="Calibri"/>
          <w:kern w:val="2"/>
          <w:sz w:val="24"/>
          <w:szCs w:val="24"/>
          <w:lang w:val="en-US"/>
        </w:rPr>
        <w:lastRenderedPageBreak/>
        <w:t>International Monetary Fund (IMF) and the World Bank, within the framework of the United Nations, have all increased their attention to digital governance issues</w:t>
      </w:r>
      <w:r w:rsidRPr="00FB38F1">
        <w:rPr>
          <w:rFonts w:ascii="Calibri" w:eastAsia="仿宋" w:hAnsi="Calibri" w:cs="Calibri"/>
          <w:kern w:val="2"/>
          <w:position w:val="6"/>
          <w:sz w:val="24"/>
          <w:szCs w:val="24"/>
          <w:vertAlign w:val="superscript"/>
          <w:lang w:val="en-US"/>
        </w:rPr>
        <w:footnoteReference w:id="3"/>
      </w:r>
      <w:r w:rsidRPr="00FB38F1">
        <w:rPr>
          <w:rFonts w:ascii="Calibri" w:eastAsia="SimHei" w:hAnsi="Calibri" w:cs="Calibri"/>
          <w:kern w:val="2"/>
          <w:sz w:val="24"/>
          <w:szCs w:val="24"/>
          <w:lang w:val="en-US"/>
        </w:rPr>
        <w:t>; the OECD, the World Economic Forum and other organizations have published a large number of research papers in the field of digital economy, contributing to the increasing awareness of different stakeholders on digital governance.</w:t>
      </w:r>
      <w:r w:rsidRPr="00FB38F1">
        <w:rPr>
          <w:rFonts w:ascii="Calibri" w:eastAsia="仿宋" w:hAnsi="Calibri" w:cs="Calibri"/>
          <w:kern w:val="2"/>
          <w:sz w:val="24"/>
          <w:szCs w:val="24"/>
          <w:lang w:val="en-US"/>
        </w:rPr>
        <w:t xml:space="preserve"> </w:t>
      </w:r>
      <w:r w:rsidRPr="00FB38F1">
        <w:rPr>
          <w:rFonts w:ascii="Calibri" w:eastAsia="SimHei" w:hAnsi="Calibri" w:cs="Calibri"/>
          <w:b/>
          <w:bCs/>
          <w:kern w:val="2"/>
          <w:sz w:val="24"/>
          <w:szCs w:val="24"/>
          <w:lang w:val="en-US"/>
        </w:rPr>
        <w:t>In terms of bilateral and regional mechanisms,</w:t>
      </w:r>
      <w:r w:rsidRPr="00FB38F1">
        <w:rPr>
          <w:rFonts w:ascii="Calibri" w:eastAsia="SimHei" w:hAnsi="Calibri" w:cs="Calibri"/>
          <w:kern w:val="2"/>
          <w:sz w:val="24"/>
          <w:szCs w:val="24"/>
          <w:lang w:val="en-US"/>
        </w:rPr>
        <w:t xml:space="preserve"> giant free trade agreements</w:t>
      </w:r>
      <w:r w:rsidRPr="00FB38F1">
        <w:rPr>
          <w:rFonts w:ascii="Calibri" w:eastAsia="SimHei" w:hAnsi="Calibri" w:cs="Calibri" w:hint="eastAsia"/>
          <w:kern w:val="2"/>
          <w:sz w:val="24"/>
          <w:szCs w:val="24"/>
          <w:lang w:val="en-US"/>
        </w:rPr>
        <w:t>（</w:t>
      </w:r>
      <w:r w:rsidRPr="00FB38F1">
        <w:rPr>
          <w:rFonts w:ascii="Calibri" w:eastAsia="SimHei" w:hAnsi="Calibri" w:cs="Calibri" w:hint="eastAsia"/>
          <w:kern w:val="2"/>
          <w:sz w:val="24"/>
          <w:szCs w:val="24"/>
          <w:lang w:val="en-US"/>
        </w:rPr>
        <w:t>F</w:t>
      </w:r>
      <w:r w:rsidRPr="00FB38F1">
        <w:rPr>
          <w:rFonts w:ascii="Calibri" w:eastAsia="SimHei" w:hAnsi="Calibri" w:cs="Calibri"/>
          <w:kern w:val="2"/>
          <w:sz w:val="24"/>
          <w:szCs w:val="24"/>
          <w:lang w:val="en-US"/>
        </w:rPr>
        <w:t>TA</w:t>
      </w:r>
      <w:r w:rsidRPr="00FB38F1">
        <w:rPr>
          <w:rFonts w:ascii="Calibri" w:eastAsia="SimHei" w:hAnsi="Calibri" w:cs="Calibri" w:hint="eastAsia"/>
          <w:kern w:val="2"/>
          <w:sz w:val="24"/>
          <w:szCs w:val="24"/>
          <w:lang w:val="en-US"/>
        </w:rPr>
        <w:t>）</w:t>
      </w:r>
      <w:r w:rsidRPr="00FB38F1">
        <w:rPr>
          <w:rFonts w:ascii="Calibri" w:eastAsia="仿宋" w:hAnsi="Calibri" w:cs="Calibri"/>
          <w:kern w:val="2"/>
          <w:position w:val="6"/>
          <w:sz w:val="24"/>
          <w:szCs w:val="24"/>
          <w:vertAlign w:val="superscript"/>
          <w:lang w:val="en-US"/>
        </w:rPr>
        <w:footnoteReference w:id="4"/>
      </w:r>
      <w:r w:rsidRPr="00FB38F1">
        <w:rPr>
          <w:rFonts w:ascii="Calibri" w:eastAsia="DengXian" w:hAnsi="Calibri" w:cs="Calibri"/>
          <w:color w:val="333333"/>
          <w:kern w:val="2"/>
          <w:sz w:val="24"/>
          <w:szCs w:val="24"/>
          <w:shd w:val="clear" w:color="auto" w:fill="FFFFFF"/>
          <w:lang w:val="en-US"/>
        </w:rPr>
        <w:t xml:space="preserve"> </w:t>
      </w:r>
      <w:r w:rsidRPr="00FB38F1">
        <w:rPr>
          <w:rFonts w:ascii="Calibri" w:eastAsia="SimHei" w:hAnsi="Calibri" w:cs="Calibri"/>
          <w:kern w:val="2"/>
          <w:sz w:val="24"/>
          <w:szCs w:val="24"/>
          <w:lang w:val="en-US"/>
        </w:rPr>
        <w:t>are playing an increasingly significant role</w:t>
      </w:r>
      <w:r w:rsidRPr="00FB38F1">
        <w:rPr>
          <w:rFonts w:ascii="DengXian" w:eastAsia="SimHei" w:hAnsi="DengXian" w:cs="Times New Roman"/>
          <w:kern w:val="2"/>
          <w:sz w:val="24"/>
          <w:szCs w:val="24"/>
          <w:lang w:val="en-US"/>
        </w:rPr>
        <w:t xml:space="preserve"> in </w:t>
      </w:r>
      <w:r w:rsidRPr="00FB38F1">
        <w:rPr>
          <w:rFonts w:ascii="Calibri" w:eastAsia="SimHei" w:hAnsi="Calibri" w:cs="Calibri"/>
          <w:kern w:val="2"/>
          <w:sz w:val="24"/>
          <w:szCs w:val="24"/>
          <w:lang w:val="en-US"/>
        </w:rPr>
        <w:t>shaping the rules of global digital governance. Reflecting the demands of different stakeholders in the digital field through negotiations is of great significance in shaping the rules of global digital governance in the future. For example, China and EU held the high-level digital dialogue in September 2020, where the two parties exchanged policies around ICT standardization and AI governance.</w:t>
      </w:r>
      <w:r w:rsidRPr="00FB38F1">
        <w:rPr>
          <w:rFonts w:ascii="Calibri" w:eastAsia="仿宋" w:hAnsi="Calibri" w:cs="Calibri"/>
          <w:kern w:val="2"/>
          <w:position w:val="6"/>
          <w:sz w:val="24"/>
          <w:szCs w:val="24"/>
          <w:vertAlign w:val="superscript"/>
          <w:lang w:val="en-US"/>
        </w:rPr>
        <w:footnoteReference w:id="5"/>
      </w:r>
      <w:r w:rsidRPr="00FB38F1">
        <w:rPr>
          <w:rFonts w:ascii="Calibri" w:eastAsia="SimHei" w:hAnsi="Calibri" w:cs="Calibri"/>
          <w:kern w:val="2"/>
          <w:sz w:val="24"/>
          <w:szCs w:val="24"/>
          <w:lang w:val="en-US"/>
        </w:rPr>
        <w:t xml:space="preserve"> </w:t>
      </w:r>
      <w:r w:rsidRPr="00FB38F1">
        <w:rPr>
          <w:rFonts w:ascii="Calibri" w:eastAsia="DengXian" w:hAnsi="Calibri" w:cs="Calibri"/>
          <w:b/>
          <w:bCs/>
          <w:color w:val="333333"/>
          <w:kern w:val="2"/>
          <w:sz w:val="24"/>
          <w:szCs w:val="24"/>
          <w:shd w:val="clear" w:color="auto" w:fill="FFFFFF"/>
          <w:lang w:val="en-US"/>
        </w:rPr>
        <w:t>The private sector is also exerting substantial influences on global digital governance, such as through setting international standards.</w:t>
      </w:r>
      <w:r w:rsidRPr="00FB38F1">
        <w:rPr>
          <w:rFonts w:ascii="Calibri" w:eastAsia="SimHei" w:hAnsi="Calibri" w:cs="Calibri"/>
          <w:kern w:val="2"/>
          <w:sz w:val="24"/>
          <w:szCs w:val="24"/>
          <w:lang w:val="en-US"/>
        </w:rPr>
        <w:t xml:space="preserve"> The International Organization for Standardization (ISO), the International Electrotechnical Commission (IEC), and the Institute of Electrical and Electronics Engineers (IEEE) have all established special working groups to conduct studies on standards related to the AI ethics. </w:t>
      </w:r>
      <w:r w:rsidRPr="00FB38F1">
        <w:rPr>
          <w:rFonts w:ascii="Calibri" w:eastAsia="DengXian" w:hAnsi="Calibri" w:cs="Calibri"/>
          <w:color w:val="333333"/>
          <w:kern w:val="2"/>
          <w:sz w:val="24"/>
          <w:szCs w:val="24"/>
          <w:shd w:val="clear" w:color="auto" w:fill="FFFFFF"/>
          <w:lang w:val="en-US"/>
        </w:rPr>
        <w:t xml:space="preserve">However, due to multiple reasons, such as the trend of de-globalization, the expanding scope of data governance issues, and the lack of global consensus, </w:t>
      </w:r>
      <w:r w:rsidRPr="00FB38F1">
        <w:rPr>
          <w:rFonts w:ascii="Calibri" w:eastAsia="SimHei" w:hAnsi="Calibri" w:cs="Calibri"/>
          <w:kern w:val="2"/>
          <w:sz w:val="24"/>
          <w:szCs w:val="24"/>
          <w:lang w:val="en-US"/>
        </w:rPr>
        <w:t>the multilateral frameworks are constraint. A series of bilateral agreements have promoted the rule-setting in new areas of digital governance, but fragment</w:t>
      </w:r>
      <w:r w:rsidRPr="00FB38F1">
        <w:rPr>
          <w:rFonts w:ascii="Calibri" w:eastAsia="SimHei" w:hAnsi="Calibri" w:cs="Calibri" w:hint="eastAsia"/>
          <w:kern w:val="2"/>
          <w:sz w:val="24"/>
          <w:szCs w:val="24"/>
          <w:lang w:val="en-US"/>
        </w:rPr>
        <w:t>ed</w:t>
      </w:r>
      <w:r w:rsidRPr="00FB38F1">
        <w:rPr>
          <w:rFonts w:ascii="Calibri" w:eastAsia="SimHei" w:hAnsi="Calibri" w:cs="Calibri"/>
          <w:kern w:val="2"/>
          <w:sz w:val="24"/>
          <w:szCs w:val="24"/>
          <w:lang w:val="en-US"/>
        </w:rPr>
        <w:t xml:space="preserve"> governance will become the biggest challenge of global digital governance in the future. How to promote a unified, transparent</w:t>
      </w:r>
      <w:r w:rsidRPr="00FB38F1">
        <w:rPr>
          <w:rFonts w:ascii="Calibri" w:eastAsia="SimHei" w:hAnsi="Calibri" w:cs="Calibri" w:hint="eastAsia"/>
          <w:kern w:val="2"/>
          <w:sz w:val="24"/>
          <w:szCs w:val="24"/>
          <w:lang w:val="en-US"/>
        </w:rPr>
        <w:t>,</w:t>
      </w:r>
      <w:r w:rsidRPr="00FB38F1">
        <w:rPr>
          <w:rFonts w:ascii="Calibri" w:eastAsia="SimHei" w:hAnsi="Calibri" w:cs="Calibri"/>
          <w:kern w:val="2"/>
          <w:sz w:val="24"/>
          <w:szCs w:val="24"/>
          <w:lang w:val="en-US"/>
        </w:rPr>
        <w:t xml:space="preserve"> and fair global rules framework, prevent the fragmentation of rules from causing greater “digital divide”, and achieve global inclusive growth is still a great challenge facing global digital governance in the future.</w:t>
      </w:r>
    </w:p>
    <w:p w14:paraId="4ABBF061" w14:textId="028152E7" w:rsidR="00FB38F1" w:rsidRPr="00FB38F1" w:rsidRDefault="00FB38F1" w:rsidP="00FB38F1">
      <w:pPr>
        <w:widowControl w:val="0"/>
        <w:spacing w:before="360" w:after="120" w:line="240" w:lineRule="auto"/>
        <w:jc w:val="both"/>
        <w:rPr>
          <w:rFonts w:ascii="Calibri" w:eastAsia="SimHei" w:hAnsi="Calibri" w:cs="Calibri"/>
          <w:kern w:val="2"/>
          <w:sz w:val="24"/>
          <w:szCs w:val="24"/>
          <w:lang w:val="en-US"/>
        </w:rPr>
      </w:pPr>
      <w:r w:rsidRPr="00FB38F1">
        <w:rPr>
          <w:rFonts w:ascii="Calibri" w:eastAsia="仿宋" w:hAnsi="Calibri" w:cs="Calibri"/>
          <w:color w:val="2F5496"/>
          <w:sz w:val="24"/>
          <w:szCs w:val="24"/>
          <w:lang w:val="en-US"/>
        </w:rPr>
        <w:t>Analysis</w:t>
      </w:r>
    </w:p>
    <w:p w14:paraId="7D5446D3" w14:textId="77777777" w:rsidR="00FB38F1" w:rsidRDefault="00FB38F1" w:rsidP="00FB38F1">
      <w:pPr>
        <w:widowControl w:val="0"/>
        <w:spacing w:before="120" w:after="120" w:line="240" w:lineRule="auto"/>
        <w:jc w:val="both"/>
        <w:rPr>
          <w:rFonts w:ascii="Calibri" w:eastAsia="仿宋" w:hAnsi="Calibri" w:cs="Calibri"/>
          <w:kern w:val="2"/>
          <w:sz w:val="24"/>
          <w:szCs w:val="24"/>
          <w:lang w:val="en-US"/>
        </w:rPr>
      </w:pPr>
      <w:r w:rsidRPr="00FB38F1">
        <w:rPr>
          <w:rFonts w:ascii="Calibri" w:eastAsia="仿宋" w:hAnsi="Calibri" w:cs="Calibri"/>
          <w:kern w:val="2"/>
          <w:sz w:val="24"/>
          <w:szCs w:val="24"/>
          <w:lang w:val="en-US"/>
        </w:rPr>
        <w:t>The ITU Strategic Plan is a strategic document developed in accordance with the Constitution and the Convention of the Union and is an important document that will guide the activities of the Union for a four-year period. The strategic goals</w:t>
      </w:r>
      <w:r w:rsidRPr="00FB38F1">
        <w:rPr>
          <w:rFonts w:ascii="Calibri" w:eastAsia="仿宋" w:hAnsi="Calibri" w:cs="Calibri"/>
          <w:kern w:val="2"/>
          <w:position w:val="6"/>
          <w:sz w:val="24"/>
          <w:szCs w:val="24"/>
          <w:vertAlign w:val="superscript"/>
          <w:lang w:val="en-US"/>
        </w:rPr>
        <w:footnoteReference w:id="6"/>
      </w:r>
      <w:r w:rsidRPr="00FB38F1">
        <w:rPr>
          <w:rFonts w:ascii="Calibri" w:eastAsia="仿宋" w:hAnsi="Calibri" w:cs="Calibri"/>
          <w:kern w:val="2"/>
          <w:sz w:val="24"/>
          <w:szCs w:val="24"/>
          <w:lang w:val="en-US"/>
        </w:rPr>
        <w:t xml:space="preserve"> identified in Resolution 71 (Rev. Dubai, 2018) on ITU Strategic Plan for 2020-2023 all covers some aspects of digital governance, but don’t have sufficient supporting consultation mechanisms. It is therefore recommended that the "inter-sectoral </w:t>
      </w:r>
      <w:r w:rsidRPr="00FB38F1">
        <w:rPr>
          <w:rFonts w:ascii="Calibri" w:eastAsia="仿宋" w:hAnsi="Calibri" w:cs="Calibri"/>
          <w:kern w:val="2"/>
          <w:sz w:val="24"/>
          <w:szCs w:val="24"/>
          <w:lang w:val="en-US"/>
        </w:rPr>
        <w:lastRenderedPageBreak/>
        <w:t>objectives"</w:t>
      </w:r>
      <w:r w:rsidRPr="00FB38F1">
        <w:rPr>
          <w:rFonts w:ascii="Calibri" w:eastAsia="仿宋" w:hAnsi="Calibri" w:cs="Calibri"/>
          <w:kern w:val="2"/>
          <w:position w:val="6"/>
          <w:sz w:val="24"/>
          <w:szCs w:val="24"/>
          <w:vertAlign w:val="superscript"/>
          <w:lang w:val="en-US"/>
        </w:rPr>
        <w:footnoteReference w:id="7"/>
      </w:r>
      <w:r w:rsidRPr="00FB38F1">
        <w:rPr>
          <w:rFonts w:ascii="Calibri" w:eastAsia="仿宋" w:hAnsi="Calibri" w:cs="Calibri"/>
          <w:kern w:val="2"/>
          <w:sz w:val="24"/>
          <w:szCs w:val="24"/>
          <w:lang w:val="en-US"/>
        </w:rPr>
        <w:t xml:space="preserve"> of ITU </w:t>
      </w:r>
      <w:r w:rsidRPr="00FB38F1">
        <w:rPr>
          <w:rFonts w:ascii="Calibri" w:eastAsia="仿宋" w:hAnsi="Calibri" w:cs="Calibri" w:hint="eastAsia"/>
          <w:kern w:val="2"/>
          <w:sz w:val="24"/>
          <w:szCs w:val="24"/>
          <w:lang w:val="en-US"/>
        </w:rPr>
        <w:t>S</w:t>
      </w:r>
      <w:r w:rsidRPr="00FB38F1">
        <w:rPr>
          <w:rFonts w:ascii="Calibri" w:eastAsia="仿宋" w:hAnsi="Calibri" w:cs="Calibri"/>
          <w:kern w:val="2"/>
          <w:sz w:val="24"/>
          <w:szCs w:val="24"/>
          <w:lang w:val="en-US"/>
        </w:rPr>
        <w:t xml:space="preserve">trategic </w:t>
      </w:r>
      <w:r w:rsidRPr="00FB38F1">
        <w:rPr>
          <w:rFonts w:ascii="Calibri" w:eastAsia="仿宋" w:hAnsi="Calibri" w:cs="Calibri" w:hint="eastAsia"/>
          <w:kern w:val="2"/>
          <w:sz w:val="24"/>
          <w:szCs w:val="24"/>
          <w:lang w:val="en-US"/>
        </w:rPr>
        <w:t>P</w:t>
      </w:r>
      <w:r w:rsidRPr="00FB38F1">
        <w:rPr>
          <w:rFonts w:ascii="Calibri" w:eastAsia="仿宋" w:hAnsi="Calibri" w:cs="Calibri"/>
          <w:kern w:val="2"/>
          <w:sz w:val="24"/>
          <w:szCs w:val="24"/>
          <w:lang w:val="en-US"/>
        </w:rPr>
        <w:t xml:space="preserve">lan for 2024-2027 explicitly provide for </w:t>
      </w:r>
      <w:r w:rsidRPr="00FB38F1">
        <w:rPr>
          <w:rFonts w:ascii="Calibri" w:eastAsia="仿宋" w:hAnsi="Calibri" w:cs="Calibri" w:hint="eastAsia"/>
          <w:kern w:val="2"/>
          <w:sz w:val="24"/>
          <w:szCs w:val="24"/>
          <w:lang w:val="en-US"/>
        </w:rPr>
        <w:t>leveraging</w:t>
      </w:r>
      <w:r w:rsidRPr="00FB38F1">
        <w:rPr>
          <w:rFonts w:ascii="Calibri" w:eastAsia="仿宋" w:hAnsi="Calibri" w:cs="Calibri"/>
          <w:kern w:val="2"/>
          <w:sz w:val="24"/>
          <w:szCs w:val="24"/>
          <w:lang w:val="en-US"/>
        </w:rPr>
        <w:t xml:space="preserve"> existing high-level international meeting platforms to carry out consultations in digital governance and promote greater global consensus on digital governance.</w:t>
      </w:r>
    </w:p>
    <w:p w14:paraId="01466585" w14:textId="048F0234" w:rsidR="00FB38F1" w:rsidRPr="00FB38F1" w:rsidRDefault="00FB38F1" w:rsidP="00FB38F1">
      <w:pPr>
        <w:widowControl w:val="0"/>
        <w:spacing w:before="360" w:after="120" w:line="240" w:lineRule="auto"/>
        <w:jc w:val="both"/>
        <w:rPr>
          <w:rFonts w:ascii="Calibri" w:eastAsia="仿宋" w:hAnsi="Calibri" w:cs="Calibri"/>
          <w:kern w:val="2"/>
          <w:sz w:val="24"/>
          <w:szCs w:val="24"/>
          <w:lang w:val="en-US"/>
        </w:rPr>
      </w:pPr>
      <w:r w:rsidRPr="00FB38F1">
        <w:rPr>
          <w:rFonts w:ascii="Calibri" w:eastAsia="DengXian Light" w:hAnsi="Calibri" w:cs="Calibri"/>
          <w:color w:val="2F5496"/>
          <w:sz w:val="24"/>
          <w:szCs w:val="24"/>
          <w:lang w:val="en-US"/>
        </w:rPr>
        <w:t>Proposal</w:t>
      </w:r>
    </w:p>
    <w:p w14:paraId="04B15D10" w14:textId="77777777" w:rsidR="00FB38F1" w:rsidRPr="00FB38F1" w:rsidRDefault="00FB38F1" w:rsidP="00FB38F1">
      <w:pPr>
        <w:widowControl w:val="0"/>
        <w:spacing w:before="120" w:after="120" w:line="240" w:lineRule="auto"/>
        <w:jc w:val="both"/>
        <w:rPr>
          <w:rFonts w:ascii="Calibri" w:eastAsia="DengXian" w:hAnsi="Calibri" w:cs="Calibri"/>
          <w:kern w:val="2"/>
          <w:sz w:val="24"/>
          <w:szCs w:val="24"/>
          <w:lang w:val="en-US"/>
        </w:rPr>
      </w:pPr>
      <w:r w:rsidRPr="00FB38F1">
        <w:rPr>
          <w:rFonts w:ascii="Calibri" w:eastAsia="DengXian" w:hAnsi="Calibri" w:cs="Calibri"/>
          <w:kern w:val="2"/>
          <w:sz w:val="24"/>
          <w:szCs w:val="24"/>
          <w:lang w:val="en-US"/>
        </w:rPr>
        <w:t>In summary, we recommend that ITU include leveraging the regular high-level international meeting platforms for global digital governance in its medium- to long-term strategic plan for consideration.</w:t>
      </w:r>
      <w:r w:rsidRPr="00FB38F1">
        <w:rPr>
          <w:rFonts w:ascii="Calibri" w:eastAsia="仿宋" w:hAnsi="Calibri" w:cs="Calibri"/>
          <w:kern w:val="2"/>
          <w:sz w:val="24"/>
          <w:szCs w:val="24"/>
          <w:lang w:val="en-US"/>
        </w:rPr>
        <w:t xml:space="preserve"> The specific recommendations are as follows:</w:t>
      </w:r>
    </w:p>
    <w:p w14:paraId="234BD5B4" w14:textId="77777777" w:rsidR="00FB38F1" w:rsidRPr="00FB38F1" w:rsidRDefault="00FB38F1" w:rsidP="00FB38F1">
      <w:pPr>
        <w:widowControl w:val="0"/>
        <w:numPr>
          <w:ilvl w:val="0"/>
          <w:numId w:val="21"/>
        </w:numPr>
        <w:spacing w:before="120" w:after="120" w:line="240" w:lineRule="auto"/>
        <w:jc w:val="both"/>
        <w:rPr>
          <w:rFonts w:ascii="Calibri" w:eastAsia="仿宋" w:hAnsi="Calibri" w:cs="Calibri"/>
          <w:sz w:val="24"/>
          <w:szCs w:val="24"/>
          <w:lang w:val="en-US"/>
        </w:rPr>
      </w:pPr>
      <w:r w:rsidRPr="00FB38F1">
        <w:rPr>
          <w:rFonts w:ascii="Calibri" w:eastAsia="仿宋" w:hAnsi="Calibri" w:cs="Calibri"/>
          <w:sz w:val="24"/>
          <w:szCs w:val="24"/>
          <w:lang w:val="en-US"/>
        </w:rPr>
        <w:t>Consider including leveraging existing high-level international meeting platforms to promote global consensus on digital governance in the "inter-sectoral objectives" of the ITU Strategic Plan for 2024-2027.</w:t>
      </w:r>
    </w:p>
    <w:p w14:paraId="2F5223C8" w14:textId="77777777" w:rsidR="00FB38F1" w:rsidRPr="00FB38F1" w:rsidRDefault="00FB38F1" w:rsidP="00FB38F1">
      <w:pPr>
        <w:widowControl w:val="0"/>
        <w:numPr>
          <w:ilvl w:val="0"/>
          <w:numId w:val="21"/>
        </w:numPr>
        <w:spacing w:before="120" w:after="120" w:line="240" w:lineRule="auto"/>
        <w:jc w:val="both"/>
        <w:rPr>
          <w:rFonts w:ascii="Calibri" w:eastAsia="仿宋" w:hAnsi="Calibri" w:cs="Calibri"/>
          <w:sz w:val="24"/>
          <w:szCs w:val="24"/>
          <w:lang w:val="en-US"/>
        </w:rPr>
      </w:pPr>
      <w:r w:rsidRPr="00FB38F1">
        <w:rPr>
          <w:rFonts w:ascii="Calibri" w:eastAsia="仿宋" w:hAnsi="Calibri" w:cs="Calibri"/>
          <w:sz w:val="24"/>
          <w:szCs w:val="24"/>
          <w:lang w:val="en-US"/>
        </w:rPr>
        <w:t>Promote global consensus on digital governance in such areas as AI governance, digital divide, and digital security through the existing high-level international meeting platforms, and form the research frameworks on digital governance based on global consensus, including development framework, accounting framework, statistical framework, and monitoring framework, etc.</w:t>
      </w:r>
    </w:p>
    <w:p w14:paraId="7D336B7C" w14:textId="77777777" w:rsidR="00FB38F1" w:rsidRPr="00FB38F1" w:rsidRDefault="00FB38F1" w:rsidP="00FB38F1">
      <w:pPr>
        <w:widowControl w:val="0"/>
        <w:numPr>
          <w:ilvl w:val="0"/>
          <w:numId w:val="21"/>
        </w:numPr>
        <w:spacing w:before="120" w:after="120" w:line="240" w:lineRule="auto"/>
        <w:jc w:val="both"/>
        <w:rPr>
          <w:rFonts w:ascii="Calibri" w:eastAsia="仿宋" w:hAnsi="Calibri" w:cs="Calibri"/>
          <w:sz w:val="24"/>
          <w:szCs w:val="24"/>
          <w:lang w:val="en-US"/>
        </w:rPr>
      </w:pPr>
      <w:r w:rsidRPr="00FB38F1">
        <w:rPr>
          <w:rFonts w:ascii="Calibri" w:eastAsia="仿宋" w:hAnsi="Calibri" w:cs="Calibri"/>
          <w:sz w:val="24"/>
          <w:szCs w:val="24"/>
          <w:lang w:val="en-US"/>
        </w:rPr>
        <w:t>Promote ITU to publish annual research reports on global digital governance.</w:t>
      </w:r>
    </w:p>
    <w:p w14:paraId="550F306E" w14:textId="77777777" w:rsidR="00FB38F1" w:rsidRPr="00DA16C5" w:rsidRDefault="00FB38F1" w:rsidP="00FB38F1">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sz w:val="26"/>
          <w:szCs w:val="26"/>
          <w:lang w:val="ru-RU" w:eastAsia="en-US"/>
        </w:rPr>
      </w:pPr>
      <w:r w:rsidRPr="00DA16C5">
        <w:rPr>
          <w:rFonts w:ascii="Times New Roman" w:eastAsia="Times New Roman" w:hAnsi="Times New Roman" w:cs="Times New Roman"/>
          <w:sz w:val="26"/>
          <w:szCs w:val="26"/>
          <w:lang w:val="ru-RU" w:eastAsia="en-US"/>
        </w:rPr>
        <w:t>______________</w:t>
      </w:r>
    </w:p>
    <w:sectPr w:rsidR="00FB38F1" w:rsidRPr="00DA16C5" w:rsidSect="00FE392A">
      <w:headerReference w:type="default" r:id="rId9"/>
      <w:footerReference w:type="first" r:id="rId10"/>
      <w:pgSz w:w="11907" w:h="16834" w:code="9"/>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CF" w14:textId="77777777" w:rsidR="00DB6DC2" w:rsidRDefault="00DB6DC2">
      <w:r>
        <w:separator/>
      </w:r>
    </w:p>
  </w:endnote>
  <w:endnote w:type="continuationSeparator" w:id="0">
    <w:p w14:paraId="7500D0ED" w14:textId="77777777" w:rsidR="00DB6DC2" w:rsidRDefault="00DB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仿宋">
    <w:altName w:val="Microsoft YaHei"/>
    <w:charset w:val="86"/>
    <w:family w:val="modern"/>
    <w:pitch w:val="fixed"/>
    <w:sig w:usb0="800002BF" w:usb1="38CF7CFA"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0A7B"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884F" w14:textId="77777777" w:rsidR="00DB6DC2" w:rsidRDefault="00DB6DC2">
      <w:r>
        <w:t>____________________</w:t>
      </w:r>
    </w:p>
  </w:footnote>
  <w:footnote w:type="continuationSeparator" w:id="0">
    <w:p w14:paraId="0F4F7803" w14:textId="77777777" w:rsidR="00DB6DC2" w:rsidRDefault="00DB6DC2">
      <w:r>
        <w:continuationSeparator/>
      </w:r>
    </w:p>
  </w:footnote>
  <w:footnote w:id="1">
    <w:p w14:paraId="38AF629B" w14:textId="77777777" w:rsidR="00FB38F1" w:rsidRPr="00E43070" w:rsidRDefault="00FB38F1" w:rsidP="00FB38F1">
      <w:pPr>
        <w:pStyle w:val="FootnoteText"/>
        <w:spacing w:line="240" w:lineRule="exact"/>
        <w:ind w:left="0" w:firstLine="0"/>
        <w:rPr>
          <w:rFonts w:ascii="Times New Roman" w:eastAsia="SimSun" w:hAnsi="Times New Roman"/>
          <w:sz w:val="18"/>
          <w:szCs w:val="18"/>
        </w:rPr>
      </w:pPr>
      <w:r w:rsidRPr="00E43070">
        <w:rPr>
          <w:rStyle w:val="FootnoteReference"/>
          <w:rFonts w:ascii="Times New Roman" w:eastAsia="SimSun" w:hAnsi="Times New Roman"/>
          <w:szCs w:val="18"/>
        </w:rPr>
        <w:footnoteRef/>
      </w:r>
      <w:r w:rsidRPr="00E43070">
        <w:rPr>
          <w:rFonts w:ascii="Times New Roman" w:eastAsia="SimSun" w:hAnsi="Times New Roman"/>
          <w:sz w:val="18"/>
          <w:szCs w:val="18"/>
        </w:rPr>
        <w:t xml:space="preserve"> </w:t>
      </w:r>
      <w:r w:rsidRPr="00FE6FBD">
        <w:rPr>
          <w:rFonts w:ascii="Times New Roman" w:eastAsia="SimSun" w:hAnsi="Times New Roman"/>
          <w:sz w:val="18"/>
          <w:szCs w:val="18"/>
        </w:rPr>
        <w:t>See</w:t>
      </w:r>
      <w:r>
        <w:rPr>
          <w:rFonts w:ascii="Times New Roman" w:eastAsia="SimSun" w:hAnsi="Times New Roman"/>
          <w:sz w:val="18"/>
          <w:szCs w:val="18"/>
        </w:rPr>
        <w:t xml:space="preserve"> the details on</w:t>
      </w:r>
      <w:r w:rsidRPr="00FE6FBD">
        <w:rPr>
          <w:rFonts w:ascii="Times New Roman" w:eastAsia="SimSun" w:hAnsi="Times New Roman"/>
          <w:sz w:val="18"/>
          <w:szCs w:val="18"/>
        </w:rPr>
        <w:t xml:space="preserve"> the</w:t>
      </w:r>
      <w:r>
        <w:rPr>
          <w:rFonts w:ascii="Times New Roman" w:eastAsia="SimSun" w:hAnsi="Times New Roman"/>
          <w:sz w:val="18"/>
          <w:szCs w:val="18"/>
        </w:rPr>
        <w:t xml:space="preserve"> official </w:t>
      </w:r>
      <w:r w:rsidRPr="00FE6FBD">
        <w:rPr>
          <w:rFonts w:ascii="Times New Roman" w:eastAsia="SimSun" w:hAnsi="Times New Roman"/>
          <w:sz w:val="18"/>
          <w:szCs w:val="18"/>
        </w:rPr>
        <w:t>ITU website</w:t>
      </w:r>
      <w:r>
        <w:rPr>
          <w:rFonts w:ascii="Times New Roman" w:eastAsia="SimSun" w:hAnsi="Times New Roman"/>
          <w:sz w:val="18"/>
          <w:szCs w:val="18"/>
        </w:rPr>
        <w:t xml:space="preserve">: </w:t>
      </w:r>
      <w:r w:rsidRPr="00E43070">
        <w:rPr>
          <w:rFonts w:ascii="Times New Roman" w:eastAsia="SimSun" w:hAnsi="Times New Roman"/>
          <w:sz w:val="18"/>
          <w:szCs w:val="18"/>
        </w:rPr>
        <w:t>https://www.itu.int/zh/action/Pages/default.aspx.</w:t>
      </w:r>
    </w:p>
  </w:footnote>
  <w:footnote w:id="2">
    <w:p w14:paraId="3B669B6B" w14:textId="77777777" w:rsidR="00FB38F1" w:rsidRPr="00E43070" w:rsidRDefault="00FB38F1" w:rsidP="00FB38F1">
      <w:pPr>
        <w:pStyle w:val="FootnoteText"/>
        <w:spacing w:line="240" w:lineRule="exact"/>
        <w:ind w:left="0" w:firstLine="0"/>
        <w:rPr>
          <w:rFonts w:ascii="Times New Roman" w:eastAsia="SimSun" w:hAnsi="Times New Roman"/>
          <w:sz w:val="18"/>
          <w:szCs w:val="18"/>
        </w:rPr>
      </w:pPr>
      <w:r w:rsidRPr="00E43070">
        <w:rPr>
          <w:rStyle w:val="FootnoteReference"/>
          <w:rFonts w:ascii="Times New Roman" w:eastAsia="SimSun" w:hAnsi="Times New Roman"/>
          <w:szCs w:val="18"/>
        </w:rPr>
        <w:footnoteRef/>
      </w:r>
      <w:r w:rsidRPr="00E43070">
        <w:rPr>
          <w:rFonts w:ascii="Times New Roman" w:eastAsia="SimSun" w:hAnsi="Times New Roman"/>
          <w:sz w:val="18"/>
          <w:szCs w:val="18"/>
        </w:rPr>
        <w:t xml:space="preserve"> </w:t>
      </w:r>
      <w:r>
        <w:rPr>
          <w:rFonts w:ascii="Times New Roman" w:eastAsia="SimSun" w:hAnsi="Times New Roman"/>
          <w:sz w:val="18"/>
          <w:szCs w:val="18"/>
        </w:rPr>
        <w:t xml:space="preserve">See the </w:t>
      </w:r>
      <w:r w:rsidRPr="00FE6FBD">
        <w:rPr>
          <w:rFonts w:ascii="Times New Roman" w:eastAsia="SimSun" w:hAnsi="Times New Roman"/>
          <w:sz w:val="18"/>
          <w:szCs w:val="18"/>
        </w:rPr>
        <w:t>Global Symposium for Regulators (GSR) 2020</w:t>
      </w:r>
      <w:r>
        <w:rPr>
          <w:rFonts w:ascii="Times New Roman" w:eastAsia="SimSun" w:hAnsi="Times New Roman"/>
          <w:sz w:val="18"/>
          <w:szCs w:val="18"/>
        </w:rPr>
        <w:t xml:space="preserve">, </w:t>
      </w:r>
      <w:r w:rsidRPr="00FE6FBD">
        <w:rPr>
          <w:rFonts w:ascii="Times New Roman" w:eastAsia="SimSun" w:hAnsi="Times New Roman"/>
          <w:sz w:val="18"/>
          <w:szCs w:val="18"/>
        </w:rPr>
        <w:t>Best Practice Guidelines</w:t>
      </w:r>
      <w:r>
        <w:rPr>
          <w:rFonts w:ascii="Times New Roman" w:eastAsia="SimSun" w:hAnsi="Times New Roman"/>
          <w:sz w:val="18"/>
          <w:szCs w:val="18"/>
        </w:rPr>
        <w:t xml:space="preserve"> - </w:t>
      </w:r>
      <w:r w:rsidRPr="00FE6FBD">
        <w:rPr>
          <w:rFonts w:ascii="Times New Roman" w:eastAsia="SimSun" w:hAnsi="Times New Roman"/>
          <w:sz w:val="18"/>
          <w:szCs w:val="18"/>
        </w:rPr>
        <w:t>The gold standard for digital regulation</w:t>
      </w:r>
      <w:r>
        <w:rPr>
          <w:rFonts w:ascii="Times New Roman" w:eastAsia="SimSun" w:hAnsi="Times New Roman" w:hint="eastAsia"/>
          <w:sz w:val="18"/>
          <w:szCs w:val="18"/>
        </w:rPr>
        <w:t>,</w:t>
      </w:r>
      <w:r>
        <w:rPr>
          <w:rFonts w:ascii="Times New Roman" w:eastAsia="SimSun" w:hAnsi="Times New Roman"/>
          <w:sz w:val="18"/>
          <w:szCs w:val="18"/>
        </w:rPr>
        <w:t xml:space="preserve"> </w:t>
      </w:r>
      <w:r w:rsidRPr="00E43070">
        <w:rPr>
          <w:rFonts w:ascii="Times New Roman" w:eastAsia="SimSun" w:hAnsi="Times New Roman"/>
          <w:sz w:val="18"/>
          <w:szCs w:val="18"/>
        </w:rPr>
        <w:t>https://www.itu.int/en/ITU-D/Conferences/GSR/2020/Documents/GSR-20_Best-Practice-Guidelines_Final_C.pdf.</w:t>
      </w:r>
    </w:p>
  </w:footnote>
  <w:footnote w:id="3">
    <w:p w14:paraId="6A6519CE" w14:textId="77777777" w:rsidR="00FB38F1" w:rsidRPr="00E43070" w:rsidRDefault="00FB38F1" w:rsidP="00FB38F1">
      <w:pPr>
        <w:pStyle w:val="FootnoteText"/>
        <w:spacing w:line="240" w:lineRule="exact"/>
        <w:ind w:left="0" w:firstLine="0"/>
        <w:rPr>
          <w:rFonts w:ascii="Times New Roman" w:eastAsia="SimSun" w:hAnsi="Times New Roman"/>
          <w:sz w:val="18"/>
          <w:szCs w:val="18"/>
        </w:rPr>
      </w:pPr>
      <w:r w:rsidRPr="00E43070">
        <w:rPr>
          <w:rStyle w:val="FootnoteReference"/>
          <w:rFonts w:ascii="Times New Roman" w:eastAsia="SimSun" w:hAnsi="Times New Roman"/>
          <w:szCs w:val="18"/>
        </w:rPr>
        <w:footnoteRef/>
      </w:r>
      <w:r w:rsidRPr="00E43070">
        <w:rPr>
          <w:rFonts w:ascii="Times New Roman" w:eastAsia="SimSun" w:hAnsi="Times New Roman"/>
          <w:sz w:val="18"/>
          <w:szCs w:val="18"/>
        </w:rPr>
        <w:t xml:space="preserve"> </w:t>
      </w:r>
      <w:r w:rsidRPr="00503152">
        <w:rPr>
          <w:rFonts w:ascii="Times New Roman" w:eastAsia="SimSun" w:hAnsi="Times New Roman"/>
          <w:sz w:val="18"/>
          <w:szCs w:val="18"/>
        </w:rPr>
        <w:t xml:space="preserve">The World Trade Organization (WTO) </w:t>
      </w:r>
      <w:r>
        <w:rPr>
          <w:rFonts w:ascii="Times New Roman" w:eastAsia="SimSun" w:hAnsi="Times New Roman"/>
          <w:sz w:val="18"/>
          <w:szCs w:val="18"/>
        </w:rPr>
        <w:t>included</w:t>
      </w:r>
      <w:r w:rsidRPr="00503152">
        <w:rPr>
          <w:rFonts w:ascii="Times New Roman" w:eastAsia="SimSun" w:hAnsi="Times New Roman"/>
          <w:sz w:val="18"/>
          <w:szCs w:val="18"/>
        </w:rPr>
        <w:t xml:space="preserve"> </w:t>
      </w:r>
      <w:r>
        <w:rPr>
          <w:rFonts w:ascii="Times New Roman" w:eastAsia="SimSun" w:hAnsi="Times New Roman"/>
          <w:sz w:val="18"/>
          <w:szCs w:val="18"/>
        </w:rPr>
        <w:t xml:space="preserve">the </w:t>
      </w:r>
      <w:r w:rsidRPr="00503152">
        <w:rPr>
          <w:rFonts w:ascii="Times New Roman" w:eastAsia="SimSun" w:hAnsi="Times New Roman"/>
          <w:sz w:val="18"/>
          <w:szCs w:val="18"/>
        </w:rPr>
        <w:t>digital-related trade issues into its rules</w:t>
      </w:r>
      <w:r>
        <w:rPr>
          <w:rFonts w:ascii="Times New Roman" w:eastAsia="SimSun" w:hAnsi="Times New Roman"/>
          <w:sz w:val="18"/>
          <w:szCs w:val="18"/>
        </w:rPr>
        <w:t xml:space="preserve"> for</w:t>
      </w:r>
      <w:r w:rsidRPr="00503152">
        <w:rPr>
          <w:rFonts w:ascii="Times New Roman" w:eastAsia="SimSun" w:hAnsi="Times New Roman"/>
          <w:sz w:val="18"/>
          <w:szCs w:val="18"/>
        </w:rPr>
        <w:t xml:space="preserve"> trade in services and eventually launched a separate negotiation process for trade-related aspects of e</w:t>
      </w:r>
      <w:r>
        <w:rPr>
          <w:rFonts w:ascii="Times New Roman" w:eastAsia="SimSun" w:hAnsi="Times New Roman"/>
          <w:sz w:val="18"/>
          <w:szCs w:val="18"/>
        </w:rPr>
        <w:t>-</w:t>
      </w:r>
      <w:r w:rsidRPr="00503152">
        <w:rPr>
          <w:rFonts w:ascii="Times New Roman" w:eastAsia="SimSun" w:hAnsi="Times New Roman"/>
          <w:sz w:val="18"/>
          <w:szCs w:val="18"/>
        </w:rPr>
        <w:t xml:space="preserve">commerce; the International Monetary Fund (IMF) has released </w:t>
      </w:r>
      <w:r>
        <w:rPr>
          <w:rFonts w:ascii="Times New Roman" w:eastAsia="SimSun" w:hAnsi="Times New Roman"/>
          <w:sz w:val="18"/>
          <w:szCs w:val="18"/>
        </w:rPr>
        <w:t xml:space="preserve">research reports </w:t>
      </w:r>
      <w:r w:rsidRPr="00503152">
        <w:rPr>
          <w:rFonts w:ascii="Times New Roman" w:eastAsia="SimSun" w:hAnsi="Times New Roman"/>
          <w:sz w:val="18"/>
          <w:szCs w:val="18"/>
        </w:rPr>
        <w:t xml:space="preserve">on issues such as digital currencies and cross-border payments; and the World Bank </w:t>
      </w:r>
      <w:r>
        <w:rPr>
          <w:rFonts w:ascii="Times New Roman" w:eastAsia="SimSun" w:hAnsi="Times New Roman"/>
          <w:sz w:val="18"/>
          <w:szCs w:val="18"/>
        </w:rPr>
        <w:t>began</w:t>
      </w:r>
      <w:r w:rsidRPr="00503152">
        <w:rPr>
          <w:rFonts w:ascii="Times New Roman" w:eastAsia="SimSun" w:hAnsi="Times New Roman"/>
          <w:sz w:val="18"/>
          <w:szCs w:val="18"/>
        </w:rPr>
        <w:t xml:space="preserve"> to focus on financing</w:t>
      </w:r>
      <w:r>
        <w:rPr>
          <w:rFonts w:ascii="Times New Roman" w:eastAsia="SimSun" w:hAnsi="Times New Roman"/>
          <w:sz w:val="18"/>
          <w:szCs w:val="18"/>
        </w:rPr>
        <w:t xml:space="preserve"> for</w:t>
      </w:r>
      <w:r w:rsidRPr="00503152">
        <w:rPr>
          <w:rFonts w:ascii="Times New Roman" w:eastAsia="SimSun" w:hAnsi="Times New Roman"/>
          <w:sz w:val="18"/>
          <w:szCs w:val="18"/>
        </w:rPr>
        <w:t xml:space="preserve"> digital infrastructure development.</w:t>
      </w:r>
    </w:p>
  </w:footnote>
  <w:footnote w:id="4">
    <w:p w14:paraId="439BEE0B" w14:textId="77777777" w:rsidR="00FB38F1" w:rsidRPr="00E43070" w:rsidRDefault="00FB38F1" w:rsidP="00FB38F1">
      <w:pPr>
        <w:pStyle w:val="FootnoteText"/>
        <w:spacing w:line="240" w:lineRule="exact"/>
        <w:ind w:left="0" w:firstLine="0"/>
        <w:rPr>
          <w:rFonts w:ascii="Times New Roman" w:eastAsia="SimSun" w:hAnsi="Times New Roman"/>
          <w:sz w:val="18"/>
          <w:szCs w:val="18"/>
        </w:rPr>
      </w:pPr>
      <w:r w:rsidRPr="00E43070">
        <w:rPr>
          <w:rStyle w:val="FootnoteReference"/>
          <w:rFonts w:ascii="Times New Roman" w:eastAsia="SimSun" w:hAnsi="Times New Roman"/>
          <w:szCs w:val="18"/>
        </w:rPr>
        <w:footnoteRef/>
      </w:r>
      <w:r w:rsidRPr="00E43070">
        <w:rPr>
          <w:rFonts w:ascii="Times New Roman" w:eastAsia="SimSun" w:hAnsi="Times New Roman"/>
          <w:sz w:val="18"/>
          <w:szCs w:val="18"/>
        </w:rPr>
        <w:t xml:space="preserve"> </w:t>
      </w:r>
      <w:r w:rsidRPr="008B1612">
        <w:rPr>
          <w:rFonts w:ascii="Times New Roman" w:eastAsia="SimSun" w:hAnsi="Times New Roman"/>
          <w:sz w:val="18"/>
          <w:szCs w:val="18"/>
        </w:rPr>
        <w:t>The giant free trade</w:t>
      </w:r>
      <w:r>
        <w:rPr>
          <w:rFonts w:ascii="Times New Roman" w:eastAsia="SimSun" w:hAnsi="Times New Roman"/>
          <w:sz w:val="18"/>
          <w:szCs w:val="18"/>
        </w:rPr>
        <w:t xml:space="preserve"> </w:t>
      </w:r>
      <w:r>
        <w:rPr>
          <w:rFonts w:ascii="Times New Roman" w:eastAsia="SimSun" w:hAnsi="Times New Roman" w:hint="eastAsia"/>
          <w:sz w:val="18"/>
          <w:szCs w:val="18"/>
        </w:rPr>
        <w:t>agreement</w:t>
      </w:r>
      <w:r>
        <w:rPr>
          <w:rFonts w:ascii="Times New Roman" w:eastAsia="SimSun" w:hAnsi="Times New Roman"/>
          <w:sz w:val="18"/>
          <w:szCs w:val="18"/>
        </w:rPr>
        <w:t>s</w:t>
      </w:r>
      <w:r w:rsidRPr="008B1612">
        <w:rPr>
          <w:rFonts w:ascii="Times New Roman" w:eastAsia="SimSun" w:hAnsi="Times New Roman"/>
          <w:sz w:val="18"/>
          <w:szCs w:val="18"/>
        </w:rPr>
        <w:t xml:space="preserve"> mentioned here include, but are not limited to, the signing and entry into force of the </w:t>
      </w:r>
      <w:r w:rsidRPr="00D36584">
        <w:rPr>
          <w:rFonts w:ascii="Times New Roman" w:eastAsia="SimSun" w:hAnsi="Times New Roman"/>
          <w:sz w:val="18"/>
          <w:szCs w:val="18"/>
        </w:rPr>
        <w:t>Trans-Pacific Partnership Agreement</w:t>
      </w:r>
      <w:r w:rsidRPr="008B1612">
        <w:rPr>
          <w:rFonts w:ascii="Times New Roman" w:eastAsia="SimSun" w:hAnsi="Times New Roman"/>
          <w:sz w:val="18"/>
          <w:szCs w:val="18"/>
        </w:rPr>
        <w:t xml:space="preserve"> (TPP)/</w:t>
      </w:r>
      <w:r w:rsidRPr="00D36584">
        <w:rPr>
          <w:rFonts w:ascii="Times New Roman" w:eastAsia="SimSun" w:hAnsi="Times New Roman"/>
          <w:sz w:val="18"/>
          <w:szCs w:val="18"/>
        </w:rPr>
        <w:t>Comprehensive and Progressive Agreement for Trans-Pacific Partnership</w:t>
      </w:r>
      <w:r>
        <w:rPr>
          <w:rFonts w:ascii="Times New Roman" w:eastAsia="SimSun" w:hAnsi="Times New Roman"/>
          <w:sz w:val="18"/>
          <w:szCs w:val="18"/>
        </w:rPr>
        <w:t>(CPTPP)</w:t>
      </w:r>
      <w:r w:rsidRPr="00D36584">
        <w:rPr>
          <w:rFonts w:ascii="Times New Roman" w:eastAsia="SimSun" w:hAnsi="Times New Roman"/>
          <w:sz w:val="18"/>
          <w:szCs w:val="18"/>
        </w:rPr>
        <w:t>,</w:t>
      </w:r>
      <w:r w:rsidRPr="008B1612">
        <w:rPr>
          <w:rFonts w:ascii="Times New Roman" w:eastAsia="SimSun" w:hAnsi="Times New Roman"/>
          <w:sz w:val="18"/>
          <w:szCs w:val="18"/>
        </w:rPr>
        <w:t xml:space="preserve"> </w:t>
      </w:r>
      <w:r w:rsidRPr="00D36584">
        <w:rPr>
          <w:rFonts w:ascii="Times New Roman" w:eastAsia="SimSun" w:hAnsi="Times New Roman"/>
          <w:sz w:val="18"/>
          <w:szCs w:val="18"/>
        </w:rPr>
        <w:t>U.S.-Japan Trade Agreement and U.S.-Japan Digital Trade Agreement,</w:t>
      </w:r>
      <w:r w:rsidRPr="008B1612">
        <w:rPr>
          <w:rFonts w:ascii="Times New Roman" w:eastAsia="SimSun" w:hAnsi="Times New Roman"/>
          <w:sz w:val="18"/>
          <w:szCs w:val="18"/>
        </w:rPr>
        <w:t xml:space="preserve"> the </w:t>
      </w:r>
      <w:r w:rsidRPr="00D36584">
        <w:rPr>
          <w:rFonts w:ascii="Times New Roman" w:eastAsia="SimSun" w:hAnsi="Times New Roman"/>
          <w:sz w:val="18"/>
          <w:szCs w:val="18"/>
        </w:rPr>
        <w:t>EU-Japan Economic Partnership Agreement</w:t>
      </w:r>
      <w:r w:rsidRPr="008B1612">
        <w:rPr>
          <w:rFonts w:ascii="Times New Roman" w:eastAsia="SimSun" w:hAnsi="Times New Roman"/>
          <w:sz w:val="18"/>
          <w:szCs w:val="18"/>
        </w:rPr>
        <w:t xml:space="preserve">, </w:t>
      </w:r>
      <w:r>
        <w:rPr>
          <w:rFonts w:ascii="Times New Roman" w:eastAsia="SimSun" w:hAnsi="Times New Roman"/>
          <w:sz w:val="18"/>
          <w:szCs w:val="18"/>
        </w:rPr>
        <w:t>the Phase One</w:t>
      </w:r>
      <w:r w:rsidRPr="008B1612">
        <w:rPr>
          <w:rFonts w:ascii="Times New Roman" w:eastAsia="SimSun" w:hAnsi="Times New Roman"/>
          <w:sz w:val="18"/>
          <w:szCs w:val="18"/>
        </w:rPr>
        <w:t xml:space="preserve"> of China-U.S. Economic and Trade Agreement,</w:t>
      </w:r>
      <w:r>
        <w:rPr>
          <w:rFonts w:ascii="Times New Roman" w:eastAsia="SimSun" w:hAnsi="Times New Roman"/>
          <w:sz w:val="18"/>
          <w:szCs w:val="18"/>
        </w:rPr>
        <w:t xml:space="preserve"> and</w:t>
      </w:r>
      <w:r w:rsidRPr="008B1612">
        <w:rPr>
          <w:rFonts w:ascii="Times New Roman" w:eastAsia="SimSun" w:hAnsi="Times New Roman"/>
          <w:sz w:val="18"/>
          <w:szCs w:val="18"/>
        </w:rPr>
        <w:t xml:space="preserve"> the Regional Comprehen</w:t>
      </w:r>
      <w:r>
        <w:rPr>
          <w:rFonts w:ascii="Times New Roman" w:eastAsia="SimSun" w:hAnsi="Times New Roman"/>
          <w:sz w:val="18"/>
          <w:szCs w:val="18"/>
        </w:rPr>
        <w:t>sive Economic Partnership (RCEP,</w:t>
      </w:r>
      <w:r w:rsidRPr="00992A93">
        <w:t xml:space="preserve"> </w:t>
      </w:r>
      <w:r>
        <w:rPr>
          <w:rFonts w:ascii="Times New Roman" w:eastAsia="SimSun" w:hAnsi="Times New Roman"/>
          <w:sz w:val="18"/>
          <w:szCs w:val="18"/>
        </w:rPr>
        <w:t>c</w:t>
      </w:r>
      <w:r w:rsidRPr="00992A93">
        <w:rPr>
          <w:rFonts w:ascii="Times New Roman" w:eastAsia="SimSun" w:hAnsi="Times New Roman"/>
          <w:sz w:val="18"/>
          <w:szCs w:val="18"/>
        </w:rPr>
        <w:t>urrently signed and will enter into force in 2022)</w:t>
      </w:r>
      <w:r w:rsidRPr="008B1612">
        <w:rPr>
          <w:rFonts w:ascii="Times New Roman" w:eastAsia="SimSun" w:hAnsi="Times New Roman"/>
          <w:sz w:val="18"/>
          <w:szCs w:val="18"/>
        </w:rPr>
        <w:t xml:space="preserve">,and the advancement of the negotiation process of </w:t>
      </w:r>
      <w:r w:rsidRPr="004B734F">
        <w:rPr>
          <w:rFonts w:ascii="Times New Roman" w:eastAsia="SimSun" w:hAnsi="Times New Roman"/>
          <w:sz w:val="18"/>
          <w:szCs w:val="18"/>
        </w:rPr>
        <w:t>China–EU Comprehensive Agreement on Investment</w:t>
      </w:r>
      <w:r>
        <w:rPr>
          <w:rFonts w:ascii="Times New Roman" w:eastAsia="SimSun" w:hAnsi="Times New Roman"/>
          <w:sz w:val="18"/>
          <w:szCs w:val="18"/>
        </w:rPr>
        <w:t>(CAI)</w:t>
      </w:r>
      <w:r w:rsidRPr="008B1612">
        <w:rPr>
          <w:rFonts w:ascii="Times New Roman" w:eastAsia="SimSun" w:hAnsi="Times New Roman"/>
          <w:sz w:val="18"/>
          <w:szCs w:val="18"/>
        </w:rPr>
        <w:t xml:space="preserve">, and </w:t>
      </w:r>
      <w:r w:rsidRPr="00C6512F">
        <w:rPr>
          <w:rFonts w:ascii="Times New Roman" w:eastAsia="SimSun" w:hAnsi="Times New Roman"/>
          <w:sz w:val="18"/>
          <w:szCs w:val="18"/>
        </w:rPr>
        <w:t>China–Japan–South Korea Free Trade Agreement</w:t>
      </w:r>
      <w:r w:rsidRPr="008B1612">
        <w:rPr>
          <w:rFonts w:ascii="Times New Roman" w:eastAsia="SimSun" w:hAnsi="Times New Roman"/>
          <w:sz w:val="18"/>
          <w:szCs w:val="18"/>
        </w:rPr>
        <w:t>.</w:t>
      </w:r>
    </w:p>
  </w:footnote>
  <w:footnote w:id="5">
    <w:p w14:paraId="5007FFA6" w14:textId="77777777" w:rsidR="00FB38F1" w:rsidRPr="00E43070" w:rsidRDefault="00FB38F1" w:rsidP="00FB38F1">
      <w:pPr>
        <w:pStyle w:val="FootnoteText"/>
        <w:spacing w:line="240" w:lineRule="exact"/>
        <w:ind w:left="0" w:firstLine="0"/>
        <w:rPr>
          <w:rFonts w:ascii="Times New Roman" w:eastAsia="SimSun" w:hAnsi="Times New Roman"/>
          <w:sz w:val="18"/>
          <w:szCs w:val="18"/>
        </w:rPr>
      </w:pPr>
      <w:r w:rsidRPr="00E43070">
        <w:rPr>
          <w:rStyle w:val="FootnoteReference"/>
          <w:rFonts w:ascii="Times New Roman" w:eastAsia="SimSun" w:hAnsi="Times New Roman"/>
          <w:szCs w:val="18"/>
        </w:rPr>
        <w:footnoteRef/>
      </w:r>
      <w:r w:rsidRPr="00E43070">
        <w:rPr>
          <w:rFonts w:ascii="Times New Roman" w:eastAsia="SimSun" w:hAnsi="Times New Roman"/>
          <w:sz w:val="18"/>
          <w:szCs w:val="18"/>
        </w:rPr>
        <w:t xml:space="preserve"> </w:t>
      </w:r>
      <w:proofErr w:type="spellStart"/>
      <w:r w:rsidRPr="00503152">
        <w:rPr>
          <w:rFonts w:ascii="Times New Roman" w:eastAsia="SimSun" w:hAnsi="Times New Roman"/>
          <w:sz w:val="18"/>
          <w:szCs w:val="18"/>
        </w:rPr>
        <w:t>Xinhua</w:t>
      </w:r>
      <w:r>
        <w:rPr>
          <w:rFonts w:ascii="Times New Roman" w:eastAsia="SimSun" w:hAnsi="Times New Roman"/>
          <w:sz w:val="18"/>
          <w:szCs w:val="18"/>
        </w:rPr>
        <w:t>net</w:t>
      </w:r>
      <w:proofErr w:type="spellEnd"/>
      <w:r w:rsidRPr="00503152">
        <w:rPr>
          <w:rFonts w:ascii="Times New Roman" w:eastAsia="SimSun" w:hAnsi="Times New Roman"/>
          <w:sz w:val="18"/>
          <w:szCs w:val="18"/>
        </w:rPr>
        <w:t>: "Xi Jinping meets jointly with German</w:t>
      </w:r>
      <w:r>
        <w:rPr>
          <w:rFonts w:ascii="Times New Roman" w:eastAsia="SimSun" w:hAnsi="Times New Roman"/>
          <w:sz w:val="18"/>
          <w:szCs w:val="18"/>
        </w:rPr>
        <w:t xml:space="preserve"> and</w:t>
      </w:r>
      <w:r w:rsidRPr="00503152">
        <w:rPr>
          <w:rFonts w:ascii="Times New Roman" w:eastAsia="SimSun" w:hAnsi="Times New Roman"/>
          <w:sz w:val="18"/>
          <w:szCs w:val="18"/>
        </w:rPr>
        <w:t xml:space="preserve"> EU leaders"</w:t>
      </w:r>
      <w:r>
        <w:rPr>
          <w:rFonts w:ascii="Times New Roman" w:eastAsia="SimSun" w:hAnsi="Times New Roman"/>
          <w:sz w:val="18"/>
          <w:szCs w:val="18"/>
        </w:rPr>
        <w:t>,</w:t>
      </w:r>
      <w:r w:rsidRPr="00503152">
        <w:rPr>
          <w:rFonts w:ascii="Times New Roman" w:eastAsia="SimSun" w:hAnsi="Times New Roman"/>
          <w:sz w:val="18"/>
          <w:szCs w:val="18"/>
        </w:rPr>
        <w:t xml:space="preserve"> September 15, 2020</w:t>
      </w:r>
      <w:r>
        <w:rPr>
          <w:rFonts w:ascii="Times New Roman" w:eastAsia="SimSun" w:hAnsi="Times New Roman"/>
          <w:sz w:val="18"/>
          <w:szCs w:val="18"/>
        </w:rPr>
        <w:t xml:space="preserve">, </w:t>
      </w:r>
      <w:r w:rsidRPr="00E43070">
        <w:rPr>
          <w:rFonts w:ascii="Times New Roman" w:eastAsia="SimSun" w:hAnsi="Times New Roman"/>
          <w:sz w:val="18"/>
          <w:szCs w:val="18"/>
        </w:rPr>
        <w:t>http://www.xinhuanet.com/politics/leaders/2020-09/15/c_1126493059.htm.</w:t>
      </w:r>
    </w:p>
  </w:footnote>
  <w:footnote w:id="6">
    <w:p w14:paraId="5DE77379" w14:textId="77777777" w:rsidR="00FB38F1" w:rsidRPr="00E43070" w:rsidRDefault="00FB38F1" w:rsidP="00FB38F1">
      <w:pPr>
        <w:pStyle w:val="FootnoteText"/>
        <w:spacing w:line="240" w:lineRule="exact"/>
        <w:ind w:left="0" w:firstLine="0"/>
        <w:rPr>
          <w:rFonts w:ascii="Times New Roman" w:eastAsia="SimSun" w:hAnsi="Times New Roman"/>
          <w:sz w:val="18"/>
          <w:szCs w:val="18"/>
        </w:rPr>
      </w:pPr>
      <w:r w:rsidRPr="00E43070">
        <w:rPr>
          <w:rStyle w:val="FootnoteReference"/>
          <w:rFonts w:ascii="Times New Roman" w:eastAsia="SimSun" w:hAnsi="Times New Roman"/>
          <w:szCs w:val="18"/>
        </w:rPr>
        <w:footnoteRef/>
      </w:r>
      <w:r w:rsidRPr="00E43070">
        <w:rPr>
          <w:rFonts w:ascii="Times New Roman" w:eastAsia="SimSun" w:hAnsi="Times New Roman"/>
          <w:sz w:val="18"/>
          <w:szCs w:val="18"/>
        </w:rPr>
        <w:t xml:space="preserve"> </w:t>
      </w:r>
      <w:r>
        <w:rPr>
          <w:rFonts w:ascii="Times New Roman" w:eastAsia="SimSun" w:hAnsi="Times New Roman"/>
          <w:sz w:val="18"/>
          <w:szCs w:val="18"/>
        </w:rPr>
        <w:t xml:space="preserve">ITU’s </w:t>
      </w:r>
      <w:r w:rsidRPr="005E58AD">
        <w:rPr>
          <w:rFonts w:ascii="Times New Roman" w:eastAsia="SimSun" w:hAnsi="Times New Roman"/>
          <w:sz w:val="18"/>
          <w:szCs w:val="18"/>
        </w:rPr>
        <w:t>Strategic Goals</w:t>
      </w:r>
      <w:r>
        <w:rPr>
          <w:rFonts w:ascii="Times New Roman" w:eastAsia="SimSun" w:hAnsi="Times New Roman"/>
          <w:sz w:val="18"/>
          <w:szCs w:val="18"/>
        </w:rPr>
        <w:t xml:space="preserve"> for 2020-2023</w:t>
      </w:r>
      <w:r w:rsidRPr="005E58AD">
        <w:rPr>
          <w:rFonts w:ascii="Times New Roman" w:eastAsia="SimSun" w:hAnsi="Times New Roman"/>
          <w:sz w:val="18"/>
          <w:szCs w:val="18"/>
        </w:rPr>
        <w:t xml:space="preserve">: </w:t>
      </w:r>
      <w:r>
        <w:rPr>
          <w:rFonts w:ascii="Times New Roman" w:eastAsia="SimSun" w:hAnsi="Times New Roman"/>
          <w:sz w:val="18"/>
          <w:szCs w:val="18"/>
        </w:rPr>
        <w:t>“</w:t>
      </w:r>
      <w:r w:rsidRPr="005E58AD">
        <w:rPr>
          <w:rFonts w:ascii="Times New Roman" w:eastAsia="SimSun" w:hAnsi="Times New Roman"/>
          <w:sz w:val="18"/>
          <w:szCs w:val="18"/>
        </w:rPr>
        <w:t>Goal 1 – Growth: Enable and foster access to and increased use of telecommunications/ICT in support of the digital economy and society; Goal 2 – Inclusiveness: Bridge the digital divide and provide broadband access for all; Goal 3 – Sustainability: Manage emerging risks, challenges and opportunities resulting from the rapid growth of telecommunications/ICT; Goal 4 – Innovation: Enable innovation in telecommunications/ICT in support of the digital transformation of society; Goal 5 – Partnership: Strengthen cooperation among the ITU membership and all other stakeholders in support of all ITU strategic goals</w:t>
      </w:r>
      <w:r>
        <w:rPr>
          <w:rFonts w:ascii="Times New Roman" w:eastAsia="SimSun" w:hAnsi="Times New Roman"/>
          <w:sz w:val="18"/>
          <w:szCs w:val="18"/>
        </w:rPr>
        <w:t>”</w:t>
      </w:r>
      <w:r w:rsidRPr="005E58AD">
        <w:rPr>
          <w:rFonts w:ascii="Times New Roman" w:eastAsia="SimSun" w:hAnsi="Times New Roman"/>
          <w:sz w:val="18"/>
          <w:szCs w:val="18"/>
        </w:rPr>
        <w:t>.</w:t>
      </w:r>
    </w:p>
  </w:footnote>
  <w:footnote w:id="7">
    <w:p w14:paraId="1345BF94" w14:textId="77777777" w:rsidR="00FB38F1" w:rsidRPr="00E43070" w:rsidRDefault="00FB38F1" w:rsidP="00FB38F1">
      <w:pPr>
        <w:pStyle w:val="FootnoteText"/>
        <w:spacing w:line="240" w:lineRule="exact"/>
        <w:ind w:left="0" w:firstLine="0"/>
        <w:rPr>
          <w:rFonts w:ascii="Times New Roman" w:eastAsia="SimSun" w:hAnsi="Times New Roman"/>
          <w:sz w:val="18"/>
          <w:szCs w:val="18"/>
        </w:rPr>
      </w:pPr>
      <w:r w:rsidRPr="00E43070">
        <w:rPr>
          <w:rStyle w:val="FootnoteReference"/>
          <w:rFonts w:ascii="Times New Roman" w:eastAsia="SimSun" w:hAnsi="Times New Roman"/>
          <w:szCs w:val="18"/>
        </w:rPr>
        <w:footnoteRef/>
      </w:r>
      <w:r w:rsidRPr="00E43070">
        <w:rPr>
          <w:rFonts w:ascii="Times New Roman" w:eastAsia="SimSun" w:hAnsi="Times New Roman"/>
          <w:sz w:val="18"/>
          <w:szCs w:val="18"/>
        </w:rPr>
        <w:t xml:space="preserve"> </w:t>
      </w:r>
      <w:r>
        <w:rPr>
          <w:rFonts w:ascii="Times New Roman" w:eastAsia="SimSun" w:hAnsi="Times New Roman" w:hint="eastAsia"/>
          <w:sz w:val="18"/>
          <w:szCs w:val="18"/>
        </w:rPr>
        <w:t>S</w:t>
      </w:r>
      <w:r>
        <w:rPr>
          <w:rFonts w:ascii="Times New Roman" w:eastAsia="SimSun" w:hAnsi="Times New Roman"/>
          <w:sz w:val="18"/>
          <w:szCs w:val="18"/>
        </w:rPr>
        <w:t>ee</w:t>
      </w:r>
      <w:r w:rsidRPr="001E12D1">
        <w:rPr>
          <w:rFonts w:ascii="Times New Roman" w:eastAsia="SimSun" w:hAnsi="Times New Roman"/>
          <w:sz w:val="18"/>
          <w:szCs w:val="18"/>
        </w:rPr>
        <w:t xml:space="preserve"> </w:t>
      </w:r>
      <w:r>
        <w:rPr>
          <w:rFonts w:ascii="Times New Roman" w:eastAsia="SimSun" w:hAnsi="Times New Roman"/>
          <w:sz w:val="18"/>
          <w:szCs w:val="18"/>
        </w:rPr>
        <w:t xml:space="preserve">“Inter-sectoral objectives” part, under </w:t>
      </w:r>
      <w:r w:rsidRPr="001E12D1">
        <w:rPr>
          <w:rFonts w:ascii="Times New Roman" w:eastAsia="SimSun" w:hAnsi="Times New Roman"/>
          <w:sz w:val="18"/>
          <w:szCs w:val="18"/>
        </w:rPr>
        <w:t>Section 2 “ITU results framework”</w:t>
      </w:r>
      <w:r>
        <w:rPr>
          <w:rFonts w:ascii="Times New Roman" w:eastAsia="SimSun" w:hAnsi="Times New Roman"/>
          <w:sz w:val="18"/>
          <w:szCs w:val="18"/>
        </w:rPr>
        <w:t xml:space="preserve"> of the </w:t>
      </w:r>
      <w:r w:rsidRPr="001E12D1">
        <w:rPr>
          <w:rFonts w:ascii="Times New Roman" w:eastAsia="SimSun" w:hAnsi="Times New Roman"/>
          <w:sz w:val="18"/>
          <w:szCs w:val="18"/>
        </w:rPr>
        <w:t xml:space="preserve">ANNEX 1 TO RESOLUTION 71 (REV. DUBAI, 2018) </w:t>
      </w:r>
      <w:r>
        <w:rPr>
          <w:rFonts w:ascii="Times New Roman" w:eastAsia="SimSun" w:hAnsi="Times New Roman"/>
          <w:sz w:val="18"/>
          <w:szCs w:val="18"/>
        </w:rPr>
        <w:t xml:space="preserve">on </w:t>
      </w:r>
      <w:r w:rsidRPr="001E12D1">
        <w:rPr>
          <w:rFonts w:ascii="Times New Roman" w:eastAsia="SimSun" w:hAnsi="Times New Roman"/>
          <w:sz w:val="18"/>
          <w:szCs w:val="18"/>
        </w:rPr>
        <w:t>ITU strategic plan for 2020-2023</w:t>
      </w:r>
      <w:r>
        <w:rPr>
          <w:rFonts w:ascii="Times New Roman" w:eastAsia="SimSun" w:hAnsi="Times New Roman"/>
          <w:sz w:val="18"/>
          <w:szCs w:val="18"/>
        </w:rPr>
        <w:t>.</w:t>
      </w:r>
      <w:r w:rsidRPr="001E12D1">
        <w:rPr>
          <w:rFonts w:ascii="Times New Roman" w:eastAsia="SimSun" w:hAnsi="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E526" w14:textId="76B4FE3E" w:rsidR="00542BAB" w:rsidRDefault="00542BAB" w:rsidP="000854C6">
    <w:pPr>
      <w:pStyle w:val="Header"/>
      <w:spacing w:after="120"/>
    </w:pPr>
    <w:r w:rsidRPr="00FB38F1">
      <w:fldChar w:fldCharType="begin"/>
    </w:r>
    <w:r w:rsidRPr="00FB38F1">
      <w:instrText xml:space="preserve"> PAGE   \* MERGEFORMAT </w:instrText>
    </w:r>
    <w:r w:rsidRPr="00FB38F1">
      <w:fldChar w:fldCharType="separate"/>
    </w:r>
    <w:r w:rsidR="001B1941" w:rsidRPr="00FB38F1">
      <w:rPr>
        <w:noProof/>
      </w:rPr>
      <w:t>2</w:t>
    </w:r>
    <w:r w:rsidRPr="00FB38F1">
      <w:rPr>
        <w:noProof/>
      </w:rPr>
      <w:fldChar w:fldCharType="end"/>
    </w:r>
    <w:r w:rsidRPr="00FB38F1">
      <w:rPr>
        <w:noProof/>
      </w:rPr>
      <w:br/>
    </w:r>
    <w:r w:rsidR="00D412C7" w:rsidRPr="00FB38F1">
      <w:rPr>
        <w:noProof/>
      </w:rPr>
      <w:t>CWG-SFP</w:t>
    </w:r>
    <w:r w:rsidR="00965A18" w:rsidRPr="00FB38F1">
      <w:rPr>
        <w:noProof/>
      </w:rPr>
      <w:t>-1</w:t>
    </w:r>
    <w:r w:rsidR="000854C6" w:rsidRPr="00FB38F1">
      <w:rPr>
        <w:noProof/>
      </w:rPr>
      <w:t>\</w:t>
    </w:r>
    <w:r w:rsidR="00FB38F1" w:rsidRPr="00FB38F1">
      <w:rPr>
        <w:noProof/>
      </w:rPr>
      <w:t>9</w:t>
    </w:r>
    <w:r w:rsidRPr="00FB38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AA141D1"/>
    <w:multiLevelType w:val="hybridMultilevel"/>
    <w:tmpl w:val="BA1EB88A"/>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1"/>
  </w:num>
  <w:num w:numId="4">
    <w:abstractNumId w:val="14"/>
  </w:num>
  <w:num w:numId="5">
    <w:abstractNumId w:val="20"/>
  </w:num>
  <w:num w:numId="6">
    <w:abstractNumId w:val="12"/>
  </w:num>
  <w:num w:numId="7">
    <w:abstractNumId w:val="18"/>
  </w:num>
  <w:num w:numId="8">
    <w:abstractNumId w:val="16"/>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30247"/>
    <w:rsid w:val="0003420F"/>
    <w:rsid w:val="0005540C"/>
    <w:rsid w:val="00063016"/>
    <w:rsid w:val="00066DF5"/>
    <w:rsid w:val="00076AF6"/>
    <w:rsid w:val="00083635"/>
    <w:rsid w:val="000854C6"/>
    <w:rsid w:val="00085CF2"/>
    <w:rsid w:val="000915E5"/>
    <w:rsid w:val="000950D1"/>
    <w:rsid w:val="000B1705"/>
    <w:rsid w:val="000C0529"/>
    <w:rsid w:val="000C2903"/>
    <w:rsid w:val="000C2F74"/>
    <w:rsid w:val="000C37C9"/>
    <w:rsid w:val="000D75B2"/>
    <w:rsid w:val="000E01F5"/>
    <w:rsid w:val="001121F5"/>
    <w:rsid w:val="00140CE1"/>
    <w:rsid w:val="00143690"/>
    <w:rsid w:val="00144165"/>
    <w:rsid w:val="0016020C"/>
    <w:rsid w:val="00171F42"/>
    <w:rsid w:val="0017539C"/>
    <w:rsid w:val="00175AC2"/>
    <w:rsid w:val="0017609F"/>
    <w:rsid w:val="00195328"/>
    <w:rsid w:val="001B1941"/>
    <w:rsid w:val="001C628E"/>
    <w:rsid w:val="001E0F7B"/>
    <w:rsid w:val="001F4FF7"/>
    <w:rsid w:val="001F7552"/>
    <w:rsid w:val="002119FD"/>
    <w:rsid w:val="002130E0"/>
    <w:rsid w:val="00221C8F"/>
    <w:rsid w:val="002238C4"/>
    <w:rsid w:val="002303BC"/>
    <w:rsid w:val="00237401"/>
    <w:rsid w:val="0025471D"/>
    <w:rsid w:val="00256D0F"/>
    <w:rsid w:val="00257BDE"/>
    <w:rsid w:val="00265875"/>
    <w:rsid w:val="00265977"/>
    <w:rsid w:val="002667C5"/>
    <w:rsid w:val="0027303B"/>
    <w:rsid w:val="0028109B"/>
    <w:rsid w:val="002828F3"/>
    <w:rsid w:val="00293DE5"/>
    <w:rsid w:val="00295397"/>
    <w:rsid w:val="002B1870"/>
    <w:rsid w:val="002B1F58"/>
    <w:rsid w:val="002C1C7A"/>
    <w:rsid w:val="002C22D5"/>
    <w:rsid w:val="002C5285"/>
    <w:rsid w:val="002D1E7F"/>
    <w:rsid w:val="002D494F"/>
    <w:rsid w:val="0030160F"/>
    <w:rsid w:val="0032195E"/>
    <w:rsid w:val="00322D0D"/>
    <w:rsid w:val="00326D48"/>
    <w:rsid w:val="0033276E"/>
    <w:rsid w:val="003370ED"/>
    <w:rsid w:val="00337854"/>
    <w:rsid w:val="00337CE2"/>
    <w:rsid w:val="003439CB"/>
    <w:rsid w:val="003662CE"/>
    <w:rsid w:val="003735DF"/>
    <w:rsid w:val="0037461E"/>
    <w:rsid w:val="00375F3C"/>
    <w:rsid w:val="0038108D"/>
    <w:rsid w:val="00384DD6"/>
    <w:rsid w:val="0039110F"/>
    <w:rsid w:val="003914A7"/>
    <w:rsid w:val="003942D4"/>
    <w:rsid w:val="003958A8"/>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6C7"/>
    <w:rsid w:val="004617B3"/>
    <w:rsid w:val="0046438A"/>
    <w:rsid w:val="004648CF"/>
    <w:rsid w:val="00480571"/>
    <w:rsid w:val="004841B7"/>
    <w:rsid w:val="00490E72"/>
    <w:rsid w:val="004921C8"/>
    <w:rsid w:val="0049335F"/>
    <w:rsid w:val="004A29FF"/>
    <w:rsid w:val="004A45DD"/>
    <w:rsid w:val="004B0FC9"/>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4E97"/>
    <w:rsid w:val="0057569B"/>
    <w:rsid w:val="00582442"/>
    <w:rsid w:val="0058499C"/>
    <w:rsid w:val="005A3B8A"/>
    <w:rsid w:val="005B4351"/>
    <w:rsid w:val="005C37A0"/>
    <w:rsid w:val="005D32DC"/>
    <w:rsid w:val="005D6131"/>
    <w:rsid w:val="005F2D25"/>
    <w:rsid w:val="005F40A4"/>
    <w:rsid w:val="00605347"/>
    <w:rsid w:val="006535F1"/>
    <w:rsid w:val="0065557D"/>
    <w:rsid w:val="00662984"/>
    <w:rsid w:val="006716BB"/>
    <w:rsid w:val="006771E7"/>
    <w:rsid w:val="006B472C"/>
    <w:rsid w:val="006B6DCC"/>
    <w:rsid w:val="006B7318"/>
    <w:rsid w:val="006C7699"/>
    <w:rsid w:val="006D3B24"/>
    <w:rsid w:val="006D3B29"/>
    <w:rsid w:val="00733B71"/>
    <w:rsid w:val="00741793"/>
    <w:rsid w:val="0075051B"/>
    <w:rsid w:val="00763E73"/>
    <w:rsid w:val="00782C0B"/>
    <w:rsid w:val="00790142"/>
    <w:rsid w:val="007901DA"/>
    <w:rsid w:val="00794D34"/>
    <w:rsid w:val="007A34B1"/>
    <w:rsid w:val="007C116C"/>
    <w:rsid w:val="007C2E8B"/>
    <w:rsid w:val="007D134F"/>
    <w:rsid w:val="007D7FD5"/>
    <w:rsid w:val="00813E5E"/>
    <w:rsid w:val="0081547A"/>
    <w:rsid w:val="00820BAF"/>
    <w:rsid w:val="0083581B"/>
    <w:rsid w:val="00855BA7"/>
    <w:rsid w:val="00864AFF"/>
    <w:rsid w:val="008662BD"/>
    <w:rsid w:val="00877393"/>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33E81"/>
    <w:rsid w:val="00944BC2"/>
    <w:rsid w:val="00961B0B"/>
    <w:rsid w:val="00965A18"/>
    <w:rsid w:val="00971B4A"/>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1DEA"/>
    <w:rsid w:val="00A620DA"/>
    <w:rsid w:val="00A83502"/>
    <w:rsid w:val="00AA0BEA"/>
    <w:rsid w:val="00AB2815"/>
    <w:rsid w:val="00AB393C"/>
    <w:rsid w:val="00AC393D"/>
    <w:rsid w:val="00AF6E49"/>
    <w:rsid w:val="00B04A67"/>
    <w:rsid w:val="00B0583C"/>
    <w:rsid w:val="00B131C2"/>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24A9E"/>
    <w:rsid w:val="00C26704"/>
    <w:rsid w:val="00C374DE"/>
    <w:rsid w:val="00C37D85"/>
    <w:rsid w:val="00C413A2"/>
    <w:rsid w:val="00C47AD4"/>
    <w:rsid w:val="00C52D81"/>
    <w:rsid w:val="00C55198"/>
    <w:rsid w:val="00C664FA"/>
    <w:rsid w:val="00C7265C"/>
    <w:rsid w:val="00C8040F"/>
    <w:rsid w:val="00CA238E"/>
    <w:rsid w:val="00CA6393"/>
    <w:rsid w:val="00CB18FF"/>
    <w:rsid w:val="00CC5EF0"/>
    <w:rsid w:val="00CD0C08"/>
    <w:rsid w:val="00CE03FB"/>
    <w:rsid w:val="00CE433C"/>
    <w:rsid w:val="00CF33F3"/>
    <w:rsid w:val="00D00FA2"/>
    <w:rsid w:val="00D0338D"/>
    <w:rsid w:val="00D06183"/>
    <w:rsid w:val="00D22C42"/>
    <w:rsid w:val="00D30768"/>
    <w:rsid w:val="00D3608E"/>
    <w:rsid w:val="00D412C7"/>
    <w:rsid w:val="00D65041"/>
    <w:rsid w:val="00D9148E"/>
    <w:rsid w:val="00D945E6"/>
    <w:rsid w:val="00DA51F3"/>
    <w:rsid w:val="00DA6905"/>
    <w:rsid w:val="00DB6DC2"/>
    <w:rsid w:val="00DE2B20"/>
    <w:rsid w:val="00DF0F5D"/>
    <w:rsid w:val="00E00F7D"/>
    <w:rsid w:val="00E10E80"/>
    <w:rsid w:val="00E124F0"/>
    <w:rsid w:val="00E378C5"/>
    <w:rsid w:val="00E53777"/>
    <w:rsid w:val="00E60F04"/>
    <w:rsid w:val="00E8113B"/>
    <w:rsid w:val="00E9013A"/>
    <w:rsid w:val="00EA48F9"/>
    <w:rsid w:val="00EB0D6F"/>
    <w:rsid w:val="00EB2232"/>
    <w:rsid w:val="00EB52A2"/>
    <w:rsid w:val="00EC1A42"/>
    <w:rsid w:val="00EC5337"/>
    <w:rsid w:val="00EE2A3B"/>
    <w:rsid w:val="00F2150A"/>
    <w:rsid w:val="00F231D8"/>
    <w:rsid w:val="00F44ED7"/>
    <w:rsid w:val="00F46C5F"/>
    <w:rsid w:val="00F54A63"/>
    <w:rsid w:val="00F56D59"/>
    <w:rsid w:val="00F70098"/>
    <w:rsid w:val="00F856EC"/>
    <w:rsid w:val="00F863A8"/>
    <w:rsid w:val="00F94A63"/>
    <w:rsid w:val="00F96CA1"/>
    <w:rsid w:val="00FB38F1"/>
    <w:rsid w:val="00FB7596"/>
    <w:rsid w:val="00FC08D9"/>
    <w:rsid w:val="00FD60B3"/>
    <w:rsid w:val="00FE1048"/>
    <w:rsid w:val="00FE392A"/>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160C20"/>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DEA"/>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A61D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1DEA"/>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D30768"/>
    <w:pPr>
      <w:spacing w:before="480" w:after="0"/>
      <w:jc w:val="center"/>
    </w:pPr>
    <w:rPr>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caps/>
    </w:rPr>
  </w:style>
  <w:style w:type="paragraph" w:customStyle="1" w:styleId="Title2">
    <w:name w:val="Title 2"/>
    <w:basedOn w:val="Source"/>
    <w:next w:val="Title3"/>
    <w:rsid w:val="00EE2A3B"/>
    <w:pPr>
      <w:spacing w:before="240"/>
    </w:pPr>
    <w:rPr>
      <w:b/>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val="0"/>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984F-D56C-46C3-8EC7-FA1643A4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844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Contribution from the People’s Republic of China-Recommendations to Include Leveraging Existing High-level International Meeting Platforms to Promote Global Consensus on Digital Governance in the Inter-sectoral Objectives of ITU Strategic Plan for 2024-20</vt:lpstr>
    </vt:vector>
  </TitlesOfParts>
  <Manager>General Secretariat - Pool</Manager>
  <Company>International Telecommunication Union (ITU)</Company>
  <LinksUpToDate>false</LinksUpToDate>
  <CharactersWithSpaces>6102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People’s Republic of China-Recommendations to Include Leveraging Existing High-level International Meeting Platforms to Promote Global Consensus on Digital Governance in the Inter-sectoral Objectives of ITU Strategic Plan for 2024-2027</dc:title>
  <dc:subject>Counciil Working Group for Strategic and Financial Plans 2024-2027</dc:subject>
  <dc:creator>Brouard, Ricarda</dc:creator>
  <cp:keywords>CWG-SFP, CWG, CWGs &amp; EGs</cp:keywords>
  <dc:description/>
  <cp:lastModifiedBy>Xue, Kun</cp:lastModifiedBy>
  <cp:revision>7</cp:revision>
  <cp:lastPrinted>2000-07-18T13:30:00Z</cp:lastPrinted>
  <dcterms:created xsi:type="dcterms:W3CDTF">2021-09-14T12:07:00Z</dcterms:created>
  <dcterms:modified xsi:type="dcterms:W3CDTF">2021-09-14T13:03:00Z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