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8F0ADA" w14:paraId="2F304ECF" w14:textId="77777777">
        <w:trPr>
          <w:cantSplit/>
        </w:trPr>
        <w:tc>
          <w:tcPr>
            <w:tcW w:w="6911" w:type="dxa"/>
          </w:tcPr>
          <w:p w14:paraId="0298AA66" w14:textId="434ECF7F" w:rsidR="00700D1F" w:rsidRPr="008F0ADA" w:rsidRDefault="003C68C5" w:rsidP="008F0ADA">
            <w:pPr>
              <w:spacing w:before="360" w:after="48"/>
              <w:rPr>
                <w:rFonts w:cs="Calibri"/>
                <w:position w:val="6"/>
                <w:lang w:eastAsia="zh-CN"/>
              </w:rPr>
            </w:pPr>
            <w:r w:rsidRPr="008F0ADA">
              <w:rPr>
                <w:rFonts w:cs="Calibri" w:hint="eastAsia"/>
                <w:b/>
                <w:sz w:val="28"/>
                <w:szCs w:val="28"/>
                <w:lang w:eastAsia="zh-CN"/>
              </w:rPr>
              <w:t>理事会制定</w:t>
            </w:r>
            <w:r w:rsidRPr="008F0ADA">
              <w:rPr>
                <w:rFonts w:cs="Calibri"/>
                <w:b/>
                <w:sz w:val="28"/>
                <w:szCs w:val="28"/>
                <w:lang w:eastAsia="zh-CN"/>
              </w:rPr>
              <w:t>202</w:t>
            </w:r>
            <w:r w:rsidR="009D2585" w:rsidRPr="008F0ADA">
              <w:rPr>
                <w:rFonts w:cs="Calibri" w:hint="eastAsia"/>
                <w:b/>
                <w:sz w:val="28"/>
                <w:szCs w:val="28"/>
                <w:lang w:eastAsia="zh-CN"/>
              </w:rPr>
              <w:t>4</w:t>
            </w:r>
            <w:r w:rsidRPr="008F0ADA">
              <w:rPr>
                <w:rFonts w:cs="Calibri"/>
                <w:b/>
                <w:sz w:val="28"/>
                <w:szCs w:val="28"/>
                <w:lang w:eastAsia="zh-CN"/>
              </w:rPr>
              <w:t>-202</w:t>
            </w:r>
            <w:r w:rsidR="009D2585" w:rsidRPr="008F0ADA">
              <w:rPr>
                <w:rFonts w:cs="Calibri" w:hint="eastAsia"/>
                <w:b/>
                <w:sz w:val="28"/>
                <w:szCs w:val="28"/>
                <w:lang w:eastAsia="zh-CN"/>
              </w:rPr>
              <w:t>7</w:t>
            </w:r>
            <w:r w:rsidRPr="008F0ADA">
              <w:rPr>
                <w:rFonts w:cs="Calibri" w:hint="eastAsia"/>
                <w:b/>
                <w:sz w:val="28"/>
                <w:szCs w:val="28"/>
                <w:lang w:eastAsia="zh-CN"/>
              </w:rPr>
              <w:t>年战略</w:t>
            </w:r>
            <w:r w:rsidR="00654A24" w:rsidRPr="008F0ADA">
              <w:rPr>
                <w:rFonts w:cs="Calibri" w:hint="eastAsia"/>
                <w:b/>
                <w:sz w:val="28"/>
                <w:szCs w:val="28"/>
                <w:lang w:eastAsia="zh-CN"/>
              </w:rPr>
              <w:t>规划</w:t>
            </w:r>
            <w:r w:rsidRPr="008F0ADA">
              <w:rPr>
                <w:rFonts w:cs="Calibri"/>
                <w:b/>
                <w:sz w:val="28"/>
                <w:szCs w:val="28"/>
                <w:lang w:eastAsia="zh-CN"/>
              </w:rPr>
              <w:t>和财务规划工作组</w:t>
            </w:r>
            <w:r w:rsidRPr="008F0ADA">
              <w:rPr>
                <w:rFonts w:cs="Calibri"/>
                <w:b/>
                <w:bCs/>
                <w:lang w:eastAsia="zh-CN"/>
              </w:rPr>
              <w:br/>
            </w:r>
            <w:r w:rsidRPr="008F0ADA">
              <w:rPr>
                <w:rFonts w:cs="Calibri" w:hint="eastAsia"/>
                <w:b/>
                <w:lang w:eastAsia="zh-CN"/>
              </w:rPr>
              <w:t>第</w:t>
            </w:r>
            <w:r w:rsidR="009D2585" w:rsidRPr="008F0ADA">
              <w:rPr>
                <w:rFonts w:cs="Calibri" w:hint="eastAsia"/>
                <w:b/>
                <w:lang w:eastAsia="zh-CN"/>
              </w:rPr>
              <w:t>一</w:t>
            </w:r>
            <w:r w:rsidRPr="008F0ADA">
              <w:rPr>
                <w:rFonts w:cs="Calibri"/>
                <w:b/>
                <w:lang w:eastAsia="zh-CN"/>
              </w:rPr>
              <w:t>次会议</w:t>
            </w:r>
            <w:r w:rsidRPr="008F0ADA">
              <w:rPr>
                <w:rFonts w:cs="Calibri"/>
                <w:b/>
                <w:lang w:eastAsia="zh-CN"/>
              </w:rPr>
              <w:t xml:space="preserve"> </w:t>
            </w:r>
            <w:r w:rsidRPr="008F0ADA">
              <w:rPr>
                <w:rFonts w:cs="Calibri"/>
                <w:b/>
                <w:color w:val="000000"/>
                <w:lang w:eastAsia="zh-CN"/>
              </w:rPr>
              <w:t>–</w:t>
            </w:r>
            <w:r w:rsidRPr="008F0ADA">
              <w:rPr>
                <w:rFonts w:cs="Calibri"/>
                <w:b/>
                <w:lang w:eastAsia="zh-CN"/>
              </w:rPr>
              <w:t xml:space="preserve"> </w:t>
            </w:r>
            <w:r w:rsidR="009D2585" w:rsidRPr="008F0ADA">
              <w:rPr>
                <w:rFonts w:cs="Calibri" w:hint="eastAsia"/>
                <w:b/>
                <w:lang w:eastAsia="zh-CN"/>
              </w:rPr>
              <w:t>虚拟会议，</w:t>
            </w:r>
            <w:r w:rsidRPr="008F0ADA">
              <w:rPr>
                <w:rFonts w:cs="Calibri"/>
                <w:b/>
                <w:lang w:eastAsia="zh-CN"/>
              </w:rPr>
              <w:t>20</w:t>
            </w:r>
            <w:r w:rsidR="009D2585" w:rsidRPr="008F0ADA">
              <w:rPr>
                <w:rFonts w:cs="Calibri" w:hint="eastAsia"/>
                <w:b/>
                <w:lang w:eastAsia="zh-CN"/>
              </w:rPr>
              <w:t>21</w:t>
            </w:r>
            <w:r w:rsidRPr="008F0ADA">
              <w:rPr>
                <w:rFonts w:cs="Calibri"/>
                <w:b/>
                <w:lang w:eastAsia="zh-CN"/>
              </w:rPr>
              <w:t>年</w:t>
            </w:r>
            <w:r w:rsidR="009D2585" w:rsidRPr="008F0ADA">
              <w:rPr>
                <w:rFonts w:cs="Calibri" w:hint="eastAsia"/>
                <w:b/>
                <w:lang w:eastAsia="zh-CN"/>
              </w:rPr>
              <w:t>9</w:t>
            </w:r>
            <w:r w:rsidRPr="008F0ADA">
              <w:rPr>
                <w:rFonts w:cs="Calibri"/>
                <w:b/>
                <w:lang w:eastAsia="zh-CN"/>
              </w:rPr>
              <w:t>月</w:t>
            </w:r>
            <w:r w:rsidR="009D2585" w:rsidRPr="008F0ADA">
              <w:rPr>
                <w:rFonts w:cs="Calibri" w:hint="eastAsia"/>
                <w:b/>
                <w:lang w:eastAsia="zh-CN"/>
              </w:rPr>
              <w:t>29-30</w:t>
            </w:r>
            <w:r w:rsidRPr="008F0ADA">
              <w:rPr>
                <w:rFonts w:cs="Calibri" w:hint="eastAsia"/>
                <w:b/>
                <w:lang w:eastAsia="zh-CN"/>
              </w:rPr>
              <w:t>日</w:t>
            </w:r>
          </w:p>
        </w:tc>
        <w:tc>
          <w:tcPr>
            <w:tcW w:w="3120" w:type="dxa"/>
          </w:tcPr>
          <w:p w14:paraId="35CDB1F2" w14:textId="77777777" w:rsidR="00700D1F" w:rsidRPr="008F0ADA" w:rsidRDefault="009D2585" w:rsidP="008F0ADA">
            <w:pPr>
              <w:spacing w:before="0"/>
              <w:rPr>
                <w:rFonts w:cs="Calibri"/>
              </w:rPr>
            </w:pPr>
            <w:bookmarkStart w:id="0" w:name="ditulogo"/>
            <w:bookmarkEnd w:id="0"/>
            <w:r w:rsidRPr="008F0ADA">
              <w:rPr>
                <w:rFonts w:cs="Calibri"/>
                <w:noProof/>
                <w:lang w:val="en-US" w:eastAsia="zh-CN"/>
              </w:rPr>
              <w:drawing>
                <wp:inline distT="0" distB="0" distL="0" distR="0" wp14:anchorId="72BADE7E" wp14:editId="05F67685">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8F0ADA" w14:paraId="0ED93A40" w14:textId="77777777">
        <w:trPr>
          <w:cantSplit/>
        </w:trPr>
        <w:tc>
          <w:tcPr>
            <w:tcW w:w="6911" w:type="dxa"/>
            <w:tcBorders>
              <w:bottom w:val="single" w:sz="12" w:space="0" w:color="auto"/>
            </w:tcBorders>
          </w:tcPr>
          <w:p w14:paraId="6B4C2706" w14:textId="77777777" w:rsidR="00700D1F" w:rsidRPr="008F0ADA" w:rsidRDefault="00700D1F" w:rsidP="008F0ADA">
            <w:pPr>
              <w:spacing w:before="0" w:after="48"/>
              <w:rPr>
                <w:rFonts w:cs="Calibri"/>
                <w:b/>
                <w:smallCaps/>
                <w:szCs w:val="24"/>
              </w:rPr>
            </w:pPr>
          </w:p>
        </w:tc>
        <w:tc>
          <w:tcPr>
            <w:tcW w:w="3120" w:type="dxa"/>
            <w:tcBorders>
              <w:bottom w:val="single" w:sz="12" w:space="0" w:color="auto"/>
            </w:tcBorders>
          </w:tcPr>
          <w:p w14:paraId="63820A7D" w14:textId="77777777" w:rsidR="00700D1F" w:rsidRPr="008F0ADA" w:rsidRDefault="00700D1F" w:rsidP="008F0ADA">
            <w:pPr>
              <w:spacing w:before="0"/>
              <w:rPr>
                <w:rFonts w:cs="Calibri"/>
                <w:szCs w:val="24"/>
              </w:rPr>
            </w:pPr>
          </w:p>
        </w:tc>
      </w:tr>
      <w:tr w:rsidR="00700D1F" w:rsidRPr="008F0ADA" w14:paraId="6141D7F6" w14:textId="77777777">
        <w:trPr>
          <w:cantSplit/>
        </w:trPr>
        <w:tc>
          <w:tcPr>
            <w:tcW w:w="6911" w:type="dxa"/>
            <w:tcBorders>
              <w:top w:val="single" w:sz="12" w:space="0" w:color="auto"/>
            </w:tcBorders>
          </w:tcPr>
          <w:p w14:paraId="3E9C5EC0" w14:textId="77777777" w:rsidR="00700D1F" w:rsidRPr="008F0ADA" w:rsidRDefault="00700D1F" w:rsidP="008F0ADA">
            <w:pPr>
              <w:spacing w:before="0" w:after="48"/>
              <w:rPr>
                <w:rFonts w:cs="Calibri"/>
                <w:b/>
                <w:smallCaps/>
                <w:szCs w:val="24"/>
              </w:rPr>
            </w:pPr>
          </w:p>
        </w:tc>
        <w:tc>
          <w:tcPr>
            <w:tcW w:w="3120" w:type="dxa"/>
            <w:tcBorders>
              <w:top w:val="single" w:sz="12" w:space="0" w:color="auto"/>
            </w:tcBorders>
          </w:tcPr>
          <w:p w14:paraId="0FEBB9C1" w14:textId="77777777" w:rsidR="00700D1F" w:rsidRPr="008F0ADA" w:rsidRDefault="00700D1F" w:rsidP="008F0ADA">
            <w:pPr>
              <w:spacing w:before="0"/>
              <w:rPr>
                <w:rFonts w:cs="Calibri"/>
                <w:szCs w:val="24"/>
              </w:rPr>
            </w:pPr>
          </w:p>
        </w:tc>
      </w:tr>
      <w:tr w:rsidR="003C68C5" w:rsidRPr="008F0ADA" w14:paraId="0B6B73AD" w14:textId="77777777">
        <w:trPr>
          <w:cantSplit/>
          <w:trHeight w:val="23"/>
        </w:trPr>
        <w:tc>
          <w:tcPr>
            <w:tcW w:w="6911" w:type="dxa"/>
            <w:vMerge w:val="restart"/>
          </w:tcPr>
          <w:p w14:paraId="3606D0B5" w14:textId="77777777" w:rsidR="003C68C5" w:rsidRPr="008F0ADA" w:rsidRDefault="003C68C5" w:rsidP="008F0ADA">
            <w:pPr>
              <w:tabs>
                <w:tab w:val="left" w:pos="851"/>
              </w:tabs>
              <w:rPr>
                <w:rFonts w:cs="Calibri"/>
                <w:b/>
                <w:szCs w:val="24"/>
                <w:lang w:eastAsia="zh-CN"/>
              </w:rPr>
            </w:pPr>
            <w:bookmarkStart w:id="1" w:name="dmeeting" w:colFirst="0" w:colLast="0"/>
          </w:p>
        </w:tc>
        <w:tc>
          <w:tcPr>
            <w:tcW w:w="3120" w:type="dxa"/>
          </w:tcPr>
          <w:p w14:paraId="3E818F83" w14:textId="39A0B746" w:rsidR="003C68C5" w:rsidRPr="008F0ADA" w:rsidRDefault="003C68C5" w:rsidP="00FF0C6B">
            <w:pPr>
              <w:tabs>
                <w:tab w:val="left" w:pos="851"/>
              </w:tabs>
              <w:spacing w:before="0"/>
              <w:rPr>
                <w:rFonts w:cs="Calibri"/>
                <w:b/>
                <w:bCs/>
              </w:rPr>
            </w:pPr>
            <w:proofErr w:type="spellStart"/>
            <w:r w:rsidRPr="008F0ADA">
              <w:rPr>
                <w:rFonts w:cs="Calibri" w:hint="eastAsia"/>
                <w:b/>
                <w:bCs/>
                <w:lang w:val="fr-CH"/>
              </w:rPr>
              <w:t>文件</w:t>
            </w:r>
            <w:proofErr w:type="spellEnd"/>
            <w:r w:rsidRPr="008F0ADA">
              <w:rPr>
                <w:rFonts w:cs="Calibri"/>
                <w:b/>
                <w:bCs/>
                <w:sz w:val="20"/>
              </w:rPr>
              <w:t xml:space="preserve"> </w:t>
            </w:r>
            <w:r w:rsidR="009B0BC1" w:rsidRPr="008F0ADA">
              <w:rPr>
                <w:rFonts w:cs="Calibri"/>
                <w:b/>
                <w:spacing w:val="-4"/>
                <w:lang w:val="de-CH"/>
              </w:rPr>
              <w:t>CWG-SFP-1</w:t>
            </w:r>
            <w:r w:rsidR="009B0BC1" w:rsidRPr="008F0ADA">
              <w:rPr>
                <w:rFonts w:cs="Calibri"/>
                <w:b/>
                <w:bCs/>
                <w:spacing w:val="-4"/>
                <w:lang w:val="fr-CH"/>
              </w:rPr>
              <w:t>/</w:t>
            </w:r>
            <w:r w:rsidR="00F71943" w:rsidRPr="008F0ADA">
              <w:rPr>
                <w:rFonts w:cs="Calibri"/>
                <w:b/>
                <w:bCs/>
                <w:spacing w:val="-4"/>
                <w:lang w:val="fr-CH" w:eastAsia="zh-CN"/>
              </w:rPr>
              <w:t>9</w:t>
            </w:r>
            <w:r w:rsidR="009B0BC1" w:rsidRPr="008F0ADA">
              <w:rPr>
                <w:rFonts w:cs="Calibri"/>
                <w:b/>
                <w:bCs/>
                <w:spacing w:val="-4"/>
                <w:lang w:val="fr-CH"/>
              </w:rPr>
              <w:t>-C</w:t>
            </w:r>
          </w:p>
        </w:tc>
      </w:tr>
      <w:bookmarkEnd w:id="1"/>
      <w:tr w:rsidR="003C68C5" w:rsidRPr="008F0ADA" w14:paraId="111441F2" w14:textId="77777777">
        <w:trPr>
          <w:cantSplit/>
          <w:trHeight w:val="23"/>
        </w:trPr>
        <w:tc>
          <w:tcPr>
            <w:tcW w:w="6911" w:type="dxa"/>
            <w:vMerge/>
          </w:tcPr>
          <w:p w14:paraId="34417A95" w14:textId="77777777" w:rsidR="003C68C5" w:rsidRPr="008F0ADA" w:rsidRDefault="003C68C5" w:rsidP="008F0ADA">
            <w:pPr>
              <w:tabs>
                <w:tab w:val="left" w:pos="851"/>
              </w:tabs>
              <w:rPr>
                <w:rFonts w:cs="Calibri"/>
                <w:b/>
                <w:lang w:eastAsia="zh-CN"/>
              </w:rPr>
            </w:pPr>
          </w:p>
        </w:tc>
        <w:tc>
          <w:tcPr>
            <w:tcW w:w="3120" w:type="dxa"/>
          </w:tcPr>
          <w:p w14:paraId="4F086B96" w14:textId="285933D6" w:rsidR="003C68C5" w:rsidRPr="008F0ADA" w:rsidRDefault="009B0BC1" w:rsidP="00FF0C6B">
            <w:pPr>
              <w:tabs>
                <w:tab w:val="left" w:pos="993"/>
              </w:tabs>
              <w:spacing w:before="0"/>
              <w:rPr>
                <w:rFonts w:cs="Calibri"/>
                <w:b/>
                <w:bCs/>
              </w:rPr>
            </w:pPr>
            <w:r w:rsidRPr="008F0ADA">
              <w:rPr>
                <w:rFonts w:cs="Calibri"/>
                <w:b/>
              </w:rPr>
              <w:t>20</w:t>
            </w:r>
            <w:r w:rsidRPr="008F0ADA">
              <w:rPr>
                <w:rFonts w:cs="Calibri" w:hint="eastAsia"/>
                <w:b/>
                <w:lang w:eastAsia="zh-CN"/>
              </w:rPr>
              <w:t>21</w:t>
            </w:r>
            <w:r w:rsidR="003C68C5" w:rsidRPr="008F0ADA">
              <w:rPr>
                <w:rFonts w:cs="Calibri" w:hint="eastAsia"/>
                <w:b/>
              </w:rPr>
              <w:t>年</w:t>
            </w:r>
            <w:r w:rsidR="00391E27" w:rsidRPr="008F0ADA">
              <w:rPr>
                <w:rFonts w:cs="Calibri"/>
                <w:b/>
                <w:lang w:eastAsia="zh-CN"/>
              </w:rPr>
              <w:t>9</w:t>
            </w:r>
            <w:r w:rsidR="003C68C5" w:rsidRPr="008F0ADA">
              <w:rPr>
                <w:rFonts w:cs="Calibri" w:hint="eastAsia"/>
                <w:b/>
              </w:rPr>
              <w:t>月</w:t>
            </w:r>
            <w:r w:rsidR="00391E27" w:rsidRPr="008F0ADA">
              <w:rPr>
                <w:rFonts w:cs="Calibri"/>
                <w:b/>
                <w:lang w:eastAsia="zh-CN"/>
              </w:rPr>
              <w:t>13</w:t>
            </w:r>
            <w:r w:rsidR="003C68C5" w:rsidRPr="008F0ADA">
              <w:rPr>
                <w:rFonts w:cs="Calibri" w:hint="eastAsia"/>
                <w:b/>
              </w:rPr>
              <w:t>日</w:t>
            </w:r>
          </w:p>
        </w:tc>
      </w:tr>
      <w:tr w:rsidR="003C68C5" w:rsidRPr="008F0ADA" w14:paraId="41DCBBCD" w14:textId="77777777">
        <w:trPr>
          <w:cantSplit/>
          <w:trHeight w:val="23"/>
        </w:trPr>
        <w:tc>
          <w:tcPr>
            <w:tcW w:w="6911" w:type="dxa"/>
            <w:vMerge/>
          </w:tcPr>
          <w:p w14:paraId="51329C55" w14:textId="77777777" w:rsidR="003C68C5" w:rsidRPr="008F0ADA" w:rsidRDefault="003C68C5" w:rsidP="008F0ADA">
            <w:pPr>
              <w:tabs>
                <w:tab w:val="left" w:pos="851"/>
              </w:tabs>
              <w:rPr>
                <w:rFonts w:cs="Calibri"/>
                <w:b/>
                <w:lang w:eastAsia="zh-CN"/>
              </w:rPr>
            </w:pPr>
          </w:p>
        </w:tc>
        <w:tc>
          <w:tcPr>
            <w:tcW w:w="3120" w:type="dxa"/>
          </w:tcPr>
          <w:p w14:paraId="1DA4444B" w14:textId="7B2846BC" w:rsidR="003C68C5" w:rsidRPr="008F0ADA" w:rsidRDefault="003C68C5" w:rsidP="00FF0C6B">
            <w:pPr>
              <w:tabs>
                <w:tab w:val="left" w:pos="993"/>
              </w:tabs>
              <w:spacing w:before="0"/>
              <w:rPr>
                <w:rFonts w:cs="Calibri"/>
                <w:b/>
                <w:bCs/>
              </w:rPr>
            </w:pPr>
            <w:proofErr w:type="spellStart"/>
            <w:r w:rsidRPr="008F0ADA">
              <w:rPr>
                <w:rFonts w:cs="Calibri" w:hint="eastAsia"/>
                <w:b/>
                <w:bCs/>
              </w:rPr>
              <w:t>原文</w:t>
            </w:r>
            <w:proofErr w:type="spellEnd"/>
            <w:r w:rsidRPr="008F0ADA">
              <w:rPr>
                <w:rFonts w:cs="Calibri" w:hint="eastAsia"/>
                <w:b/>
                <w:bCs/>
              </w:rPr>
              <w:t>：</w:t>
            </w:r>
            <w:r w:rsidR="00391E27" w:rsidRPr="008F0ADA">
              <w:rPr>
                <w:rFonts w:cs="Calibri" w:hint="eastAsia"/>
                <w:b/>
                <w:bCs/>
                <w:lang w:eastAsia="zh-CN"/>
              </w:rPr>
              <w:t>英</w:t>
            </w:r>
            <w:r w:rsidRPr="008F0ADA">
              <w:rPr>
                <w:rFonts w:cs="Calibri" w:hint="eastAsia"/>
                <w:b/>
                <w:bCs/>
              </w:rPr>
              <w:t>文</w:t>
            </w:r>
          </w:p>
        </w:tc>
      </w:tr>
      <w:tr w:rsidR="00255889" w:rsidRPr="008F0ADA" w14:paraId="0A1E005F" w14:textId="77777777" w:rsidTr="00914363">
        <w:trPr>
          <w:cantSplit/>
          <w:trHeight w:val="23"/>
        </w:trPr>
        <w:tc>
          <w:tcPr>
            <w:tcW w:w="10031" w:type="dxa"/>
            <w:gridSpan w:val="2"/>
          </w:tcPr>
          <w:p w14:paraId="328DEF31" w14:textId="34EC1DB0" w:rsidR="00255889" w:rsidRPr="00255889" w:rsidRDefault="00255889" w:rsidP="00255889">
            <w:pPr>
              <w:spacing w:before="360"/>
              <w:jc w:val="center"/>
              <w:rPr>
                <w:rFonts w:cs="Calibri"/>
                <w:b/>
                <w:sz w:val="28"/>
                <w:lang w:eastAsia="zh-CN"/>
              </w:rPr>
            </w:pPr>
            <w:bookmarkStart w:id="2" w:name="lt_pId010"/>
            <w:r w:rsidRPr="008F0ADA">
              <w:rPr>
                <w:rFonts w:cs="Calibri" w:hint="eastAsia"/>
                <w:b/>
                <w:sz w:val="28"/>
                <w:lang w:eastAsia="zh-CN"/>
              </w:rPr>
              <w:t>中华人民共和国</w:t>
            </w:r>
            <w:r>
              <w:rPr>
                <w:rFonts w:cs="Calibri" w:hint="eastAsia"/>
                <w:b/>
                <w:sz w:val="28"/>
                <w:lang w:eastAsia="zh-CN"/>
              </w:rPr>
              <w:t>提交的</w:t>
            </w:r>
            <w:r w:rsidRPr="008F0ADA">
              <w:rPr>
                <w:rFonts w:cs="Calibri" w:hint="eastAsia"/>
                <w:b/>
                <w:sz w:val="28"/>
                <w:lang w:eastAsia="zh-CN"/>
              </w:rPr>
              <w:t>文稿</w:t>
            </w:r>
            <w:bookmarkEnd w:id="2"/>
          </w:p>
        </w:tc>
      </w:tr>
      <w:tr w:rsidR="00255889" w:rsidRPr="008F0ADA" w14:paraId="4BCA8F66" w14:textId="77777777" w:rsidTr="00914363">
        <w:trPr>
          <w:cantSplit/>
          <w:trHeight w:val="23"/>
        </w:trPr>
        <w:tc>
          <w:tcPr>
            <w:tcW w:w="10031" w:type="dxa"/>
            <w:gridSpan w:val="2"/>
          </w:tcPr>
          <w:p w14:paraId="79B5BAC2" w14:textId="5C911F2C" w:rsidR="00255889" w:rsidRPr="00255889" w:rsidRDefault="00255889" w:rsidP="00255889">
            <w:pPr>
              <w:pStyle w:val="Title1"/>
              <w:rPr>
                <w:lang w:val="en-US" w:eastAsia="zh-CN"/>
              </w:rPr>
            </w:pPr>
            <w:r w:rsidRPr="008F0ADA">
              <w:rPr>
                <w:rFonts w:hint="eastAsia"/>
                <w:lang w:val="en-US" w:eastAsia="zh-CN"/>
              </w:rPr>
              <w:t>关于将利用现有高级别国际会议平台促进全球数字治理共识</w:t>
            </w:r>
            <w:r>
              <w:rPr>
                <w:lang w:val="en-US" w:eastAsia="zh-CN"/>
              </w:rPr>
              <w:br/>
            </w:r>
            <w:r w:rsidRPr="008F0ADA">
              <w:rPr>
                <w:rFonts w:hint="eastAsia"/>
                <w:lang w:val="en-US" w:eastAsia="zh-CN"/>
              </w:rPr>
              <w:t>纳入</w:t>
            </w:r>
            <w:r w:rsidRPr="008F0ADA">
              <w:rPr>
                <w:rFonts w:hint="eastAsia"/>
                <w:lang w:val="en-US" w:eastAsia="zh-CN"/>
              </w:rPr>
              <w:t>2024-2027</w:t>
            </w:r>
            <w:r w:rsidRPr="008F0ADA">
              <w:rPr>
                <w:rFonts w:hint="eastAsia"/>
                <w:lang w:val="en-US" w:eastAsia="zh-CN"/>
              </w:rPr>
              <w:t>年战略规划跨部门目标的建议</w:t>
            </w:r>
          </w:p>
        </w:tc>
      </w:tr>
    </w:tbl>
    <w:p w14:paraId="3220DAFB" w14:textId="77777777" w:rsidR="008F0ADA" w:rsidRPr="0042014B" w:rsidRDefault="008F0ADA" w:rsidP="0042014B">
      <w:pPr>
        <w:pStyle w:val="Headingb"/>
        <w:spacing w:before="360"/>
      </w:pPr>
      <w:proofErr w:type="spellStart"/>
      <w:r w:rsidRPr="0042014B">
        <w:rPr>
          <w:rFonts w:hint="eastAsia"/>
        </w:rPr>
        <w:t>背景</w:t>
      </w:r>
      <w:proofErr w:type="spellEnd"/>
    </w:p>
    <w:p w14:paraId="317D9FE2" w14:textId="412798BD" w:rsidR="008F0ADA" w:rsidRPr="008F0ADA" w:rsidRDefault="008F0ADA" w:rsidP="008F0ADA">
      <w:pPr>
        <w:ind w:firstLine="480"/>
        <w:rPr>
          <w:rFonts w:cs="Calibri"/>
          <w:lang w:eastAsia="zh-CN"/>
        </w:rPr>
      </w:pPr>
      <w:r w:rsidRPr="008F0ADA">
        <w:rPr>
          <w:rFonts w:cs="Calibri" w:hint="eastAsia"/>
          <w:lang w:eastAsia="zh-CN"/>
        </w:rPr>
        <w:t>当今世界，数字全球化成为新一轮全球化的重要标志，但也带来重大挑战。数字鸿沟、新兴技术应用、网络安全威胁等一系列问题亟待解决，各国依据本国国情采取差异化政策，进一步加剧了全球数字治理政策协调的难度，国际社会呼唤构建新的全球数字治理体系。国际电联作为联合国在信息通信技术领域的专门机构，汇集了代表各国政府、行业、学术机构和来自世界各地的民间团体的各利益攸关方，以便更好地促进全球在数字治理领域达成共识，推动全球数字治理规则的构筑。国际电联的重点行动领域也包括网络安全、数字鸿沟、应急通</w:t>
      </w:r>
      <w:r w:rsidR="00E3045F">
        <w:rPr>
          <w:rFonts w:cs="Calibri" w:hint="eastAsia"/>
          <w:lang w:eastAsia="zh-CN"/>
        </w:rPr>
        <w:t>信</w:t>
      </w:r>
      <w:r w:rsidRPr="008F0ADA">
        <w:rPr>
          <w:rFonts w:cs="Calibri" w:hint="eastAsia"/>
          <w:lang w:eastAsia="zh-CN"/>
        </w:rPr>
        <w:t>、互联网政策和管理等数字治理的重要方面，</w:t>
      </w:r>
      <w:r w:rsidRPr="00255889">
        <w:rPr>
          <w:rStyle w:val="FootnoteReference"/>
          <w:rFonts w:cs="Calibri"/>
          <w:sz w:val="20"/>
          <w:vertAlign w:val="superscript"/>
        </w:rPr>
        <w:footnoteReference w:id="1"/>
      </w:r>
      <w:r w:rsidRPr="008F0ADA">
        <w:rPr>
          <w:rFonts w:cs="Calibri" w:hint="eastAsia"/>
          <w:lang w:eastAsia="zh-CN"/>
        </w:rPr>
        <w:t>并会定期主办全球监管机构专题研讨会（</w:t>
      </w:r>
      <w:r w:rsidRPr="008F0ADA">
        <w:rPr>
          <w:rFonts w:cs="Calibri"/>
          <w:lang w:eastAsia="zh-CN"/>
        </w:rPr>
        <w:t>GSR</w:t>
      </w:r>
      <w:r w:rsidRPr="008F0ADA">
        <w:rPr>
          <w:rFonts w:cs="Calibri" w:hint="eastAsia"/>
          <w:lang w:eastAsia="zh-CN"/>
        </w:rPr>
        <w:t>）、世界电信</w:t>
      </w:r>
      <w:r w:rsidRPr="008F0ADA">
        <w:rPr>
          <w:rFonts w:cs="Calibri"/>
          <w:lang w:eastAsia="zh-CN"/>
        </w:rPr>
        <w:t>/ICT</w:t>
      </w:r>
      <w:r w:rsidRPr="008F0ADA">
        <w:rPr>
          <w:rFonts w:cs="Calibri" w:hint="eastAsia"/>
          <w:lang w:eastAsia="zh-CN"/>
        </w:rPr>
        <w:t>指标专题研讨会（</w:t>
      </w:r>
      <w:r w:rsidRPr="008F0ADA">
        <w:rPr>
          <w:rFonts w:cs="Calibri"/>
          <w:lang w:eastAsia="zh-CN"/>
        </w:rPr>
        <w:t>WTIS</w:t>
      </w:r>
      <w:r w:rsidRPr="008F0ADA">
        <w:rPr>
          <w:rFonts w:cs="Calibri" w:hint="eastAsia"/>
          <w:lang w:eastAsia="zh-CN"/>
        </w:rPr>
        <w:t>）等重大会议。</w:t>
      </w:r>
      <w:r w:rsidRPr="008F0ADA">
        <w:rPr>
          <w:rFonts w:cs="Calibri"/>
          <w:lang w:eastAsia="zh-CN"/>
        </w:rPr>
        <w:t>2020</w:t>
      </w:r>
      <w:r w:rsidRPr="008F0ADA">
        <w:rPr>
          <w:rFonts w:cs="Calibri" w:hint="eastAsia"/>
          <w:lang w:eastAsia="zh-CN"/>
        </w:rPr>
        <w:t>年，国际电信联盟第</w:t>
      </w:r>
      <w:r w:rsidRPr="008F0ADA">
        <w:rPr>
          <w:rFonts w:cs="Calibri"/>
          <w:lang w:eastAsia="zh-CN"/>
        </w:rPr>
        <w:t>20</w:t>
      </w:r>
      <w:r w:rsidRPr="008F0ADA">
        <w:rPr>
          <w:rFonts w:cs="Calibri" w:hint="eastAsia"/>
          <w:lang w:eastAsia="zh-CN"/>
        </w:rPr>
        <w:t>届全球监管机构专题研讨会（</w:t>
      </w:r>
      <w:r w:rsidRPr="008F0ADA">
        <w:rPr>
          <w:rFonts w:cs="Calibri"/>
          <w:lang w:eastAsia="zh-CN"/>
        </w:rPr>
        <w:t>GSR-20</w:t>
      </w:r>
      <w:r w:rsidRPr="008F0ADA">
        <w:rPr>
          <w:rFonts w:cs="Calibri" w:hint="eastAsia"/>
          <w:lang w:eastAsia="zh-CN"/>
        </w:rPr>
        <w:t>）提出</w:t>
      </w:r>
      <w:proofErr w:type="gramStart"/>
      <w:r w:rsidRPr="008F0ADA">
        <w:rPr>
          <w:rFonts w:cs="Calibri" w:hint="eastAsia"/>
          <w:lang w:eastAsia="zh-CN"/>
        </w:rPr>
        <w:t>，</w:t>
      </w:r>
      <w:r w:rsidR="00450EA4" w:rsidRPr="00450EA4">
        <w:rPr>
          <w:rFonts w:ascii="SimSun" w:hAnsi="SimSun" w:cs="Calibri"/>
          <w:lang w:eastAsia="zh-CN"/>
        </w:rPr>
        <w:t>“</w:t>
      </w:r>
      <w:proofErr w:type="gramEnd"/>
      <w:r w:rsidRPr="008F0ADA">
        <w:rPr>
          <w:rFonts w:cs="Calibri" w:hint="eastAsia"/>
          <w:lang w:eastAsia="zh-CN"/>
        </w:rPr>
        <w:t>有关数据治理的明确、强有力且可执行的规则可以为数字消费者保护提供坚实的盾牌，同时为开展数字业务创建可预测的结构化框架。</w:t>
      </w:r>
      <w:r w:rsidR="00450EA4" w:rsidRPr="00450EA4">
        <w:rPr>
          <w:rFonts w:ascii="SimSun" w:hAnsi="SimSun" w:cs="Calibri"/>
          <w:lang w:eastAsia="zh-CN"/>
        </w:rPr>
        <w:t>”</w:t>
      </w:r>
      <w:r w:rsidRPr="00255889">
        <w:rPr>
          <w:rStyle w:val="FootnoteReference"/>
          <w:rFonts w:cs="Calibri"/>
          <w:sz w:val="20"/>
          <w:vertAlign w:val="superscript"/>
        </w:rPr>
        <w:footnoteReference w:id="2"/>
      </w:r>
    </w:p>
    <w:p w14:paraId="3B6B6CA1" w14:textId="1A59D512" w:rsidR="008F0ADA" w:rsidRPr="008F0ADA" w:rsidRDefault="008F0ADA" w:rsidP="008F0ADA">
      <w:pPr>
        <w:ind w:firstLineChars="200" w:firstLine="480"/>
        <w:rPr>
          <w:rFonts w:cs="Calibri"/>
          <w:lang w:eastAsia="zh-CN"/>
        </w:rPr>
      </w:pPr>
      <w:r w:rsidRPr="008F0ADA">
        <w:rPr>
          <w:rFonts w:cs="Calibri" w:hint="eastAsia"/>
          <w:lang w:eastAsia="zh-CN"/>
        </w:rPr>
        <w:t>目前，多边、双边和以私营部门为主体的专业化治理机制同步运行，推动</w:t>
      </w:r>
      <w:bookmarkStart w:id="3" w:name="_Hlk83392879"/>
      <w:r w:rsidRPr="008F0ADA">
        <w:rPr>
          <w:rFonts w:cs="Calibri" w:hint="eastAsia"/>
          <w:lang w:eastAsia="zh-CN"/>
        </w:rPr>
        <w:t>全球数字治理格局</w:t>
      </w:r>
      <w:bookmarkEnd w:id="3"/>
      <w:r w:rsidRPr="008F0ADA">
        <w:rPr>
          <w:rFonts w:cs="Calibri" w:hint="eastAsia"/>
          <w:lang w:eastAsia="zh-CN"/>
        </w:rPr>
        <w:t>。</w:t>
      </w:r>
      <w:r w:rsidRPr="00BF6CD4">
        <w:rPr>
          <w:rFonts w:cs="Calibri" w:hint="eastAsia"/>
          <w:b/>
          <w:bCs/>
          <w:lang w:eastAsia="zh-CN"/>
        </w:rPr>
        <w:t>全球性多边治理机制方面</w:t>
      </w:r>
      <w:r w:rsidRPr="008F0ADA">
        <w:rPr>
          <w:rFonts w:cs="Calibri" w:hint="eastAsia"/>
          <w:lang w:eastAsia="zh-CN"/>
        </w:rPr>
        <w:t>，</w:t>
      </w:r>
      <w:r w:rsidRPr="008F0ADA">
        <w:rPr>
          <w:rFonts w:cs="Calibri"/>
          <w:lang w:eastAsia="zh-CN"/>
        </w:rPr>
        <w:t>2016</w:t>
      </w:r>
      <w:r w:rsidRPr="008F0ADA">
        <w:rPr>
          <w:rFonts w:cs="Calibri" w:hint="eastAsia"/>
          <w:lang w:eastAsia="zh-CN"/>
        </w:rPr>
        <w:t>年在杭州举办的二十国集团（</w:t>
      </w:r>
      <w:r w:rsidRPr="008F0ADA">
        <w:rPr>
          <w:rFonts w:cs="Calibri"/>
          <w:lang w:eastAsia="zh-CN"/>
        </w:rPr>
        <w:t>G20</w:t>
      </w:r>
      <w:r w:rsidRPr="008F0ADA">
        <w:rPr>
          <w:rFonts w:cs="Calibri" w:hint="eastAsia"/>
          <w:lang w:eastAsia="zh-CN"/>
        </w:rPr>
        <w:t>）峰会首先将数字经济纳入治理框架，开启了大国间围绕全球数字治理开展政策协调的重要进程；联合国框架下世界贸易组织（</w:t>
      </w:r>
      <w:r w:rsidRPr="008F0ADA">
        <w:rPr>
          <w:rFonts w:cs="Calibri"/>
          <w:lang w:eastAsia="zh-CN"/>
        </w:rPr>
        <w:t>WTO</w:t>
      </w:r>
      <w:r w:rsidRPr="008F0ADA">
        <w:rPr>
          <w:rFonts w:cs="Calibri" w:hint="eastAsia"/>
          <w:lang w:eastAsia="zh-CN"/>
        </w:rPr>
        <w:t>）、国际货币组织（</w:t>
      </w:r>
      <w:r w:rsidRPr="008F0ADA">
        <w:rPr>
          <w:rFonts w:cs="Calibri"/>
          <w:lang w:eastAsia="zh-CN"/>
        </w:rPr>
        <w:t>IMF</w:t>
      </w:r>
      <w:r w:rsidRPr="008F0ADA">
        <w:rPr>
          <w:rFonts w:cs="Calibri" w:hint="eastAsia"/>
          <w:lang w:eastAsia="zh-CN"/>
        </w:rPr>
        <w:t>）和世界银行均提升了对数字治理问题的关注；</w:t>
      </w:r>
      <w:r w:rsidRPr="00DE2D7B">
        <w:rPr>
          <w:rStyle w:val="FootnoteReference"/>
          <w:rFonts w:cs="Calibri"/>
          <w:sz w:val="20"/>
          <w:vertAlign w:val="superscript"/>
        </w:rPr>
        <w:footnoteReference w:id="3"/>
      </w:r>
      <w:r w:rsidRPr="008F0ADA">
        <w:rPr>
          <w:rFonts w:cs="Calibri"/>
          <w:vertAlign w:val="superscript"/>
          <w:lang w:eastAsia="zh-CN"/>
        </w:rPr>
        <w:t xml:space="preserve"> </w:t>
      </w:r>
      <w:r w:rsidRPr="008F0ADA">
        <w:rPr>
          <w:rFonts w:cs="Calibri"/>
          <w:lang w:eastAsia="zh-CN"/>
        </w:rPr>
        <w:t>OECD</w:t>
      </w:r>
      <w:r w:rsidRPr="008F0ADA">
        <w:rPr>
          <w:rFonts w:cs="Calibri" w:hint="eastAsia"/>
          <w:lang w:eastAsia="zh-CN"/>
        </w:rPr>
        <w:t>、世界经济论坛等组织发布大量数字经济领域研究成果，助力全球各方在数字治理领域认识的不断提升。</w:t>
      </w:r>
      <w:r w:rsidRPr="00BF6CD4">
        <w:rPr>
          <w:rFonts w:cs="Calibri" w:hint="eastAsia"/>
          <w:b/>
          <w:bCs/>
          <w:lang w:eastAsia="zh-CN"/>
        </w:rPr>
        <w:t>双边和区域性机制方面</w:t>
      </w:r>
      <w:r w:rsidRPr="008F0ADA">
        <w:rPr>
          <w:rFonts w:cs="Calibri" w:hint="eastAsia"/>
          <w:lang w:eastAsia="zh-CN"/>
        </w:rPr>
        <w:t>，</w:t>
      </w:r>
      <w:bookmarkStart w:id="4" w:name="_Hlk83397445"/>
      <w:r w:rsidRPr="008F0ADA">
        <w:rPr>
          <w:rFonts w:cs="Calibri" w:hint="eastAsia"/>
          <w:lang w:eastAsia="zh-CN"/>
        </w:rPr>
        <w:t>巨型自由贸易协定</w:t>
      </w:r>
      <w:bookmarkEnd w:id="4"/>
      <w:r w:rsidR="00BF6CD4">
        <w:rPr>
          <w:rFonts w:cs="Calibri" w:hint="eastAsia"/>
          <w:lang w:eastAsia="zh-CN"/>
        </w:rPr>
        <w:t>（</w:t>
      </w:r>
      <w:r w:rsidR="00BF6CD4">
        <w:rPr>
          <w:rFonts w:cs="Calibri" w:hint="eastAsia"/>
          <w:lang w:eastAsia="zh-CN"/>
        </w:rPr>
        <w:t>FTA</w:t>
      </w:r>
      <w:r w:rsidR="00BF6CD4">
        <w:rPr>
          <w:rFonts w:cs="Calibri" w:hint="eastAsia"/>
          <w:lang w:eastAsia="zh-CN"/>
        </w:rPr>
        <w:t>）</w:t>
      </w:r>
      <w:r w:rsidRPr="00DE2D7B">
        <w:rPr>
          <w:rStyle w:val="FootnoteReference"/>
          <w:rFonts w:cs="Calibri"/>
          <w:sz w:val="20"/>
          <w:vertAlign w:val="superscript"/>
        </w:rPr>
        <w:footnoteReference w:id="4"/>
      </w:r>
      <w:r w:rsidRPr="008F0ADA">
        <w:rPr>
          <w:rFonts w:cs="Calibri" w:hint="eastAsia"/>
          <w:lang w:eastAsia="zh-CN"/>
        </w:rPr>
        <w:t>在全球数字治理规</w:t>
      </w:r>
      <w:r w:rsidRPr="008F0ADA">
        <w:rPr>
          <w:rFonts w:cs="Calibri" w:hint="eastAsia"/>
          <w:lang w:eastAsia="zh-CN"/>
        </w:rPr>
        <w:lastRenderedPageBreak/>
        <w:t>则上的影响日益显著，通过谈判反映各方在数字领域的诉求，对未来全球数字治理规则的塑造具有重要意义。例如，</w:t>
      </w:r>
      <w:r w:rsidRPr="008F0ADA">
        <w:rPr>
          <w:rFonts w:cs="Calibri"/>
          <w:lang w:eastAsia="zh-CN"/>
        </w:rPr>
        <w:t>2020</w:t>
      </w:r>
      <w:r w:rsidRPr="008F0ADA">
        <w:rPr>
          <w:rFonts w:cs="Calibri" w:hint="eastAsia"/>
          <w:lang w:eastAsia="zh-CN"/>
        </w:rPr>
        <w:t>年</w:t>
      </w:r>
      <w:r w:rsidRPr="008F0ADA">
        <w:rPr>
          <w:rFonts w:cs="Calibri"/>
          <w:lang w:eastAsia="zh-CN"/>
        </w:rPr>
        <w:t>9</w:t>
      </w:r>
      <w:r w:rsidRPr="008F0ADA">
        <w:rPr>
          <w:rFonts w:cs="Calibri" w:hint="eastAsia"/>
          <w:lang w:eastAsia="zh-CN"/>
        </w:rPr>
        <w:t>月中欧开展首次数字领域高层对话，围绕</w:t>
      </w:r>
      <w:bookmarkStart w:id="5" w:name="_Hlk83397569"/>
      <w:r w:rsidRPr="008F0ADA">
        <w:rPr>
          <w:rFonts w:cs="Calibri" w:hint="eastAsia"/>
          <w:lang w:eastAsia="zh-CN"/>
        </w:rPr>
        <w:t>信息通信标准化、人工智能</w:t>
      </w:r>
      <w:bookmarkEnd w:id="5"/>
      <w:r w:rsidRPr="008F0ADA">
        <w:rPr>
          <w:rFonts w:cs="Calibri" w:hint="eastAsia"/>
          <w:lang w:eastAsia="zh-CN"/>
        </w:rPr>
        <w:t>治理进行政策交流。</w:t>
      </w:r>
      <w:r w:rsidRPr="00DE2D7B">
        <w:rPr>
          <w:rStyle w:val="FootnoteReference"/>
          <w:rFonts w:cs="Calibri"/>
          <w:sz w:val="20"/>
          <w:vertAlign w:val="superscript"/>
        </w:rPr>
        <w:footnoteReference w:id="5"/>
      </w:r>
      <w:r w:rsidRPr="00BF6CD4">
        <w:rPr>
          <w:rFonts w:cs="Calibri" w:hint="eastAsia"/>
          <w:b/>
          <w:bCs/>
          <w:lang w:eastAsia="zh-CN"/>
        </w:rPr>
        <w:t>私营部门通过制定国际标准等，给全球数字治理带来实质影响</w:t>
      </w:r>
      <w:r w:rsidRPr="008F0ADA">
        <w:rPr>
          <w:rFonts w:cs="Calibri" w:hint="eastAsia"/>
          <w:lang w:eastAsia="zh-CN"/>
        </w:rPr>
        <w:t>。国际标准化组织（</w:t>
      </w:r>
      <w:r w:rsidRPr="008F0ADA">
        <w:rPr>
          <w:rFonts w:cs="Calibri"/>
          <w:lang w:eastAsia="zh-CN"/>
        </w:rPr>
        <w:t>ISO</w:t>
      </w:r>
      <w:r w:rsidRPr="008F0ADA">
        <w:rPr>
          <w:rFonts w:cs="Calibri" w:hint="eastAsia"/>
          <w:lang w:eastAsia="zh-CN"/>
        </w:rPr>
        <w:t>）、国际电工委员会（</w:t>
      </w:r>
      <w:r w:rsidRPr="008F0ADA">
        <w:rPr>
          <w:rFonts w:cs="Calibri"/>
          <w:lang w:eastAsia="zh-CN"/>
        </w:rPr>
        <w:t>IEC</w:t>
      </w:r>
      <w:r w:rsidRPr="008F0ADA">
        <w:rPr>
          <w:rFonts w:cs="Calibri" w:hint="eastAsia"/>
          <w:lang w:eastAsia="zh-CN"/>
        </w:rPr>
        <w:t>）、美国电气与电子工程师协会（</w:t>
      </w:r>
      <w:r w:rsidRPr="008F0ADA">
        <w:rPr>
          <w:rFonts w:cs="Calibri"/>
          <w:lang w:eastAsia="zh-CN"/>
        </w:rPr>
        <w:t>IEEE</w:t>
      </w:r>
      <w:r w:rsidRPr="008F0ADA">
        <w:rPr>
          <w:rFonts w:cs="Calibri" w:hint="eastAsia"/>
          <w:lang w:eastAsia="zh-CN"/>
        </w:rPr>
        <w:t>）等设立专门工作组开展人工智能伦理相关标准研究。但是，由于逆全球化思潮不断，数据治理问题范围日益扩大等多重原因，全球共识匮乏导致多边框架举步维艰；一系列双边协议虽推动了数字治理新领域规则的形成，但治理碎片化成为未来全球数字治理最大挑战。如何推动全球达成统一、透明、公平的规则框架，</w:t>
      </w:r>
      <w:proofErr w:type="gramStart"/>
      <w:r w:rsidRPr="008F0ADA">
        <w:rPr>
          <w:rFonts w:cs="Calibri" w:hint="eastAsia"/>
          <w:lang w:eastAsia="zh-CN"/>
        </w:rPr>
        <w:t>避免</w:t>
      </w:r>
      <w:r w:rsidR="001D4C91">
        <w:rPr>
          <w:rFonts w:cs="Calibri" w:hint="eastAsia"/>
          <w:lang w:eastAsia="zh-CN"/>
        </w:rPr>
        <w:t>因</w:t>
      </w:r>
      <w:r w:rsidRPr="008F0ADA">
        <w:rPr>
          <w:rFonts w:cs="Calibri" w:hint="eastAsia"/>
          <w:lang w:eastAsia="zh-CN"/>
        </w:rPr>
        <w:t>规则碎片导致更大的</w:t>
      </w:r>
      <w:r w:rsidR="00450EA4" w:rsidRPr="00450EA4">
        <w:rPr>
          <w:rFonts w:ascii="SimSun" w:hAnsi="SimSun" w:cs="Calibri"/>
          <w:lang w:eastAsia="zh-CN"/>
        </w:rPr>
        <w:t>“</w:t>
      </w:r>
      <w:proofErr w:type="gramEnd"/>
      <w:r w:rsidRPr="008F0ADA">
        <w:rPr>
          <w:rFonts w:cs="Calibri" w:hint="eastAsia"/>
          <w:lang w:eastAsia="zh-CN"/>
        </w:rPr>
        <w:t>数字鸿沟</w:t>
      </w:r>
      <w:r w:rsidR="00450EA4" w:rsidRPr="00450EA4">
        <w:rPr>
          <w:rFonts w:ascii="SimSun" w:hAnsi="SimSun" w:cs="Calibri"/>
          <w:lang w:eastAsia="zh-CN"/>
        </w:rPr>
        <w:t>”</w:t>
      </w:r>
      <w:r w:rsidRPr="008F0ADA">
        <w:rPr>
          <w:rFonts w:cs="Calibri" w:hint="eastAsia"/>
          <w:lang w:eastAsia="zh-CN"/>
        </w:rPr>
        <w:t>，实现全球包容性增长，仍是未来全球数字治理面临的巨大挑战。</w:t>
      </w:r>
    </w:p>
    <w:p w14:paraId="233339ED" w14:textId="77777777" w:rsidR="008F0ADA" w:rsidRPr="008F0ADA" w:rsidRDefault="008F0ADA" w:rsidP="00255889">
      <w:pPr>
        <w:pStyle w:val="Headingb"/>
        <w:rPr>
          <w:lang w:eastAsia="zh-CN"/>
        </w:rPr>
      </w:pPr>
      <w:r w:rsidRPr="008F0ADA">
        <w:rPr>
          <w:rFonts w:hint="eastAsia"/>
          <w:lang w:eastAsia="zh-CN"/>
        </w:rPr>
        <w:t>分析</w:t>
      </w:r>
    </w:p>
    <w:p w14:paraId="7F41FFFA" w14:textId="39EBA40C" w:rsidR="008F0ADA" w:rsidRPr="008F0ADA" w:rsidRDefault="008F0ADA" w:rsidP="008F0ADA">
      <w:pPr>
        <w:ind w:firstLine="480"/>
        <w:rPr>
          <w:rFonts w:cs="Calibri"/>
          <w:lang w:eastAsia="zh-CN"/>
        </w:rPr>
      </w:pPr>
      <w:r w:rsidRPr="008F0ADA">
        <w:rPr>
          <w:rFonts w:cs="Calibri" w:hint="eastAsia"/>
          <w:lang w:eastAsia="zh-CN"/>
        </w:rPr>
        <w:t>国际电联战略规划是根据《组织法》和《公约》所制定的战略文件，对于指导国际电联四年内的相关活动具有重要指导意义。目前第</w:t>
      </w:r>
      <w:r w:rsidRPr="008F0ADA">
        <w:rPr>
          <w:rFonts w:cs="Calibri"/>
          <w:lang w:eastAsia="zh-CN"/>
        </w:rPr>
        <w:t>71</w:t>
      </w:r>
      <w:r w:rsidRPr="008F0ADA">
        <w:rPr>
          <w:rFonts w:cs="Calibri" w:hint="eastAsia"/>
          <w:lang w:eastAsia="zh-CN"/>
        </w:rPr>
        <w:t>号决议（</w:t>
      </w:r>
      <w:r w:rsidRPr="008F0ADA">
        <w:rPr>
          <w:rFonts w:cs="Calibri"/>
          <w:lang w:eastAsia="zh-CN"/>
        </w:rPr>
        <w:t>2018</w:t>
      </w:r>
      <w:r w:rsidRPr="008F0ADA">
        <w:rPr>
          <w:rFonts w:cs="Calibri" w:hint="eastAsia"/>
          <w:lang w:eastAsia="zh-CN"/>
        </w:rPr>
        <w:t>年，迪拜，修订版）有关</w:t>
      </w:r>
      <w:r w:rsidRPr="008F0ADA">
        <w:rPr>
          <w:rFonts w:cs="Calibri"/>
          <w:lang w:eastAsia="zh-CN"/>
        </w:rPr>
        <w:t>2020-2023</w:t>
      </w:r>
      <w:r w:rsidRPr="008F0ADA">
        <w:rPr>
          <w:rFonts w:cs="Calibri" w:hint="eastAsia"/>
          <w:lang w:eastAsia="zh-CN"/>
        </w:rPr>
        <w:t>年战略规划目标</w:t>
      </w:r>
      <w:r w:rsidRPr="00DE2D7B">
        <w:rPr>
          <w:rStyle w:val="FootnoteReference"/>
          <w:rFonts w:cs="Calibri"/>
          <w:sz w:val="20"/>
          <w:vertAlign w:val="superscript"/>
        </w:rPr>
        <w:footnoteReference w:id="6"/>
      </w:r>
      <w:r w:rsidRPr="008F0ADA">
        <w:rPr>
          <w:rFonts w:cs="Calibri" w:hint="eastAsia"/>
          <w:lang w:eastAsia="zh-CN"/>
        </w:rPr>
        <w:t>的总体目标均涉及数字治理，但配套的磋商机制不足。建议在国际电联</w:t>
      </w:r>
      <w:r w:rsidRPr="008F0ADA">
        <w:rPr>
          <w:rFonts w:cs="Calibri"/>
          <w:lang w:eastAsia="zh-CN"/>
        </w:rPr>
        <w:t>2024-2027</w:t>
      </w:r>
      <w:r w:rsidRPr="008F0ADA">
        <w:rPr>
          <w:rFonts w:cs="Calibri" w:hint="eastAsia"/>
          <w:lang w:eastAsia="zh-CN"/>
        </w:rPr>
        <w:t>年战略规划的</w:t>
      </w:r>
      <w:r w:rsidR="00450EA4" w:rsidRPr="00450EA4">
        <w:rPr>
          <w:rFonts w:ascii="SimSun" w:hAnsi="SimSun" w:cs="Calibri"/>
          <w:lang w:eastAsia="zh-CN"/>
        </w:rPr>
        <w:t>“</w:t>
      </w:r>
      <w:r w:rsidRPr="008F0ADA">
        <w:rPr>
          <w:rFonts w:cs="Calibri" w:hint="eastAsia"/>
          <w:lang w:eastAsia="zh-CN"/>
        </w:rPr>
        <w:t>跨部门目标</w:t>
      </w:r>
      <w:r w:rsidR="00450EA4" w:rsidRPr="00450EA4">
        <w:rPr>
          <w:rFonts w:ascii="SimSun" w:hAnsi="SimSun" w:cs="Calibri"/>
          <w:lang w:eastAsia="zh-CN"/>
        </w:rPr>
        <w:t>”</w:t>
      </w:r>
      <w:r w:rsidRPr="008F0ADA">
        <w:rPr>
          <w:rFonts w:cs="Calibri" w:hint="eastAsia"/>
          <w:lang w:eastAsia="zh-CN"/>
        </w:rPr>
        <w:t>中，</w:t>
      </w:r>
      <w:r w:rsidRPr="00DE2D7B">
        <w:rPr>
          <w:rStyle w:val="FootnoteReference"/>
          <w:rFonts w:cs="Calibri"/>
          <w:sz w:val="20"/>
          <w:vertAlign w:val="superscript"/>
        </w:rPr>
        <w:footnoteReference w:id="7"/>
      </w:r>
      <w:r w:rsidRPr="008F0ADA">
        <w:rPr>
          <w:rFonts w:cs="Calibri" w:hint="eastAsia"/>
          <w:lang w:eastAsia="zh-CN"/>
        </w:rPr>
        <w:t>明确规定利用现有的高级别国际会议平台，开展数字治理领域的磋商，推动全球就数字治理形成更多共识。</w:t>
      </w:r>
    </w:p>
    <w:p w14:paraId="22061395" w14:textId="77777777" w:rsidR="008F0ADA" w:rsidRPr="008F0ADA" w:rsidRDefault="008F0ADA" w:rsidP="00255889">
      <w:pPr>
        <w:pStyle w:val="Headingb"/>
        <w:rPr>
          <w:lang w:eastAsia="zh-CN"/>
        </w:rPr>
      </w:pPr>
      <w:r w:rsidRPr="008F0ADA">
        <w:rPr>
          <w:rFonts w:hint="eastAsia"/>
          <w:lang w:eastAsia="zh-CN"/>
        </w:rPr>
        <w:t>提案</w:t>
      </w:r>
    </w:p>
    <w:p w14:paraId="5E29F50C" w14:textId="77777777" w:rsidR="008F0ADA" w:rsidRPr="008F0ADA" w:rsidRDefault="008F0ADA" w:rsidP="008F0ADA">
      <w:pPr>
        <w:ind w:firstLineChars="200" w:firstLine="480"/>
        <w:rPr>
          <w:rFonts w:cs="Calibri"/>
          <w:lang w:eastAsia="zh-CN"/>
        </w:rPr>
      </w:pPr>
      <w:r w:rsidRPr="008F0ADA">
        <w:rPr>
          <w:rFonts w:cs="Calibri" w:hint="eastAsia"/>
          <w:lang w:eastAsia="zh-CN"/>
        </w:rPr>
        <w:t>综上，我们建议国际电联将为全球数字治理提供常态化的高级别国际会议平台加入到中长期战略规划考虑，具体建议如下：</w:t>
      </w:r>
    </w:p>
    <w:p w14:paraId="0AAAB6DD" w14:textId="645C40D4" w:rsidR="008F0ADA" w:rsidRPr="008F0ADA" w:rsidRDefault="006D6456" w:rsidP="008F0ADA">
      <w:pPr>
        <w:pStyle w:val="enumlev1"/>
        <w:rPr>
          <w:rFonts w:cs="Calibri"/>
          <w:lang w:eastAsia="zh-CN"/>
        </w:rPr>
      </w:pPr>
      <w:r w:rsidRPr="00D7163A">
        <w:rPr>
          <w:rFonts w:cs="Calibri"/>
          <w:lang w:val="en-US" w:eastAsia="zh-CN"/>
        </w:rPr>
        <w:t>•</w:t>
      </w:r>
      <w:r w:rsidR="008F0ADA" w:rsidRPr="008F0ADA">
        <w:rPr>
          <w:rFonts w:cs="Calibri"/>
          <w:lang w:eastAsia="zh-CN"/>
        </w:rPr>
        <w:tab/>
      </w:r>
      <w:r w:rsidR="008F0ADA" w:rsidRPr="008F0ADA">
        <w:rPr>
          <w:rFonts w:cs="Calibri" w:hint="eastAsia"/>
          <w:lang w:eastAsia="zh-CN"/>
        </w:rPr>
        <w:t>考虑将利用现有的高级别国际会议平台以促进全球数字治理共识纳入国际电联</w:t>
      </w:r>
      <w:r w:rsidR="008F0ADA" w:rsidRPr="008F0ADA">
        <w:rPr>
          <w:rFonts w:cs="Calibri"/>
          <w:lang w:eastAsia="zh-CN"/>
        </w:rPr>
        <w:t>2024-2027</w:t>
      </w:r>
      <w:proofErr w:type="gramStart"/>
      <w:r w:rsidR="008F0ADA" w:rsidRPr="008F0ADA">
        <w:rPr>
          <w:rFonts w:cs="Calibri" w:hint="eastAsia"/>
          <w:lang w:eastAsia="zh-CN"/>
        </w:rPr>
        <w:t>年战略规划的</w:t>
      </w:r>
      <w:r w:rsidR="00450EA4" w:rsidRPr="00450EA4">
        <w:rPr>
          <w:rFonts w:ascii="SimSun" w:hAnsi="SimSun" w:cs="Calibri"/>
          <w:lang w:eastAsia="zh-CN"/>
        </w:rPr>
        <w:t>“</w:t>
      </w:r>
      <w:proofErr w:type="gramEnd"/>
      <w:r w:rsidR="008F0ADA" w:rsidRPr="008F0ADA">
        <w:rPr>
          <w:rFonts w:cs="Calibri" w:hint="eastAsia"/>
          <w:lang w:eastAsia="zh-CN"/>
        </w:rPr>
        <w:t>跨部门目标</w:t>
      </w:r>
      <w:r w:rsidR="00450EA4" w:rsidRPr="00450EA4">
        <w:rPr>
          <w:rFonts w:ascii="SimSun" w:hAnsi="SimSun" w:cs="Calibri"/>
          <w:lang w:eastAsia="zh-CN"/>
        </w:rPr>
        <w:t>”</w:t>
      </w:r>
      <w:r w:rsidR="008F0ADA" w:rsidRPr="008F0ADA">
        <w:rPr>
          <w:rFonts w:cs="Calibri" w:hint="eastAsia"/>
          <w:lang w:eastAsia="zh-CN"/>
        </w:rPr>
        <w:t>。</w:t>
      </w:r>
    </w:p>
    <w:p w14:paraId="5235E62B" w14:textId="6457EB84" w:rsidR="008F0ADA" w:rsidRPr="008F0ADA" w:rsidRDefault="006D6456" w:rsidP="008F0ADA">
      <w:pPr>
        <w:pStyle w:val="enumlev1"/>
        <w:rPr>
          <w:rFonts w:cs="Calibri"/>
          <w:lang w:eastAsia="zh-CN"/>
        </w:rPr>
      </w:pPr>
      <w:r w:rsidRPr="00D7163A">
        <w:rPr>
          <w:rFonts w:cs="Calibri"/>
          <w:lang w:val="en-US" w:eastAsia="zh-CN"/>
        </w:rPr>
        <w:t>•</w:t>
      </w:r>
      <w:r w:rsidR="008F0ADA" w:rsidRPr="008F0ADA">
        <w:rPr>
          <w:rFonts w:cs="Calibri"/>
          <w:lang w:eastAsia="zh-CN"/>
        </w:rPr>
        <w:tab/>
      </w:r>
      <w:r w:rsidR="008F0ADA" w:rsidRPr="008F0ADA">
        <w:rPr>
          <w:rFonts w:cs="Calibri" w:hint="eastAsia"/>
          <w:lang w:eastAsia="zh-CN"/>
        </w:rPr>
        <w:t>通过现有的高级别国际会议平台推动达成有关人工智能治理、数字鸿沟、数字安全等数字治理领域的全球共识，并形成具有全球共识的数字治理研究框架，包括发展框架、核算框架、统计框架和监测框架等。</w:t>
      </w:r>
    </w:p>
    <w:p w14:paraId="78CBEE10" w14:textId="53EF982D" w:rsidR="008F0ADA" w:rsidRPr="008F0ADA" w:rsidRDefault="006D6456" w:rsidP="008F0ADA">
      <w:pPr>
        <w:pStyle w:val="enumlev1"/>
        <w:rPr>
          <w:rFonts w:cs="Calibri"/>
          <w:lang w:eastAsia="zh-CN"/>
        </w:rPr>
      </w:pPr>
      <w:r w:rsidRPr="00D7163A">
        <w:rPr>
          <w:rFonts w:cs="Calibri"/>
          <w:lang w:val="en-US" w:eastAsia="zh-CN"/>
        </w:rPr>
        <w:t>•</w:t>
      </w:r>
      <w:r w:rsidR="008F0ADA" w:rsidRPr="008F0ADA">
        <w:rPr>
          <w:rFonts w:cs="Calibri"/>
          <w:lang w:eastAsia="zh-CN"/>
        </w:rPr>
        <w:tab/>
      </w:r>
      <w:r w:rsidR="008F0ADA" w:rsidRPr="008F0ADA">
        <w:rPr>
          <w:rFonts w:cs="Calibri" w:hint="eastAsia"/>
          <w:lang w:eastAsia="zh-CN"/>
        </w:rPr>
        <w:t>推动</w:t>
      </w:r>
      <w:r w:rsidR="00BF6CD4">
        <w:rPr>
          <w:rFonts w:cs="Calibri" w:hint="eastAsia"/>
          <w:lang w:eastAsia="zh-CN"/>
        </w:rPr>
        <w:t>国际电联</w:t>
      </w:r>
      <w:r w:rsidR="008F0ADA" w:rsidRPr="008F0ADA">
        <w:rPr>
          <w:rFonts w:cs="Calibri" w:hint="eastAsia"/>
          <w:lang w:eastAsia="zh-CN"/>
        </w:rPr>
        <w:t>发布全球数字治理年度研究报告。</w:t>
      </w:r>
    </w:p>
    <w:p w14:paraId="25F963B8" w14:textId="22E68389" w:rsidR="008F0ADA" w:rsidRPr="00650DC4" w:rsidRDefault="00650DC4" w:rsidP="00650DC4">
      <w:pPr>
        <w:spacing w:before="840"/>
        <w:jc w:val="center"/>
        <w:rPr>
          <w:rFonts w:ascii="Times New Roman" w:eastAsia="Times New Roman" w:hAnsi="Times New Roman"/>
          <w:sz w:val="26"/>
          <w:szCs w:val="26"/>
          <w:lang w:val="ru-RU"/>
        </w:rPr>
      </w:pPr>
      <w:r w:rsidRPr="00DA16C5">
        <w:rPr>
          <w:rFonts w:ascii="Times New Roman" w:eastAsia="Times New Roman" w:hAnsi="Times New Roman"/>
          <w:sz w:val="26"/>
          <w:szCs w:val="26"/>
          <w:lang w:val="ru-RU"/>
        </w:rPr>
        <w:t>______________</w:t>
      </w:r>
    </w:p>
    <w:sectPr w:rsidR="008F0ADA" w:rsidRPr="00650DC4"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BF7D" w14:textId="77777777" w:rsidR="00C246C4" w:rsidRDefault="00C246C4">
      <w:r>
        <w:separator/>
      </w:r>
    </w:p>
  </w:endnote>
  <w:endnote w:type="continuationSeparator" w:id="0">
    <w:p w14:paraId="41B497BD" w14:textId="77777777" w:rsidR="00C246C4" w:rsidRDefault="00C2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5BDE" w14:textId="192573E7" w:rsidR="00B40A53" w:rsidRPr="00D83BEC" w:rsidRDefault="0001297B" w:rsidP="0001297B">
    <w:pPr>
      <w:pStyle w:val="Footer"/>
      <w:rPr>
        <w:color w:val="F2F2F2" w:themeColor="background1" w:themeShade="F2"/>
        <w:szCs w:val="16"/>
      </w:rPr>
    </w:pPr>
    <w:r w:rsidRPr="00D83BEC">
      <w:rPr>
        <w:color w:val="F2F2F2" w:themeColor="background1" w:themeShade="F2"/>
        <w:szCs w:val="16"/>
      </w:rPr>
      <w:fldChar w:fldCharType="begin"/>
    </w:r>
    <w:r w:rsidRPr="00D83BEC">
      <w:rPr>
        <w:color w:val="F2F2F2" w:themeColor="background1" w:themeShade="F2"/>
        <w:szCs w:val="16"/>
      </w:rPr>
      <w:instrText xml:space="preserve"> FILENAME \p \* MERGEFORMAT </w:instrText>
    </w:r>
    <w:r w:rsidRPr="00D83BEC">
      <w:rPr>
        <w:color w:val="F2F2F2" w:themeColor="background1" w:themeShade="F2"/>
        <w:szCs w:val="16"/>
      </w:rPr>
      <w:fldChar w:fldCharType="separate"/>
    </w:r>
    <w:r w:rsidR="00FF0C6B" w:rsidRPr="00D83BEC">
      <w:rPr>
        <w:color w:val="F2F2F2" w:themeColor="background1" w:themeShade="F2"/>
        <w:szCs w:val="16"/>
      </w:rPr>
      <w:t>P:\CHI\SG\CONSEIL\CWG-SFP\CWG-SFP1\000\009C.docx</w:t>
    </w:r>
    <w:r w:rsidRPr="00D83BEC">
      <w:rPr>
        <w:color w:val="F2F2F2" w:themeColor="background1" w:themeShade="F2"/>
        <w:szCs w:val="16"/>
      </w:rPr>
      <w:fldChar w:fldCharType="end"/>
    </w:r>
    <w:r w:rsidRPr="00D83BEC">
      <w:rPr>
        <w:color w:val="F2F2F2" w:themeColor="background1" w:themeShade="F2"/>
        <w:szCs w:val="16"/>
      </w:rPr>
      <w:t xml:space="preserve"> (49</w:t>
    </w:r>
    <w:r w:rsidR="00650DC4" w:rsidRPr="00D83BEC">
      <w:rPr>
        <w:color w:val="F2F2F2" w:themeColor="background1" w:themeShade="F2"/>
        <w:szCs w:val="16"/>
      </w:rPr>
      <w:t>4357</w:t>
    </w:r>
    <w:r w:rsidRPr="00D83BEC">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653" w14:textId="77777777" w:rsidR="00AC516F" w:rsidRPr="0099023C" w:rsidRDefault="00AC516F" w:rsidP="00001B77">
    <w:pPr>
      <w:spacing w:after="120"/>
      <w:jc w:val="center"/>
      <w:rPr>
        <w:sz w:val="22"/>
        <w:szCs w:val="22"/>
        <w:lang w:val="fr-CH"/>
      </w:rPr>
    </w:pPr>
    <w:r w:rsidRPr="0099023C">
      <w:rPr>
        <w:sz w:val="22"/>
        <w:szCs w:val="22"/>
        <w:lang w:val="fr-CH"/>
      </w:rPr>
      <w:t xml:space="preserve">• </w:t>
    </w:r>
    <w:hyperlink r:id="rId1" w:history="1">
      <w:r w:rsidRPr="0099023C">
        <w:rPr>
          <w:rStyle w:val="Hyperlink"/>
          <w:sz w:val="22"/>
          <w:szCs w:val="22"/>
          <w:lang w:val="fr-CH"/>
        </w:rPr>
        <w:t>http://www.itu.int/council</w:t>
      </w:r>
    </w:hyperlink>
    <w:r w:rsidRPr="0099023C">
      <w:rPr>
        <w:sz w:val="22"/>
        <w:szCs w:val="22"/>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2943" w14:textId="77777777" w:rsidR="00C246C4" w:rsidRDefault="00C246C4">
      <w:r>
        <w:t>____________________</w:t>
      </w:r>
    </w:p>
  </w:footnote>
  <w:footnote w:type="continuationSeparator" w:id="0">
    <w:p w14:paraId="11638A97" w14:textId="77777777" w:rsidR="00C246C4" w:rsidRDefault="00C246C4">
      <w:r>
        <w:continuationSeparator/>
      </w:r>
    </w:p>
  </w:footnote>
  <w:footnote w:id="1">
    <w:p w14:paraId="301C2888" w14:textId="54F47F1A" w:rsidR="008F0ADA" w:rsidRPr="00255889" w:rsidRDefault="008F0ADA" w:rsidP="00255889">
      <w:pPr>
        <w:pStyle w:val="FootnoteText"/>
        <w:spacing w:after="120" w:line="240" w:lineRule="exact"/>
        <w:ind w:left="0" w:firstLine="0"/>
        <w:rPr>
          <w:rFonts w:cs="Calibri"/>
          <w:szCs w:val="24"/>
          <w:lang w:eastAsia="zh-CN"/>
        </w:rPr>
      </w:pPr>
      <w:r w:rsidRPr="00255889">
        <w:rPr>
          <w:rStyle w:val="FootnoteReference"/>
          <w:rFonts w:ascii="Times New Roman" w:hAnsi="Times New Roman"/>
          <w:sz w:val="16"/>
          <w:szCs w:val="16"/>
        </w:rPr>
        <w:footnoteRef/>
      </w:r>
      <w:r w:rsidRPr="00255889">
        <w:rPr>
          <w:rFonts w:ascii="Times New Roman" w:hAnsi="Times New Roman"/>
          <w:szCs w:val="24"/>
          <w:lang w:eastAsia="zh-CN"/>
        </w:rPr>
        <w:t xml:space="preserve"> </w:t>
      </w:r>
      <w:r w:rsidRPr="00EA1E7C">
        <w:rPr>
          <w:rFonts w:cs="Calibri" w:hint="eastAsia"/>
          <w:sz w:val="22"/>
          <w:szCs w:val="22"/>
          <w:lang w:eastAsia="zh-CN"/>
        </w:rPr>
        <w:t>参见国际电</w:t>
      </w:r>
      <w:proofErr w:type="gramStart"/>
      <w:r w:rsidRPr="00EA1E7C">
        <w:rPr>
          <w:rFonts w:cs="Calibri" w:hint="eastAsia"/>
          <w:sz w:val="22"/>
          <w:szCs w:val="22"/>
          <w:lang w:eastAsia="zh-CN"/>
        </w:rPr>
        <w:t>联官网</w:t>
      </w:r>
      <w:proofErr w:type="gramEnd"/>
      <w:r w:rsidRPr="00EA1E7C">
        <w:rPr>
          <w:rFonts w:cs="Calibri" w:hint="eastAsia"/>
          <w:sz w:val="22"/>
          <w:szCs w:val="22"/>
          <w:lang w:eastAsia="zh-CN"/>
        </w:rPr>
        <w:t>介绍，</w:t>
      </w:r>
      <w:hyperlink r:id="rId1" w:history="1">
        <w:r w:rsidR="00255889" w:rsidRPr="00EA1E7C">
          <w:rPr>
            <w:rFonts w:eastAsia="Times New Roman"/>
            <w:color w:val="0000FF"/>
            <w:sz w:val="22"/>
            <w:szCs w:val="22"/>
            <w:u w:val="single"/>
            <w:lang w:val="fr-FR"/>
          </w:rPr>
          <w:t>https://www.itu.int/zh/action/Pages/default.aspx</w:t>
        </w:r>
      </w:hyperlink>
      <w:r w:rsidR="00255889" w:rsidRPr="00EA1E7C">
        <w:rPr>
          <w:rFonts w:cs="Calibri" w:hint="eastAsia"/>
          <w:sz w:val="22"/>
          <w:szCs w:val="22"/>
          <w:lang w:eastAsia="zh-CN"/>
        </w:rPr>
        <w:t>。</w:t>
      </w:r>
    </w:p>
  </w:footnote>
  <w:footnote w:id="2">
    <w:p w14:paraId="434BB289" w14:textId="7B9B6E82" w:rsidR="008F0ADA" w:rsidRPr="00255889" w:rsidRDefault="008F0ADA" w:rsidP="00255889">
      <w:pPr>
        <w:pStyle w:val="FootnoteText"/>
        <w:spacing w:after="120" w:line="240" w:lineRule="exact"/>
        <w:ind w:left="0" w:firstLine="0"/>
        <w:rPr>
          <w:rFonts w:cs="Calibri"/>
          <w:szCs w:val="24"/>
          <w:lang w:eastAsia="zh-CN"/>
        </w:rPr>
      </w:pPr>
      <w:r w:rsidRPr="00255889">
        <w:rPr>
          <w:rStyle w:val="FootnoteReference"/>
          <w:rFonts w:cs="Calibri"/>
          <w:sz w:val="16"/>
          <w:szCs w:val="16"/>
        </w:rPr>
        <w:footnoteRef/>
      </w:r>
      <w:r w:rsidRPr="00255889">
        <w:rPr>
          <w:rFonts w:cs="Calibri"/>
          <w:szCs w:val="24"/>
          <w:lang w:eastAsia="zh-CN"/>
        </w:rPr>
        <w:t xml:space="preserve"> </w:t>
      </w:r>
      <w:r w:rsidRPr="00EA1E7C">
        <w:rPr>
          <w:rFonts w:cs="Calibri" w:hint="eastAsia"/>
          <w:sz w:val="22"/>
          <w:szCs w:val="22"/>
          <w:lang w:eastAsia="zh-CN"/>
        </w:rPr>
        <w:t>参见</w:t>
      </w:r>
      <w:r w:rsidRPr="00EA1E7C">
        <w:rPr>
          <w:rFonts w:cs="Calibri"/>
          <w:sz w:val="22"/>
          <w:szCs w:val="22"/>
          <w:lang w:eastAsia="zh-CN"/>
        </w:rPr>
        <w:t>2020</w:t>
      </w:r>
      <w:r w:rsidRPr="00EA1E7C">
        <w:rPr>
          <w:rFonts w:cs="Calibri" w:hint="eastAsia"/>
          <w:sz w:val="22"/>
          <w:szCs w:val="22"/>
          <w:lang w:eastAsia="zh-CN"/>
        </w:rPr>
        <w:t>年全球监管机构专题研讨会（</w:t>
      </w:r>
      <w:r w:rsidRPr="00EA1E7C">
        <w:rPr>
          <w:rFonts w:cs="Calibri"/>
          <w:sz w:val="22"/>
          <w:szCs w:val="22"/>
          <w:lang w:eastAsia="zh-CN"/>
        </w:rPr>
        <w:t>GSR</w:t>
      </w:r>
      <w:r w:rsidRPr="00EA1E7C">
        <w:rPr>
          <w:rFonts w:cs="Calibri" w:hint="eastAsia"/>
          <w:sz w:val="22"/>
          <w:szCs w:val="22"/>
          <w:lang w:eastAsia="zh-CN"/>
        </w:rPr>
        <w:t>）：《最佳做法导则：数字化监管的黄金标准》，</w:t>
      </w:r>
      <w:hyperlink r:id="rId2" w:history="1">
        <w:r w:rsidR="00EA1E7C" w:rsidRPr="00EA1E7C">
          <w:rPr>
            <w:rFonts w:eastAsia="Times New Roman"/>
            <w:color w:val="0000FF"/>
            <w:sz w:val="22"/>
            <w:szCs w:val="22"/>
            <w:u w:val="single"/>
          </w:rPr>
          <w:t>https://www.itu.int/en/ITU-D/Conferences/GSR/2020/Documents/GSR-20_Best-Practice-Guidelines_Final_F.pdf</w:t>
        </w:r>
      </w:hyperlink>
      <w:r w:rsidR="00EA1E7C" w:rsidRPr="00EA1E7C">
        <w:rPr>
          <w:rFonts w:cs="Calibri" w:hint="eastAsia"/>
          <w:sz w:val="22"/>
          <w:szCs w:val="22"/>
          <w:lang w:eastAsia="zh-CN"/>
        </w:rPr>
        <w:t>。</w:t>
      </w:r>
    </w:p>
  </w:footnote>
  <w:footnote w:id="3">
    <w:p w14:paraId="4A0D1666" w14:textId="77777777" w:rsidR="008F0ADA" w:rsidRPr="00EA1E7C" w:rsidRDefault="008F0ADA" w:rsidP="00255889">
      <w:pPr>
        <w:pStyle w:val="FootnoteText"/>
        <w:spacing w:after="120" w:line="240" w:lineRule="exact"/>
        <w:ind w:left="0" w:firstLine="0"/>
        <w:rPr>
          <w:rFonts w:cs="Calibri"/>
          <w:sz w:val="22"/>
          <w:szCs w:val="22"/>
          <w:lang w:eastAsia="zh-CN"/>
        </w:rPr>
      </w:pPr>
      <w:r w:rsidRPr="00255889">
        <w:rPr>
          <w:rStyle w:val="FootnoteReference"/>
          <w:rFonts w:cs="Calibri"/>
          <w:sz w:val="16"/>
          <w:szCs w:val="16"/>
        </w:rPr>
        <w:footnoteRef/>
      </w:r>
      <w:r w:rsidRPr="00255889">
        <w:rPr>
          <w:rFonts w:cs="Calibri"/>
          <w:szCs w:val="24"/>
          <w:lang w:eastAsia="zh-CN"/>
        </w:rPr>
        <w:t xml:space="preserve"> </w:t>
      </w:r>
      <w:r w:rsidRPr="00EA1E7C">
        <w:rPr>
          <w:rFonts w:cs="Calibri" w:hint="eastAsia"/>
          <w:sz w:val="22"/>
          <w:szCs w:val="22"/>
          <w:lang w:eastAsia="zh-CN"/>
        </w:rPr>
        <w:t>世界贸易组织（</w:t>
      </w:r>
      <w:r w:rsidRPr="00EA1E7C">
        <w:rPr>
          <w:rFonts w:cs="Calibri"/>
          <w:sz w:val="22"/>
          <w:szCs w:val="22"/>
          <w:lang w:eastAsia="zh-CN"/>
        </w:rPr>
        <w:t>WTO</w:t>
      </w:r>
      <w:r w:rsidRPr="00EA1E7C">
        <w:rPr>
          <w:rFonts w:cs="Calibri" w:hint="eastAsia"/>
          <w:sz w:val="22"/>
          <w:szCs w:val="22"/>
          <w:lang w:eastAsia="zh-CN"/>
        </w:rPr>
        <w:t>）将与数字相关的贸易问题纳入服务贸易规则，并最终启动单独的电子商务谈判进程；国际货币组织（</w:t>
      </w:r>
      <w:r w:rsidRPr="00EA1E7C">
        <w:rPr>
          <w:rFonts w:cs="Calibri"/>
          <w:sz w:val="22"/>
          <w:szCs w:val="22"/>
          <w:lang w:eastAsia="zh-CN"/>
        </w:rPr>
        <w:t>IMF</w:t>
      </w:r>
      <w:r w:rsidRPr="00EA1E7C">
        <w:rPr>
          <w:rFonts w:cs="Calibri" w:hint="eastAsia"/>
          <w:sz w:val="22"/>
          <w:szCs w:val="22"/>
          <w:lang w:eastAsia="zh-CN"/>
        </w:rPr>
        <w:t>）发布有关数字货币和跨境支付等问题的研究报告；世界银行开始关注数字基础设施建设领域融资。</w:t>
      </w:r>
    </w:p>
  </w:footnote>
  <w:footnote w:id="4">
    <w:p w14:paraId="73211EB8" w14:textId="1A205E16" w:rsidR="008F0ADA" w:rsidRPr="00255889" w:rsidRDefault="008F0ADA" w:rsidP="00255889">
      <w:pPr>
        <w:pStyle w:val="FootnoteText"/>
        <w:spacing w:after="120" w:line="240" w:lineRule="exact"/>
        <w:ind w:left="0" w:firstLine="0"/>
        <w:rPr>
          <w:rFonts w:cs="Calibri"/>
          <w:szCs w:val="24"/>
          <w:lang w:eastAsia="zh-CN"/>
        </w:rPr>
      </w:pPr>
      <w:r w:rsidRPr="00EA1E7C">
        <w:rPr>
          <w:rStyle w:val="FootnoteReference"/>
          <w:rFonts w:cs="Calibri"/>
          <w:sz w:val="16"/>
          <w:szCs w:val="16"/>
        </w:rPr>
        <w:footnoteRef/>
      </w:r>
      <w:r w:rsidRPr="00EA1E7C">
        <w:rPr>
          <w:rFonts w:cs="Calibri"/>
          <w:sz w:val="22"/>
          <w:szCs w:val="22"/>
          <w:lang w:eastAsia="zh-CN"/>
        </w:rPr>
        <w:t xml:space="preserve"> </w:t>
      </w:r>
      <w:r w:rsidR="002E0A97" w:rsidRPr="00EA1E7C">
        <w:rPr>
          <w:rFonts w:cs="Calibri"/>
          <w:sz w:val="22"/>
          <w:szCs w:val="22"/>
          <w:lang w:eastAsia="zh-CN"/>
        </w:rPr>
        <w:t>此处提及的巨型自由贸易协定包括</w:t>
      </w:r>
      <w:r w:rsidR="002E0A97" w:rsidRPr="00EA1E7C">
        <w:rPr>
          <w:rFonts w:cs="Calibri" w:hint="eastAsia"/>
          <w:sz w:val="22"/>
          <w:szCs w:val="22"/>
          <w:lang w:eastAsia="zh-CN"/>
        </w:rPr>
        <w:t>但不限于</w:t>
      </w:r>
      <w:r w:rsidR="002E0A97" w:rsidRPr="00EA1E7C">
        <w:rPr>
          <w:rFonts w:cs="Calibri"/>
          <w:sz w:val="22"/>
          <w:szCs w:val="22"/>
          <w:lang w:eastAsia="zh-CN"/>
        </w:rPr>
        <w:t>：以跨太平洋伙伴关系协议</w:t>
      </w:r>
      <w:r w:rsidR="002E0A97" w:rsidRPr="00EA1E7C">
        <w:rPr>
          <w:rFonts w:cs="Calibri"/>
          <w:sz w:val="22"/>
          <w:szCs w:val="22"/>
          <w:lang w:eastAsia="zh-CN"/>
        </w:rPr>
        <w:t>/</w:t>
      </w:r>
      <w:r w:rsidR="002E0A97" w:rsidRPr="00EA1E7C">
        <w:rPr>
          <w:rFonts w:cs="Calibri"/>
          <w:sz w:val="22"/>
          <w:szCs w:val="22"/>
          <w:lang w:eastAsia="zh-CN"/>
        </w:rPr>
        <w:t>全面与进步跨太平洋伙伴关系协定（</w:t>
      </w:r>
      <w:r w:rsidR="002E0A97" w:rsidRPr="00EA1E7C">
        <w:rPr>
          <w:rFonts w:cs="Calibri"/>
          <w:sz w:val="22"/>
          <w:szCs w:val="22"/>
          <w:lang w:eastAsia="zh-CN"/>
        </w:rPr>
        <w:t>TPP/CPTPP</w:t>
      </w:r>
      <w:r w:rsidR="002E0A97" w:rsidRPr="00EA1E7C">
        <w:rPr>
          <w:rFonts w:cs="Calibri"/>
          <w:sz w:val="22"/>
          <w:szCs w:val="22"/>
          <w:lang w:eastAsia="zh-CN"/>
        </w:rPr>
        <w:t>）、美日贸易协定</w:t>
      </w:r>
      <w:r w:rsidR="002E0A97" w:rsidRPr="00EA1E7C">
        <w:rPr>
          <w:rFonts w:cs="Calibri"/>
          <w:sz w:val="22"/>
          <w:szCs w:val="22"/>
          <w:lang w:eastAsia="zh-CN"/>
        </w:rPr>
        <w:t>/</w:t>
      </w:r>
      <w:r w:rsidR="002E0A97" w:rsidRPr="00EA1E7C">
        <w:rPr>
          <w:rFonts w:cs="Calibri"/>
          <w:sz w:val="22"/>
          <w:szCs w:val="22"/>
          <w:lang w:eastAsia="zh-CN"/>
        </w:rPr>
        <w:t>美日数字贸易协定、欧日自贸协定、中美第一阶段经贸协议</w:t>
      </w:r>
      <w:r w:rsidR="002E0A97" w:rsidRPr="00EA1E7C">
        <w:rPr>
          <w:rFonts w:cs="Calibri" w:hint="eastAsia"/>
          <w:sz w:val="22"/>
          <w:szCs w:val="22"/>
          <w:lang w:eastAsia="zh-CN"/>
        </w:rPr>
        <w:t>、</w:t>
      </w:r>
      <w:r w:rsidR="002E0A97" w:rsidRPr="00EA1E7C">
        <w:rPr>
          <w:rFonts w:cs="Calibri"/>
          <w:sz w:val="22"/>
          <w:szCs w:val="22"/>
          <w:lang w:eastAsia="zh-CN"/>
        </w:rPr>
        <w:t>东盟</w:t>
      </w:r>
      <w:r w:rsidR="002E0A97" w:rsidRPr="00EA1E7C">
        <w:rPr>
          <w:rFonts w:cs="Calibri"/>
          <w:sz w:val="22"/>
          <w:szCs w:val="22"/>
          <w:lang w:eastAsia="zh-CN"/>
        </w:rPr>
        <w:t>“10+6”</w:t>
      </w:r>
      <w:r w:rsidR="002E0A97" w:rsidRPr="00EA1E7C">
        <w:rPr>
          <w:rFonts w:cs="Calibri"/>
          <w:sz w:val="22"/>
          <w:szCs w:val="22"/>
          <w:lang w:eastAsia="zh-CN"/>
        </w:rPr>
        <w:t>区域全面经济伙伴关系（</w:t>
      </w:r>
      <w:r w:rsidR="002E0A97" w:rsidRPr="00EA1E7C">
        <w:rPr>
          <w:rFonts w:cs="Calibri"/>
          <w:sz w:val="22"/>
          <w:szCs w:val="22"/>
          <w:lang w:eastAsia="zh-CN"/>
        </w:rPr>
        <w:t>RCEP</w:t>
      </w:r>
      <w:r w:rsidR="002E0A97" w:rsidRPr="00EA1E7C">
        <w:rPr>
          <w:rFonts w:cs="Calibri" w:hint="eastAsia"/>
          <w:sz w:val="22"/>
          <w:szCs w:val="22"/>
          <w:lang w:eastAsia="zh-CN"/>
        </w:rPr>
        <w:t>，目前已签署并将于</w:t>
      </w:r>
      <w:r w:rsidR="002E0A97" w:rsidRPr="00EA1E7C">
        <w:rPr>
          <w:rFonts w:cs="Calibri" w:hint="eastAsia"/>
          <w:sz w:val="22"/>
          <w:szCs w:val="22"/>
          <w:lang w:eastAsia="zh-CN"/>
        </w:rPr>
        <w:t>2</w:t>
      </w:r>
      <w:r w:rsidR="002E0A97" w:rsidRPr="00EA1E7C">
        <w:rPr>
          <w:rFonts w:cs="Calibri"/>
          <w:sz w:val="22"/>
          <w:szCs w:val="22"/>
          <w:lang w:eastAsia="zh-CN"/>
        </w:rPr>
        <w:t>022</w:t>
      </w:r>
      <w:r w:rsidR="002E0A97" w:rsidRPr="00EA1E7C">
        <w:rPr>
          <w:rFonts w:cs="Calibri" w:hint="eastAsia"/>
          <w:sz w:val="22"/>
          <w:szCs w:val="22"/>
          <w:lang w:eastAsia="zh-CN"/>
        </w:rPr>
        <w:t>年生效</w:t>
      </w:r>
      <w:r w:rsidR="002E0A97" w:rsidRPr="00EA1E7C">
        <w:rPr>
          <w:rFonts w:cs="Calibri"/>
          <w:sz w:val="22"/>
          <w:szCs w:val="22"/>
          <w:lang w:eastAsia="zh-CN"/>
        </w:rPr>
        <w:t>）的签署与生效，以及</w:t>
      </w:r>
      <w:r w:rsidR="002E0A97" w:rsidRPr="00EA1E7C">
        <w:rPr>
          <w:rFonts w:cs="Calibri" w:hint="eastAsia"/>
          <w:sz w:val="22"/>
          <w:szCs w:val="22"/>
          <w:lang w:eastAsia="zh-CN"/>
        </w:rPr>
        <w:t>《中欧全面投资协定》</w:t>
      </w:r>
      <w:r w:rsidR="00EA1E7C">
        <w:rPr>
          <w:rFonts w:cs="Calibri" w:hint="eastAsia"/>
          <w:sz w:val="22"/>
          <w:szCs w:val="22"/>
          <w:lang w:eastAsia="zh-CN"/>
        </w:rPr>
        <w:t>（</w:t>
      </w:r>
      <w:r w:rsidR="002E0A97" w:rsidRPr="00EA1E7C">
        <w:rPr>
          <w:rFonts w:cs="Calibri"/>
          <w:sz w:val="22"/>
          <w:szCs w:val="22"/>
          <w:lang w:eastAsia="zh-CN"/>
        </w:rPr>
        <w:t>CAI</w:t>
      </w:r>
      <w:r w:rsidR="00EA1E7C">
        <w:rPr>
          <w:rFonts w:cs="Calibri" w:hint="eastAsia"/>
          <w:sz w:val="22"/>
          <w:szCs w:val="22"/>
          <w:lang w:eastAsia="zh-CN"/>
        </w:rPr>
        <w:t>）</w:t>
      </w:r>
      <w:r w:rsidR="002E0A97" w:rsidRPr="00EA1E7C">
        <w:rPr>
          <w:rFonts w:cs="Calibri"/>
          <w:sz w:val="22"/>
          <w:szCs w:val="22"/>
          <w:lang w:eastAsia="zh-CN"/>
        </w:rPr>
        <w:t>、中日韩自</w:t>
      </w:r>
      <w:proofErr w:type="gramStart"/>
      <w:r w:rsidR="002E0A97" w:rsidRPr="00EA1E7C">
        <w:rPr>
          <w:rFonts w:cs="Calibri"/>
          <w:sz w:val="22"/>
          <w:szCs w:val="22"/>
          <w:lang w:eastAsia="zh-CN"/>
        </w:rPr>
        <w:t>贸协定</w:t>
      </w:r>
      <w:proofErr w:type="gramEnd"/>
      <w:r w:rsidR="002E0A97" w:rsidRPr="00EA1E7C">
        <w:rPr>
          <w:rFonts w:cs="Calibri"/>
          <w:sz w:val="22"/>
          <w:szCs w:val="22"/>
          <w:lang w:eastAsia="zh-CN"/>
        </w:rPr>
        <w:t>谈判进程的推进。</w:t>
      </w:r>
    </w:p>
  </w:footnote>
  <w:footnote w:id="5">
    <w:p w14:paraId="58A4669D" w14:textId="25BE7040" w:rsidR="008F0ADA" w:rsidRPr="006B685B" w:rsidRDefault="008F0ADA" w:rsidP="00DE2D7B">
      <w:pPr>
        <w:pStyle w:val="FootnoteText"/>
        <w:spacing w:after="120" w:line="240" w:lineRule="exact"/>
        <w:ind w:left="0" w:firstLine="0"/>
        <w:rPr>
          <w:rFonts w:asciiTheme="minorHAnsi" w:eastAsia="STKaiti" w:hAnsiTheme="minorHAnsi" w:cstheme="minorHAnsi"/>
          <w:sz w:val="22"/>
          <w:szCs w:val="22"/>
          <w:lang w:eastAsia="zh-CN"/>
        </w:rPr>
      </w:pPr>
      <w:r w:rsidRPr="006B685B">
        <w:rPr>
          <w:rStyle w:val="FootnoteReference"/>
          <w:rFonts w:asciiTheme="minorHAnsi" w:hAnsiTheme="minorHAnsi" w:cstheme="minorHAnsi"/>
          <w:sz w:val="16"/>
          <w:szCs w:val="16"/>
        </w:rPr>
        <w:footnoteRef/>
      </w:r>
      <w:r w:rsidRPr="006B685B">
        <w:rPr>
          <w:rFonts w:asciiTheme="minorHAnsi" w:hAnsiTheme="minorHAnsi" w:cstheme="minorHAnsi"/>
          <w:sz w:val="22"/>
          <w:szCs w:val="22"/>
          <w:lang w:eastAsia="zh-CN"/>
        </w:rPr>
        <w:t xml:space="preserve"> </w:t>
      </w:r>
      <w:r w:rsidRPr="006B685B">
        <w:rPr>
          <w:rFonts w:asciiTheme="minorHAnsi" w:hAnsiTheme="minorHAnsi" w:cstheme="minorHAnsi"/>
          <w:sz w:val="22"/>
          <w:szCs w:val="22"/>
          <w:lang w:eastAsia="zh-CN"/>
        </w:rPr>
        <w:t>新华网：《习近平同德国欧盟领导人共同举行会晤》，</w:t>
      </w:r>
      <w:r w:rsidRPr="006B685B">
        <w:rPr>
          <w:rFonts w:asciiTheme="minorHAnsi" w:hAnsiTheme="minorHAnsi" w:cstheme="minorHAnsi"/>
          <w:sz w:val="22"/>
          <w:szCs w:val="22"/>
          <w:lang w:eastAsia="zh-CN"/>
        </w:rPr>
        <w:t>2020</w:t>
      </w:r>
      <w:r w:rsidRPr="006B685B">
        <w:rPr>
          <w:rFonts w:asciiTheme="minorHAnsi" w:hAnsiTheme="minorHAnsi" w:cstheme="minorHAnsi"/>
          <w:sz w:val="22"/>
          <w:szCs w:val="22"/>
          <w:lang w:eastAsia="zh-CN"/>
        </w:rPr>
        <w:t>年</w:t>
      </w:r>
      <w:r w:rsidRPr="006B685B">
        <w:rPr>
          <w:rFonts w:asciiTheme="minorHAnsi" w:hAnsiTheme="minorHAnsi" w:cstheme="minorHAnsi"/>
          <w:sz w:val="22"/>
          <w:szCs w:val="22"/>
          <w:lang w:eastAsia="zh-CN"/>
        </w:rPr>
        <w:t>9</w:t>
      </w:r>
      <w:r w:rsidRPr="006B685B">
        <w:rPr>
          <w:rFonts w:asciiTheme="minorHAnsi" w:hAnsiTheme="minorHAnsi" w:cstheme="minorHAnsi"/>
          <w:sz w:val="22"/>
          <w:szCs w:val="22"/>
          <w:lang w:eastAsia="zh-CN"/>
        </w:rPr>
        <w:t>月</w:t>
      </w:r>
      <w:r w:rsidRPr="006B685B">
        <w:rPr>
          <w:rFonts w:asciiTheme="minorHAnsi" w:hAnsiTheme="minorHAnsi" w:cstheme="minorHAnsi"/>
          <w:sz w:val="22"/>
          <w:szCs w:val="22"/>
          <w:lang w:eastAsia="zh-CN"/>
        </w:rPr>
        <w:t>15</w:t>
      </w:r>
      <w:r w:rsidRPr="006B685B">
        <w:rPr>
          <w:rFonts w:asciiTheme="minorHAnsi" w:hAnsiTheme="minorHAnsi" w:cstheme="minorHAnsi"/>
          <w:sz w:val="22"/>
          <w:szCs w:val="22"/>
          <w:lang w:eastAsia="zh-CN"/>
        </w:rPr>
        <w:t>日，</w:t>
      </w:r>
      <w:hyperlink r:id="rId3" w:history="1">
        <w:r w:rsidR="00DE2D7B" w:rsidRPr="006B685B">
          <w:rPr>
            <w:rFonts w:asciiTheme="minorHAnsi" w:eastAsia="STKaiti" w:hAnsiTheme="minorHAnsi" w:cstheme="minorHAnsi"/>
            <w:color w:val="0000FF"/>
            <w:u w:val="single"/>
            <w:lang w:val="en-US"/>
          </w:rPr>
          <w:t>http://www.xinhuanet.com/politics/leaders/2020-09/15/c_1126493059.htm</w:t>
        </w:r>
      </w:hyperlink>
      <w:r w:rsidR="00DE2D7B" w:rsidRPr="006B685B">
        <w:rPr>
          <w:rFonts w:asciiTheme="minorHAnsi" w:eastAsia="STKaiti" w:hAnsiTheme="minorHAnsi" w:cstheme="minorHAnsi"/>
          <w:sz w:val="22"/>
          <w:szCs w:val="22"/>
          <w:lang w:eastAsia="zh-CN"/>
        </w:rPr>
        <w:t>。</w:t>
      </w:r>
    </w:p>
  </w:footnote>
  <w:footnote w:id="6">
    <w:p w14:paraId="360172EC" w14:textId="36E1AF9D" w:rsidR="008F0ADA" w:rsidRPr="006B685B" w:rsidRDefault="008F0ADA" w:rsidP="00DE2D7B">
      <w:pPr>
        <w:pStyle w:val="FootnoteText"/>
        <w:spacing w:after="120" w:line="240" w:lineRule="exact"/>
        <w:ind w:left="0" w:firstLine="0"/>
        <w:rPr>
          <w:rFonts w:asciiTheme="minorHAnsi" w:hAnsiTheme="minorHAnsi" w:cstheme="minorHAnsi"/>
          <w:sz w:val="22"/>
          <w:szCs w:val="22"/>
          <w:lang w:eastAsia="zh-CN"/>
        </w:rPr>
      </w:pPr>
      <w:r w:rsidRPr="006B685B">
        <w:rPr>
          <w:rStyle w:val="FootnoteReference"/>
          <w:rFonts w:asciiTheme="minorHAnsi" w:hAnsiTheme="minorHAnsi" w:cstheme="minorHAnsi"/>
          <w:sz w:val="16"/>
          <w:szCs w:val="16"/>
        </w:rPr>
        <w:footnoteRef/>
      </w:r>
      <w:r w:rsidRPr="006B685B">
        <w:rPr>
          <w:rFonts w:asciiTheme="minorHAnsi" w:hAnsiTheme="minorHAnsi" w:cstheme="minorHAnsi"/>
          <w:sz w:val="22"/>
          <w:szCs w:val="22"/>
          <w:lang w:eastAsia="zh-CN"/>
        </w:rPr>
        <w:t xml:space="preserve"> 2020-2023</w:t>
      </w:r>
      <w:proofErr w:type="gramStart"/>
      <w:r w:rsidRPr="006B685B">
        <w:rPr>
          <w:rFonts w:asciiTheme="minorHAnsi" w:hAnsiTheme="minorHAnsi" w:cstheme="minorHAnsi"/>
          <w:sz w:val="22"/>
          <w:szCs w:val="22"/>
          <w:lang w:eastAsia="zh-CN"/>
        </w:rPr>
        <w:t>年战略目标规定的总体战略目标分别为</w:t>
      </w:r>
      <w:r w:rsidR="00BF6CD4" w:rsidRPr="00BF6CD4">
        <w:rPr>
          <w:rFonts w:ascii="SimSun" w:hAnsi="SimSun" w:cstheme="minorHAnsi"/>
          <w:sz w:val="22"/>
          <w:szCs w:val="22"/>
          <w:lang w:eastAsia="zh-CN"/>
        </w:rPr>
        <w:t>“</w:t>
      </w:r>
      <w:proofErr w:type="gramEnd"/>
      <w:r w:rsidRPr="006B685B">
        <w:rPr>
          <w:rFonts w:asciiTheme="minorHAnsi" w:hAnsiTheme="minorHAnsi" w:cstheme="minorHAnsi"/>
          <w:sz w:val="22"/>
          <w:szCs w:val="22"/>
          <w:lang w:eastAsia="zh-CN"/>
        </w:rPr>
        <w:t>增长</w:t>
      </w:r>
      <w:r w:rsidRPr="006B685B">
        <w:rPr>
          <w:rFonts w:asciiTheme="minorHAnsi" w:hAnsiTheme="minorHAnsi" w:cstheme="minorHAnsi"/>
          <w:sz w:val="22"/>
          <w:szCs w:val="22"/>
          <w:lang w:eastAsia="zh-CN"/>
        </w:rPr>
        <w:t xml:space="preserve"> – </w:t>
      </w:r>
      <w:r w:rsidRPr="006B685B">
        <w:rPr>
          <w:rFonts w:asciiTheme="minorHAnsi" w:hAnsiTheme="minorHAnsi" w:cstheme="minorHAnsi"/>
          <w:sz w:val="22"/>
          <w:szCs w:val="22"/>
          <w:lang w:eastAsia="zh-CN"/>
        </w:rPr>
        <w:t>为支持数字经济和社会，促成并推进电信</w:t>
      </w:r>
      <w:r w:rsidRPr="006B685B">
        <w:rPr>
          <w:rFonts w:asciiTheme="minorHAnsi" w:hAnsiTheme="minorHAnsi" w:cstheme="minorHAnsi"/>
          <w:sz w:val="22"/>
          <w:szCs w:val="22"/>
          <w:lang w:eastAsia="zh-CN"/>
        </w:rPr>
        <w:t>/ICT</w:t>
      </w:r>
      <w:r w:rsidRPr="006B685B">
        <w:rPr>
          <w:rFonts w:asciiTheme="minorHAnsi" w:hAnsiTheme="minorHAnsi" w:cstheme="minorHAnsi"/>
          <w:sz w:val="22"/>
          <w:szCs w:val="22"/>
          <w:lang w:eastAsia="zh-CN"/>
        </w:rPr>
        <w:t>的获取并加强其使用</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包容性</w:t>
      </w:r>
      <w:r w:rsidRPr="006B685B">
        <w:rPr>
          <w:rFonts w:asciiTheme="minorHAnsi" w:hAnsiTheme="minorHAnsi" w:cstheme="minorHAnsi"/>
          <w:sz w:val="22"/>
          <w:szCs w:val="22"/>
          <w:lang w:eastAsia="zh-CN"/>
        </w:rPr>
        <w:t xml:space="preserve"> – </w:t>
      </w:r>
      <w:r w:rsidRPr="006B685B">
        <w:rPr>
          <w:rFonts w:asciiTheme="minorHAnsi" w:hAnsiTheme="minorHAnsi" w:cstheme="minorHAnsi"/>
          <w:sz w:val="22"/>
          <w:szCs w:val="22"/>
          <w:lang w:eastAsia="zh-CN"/>
        </w:rPr>
        <w:t>弥合数字鸿沟，为所有人提供宽带接入</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可持续性</w:t>
      </w:r>
      <w:r w:rsidRPr="006B685B">
        <w:rPr>
          <w:rFonts w:asciiTheme="minorHAnsi" w:hAnsiTheme="minorHAnsi" w:cstheme="minorHAnsi"/>
          <w:sz w:val="22"/>
          <w:szCs w:val="22"/>
          <w:lang w:eastAsia="zh-CN"/>
        </w:rPr>
        <w:t xml:space="preserve"> – </w:t>
      </w:r>
      <w:r w:rsidRPr="006B685B">
        <w:rPr>
          <w:rFonts w:asciiTheme="minorHAnsi" w:hAnsiTheme="minorHAnsi" w:cstheme="minorHAnsi"/>
          <w:sz w:val="22"/>
          <w:szCs w:val="22"/>
          <w:lang w:eastAsia="zh-CN"/>
        </w:rPr>
        <w:t>管理电信</w:t>
      </w:r>
      <w:r w:rsidRPr="006B685B">
        <w:rPr>
          <w:rFonts w:asciiTheme="minorHAnsi" w:hAnsiTheme="minorHAnsi" w:cstheme="minorHAnsi"/>
          <w:sz w:val="22"/>
          <w:szCs w:val="22"/>
          <w:lang w:eastAsia="zh-CN"/>
        </w:rPr>
        <w:t>/ICT</w:t>
      </w:r>
      <w:r w:rsidRPr="006B685B">
        <w:rPr>
          <w:rFonts w:asciiTheme="minorHAnsi" w:hAnsiTheme="minorHAnsi" w:cstheme="minorHAnsi"/>
          <w:sz w:val="22"/>
          <w:szCs w:val="22"/>
          <w:lang w:eastAsia="zh-CN"/>
        </w:rPr>
        <w:t>迅速发展带来的新风险、挑战和机遇</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创新</w:t>
      </w:r>
      <w:r w:rsidRPr="006B685B">
        <w:rPr>
          <w:rFonts w:asciiTheme="minorHAnsi" w:hAnsiTheme="minorHAnsi" w:cstheme="minorHAnsi"/>
          <w:sz w:val="22"/>
          <w:szCs w:val="22"/>
          <w:lang w:eastAsia="zh-CN"/>
        </w:rPr>
        <w:t xml:space="preserve"> – </w:t>
      </w:r>
      <w:r w:rsidRPr="006B685B">
        <w:rPr>
          <w:rFonts w:asciiTheme="minorHAnsi" w:hAnsiTheme="minorHAnsi" w:cstheme="minorHAnsi"/>
          <w:sz w:val="22"/>
          <w:szCs w:val="22"/>
          <w:lang w:eastAsia="zh-CN"/>
        </w:rPr>
        <w:t>为支持社会数字变革促进电信</w:t>
      </w:r>
      <w:r w:rsidRPr="006B685B">
        <w:rPr>
          <w:rFonts w:asciiTheme="minorHAnsi" w:hAnsiTheme="minorHAnsi" w:cstheme="minorHAnsi"/>
          <w:sz w:val="22"/>
          <w:szCs w:val="22"/>
          <w:lang w:eastAsia="zh-CN"/>
        </w:rPr>
        <w:t>/ICT</w:t>
      </w:r>
      <w:r w:rsidRPr="006B685B">
        <w:rPr>
          <w:rFonts w:asciiTheme="minorHAnsi" w:hAnsiTheme="minorHAnsi" w:cstheme="minorHAnsi"/>
          <w:sz w:val="22"/>
          <w:szCs w:val="22"/>
          <w:lang w:eastAsia="zh-CN"/>
        </w:rPr>
        <w:t>的创新</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和</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伙伴关系</w:t>
      </w:r>
      <w:r w:rsidRPr="006B685B">
        <w:rPr>
          <w:rFonts w:asciiTheme="minorHAnsi" w:hAnsiTheme="minorHAnsi" w:cstheme="minorHAnsi"/>
          <w:sz w:val="22"/>
          <w:szCs w:val="22"/>
          <w:lang w:eastAsia="zh-CN"/>
        </w:rPr>
        <w:t xml:space="preserve"> – </w:t>
      </w:r>
      <w:r w:rsidRPr="006B685B">
        <w:rPr>
          <w:rFonts w:asciiTheme="minorHAnsi" w:hAnsiTheme="minorHAnsi" w:cstheme="minorHAnsi"/>
          <w:sz w:val="22"/>
          <w:szCs w:val="22"/>
          <w:lang w:eastAsia="zh-CN"/>
        </w:rPr>
        <w:t>加强国际电联成员与所有其他利益攸关方的合作，以便为国际电联的所有总体战略目标提供支持</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w:t>
      </w:r>
    </w:p>
  </w:footnote>
  <w:footnote w:id="7">
    <w:p w14:paraId="70A29210" w14:textId="5606B092" w:rsidR="008F0ADA" w:rsidRDefault="008F0ADA" w:rsidP="00DE2D7B">
      <w:pPr>
        <w:pStyle w:val="FootnoteText"/>
        <w:spacing w:after="120" w:line="240" w:lineRule="exact"/>
        <w:ind w:left="0" w:firstLine="0"/>
        <w:rPr>
          <w:rFonts w:ascii="Times New Roman" w:hAnsi="Times New Roman"/>
          <w:sz w:val="18"/>
          <w:szCs w:val="18"/>
          <w:lang w:eastAsia="zh-CN"/>
        </w:rPr>
      </w:pPr>
      <w:r w:rsidRPr="006B685B">
        <w:rPr>
          <w:rStyle w:val="FootnoteReference"/>
          <w:rFonts w:asciiTheme="minorHAnsi" w:hAnsiTheme="minorHAnsi" w:cstheme="minorHAnsi"/>
          <w:sz w:val="16"/>
          <w:szCs w:val="16"/>
        </w:rPr>
        <w:footnoteRef/>
      </w:r>
      <w:r w:rsidRPr="006B685B">
        <w:rPr>
          <w:rFonts w:asciiTheme="minorHAnsi" w:hAnsiTheme="minorHAnsi" w:cstheme="minorHAnsi"/>
          <w:sz w:val="22"/>
          <w:szCs w:val="22"/>
          <w:lang w:eastAsia="zh-CN"/>
        </w:rPr>
        <w:t xml:space="preserve"> </w:t>
      </w:r>
      <w:r w:rsidRPr="006B685B">
        <w:rPr>
          <w:rFonts w:asciiTheme="minorHAnsi" w:hAnsiTheme="minorHAnsi" w:cstheme="minorHAnsi"/>
          <w:sz w:val="22"/>
          <w:szCs w:val="22"/>
          <w:lang w:eastAsia="zh-CN"/>
        </w:rPr>
        <w:t>详见第</w:t>
      </w:r>
      <w:r w:rsidRPr="006B685B">
        <w:rPr>
          <w:rFonts w:asciiTheme="minorHAnsi" w:hAnsiTheme="minorHAnsi" w:cstheme="minorHAnsi"/>
          <w:sz w:val="22"/>
          <w:szCs w:val="22"/>
          <w:lang w:eastAsia="zh-CN"/>
        </w:rPr>
        <w:t>71</w:t>
      </w:r>
      <w:r w:rsidRPr="006B685B">
        <w:rPr>
          <w:rFonts w:asciiTheme="minorHAnsi" w:hAnsiTheme="minorHAnsi" w:cstheme="minorHAnsi"/>
          <w:sz w:val="22"/>
          <w:szCs w:val="22"/>
          <w:lang w:eastAsia="zh-CN"/>
        </w:rPr>
        <w:t>号决议（</w:t>
      </w:r>
      <w:r w:rsidRPr="006B685B">
        <w:rPr>
          <w:rFonts w:asciiTheme="minorHAnsi" w:hAnsiTheme="minorHAnsi" w:cstheme="minorHAnsi"/>
          <w:sz w:val="22"/>
          <w:szCs w:val="22"/>
          <w:lang w:eastAsia="zh-CN"/>
        </w:rPr>
        <w:t>2018</w:t>
      </w:r>
      <w:r w:rsidRPr="006B685B">
        <w:rPr>
          <w:rFonts w:asciiTheme="minorHAnsi" w:hAnsiTheme="minorHAnsi" w:cstheme="minorHAnsi"/>
          <w:sz w:val="22"/>
          <w:szCs w:val="22"/>
          <w:lang w:eastAsia="zh-CN"/>
        </w:rPr>
        <w:t>年，迪拜，修订版）附件</w:t>
      </w:r>
      <w:r w:rsidRPr="006B685B">
        <w:rPr>
          <w:rFonts w:asciiTheme="minorHAnsi" w:hAnsiTheme="minorHAnsi" w:cstheme="minorHAnsi"/>
          <w:sz w:val="22"/>
          <w:szCs w:val="22"/>
          <w:lang w:eastAsia="zh-CN"/>
        </w:rPr>
        <w:t>1</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国际电联</w:t>
      </w:r>
      <w:r w:rsidRPr="006B685B">
        <w:rPr>
          <w:rFonts w:asciiTheme="minorHAnsi" w:hAnsiTheme="minorHAnsi" w:cstheme="minorHAnsi"/>
          <w:sz w:val="22"/>
          <w:szCs w:val="22"/>
          <w:lang w:eastAsia="zh-CN"/>
        </w:rPr>
        <w:t>2020-2023</w:t>
      </w:r>
      <w:r w:rsidRPr="006B685B">
        <w:rPr>
          <w:rFonts w:asciiTheme="minorHAnsi" w:hAnsiTheme="minorHAnsi" w:cstheme="minorHAnsi"/>
          <w:sz w:val="22"/>
          <w:szCs w:val="22"/>
          <w:lang w:eastAsia="zh-CN"/>
        </w:rPr>
        <w:t>年战略规划</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，第</w:t>
      </w:r>
      <w:r w:rsidRPr="006B685B">
        <w:rPr>
          <w:rFonts w:asciiTheme="minorHAnsi" w:hAnsiTheme="minorHAnsi" w:cstheme="minorHAnsi"/>
          <w:sz w:val="22"/>
          <w:szCs w:val="22"/>
          <w:lang w:eastAsia="zh-CN"/>
        </w:rPr>
        <w:t>2</w:t>
      </w:r>
      <w:r w:rsidRPr="006B685B">
        <w:rPr>
          <w:rFonts w:asciiTheme="minorHAnsi" w:hAnsiTheme="minorHAnsi" w:cstheme="minorHAnsi"/>
          <w:sz w:val="22"/>
          <w:szCs w:val="22"/>
          <w:lang w:eastAsia="zh-CN"/>
        </w:rPr>
        <w:t>部分</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国际电联结果框架</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下的</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跨部门目标</w:t>
      </w:r>
      <w:r w:rsidR="00BF6CD4" w:rsidRPr="00BF6CD4">
        <w:rPr>
          <w:rFonts w:ascii="SimSun" w:hAnsi="SimSun" w:cstheme="minorHAnsi"/>
          <w:sz w:val="22"/>
          <w:szCs w:val="22"/>
          <w:lang w:eastAsia="zh-CN"/>
        </w:rPr>
        <w:t>”</w:t>
      </w:r>
      <w:r w:rsidRPr="006B685B">
        <w:rPr>
          <w:rFonts w:asciiTheme="minorHAnsi" w:hAnsiTheme="minorHAnsi" w:cstheme="minorHAnsi"/>
          <w:sz w:val="22"/>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875E" w14:textId="655F914E"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5A591B">
      <w:rPr>
        <w:noProof/>
      </w:rPr>
      <w:t>2</w:t>
    </w:r>
    <w:r w:rsidRPr="009F2E71">
      <w:rPr>
        <w:noProof/>
      </w:rPr>
      <w:fldChar w:fldCharType="end"/>
    </w:r>
    <w:r w:rsidRPr="009F2E71">
      <w:rPr>
        <w:noProof/>
      </w:rPr>
      <w:br/>
      <w:t>CWG-SFP-1\</w:t>
    </w:r>
    <w:r w:rsidR="001F1232">
      <w:rPr>
        <w:rFonts w:hint="eastAsia"/>
        <w:noProof/>
        <w:lang w:eastAsia="zh-CN"/>
      </w:rPr>
      <w:t>9</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3"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57C46"/>
    <w:rsid w:val="000853C0"/>
    <w:rsid w:val="000A1C21"/>
    <w:rsid w:val="000C4248"/>
    <w:rsid w:val="000D0B67"/>
    <w:rsid w:val="000D15EA"/>
    <w:rsid w:val="00100D84"/>
    <w:rsid w:val="00120379"/>
    <w:rsid w:val="00124C9D"/>
    <w:rsid w:val="00157773"/>
    <w:rsid w:val="0018251A"/>
    <w:rsid w:val="00190272"/>
    <w:rsid w:val="00193244"/>
    <w:rsid w:val="00195C6C"/>
    <w:rsid w:val="00195FED"/>
    <w:rsid w:val="00196B51"/>
    <w:rsid w:val="001A4BD6"/>
    <w:rsid w:val="001B4A65"/>
    <w:rsid w:val="001D4C91"/>
    <w:rsid w:val="001D5A18"/>
    <w:rsid w:val="001F1232"/>
    <w:rsid w:val="00255889"/>
    <w:rsid w:val="00264044"/>
    <w:rsid w:val="002768E8"/>
    <w:rsid w:val="00280EB8"/>
    <w:rsid w:val="002A6670"/>
    <w:rsid w:val="002E0A97"/>
    <w:rsid w:val="002E2C4D"/>
    <w:rsid w:val="002F20D0"/>
    <w:rsid w:val="00303502"/>
    <w:rsid w:val="00325C25"/>
    <w:rsid w:val="00372C8F"/>
    <w:rsid w:val="00380ECE"/>
    <w:rsid w:val="00391E27"/>
    <w:rsid w:val="00393DDF"/>
    <w:rsid w:val="00397F55"/>
    <w:rsid w:val="003A369A"/>
    <w:rsid w:val="003A53EF"/>
    <w:rsid w:val="003B4454"/>
    <w:rsid w:val="003C2102"/>
    <w:rsid w:val="003C2E37"/>
    <w:rsid w:val="003C68C5"/>
    <w:rsid w:val="003D7301"/>
    <w:rsid w:val="003F1415"/>
    <w:rsid w:val="0040144C"/>
    <w:rsid w:val="00403EB7"/>
    <w:rsid w:val="0042014B"/>
    <w:rsid w:val="00430BF0"/>
    <w:rsid w:val="00450EA4"/>
    <w:rsid w:val="004672E6"/>
    <w:rsid w:val="00474ED1"/>
    <w:rsid w:val="00493085"/>
    <w:rsid w:val="004A36EC"/>
    <w:rsid w:val="004D163F"/>
    <w:rsid w:val="004E4BFF"/>
    <w:rsid w:val="004F079A"/>
    <w:rsid w:val="004F2598"/>
    <w:rsid w:val="00500EAA"/>
    <w:rsid w:val="005403F7"/>
    <w:rsid w:val="00540632"/>
    <w:rsid w:val="00541CF4"/>
    <w:rsid w:val="00544C81"/>
    <w:rsid w:val="005451E8"/>
    <w:rsid w:val="005507F2"/>
    <w:rsid w:val="00560088"/>
    <w:rsid w:val="005759CC"/>
    <w:rsid w:val="005A591B"/>
    <w:rsid w:val="005A72E1"/>
    <w:rsid w:val="005C5A89"/>
    <w:rsid w:val="005C6632"/>
    <w:rsid w:val="005D1C9E"/>
    <w:rsid w:val="005F55EB"/>
    <w:rsid w:val="00626565"/>
    <w:rsid w:val="00650DC4"/>
    <w:rsid w:val="00654257"/>
    <w:rsid w:val="0065435A"/>
    <w:rsid w:val="00654A24"/>
    <w:rsid w:val="006A2DD3"/>
    <w:rsid w:val="006A5AF8"/>
    <w:rsid w:val="006B685B"/>
    <w:rsid w:val="006C36CD"/>
    <w:rsid w:val="006D6456"/>
    <w:rsid w:val="00700D1F"/>
    <w:rsid w:val="00720594"/>
    <w:rsid w:val="007205CB"/>
    <w:rsid w:val="00722F05"/>
    <w:rsid w:val="00726073"/>
    <w:rsid w:val="00734FE8"/>
    <w:rsid w:val="007360CE"/>
    <w:rsid w:val="0075041B"/>
    <w:rsid w:val="007508E8"/>
    <w:rsid w:val="00772315"/>
    <w:rsid w:val="00775157"/>
    <w:rsid w:val="007813AE"/>
    <w:rsid w:val="00796695"/>
    <w:rsid w:val="007A37DB"/>
    <w:rsid w:val="007E189D"/>
    <w:rsid w:val="007F46B6"/>
    <w:rsid w:val="00811259"/>
    <w:rsid w:val="00813AA2"/>
    <w:rsid w:val="008173A3"/>
    <w:rsid w:val="008453C7"/>
    <w:rsid w:val="0086059C"/>
    <w:rsid w:val="00864589"/>
    <w:rsid w:val="00870ECF"/>
    <w:rsid w:val="00890AFB"/>
    <w:rsid w:val="00890FC4"/>
    <w:rsid w:val="00895905"/>
    <w:rsid w:val="008F0ADA"/>
    <w:rsid w:val="008F6603"/>
    <w:rsid w:val="009164A9"/>
    <w:rsid w:val="009258CB"/>
    <w:rsid w:val="0093362E"/>
    <w:rsid w:val="00934665"/>
    <w:rsid w:val="00942866"/>
    <w:rsid w:val="00944563"/>
    <w:rsid w:val="00953160"/>
    <w:rsid w:val="009625D8"/>
    <w:rsid w:val="00977179"/>
    <w:rsid w:val="0098459B"/>
    <w:rsid w:val="0099023C"/>
    <w:rsid w:val="00997185"/>
    <w:rsid w:val="009B0BC1"/>
    <w:rsid w:val="009C2458"/>
    <w:rsid w:val="009C4A7B"/>
    <w:rsid w:val="009C6123"/>
    <w:rsid w:val="009D2585"/>
    <w:rsid w:val="009F1E3E"/>
    <w:rsid w:val="00A1213C"/>
    <w:rsid w:val="00A272FF"/>
    <w:rsid w:val="00A5354B"/>
    <w:rsid w:val="00A6012E"/>
    <w:rsid w:val="00A71B57"/>
    <w:rsid w:val="00A87B83"/>
    <w:rsid w:val="00AB42C1"/>
    <w:rsid w:val="00AC516F"/>
    <w:rsid w:val="00AE2926"/>
    <w:rsid w:val="00AE536E"/>
    <w:rsid w:val="00B0184B"/>
    <w:rsid w:val="00B035CD"/>
    <w:rsid w:val="00B0769D"/>
    <w:rsid w:val="00B217F8"/>
    <w:rsid w:val="00B332EA"/>
    <w:rsid w:val="00B40A53"/>
    <w:rsid w:val="00B45365"/>
    <w:rsid w:val="00B46A65"/>
    <w:rsid w:val="00B60184"/>
    <w:rsid w:val="00B62D20"/>
    <w:rsid w:val="00B81E75"/>
    <w:rsid w:val="00B86D56"/>
    <w:rsid w:val="00B90C18"/>
    <w:rsid w:val="00B928F5"/>
    <w:rsid w:val="00BC021A"/>
    <w:rsid w:val="00BD1194"/>
    <w:rsid w:val="00BD1A5A"/>
    <w:rsid w:val="00BD7A9B"/>
    <w:rsid w:val="00BD7BE1"/>
    <w:rsid w:val="00BF416B"/>
    <w:rsid w:val="00BF6CD4"/>
    <w:rsid w:val="00BF774C"/>
    <w:rsid w:val="00C246C4"/>
    <w:rsid w:val="00C30365"/>
    <w:rsid w:val="00C50B28"/>
    <w:rsid w:val="00C64E4E"/>
    <w:rsid w:val="00C66E64"/>
    <w:rsid w:val="00C7144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83BEC"/>
    <w:rsid w:val="00D92F45"/>
    <w:rsid w:val="00D94637"/>
    <w:rsid w:val="00D96457"/>
    <w:rsid w:val="00D966A7"/>
    <w:rsid w:val="00D9725C"/>
    <w:rsid w:val="00DA48FE"/>
    <w:rsid w:val="00DA7006"/>
    <w:rsid w:val="00DC60C4"/>
    <w:rsid w:val="00DC6427"/>
    <w:rsid w:val="00DD66A1"/>
    <w:rsid w:val="00DE196D"/>
    <w:rsid w:val="00DE2D7B"/>
    <w:rsid w:val="00DF6B49"/>
    <w:rsid w:val="00E067C5"/>
    <w:rsid w:val="00E265BF"/>
    <w:rsid w:val="00E3045F"/>
    <w:rsid w:val="00E378D8"/>
    <w:rsid w:val="00E43A12"/>
    <w:rsid w:val="00E67C67"/>
    <w:rsid w:val="00E77476"/>
    <w:rsid w:val="00E8228B"/>
    <w:rsid w:val="00EA1E7C"/>
    <w:rsid w:val="00EE4D0B"/>
    <w:rsid w:val="00EE5706"/>
    <w:rsid w:val="00EF373D"/>
    <w:rsid w:val="00F11595"/>
    <w:rsid w:val="00F13BC9"/>
    <w:rsid w:val="00F350F0"/>
    <w:rsid w:val="00F357B2"/>
    <w:rsid w:val="00F36556"/>
    <w:rsid w:val="00F432F3"/>
    <w:rsid w:val="00F705DF"/>
    <w:rsid w:val="00F70622"/>
    <w:rsid w:val="00F71943"/>
    <w:rsid w:val="00F85624"/>
    <w:rsid w:val="00F87C05"/>
    <w:rsid w:val="00F93191"/>
    <w:rsid w:val="00F93A17"/>
    <w:rsid w:val="00F97575"/>
    <w:rsid w:val="00FA2AF6"/>
    <w:rsid w:val="00FB073D"/>
    <w:rsid w:val="00FB771F"/>
    <w:rsid w:val="00FC5386"/>
    <w:rsid w:val="00FF0C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EB8FDF"/>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qFormat/>
    <w:rsid w:val="006C36CD"/>
    <w:rPr>
      <w:position w:val="6"/>
      <w:sz w:val="18"/>
    </w:rPr>
  </w:style>
  <w:style w:type="paragraph" w:styleId="FootnoteText">
    <w:name w:val="footnote text"/>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qFormat/>
    <w:rsid w:val="007A37DB"/>
    <w:rPr>
      <w:rFonts w:ascii="Calibri" w:hAnsi="Calibri"/>
      <w:sz w:val="24"/>
      <w:lang w:val="en-GB" w:eastAsia="en-US"/>
    </w:rPr>
  </w:style>
  <w:style w:type="paragraph" w:styleId="ListParagraph">
    <w:name w:val="List Paragraph"/>
    <w:basedOn w:val="Normal"/>
    <w:link w:val="ListParagraphChar"/>
    <w:uiPriority w:val="99"/>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60736299">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xinhuanet.com/politics/leaders/2020-09/15/c_1126493059.htm" TargetMode="External"/><Relationship Id="rId2" Type="http://schemas.openxmlformats.org/officeDocument/2006/relationships/hyperlink" Target="https://www.itu.int/en/ITU-D/Conferences/GSR/2020/Documents/GSR-20_Best-Practice-Guidelines_Final_F.pdf" TargetMode="External"/><Relationship Id="rId1" Type="http://schemas.openxmlformats.org/officeDocument/2006/relationships/hyperlink" Target="https://www.itu.int/fr/actio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B3D5-EE23-470D-A841-F9E036C9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2</Pages>
  <Words>1472</Words>
  <Characters>175</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People’s Republic of China-Recommendations to Include Leveraging Existing High-level International Meeting Platforms to Promote Global Consensus on Digital Governance in the Inter-sectoral Objectives of ITU Strategic Plan for 2024-2027</dc:title>
  <dc:subject>Council Working Group for Strategic and Financial Plans 2024-2027</dc:subject>
  <dc:creator>Wang, Yujia</dc:creator>
  <cp:keywords>CWG-SFP, CWG, CWGs &amp; EGs</cp:keywords>
  <dc:description/>
  <cp:lastModifiedBy>Xue, Kun</cp:lastModifiedBy>
  <cp:revision>2</cp:revision>
  <cp:lastPrinted>2018-04-05T09:51:00Z</cp:lastPrinted>
  <dcterms:created xsi:type="dcterms:W3CDTF">2021-09-27T09:21:00Z</dcterms:created>
  <dcterms:modified xsi:type="dcterms:W3CDTF">2021-09-27T09:21:00Z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