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383A713A" w14:textId="77777777" w:rsidTr="00372387">
        <w:trPr>
          <w:cantSplit/>
          <w:trHeight w:val="20"/>
        </w:trPr>
        <w:tc>
          <w:tcPr>
            <w:tcW w:w="6620" w:type="dxa"/>
          </w:tcPr>
          <w:p w14:paraId="06250091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5493769E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2D8A81E3" wp14:editId="35A5B3F6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6B61FE3B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5169224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الأول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</w:rPr>
              <w:t xml:space="preserve">اجتماع افتراضي،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30-29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DF14146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3D7473C9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29631B8A" w14:textId="77777777" w:rsidR="00063EA4" w:rsidRPr="00063EA4" w:rsidRDefault="00063EA4" w:rsidP="0029451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A244B95" w14:textId="77777777" w:rsidR="00063EA4" w:rsidRPr="00063EA4" w:rsidRDefault="00063EA4" w:rsidP="0029451E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063EA4" w14:paraId="1B1D9EE6" w14:textId="77777777" w:rsidTr="00372387">
        <w:trPr>
          <w:cantSplit/>
        </w:trPr>
        <w:tc>
          <w:tcPr>
            <w:tcW w:w="6620" w:type="dxa"/>
            <w:vMerge w:val="restart"/>
          </w:tcPr>
          <w:p w14:paraId="378ACBFF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2C0D7A4" w14:textId="6254FA21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CWG-SFP-1/</w:t>
            </w:r>
            <w:r w:rsidR="006617A7">
              <w:rPr>
                <w:b/>
                <w:bCs/>
                <w:lang w:bidi="ar-EG"/>
              </w:rPr>
              <w:t>9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41F37A85" w14:textId="77777777" w:rsidTr="00372387">
        <w:trPr>
          <w:cantSplit/>
        </w:trPr>
        <w:tc>
          <w:tcPr>
            <w:tcW w:w="6620" w:type="dxa"/>
            <w:vMerge/>
          </w:tcPr>
          <w:p w14:paraId="5A659BBE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714BF17" w14:textId="231F081C" w:rsidR="00063EA4" w:rsidRPr="00063EA4" w:rsidRDefault="006617A7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سبتمبر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2021</w:t>
            </w:r>
          </w:p>
        </w:tc>
      </w:tr>
      <w:tr w:rsidR="00063EA4" w:rsidRPr="00063EA4" w14:paraId="30747908" w14:textId="77777777" w:rsidTr="00372387">
        <w:trPr>
          <w:cantSplit/>
        </w:trPr>
        <w:tc>
          <w:tcPr>
            <w:tcW w:w="6620" w:type="dxa"/>
            <w:vMerge/>
          </w:tcPr>
          <w:p w14:paraId="34B01DC1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3723BFE" w14:textId="77777777" w:rsidR="00063EA4" w:rsidRPr="006617A7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6617A7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6617A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55C82311" w14:textId="77777777" w:rsidTr="00372387">
        <w:trPr>
          <w:cantSplit/>
        </w:trPr>
        <w:tc>
          <w:tcPr>
            <w:tcW w:w="9672" w:type="dxa"/>
            <w:gridSpan w:val="2"/>
          </w:tcPr>
          <w:p w14:paraId="7F54081C" w14:textId="3421D870" w:rsidR="00063EA4" w:rsidRPr="00063EA4" w:rsidRDefault="005B3C1F" w:rsidP="00786FE5">
            <w:pPr>
              <w:pStyle w:val="Source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مساهمة من جمهورية الصين الشعبية</w:t>
            </w:r>
          </w:p>
        </w:tc>
      </w:tr>
      <w:tr w:rsidR="00063EA4" w:rsidRPr="00063EA4" w14:paraId="70F4FD6F" w14:textId="77777777" w:rsidTr="00372387">
        <w:trPr>
          <w:cantSplit/>
        </w:trPr>
        <w:tc>
          <w:tcPr>
            <w:tcW w:w="9672" w:type="dxa"/>
            <w:gridSpan w:val="2"/>
          </w:tcPr>
          <w:p w14:paraId="79F6179E" w14:textId="6EBF6C8C" w:rsidR="00063EA4" w:rsidRPr="005B3C1F" w:rsidRDefault="005B3C1F" w:rsidP="00786FE5">
            <w:pPr>
              <w:pStyle w:val="Title1"/>
              <w:rPr>
                <w:lang w:val="en-GB" w:bidi="ar-EG"/>
              </w:rPr>
            </w:pPr>
            <w:r>
              <w:rPr>
                <w:rFonts w:hint="cs"/>
                <w:rtl/>
                <w:lang w:bidi="ar-EG"/>
              </w:rPr>
              <w:t>توصيات</w:t>
            </w:r>
            <w:r w:rsidRPr="005B3C1F">
              <w:rPr>
                <w:rtl/>
                <w:lang w:bidi="ar-EG"/>
              </w:rPr>
              <w:t xml:space="preserve"> </w:t>
            </w:r>
            <w:r w:rsidR="00FD065D" w:rsidRPr="000435BA">
              <w:rPr>
                <w:rFonts w:hint="cs"/>
                <w:rtl/>
                <w:lang w:bidi="ar-EG"/>
              </w:rPr>
              <w:t xml:space="preserve">بشأن </w:t>
            </w:r>
            <w:r w:rsidR="00D55607">
              <w:rPr>
                <w:rFonts w:hint="cs"/>
                <w:rtl/>
                <w:lang w:bidi="ar-EG"/>
              </w:rPr>
              <w:t>إدراج</w:t>
            </w:r>
            <w:r w:rsidRPr="000435BA">
              <w:rPr>
                <w:rtl/>
                <w:lang w:bidi="ar-EG"/>
              </w:rPr>
              <w:t xml:space="preserve"> </w:t>
            </w:r>
            <w:r w:rsidRPr="000435BA">
              <w:rPr>
                <w:rFonts w:hint="cs"/>
                <w:rtl/>
                <w:lang w:bidi="ar-EG"/>
              </w:rPr>
              <w:t>الاستفادة</w:t>
            </w:r>
            <w:r>
              <w:rPr>
                <w:rFonts w:hint="cs"/>
                <w:rtl/>
                <w:lang w:bidi="ar-EG"/>
              </w:rPr>
              <w:t xml:space="preserve"> من</w:t>
            </w:r>
            <w:r w:rsidRPr="005B3C1F">
              <w:rPr>
                <w:rtl/>
                <w:lang w:bidi="ar-EG"/>
              </w:rPr>
              <w:t xml:space="preserve"> منصات الاجتماعات الدولية رفيعة المستوى القائمة لتعزيز </w:t>
            </w:r>
            <w:r w:rsidR="000435BA">
              <w:rPr>
                <w:rFonts w:hint="cs"/>
                <w:rtl/>
                <w:lang w:bidi="ar-EG"/>
              </w:rPr>
              <w:t>توافق الآراء العالمي</w:t>
            </w:r>
            <w:r w:rsidRPr="005B3C1F">
              <w:rPr>
                <w:rtl/>
                <w:lang w:bidi="ar-EG"/>
              </w:rPr>
              <w:t xml:space="preserve"> بشأن الإدارة الرقمية في الأهداف المشتركة بين القطاعات في الخطة الاستراتيجية للاتحاد</w:t>
            </w:r>
            <w:r>
              <w:rPr>
                <w:rFonts w:hint="cs"/>
                <w:rtl/>
                <w:lang w:bidi="ar-EG"/>
              </w:rPr>
              <w:t xml:space="preserve"> للفترة </w:t>
            </w:r>
            <w:r>
              <w:rPr>
                <w:lang w:val="en-GB" w:bidi="ar-EG"/>
              </w:rPr>
              <w:t>2027-2024</w:t>
            </w:r>
          </w:p>
        </w:tc>
      </w:tr>
    </w:tbl>
    <w:p w14:paraId="710CBF9E" w14:textId="77777777" w:rsidR="006617A7" w:rsidRPr="00B40647" w:rsidRDefault="006617A7" w:rsidP="006617A7">
      <w:pPr>
        <w:pStyle w:val="Headingb"/>
        <w:rPr>
          <w:color w:val="2F5496"/>
          <w:rtl/>
          <w:lang w:bidi="ar-EG"/>
        </w:rPr>
      </w:pPr>
      <w:r w:rsidRPr="00B40647">
        <w:rPr>
          <w:rFonts w:hint="cs"/>
          <w:color w:val="2F5496"/>
          <w:rtl/>
          <w:lang w:bidi="ar-EG"/>
        </w:rPr>
        <w:t>خلفية</w:t>
      </w:r>
    </w:p>
    <w:p w14:paraId="588C38AE" w14:textId="60600B55" w:rsidR="002072AD" w:rsidRDefault="000371AB" w:rsidP="00B40647">
      <w:pPr>
        <w:rPr>
          <w:rtl/>
          <w:lang w:bidi="ar-EG"/>
        </w:rPr>
      </w:pPr>
      <w:r>
        <w:rPr>
          <w:rFonts w:hint="cs"/>
          <w:rtl/>
          <w:lang w:bidi="ar-EG"/>
        </w:rPr>
        <w:t>أص</w:t>
      </w:r>
      <w:r w:rsidRPr="000371AB">
        <w:rPr>
          <w:rtl/>
          <w:lang w:bidi="ar-EG"/>
        </w:rPr>
        <w:t xml:space="preserve">بحت العولمة الرقمية في عالم اليوم رمزاً هاماً للجولة الجديدة من العولمة، ولكنها </w:t>
      </w:r>
      <w:r>
        <w:rPr>
          <w:rFonts w:hint="cs"/>
          <w:rtl/>
          <w:lang w:bidi="ar-EG"/>
        </w:rPr>
        <w:t>تجلب</w:t>
      </w:r>
      <w:r w:rsidRPr="000371AB">
        <w:rPr>
          <w:rtl/>
          <w:lang w:bidi="ar-EG"/>
        </w:rPr>
        <w:t xml:space="preserve"> أيضاً تحديات كبيرة</w:t>
      </w:r>
      <w:r>
        <w:rPr>
          <w:rFonts w:hint="cs"/>
          <w:rtl/>
          <w:lang w:bidi="ar-EG"/>
        </w:rPr>
        <w:t xml:space="preserve">. وينبغي </w:t>
      </w:r>
      <w:r w:rsidR="00641152">
        <w:rPr>
          <w:rFonts w:hint="cs"/>
          <w:rtl/>
          <w:lang w:bidi="ar-EG"/>
        </w:rPr>
        <w:t>معالجة</w:t>
      </w:r>
      <w:r>
        <w:rPr>
          <w:rFonts w:hint="cs"/>
          <w:rtl/>
          <w:lang w:bidi="ar-EG"/>
        </w:rPr>
        <w:t xml:space="preserve"> </w:t>
      </w:r>
      <w:r w:rsidR="00641152">
        <w:rPr>
          <w:rFonts w:hint="cs"/>
          <w:rtl/>
          <w:lang w:bidi="ar-EG"/>
        </w:rPr>
        <w:t>ا</w:t>
      </w:r>
      <w:r w:rsidRPr="000371AB">
        <w:rPr>
          <w:rtl/>
          <w:lang w:bidi="ar-EG"/>
        </w:rPr>
        <w:t>لفجوة الرقمية وتطبيق</w:t>
      </w:r>
      <w:r w:rsidR="00641152">
        <w:rPr>
          <w:rFonts w:hint="cs"/>
          <w:rtl/>
          <w:lang w:bidi="ar-EG"/>
        </w:rPr>
        <w:t>ات</w:t>
      </w:r>
      <w:r w:rsidRPr="000371AB">
        <w:rPr>
          <w:rtl/>
          <w:lang w:bidi="ar-EG"/>
        </w:rPr>
        <w:t xml:space="preserve"> التكنولوجيات الناشئة وتهديدات الأمن السيبراني وسلسلة من </w:t>
      </w:r>
      <w:r>
        <w:rPr>
          <w:rFonts w:hint="cs"/>
          <w:rtl/>
          <w:lang w:bidi="ar-EG"/>
        </w:rPr>
        <w:t>القضايا</w:t>
      </w:r>
      <w:r w:rsidRPr="000371AB">
        <w:rPr>
          <w:rtl/>
          <w:lang w:bidi="ar-EG"/>
        </w:rPr>
        <w:t xml:space="preserve"> الأخرى</w:t>
      </w:r>
      <w:r w:rsidR="00641152">
        <w:rPr>
          <w:rFonts w:hint="cs"/>
          <w:rtl/>
          <w:lang w:bidi="ar-EG"/>
        </w:rPr>
        <w:t xml:space="preserve"> بصورة عاجلة</w:t>
      </w:r>
      <w:r w:rsidRPr="000371AB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وتعتمد ا</w:t>
      </w:r>
      <w:r w:rsidRPr="000371AB">
        <w:rPr>
          <w:rtl/>
          <w:lang w:bidi="ar-EG"/>
        </w:rPr>
        <w:t xml:space="preserve">لبلدان سياسات مختلفة وفقاً لظروفها الوطنية، مما يجعل تنسيق السياسات في الإدارة الرقمية العالمية </w:t>
      </w:r>
      <w:r w:rsidR="00B40647">
        <w:rPr>
          <w:rFonts w:hint="cs"/>
          <w:rtl/>
          <w:lang w:bidi="ar-EG"/>
        </w:rPr>
        <w:t>أ</w:t>
      </w:r>
      <w:r w:rsidRPr="000371AB">
        <w:rPr>
          <w:rtl/>
          <w:lang w:bidi="ar-EG"/>
        </w:rPr>
        <w:t>كثر صعوبة.</w:t>
      </w:r>
      <w:r w:rsidR="00B40647">
        <w:rPr>
          <w:rFonts w:hint="cs"/>
          <w:rtl/>
          <w:lang w:bidi="ar-EG"/>
        </w:rPr>
        <w:t xml:space="preserve"> </w:t>
      </w:r>
      <w:r w:rsidR="00641152">
        <w:rPr>
          <w:rFonts w:hint="cs"/>
          <w:rtl/>
          <w:lang w:bidi="ar-EG"/>
        </w:rPr>
        <w:t>ويدعو المجتمع الدولي إلى نظام عالمي جديد للإدارة الرقمية. والات</w:t>
      </w:r>
      <w:r w:rsidR="00641152" w:rsidRPr="00641152">
        <w:rPr>
          <w:rtl/>
          <w:lang w:bidi="ar-EG"/>
        </w:rPr>
        <w:t>حاد الدولي للاتصالات</w:t>
      </w:r>
      <w:r w:rsidR="00641152">
        <w:rPr>
          <w:rFonts w:hint="cs"/>
          <w:rtl/>
          <w:lang w:bidi="ar-EG"/>
        </w:rPr>
        <w:t>، بصفته وكالة الأمم المتحدة المتخصصة</w:t>
      </w:r>
      <w:r w:rsidR="00641152" w:rsidRPr="00641152">
        <w:rPr>
          <w:rtl/>
          <w:lang w:bidi="ar-EG"/>
        </w:rPr>
        <w:t xml:space="preserve"> في</w:t>
      </w:r>
      <w:r w:rsidR="00AA3600">
        <w:rPr>
          <w:rFonts w:hint="cs"/>
          <w:rtl/>
          <w:lang w:bidi="ar-EG"/>
        </w:rPr>
        <w:t> </w:t>
      </w:r>
      <w:r w:rsidR="00641152" w:rsidRPr="00641152">
        <w:rPr>
          <w:rtl/>
          <w:lang w:bidi="ar-EG"/>
        </w:rPr>
        <w:t xml:space="preserve">مجال تكنولوجيا المعلومات والاتصالات، يجمع بين مختلف أصحاب المصلحة الذين يمثلون الحكومات ودوائر الصناعة والمؤسسات الأكاديمية والمجتمعات المدنية من جميع أنحاء العالم لتعزيز </w:t>
      </w:r>
      <w:r w:rsidR="0007088E">
        <w:rPr>
          <w:rFonts w:hint="cs"/>
          <w:rtl/>
          <w:lang w:bidi="ar-EG"/>
        </w:rPr>
        <w:t>توافق الآراء العالمي</w:t>
      </w:r>
      <w:r w:rsidR="00641152" w:rsidRPr="00641152">
        <w:rPr>
          <w:rtl/>
          <w:lang w:bidi="ar-EG"/>
        </w:rPr>
        <w:t xml:space="preserve"> بشأن الإدارة الرقمية </w:t>
      </w:r>
      <w:r w:rsidR="00641152">
        <w:rPr>
          <w:rFonts w:hint="cs"/>
          <w:rtl/>
          <w:lang w:bidi="ar-EG"/>
        </w:rPr>
        <w:t>وتيسير</w:t>
      </w:r>
      <w:r w:rsidR="00641152" w:rsidRPr="00641152">
        <w:rPr>
          <w:rtl/>
          <w:lang w:bidi="ar-EG"/>
        </w:rPr>
        <w:t xml:space="preserve"> وضع </w:t>
      </w:r>
      <w:r w:rsidR="002072AD">
        <w:rPr>
          <w:rFonts w:hint="cs"/>
          <w:rtl/>
          <w:lang w:bidi="ar-EG"/>
        </w:rPr>
        <w:t>ال</w:t>
      </w:r>
      <w:r w:rsidR="00641152" w:rsidRPr="00641152">
        <w:rPr>
          <w:rtl/>
          <w:lang w:bidi="ar-EG"/>
        </w:rPr>
        <w:t xml:space="preserve">قواعد </w:t>
      </w:r>
      <w:r w:rsidR="002072AD">
        <w:rPr>
          <w:rFonts w:hint="cs"/>
          <w:rtl/>
          <w:lang w:bidi="ar-EG"/>
        </w:rPr>
        <w:t>ل</w:t>
      </w:r>
      <w:r w:rsidR="00641152">
        <w:rPr>
          <w:rFonts w:hint="cs"/>
          <w:rtl/>
          <w:lang w:bidi="ar-EG"/>
        </w:rPr>
        <w:t xml:space="preserve">لإدارة </w:t>
      </w:r>
      <w:r w:rsidR="00641152" w:rsidRPr="00641152">
        <w:rPr>
          <w:rtl/>
          <w:lang w:bidi="ar-EG"/>
        </w:rPr>
        <w:t xml:space="preserve">الرقمية </w:t>
      </w:r>
      <w:r w:rsidR="00641152">
        <w:rPr>
          <w:rFonts w:hint="cs"/>
          <w:rtl/>
          <w:lang w:bidi="ar-EG"/>
        </w:rPr>
        <w:t>العالمية.</w:t>
      </w:r>
      <w:r w:rsidR="002072AD">
        <w:rPr>
          <w:rFonts w:hint="cs"/>
          <w:rtl/>
          <w:lang w:bidi="ar-EG"/>
        </w:rPr>
        <w:t xml:space="preserve"> وتشمل مجالات العمل الرئيسية للاتحاد أيضاً الأمن السيبراني، والفجوة الرقمية، والاتصالات في حالات الطوارئ، وسياسة الإنترنت وإدارتها، وغيرها من الجوانب الهامة المتعلقة بالإدارة الرقمية</w:t>
      </w:r>
      <w:r w:rsidR="006617A7">
        <w:rPr>
          <w:rStyle w:val="FootnoteReference"/>
          <w:rtl/>
          <w:lang w:bidi="ar-EG"/>
        </w:rPr>
        <w:footnoteReference w:id="1"/>
      </w:r>
      <w:r w:rsidR="006617A7">
        <w:rPr>
          <w:rFonts w:hint="cs"/>
          <w:rtl/>
          <w:lang w:bidi="ar-EG"/>
        </w:rPr>
        <w:t xml:space="preserve"> </w:t>
      </w:r>
      <w:r w:rsidR="002072AD">
        <w:rPr>
          <w:rFonts w:hint="cs"/>
          <w:rtl/>
          <w:lang w:bidi="ar-EG"/>
        </w:rPr>
        <w:t xml:space="preserve">.ويستضيف الاتحاد بانتظام فعاليات رئيسية مثل </w:t>
      </w:r>
      <w:r w:rsidR="006617A7" w:rsidRPr="009E3CB4">
        <w:rPr>
          <w:rtl/>
          <w:lang w:bidi="ar-EG"/>
        </w:rPr>
        <w:t>الندوة العالمية لمنظمي الاتصالات</w:t>
      </w:r>
      <w:r w:rsidR="006617A7">
        <w:rPr>
          <w:rFonts w:hint="eastAsia"/>
          <w:rtl/>
          <w:lang w:bidi="ar-EG"/>
        </w:rPr>
        <w:t> </w:t>
      </w:r>
      <w:r w:rsidR="00B623A2">
        <w:rPr>
          <w:lang w:bidi="ar-SY"/>
        </w:rPr>
        <w:t>(</w:t>
      </w:r>
      <w:r w:rsidR="006617A7" w:rsidRPr="009E3CB4">
        <w:rPr>
          <w:lang w:bidi="ar-SY"/>
        </w:rPr>
        <w:t>GSR)</w:t>
      </w:r>
      <w:r w:rsidR="006617A7" w:rsidRPr="009E3CB4">
        <w:rPr>
          <w:rFonts w:hint="cs"/>
          <w:rtl/>
          <w:lang w:bidi="ar-SY"/>
        </w:rPr>
        <w:t xml:space="preserve"> </w:t>
      </w:r>
      <w:r w:rsidR="002072AD" w:rsidRPr="009E3CB4">
        <w:rPr>
          <w:rFonts w:hint="cs"/>
          <w:rtl/>
        </w:rPr>
        <w:t>و</w:t>
      </w:r>
      <w:r w:rsidR="002072AD" w:rsidRPr="009E3CB4">
        <w:rPr>
          <w:rtl/>
          <w:lang w:bidi="ar-EG"/>
        </w:rPr>
        <w:t>الندوة العالمية لمؤشرات الاتصالات/تكنولوجيا المعلومات والاتصالات</w:t>
      </w:r>
      <w:r w:rsidR="002072AD" w:rsidRPr="009E3CB4">
        <w:rPr>
          <w:rFonts w:hint="eastAsia"/>
          <w:rtl/>
        </w:rPr>
        <w:t> </w:t>
      </w:r>
      <w:r w:rsidR="00B623A2">
        <w:rPr>
          <w:lang w:bidi="ar-SY"/>
        </w:rPr>
        <w:t>(</w:t>
      </w:r>
      <w:r w:rsidR="002072AD" w:rsidRPr="009E3CB4">
        <w:rPr>
          <w:lang w:bidi="ar-SY"/>
        </w:rPr>
        <w:t>WTIS</w:t>
      </w:r>
      <w:r w:rsidR="00B40647">
        <w:rPr>
          <w:lang w:bidi="ar-SY"/>
        </w:rPr>
        <w:t>)</w:t>
      </w:r>
      <w:r w:rsidR="002072AD">
        <w:rPr>
          <w:rFonts w:hint="cs"/>
          <w:rtl/>
        </w:rPr>
        <w:t xml:space="preserve">. وأُشير في الندوة العالمية لمنظمي الاتصالات لعام </w:t>
      </w:r>
      <w:r w:rsidR="002072AD">
        <w:rPr>
          <w:lang w:val="en-GB"/>
        </w:rPr>
        <w:t>2020</w:t>
      </w:r>
      <w:r w:rsidR="002072AD" w:rsidRPr="009E3CB4">
        <w:rPr>
          <w:rFonts w:hint="cs"/>
          <w:rtl/>
        </w:rPr>
        <w:t xml:space="preserve"> </w:t>
      </w:r>
      <w:r w:rsidR="00B623A2">
        <w:rPr>
          <w:lang w:bidi="ar-SY"/>
        </w:rPr>
        <w:t>(</w:t>
      </w:r>
      <w:r w:rsidR="002072AD">
        <w:rPr>
          <w:lang w:bidi="ar-SY"/>
        </w:rPr>
        <w:t>GSR-20)</w:t>
      </w:r>
      <w:r w:rsidR="006617A7">
        <w:rPr>
          <w:rFonts w:hint="cs"/>
          <w:rtl/>
        </w:rPr>
        <w:t xml:space="preserve"> </w:t>
      </w:r>
      <w:r w:rsidR="002072AD">
        <w:rPr>
          <w:rFonts w:hint="cs"/>
          <w:rtl/>
        </w:rPr>
        <w:t xml:space="preserve">إلى أن </w:t>
      </w:r>
      <w:r w:rsidR="00B40647">
        <w:rPr>
          <w:rFonts w:hint="cs"/>
          <w:rtl/>
        </w:rPr>
        <w:t>"</w:t>
      </w:r>
      <w:r w:rsidR="002072AD">
        <w:rPr>
          <w:color w:val="000000"/>
          <w:rtl/>
        </w:rPr>
        <w:t>وجود قواعد واضحة وقوية وقابلة للإنفاذ لإدارة البيانات</w:t>
      </w:r>
      <w:r w:rsidR="002072AD">
        <w:rPr>
          <w:rFonts w:hint="cs"/>
          <w:color w:val="000000"/>
          <w:rtl/>
        </w:rPr>
        <w:t xml:space="preserve"> يمكن أن يوفر</w:t>
      </w:r>
      <w:r w:rsidR="006617A7">
        <w:rPr>
          <w:rFonts w:hint="cs"/>
          <w:rtl/>
        </w:rPr>
        <w:t xml:space="preserve"> حجاباً مناسباً لحماية المستهلك الرقمي مع توفير إطار بناء يمكن التنبؤ به لتنفيذ الأعمال الرقمية."</w:t>
      </w:r>
      <w:r w:rsidR="006617A7">
        <w:rPr>
          <w:rStyle w:val="FootnoteReference"/>
          <w:rtl/>
        </w:rPr>
        <w:footnoteReference w:id="2"/>
      </w:r>
    </w:p>
    <w:p w14:paraId="2B821DE6" w14:textId="31B7EE75" w:rsidR="00063EA4" w:rsidRPr="00B72BDB" w:rsidRDefault="002072AD" w:rsidP="00B623A2">
      <w:pPr>
        <w:rPr>
          <w:rtl/>
          <w:lang w:val="en-GB"/>
        </w:rPr>
      </w:pPr>
      <w:r>
        <w:rPr>
          <w:rFonts w:hint="cs"/>
          <w:rtl/>
          <w:lang w:bidi="ar-EG"/>
        </w:rPr>
        <w:t>وفي الوقت الراهن،</w:t>
      </w:r>
      <w:r w:rsidRPr="002072AD">
        <w:rPr>
          <w:rtl/>
          <w:lang w:bidi="ar-EG"/>
        </w:rPr>
        <w:t xml:space="preserve"> تعمل آليات الإدارة متعددة الأطراف وآليات الإدارة الثنائية وآليات الإدارة المتخصصة التي يقودها القطاع الخاص بالتوازي لتشجيع تطوير </w:t>
      </w:r>
      <w:r>
        <w:rPr>
          <w:rFonts w:hint="cs"/>
          <w:rtl/>
          <w:lang w:bidi="ar-EG"/>
        </w:rPr>
        <w:t>المشهد العالمي</w:t>
      </w:r>
      <w:r w:rsidRPr="002072A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2072AD">
        <w:rPr>
          <w:rtl/>
          <w:lang w:bidi="ar-EG"/>
        </w:rPr>
        <w:t>لإدارة الرقمية.</w:t>
      </w:r>
      <w:r w:rsidR="00C7186C">
        <w:rPr>
          <w:rFonts w:hint="cs"/>
          <w:rtl/>
          <w:lang w:bidi="ar-EG"/>
        </w:rPr>
        <w:t xml:space="preserve"> </w:t>
      </w:r>
      <w:r w:rsidR="00CE4252">
        <w:rPr>
          <w:rFonts w:hint="cs"/>
          <w:b/>
          <w:bCs/>
          <w:rtl/>
          <w:lang w:bidi="ar-EG"/>
        </w:rPr>
        <w:t>وعلى صعيد</w:t>
      </w:r>
      <w:r w:rsidR="00C7186C" w:rsidRPr="00C7186C">
        <w:rPr>
          <w:b/>
          <w:bCs/>
          <w:rtl/>
          <w:lang w:bidi="ar-EG"/>
        </w:rPr>
        <w:t xml:space="preserve"> </w:t>
      </w:r>
      <w:r w:rsidR="001A23C9">
        <w:rPr>
          <w:rFonts w:hint="cs"/>
          <w:b/>
          <w:bCs/>
          <w:rtl/>
          <w:lang w:bidi="ar-EG"/>
        </w:rPr>
        <w:t>آ</w:t>
      </w:r>
      <w:r w:rsidR="00C7186C" w:rsidRPr="00C7186C">
        <w:rPr>
          <w:rFonts w:hint="cs"/>
          <w:b/>
          <w:bCs/>
          <w:rtl/>
          <w:lang w:bidi="ar-EG"/>
        </w:rPr>
        <w:t>ليات الإدارة متعددة الأطراف</w:t>
      </w:r>
      <w:r w:rsidR="00C7186C" w:rsidRPr="00C7186C">
        <w:rPr>
          <w:rtl/>
          <w:lang w:bidi="ar-EG"/>
        </w:rPr>
        <w:t xml:space="preserve">، </w:t>
      </w:r>
      <w:r w:rsidR="001A23C9">
        <w:rPr>
          <w:rFonts w:hint="cs"/>
          <w:rtl/>
          <w:lang w:bidi="ar-EG"/>
        </w:rPr>
        <w:t>قامت</w:t>
      </w:r>
      <w:r w:rsidR="00C7186C">
        <w:rPr>
          <w:rFonts w:hint="cs"/>
          <w:rtl/>
          <w:lang w:bidi="ar-EG"/>
        </w:rPr>
        <w:t xml:space="preserve"> قمة</w:t>
      </w:r>
      <w:r w:rsidR="00C7186C" w:rsidRPr="00C7186C">
        <w:rPr>
          <w:rtl/>
          <w:lang w:bidi="ar-EG"/>
        </w:rPr>
        <w:t xml:space="preserve"> مجموعة العشرين </w:t>
      </w:r>
      <w:r w:rsidR="00B623A2">
        <w:rPr>
          <w:lang w:bidi="ar-EG"/>
        </w:rPr>
        <w:t>(</w:t>
      </w:r>
      <w:r w:rsidR="00C7186C">
        <w:rPr>
          <w:lang w:bidi="ar-EG"/>
        </w:rPr>
        <w:t>G</w:t>
      </w:r>
      <w:r w:rsidR="00C7186C" w:rsidRPr="00C7186C">
        <w:rPr>
          <w:lang w:bidi="ar-EG"/>
        </w:rPr>
        <w:t>20</w:t>
      </w:r>
      <w:r w:rsidR="00B623A2">
        <w:rPr>
          <w:lang w:bidi="ar-EG"/>
        </w:rPr>
        <w:t>)</w:t>
      </w:r>
      <w:r w:rsidR="00C7186C" w:rsidRPr="00C7186C">
        <w:rPr>
          <w:rtl/>
          <w:lang w:bidi="ar-EG"/>
        </w:rPr>
        <w:t xml:space="preserve"> التي عُقدت في </w:t>
      </w:r>
      <w:proofErr w:type="spellStart"/>
      <w:r w:rsidR="00C7186C">
        <w:rPr>
          <w:rFonts w:hint="cs"/>
          <w:rtl/>
          <w:lang w:bidi="ar-EG"/>
        </w:rPr>
        <w:t>هانغتشو</w:t>
      </w:r>
      <w:proofErr w:type="spellEnd"/>
      <w:r w:rsidR="00C7186C" w:rsidRPr="00C7186C">
        <w:rPr>
          <w:rtl/>
          <w:lang w:bidi="ar-EG"/>
        </w:rPr>
        <w:t xml:space="preserve"> في 2016 </w:t>
      </w:r>
      <w:r w:rsidR="001A23C9">
        <w:rPr>
          <w:rFonts w:hint="cs"/>
          <w:rtl/>
          <w:lang w:bidi="ar-EG"/>
        </w:rPr>
        <w:t xml:space="preserve">بتضمين </w:t>
      </w:r>
      <w:r w:rsidR="00C7186C" w:rsidRPr="00C7186C">
        <w:rPr>
          <w:rtl/>
          <w:lang w:bidi="ar-EG"/>
        </w:rPr>
        <w:t xml:space="preserve">الاقتصاد الرقمي </w:t>
      </w:r>
      <w:r w:rsidR="001A23C9">
        <w:rPr>
          <w:rFonts w:hint="cs"/>
          <w:rtl/>
          <w:lang w:bidi="ar-EG"/>
        </w:rPr>
        <w:t xml:space="preserve">لأول مرة </w:t>
      </w:r>
      <w:r w:rsidR="00C7186C" w:rsidRPr="00C7186C">
        <w:rPr>
          <w:rtl/>
          <w:lang w:bidi="ar-EG"/>
        </w:rPr>
        <w:t xml:space="preserve">في إطار الإدارة، </w:t>
      </w:r>
      <w:r w:rsidR="00C7186C">
        <w:rPr>
          <w:rFonts w:hint="cs"/>
          <w:rtl/>
          <w:lang w:bidi="ar-EG"/>
        </w:rPr>
        <w:t>مما أطلق</w:t>
      </w:r>
      <w:r w:rsidR="00C7186C" w:rsidRPr="00C7186C">
        <w:rPr>
          <w:rtl/>
          <w:lang w:bidi="ar-EG"/>
        </w:rPr>
        <w:t xml:space="preserve"> عملية هامة لتنسيق السياسات بين البلدان الرئيسية حول الإدارة الرقمية العالمية</w:t>
      </w:r>
      <w:r w:rsidR="00C7186C">
        <w:rPr>
          <w:rFonts w:hint="cs"/>
          <w:rtl/>
          <w:lang w:bidi="ar-EG"/>
        </w:rPr>
        <w:t>؛</w:t>
      </w:r>
      <w:r w:rsidR="00C7186C" w:rsidRPr="00C7186C">
        <w:rPr>
          <w:rtl/>
          <w:lang w:bidi="ar-EG"/>
        </w:rPr>
        <w:t xml:space="preserve"> </w:t>
      </w:r>
      <w:r w:rsidR="001A23C9">
        <w:rPr>
          <w:rFonts w:hint="cs"/>
          <w:rtl/>
          <w:lang w:bidi="ar-EG"/>
        </w:rPr>
        <w:t>كما أن</w:t>
      </w:r>
      <w:r w:rsidR="00C7186C">
        <w:rPr>
          <w:rFonts w:hint="cs"/>
          <w:rtl/>
          <w:lang w:bidi="ar-EG"/>
        </w:rPr>
        <w:t xml:space="preserve"> </w:t>
      </w:r>
      <w:r w:rsidR="00C7186C" w:rsidRPr="00C7186C">
        <w:rPr>
          <w:rtl/>
          <w:lang w:bidi="ar-EG"/>
        </w:rPr>
        <w:t xml:space="preserve">منظمة التجارة العالمية </w:t>
      </w:r>
      <w:r w:rsidR="00B623A2">
        <w:rPr>
          <w:lang w:bidi="ar-EG"/>
        </w:rPr>
        <w:t>(</w:t>
      </w:r>
      <w:r w:rsidR="00C7186C">
        <w:rPr>
          <w:lang w:bidi="ar-EG"/>
        </w:rPr>
        <w:t>WTO</w:t>
      </w:r>
      <w:r w:rsidR="00B623A2">
        <w:rPr>
          <w:lang w:bidi="ar-EG"/>
        </w:rPr>
        <w:t>)</w:t>
      </w:r>
      <w:r w:rsidR="00C7186C" w:rsidRPr="00C7186C">
        <w:rPr>
          <w:rtl/>
          <w:lang w:bidi="ar-EG"/>
        </w:rPr>
        <w:t xml:space="preserve">، </w:t>
      </w:r>
      <w:r w:rsidR="00C7186C">
        <w:rPr>
          <w:rFonts w:hint="cs"/>
          <w:rtl/>
          <w:lang w:bidi="ar-EG"/>
        </w:rPr>
        <w:t>وصندوق النقد</w:t>
      </w:r>
      <w:r w:rsidR="00C7186C" w:rsidRPr="00C7186C">
        <w:rPr>
          <w:rtl/>
          <w:lang w:bidi="ar-EG"/>
        </w:rPr>
        <w:t xml:space="preserve"> الدولي </w:t>
      </w:r>
      <w:r w:rsidR="00B623A2">
        <w:rPr>
          <w:lang w:bidi="ar-EG"/>
        </w:rPr>
        <w:t>(</w:t>
      </w:r>
      <w:r w:rsidR="00C7186C">
        <w:rPr>
          <w:lang w:bidi="ar-EG"/>
        </w:rPr>
        <w:t>IMF</w:t>
      </w:r>
      <w:r w:rsidR="00B623A2">
        <w:rPr>
          <w:lang w:bidi="ar-EG"/>
        </w:rPr>
        <w:t>)</w:t>
      </w:r>
      <w:r w:rsidR="00C7186C">
        <w:rPr>
          <w:rFonts w:hint="cs"/>
          <w:rtl/>
          <w:lang w:bidi="ar-EG"/>
        </w:rPr>
        <w:t xml:space="preserve"> والبنك الدولي</w:t>
      </w:r>
      <w:r w:rsidR="00C7186C" w:rsidRPr="00C7186C">
        <w:rPr>
          <w:rtl/>
          <w:lang w:bidi="ar-EG"/>
        </w:rPr>
        <w:t xml:space="preserve">، في إطار </w:t>
      </w:r>
      <w:r w:rsidR="00C7186C">
        <w:rPr>
          <w:rFonts w:hint="cs"/>
          <w:rtl/>
          <w:lang w:bidi="ar-EG"/>
        </w:rPr>
        <w:t>الأمم المتحدة،</w:t>
      </w:r>
      <w:r w:rsidR="00C7186C" w:rsidRPr="00C7186C">
        <w:rPr>
          <w:rtl/>
          <w:lang w:bidi="ar-EG"/>
        </w:rPr>
        <w:t xml:space="preserve"> </w:t>
      </w:r>
      <w:r w:rsidR="001A23C9">
        <w:rPr>
          <w:rFonts w:hint="cs"/>
          <w:rtl/>
          <w:lang w:bidi="ar-EG"/>
        </w:rPr>
        <w:t xml:space="preserve">زادت كلها </w:t>
      </w:r>
      <w:r w:rsidR="00C7186C">
        <w:rPr>
          <w:rFonts w:hint="cs"/>
          <w:rtl/>
          <w:lang w:bidi="ar-EG"/>
        </w:rPr>
        <w:t>من</w:t>
      </w:r>
      <w:r w:rsidR="00C7186C" w:rsidRPr="00C7186C">
        <w:rPr>
          <w:rtl/>
          <w:lang w:bidi="ar-EG"/>
        </w:rPr>
        <w:t xml:space="preserve"> اهتمامها بقضايا الإدارة الرقمية</w:t>
      </w:r>
      <w:r w:rsidR="00C7186C">
        <w:rPr>
          <w:rStyle w:val="FootnoteReference"/>
          <w:rtl/>
          <w:lang w:bidi="ar-EG"/>
        </w:rPr>
        <w:footnoteReference w:id="3"/>
      </w:r>
      <w:r w:rsidR="00C7186C" w:rsidRPr="00C7186C">
        <w:rPr>
          <w:rtl/>
          <w:lang w:bidi="ar-EG"/>
        </w:rPr>
        <w:t>؛ ونشر</w:t>
      </w:r>
      <w:r w:rsidR="00C7186C">
        <w:rPr>
          <w:rFonts w:hint="cs"/>
          <w:rtl/>
          <w:lang w:bidi="ar-EG"/>
        </w:rPr>
        <w:t>ت</w:t>
      </w:r>
      <w:r w:rsidR="00C7186C" w:rsidRPr="00C7186C">
        <w:rPr>
          <w:rtl/>
          <w:lang w:bidi="ar-EG"/>
        </w:rPr>
        <w:t xml:space="preserve"> </w:t>
      </w:r>
      <w:r w:rsidR="00C7186C">
        <w:rPr>
          <w:rFonts w:hint="cs"/>
          <w:rtl/>
          <w:lang w:bidi="ar-EG"/>
        </w:rPr>
        <w:t>منظمة التعاون والتنمية في الميدان الاقتصادي ومنظمات أخرى</w:t>
      </w:r>
      <w:r w:rsidR="00C7186C" w:rsidRPr="00C7186C">
        <w:rPr>
          <w:rtl/>
          <w:lang w:bidi="ar-EG"/>
        </w:rPr>
        <w:t xml:space="preserve"> عدداً كبيراً من الورقات البحثية في مجال الاقتصاد الرقمي، مما</w:t>
      </w:r>
      <w:r w:rsidR="009E4381">
        <w:rPr>
          <w:rFonts w:hint="cs"/>
          <w:rtl/>
          <w:lang w:bidi="ar-EG"/>
        </w:rPr>
        <w:t> </w:t>
      </w:r>
      <w:r w:rsidR="00C7186C" w:rsidRPr="00C7186C">
        <w:rPr>
          <w:rtl/>
          <w:lang w:bidi="ar-EG"/>
        </w:rPr>
        <w:t xml:space="preserve">أسهم في زيادة </w:t>
      </w:r>
      <w:r w:rsidR="001A23C9">
        <w:rPr>
          <w:rFonts w:hint="cs"/>
          <w:rtl/>
          <w:lang w:bidi="ar-EG"/>
        </w:rPr>
        <w:t>ال</w:t>
      </w:r>
      <w:r w:rsidR="00C7186C" w:rsidRPr="00C7186C">
        <w:rPr>
          <w:rtl/>
          <w:lang w:bidi="ar-EG"/>
        </w:rPr>
        <w:t xml:space="preserve">وعي </w:t>
      </w:r>
      <w:r w:rsidR="001A23C9">
        <w:rPr>
          <w:rFonts w:hint="cs"/>
          <w:rtl/>
          <w:lang w:bidi="ar-EG"/>
        </w:rPr>
        <w:t xml:space="preserve">لدى </w:t>
      </w:r>
      <w:r w:rsidR="00C7186C" w:rsidRPr="00C7186C">
        <w:rPr>
          <w:rtl/>
          <w:lang w:bidi="ar-EG"/>
        </w:rPr>
        <w:t>مختلف أصحاب المصلحة بشأن الإدارة الرقمية.</w:t>
      </w:r>
      <w:r w:rsidR="001A23C9">
        <w:rPr>
          <w:rFonts w:hint="cs"/>
          <w:rtl/>
          <w:lang w:bidi="ar-EG"/>
        </w:rPr>
        <w:t xml:space="preserve"> </w:t>
      </w:r>
      <w:r w:rsidR="001A23C9" w:rsidRPr="001A0976">
        <w:rPr>
          <w:rFonts w:hint="cs"/>
          <w:b/>
          <w:bCs/>
          <w:rtl/>
          <w:lang w:bidi="ar-EG"/>
        </w:rPr>
        <w:t>وفيما يتعلق بالآليات الثنائية والإقليمية</w:t>
      </w:r>
      <w:r w:rsidR="001A23C9">
        <w:rPr>
          <w:rFonts w:hint="cs"/>
          <w:rtl/>
          <w:lang w:bidi="ar-EG"/>
        </w:rPr>
        <w:t xml:space="preserve">، تؤدي </w:t>
      </w:r>
      <w:r w:rsidR="001A23C9">
        <w:rPr>
          <w:rFonts w:hint="cs"/>
          <w:rtl/>
          <w:lang w:bidi="ar-EG"/>
        </w:rPr>
        <w:lastRenderedPageBreak/>
        <w:t xml:space="preserve">اتفاقات التجارة الحرة </w:t>
      </w:r>
      <w:r w:rsidR="00B623A2">
        <w:rPr>
          <w:lang w:val="en-GB"/>
        </w:rPr>
        <w:t>(</w:t>
      </w:r>
      <w:r w:rsidR="001A23C9">
        <w:rPr>
          <w:lang w:val="en-GB"/>
        </w:rPr>
        <w:t>FTA</w:t>
      </w:r>
      <w:r w:rsidR="00B623A2">
        <w:rPr>
          <w:lang w:val="en-GB"/>
        </w:rPr>
        <w:t>)</w:t>
      </w:r>
      <w:r w:rsidR="001A23C9" w:rsidRPr="001A23C9">
        <w:rPr>
          <w:rStyle w:val="FootnoteReference"/>
          <w:rtl/>
          <w:lang w:bidi="ar-EG"/>
        </w:rPr>
        <w:t xml:space="preserve"> </w:t>
      </w:r>
      <w:r w:rsidR="001A23C9">
        <w:rPr>
          <w:rStyle w:val="FootnoteReference"/>
          <w:rtl/>
          <w:lang w:bidi="ar-EG"/>
        </w:rPr>
        <w:footnoteReference w:id="4"/>
      </w:r>
      <w:r w:rsidR="001A23C9">
        <w:rPr>
          <w:rFonts w:hint="cs"/>
          <w:rtl/>
          <w:lang w:bidi="ar-EG"/>
        </w:rPr>
        <w:t xml:space="preserve"> العملاقة دوراً متزايد الأهمية في تشكيل قواعد الإدارة الرقمية العالمية.</w:t>
      </w:r>
      <w:r w:rsidR="001A0976">
        <w:rPr>
          <w:rFonts w:hint="cs"/>
          <w:rtl/>
          <w:lang w:bidi="ar-EG"/>
        </w:rPr>
        <w:t xml:space="preserve"> وإن التعبير عن مطالب مختلف أصحاب المصلحة في المجال الرقمي من خلال المفاوضات </w:t>
      </w:r>
      <w:r w:rsidR="00CE4252">
        <w:rPr>
          <w:rFonts w:hint="cs"/>
          <w:rtl/>
          <w:lang w:bidi="ar-EG"/>
        </w:rPr>
        <w:t>له</w:t>
      </w:r>
      <w:r w:rsidR="001A0976">
        <w:rPr>
          <w:rFonts w:hint="cs"/>
          <w:rtl/>
          <w:lang w:bidi="ar-EG"/>
        </w:rPr>
        <w:t xml:space="preserve"> أهمية كبيرة في تشكيل قواعد الإدارة الرقمية العالمية في</w:t>
      </w:r>
      <w:r w:rsidR="00583415">
        <w:rPr>
          <w:rFonts w:hint="eastAsia"/>
          <w:rtl/>
          <w:lang w:bidi="ar-EG"/>
        </w:rPr>
        <w:t> </w:t>
      </w:r>
      <w:r w:rsidR="001A0976">
        <w:rPr>
          <w:rFonts w:hint="cs"/>
          <w:rtl/>
          <w:lang w:bidi="ar-EG"/>
        </w:rPr>
        <w:t>المستقبل.</w:t>
      </w:r>
      <w:r w:rsidR="001E1A0E">
        <w:rPr>
          <w:rFonts w:hint="cs"/>
          <w:rtl/>
          <w:lang w:bidi="ar-EG"/>
        </w:rPr>
        <w:t xml:space="preserve"> فعلى سبيل المثال، عقد</w:t>
      </w:r>
      <w:r w:rsidR="004B226E">
        <w:rPr>
          <w:rFonts w:hint="cs"/>
          <w:rtl/>
          <w:lang w:bidi="ar-EG"/>
        </w:rPr>
        <w:t>ت</w:t>
      </w:r>
      <w:r w:rsidR="001E1A0E">
        <w:rPr>
          <w:rFonts w:hint="cs"/>
          <w:rtl/>
          <w:lang w:bidi="ar-EG"/>
        </w:rPr>
        <w:t xml:space="preserve"> الصين والاتحاد الأوروبي الحوار الرقمي رفيع المستوى في سبتمبر </w:t>
      </w:r>
      <w:r w:rsidR="001E1A0E">
        <w:rPr>
          <w:lang w:val="en-GB" w:bidi="ar-EG"/>
        </w:rPr>
        <w:t>2020</w:t>
      </w:r>
      <w:r w:rsidR="001E1A0E">
        <w:rPr>
          <w:rFonts w:hint="cs"/>
          <w:rtl/>
          <w:lang w:val="en-GB"/>
        </w:rPr>
        <w:t>، حيث تبادل الطرفان السياسات حول تقييس تكنولوجيا المعلومات والاتصالات وإدارة الذكاء الاصطناعي.</w:t>
      </w:r>
      <w:r w:rsidR="006617A7">
        <w:rPr>
          <w:rStyle w:val="FootnoteReference"/>
          <w:rtl/>
          <w:lang w:bidi="ar-EG"/>
        </w:rPr>
        <w:footnoteReference w:id="5"/>
      </w:r>
      <w:r w:rsidR="006617A7">
        <w:rPr>
          <w:rFonts w:hint="cs"/>
          <w:rtl/>
          <w:lang w:bidi="ar-EG"/>
        </w:rPr>
        <w:t xml:space="preserve"> </w:t>
      </w:r>
      <w:r w:rsidR="004B226E" w:rsidRPr="004B226E">
        <w:rPr>
          <w:rFonts w:hint="cs"/>
          <w:b/>
          <w:bCs/>
          <w:rtl/>
          <w:lang w:bidi="ar-EG"/>
        </w:rPr>
        <w:t>ويمارس</w:t>
      </w:r>
      <w:r w:rsidR="004B226E" w:rsidRPr="004B226E">
        <w:rPr>
          <w:b/>
          <w:bCs/>
          <w:rtl/>
          <w:lang w:bidi="ar-EG"/>
        </w:rPr>
        <w:t xml:space="preserve"> القطاع الخاص </w:t>
      </w:r>
      <w:r w:rsidR="004B226E" w:rsidRPr="004B226E">
        <w:rPr>
          <w:rFonts w:hint="cs"/>
          <w:b/>
          <w:bCs/>
          <w:rtl/>
          <w:lang w:bidi="ar-EG"/>
        </w:rPr>
        <w:t>أيضاً</w:t>
      </w:r>
      <w:r w:rsidR="004B226E" w:rsidRPr="004B226E">
        <w:rPr>
          <w:b/>
          <w:bCs/>
          <w:rtl/>
          <w:lang w:bidi="ar-EG"/>
        </w:rPr>
        <w:t xml:space="preserve"> تأثيرات كبيرة على الإدارة الرقمية العالمية، </w:t>
      </w:r>
      <w:r w:rsidR="004B226E">
        <w:rPr>
          <w:rFonts w:hint="cs"/>
          <w:b/>
          <w:bCs/>
          <w:rtl/>
          <w:lang w:bidi="ar-EG"/>
        </w:rPr>
        <w:t xml:space="preserve">وذلك مثلاً </w:t>
      </w:r>
      <w:r w:rsidR="004B226E" w:rsidRPr="004B226E">
        <w:rPr>
          <w:rFonts w:hint="cs"/>
          <w:b/>
          <w:bCs/>
          <w:rtl/>
          <w:lang w:bidi="ar-EG"/>
        </w:rPr>
        <w:t>من خلال</w:t>
      </w:r>
      <w:r w:rsidR="004B226E" w:rsidRPr="004B226E">
        <w:rPr>
          <w:b/>
          <w:bCs/>
          <w:rtl/>
          <w:lang w:bidi="ar-EG"/>
        </w:rPr>
        <w:t xml:space="preserve"> وضع المعايير الدولية</w:t>
      </w:r>
      <w:r w:rsidR="004B226E">
        <w:rPr>
          <w:rFonts w:hint="cs"/>
          <w:b/>
          <w:bCs/>
          <w:rtl/>
          <w:lang w:bidi="ar-EG"/>
        </w:rPr>
        <w:t>.</w:t>
      </w:r>
      <w:r w:rsidR="004B226E">
        <w:rPr>
          <w:rFonts w:hint="cs"/>
          <w:b/>
          <w:bCs/>
          <w:rtl/>
        </w:rPr>
        <w:t xml:space="preserve"> </w:t>
      </w:r>
      <w:r w:rsidR="004B226E" w:rsidRPr="004B226E">
        <w:rPr>
          <w:rtl/>
        </w:rPr>
        <w:t xml:space="preserve">وقد أنشأت المنظمة الدولية </w:t>
      </w:r>
      <w:r w:rsidR="00583415">
        <w:rPr>
          <w:rFonts w:hint="cs"/>
          <w:rtl/>
        </w:rPr>
        <w:t>للتوحيد القياسي</w:t>
      </w:r>
      <w:r w:rsidR="004B226E" w:rsidRPr="004B226E">
        <w:rPr>
          <w:rtl/>
        </w:rPr>
        <w:t xml:space="preserve"> </w:t>
      </w:r>
      <w:r w:rsidR="00B623A2">
        <w:t>(</w:t>
      </w:r>
      <w:r w:rsidR="004B226E">
        <w:t>ISO</w:t>
      </w:r>
      <w:r w:rsidR="00B623A2">
        <w:t>)</w:t>
      </w:r>
      <w:r w:rsidR="004B226E" w:rsidRPr="004B226E">
        <w:rPr>
          <w:rtl/>
        </w:rPr>
        <w:t xml:space="preserve"> واللجنة الكهرتقنية الدولية </w:t>
      </w:r>
      <w:r w:rsidR="00B623A2">
        <w:t>(</w:t>
      </w:r>
      <w:r w:rsidR="004B226E">
        <w:t>IEC</w:t>
      </w:r>
      <w:r w:rsidR="00B623A2">
        <w:t>)</w:t>
      </w:r>
      <w:r w:rsidR="004B226E" w:rsidRPr="004B226E">
        <w:rPr>
          <w:rtl/>
        </w:rPr>
        <w:t xml:space="preserve"> ومعهد مهندسي الكهرباء والإلكترونيات </w:t>
      </w:r>
      <w:r w:rsidR="00B623A2">
        <w:t>(</w:t>
      </w:r>
      <w:r w:rsidR="004B226E">
        <w:t>IEEE</w:t>
      </w:r>
      <w:r w:rsidR="00B623A2">
        <w:t>)</w:t>
      </w:r>
      <w:r w:rsidR="004B226E" w:rsidRPr="004B226E">
        <w:rPr>
          <w:rtl/>
        </w:rPr>
        <w:t xml:space="preserve"> أفرقة عمل خاصة لإجراء دراسات بشأن المعايير المتعلقة </w:t>
      </w:r>
      <w:r w:rsidR="004B226E">
        <w:rPr>
          <w:rFonts w:hint="cs"/>
          <w:rtl/>
        </w:rPr>
        <w:t>بالذكاء الاصطناعي.</w:t>
      </w:r>
      <w:r w:rsidR="00B72BDB">
        <w:rPr>
          <w:rFonts w:hint="cs"/>
          <w:rtl/>
          <w:lang w:val="en-GB"/>
        </w:rPr>
        <w:t xml:space="preserve"> غير أ</w:t>
      </w:r>
      <w:r w:rsidR="00B72BDB" w:rsidRPr="00B72BDB">
        <w:rPr>
          <w:rtl/>
          <w:lang w:val="en-GB"/>
        </w:rPr>
        <w:t>ن</w:t>
      </w:r>
      <w:r w:rsidR="00B72BDB">
        <w:rPr>
          <w:rFonts w:hint="cs"/>
          <w:rtl/>
          <w:lang w:val="en-GB"/>
        </w:rPr>
        <w:t>ه</w:t>
      </w:r>
      <w:r w:rsidR="00B72BDB" w:rsidRPr="00B72BDB">
        <w:rPr>
          <w:rtl/>
          <w:lang w:val="en-GB"/>
        </w:rPr>
        <w:t xml:space="preserve"> نظراً </w:t>
      </w:r>
      <w:r w:rsidR="00B72BDB">
        <w:rPr>
          <w:rFonts w:hint="cs"/>
          <w:rtl/>
          <w:lang w:val="en-GB"/>
        </w:rPr>
        <w:t>لأسباب متعددة</w:t>
      </w:r>
      <w:r w:rsidR="00B72BDB" w:rsidRPr="00B72BDB">
        <w:rPr>
          <w:rtl/>
          <w:lang w:val="en-GB"/>
        </w:rPr>
        <w:t xml:space="preserve">، مثل </w:t>
      </w:r>
      <w:r w:rsidR="007E2DCA">
        <w:rPr>
          <w:rFonts w:hint="cs"/>
          <w:rtl/>
          <w:lang w:val="en-GB"/>
        </w:rPr>
        <w:t>التيار المقاوم للعولمة</w:t>
      </w:r>
      <w:r w:rsidR="00B72BDB" w:rsidRPr="00B72BDB">
        <w:rPr>
          <w:rtl/>
          <w:lang w:val="en-GB"/>
        </w:rPr>
        <w:t xml:space="preserve"> </w:t>
      </w:r>
      <w:r w:rsidR="00B72BDB">
        <w:rPr>
          <w:rFonts w:hint="cs"/>
          <w:rtl/>
          <w:lang w:val="en-GB"/>
        </w:rPr>
        <w:t>واتساع</w:t>
      </w:r>
      <w:r w:rsidR="00B72BDB" w:rsidRPr="00B72BDB">
        <w:rPr>
          <w:rtl/>
          <w:lang w:val="en-GB"/>
        </w:rPr>
        <w:t xml:space="preserve"> نطاق </w:t>
      </w:r>
      <w:r w:rsidR="00B72BDB">
        <w:rPr>
          <w:rFonts w:hint="cs"/>
          <w:rtl/>
          <w:lang w:val="en-GB"/>
        </w:rPr>
        <w:t>قضايا</w:t>
      </w:r>
      <w:r w:rsidR="00B72BDB" w:rsidRPr="00B72BDB">
        <w:rPr>
          <w:rtl/>
          <w:lang w:val="en-GB"/>
        </w:rPr>
        <w:t xml:space="preserve"> إدارة البيانات، </w:t>
      </w:r>
      <w:r w:rsidR="00B72BDB">
        <w:rPr>
          <w:rFonts w:hint="cs"/>
          <w:rtl/>
          <w:lang w:val="en-GB"/>
        </w:rPr>
        <w:t>وعدم وجود توافق آراء عالمي</w:t>
      </w:r>
      <w:r w:rsidR="00B72BDB" w:rsidRPr="00B72BDB">
        <w:rPr>
          <w:rtl/>
          <w:lang w:val="en-GB"/>
        </w:rPr>
        <w:t xml:space="preserve">، </w:t>
      </w:r>
      <w:r w:rsidR="00036166">
        <w:rPr>
          <w:rFonts w:hint="cs"/>
          <w:rtl/>
          <w:lang w:val="en-GB"/>
        </w:rPr>
        <w:t>فإن</w:t>
      </w:r>
      <w:r w:rsidR="00B72BDB" w:rsidRPr="00B72BDB">
        <w:rPr>
          <w:rtl/>
          <w:lang w:val="en-GB"/>
        </w:rPr>
        <w:t xml:space="preserve"> الأطر متعددة الأطراف </w:t>
      </w:r>
      <w:r w:rsidR="00036166">
        <w:rPr>
          <w:rFonts w:hint="cs"/>
          <w:rtl/>
          <w:lang w:val="en-GB"/>
        </w:rPr>
        <w:t>تشكل قيوداً</w:t>
      </w:r>
      <w:r w:rsidR="00B72BDB" w:rsidRPr="00B72BDB">
        <w:rPr>
          <w:rtl/>
          <w:lang w:val="en-GB"/>
        </w:rPr>
        <w:t>.</w:t>
      </w:r>
      <w:r w:rsidR="00036166">
        <w:rPr>
          <w:rFonts w:hint="cs"/>
          <w:rtl/>
          <w:lang w:val="en-GB"/>
        </w:rPr>
        <w:t xml:space="preserve"> وقد </w:t>
      </w:r>
      <w:r w:rsidR="00036166" w:rsidRPr="00036166">
        <w:rPr>
          <w:rtl/>
          <w:lang w:val="en-GB"/>
        </w:rPr>
        <w:t xml:space="preserve">شجعت سلسلة من الاتفاقات الثنائية وضع قواعد في مجالات جديدة </w:t>
      </w:r>
      <w:r w:rsidR="003C6DA6">
        <w:rPr>
          <w:rFonts w:hint="cs"/>
          <w:rtl/>
          <w:lang w:val="en-GB"/>
        </w:rPr>
        <w:t>ل</w:t>
      </w:r>
      <w:r w:rsidR="00036166" w:rsidRPr="00036166">
        <w:rPr>
          <w:rtl/>
          <w:lang w:val="en-GB"/>
        </w:rPr>
        <w:t xml:space="preserve">لإدارة الرقمية، غير أن الإدارة المجزأة ستصبح أكبر تحدٍ </w:t>
      </w:r>
      <w:r w:rsidR="003C6DA6">
        <w:rPr>
          <w:rFonts w:hint="cs"/>
          <w:rtl/>
          <w:lang w:val="en-GB"/>
        </w:rPr>
        <w:t>أمام ا</w:t>
      </w:r>
      <w:r w:rsidR="00036166" w:rsidRPr="00036166">
        <w:rPr>
          <w:rtl/>
          <w:lang w:val="en-GB"/>
        </w:rPr>
        <w:t>لإدارة الرقمية العالمية في</w:t>
      </w:r>
      <w:r w:rsidR="004D488F">
        <w:rPr>
          <w:rFonts w:hint="cs"/>
          <w:rtl/>
          <w:lang w:val="en-GB"/>
        </w:rPr>
        <w:t> </w:t>
      </w:r>
      <w:r w:rsidR="00036166" w:rsidRPr="00036166">
        <w:rPr>
          <w:rtl/>
          <w:lang w:val="en-GB"/>
        </w:rPr>
        <w:t>المستقبل</w:t>
      </w:r>
      <w:r w:rsidR="00036166">
        <w:rPr>
          <w:rFonts w:hint="cs"/>
          <w:rtl/>
          <w:lang w:val="en-GB"/>
        </w:rPr>
        <w:t>. ولا تزال كي</w:t>
      </w:r>
      <w:r w:rsidR="00036166" w:rsidRPr="00036166">
        <w:rPr>
          <w:rtl/>
          <w:lang w:val="en-GB"/>
        </w:rPr>
        <w:t>فية تعزيز إطار موحد وشفاف وعادل للقواعد العالمية</w:t>
      </w:r>
      <w:r w:rsidR="00036166">
        <w:rPr>
          <w:rFonts w:hint="cs"/>
          <w:rtl/>
          <w:lang w:val="en-GB"/>
        </w:rPr>
        <w:t xml:space="preserve">، ومنع </w:t>
      </w:r>
      <w:r w:rsidR="00036166" w:rsidRPr="00036166">
        <w:rPr>
          <w:rtl/>
          <w:lang w:val="en-GB"/>
        </w:rPr>
        <w:t xml:space="preserve">تجزئة القواعد من التسبب في "فجوة رقمية" أكبر وتحقيق نمو عالمي شامل، </w:t>
      </w:r>
      <w:r w:rsidR="00082095">
        <w:rPr>
          <w:rFonts w:hint="cs"/>
          <w:rtl/>
          <w:lang w:val="en-GB"/>
        </w:rPr>
        <w:t xml:space="preserve">من التحديات الكبيرة </w:t>
      </w:r>
      <w:r w:rsidR="003C6DA6">
        <w:rPr>
          <w:rFonts w:hint="cs"/>
          <w:rtl/>
          <w:lang w:val="en-GB"/>
        </w:rPr>
        <w:t>أمام</w:t>
      </w:r>
      <w:r w:rsidR="00036166" w:rsidRPr="00036166">
        <w:rPr>
          <w:rtl/>
          <w:lang w:val="en-GB"/>
        </w:rPr>
        <w:t xml:space="preserve"> الإدارة الرقمية العالمية في المستقبل</w:t>
      </w:r>
      <w:r w:rsidR="00036166">
        <w:rPr>
          <w:rFonts w:hint="cs"/>
          <w:rtl/>
          <w:lang w:val="en-GB"/>
        </w:rPr>
        <w:t>.</w:t>
      </w:r>
    </w:p>
    <w:p w14:paraId="4F7517C5" w14:textId="7D7612C8" w:rsidR="006617A7" w:rsidRPr="00B623A2" w:rsidRDefault="00B0406F" w:rsidP="006617A7">
      <w:pPr>
        <w:pStyle w:val="Headingb"/>
        <w:rPr>
          <w:color w:val="2F5496"/>
          <w:rtl/>
          <w:lang w:bidi="ar-EG"/>
        </w:rPr>
      </w:pPr>
      <w:r w:rsidRPr="00B623A2">
        <w:rPr>
          <w:rFonts w:hint="cs"/>
          <w:color w:val="2F5496"/>
          <w:rtl/>
          <w:lang w:bidi="ar-EG"/>
        </w:rPr>
        <w:t>تحليل</w:t>
      </w:r>
    </w:p>
    <w:p w14:paraId="39C1BC0D" w14:textId="77553AA3" w:rsidR="00063EA4" w:rsidRDefault="00B0406F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الخ</w:t>
      </w:r>
      <w:r w:rsidRPr="00B0406F">
        <w:rPr>
          <w:rtl/>
          <w:lang w:bidi="ar-EG"/>
        </w:rPr>
        <w:t xml:space="preserve">طة الاستراتيجية للاتحاد هي وثيقة استراتيجية توضع وفقاً لدستور الاتحاد واتفاقيته وهي وثيقة </w:t>
      </w:r>
      <w:r>
        <w:rPr>
          <w:rFonts w:hint="cs"/>
          <w:rtl/>
          <w:lang w:bidi="ar-EG"/>
        </w:rPr>
        <w:t>مهمة</w:t>
      </w:r>
      <w:r w:rsidRPr="00B0406F">
        <w:rPr>
          <w:rtl/>
          <w:lang w:bidi="ar-EG"/>
        </w:rPr>
        <w:t xml:space="preserve"> يُسترشد بها في أنشطة الاتحاد </w:t>
      </w:r>
      <w:r w:rsidR="00A620E4">
        <w:rPr>
          <w:rFonts w:hint="cs"/>
          <w:rtl/>
          <w:lang w:bidi="ar-EG"/>
        </w:rPr>
        <w:t>لمدة</w:t>
      </w:r>
      <w:r w:rsidRPr="00B0406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أربع سنوات. </w:t>
      </w:r>
      <w:r w:rsidR="00F352F7">
        <w:rPr>
          <w:rFonts w:hint="cs"/>
          <w:rtl/>
        </w:rPr>
        <w:t>وتغطي ا</w:t>
      </w:r>
      <w:r w:rsidR="00F352F7" w:rsidRPr="00F352F7">
        <w:rPr>
          <w:rtl/>
          <w:lang w:bidi="ar-EG"/>
        </w:rPr>
        <w:t>لأهداف الاستراتيجية</w:t>
      </w:r>
      <w:r w:rsidR="00F352F7">
        <w:rPr>
          <w:rFonts w:hint="cs"/>
          <w:rtl/>
          <w:lang w:bidi="ar-EG"/>
        </w:rPr>
        <w:t>.</w:t>
      </w:r>
      <w:r w:rsidR="00F352F7">
        <w:rPr>
          <w:rStyle w:val="FootnoteReference"/>
          <w:rtl/>
          <w:lang w:bidi="ar-EG"/>
        </w:rPr>
        <w:footnoteReference w:id="6"/>
      </w:r>
      <w:r w:rsidR="00F352F7" w:rsidRPr="00F352F7">
        <w:rPr>
          <w:rtl/>
          <w:lang w:bidi="ar-EG"/>
        </w:rPr>
        <w:t xml:space="preserve"> المحددة في القرار </w:t>
      </w:r>
      <w:r w:rsidR="00F352F7">
        <w:rPr>
          <w:lang w:bidi="ar-EG"/>
        </w:rPr>
        <w:t>71</w:t>
      </w:r>
      <w:r w:rsidR="00F352F7" w:rsidRPr="00F352F7">
        <w:rPr>
          <w:rtl/>
          <w:lang w:bidi="ar-EG"/>
        </w:rPr>
        <w:t xml:space="preserve"> (المراجَع في دبي، </w:t>
      </w:r>
      <w:r w:rsidR="00F352F7">
        <w:rPr>
          <w:lang w:bidi="ar-EG"/>
        </w:rPr>
        <w:t>2018</w:t>
      </w:r>
      <w:r w:rsidR="00F352F7" w:rsidRPr="00F352F7">
        <w:rPr>
          <w:rtl/>
          <w:lang w:bidi="ar-EG"/>
        </w:rPr>
        <w:t xml:space="preserve">) بشأن الخطة الاستراتيجية للاتحاد للفترة </w:t>
      </w:r>
      <w:r w:rsidR="00F352F7">
        <w:rPr>
          <w:lang w:bidi="ar-EG"/>
        </w:rPr>
        <w:t>2023-2020</w:t>
      </w:r>
      <w:r w:rsidR="00F352F7" w:rsidRPr="00F352F7">
        <w:rPr>
          <w:rtl/>
          <w:lang w:bidi="ar-EG"/>
        </w:rPr>
        <w:t xml:space="preserve">، جميع جوانب الإدارة الرقمية، ولكن </w:t>
      </w:r>
      <w:r w:rsidR="00F352F7">
        <w:rPr>
          <w:rFonts w:hint="cs"/>
          <w:rtl/>
          <w:lang w:bidi="ar-EG"/>
        </w:rPr>
        <w:t>لا تتضمن</w:t>
      </w:r>
      <w:r w:rsidR="00F352F7" w:rsidRPr="00F352F7">
        <w:rPr>
          <w:rtl/>
          <w:lang w:bidi="ar-EG"/>
        </w:rPr>
        <w:t xml:space="preserve"> </w:t>
      </w:r>
      <w:r w:rsidR="00F352F7">
        <w:rPr>
          <w:rFonts w:hint="cs"/>
          <w:rtl/>
          <w:lang w:bidi="ar-EG"/>
        </w:rPr>
        <w:t>آليات</w:t>
      </w:r>
      <w:r w:rsidR="00F352F7" w:rsidRPr="00F352F7">
        <w:rPr>
          <w:rtl/>
          <w:lang w:bidi="ar-EG"/>
        </w:rPr>
        <w:t xml:space="preserve"> </w:t>
      </w:r>
      <w:r w:rsidR="00F352F7">
        <w:rPr>
          <w:rFonts w:hint="cs"/>
          <w:rtl/>
          <w:lang w:bidi="ar-EG"/>
        </w:rPr>
        <w:t>تشاور داعمة كافية.</w:t>
      </w:r>
      <w:r w:rsidR="00B623A2">
        <w:rPr>
          <w:rFonts w:hint="cs"/>
          <w:rtl/>
          <w:lang w:bidi="ar-EG"/>
        </w:rPr>
        <w:t xml:space="preserve"> </w:t>
      </w:r>
      <w:r w:rsidR="00F352F7">
        <w:rPr>
          <w:rFonts w:hint="cs"/>
          <w:rtl/>
          <w:lang w:bidi="ar-EG"/>
        </w:rPr>
        <w:t>ولذلك،</w:t>
      </w:r>
      <w:r w:rsidR="00F352F7" w:rsidRPr="00F352F7">
        <w:rPr>
          <w:rtl/>
          <w:lang w:bidi="ar-EG"/>
        </w:rPr>
        <w:t xml:space="preserve"> يوصى بأن تنص "الأهداف المشتركة بين القطاعات"</w:t>
      </w:r>
      <w:r w:rsidR="00BB4EE4">
        <w:rPr>
          <w:rStyle w:val="FootnoteReference"/>
          <w:rtl/>
          <w:lang w:bidi="ar-EG"/>
        </w:rPr>
        <w:footnoteReference w:id="7"/>
      </w:r>
      <w:r w:rsidR="00F352F7" w:rsidRPr="00F352F7">
        <w:rPr>
          <w:rtl/>
          <w:lang w:bidi="ar-EG"/>
        </w:rPr>
        <w:t xml:space="preserve"> </w:t>
      </w:r>
      <w:r w:rsidR="00F352F7">
        <w:rPr>
          <w:rFonts w:hint="cs"/>
          <w:rtl/>
          <w:lang w:bidi="ar-EG"/>
        </w:rPr>
        <w:t>ل</w:t>
      </w:r>
      <w:r w:rsidR="00F352F7" w:rsidRPr="00F352F7">
        <w:rPr>
          <w:rtl/>
          <w:lang w:bidi="ar-EG"/>
        </w:rPr>
        <w:t xml:space="preserve">لخطة الاستراتيجية للاتحاد للفترة </w:t>
      </w:r>
      <w:r w:rsidR="00F30CC5">
        <w:rPr>
          <w:lang w:bidi="ar-EG"/>
        </w:rPr>
        <w:t>2027</w:t>
      </w:r>
      <w:r w:rsidR="00F352F7">
        <w:rPr>
          <w:lang w:bidi="ar-EG"/>
        </w:rPr>
        <w:t>-2024</w:t>
      </w:r>
      <w:r w:rsidR="00F352F7" w:rsidRPr="00F352F7">
        <w:rPr>
          <w:rtl/>
          <w:lang w:bidi="ar-EG"/>
        </w:rPr>
        <w:t xml:space="preserve"> صراحةً على الاستفادة من منصات الاجتماعات الدولية رفيعة المستوى القائمة لإجراء مشاورات في</w:t>
      </w:r>
      <w:r w:rsidR="00BB4EE4">
        <w:rPr>
          <w:rFonts w:hint="cs"/>
          <w:rtl/>
        </w:rPr>
        <w:t xml:space="preserve"> مجال</w:t>
      </w:r>
      <w:r w:rsidR="00F352F7" w:rsidRPr="00F352F7">
        <w:rPr>
          <w:rtl/>
          <w:lang w:bidi="ar-EG"/>
        </w:rPr>
        <w:t xml:space="preserve"> الإدارة الرقمية وتعزيز توافق </w:t>
      </w:r>
      <w:r w:rsidR="0007088E">
        <w:rPr>
          <w:rFonts w:hint="cs"/>
          <w:rtl/>
          <w:lang w:bidi="ar-EG"/>
        </w:rPr>
        <w:t xml:space="preserve">آراء </w:t>
      </w:r>
      <w:r w:rsidR="00F352F7" w:rsidRPr="00F352F7">
        <w:rPr>
          <w:rtl/>
          <w:lang w:bidi="ar-EG"/>
        </w:rPr>
        <w:t>عالمي أكبر بشأن الإدارة الرقمية</w:t>
      </w:r>
      <w:r w:rsidR="00BB4EE4">
        <w:rPr>
          <w:rFonts w:hint="cs"/>
          <w:rtl/>
          <w:lang w:bidi="ar-EG"/>
        </w:rPr>
        <w:t>.</w:t>
      </w:r>
    </w:p>
    <w:p w14:paraId="0D30DC77" w14:textId="13B6F05F" w:rsidR="006617A7" w:rsidRPr="00B623A2" w:rsidRDefault="00D721DB" w:rsidP="006617A7">
      <w:pPr>
        <w:pStyle w:val="Headingb"/>
        <w:rPr>
          <w:color w:val="2F5496"/>
          <w:rtl/>
          <w:lang w:bidi="ar-EG"/>
        </w:rPr>
      </w:pPr>
      <w:r>
        <w:rPr>
          <w:rFonts w:hint="cs"/>
          <w:color w:val="2F5496"/>
          <w:rtl/>
          <w:lang w:bidi="ar-EG"/>
        </w:rPr>
        <w:t>المقترح</w:t>
      </w:r>
    </w:p>
    <w:p w14:paraId="02BBECE4" w14:textId="7562B9AA" w:rsidR="006617A7" w:rsidRDefault="00E74809" w:rsidP="00B623A2">
      <w:pPr>
        <w:rPr>
          <w:rtl/>
          <w:lang w:bidi="ar-EG"/>
        </w:rPr>
      </w:pPr>
      <w:r>
        <w:rPr>
          <w:rFonts w:hint="cs"/>
          <w:rtl/>
          <w:lang w:bidi="ar-EG"/>
        </w:rPr>
        <w:t>با</w:t>
      </w:r>
      <w:r w:rsidRPr="00E74809">
        <w:rPr>
          <w:rtl/>
          <w:lang w:bidi="ar-EG"/>
        </w:rPr>
        <w:t xml:space="preserve">ختصار، نوصي بأن </w:t>
      </w:r>
      <w:r w:rsidR="00D55607">
        <w:rPr>
          <w:rFonts w:hint="cs"/>
          <w:rtl/>
          <w:lang w:bidi="ar-EG"/>
        </w:rPr>
        <w:t>يدرج</w:t>
      </w:r>
      <w:r w:rsidRPr="00E74809">
        <w:rPr>
          <w:rtl/>
          <w:lang w:bidi="ar-EG"/>
        </w:rPr>
        <w:t xml:space="preserve"> الاتحاد </w:t>
      </w:r>
      <w:r w:rsidR="00FD065D" w:rsidRPr="00E74809">
        <w:rPr>
          <w:rtl/>
          <w:lang w:bidi="ar-EG"/>
        </w:rPr>
        <w:t xml:space="preserve">في خطته الاستراتيجية </w:t>
      </w:r>
      <w:r w:rsidR="00FD065D">
        <w:rPr>
          <w:rFonts w:hint="cs"/>
          <w:rtl/>
          <w:lang w:bidi="ar-EG"/>
        </w:rPr>
        <w:t>المتوسطة و</w:t>
      </w:r>
      <w:r w:rsidR="00D55607">
        <w:rPr>
          <w:rFonts w:hint="cs"/>
          <w:rtl/>
          <w:lang w:bidi="ar-EG"/>
        </w:rPr>
        <w:t>ال</w:t>
      </w:r>
      <w:r w:rsidR="00FD065D">
        <w:rPr>
          <w:rFonts w:hint="cs"/>
          <w:rtl/>
          <w:lang w:bidi="ar-EG"/>
        </w:rPr>
        <w:t>طويلة الأجل</w:t>
      </w:r>
      <w:r w:rsidR="00FD065D" w:rsidRPr="00E74809">
        <w:rPr>
          <w:rtl/>
          <w:lang w:bidi="ar-EG"/>
        </w:rPr>
        <w:t xml:space="preserve"> </w:t>
      </w:r>
      <w:r w:rsidRPr="00E74809">
        <w:rPr>
          <w:rtl/>
          <w:lang w:bidi="ar-EG"/>
        </w:rPr>
        <w:t xml:space="preserve">الاستفادة من منصات الاجتماعات الدولية العادية رفيعة المستوى </w:t>
      </w:r>
      <w:r>
        <w:rPr>
          <w:rFonts w:hint="cs"/>
          <w:rtl/>
          <w:lang w:bidi="ar-EG"/>
        </w:rPr>
        <w:t>بشأن ا</w:t>
      </w:r>
      <w:r w:rsidRPr="00E74809">
        <w:rPr>
          <w:rtl/>
          <w:lang w:bidi="ar-EG"/>
        </w:rPr>
        <w:t>لإدارة الرقمية العالمية للنظر فيها</w:t>
      </w:r>
      <w:r>
        <w:rPr>
          <w:rFonts w:hint="cs"/>
          <w:rtl/>
          <w:lang w:bidi="ar-EG"/>
        </w:rPr>
        <w:t xml:space="preserve">. </w:t>
      </w:r>
      <w:bookmarkStart w:id="1" w:name="_Hlk82699590"/>
      <w:r>
        <w:rPr>
          <w:rFonts w:hint="cs"/>
          <w:rtl/>
          <w:lang w:bidi="ar-EG"/>
        </w:rPr>
        <w:t>و</w:t>
      </w:r>
      <w:r w:rsidR="00646546">
        <w:rPr>
          <w:rFonts w:hint="cs"/>
          <w:rtl/>
          <w:lang w:bidi="ar-EG"/>
        </w:rPr>
        <w:t xml:space="preserve">يرد فيما يلي </w:t>
      </w:r>
      <w:r>
        <w:rPr>
          <w:rFonts w:hint="cs"/>
          <w:rtl/>
          <w:lang w:bidi="ar-EG"/>
        </w:rPr>
        <w:t xml:space="preserve">التوصيات المحددة </w:t>
      </w:r>
      <w:r w:rsidR="00646546">
        <w:rPr>
          <w:rFonts w:hint="cs"/>
          <w:rtl/>
          <w:lang w:bidi="ar-EG"/>
        </w:rPr>
        <w:t>بهذا الشأن</w:t>
      </w:r>
      <w:r>
        <w:rPr>
          <w:rFonts w:hint="cs"/>
          <w:rtl/>
          <w:lang w:bidi="ar-EG"/>
        </w:rPr>
        <w:t>:</w:t>
      </w:r>
      <w:bookmarkEnd w:id="1"/>
    </w:p>
    <w:p w14:paraId="0C36FC4C" w14:textId="766884B4" w:rsidR="006617A7" w:rsidRPr="00B623A2" w:rsidRDefault="00A3458D" w:rsidP="00B623A2">
      <w:pPr>
        <w:pStyle w:val="enumlev1"/>
        <w:rPr>
          <w:rtl/>
        </w:rPr>
      </w:pPr>
      <w:r>
        <w:rPr>
          <w:rFonts w:ascii="Arial" w:hAnsi="Arial" w:cs="Arial" w:hint="cs"/>
        </w:rPr>
        <w:sym w:font="Wingdings" w:char="F06E"/>
      </w:r>
      <w:r w:rsidR="00A36F63" w:rsidRPr="00B623A2">
        <w:rPr>
          <w:rtl/>
        </w:rPr>
        <w:tab/>
      </w:r>
      <w:r w:rsidR="00FD065D" w:rsidRPr="00B623A2">
        <w:rPr>
          <w:rFonts w:hint="cs"/>
          <w:rtl/>
        </w:rPr>
        <w:t xml:space="preserve">النظر </w:t>
      </w:r>
      <w:r w:rsidR="00FD065D" w:rsidRPr="00B623A2">
        <w:rPr>
          <w:rtl/>
        </w:rPr>
        <w:t xml:space="preserve">في </w:t>
      </w:r>
      <w:r w:rsidR="00D55607" w:rsidRPr="00B623A2">
        <w:rPr>
          <w:rFonts w:hint="cs"/>
          <w:rtl/>
        </w:rPr>
        <w:t>إدراج</w:t>
      </w:r>
      <w:r w:rsidR="00FD065D" w:rsidRPr="00B623A2">
        <w:rPr>
          <w:rtl/>
        </w:rPr>
        <w:t xml:space="preserve"> الاستفادة من منصات الاجتماعات الدولية رفيعة المستوى القائمة لتعزيز </w:t>
      </w:r>
      <w:r w:rsidR="0007088E" w:rsidRPr="00B623A2">
        <w:rPr>
          <w:rFonts w:hint="cs"/>
          <w:rtl/>
        </w:rPr>
        <w:t>توافق الآراء العالمي</w:t>
      </w:r>
      <w:r w:rsidR="0007088E" w:rsidRPr="00B623A2">
        <w:rPr>
          <w:rtl/>
        </w:rPr>
        <w:t xml:space="preserve"> </w:t>
      </w:r>
      <w:r w:rsidR="00FD065D" w:rsidRPr="00B623A2">
        <w:rPr>
          <w:rtl/>
        </w:rPr>
        <w:t xml:space="preserve">بشأن الإدارة الرقمية في "الأهداف المشتركة بين القطاعات" للخطة الاستراتيجية للاتحاد للفترة </w:t>
      </w:r>
      <w:r w:rsidR="00FD065D" w:rsidRPr="00B623A2">
        <w:t>2027-2024</w:t>
      </w:r>
      <w:r w:rsidR="00B623A2">
        <w:rPr>
          <w:rFonts w:hint="cs"/>
          <w:rtl/>
        </w:rPr>
        <w:t>.</w:t>
      </w:r>
    </w:p>
    <w:p w14:paraId="5DB50BDF" w14:textId="037C334B" w:rsidR="00A36F63" w:rsidRPr="00B623A2" w:rsidRDefault="00A3458D" w:rsidP="00B623A2">
      <w:pPr>
        <w:pStyle w:val="enumlev1"/>
        <w:rPr>
          <w:rtl/>
        </w:rPr>
      </w:pPr>
      <w:r>
        <w:rPr>
          <w:rFonts w:ascii="Arial" w:hAnsi="Arial" w:cs="Arial" w:hint="cs"/>
        </w:rPr>
        <w:sym w:font="Wingdings" w:char="F06E"/>
      </w:r>
      <w:r w:rsidR="00A36F63" w:rsidRPr="00B623A2">
        <w:rPr>
          <w:rtl/>
        </w:rPr>
        <w:tab/>
      </w:r>
      <w:r w:rsidR="009127B0" w:rsidRPr="00B623A2">
        <w:rPr>
          <w:rFonts w:hint="cs"/>
          <w:rtl/>
        </w:rPr>
        <w:t xml:space="preserve">تشجيع </w:t>
      </w:r>
      <w:r w:rsidR="0007088E" w:rsidRPr="00B623A2">
        <w:rPr>
          <w:rFonts w:hint="cs"/>
          <w:rtl/>
        </w:rPr>
        <w:t>توافق الآراء العالمي</w:t>
      </w:r>
      <w:r w:rsidR="0007088E" w:rsidRPr="00B623A2">
        <w:rPr>
          <w:rtl/>
        </w:rPr>
        <w:t xml:space="preserve"> </w:t>
      </w:r>
      <w:r w:rsidR="009127B0" w:rsidRPr="00B623A2">
        <w:rPr>
          <w:rtl/>
        </w:rPr>
        <w:t xml:space="preserve">بشأن الإدارة الرقمية في مجالات من قبيل </w:t>
      </w:r>
      <w:r w:rsidR="009127B0" w:rsidRPr="00B623A2">
        <w:rPr>
          <w:rFonts w:hint="cs"/>
          <w:rtl/>
        </w:rPr>
        <w:t>إدارة الذكاء الاصطناعي</w:t>
      </w:r>
      <w:r w:rsidR="009127B0" w:rsidRPr="00B623A2">
        <w:rPr>
          <w:rtl/>
        </w:rPr>
        <w:t xml:space="preserve">، والفجوة الرقمية، والأمن الرقمي من خلال </w:t>
      </w:r>
      <w:r w:rsidR="009127B0" w:rsidRPr="00B623A2">
        <w:rPr>
          <w:rFonts w:hint="cs"/>
          <w:rtl/>
        </w:rPr>
        <w:t>منصات الاجتماعات</w:t>
      </w:r>
      <w:r w:rsidR="009127B0" w:rsidRPr="00B623A2">
        <w:rPr>
          <w:rtl/>
        </w:rPr>
        <w:t xml:space="preserve"> الدولية رفيعة المستوى القائمة، </w:t>
      </w:r>
      <w:r w:rsidR="009127B0" w:rsidRPr="00B623A2">
        <w:rPr>
          <w:rFonts w:hint="cs"/>
          <w:rtl/>
        </w:rPr>
        <w:t>وتشكيل أطر بحثية</w:t>
      </w:r>
      <w:r w:rsidR="009127B0" w:rsidRPr="00B623A2">
        <w:rPr>
          <w:rtl/>
        </w:rPr>
        <w:t xml:space="preserve"> بشأن الإدارة الرقمية على أساس </w:t>
      </w:r>
      <w:r w:rsidR="0007088E" w:rsidRPr="00B623A2">
        <w:rPr>
          <w:rFonts w:hint="cs"/>
          <w:rtl/>
        </w:rPr>
        <w:t>توافق الآراء العالمي</w:t>
      </w:r>
      <w:r w:rsidR="009127B0" w:rsidRPr="00B623A2">
        <w:rPr>
          <w:rtl/>
        </w:rPr>
        <w:t>، بما في ذلك إطار التنمية والإطار المحاسبي والإطار الإحصائي وإطار الرصد، وما إلى ذلك.</w:t>
      </w:r>
    </w:p>
    <w:p w14:paraId="585811BE" w14:textId="44712DF9" w:rsidR="00063EA4" w:rsidRDefault="00A3458D" w:rsidP="00B623A2">
      <w:pPr>
        <w:pStyle w:val="enumlev1"/>
        <w:rPr>
          <w:rtl/>
          <w:lang w:bidi="ar-EG"/>
        </w:rPr>
      </w:pPr>
      <w:r>
        <w:rPr>
          <w:rFonts w:ascii="Arial" w:hAnsi="Arial" w:cs="Arial" w:hint="cs"/>
        </w:rPr>
        <w:sym w:font="Wingdings" w:char="F06E"/>
      </w:r>
      <w:r w:rsidR="00A36F63" w:rsidRPr="00B623A2">
        <w:rPr>
          <w:rtl/>
        </w:rPr>
        <w:tab/>
      </w:r>
      <w:r w:rsidR="000E0533" w:rsidRPr="00B623A2">
        <w:rPr>
          <w:rFonts w:hint="cs"/>
          <w:rtl/>
        </w:rPr>
        <w:t>تشجيع الاتحاد على نشر تقارير بحثية سنوية بشأن الإدارة الرقمية العالمية</w:t>
      </w:r>
      <w:r w:rsidR="00B623A2">
        <w:rPr>
          <w:rFonts w:hint="cs"/>
          <w:rtl/>
        </w:rPr>
        <w:t>.</w:t>
      </w:r>
    </w:p>
    <w:p w14:paraId="44FD8731" w14:textId="1501A815" w:rsidR="00944EE7" w:rsidRDefault="00944EE7" w:rsidP="00944EE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944EE7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0763" w14:textId="77777777" w:rsidR="006617A7" w:rsidRDefault="006617A7" w:rsidP="006C3242">
      <w:pPr>
        <w:spacing w:before="0" w:line="240" w:lineRule="auto"/>
      </w:pPr>
      <w:r>
        <w:separator/>
      </w:r>
    </w:p>
  </w:endnote>
  <w:endnote w:type="continuationSeparator" w:id="0">
    <w:p w14:paraId="4E556A57" w14:textId="77777777" w:rsidR="006617A7" w:rsidRDefault="006617A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CF02" w14:textId="18F261B5" w:rsidR="006C3242" w:rsidRPr="003E39B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3E39B5">
      <w:rPr>
        <w:color w:val="F2F2F2" w:themeColor="background1" w:themeShade="F2"/>
        <w:sz w:val="16"/>
        <w:szCs w:val="16"/>
        <w:lang w:val="fr-FR"/>
      </w:rPr>
      <w:fldChar w:fldCharType="begin"/>
    </w:r>
    <w:r w:rsidRPr="003E39B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E39B5">
      <w:rPr>
        <w:color w:val="F2F2F2" w:themeColor="background1" w:themeShade="F2"/>
        <w:sz w:val="16"/>
        <w:szCs w:val="16"/>
        <w:lang w:val="fr-FR"/>
      </w:rPr>
      <w:fldChar w:fldCharType="separate"/>
    </w:r>
    <w:r w:rsidR="005E6316" w:rsidRPr="003E39B5">
      <w:rPr>
        <w:noProof/>
        <w:color w:val="F2F2F2" w:themeColor="background1" w:themeShade="F2"/>
        <w:sz w:val="16"/>
        <w:szCs w:val="16"/>
        <w:lang w:val="fr-FR"/>
      </w:rPr>
      <w:t>P:\ARA\SG\CONSEIL\CWG-SFP\CWG-SFP1\000\009A.docx</w:t>
    </w:r>
    <w:r w:rsidRPr="003E39B5">
      <w:rPr>
        <w:color w:val="F2F2F2" w:themeColor="background1" w:themeShade="F2"/>
        <w:sz w:val="16"/>
        <w:szCs w:val="16"/>
      </w:rPr>
      <w:fldChar w:fldCharType="end"/>
    </w:r>
    <w:proofErr w:type="gramStart"/>
    <w:r w:rsidRPr="003E39B5">
      <w:rPr>
        <w:color w:val="F2F2F2" w:themeColor="background1" w:themeShade="F2"/>
        <w:sz w:val="16"/>
        <w:szCs w:val="16"/>
        <w:lang w:val="fr-CH"/>
      </w:rPr>
      <w:t xml:space="preserve">  </w:t>
    </w:r>
    <w:r w:rsidRPr="003E39B5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DB71C9" w:rsidRPr="003E39B5">
      <w:rPr>
        <w:color w:val="F2F2F2" w:themeColor="background1" w:themeShade="F2"/>
        <w:sz w:val="16"/>
        <w:szCs w:val="16"/>
        <w:lang w:val="fr-FR"/>
      </w:rPr>
      <w:t>494357</w:t>
    </w:r>
    <w:r w:rsidRPr="003E39B5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813B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BDAF" w14:textId="77777777" w:rsidR="006617A7" w:rsidRDefault="006617A7" w:rsidP="006C3242">
      <w:pPr>
        <w:spacing w:before="0" w:line="240" w:lineRule="auto"/>
      </w:pPr>
      <w:r>
        <w:separator/>
      </w:r>
    </w:p>
  </w:footnote>
  <w:footnote w:type="continuationSeparator" w:id="0">
    <w:p w14:paraId="22D22041" w14:textId="77777777" w:rsidR="006617A7" w:rsidRDefault="006617A7" w:rsidP="006C3242">
      <w:pPr>
        <w:spacing w:before="0" w:line="240" w:lineRule="auto"/>
      </w:pPr>
      <w:r>
        <w:continuationSeparator/>
      </w:r>
    </w:p>
  </w:footnote>
  <w:footnote w:id="1">
    <w:p w14:paraId="0D504B87" w14:textId="500D4C84" w:rsidR="006617A7" w:rsidRPr="00B40647" w:rsidRDefault="006617A7" w:rsidP="00CC272B">
      <w:pPr>
        <w:pStyle w:val="FootnoteText"/>
        <w:tabs>
          <w:tab w:val="clear" w:pos="794"/>
          <w:tab w:val="left" w:pos="284"/>
        </w:tabs>
        <w:rPr>
          <w:rtl/>
          <w:lang w:bidi="ar-EG"/>
        </w:rPr>
      </w:pPr>
      <w:r>
        <w:rPr>
          <w:rStyle w:val="FootnoteReference"/>
        </w:rPr>
        <w:footnoteRef/>
      </w:r>
      <w:r w:rsidR="00CC272B">
        <w:rPr>
          <w:rtl/>
        </w:rPr>
        <w:tab/>
      </w:r>
      <w:r w:rsidR="00280D0B" w:rsidRPr="00B40647">
        <w:rPr>
          <w:sz w:val="18"/>
          <w:szCs w:val="18"/>
          <w:rtl/>
        </w:rPr>
        <w:t>انظر التفاصيل في الموقع الإلكتروني الرسمي للاتحاد:</w:t>
      </w:r>
      <w:r w:rsidRPr="00B40647">
        <w:rPr>
          <w:sz w:val="18"/>
          <w:szCs w:val="18"/>
          <w:rtl/>
          <w:lang w:bidi="ar-EG"/>
        </w:rPr>
        <w:t xml:space="preserve"> </w:t>
      </w:r>
      <w:hyperlink r:id="rId1" w:history="1">
        <w:r w:rsidR="00B40647" w:rsidRPr="00DE3312">
          <w:rPr>
            <w:rStyle w:val="Hyperlink"/>
            <w:rFonts w:eastAsia="SimSun"/>
            <w:sz w:val="18"/>
            <w:szCs w:val="18"/>
            <w:lang w:val="en-GB"/>
          </w:rPr>
          <w:t>https://www.itu.int/zh/action/Pages/default.aspx</w:t>
        </w:r>
      </w:hyperlink>
      <w:r w:rsidR="00B40647">
        <w:rPr>
          <w:rFonts w:eastAsia="SimSun" w:hint="cs"/>
          <w:sz w:val="18"/>
          <w:szCs w:val="18"/>
          <w:rtl/>
          <w:lang w:val="en-GB" w:bidi="ar-EG"/>
        </w:rPr>
        <w:t>.</w:t>
      </w:r>
    </w:p>
  </w:footnote>
  <w:footnote w:id="2">
    <w:p w14:paraId="6059D5C9" w14:textId="65CD9B98" w:rsidR="006617A7" w:rsidRPr="006617A7" w:rsidRDefault="006617A7" w:rsidP="00CC272B">
      <w:pPr>
        <w:pStyle w:val="FootnoteText"/>
        <w:tabs>
          <w:tab w:val="clear" w:pos="794"/>
          <w:tab w:val="left" w:pos="284"/>
        </w:tabs>
        <w:rPr>
          <w:sz w:val="18"/>
          <w:szCs w:val="18"/>
          <w:lang w:bidi="ar-EG"/>
        </w:rPr>
      </w:pPr>
      <w:r>
        <w:rPr>
          <w:rStyle w:val="FootnoteReference"/>
        </w:rPr>
        <w:footnoteRef/>
      </w:r>
      <w:r w:rsidR="00CC272B">
        <w:rPr>
          <w:rtl/>
        </w:rPr>
        <w:tab/>
      </w:r>
      <w:r w:rsidR="00280D0B">
        <w:rPr>
          <w:rFonts w:hint="cs"/>
          <w:spacing w:val="-6"/>
          <w:sz w:val="18"/>
          <w:szCs w:val="18"/>
          <w:rtl/>
        </w:rPr>
        <w:t xml:space="preserve">انظر </w:t>
      </w:r>
      <w:r w:rsidRPr="006617A7">
        <w:rPr>
          <w:spacing w:val="-6"/>
          <w:sz w:val="18"/>
          <w:szCs w:val="18"/>
          <w:rtl/>
        </w:rPr>
        <w:t>المبادئ التوجيهية المتعلقة بأفضل الممارسات والصادرة عن الندوة العالمية لمنظمي الاتصالات</w:t>
      </w:r>
      <w:r w:rsidRPr="006617A7">
        <w:rPr>
          <w:rFonts w:hint="eastAsia"/>
          <w:spacing w:val="-6"/>
          <w:sz w:val="18"/>
          <w:szCs w:val="18"/>
          <w:rtl/>
        </w:rPr>
        <w:t> </w:t>
      </w:r>
      <w:r w:rsidRPr="006617A7">
        <w:rPr>
          <w:spacing w:val="-6"/>
          <w:sz w:val="18"/>
          <w:szCs w:val="18"/>
        </w:rPr>
        <w:t>(GSR)</w:t>
      </w:r>
      <w:r w:rsidRPr="006617A7">
        <w:rPr>
          <w:spacing w:val="-6"/>
          <w:sz w:val="18"/>
          <w:szCs w:val="18"/>
          <w:rtl/>
        </w:rPr>
        <w:t xml:space="preserve"> لعام </w:t>
      </w:r>
      <w:r w:rsidRPr="006617A7">
        <w:rPr>
          <w:spacing w:val="-6"/>
          <w:sz w:val="18"/>
          <w:szCs w:val="18"/>
        </w:rPr>
        <w:t>2020</w:t>
      </w:r>
      <w:r w:rsidR="00280D0B">
        <w:rPr>
          <w:rFonts w:hint="cs"/>
          <w:spacing w:val="-6"/>
          <w:sz w:val="18"/>
          <w:szCs w:val="18"/>
          <w:rtl/>
        </w:rPr>
        <w:t xml:space="preserve"> - المعيار الذهبي للتنظيم الرقمي</w:t>
      </w:r>
      <w:r>
        <w:rPr>
          <w:spacing w:val="-6"/>
          <w:sz w:val="18"/>
          <w:szCs w:val="18"/>
          <w:rtl/>
        </w:rPr>
        <w:br/>
      </w:r>
      <w:hyperlink r:id="rId2" w:history="1">
        <w:r w:rsidRPr="00EC15BF">
          <w:rPr>
            <w:rStyle w:val="Hyperlink"/>
            <w:rFonts w:eastAsia="SimSun"/>
            <w:sz w:val="18"/>
            <w:szCs w:val="18"/>
          </w:rPr>
          <w:t>https://www.itu.int/en/ITU-D/Conferences/GSR/2020/Documents/GSR-20_Best-Practice-Guidelines_Final_C.pdf</w:t>
        </w:r>
      </w:hyperlink>
      <w:r w:rsidR="00B623A2">
        <w:rPr>
          <w:rFonts w:eastAsia="SimSun" w:hint="cs"/>
          <w:sz w:val="18"/>
          <w:szCs w:val="18"/>
          <w:rtl/>
        </w:rPr>
        <w:t>.</w:t>
      </w:r>
    </w:p>
  </w:footnote>
  <w:footnote w:id="3">
    <w:p w14:paraId="0CA94486" w14:textId="27E74F40" w:rsidR="00C7186C" w:rsidRPr="00410000" w:rsidRDefault="00C7186C" w:rsidP="00CC272B">
      <w:pPr>
        <w:pStyle w:val="FootnoteText"/>
        <w:tabs>
          <w:tab w:val="clear" w:pos="794"/>
          <w:tab w:val="left" w:pos="284"/>
        </w:tabs>
        <w:rPr>
          <w:sz w:val="18"/>
          <w:szCs w:val="18"/>
          <w:rtl/>
          <w:lang w:val="en-GB"/>
        </w:rPr>
      </w:pPr>
      <w:r>
        <w:rPr>
          <w:rStyle w:val="FootnoteReference"/>
        </w:rPr>
        <w:footnoteRef/>
      </w:r>
      <w:r w:rsidR="00CC272B">
        <w:rPr>
          <w:sz w:val="18"/>
          <w:szCs w:val="18"/>
          <w:rtl/>
          <w:lang w:val="en-GB"/>
        </w:rPr>
        <w:tab/>
      </w:r>
      <w:r w:rsidR="00CE6727">
        <w:rPr>
          <w:rFonts w:hint="cs"/>
          <w:sz w:val="18"/>
          <w:szCs w:val="18"/>
          <w:rtl/>
          <w:lang w:val="en-GB"/>
        </w:rPr>
        <w:t>أدرجت</w:t>
      </w:r>
      <w:r w:rsidR="00CE6727" w:rsidRPr="00CE6727">
        <w:rPr>
          <w:sz w:val="18"/>
          <w:szCs w:val="18"/>
          <w:rtl/>
          <w:lang w:val="en-GB"/>
        </w:rPr>
        <w:t xml:space="preserve"> منظمة التجارة العالمية (</w:t>
      </w:r>
      <w:r w:rsidR="00CE6727">
        <w:rPr>
          <w:sz w:val="18"/>
          <w:szCs w:val="18"/>
          <w:lang w:val="en-GB"/>
        </w:rPr>
        <w:t>WTO</w:t>
      </w:r>
      <w:r w:rsidR="00CE6727" w:rsidRPr="00CE6727">
        <w:rPr>
          <w:sz w:val="18"/>
          <w:szCs w:val="18"/>
          <w:rtl/>
          <w:lang w:val="en-GB"/>
        </w:rPr>
        <w:t xml:space="preserve">) </w:t>
      </w:r>
      <w:r w:rsidR="00DB568A">
        <w:rPr>
          <w:rFonts w:hint="cs"/>
          <w:sz w:val="18"/>
          <w:szCs w:val="18"/>
          <w:rtl/>
          <w:lang w:val="en-GB"/>
        </w:rPr>
        <w:t>قضايا التجارة الرقمية</w:t>
      </w:r>
      <w:r w:rsidR="00CE6727" w:rsidRPr="00CE6727">
        <w:rPr>
          <w:sz w:val="18"/>
          <w:szCs w:val="18"/>
          <w:rtl/>
          <w:lang w:val="en-GB"/>
        </w:rPr>
        <w:t xml:space="preserve"> في قواعدها الخاصة بالتجارة في الخدمات، و</w:t>
      </w:r>
      <w:r w:rsidR="00DB568A">
        <w:rPr>
          <w:rFonts w:hint="cs"/>
          <w:sz w:val="18"/>
          <w:szCs w:val="18"/>
          <w:rtl/>
          <w:lang w:val="en-GB"/>
        </w:rPr>
        <w:t xml:space="preserve">أطلقت </w:t>
      </w:r>
      <w:r w:rsidR="00CE6727" w:rsidRPr="00CE6727">
        <w:rPr>
          <w:sz w:val="18"/>
          <w:szCs w:val="18"/>
          <w:rtl/>
          <w:lang w:val="en-GB"/>
        </w:rPr>
        <w:t xml:space="preserve">في نهاية المطاف عملية تفاوض منفصلة بشأن الجوانب المتصلة بالتجارة الإلكترونية؛ </w:t>
      </w:r>
      <w:r w:rsidR="00221990">
        <w:rPr>
          <w:rFonts w:hint="cs"/>
          <w:sz w:val="18"/>
          <w:szCs w:val="18"/>
          <w:rtl/>
          <w:lang w:val="en-GB"/>
        </w:rPr>
        <w:t>وأصدر</w:t>
      </w:r>
      <w:r w:rsidR="00CE6727" w:rsidRPr="00CE6727">
        <w:rPr>
          <w:sz w:val="18"/>
          <w:szCs w:val="18"/>
          <w:rtl/>
          <w:lang w:val="en-GB"/>
        </w:rPr>
        <w:t xml:space="preserve"> </w:t>
      </w:r>
      <w:r w:rsidR="00DB568A">
        <w:rPr>
          <w:rFonts w:hint="cs"/>
          <w:sz w:val="18"/>
          <w:szCs w:val="18"/>
          <w:rtl/>
          <w:lang w:val="en-GB"/>
        </w:rPr>
        <w:t>صندوق النقد الدولي</w:t>
      </w:r>
      <w:r w:rsidR="00CE6727" w:rsidRPr="00CE6727">
        <w:rPr>
          <w:sz w:val="18"/>
          <w:szCs w:val="18"/>
          <w:rtl/>
          <w:lang w:val="en-GB"/>
        </w:rPr>
        <w:t xml:space="preserve"> (</w:t>
      </w:r>
      <w:r w:rsidR="00DB568A">
        <w:rPr>
          <w:sz w:val="18"/>
          <w:szCs w:val="18"/>
          <w:lang w:val="en-GB"/>
        </w:rPr>
        <w:t>IMF</w:t>
      </w:r>
      <w:r w:rsidR="00CE6727" w:rsidRPr="00CE6727">
        <w:rPr>
          <w:sz w:val="18"/>
          <w:szCs w:val="18"/>
          <w:rtl/>
          <w:lang w:val="en-GB"/>
        </w:rPr>
        <w:t>) تقارير بحثية بشأن قضايا مثل العملات الرقمية والمدفوعات عبر</w:t>
      </w:r>
      <w:r w:rsidR="00C76DE9">
        <w:rPr>
          <w:rFonts w:hint="cs"/>
          <w:sz w:val="18"/>
          <w:szCs w:val="18"/>
          <w:rtl/>
          <w:lang w:val="en-GB"/>
        </w:rPr>
        <w:t> </w:t>
      </w:r>
      <w:r w:rsidR="00CE6727" w:rsidRPr="00CE6727">
        <w:rPr>
          <w:sz w:val="18"/>
          <w:szCs w:val="18"/>
          <w:rtl/>
          <w:lang w:val="en-GB"/>
        </w:rPr>
        <w:t>الحدود؛ وبدأ البنك الدولي بالتركيز على تمويل تطوير البنية التحتية الرقمية.</w:t>
      </w:r>
    </w:p>
  </w:footnote>
  <w:footnote w:id="4">
    <w:p w14:paraId="19B13A94" w14:textId="299D6207" w:rsidR="001A23C9" w:rsidRDefault="001A23C9" w:rsidP="00CC272B">
      <w:pPr>
        <w:pStyle w:val="FootnoteText"/>
        <w:tabs>
          <w:tab w:val="clear" w:pos="794"/>
          <w:tab w:val="left" w:pos="284"/>
        </w:tabs>
        <w:rPr>
          <w:lang w:bidi="ar-EG"/>
        </w:rPr>
      </w:pPr>
      <w:r>
        <w:rPr>
          <w:rStyle w:val="FootnoteReference"/>
        </w:rPr>
        <w:footnoteRef/>
      </w:r>
      <w:r w:rsidR="00CC272B">
        <w:rPr>
          <w:rFonts w:ascii="Times New Roman" w:eastAsia="SimSun" w:hAnsi="Times New Roman"/>
          <w:sz w:val="18"/>
          <w:szCs w:val="18"/>
          <w:rtl/>
        </w:rPr>
        <w:tab/>
      </w:r>
      <w:r w:rsidR="00CE6727">
        <w:rPr>
          <w:rFonts w:hint="cs"/>
          <w:sz w:val="18"/>
          <w:szCs w:val="18"/>
          <w:rtl/>
        </w:rPr>
        <w:t xml:space="preserve">تشمل اتفاقات التجارة الحرة العملاقة المذكورة هنا على سبيل المثال لا الحصر، توقيع وبدء نفاذ اتفاق الشراكة عبر المحيط الهادئ </w:t>
      </w:r>
      <w:r w:rsidR="00CE6727">
        <w:rPr>
          <w:sz w:val="18"/>
          <w:szCs w:val="18"/>
          <w:lang w:val="en-GB"/>
        </w:rPr>
        <w:t>(TPP)</w:t>
      </w:r>
      <w:r w:rsidR="00CE6727">
        <w:rPr>
          <w:rFonts w:hint="cs"/>
          <w:sz w:val="18"/>
          <w:szCs w:val="18"/>
          <w:rtl/>
        </w:rPr>
        <w:t xml:space="preserve">/الاتفاق الشامل والتدريجي للشراكة عبر المحيط الهادئ </w:t>
      </w:r>
      <w:r w:rsidR="00B623A2">
        <w:rPr>
          <w:sz w:val="18"/>
          <w:szCs w:val="18"/>
          <w:lang w:val="en-GB"/>
        </w:rPr>
        <w:t>(</w:t>
      </w:r>
      <w:r w:rsidR="00CE6727">
        <w:rPr>
          <w:sz w:val="18"/>
          <w:szCs w:val="18"/>
          <w:lang w:val="en-GB"/>
        </w:rPr>
        <w:t>CPTPP)</w:t>
      </w:r>
      <w:r w:rsidR="00CE6727">
        <w:rPr>
          <w:rFonts w:hint="cs"/>
          <w:sz w:val="18"/>
          <w:szCs w:val="18"/>
          <w:rtl/>
          <w:lang w:val="en-GB"/>
        </w:rPr>
        <w:t>، والاتفاق التجاري بين الولايات المتحدة واليابان واتفاق التجارة الرقمية بين الولايات المتحدة واليابان، واتفاق الشراكة الاقتصادية بين الاتحاد الأوروبي واليابان، والم</w:t>
      </w:r>
      <w:r w:rsidR="00CE6727" w:rsidRPr="00410000">
        <w:rPr>
          <w:sz w:val="18"/>
          <w:szCs w:val="18"/>
          <w:rtl/>
          <w:lang w:val="en-GB"/>
        </w:rPr>
        <w:t xml:space="preserve">رحلة الأولى من الاتفاق الاقتصادي والتجاري </w:t>
      </w:r>
      <w:r w:rsidR="00CE6727">
        <w:rPr>
          <w:rFonts w:hint="cs"/>
          <w:sz w:val="18"/>
          <w:szCs w:val="18"/>
          <w:rtl/>
          <w:lang w:val="en-GB"/>
        </w:rPr>
        <w:t xml:space="preserve">بين </w:t>
      </w:r>
      <w:r w:rsidR="00CE6727" w:rsidRPr="00410000">
        <w:rPr>
          <w:sz w:val="18"/>
          <w:szCs w:val="18"/>
          <w:rtl/>
          <w:lang w:val="en-GB"/>
        </w:rPr>
        <w:t>الصين</w:t>
      </w:r>
      <w:r w:rsidR="00CE6727">
        <w:rPr>
          <w:rFonts w:hint="cs"/>
          <w:sz w:val="18"/>
          <w:szCs w:val="18"/>
          <w:rtl/>
          <w:lang w:val="en-GB"/>
        </w:rPr>
        <w:t xml:space="preserve"> و</w:t>
      </w:r>
      <w:r w:rsidR="00CE6727" w:rsidRPr="00410000">
        <w:rPr>
          <w:sz w:val="18"/>
          <w:szCs w:val="18"/>
          <w:rtl/>
          <w:lang w:val="en-GB"/>
        </w:rPr>
        <w:t>الولايات المتحدة، والشراكة الاقتصادية الإقليمية الشاملة (</w:t>
      </w:r>
      <w:r w:rsidR="00CE6727">
        <w:rPr>
          <w:sz w:val="18"/>
          <w:szCs w:val="18"/>
          <w:lang w:val="en-GB"/>
        </w:rPr>
        <w:t>RCEP</w:t>
      </w:r>
      <w:r w:rsidR="00CE6727" w:rsidRPr="00410000">
        <w:rPr>
          <w:sz w:val="18"/>
          <w:szCs w:val="18"/>
          <w:rtl/>
          <w:lang w:val="en-GB"/>
        </w:rPr>
        <w:t xml:space="preserve">، الموقعة </w:t>
      </w:r>
      <w:r w:rsidR="00AF7DD2">
        <w:rPr>
          <w:rFonts w:hint="cs"/>
          <w:sz w:val="18"/>
          <w:szCs w:val="18"/>
          <w:rtl/>
          <w:lang w:val="en-GB"/>
        </w:rPr>
        <w:t>حالياً</w:t>
      </w:r>
      <w:r w:rsidR="00CE6727" w:rsidRPr="00410000">
        <w:rPr>
          <w:sz w:val="18"/>
          <w:szCs w:val="18"/>
          <w:rtl/>
          <w:lang w:val="en-GB"/>
        </w:rPr>
        <w:t xml:space="preserve"> و</w:t>
      </w:r>
      <w:r w:rsidR="00CE6727">
        <w:rPr>
          <w:rFonts w:hint="cs"/>
          <w:sz w:val="18"/>
          <w:szCs w:val="18"/>
          <w:rtl/>
          <w:lang w:val="en-GB"/>
        </w:rPr>
        <w:t xml:space="preserve">التي </w:t>
      </w:r>
      <w:r w:rsidR="00CE6727" w:rsidRPr="00410000">
        <w:rPr>
          <w:sz w:val="18"/>
          <w:szCs w:val="18"/>
          <w:rtl/>
          <w:lang w:val="en-GB"/>
        </w:rPr>
        <w:t xml:space="preserve">ستدخل حيز التنفيذ في </w:t>
      </w:r>
      <w:r w:rsidR="00CE6727">
        <w:rPr>
          <w:sz w:val="18"/>
          <w:szCs w:val="18"/>
          <w:lang w:val="en-GB"/>
        </w:rPr>
        <w:t>2022</w:t>
      </w:r>
      <w:r w:rsidR="00CE6727" w:rsidRPr="00410000">
        <w:rPr>
          <w:sz w:val="18"/>
          <w:szCs w:val="18"/>
          <w:rtl/>
          <w:lang w:val="en-GB"/>
        </w:rPr>
        <w:t xml:space="preserve">)، </w:t>
      </w:r>
      <w:r w:rsidR="00CE6727">
        <w:rPr>
          <w:rFonts w:hint="cs"/>
          <w:sz w:val="18"/>
          <w:szCs w:val="18"/>
          <w:rtl/>
          <w:lang w:val="en-GB"/>
        </w:rPr>
        <w:t>والنهوض</w:t>
      </w:r>
      <w:r w:rsidR="00CE6727" w:rsidRPr="00410000">
        <w:rPr>
          <w:sz w:val="18"/>
          <w:szCs w:val="18"/>
          <w:rtl/>
          <w:lang w:val="en-GB"/>
        </w:rPr>
        <w:t xml:space="preserve"> </w:t>
      </w:r>
      <w:r w:rsidR="00CE6727">
        <w:rPr>
          <w:rFonts w:hint="cs"/>
          <w:sz w:val="18"/>
          <w:szCs w:val="18"/>
          <w:rtl/>
          <w:lang w:val="en-GB"/>
        </w:rPr>
        <w:t>ب</w:t>
      </w:r>
      <w:r w:rsidR="00CE6727" w:rsidRPr="00410000">
        <w:rPr>
          <w:sz w:val="18"/>
          <w:szCs w:val="18"/>
          <w:rtl/>
          <w:lang w:val="en-GB"/>
        </w:rPr>
        <w:t xml:space="preserve">عملية التفاوض </w:t>
      </w:r>
      <w:r w:rsidR="00CE6727">
        <w:rPr>
          <w:rFonts w:hint="cs"/>
          <w:sz w:val="18"/>
          <w:szCs w:val="18"/>
          <w:rtl/>
          <w:lang w:val="en-GB"/>
        </w:rPr>
        <w:t>حول الاتفاق</w:t>
      </w:r>
      <w:r w:rsidR="00CE6727" w:rsidRPr="00410000">
        <w:rPr>
          <w:sz w:val="18"/>
          <w:szCs w:val="18"/>
          <w:rtl/>
          <w:lang w:val="en-GB"/>
        </w:rPr>
        <w:t xml:space="preserve"> الشامل</w:t>
      </w:r>
      <w:r w:rsidR="00CE6727">
        <w:rPr>
          <w:rFonts w:hint="cs"/>
          <w:sz w:val="18"/>
          <w:szCs w:val="18"/>
          <w:rtl/>
          <w:lang w:val="en-GB"/>
        </w:rPr>
        <w:t xml:space="preserve"> </w:t>
      </w:r>
      <w:r w:rsidR="00CE6727" w:rsidRPr="00410000">
        <w:rPr>
          <w:sz w:val="18"/>
          <w:szCs w:val="18"/>
          <w:rtl/>
          <w:lang w:val="en-GB"/>
        </w:rPr>
        <w:t>بشأن الاستثمار</w:t>
      </w:r>
      <w:r w:rsidR="00ED4C70">
        <w:rPr>
          <w:rFonts w:hint="cs"/>
          <w:sz w:val="18"/>
          <w:szCs w:val="18"/>
          <w:rtl/>
          <w:lang w:val="en-GB"/>
        </w:rPr>
        <w:t> </w:t>
      </w:r>
      <w:r w:rsidR="00CE6727" w:rsidRPr="00410000">
        <w:rPr>
          <w:sz w:val="18"/>
          <w:szCs w:val="18"/>
          <w:rtl/>
          <w:lang w:val="en-GB"/>
        </w:rPr>
        <w:t>(</w:t>
      </w:r>
      <w:r w:rsidR="00CE6727" w:rsidRPr="00410000">
        <w:rPr>
          <w:sz w:val="18"/>
          <w:szCs w:val="18"/>
          <w:lang w:val="en-GB"/>
        </w:rPr>
        <w:t>CAI</w:t>
      </w:r>
      <w:r w:rsidR="00CE6727" w:rsidRPr="00410000">
        <w:rPr>
          <w:sz w:val="18"/>
          <w:szCs w:val="18"/>
          <w:rtl/>
          <w:lang w:val="en-GB"/>
        </w:rPr>
        <w:t>) بين الصين والاتحاد الأوروبي،</w:t>
      </w:r>
      <w:r w:rsidR="00CE6727">
        <w:rPr>
          <w:rFonts w:hint="cs"/>
          <w:sz w:val="18"/>
          <w:szCs w:val="18"/>
          <w:rtl/>
          <w:lang w:val="en-GB"/>
        </w:rPr>
        <w:t xml:space="preserve"> و</w:t>
      </w:r>
      <w:r w:rsidR="00CE6727" w:rsidRPr="00410000">
        <w:rPr>
          <w:sz w:val="18"/>
          <w:szCs w:val="18"/>
          <w:rtl/>
          <w:lang w:val="en-GB"/>
        </w:rPr>
        <w:t>اتفاقية التجارة</w:t>
      </w:r>
      <w:r w:rsidR="00CE6727">
        <w:rPr>
          <w:rFonts w:hint="cs"/>
          <w:sz w:val="18"/>
          <w:szCs w:val="18"/>
          <w:rtl/>
          <w:lang w:val="en-GB"/>
        </w:rPr>
        <w:t xml:space="preserve"> الحرة بين الصين واليابان وكوريا الجنوبية</w:t>
      </w:r>
      <w:r w:rsidR="00B623A2">
        <w:rPr>
          <w:rFonts w:hint="cs"/>
          <w:sz w:val="18"/>
          <w:szCs w:val="18"/>
          <w:rtl/>
          <w:lang w:val="en-GB" w:bidi="ar-EG"/>
        </w:rPr>
        <w:t>.</w:t>
      </w:r>
    </w:p>
  </w:footnote>
  <w:footnote w:id="5">
    <w:p w14:paraId="11BC38C7" w14:textId="680C99C6" w:rsidR="006617A7" w:rsidRPr="00CE6727" w:rsidRDefault="006617A7" w:rsidP="00CC272B">
      <w:pPr>
        <w:pStyle w:val="FootnoteText"/>
        <w:tabs>
          <w:tab w:val="clear" w:pos="794"/>
          <w:tab w:val="left" w:pos="284"/>
        </w:tabs>
        <w:rPr>
          <w:sz w:val="18"/>
          <w:szCs w:val="18"/>
          <w:lang w:bidi="ar-EG"/>
        </w:rPr>
      </w:pPr>
      <w:r>
        <w:rPr>
          <w:rStyle w:val="FootnoteReference"/>
        </w:rPr>
        <w:footnoteRef/>
      </w:r>
      <w:r w:rsidR="00CC272B">
        <w:rPr>
          <w:rtl/>
        </w:rPr>
        <w:tab/>
      </w:r>
      <w:r w:rsidR="00CE6727">
        <w:rPr>
          <w:rFonts w:hint="cs"/>
          <w:sz w:val="18"/>
          <w:szCs w:val="18"/>
          <w:rtl/>
          <w:lang w:bidi="ar-EG"/>
        </w:rPr>
        <w:t xml:space="preserve">وكالة أنباء شينخوا: "شي جين بينغ يعقد اجتماعاً مشتركاً مع قادة من ألمانيا والاتحاد الأوروبي" </w:t>
      </w:r>
      <w:r w:rsidR="00CE6727">
        <w:rPr>
          <w:sz w:val="18"/>
          <w:szCs w:val="18"/>
          <w:lang w:val="en-GB" w:bidi="ar-EG"/>
        </w:rPr>
        <w:t>15</w:t>
      </w:r>
      <w:r w:rsidR="00CE6727">
        <w:rPr>
          <w:rFonts w:hint="cs"/>
          <w:sz w:val="18"/>
          <w:szCs w:val="18"/>
          <w:rtl/>
          <w:lang w:bidi="ar-EG"/>
        </w:rPr>
        <w:t xml:space="preserve">سبتمبر </w:t>
      </w:r>
      <w:r w:rsidR="00CE6727">
        <w:rPr>
          <w:sz w:val="18"/>
          <w:szCs w:val="18"/>
          <w:lang w:val="en-GB" w:bidi="ar-EG"/>
        </w:rPr>
        <w:t>2020</w:t>
      </w:r>
      <w:r w:rsidR="00B623A2">
        <w:rPr>
          <w:sz w:val="18"/>
          <w:szCs w:val="18"/>
          <w:rtl/>
          <w:lang w:val="en-GB" w:bidi="ar-EG"/>
        </w:rPr>
        <w:tab/>
      </w:r>
      <w:r w:rsidR="00B623A2">
        <w:rPr>
          <w:sz w:val="18"/>
          <w:szCs w:val="18"/>
          <w:rtl/>
          <w:lang w:bidi="ar-EG"/>
        </w:rPr>
        <w:br/>
      </w:r>
      <w:hyperlink r:id="rId3" w:history="1">
        <w:r w:rsidR="00B623A2" w:rsidRPr="00ED4C70">
          <w:rPr>
            <w:rStyle w:val="Hyperlink"/>
            <w:sz w:val="18"/>
            <w:szCs w:val="18"/>
            <w:lang w:val="en-GB" w:bidi="ar-EG"/>
          </w:rPr>
          <w:t>http://www.xinhuanet.com/politics/leaders/2020-09/15/c_1126493059.htm</w:t>
        </w:r>
      </w:hyperlink>
      <w:r w:rsidR="00B623A2">
        <w:rPr>
          <w:rFonts w:hint="cs"/>
          <w:sz w:val="18"/>
          <w:szCs w:val="18"/>
          <w:rtl/>
          <w:lang w:val="en-GB" w:bidi="ar-EG"/>
        </w:rPr>
        <w:t>.</w:t>
      </w:r>
    </w:p>
  </w:footnote>
  <w:footnote w:id="6">
    <w:p w14:paraId="47E4BF12" w14:textId="490939D3" w:rsidR="00F352F7" w:rsidRPr="00040DE0" w:rsidRDefault="00F352F7" w:rsidP="00CC272B">
      <w:pPr>
        <w:pStyle w:val="FootnoteText"/>
        <w:tabs>
          <w:tab w:val="clear" w:pos="794"/>
          <w:tab w:val="left" w:pos="284"/>
        </w:tabs>
        <w:rPr>
          <w:sz w:val="18"/>
          <w:szCs w:val="18"/>
          <w:lang w:val="en-GB"/>
        </w:rPr>
      </w:pPr>
      <w:r>
        <w:rPr>
          <w:rStyle w:val="FootnoteReference"/>
        </w:rPr>
        <w:footnoteRef/>
      </w:r>
      <w:r w:rsidR="00CC272B">
        <w:rPr>
          <w:rtl/>
        </w:rPr>
        <w:tab/>
      </w:r>
      <w:r w:rsidR="00CE6727" w:rsidRPr="00040DE0">
        <w:rPr>
          <w:rFonts w:hint="cs"/>
          <w:sz w:val="18"/>
          <w:szCs w:val="18"/>
          <w:rtl/>
          <w:lang w:val="en-GB"/>
        </w:rPr>
        <w:t xml:space="preserve">الغايات الاستراتيجية للاتحاد للفترة </w:t>
      </w:r>
      <w:r w:rsidR="00CE6727">
        <w:rPr>
          <w:sz w:val="18"/>
          <w:szCs w:val="18"/>
          <w:lang w:val="en-GB"/>
        </w:rPr>
        <w:t>2023-2020</w:t>
      </w:r>
      <w:r w:rsidR="00CE6727" w:rsidRPr="00040DE0">
        <w:rPr>
          <w:rFonts w:hint="cs"/>
          <w:sz w:val="18"/>
          <w:szCs w:val="18"/>
          <w:rtl/>
          <w:lang w:val="en-GB"/>
        </w:rPr>
        <w:t xml:space="preserve"> : "</w:t>
      </w:r>
      <w:r w:rsidR="00CE6727" w:rsidRPr="00040DE0">
        <w:rPr>
          <w:sz w:val="18"/>
          <w:szCs w:val="18"/>
          <w:rtl/>
          <w:lang w:val="en-GB"/>
        </w:rPr>
        <w:t xml:space="preserve"> الغاية 1 – النمو</w:t>
      </w:r>
      <w:r w:rsidR="00CE6727" w:rsidRPr="00040DE0">
        <w:rPr>
          <w:rFonts w:hint="cs"/>
          <w:sz w:val="18"/>
          <w:szCs w:val="18"/>
          <w:rtl/>
          <w:lang w:val="en-GB"/>
        </w:rPr>
        <w:t xml:space="preserve">: </w:t>
      </w:r>
      <w:r w:rsidR="00CE6727" w:rsidRPr="00040DE0">
        <w:rPr>
          <w:sz w:val="18"/>
          <w:szCs w:val="18"/>
          <w:rtl/>
          <w:lang w:val="en-GB"/>
        </w:rPr>
        <w:t xml:space="preserve">إتاحة وتعزيز النفاذ إلى الاتصالات/تكنولوجيا المعلومات والاتصالات وزيادة استعمالها </w:t>
      </w:r>
      <w:r w:rsidR="006045A1" w:rsidRPr="00040DE0">
        <w:rPr>
          <w:rFonts w:hint="cs"/>
          <w:sz w:val="18"/>
          <w:szCs w:val="18"/>
          <w:rtl/>
          <w:lang w:val="en-GB"/>
        </w:rPr>
        <w:t>دعماً</w:t>
      </w:r>
      <w:r w:rsidR="00CE6727" w:rsidRPr="00040DE0">
        <w:rPr>
          <w:sz w:val="18"/>
          <w:szCs w:val="18"/>
          <w:rtl/>
          <w:lang w:val="en-GB"/>
        </w:rPr>
        <w:t xml:space="preserve"> للاقتصاد والمجتمع الرقميين</w:t>
      </w:r>
      <w:r w:rsidR="00CE6727" w:rsidRPr="00040DE0">
        <w:rPr>
          <w:rFonts w:hint="cs"/>
          <w:sz w:val="18"/>
          <w:szCs w:val="18"/>
          <w:rtl/>
          <w:lang w:val="en-GB"/>
        </w:rPr>
        <w:t xml:space="preserve">؛ الغاية </w:t>
      </w:r>
      <w:r w:rsidR="00CE6727">
        <w:rPr>
          <w:sz w:val="18"/>
          <w:szCs w:val="18"/>
          <w:lang w:val="en-GB"/>
        </w:rPr>
        <w:t>2</w:t>
      </w:r>
      <w:r w:rsidR="00CE6727">
        <w:rPr>
          <w:rFonts w:hint="cs"/>
          <w:sz w:val="18"/>
          <w:szCs w:val="18"/>
          <w:rtl/>
          <w:lang w:val="en-GB"/>
        </w:rPr>
        <w:t xml:space="preserve">: الشمول: </w:t>
      </w:r>
      <w:r w:rsidR="00CE6727" w:rsidRPr="00726B5C">
        <w:rPr>
          <w:sz w:val="18"/>
          <w:szCs w:val="18"/>
          <w:rtl/>
          <w:lang w:val="en-GB"/>
        </w:rPr>
        <w:t>سد الفجوة الرقمية وتوفير نفاذ الجميع إلى النطاق العريض</w:t>
      </w:r>
      <w:r w:rsidR="00CE6727">
        <w:rPr>
          <w:rFonts w:hint="cs"/>
          <w:sz w:val="18"/>
          <w:szCs w:val="18"/>
          <w:rtl/>
          <w:lang w:val="en-GB"/>
        </w:rPr>
        <w:t xml:space="preserve">؛ الغاية </w:t>
      </w:r>
      <w:r w:rsidR="00CE6727">
        <w:rPr>
          <w:sz w:val="18"/>
          <w:szCs w:val="18"/>
          <w:lang w:val="en-GB"/>
        </w:rPr>
        <w:t>3</w:t>
      </w:r>
      <w:r w:rsidR="00CE6727">
        <w:rPr>
          <w:rFonts w:hint="cs"/>
          <w:sz w:val="18"/>
          <w:szCs w:val="18"/>
          <w:rtl/>
          <w:lang w:val="en-GB"/>
        </w:rPr>
        <w:t xml:space="preserve"> - ال</w:t>
      </w:r>
      <w:r w:rsidR="00CE6727" w:rsidRPr="00726B5C">
        <w:rPr>
          <w:sz w:val="18"/>
          <w:szCs w:val="18"/>
          <w:rtl/>
          <w:lang w:val="en-GB"/>
        </w:rPr>
        <w:t xml:space="preserve">استدامة: إدارة المخاطر والتحديات والفرص الناشئة الناتجة عن النمو السريع للاتصالات/تكنولوجيا المعلومات والاتصالات ؛ </w:t>
      </w:r>
      <w:r w:rsidR="00CE6727">
        <w:rPr>
          <w:rFonts w:hint="cs"/>
          <w:sz w:val="18"/>
          <w:szCs w:val="18"/>
          <w:rtl/>
          <w:lang w:val="en-GB"/>
        </w:rPr>
        <w:t>الغاية</w:t>
      </w:r>
      <w:r w:rsidR="00CE6727" w:rsidRPr="00726B5C">
        <w:rPr>
          <w:sz w:val="18"/>
          <w:szCs w:val="18"/>
          <w:rtl/>
          <w:lang w:val="en-GB"/>
        </w:rPr>
        <w:t xml:space="preserve"> 4 - الابتكار: تمكين الابتكار في </w:t>
      </w:r>
      <w:r w:rsidR="00CE6727">
        <w:rPr>
          <w:rFonts w:hint="cs"/>
          <w:sz w:val="18"/>
          <w:szCs w:val="18"/>
          <w:rtl/>
          <w:lang w:val="en-GB"/>
        </w:rPr>
        <w:t xml:space="preserve">مجال </w:t>
      </w:r>
      <w:r w:rsidR="00CE6727" w:rsidRPr="00726B5C">
        <w:rPr>
          <w:sz w:val="18"/>
          <w:szCs w:val="18"/>
          <w:rtl/>
          <w:lang w:val="en-GB"/>
        </w:rPr>
        <w:t xml:space="preserve">الاتصالات/تكنولوجيا المعلومات والاتصالات </w:t>
      </w:r>
      <w:r w:rsidR="00CA4E4E">
        <w:rPr>
          <w:rFonts w:hint="cs"/>
          <w:sz w:val="18"/>
          <w:szCs w:val="18"/>
          <w:rtl/>
          <w:lang w:val="en-GB"/>
        </w:rPr>
        <w:t>دعماً</w:t>
      </w:r>
      <w:r w:rsidR="00CE6727" w:rsidRPr="00726B5C">
        <w:rPr>
          <w:sz w:val="18"/>
          <w:szCs w:val="18"/>
          <w:rtl/>
          <w:lang w:val="en-GB"/>
        </w:rPr>
        <w:t xml:space="preserve"> </w:t>
      </w:r>
      <w:r w:rsidR="00CE6727">
        <w:rPr>
          <w:rFonts w:hint="cs"/>
          <w:sz w:val="18"/>
          <w:szCs w:val="18"/>
          <w:rtl/>
          <w:lang w:val="en-GB"/>
        </w:rPr>
        <w:t>ل</w:t>
      </w:r>
      <w:r w:rsidR="00CE6727" w:rsidRPr="00726B5C">
        <w:rPr>
          <w:sz w:val="18"/>
          <w:szCs w:val="18"/>
          <w:rtl/>
          <w:lang w:val="en-GB"/>
        </w:rPr>
        <w:t xml:space="preserve">لتحول الرقمي للمجتمع؛ </w:t>
      </w:r>
      <w:r w:rsidR="00CE6727">
        <w:rPr>
          <w:rFonts w:hint="cs"/>
          <w:sz w:val="18"/>
          <w:szCs w:val="18"/>
          <w:rtl/>
          <w:lang w:val="en-GB"/>
        </w:rPr>
        <w:t>الغاية</w:t>
      </w:r>
      <w:r w:rsidR="00CE6727" w:rsidRPr="00726B5C">
        <w:rPr>
          <w:sz w:val="18"/>
          <w:szCs w:val="18"/>
          <w:rtl/>
          <w:lang w:val="en-GB"/>
        </w:rPr>
        <w:t xml:space="preserve"> 5 - الشراكة: تعزيز التعاون بين </w:t>
      </w:r>
      <w:r w:rsidR="001A5D75">
        <w:rPr>
          <w:rFonts w:hint="cs"/>
          <w:sz w:val="18"/>
          <w:szCs w:val="18"/>
          <w:rtl/>
          <w:lang w:val="en-GB"/>
        </w:rPr>
        <w:t>أعضاء</w:t>
      </w:r>
      <w:r w:rsidR="00CE6727" w:rsidRPr="00726B5C">
        <w:rPr>
          <w:sz w:val="18"/>
          <w:szCs w:val="18"/>
          <w:rtl/>
          <w:lang w:val="en-GB"/>
        </w:rPr>
        <w:t xml:space="preserve"> وجميع </w:t>
      </w:r>
      <w:r w:rsidR="001A5D75">
        <w:rPr>
          <w:rFonts w:hint="cs"/>
          <w:sz w:val="18"/>
          <w:szCs w:val="18"/>
          <w:rtl/>
          <w:lang w:val="en-GB"/>
        </w:rPr>
        <w:t>أصحاب</w:t>
      </w:r>
      <w:r w:rsidR="00CE6727" w:rsidRPr="00726B5C">
        <w:rPr>
          <w:sz w:val="18"/>
          <w:szCs w:val="18"/>
          <w:rtl/>
          <w:lang w:val="en-GB"/>
        </w:rPr>
        <w:t xml:space="preserve"> المصلحة الآخرين </w:t>
      </w:r>
      <w:r w:rsidR="00CE6727">
        <w:rPr>
          <w:rFonts w:hint="cs"/>
          <w:sz w:val="18"/>
          <w:szCs w:val="18"/>
          <w:rtl/>
          <w:lang w:val="en-GB"/>
        </w:rPr>
        <w:t>دعماً لجميع الغايات</w:t>
      </w:r>
      <w:r w:rsidR="00CE6727" w:rsidRPr="00726B5C">
        <w:rPr>
          <w:sz w:val="18"/>
          <w:szCs w:val="18"/>
          <w:rtl/>
          <w:lang w:val="en-GB"/>
        </w:rPr>
        <w:t xml:space="preserve"> الاستراتيجية للاتحا</w:t>
      </w:r>
      <w:r w:rsidR="00CE6727">
        <w:rPr>
          <w:rFonts w:hint="cs"/>
          <w:sz w:val="18"/>
          <w:szCs w:val="18"/>
          <w:rtl/>
          <w:lang w:val="en-GB"/>
        </w:rPr>
        <w:t>د</w:t>
      </w:r>
      <w:r w:rsidR="00CE6727" w:rsidRPr="00040DE0">
        <w:rPr>
          <w:rFonts w:hint="cs"/>
          <w:sz w:val="18"/>
          <w:szCs w:val="18"/>
          <w:rtl/>
          <w:lang w:val="en-GB"/>
        </w:rPr>
        <w:t>.</w:t>
      </w:r>
    </w:p>
  </w:footnote>
  <w:footnote w:id="7">
    <w:p w14:paraId="6F588C6E" w14:textId="2471C23C" w:rsidR="00BB4EE4" w:rsidRDefault="00BB4EE4" w:rsidP="00CC272B">
      <w:pPr>
        <w:pStyle w:val="FootnoteText"/>
        <w:tabs>
          <w:tab w:val="clear" w:pos="794"/>
          <w:tab w:val="left" w:pos="284"/>
        </w:tabs>
        <w:rPr>
          <w:lang w:bidi="ar-EG"/>
        </w:rPr>
      </w:pPr>
      <w:r>
        <w:rPr>
          <w:rStyle w:val="FootnoteReference"/>
        </w:rPr>
        <w:footnoteRef/>
      </w:r>
      <w:r w:rsidR="00CC272B">
        <w:rPr>
          <w:rtl/>
        </w:rPr>
        <w:tab/>
      </w:r>
      <w:r w:rsidR="00CE6727">
        <w:rPr>
          <w:rFonts w:hint="cs"/>
          <w:sz w:val="18"/>
          <w:szCs w:val="18"/>
          <w:rtl/>
          <w:lang w:bidi="ar-EG"/>
        </w:rPr>
        <w:t>انظر ال</w:t>
      </w:r>
      <w:r w:rsidR="00CE6727" w:rsidRPr="00C0161E">
        <w:rPr>
          <w:sz w:val="18"/>
          <w:szCs w:val="18"/>
          <w:rtl/>
          <w:lang w:bidi="ar-EG"/>
        </w:rPr>
        <w:t>جزء</w:t>
      </w:r>
      <w:r w:rsidR="00CE6727">
        <w:rPr>
          <w:rFonts w:hint="cs"/>
          <w:sz w:val="18"/>
          <w:szCs w:val="18"/>
          <w:rtl/>
          <w:lang w:bidi="ar-EG"/>
        </w:rPr>
        <w:t xml:space="preserve"> بشأن</w:t>
      </w:r>
      <w:r w:rsidR="00CE6727" w:rsidRPr="00C0161E">
        <w:rPr>
          <w:sz w:val="18"/>
          <w:szCs w:val="18"/>
          <w:rtl/>
          <w:lang w:bidi="ar-EG"/>
        </w:rPr>
        <w:t xml:space="preserve"> "الأهداف المشتركة بين القطاعات"، في القسم </w:t>
      </w:r>
      <w:r w:rsidR="00CE6727">
        <w:rPr>
          <w:sz w:val="18"/>
          <w:szCs w:val="18"/>
          <w:lang w:bidi="ar-EG"/>
        </w:rPr>
        <w:t>2</w:t>
      </w:r>
      <w:r w:rsidR="00CE6727" w:rsidRPr="00C0161E">
        <w:rPr>
          <w:sz w:val="18"/>
          <w:szCs w:val="18"/>
          <w:rtl/>
          <w:lang w:bidi="ar-EG"/>
        </w:rPr>
        <w:t xml:space="preserve"> "إطار نتائج </w:t>
      </w:r>
      <w:r w:rsidR="00CE6727">
        <w:rPr>
          <w:rFonts w:hint="cs"/>
          <w:sz w:val="18"/>
          <w:szCs w:val="18"/>
          <w:rtl/>
          <w:lang w:bidi="ar-EG"/>
        </w:rPr>
        <w:t>الاتحاد</w:t>
      </w:r>
      <w:r w:rsidR="00CE6727" w:rsidRPr="00C0161E">
        <w:rPr>
          <w:sz w:val="18"/>
          <w:szCs w:val="18"/>
          <w:rtl/>
          <w:lang w:bidi="ar-EG"/>
        </w:rPr>
        <w:t xml:space="preserve">" من الملحق </w:t>
      </w:r>
      <w:r w:rsidR="00CE6727">
        <w:rPr>
          <w:sz w:val="18"/>
          <w:szCs w:val="18"/>
          <w:lang w:bidi="ar-EG"/>
        </w:rPr>
        <w:t>1</w:t>
      </w:r>
      <w:r w:rsidR="00CE6727" w:rsidRPr="00C0161E">
        <w:rPr>
          <w:sz w:val="18"/>
          <w:szCs w:val="18"/>
          <w:rtl/>
          <w:lang w:bidi="ar-EG"/>
        </w:rPr>
        <w:t xml:space="preserve"> بالقرار </w:t>
      </w:r>
      <w:r w:rsidR="00CE6727">
        <w:rPr>
          <w:rFonts w:hint="cs"/>
          <w:sz w:val="18"/>
          <w:szCs w:val="18"/>
          <w:rtl/>
          <w:lang w:bidi="ar-EG"/>
        </w:rPr>
        <w:t xml:space="preserve">71 </w:t>
      </w:r>
      <w:r w:rsidR="00CE6727" w:rsidRPr="00C0161E">
        <w:rPr>
          <w:sz w:val="18"/>
          <w:szCs w:val="18"/>
          <w:rtl/>
          <w:lang w:bidi="ar-EG"/>
        </w:rPr>
        <w:t xml:space="preserve">(المراجَع في دبي، </w:t>
      </w:r>
      <w:r w:rsidR="00CE6727">
        <w:rPr>
          <w:sz w:val="18"/>
          <w:szCs w:val="18"/>
          <w:lang w:bidi="ar-EG"/>
        </w:rPr>
        <w:t>2018</w:t>
      </w:r>
      <w:r w:rsidR="00CE6727" w:rsidRPr="00C0161E">
        <w:rPr>
          <w:sz w:val="18"/>
          <w:szCs w:val="18"/>
          <w:rtl/>
          <w:lang w:bidi="ar-EG"/>
        </w:rPr>
        <w:t>) بشأن الخطة الاستراتيجية للاتحاد للفترة</w:t>
      </w:r>
      <w:r w:rsidR="00CE6727">
        <w:rPr>
          <w:rFonts w:hint="cs"/>
          <w:sz w:val="18"/>
          <w:szCs w:val="18"/>
          <w:rtl/>
        </w:rPr>
        <w:t xml:space="preserve"> </w:t>
      </w:r>
      <w:r w:rsidR="00CE6727">
        <w:rPr>
          <w:sz w:val="18"/>
          <w:szCs w:val="18"/>
          <w:lang w:val="en-GB"/>
        </w:rPr>
        <w:t>2023-2020</w:t>
      </w:r>
      <w:r w:rsidR="00CE6727" w:rsidRPr="00C0161E">
        <w:rPr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92E9" w14:textId="46297DEE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CWG-SFP-1\</w:t>
    </w:r>
    <w:r w:rsidR="006617A7">
      <w:rPr>
        <w:rFonts w:ascii="Calibri" w:eastAsia="Calibri" w:hAnsi="Calibri" w:cs="Arial"/>
        <w:noProof/>
        <w:sz w:val="18"/>
        <w:lang w:val="en-GB" w:eastAsia="en-US"/>
      </w:rPr>
      <w:t>9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A7"/>
    <w:rsid w:val="00036166"/>
    <w:rsid w:val="000371AB"/>
    <w:rsid w:val="00040DE0"/>
    <w:rsid w:val="000435BA"/>
    <w:rsid w:val="00063EA4"/>
    <w:rsid w:val="0006468A"/>
    <w:rsid w:val="0007088E"/>
    <w:rsid w:val="00082095"/>
    <w:rsid w:val="0008342A"/>
    <w:rsid w:val="00090574"/>
    <w:rsid w:val="000C1C0E"/>
    <w:rsid w:val="000C548A"/>
    <w:rsid w:val="000E0533"/>
    <w:rsid w:val="001A0976"/>
    <w:rsid w:val="001A23C9"/>
    <w:rsid w:val="001A5D75"/>
    <w:rsid w:val="001C0169"/>
    <w:rsid w:val="001D1D50"/>
    <w:rsid w:val="001D6745"/>
    <w:rsid w:val="001E1A0E"/>
    <w:rsid w:val="001E446E"/>
    <w:rsid w:val="001F7B35"/>
    <w:rsid w:val="002072AD"/>
    <w:rsid w:val="002154EE"/>
    <w:rsid w:val="00221990"/>
    <w:rsid w:val="002276D2"/>
    <w:rsid w:val="0023283D"/>
    <w:rsid w:val="00232D08"/>
    <w:rsid w:val="0024124F"/>
    <w:rsid w:val="0026373E"/>
    <w:rsid w:val="00271C43"/>
    <w:rsid w:val="00280D0B"/>
    <w:rsid w:val="00290728"/>
    <w:rsid w:val="0029451E"/>
    <w:rsid w:val="002978F4"/>
    <w:rsid w:val="002B028D"/>
    <w:rsid w:val="002E6541"/>
    <w:rsid w:val="00334924"/>
    <w:rsid w:val="003409BC"/>
    <w:rsid w:val="00357185"/>
    <w:rsid w:val="00383829"/>
    <w:rsid w:val="003A0882"/>
    <w:rsid w:val="003C00BE"/>
    <w:rsid w:val="003C6DA6"/>
    <w:rsid w:val="003E39B5"/>
    <w:rsid w:val="003F4B29"/>
    <w:rsid w:val="003F77BC"/>
    <w:rsid w:val="00410000"/>
    <w:rsid w:val="0042686F"/>
    <w:rsid w:val="004317D8"/>
    <w:rsid w:val="00434183"/>
    <w:rsid w:val="00443869"/>
    <w:rsid w:val="00447F32"/>
    <w:rsid w:val="004B0F47"/>
    <w:rsid w:val="004B226E"/>
    <w:rsid w:val="004D488F"/>
    <w:rsid w:val="004E11DC"/>
    <w:rsid w:val="00525DDD"/>
    <w:rsid w:val="005409AC"/>
    <w:rsid w:val="00546B1B"/>
    <w:rsid w:val="0055516A"/>
    <w:rsid w:val="00583415"/>
    <w:rsid w:val="0058491B"/>
    <w:rsid w:val="00592EA5"/>
    <w:rsid w:val="005A3170"/>
    <w:rsid w:val="005A391C"/>
    <w:rsid w:val="005B3C1F"/>
    <w:rsid w:val="005E6316"/>
    <w:rsid w:val="005F7FC4"/>
    <w:rsid w:val="006045A1"/>
    <w:rsid w:val="00641152"/>
    <w:rsid w:val="00646546"/>
    <w:rsid w:val="006617A7"/>
    <w:rsid w:val="00677396"/>
    <w:rsid w:val="0069200F"/>
    <w:rsid w:val="006A65CB"/>
    <w:rsid w:val="006B239D"/>
    <w:rsid w:val="006C3242"/>
    <w:rsid w:val="006C7CC0"/>
    <w:rsid w:val="006F63F7"/>
    <w:rsid w:val="007025C7"/>
    <w:rsid w:val="00706D7A"/>
    <w:rsid w:val="00722F0D"/>
    <w:rsid w:val="00726B5C"/>
    <w:rsid w:val="0074420E"/>
    <w:rsid w:val="00783E26"/>
    <w:rsid w:val="00786FE5"/>
    <w:rsid w:val="007C3BC7"/>
    <w:rsid w:val="007C3BCD"/>
    <w:rsid w:val="007D4ACF"/>
    <w:rsid w:val="007E2DCA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27B0"/>
    <w:rsid w:val="0091702E"/>
    <w:rsid w:val="00923B0C"/>
    <w:rsid w:val="0094021C"/>
    <w:rsid w:val="00944EE7"/>
    <w:rsid w:val="00952F86"/>
    <w:rsid w:val="00982B28"/>
    <w:rsid w:val="00987BB3"/>
    <w:rsid w:val="009D313F"/>
    <w:rsid w:val="009D4913"/>
    <w:rsid w:val="009E1D5E"/>
    <w:rsid w:val="009E4381"/>
    <w:rsid w:val="00A3458D"/>
    <w:rsid w:val="00A36F63"/>
    <w:rsid w:val="00A47A5A"/>
    <w:rsid w:val="00A620E4"/>
    <w:rsid w:val="00A6683B"/>
    <w:rsid w:val="00A97F94"/>
    <w:rsid w:val="00AA3600"/>
    <w:rsid w:val="00AA7EA2"/>
    <w:rsid w:val="00AB26D9"/>
    <w:rsid w:val="00AF7DD2"/>
    <w:rsid w:val="00B03099"/>
    <w:rsid w:val="00B0406F"/>
    <w:rsid w:val="00B05BC8"/>
    <w:rsid w:val="00B40647"/>
    <w:rsid w:val="00B623A2"/>
    <w:rsid w:val="00B6297A"/>
    <w:rsid w:val="00B64B47"/>
    <w:rsid w:val="00B72BDB"/>
    <w:rsid w:val="00BB4EE4"/>
    <w:rsid w:val="00BD06E6"/>
    <w:rsid w:val="00C002DE"/>
    <w:rsid w:val="00C0161E"/>
    <w:rsid w:val="00C53BF8"/>
    <w:rsid w:val="00C66157"/>
    <w:rsid w:val="00C674FE"/>
    <w:rsid w:val="00C67501"/>
    <w:rsid w:val="00C7186C"/>
    <w:rsid w:val="00C75633"/>
    <w:rsid w:val="00C76DE9"/>
    <w:rsid w:val="00CA4E4E"/>
    <w:rsid w:val="00CC272B"/>
    <w:rsid w:val="00CE2EE1"/>
    <w:rsid w:val="00CE3349"/>
    <w:rsid w:val="00CE36E5"/>
    <w:rsid w:val="00CE4252"/>
    <w:rsid w:val="00CE6727"/>
    <w:rsid w:val="00CF27F5"/>
    <w:rsid w:val="00CF3FFD"/>
    <w:rsid w:val="00D10CCF"/>
    <w:rsid w:val="00D55607"/>
    <w:rsid w:val="00D721DB"/>
    <w:rsid w:val="00D73F2C"/>
    <w:rsid w:val="00D77D0F"/>
    <w:rsid w:val="00DA1CF0"/>
    <w:rsid w:val="00DB568A"/>
    <w:rsid w:val="00DB71C9"/>
    <w:rsid w:val="00DC1E02"/>
    <w:rsid w:val="00DC24B4"/>
    <w:rsid w:val="00DC5FB0"/>
    <w:rsid w:val="00DC75A9"/>
    <w:rsid w:val="00DE3312"/>
    <w:rsid w:val="00DF16DC"/>
    <w:rsid w:val="00E33CAB"/>
    <w:rsid w:val="00E45211"/>
    <w:rsid w:val="00E473C5"/>
    <w:rsid w:val="00E74809"/>
    <w:rsid w:val="00E92863"/>
    <w:rsid w:val="00EB796D"/>
    <w:rsid w:val="00EC15BF"/>
    <w:rsid w:val="00ED4C70"/>
    <w:rsid w:val="00F058DC"/>
    <w:rsid w:val="00F24FC4"/>
    <w:rsid w:val="00F2676C"/>
    <w:rsid w:val="00F30CC5"/>
    <w:rsid w:val="00F352F7"/>
    <w:rsid w:val="00F47C88"/>
    <w:rsid w:val="00F84366"/>
    <w:rsid w:val="00F85089"/>
    <w:rsid w:val="00F974C5"/>
    <w:rsid w:val="00FA6F46"/>
    <w:rsid w:val="00FA71FC"/>
    <w:rsid w:val="00FC4592"/>
    <w:rsid w:val="00FD065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08CF56"/>
  <w15:chartTrackingRefBased/>
  <w15:docId w15:val="{040F773A-8F1B-4633-86D5-DAA110B4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inhuanet.com/politics/leaders/2020-09/15/c_1126493059.htm" TargetMode="External"/><Relationship Id="rId2" Type="http://schemas.openxmlformats.org/officeDocument/2006/relationships/hyperlink" Target="https://www.itu.int/en/ITU-D/Conferences/GSR/2020/Documents/GSR-20_Best-Practice-Guidelines_Final_C.pdf" TargetMode="External"/><Relationship Id="rId1" Type="http://schemas.openxmlformats.org/officeDocument/2006/relationships/hyperlink" Target="https://www.itu.int/zh/action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4624</Characters>
  <Application>Microsoft Office Word</Application>
  <DocSecurity>4</DocSecurity>
  <Lines>192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People’s Republic of China-Recommendations to Include Leveraging Existing High-level International Meeting Platforms to Promote Global Consensus on Digital Governance in the Inter-sectoral Objectives of ITU Strategic Plan for 2024-2027</dc:title>
  <dc:subject>Counciil Working Group for Strategic and Financial Plans 2024-2027</dc:subject>
  <dc:creator>Almidani, Ahmad Alaa</dc:creator>
  <cp:keywords>CWG-SFP, CWG, CWGs &amp; EGs</cp:keywords>
  <dc:description/>
  <cp:lastModifiedBy>Xue, Kun</cp:lastModifiedBy>
  <cp:revision>2</cp:revision>
  <dcterms:created xsi:type="dcterms:W3CDTF">2021-09-20T20:46:00Z</dcterms:created>
  <dcterms:modified xsi:type="dcterms:W3CDTF">2021-09-20T20:46:00Z</dcterms:modified>
</cp:coreProperties>
</file>