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946"/>
        <w:gridCol w:w="2891"/>
      </w:tblGrid>
      <w:tr w:rsidR="00923A1B" w14:paraId="1BA6AB20" w14:textId="77777777" w:rsidTr="008F788A">
        <w:trPr>
          <w:cantSplit/>
          <w:trHeight w:val="851"/>
        </w:trPr>
        <w:tc>
          <w:tcPr>
            <w:tcW w:w="6946" w:type="dxa"/>
            <w:vAlign w:val="center"/>
          </w:tcPr>
          <w:p w14:paraId="725EBB16" w14:textId="44310D64" w:rsidR="00923A1B" w:rsidRPr="003370ED" w:rsidRDefault="004C11BC" w:rsidP="00D412C7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 w:rsidRPr="004A0E9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2024–2027 годы</w:t>
            </w:r>
            <w:r w:rsidR="003370ED">
              <w:rPr>
                <w:rFonts w:cs="Times"/>
                <w:b/>
                <w:sz w:val="30"/>
                <w:szCs w:val="30"/>
              </w:rPr>
              <w:br/>
            </w:r>
            <w:r w:rsidRPr="004A0E93">
              <w:rPr>
                <w:rFonts w:eastAsia="Calibri" w:cs="Calibri"/>
                <w:b/>
                <w:color w:val="000000"/>
                <w:szCs w:val="24"/>
                <w:lang w:val="ru-RU"/>
              </w:rPr>
              <w:t>Первое собрание – Виртуальное собрание, 29–30 сентября 2021 года</w:t>
            </w:r>
          </w:p>
        </w:tc>
        <w:tc>
          <w:tcPr>
            <w:tcW w:w="2891" w:type="dxa"/>
            <w:vAlign w:val="center"/>
          </w:tcPr>
          <w:p w14:paraId="373C3414" w14:textId="77777777" w:rsidR="00923A1B" w:rsidRDefault="00B36E39" w:rsidP="000950D1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</w:rPr>
              <w:drawing>
                <wp:inline distT="0" distB="0" distL="0" distR="0" wp14:anchorId="322B3A0D" wp14:editId="3F5ECE27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A1B" w:rsidRPr="00F5094D" w14:paraId="2DE1D477" w14:textId="77777777" w:rsidTr="008F788A">
        <w:trPr>
          <w:cantSplit/>
          <w:trHeight w:val="138"/>
        </w:trPr>
        <w:tc>
          <w:tcPr>
            <w:tcW w:w="6946" w:type="dxa"/>
            <w:tcBorders>
              <w:top w:val="single" w:sz="12" w:space="0" w:color="auto"/>
            </w:tcBorders>
          </w:tcPr>
          <w:p w14:paraId="63FFA584" w14:textId="77777777" w:rsidR="00923A1B" w:rsidRDefault="00923A1B" w:rsidP="0025471D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2891" w:type="dxa"/>
            <w:tcBorders>
              <w:top w:val="single" w:sz="12" w:space="0" w:color="auto"/>
            </w:tcBorders>
          </w:tcPr>
          <w:p w14:paraId="617DB050" w14:textId="77777777" w:rsidR="00923A1B" w:rsidRPr="00F5094D" w:rsidRDefault="00923A1B" w:rsidP="0025471D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923A1B" w:rsidRPr="00D30768" w14:paraId="38544AD0" w14:textId="77777777" w:rsidTr="008F788A">
        <w:trPr>
          <w:cantSplit/>
          <w:trHeight w:val="138"/>
        </w:trPr>
        <w:tc>
          <w:tcPr>
            <w:tcW w:w="6946" w:type="dxa"/>
          </w:tcPr>
          <w:p w14:paraId="4BA0A62E" w14:textId="77777777" w:rsidR="00923A1B" w:rsidRPr="002238C4" w:rsidRDefault="00923A1B" w:rsidP="0025471D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1" w:type="dxa"/>
          </w:tcPr>
          <w:p w14:paraId="6D142174" w14:textId="327714E8" w:rsidR="00923A1B" w:rsidRPr="00D30768" w:rsidRDefault="008F788A" w:rsidP="00877393">
            <w:pPr>
              <w:spacing w:after="0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 w:rsidRPr="008F788A">
              <w:rPr>
                <w:b/>
                <w:bCs/>
                <w:sz w:val="24"/>
                <w:szCs w:val="24"/>
                <w:lang w:val="fr-CH"/>
              </w:rPr>
              <w:t>Документ</w:t>
            </w:r>
            <w:proofErr w:type="spellEnd"/>
            <w:r w:rsidRPr="008F788A">
              <w:rPr>
                <w:b/>
                <w:bCs/>
                <w:sz w:val="24"/>
                <w:szCs w:val="24"/>
                <w:lang w:val="fr-CH"/>
              </w:rPr>
              <w:t xml:space="preserve"> CWG-SFP-1/</w:t>
            </w:r>
            <w:r>
              <w:rPr>
                <w:b/>
                <w:bCs/>
                <w:sz w:val="24"/>
                <w:szCs w:val="24"/>
                <w:lang w:val="fr-CH"/>
              </w:rPr>
              <w:t>8</w:t>
            </w:r>
            <w:r w:rsidRPr="008F788A">
              <w:rPr>
                <w:b/>
                <w:bCs/>
                <w:sz w:val="24"/>
                <w:szCs w:val="24"/>
                <w:lang w:val="fr-CH"/>
              </w:rPr>
              <w:t>-R</w:t>
            </w:r>
          </w:p>
        </w:tc>
      </w:tr>
      <w:tr w:rsidR="00E854F1" w:rsidRPr="003737DE" w14:paraId="76706AA6" w14:textId="77777777" w:rsidTr="008F788A">
        <w:trPr>
          <w:cantSplit/>
          <w:trHeight w:val="138"/>
        </w:trPr>
        <w:tc>
          <w:tcPr>
            <w:tcW w:w="6946" w:type="dxa"/>
          </w:tcPr>
          <w:p w14:paraId="14C6E827" w14:textId="77777777" w:rsidR="00E854F1" w:rsidRPr="00D30768" w:rsidRDefault="00E854F1" w:rsidP="00E854F1">
            <w:pPr>
              <w:shd w:val="solid" w:color="FFFFFF" w:fill="FFFFFF"/>
              <w:spacing w:after="0"/>
              <w:ind w:right="284"/>
              <w:rPr>
                <w:lang w:val="fr-CH"/>
              </w:rPr>
            </w:pPr>
          </w:p>
        </w:tc>
        <w:tc>
          <w:tcPr>
            <w:tcW w:w="2891" w:type="dxa"/>
          </w:tcPr>
          <w:p w14:paraId="2DC4EACC" w14:textId="50F3EB91" w:rsidR="00E854F1" w:rsidRPr="00E854F1" w:rsidRDefault="00E854F1" w:rsidP="00E854F1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r w:rsidRPr="00E854F1">
              <w:rPr>
                <w:b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E854F1">
              <w:rPr>
                <w:b/>
                <w:sz w:val="24"/>
                <w:szCs w:val="24"/>
                <w:lang w:val="en-US"/>
              </w:rPr>
              <w:t>сентября</w:t>
            </w:r>
            <w:proofErr w:type="spellEnd"/>
            <w:r w:rsidRPr="00E854F1">
              <w:rPr>
                <w:b/>
                <w:sz w:val="24"/>
                <w:szCs w:val="24"/>
                <w:lang w:val="en-US"/>
              </w:rPr>
              <w:t xml:space="preserve"> 2021 </w:t>
            </w:r>
            <w:proofErr w:type="spellStart"/>
            <w:r w:rsidRPr="00E854F1">
              <w:rPr>
                <w:b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E854F1" w:rsidRPr="003737DE" w14:paraId="6E76302A" w14:textId="77777777" w:rsidTr="008F788A">
        <w:trPr>
          <w:cantSplit/>
          <w:trHeight w:val="138"/>
        </w:trPr>
        <w:tc>
          <w:tcPr>
            <w:tcW w:w="6946" w:type="dxa"/>
          </w:tcPr>
          <w:p w14:paraId="51B85AA4" w14:textId="77777777" w:rsidR="00E854F1" w:rsidRDefault="00E854F1" w:rsidP="00E854F1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2891" w:type="dxa"/>
          </w:tcPr>
          <w:p w14:paraId="287A14A1" w14:textId="12A4F560" w:rsidR="00E854F1" w:rsidRPr="00E854F1" w:rsidRDefault="00E854F1" w:rsidP="00E854F1">
            <w:pPr>
              <w:tabs>
                <w:tab w:val="left" w:pos="851"/>
              </w:tabs>
              <w:spacing w:after="0"/>
              <w:ind w:right="284"/>
              <w:rPr>
                <w:b/>
                <w:sz w:val="24"/>
                <w:szCs w:val="24"/>
              </w:rPr>
            </w:pPr>
            <w:proofErr w:type="spellStart"/>
            <w:r w:rsidRPr="00E854F1">
              <w:rPr>
                <w:b/>
                <w:sz w:val="24"/>
                <w:szCs w:val="24"/>
                <w:lang w:val="en-US"/>
              </w:rPr>
              <w:t>Оригинал</w:t>
            </w:r>
            <w:proofErr w:type="spellEnd"/>
            <w:r w:rsidRPr="00E854F1">
              <w:rPr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E854F1">
              <w:rPr>
                <w:b/>
                <w:sz w:val="24"/>
                <w:szCs w:val="24"/>
                <w:lang w:val="en-US"/>
              </w:rPr>
              <w:t>русский</w:t>
            </w:r>
            <w:proofErr w:type="spellEnd"/>
          </w:p>
        </w:tc>
      </w:tr>
    </w:tbl>
    <w:p w14:paraId="4722A6A1" w14:textId="77777777" w:rsidR="000854C6" w:rsidRDefault="000854C6" w:rsidP="003370ED">
      <w:pPr>
        <w:tabs>
          <w:tab w:val="right" w:pos="8789"/>
        </w:tabs>
        <w:spacing w:before="120" w:line="240" w:lineRule="auto"/>
        <w:rPr>
          <w:sz w:val="24"/>
          <w:szCs w:val="24"/>
        </w:rPr>
      </w:pPr>
    </w:p>
    <w:p w14:paraId="175F5392" w14:textId="77777777" w:rsidR="00877393" w:rsidRPr="00E544AC" w:rsidRDefault="00877393" w:rsidP="00877393">
      <w:pPr>
        <w:rPr>
          <w:b/>
        </w:rPr>
      </w:pPr>
    </w:p>
    <w:p w14:paraId="3F15BCCA" w14:textId="77777777" w:rsidR="00877393" w:rsidRDefault="00877393" w:rsidP="00534B7F">
      <w:pPr>
        <w:spacing w:line="240" w:lineRule="auto"/>
        <w:jc w:val="center"/>
        <w:rPr>
          <w:b/>
        </w:rPr>
      </w:pPr>
    </w:p>
    <w:p w14:paraId="60CD437E" w14:textId="77777777" w:rsidR="00534B7F" w:rsidRDefault="00534B7F" w:rsidP="00534B7F">
      <w:pPr>
        <w:spacing w:line="240" w:lineRule="auto"/>
        <w:jc w:val="center"/>
        <w:rPr>
          <w:b/>
          <w:sz w:val="28"/>
        </w:rPr>
      </w:pPr>
      <w:proofErr w:type="spellStart"/>
      <w:r w:rsidRPr="00534B7F">
        <w:rPr>
          <w:b/>
          <w:sz w:val="28"/>
        </w:rPr>
        <w:t>Вклад</w:t>
      </w:r>
      <w:proofErr w:type="spellEnd"/>
      <w:r w:rsidRPr="00534B7F">
        <w:rPr>
          <w:b/>
          <w:sz w:val="28"/>
        </w:rPr>
        <w:t xml:space="preserve"> </w:t>
      </w:r>
      <w:proofErr w:type="spellStart"/>
      <w:r w:rsidRPr="00534B7F">
        <w:rPr>
          <w:b/>
          <w:sz w:val="28"/>
        </w:rPr>
        <w:t>Российской</w:t>
      </w:r>
      <w:proofErr w:type="spellEnd"/>
      <w:r w:rsidRPr="00534B7F">
        <w:rPr>
          <w:b/>
          <w:sz w:val="28"/>
        </w:rPr>
        <w:t xml:space="preserve"> </w:t>
      </w:r>
      <w:proofErr w:type="spellStart"/>
      <w:r w:rsidRPr="00534B7F">
        <w:rPr>
          <w:b/>
          <w:sz w:val="28"/>
        </w:rPr>
        <w:t>Федерации</w:t>
      </w:r>
      <w:proofErr w:type="spellEnd"/>
    </w:p>
    <w:p w14:paraId="01F658A1" w14:textId="481E5015" w:rsidR="00877393" w:rsidRDefault="00534B7F" w:rsidP="00534B7F">
      <w:pPr>
        <w:spacing w:line="240" w:lineRule="auto"/>
        <w:jc w:val="center"/>
        <w:rPr>
          <w:bCs/>
          <w:sz w:val="28"/>
          <w:szCs w:val="28"/>
        </w:rPr>
      </w:pPr>
      <w:proofErr w:type="spellStart"/>
      <w:r w:rsidRPr="00534B7F">
        <w:rPr>
          <w:bCs/>
          <w:sz w:val="28"/>
          <w:szCs w:val="28"/>
        </w:rPr>
        <w:t>Предложения</w:t>
      </w:r>
      <w:proofErr w:type="spellEnd"/>
      <w:r w:rsidRPr="00534B7F">
        <w:rPr>
          <w:bCs/>
          <w:sz w:val="28"/>
          <w:szCs w:val="28"/>
        </w:rPr>
        <w:t xml:space="preserve"> </w:t>
      </w:r>
      <w:proofErr w:type="spellStart"/>
      <w:r w:rsidRPr="00534B7F">
        <w:rPr>
          <w:bCs/>
          <w:sz w:val="28"/>
          <w:szCs w:val="28"/>
        </w:rPr>
        <w:t>России</w:t>
      </w:r>
      <w:proofErr w:type="spellEnd"/>
      <w:r w:rsidRPr="00534B7F">
        <w:rPr>
          <w:bCs/>
          <w:sz w:val="28"/>
          <w:szCs w:val="28"/>
        </w:rPr>
        <w:t xml:space="preserve"> </w:t>
      </w:r>
      <w:proofErr w:type="spellStart"/>
      <w:r w:rsidRPr="00534B7F">
        <w:rPr>
          <w:bCs/>
          <w:sz w:val="28"/>
          <w:szCs w:val="28"/>
        </w:rPr>
        <w:t>по</w:t>
      </w:r>
      <w:proofErr w:type="spellEnd"/>
      <w:r w:rsidRPr="00534B7F">
        <w:rPr>
          <w:bCs/>
          <w:sz w:val="28"/>
          <w:szCs w:val="28"/>
        </w:rPr>
        <w:t xml:space="preserve"> </w:t>
      </w:r>
      <w:proofErr w:type="spellStart"/>
      <w:r w:rsidRPr="00534B7F">
        <w:rPr>
          <w:bCs/>
          <w:sz w:val="28"/>
          <w:szCs w:val="28"/>
        </w:rPr>
        <w:t>вопросам</w:t>
      </w:r>
      <w:proofErr w:type="spellEnd"/>
      <w:r w:rsidRPr="00534B7F">
        <w:rPr>
          <w:bCs/>
          <w:sz w:val="28"/>
          <w:szCs w:val="28"/>
        </w:rPr>
        <w:t xml:space="preserve"> </w:t>
      </w:r>
      <w:proofErr w:type="spellStart"/>
      <w:r w:rsidRPr="00534B7F">
        <w:rPr>
          <w:bCs/>
          <w:sz w:val="28"/>
          <w:szCs w:val="28"/>
        </w:rPr>
        <w:t>совершенствования</w:t>
      </w:r>
      <w:proofErr w:type="spellEnd"/>
      <w:r w:rsidRPr="00534B7F">
        <w:rPr>
          <w:bCs/>
          <w:sz w:val="28"/>
          <w:szCs w:val="28"/>
        </w:rPr>
        <w:t xml:space="preserve"> </w:t>
      </w:r>
      <w:proofErr w:type="spellStart"/>
      <w:r w:rsidRPr="00534B7F">
        <w:rPr>
          <w:bCs/>
          <w:sz w:val="28"/>
          <w:szCs w:val="28"/>
        </w:rPr>
        <w:t>стратегического</w:t>
      </w:r>
      <w:proofErr w:type="spellEnd"/>
      <w:r w:rsidRPr="00534B7F">
        <w:rPr>
          <w:bCs/>
          <w:sz w:val="28"/>
          <w:szCs w:val="28"/>
        </w:rPr>
        <w:t xml:space="preserve"> </w:t>
      </w:r>
      <w:proofErr w:type="spellStart"/>
      <w:r w:rsidRPr="00534B7F">
        <w:rPr>
          <w:bCs/>
          <w:sz w:val="28"/>
          <w:szCs w:val="28"/>
        </w:rPr>
        <w:t>плана</w:t>
      </w:r>
      <w:proofErr w:type="spellEnd"/>
      <w:r w:rsidRPr="00534B7F">
        <w:rPr>
          <w:bCs/>
          <w:sz w:val="28"/>
          <w:szCs w:val="28"/>
        </w:rPr>
        <w:t xml:space="preserve"> МСЭ </w:t>
      </w:r>
      <w:proofErr w:type="spellStart"/>
      <w:r w:rsidRPr="00534B7F">
        <w:rPr>
          <w:bCs/>
          <w:sz w:val="28"/>
          <w:szCs w:val="28"/>
        </w:rPr>
        <w:t>на</w:t>
      </w:r>
      <w:proofErr w:type="spellEnd"/>
      <w:r w:rsidRPr="00534B7F">
        <w:rPr>
          <w:bCs/>
          <w:sz w:val="28"/>
          <w:szCs w:val="28"/>
        </w:rPr>
        <w:t xml:space="preserve"> </w:t>
      </w:r>
      <w:proofErr w:type="spellStart"/>
      <w:r w:rsidRPr="00534B7F">
        <w:rPr>
          <w:bCs/>
          <w:sz w:val="28"/>
          <w:szCs w:val="28"/>
        </w:rPr>
        <w:t>период</w:t>
      </w:r>
      <w:proofErr w:type="spellEnd"/>
      <w:r w:rsidRPr="00534B7F">
        <w:rPr>
          <w:bCs/>
          <w:sz w:val="28"/>
          <w:szCs w:val="28"/>
        </w:rPr>
        <w:t xml:space="preserve"> 2024-2027 </w:t>
      </w:r>
      <w:proofErr w:type="spellStart"/>
      <w:r w:rsidRPr="00534B7F">
        <w:rPr>
          <w:bCs/>
          <w:sz w:val="28"/>
          <w:szCs w:val="28"/>
        </w:rPr>
        <w:t>гг</w:t>
      </w:r>
      <w:proofErr w:type="spellEnd"/>
      <w:r w:rsidRPr="00534B7F">
        <w:rPr>
          <w:bCs/>
          <w:sz w:val="28"/>
          <w:szCs w:val="28"/>
        </w:rPr>
        <w:t>.</w:t>
      </w:r>
    </w:p>
    <w:p w14:paraId="3E1ED2E0" w14:textId="77777777" w:rsidR="00534B7F" w:rsidRPr="00534B7F" w:rsidRDefault="00534B7F" w:rsidP="00534B7F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360" w:after="12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ru-RU" w:eastAsia="en-US"/>
        </w:rPr>
      </w:pPr>
      <w:r w:rsidRPr="00534B7F">
        <w:rPr>
          <w:rFonts w:ascii="Calibri" w:eastAsia="Times New Roman" w:hAnsi="Calibri" w:cs="Times New Roman"/>
          <w:b/>
          <w:bCs/>
          <w:sz w:val="24"/>
          <w:szCs w:val="24"/>
          <w:lang w:val="ru-RU" w:eastAsia="en-US"/>
        </w:rPr>
        <w:t>Введение</w:t>
      </w:r>
    </w:p>
    <w:p w14:paraId="3F8CB883" w14:textId="77777777" w:rsidR="00534B7F" w:rsidRPr="00534B7F" w:rsidRDefault="00534B7F" w:rsidP="00DA16C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Calibri" w:eastAsia="Calibri" w:hAnsi="Calibri" w:cs="Times New Roman"/>
          <w:sz w:val="24"/>
          <w:szCs w:val="24"/>
          <w:lang w:val="ru-RU" w:eastAsia="en-US"/>
        </w:rPr>
      </w:pPr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t>При формировании проектов стратегического плана (СП) и финансового плана (ФП) МСЭ следует, прежде всего, исходить из мандата МСЭ, зафиксированного в его уставных документах (Уставе и Конвенции), потребностей его членов и тенденций, складывающихся во внешней среде сферы электросвязи/ИКТ. Но во внимание также должны приниматься цели и задачи развития Организации Объединенных Наций (ООН), рекомендации ОИГ ООН в области стратегического планирования, так как МСЭ является специализированным агентством ООН в области электросвязи и информационно-коммуникационных технологий (ИКТ), занимающим активные позиции в ее деятельности. Общепризнана роль электросвязи/ИКТ в достижении целей устойчивого развития (ЦУР) и ВВУИО.</w:t>
      </w:r>
      <w:r w:rsidRPr="00534B7F">
        <w:rPr>
          <w:rFonts w:ascii="Calibri" w:eastAsia="Calibri" w:hAnsi="Calibri" w:cs="Times New Roman"/>
          <w:sz w:val="24"/>
          <w:szCs w:val="24"/>
          <w:lang w:val="ru-RU" w:eastAsia="en-US"/>
        </w:rPr>
        <w:t xml:space="preserve"> </w:t>
      </w:r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t>А скоординированные и взаимодополняющие усилия МСЭ и его секторов позволяют охватить больше Государств-Членов при большей степени воздействия, с тем чтобы сократить цифровой разрыв и разрыв в стандартизации, а также способствовать улучшению управления использованием спектра.</w:t>
      </w:r>
      <w:r w:rsidRPr="00534B7F">
        <w:rPr>
          <w:rFonts w:ascii="Calibri" w:eastAsia="Calibri" w:hAnsi="Calibri" w:cs="Times New Roman"/>
          <w:sz w:val="24"/>
          <w:szCs w:val="24"/>
          <w:lang w:val="ru-RU" w:eastAsia="en-US"/>
        </w:rPr>
        <w:t xml:space="preserve"> </w:t>
      </w:r>
    </w:p>
    <w:p w14:paraId="148F4AF7" w14:textId="77777777" w:rsidR="00534B7F" w:rsidRPr="00534B7F" w:rsidRDefault="00534B7F" w:rsidP="00DA16C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ru-RU" w:eastAsia="en-US"/>
        </w:rPr>
      </w:pPr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t>Формирование СП МСЭ предполагает решение многих проблем, связанных с выявлением драйверов этих проблем и вновь складывающихся обстоятельств и тенденций. Некоторые из них лежат на поверхности, их достаточно легко идентифицировать. Другие ‒ не столь очевидны или совершенно неизвестны. Естественно, что на их идентификацию, понимание сути и возможности/целесообразности учета при подготовке СП, при формулировании целей и задач, как средств достижения целей, тратятся временные, финансовые и людские ресурсы, поэтому при формировании каждого нового СП следует использовать позитивный накопленный опыт и обеспечивать преемственность стратегических планов. При этом в любом случае основным ориентиром для формирования СП МСЭ является его мандат, т.е. его уставная деятельность.</w:t>
      </w:r>
    </w:p>
    <w:p w14:paraId="583BA33F" w14:textId="77777777" w:rsidR="00534B7F" w:rsidRPr="00534B7F" w:rsidRDefault="00534B7F" w:rsidP="00DA16C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ru-RU" w:eastAsia="en-US"/>
        </w:rPr>
      </w:pPr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t>МСЭ следует вновь подтвердить общую глобальную концепцию развития сектора электросвязи/ИКТ в рамках повестки дня «Соединим к 2030 году», предусматривающей построение «информационного общества, возможности которого расширяются благодаря взаимосвязанному миру, где электросвязь/ИКТ делают возможным и ускоряют социальный, экономический и экологически устойчивый рост и развитие для всех».</w:t>
      </w:r>
    </w:p>
    <w:p w14:paraId="02F2869A" w14:textId="77777777" w:rsidR="00534B7F" w:rsidRPr="00534B7F" w:rsidRDefault="00534B7F" w:rsidP="00DA16C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ru-RU" w:eastAsia="en-US"/>
        </w:rPr>
      </w:pPr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lastRenderedPageBreak/>
        <w:t xml:space="preserve">Признавая мандат, текущую деятельность и программы Союза, методический аппарат/инструментарий стратегического планирования МСЭ, а также необходимость четкого понимания МСЭ и его Членами целей, задач и способов их достижения в стратегической перспективе, Российская Федерация предлагает свое общее видение направлений и способов совершенствования стратегического плана МСЭ, которые изложены в разделе </w:t>
      </w:r>
      <w:r w:rsidRPr="00534B7F">
        <w:rPr>
          <w:rFonts w:ascii="Calibri" w:eastAsia="Times New Roman" w:hAnsi="Calibri" w:cs="Times New Roman"/>
          <w:i/>
          <w:sz w:val="24"/>
          <w:szCs w:val="24"/>
          <w:lang w:val="ru-RU" w:eastAsia="en-US"/>
        </w:rPr>
        <w:t>Предложения</w:t>
      </w:r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t xml:space="preserve"> ниже.</w:t>
      </w:r>
    </w:p>
    <w:p w14:paraId="2D2265D6" w14:textId="77777777" w:rsidR="00534B7F" w:rsidRPr="00534B7F" w:rsidRDefault="00534B7F" w:rsidP="00534B7F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adjustRightInd w:val="0"/>
        <w:spacing w:before="360" w:after="120" w:line="240" w:lineRule="auto"/>
        <w:ind w:firstLine="567"/>
        <w:jc w:val="both"/>
        <w:textAlignment w:val="baseline"/>
        <w:rPr>
          <w:rFonts w:ascii="Calibri" w:eastAsia="Calibri" w:hAnsi="Calibri" w:cs="Times New Roman"/>
          <w:sz w:val="24"/>
          <w:szCs w:val="24"/>
          <w:lang w:val="ru-RU" w:eastAsia="en-US"/>
        </w:rPr>
      </w:pPr>
      <w:r w:rsidRPr="00534B7F">
        <w:rPr>
          <w:rFonts w:ascii="Calibri" w:eastAsia="Times New Roman" w:hAnsi="Calibri" w:cs="Times New Roman"/>
          <w:b/>
          <w:bCs/>
          <w:sz w:val="24"/>
          <w:szCs w:val="24"/>
          <w:lang w:val="ru-RU" w:eastAsia="en-US"/>
        </w:rPr>
        <w:t>Предложения:</w:t>
      </w:r>
      <w:r w:rsidRPr="00534B7F">
        <w:rPr>
          <w:rFonts w:ascii="Calibri" w:eastAsia="Calibri" w:hAnsi="Calibri" w:cs="Times New Roman"/>
          <w:sz w:val="24"/>
          <w:szCs w:val="24"/>
          <w:lang w:val="ru-RU" w:eastAsia="en-US"/>
        </w:rPr>
        <w:t xml:space="preserve"> </w:t>
      </w:r>
    </w:p>
    <w:p w14:paraId="1BA99CD0" w14:textId="77777777" w:rsidR="00534B7F" w:rsidRPr="00534B7F" w:rsidRDefault="00534B7F" w:rsidP="00DA16C5">
      <w:pPr>
        <w:numPr>
          <w:ilvl w:val="0"/>
          <w:numId w:val="2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0" w:firstLine="567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ru-RU" w:eastAsia="en-US"/>
        </w:rPr>
      </w:pPr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t>Сопоставление пяти стратегических целей действующего СП МСЭ на 2020-2023 гг. и целей, содержащихся в Статье 1 Устава, показало их общее концептуальное единство, что МСЭ в целом придерживается своего мандата, хотя полного соответствия в формулировках целей не прослеживается, так как время вносит свои коррективы в планы. Пять общих стратегических целей СП 2020-2023 гг. могут быть сохранены в СП на 2024-2027 гг., что, кроме прочего, позволит обеспечить преемственность в деятельности МСЭ в долгосрочной перспективе.</w:t>
      </w:r>
    </w:p>
    <w:p w14:paraId="54F1886A" w14:textId="77777777" w:rsidR="00534B7F" w:rsidRPr="00534B7F" w:rsidRDefault="00534B7F" w:rsidP="00DA16C5">
      <w:pPr>
        <w:numPr>
          <w:ilvl w:val="0"/>
          <w:numId w:val="2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0" w:firstLine="567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ru-RU" w:eastAsia="en-US"/>
        </w:rPr>
      </w:pPr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t>Стратегический план не должен быть слишком объёмным и чрезмерно детализированным, что не только затрудняет прочтение, анализ и контроль его исполнения, но уравнивает главные направления деятельности МСЭ со второстепенными и приводит к распылению ресурсов. Не следует включать в стратегический план МСЭ направления деятельности и задачи, не обеспеченные финансированием.</w:t>
      </w:r>
    </w:p>
    <w:p w14:paraId="510B34D5" w14:textId="77777777" w:rsidR="00534B7F" w:rsidRPr="00534B7F" w:rsidRDefault="00534B7F" w:rsidP="00DA16C5">
      <w:pPr>
        <w:numPr>
          <w:ilvl w:val="0"/>
          <w:numId w:val="2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0" w:firstLine="567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ru-RU" w:eastAsia="en-US"/>
        </w:rPr>
      </w:pPr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t>Достижение целей и решение задач, определенных в Основных документах Союза, невозможно без учета изменений происходящих в электросвязи/ИКТ, экономике и обществе. В связи с этим на планируемый период предлагается следующая формулировка Миссии МСЭ: «Поддержание и расширение мирных связей, международного сотрудничества и социально-экономического развития народов с помощью эффективно действующей и доступной всем электросвязи/ИКТ путем обеспечения лидирующей роли МСЭ в этом направлении».</w:t>
      </w:r>
    </w:p>
    <w:p w14:paraId="35F69F8E" w14:textId="77777777" w:rsidR="00534B7F" w:rsidRPr="00534B7F" w:rsidRDefault="00534B7F" w:rsidP="00DA16C5">
      <w:pPr>
        <w:numPr>
          <w:ilvl w:val="0"/>
          <w:numId w:val="2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0" w:firstLine="567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ru-RU" w:eastAsia="en-US"/>
        </w:rPr>
      </w:pPr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t>В стратегическом плане МСЭ следует сосредоточиться на задачах и функциях, способствующих достижению стратегических целей Союза как ведущего агентства системы ООН по вопросам электросвязи/ИКТ. При этом, «Целевые показатели Союза» (как результаты долгосрочного воздействия работы МСЭ на все стороны жизни общества), могут служить указанием на прогресс в достижении стратегических целей Союза, но одновременно они должны быть увязаны с ЦУР, так как в соответствии с Резолюцией 71, замысел таких целевых показателей состоит в том, чтобы задавать направление, на котором Союзу следует сосредоточить свое внимание, и претворять в жизнь концепцию МСЭ в отношении взаимосвязанного мира. В связи с этим Раздел 3 действующего СП МСЭ должен быть существенно сокращен или даже удален, так как он слишком перегружен, а релевантная информация из него должна найти отражение в разделе «Целевые показатели».</w:t>
      </w:r>
    </w:p>
    <w:p w14:paraId="5153CBB3" w14:textId="77777777" w:rsidR="00534B7F" w:rsidRPr="00534B7F" w:rsidRDefault="00534B7F" w:rsidP="00DA16C5">
      <w:pPr>
        <w:numPr>
          <w:ilvl w:val="0"/>
          <w:numId w:val="2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0" w:firstLine="567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ru-RU" w:eastAsia="en-US"/>
        </w:rPr>
      </w:pPr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t>Стратегический план МСЭ выиграет, если он будет лучше отражать роль регионального присутствия, как одной из важнейших функций МСЭ. Региональное присутствие позволяет лучше оценивать проблемы и потребности регионов и оказывать содействие в их решении. Основные задачи и направления этой деятельности следует включать в стратегический план, как часть работы «Единого МСЭ», а не только в качестве задач секторов. Для этого надо, прежде всего, решить вопрос об изменении административного подчинения региональных/зональных отделений. При подготовке соответствующих пунктов плана следует учитывать мнения Региональных организаций электросвязи (см. Резолюцию 58 ПК и 25 ПК).</w:t>
      </w:r>
    </w:p>
    <w:p w14:paraId="16BA65F3" w14:textId="77777777" w:rsidR="00534B7F" w:rsidRPr="00534B7F" w:rsidRDefault="00534B7F" w:rsidP="00DA16C5">
      <w:pPr>
        <w:numPr>
          <w:ilvl w:val="0"/>
          <w:numId w:val="2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ind w:left="0" w:firstLine="567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ru-RU" w:eastAsia="en-US"/>
        </w:rPr>
      </w:pPr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lastRenderedPageBreak/>
        <w:t>Вопросы, связанные с формулировками результатов деятельности секторов (</w:t>
      </w:r>
      <w:proofErr w:type="spellStart"/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t>межсекторальной</w:t>
      </w:r>
      <w:proofErr w:type="spellEnd"/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t xml:space="preserve"> деятельности) остаются сложными и требуют дальнейшего рассмотрения. Нечеткость их формулировки, отсутствие четкого соответствия между результатами деятельности и показателями для оценки фактического выполнения СП, затрудняет адекватную оценку Государствами-Членами степени выполнения стратегического плана. Поэтому, в соответствии с Резолюцией 151 (</w:t>
      </w:r>
      <w:proofErr w:type="spellStart"/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t>Пересм</w:t>
      </w:r>
      <w:proofErr w:type="spellEnd"/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t>. Дубай, 2018) «следует продолжать разработку комплексной структуры результатов деятельности МСЭ для обеспечения выполнения Стратегического, Финансового и Оперативных планов и бюджета и укрепления способности членов Союза оценивать прогресс в достижении целей МСЭ».</w:t>
      </w:r>
    </w:p>
    <w:p w14:paraId="18BD76D2" w14:textId="77777777" w:rsidR="00534B7F" w:rsidRPr="00534B7F" w:rsidRDefault="00534B7F" w:rsidP="00DA16C5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uppressAutoHyphens/>
        <w:overflowPunct w:val="0"/>
        <w:autoSpaceDE w:val="0"/>
        <w:autoSpaceDN w:val="0"/>
        <w:adjustRightInd w:val="0"/>
        <w:spacing w:before="360" w:after="120" w:line="240" w:lineRule="auto"/>
        <w:ind w:left="567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ru-RU" w:eastAsia="en-US"/>
        </w:rPr>
      </w:pPr>
      <w:r w:rsidRPr="00534B7F">
        <w:rPr>
          <w:rFonts w:ascii="Calibri" w:eastAsia="Times New Roman" w:hAnsi="Calibri" w:cs="Times New Roman"/>
          <w:b/>
          <w:sz w:val="24"/>
          <w:szCs w:val="24"/>
          <w:lang w:val="ru-RU" w:eastAsia="en-US"/>
        </w:rPr>
        <w:t>Справочные материалы</w:t>
      </w:r>
    </w:p>
    <w:p w14:paraId="378406EB" w14:textId="77777777" w:rsidR="00534B7F" w:rsidRPr="00534B7F" w:rsidRDefault="00534B7F" w:rsidP="00534B7F">
      <w:pPr>
        <w:spacing w:before="120" w:after="120" w:line="240" w:lineRule="auto"/>
        <w:ind w:firstLine="567"/>
        <w:rPr>
          <w:rFonts w:ascii="Calibri" w:eastAsia="Times New Roman" w:hAnsi="Calibri" w:cs="Times New Roman"/>
          <w:sz w:val="24"/>
          <w:szCs w:val="24"/>
          <w:lang w:val="ru-RU" w:eastAsia="en-US"/>
        </w:rPr>
      </w:pPr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t>Устав МСЭ, Конвенция МСЭ, Резолюция 71 (</w:t>
      </w:r>
      <w:proofErr w:type="spellStart"/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t>Пересм</w:t>
      </w:r>
      <w:proofErr w:type="spellEnd"/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t>. Дубай, 2018); Резолюция 151 (</w:t>
      </w:r>
      <w:proofErr w:type="spellStart"/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t>Пересм</w:t>
      </w:r>
      <w:proofErr w:type="spellEnd"/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t>. Дубай, 2018); Резолюция 191 (</w:t>
      </w:r>
      <w:proofErr w:type="spellStart"/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t>Пересм</w:t>
      </w:r>
      <w:proofErr w:type="spellEnd"/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t>. Дубай, 2018); Резолюция 200 (</w:t>
      </w:r>
      <w:proofErr w:type="spellStart"/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t>Пересм</w:t>
      </w:r>
      <w:proofErr w:type="spellEnd"/>
      <w:r w:rsidRPr="00534B7F">
        <w:rPr>
          <w:rFonts w:ascii="Calibri" w:eastAsia="Times New Roman" w:hAnsi="Calibri" w:cs="Times New Roman"/>
          <w:sz w:val="24"/>
          <w:szCs w:val="24"/>
          <w:lang w:val="ru-RU" w:eastAsia="en-US"/>
        </w:rPr>
        <w:t>. Дубай, 2018); Резолюция 1404 (C21)Совета.</w:t>
      </w:r>
    </w:p>
    <w:p w14:paraId="28EB85A8" w14:textId="77777777" w:rsidR="00DA16C5" w:rsidRPr="00DA16C5" w:rsidRDefault="00DA16C5" w:rsidP="00DA16C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4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</w:pPr>
      <w:r w:rsidRPr="00DA16C5">
        <w:rPr>
          <w:rFonts w:ascii="Times New Roman" w:eastAsia="Times New Roman" w:hAnsi="Times New Roman" w:cs="Times New Roman"/>
          <w:sz w:val="26"/>
          <w:szCs w:val="26"/>
          <w:lang w:val="ru-RU" w:eastAsia="en-US"/>
        </w:rPr>
        <w:t>______________</w:t>
      </w:r>
    </w:p>
    <w:sectPr w:rsidR="00DA16C5" w:rsidRPr="00DA16C5" w:rsidSect="00FE392A">
      <w:headerReference w:type="default" r:id="rId9"/>
      <w:footerReference w:type="first" r:id="rId10"/>
      <w:pgSz w:w="11907" w:h="16834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83CF" w14:textId="77777777" w:rsidR="00DB6DC2" w:rsidRDefault="00DB6DC2">
      <w:r>
        <w:separator/>
      </w:r>
    </w:p>
  </w:endnote>
  <w:endnote w:type="continuationSeparator" w:id="0">
    <w:p w14:paraId="7500D0ED" w14:textId="77777777" w:rsidR="00DB6DC2" w:rsidRDefault="00DB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0A7B" w14:textId="77777777" w:rsidR="002238C4" w:rsidRDefault="002238C4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884F" w14:textId="77777777" w:rsidR="00DB6DC2" w:rsidRDefault="00DB6DC2">
      <w:r>
        <w:t>____________________</w:t>
      </w:r>
    </w:p>
  </w:footnote>
  <w:footnote w:type="continuationSeparator" w:id="0">
    <w:p w14:paraId="0F4F7803" w14:textId="77777777" w:rsidR="00DB6DC2" w:rsidRDefault="00DB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E526" w14:textId="5D406E8B" w:rsidR="00542BAB" w:rsidRDefault="00542BAB" w:rsidP="000854C6">
    <w:pPr>
      <w:pStyle w:val="Header"/>
      <w:spacing w:after="120"/>
    </w:pPr>
    <w:r>
      <w:fldChar w:fldCharType="begin"/>
    </w:r>
    <w:r>
      <w:instrText xml:space="preserve"> PAGE   \* MERGEFORMAT </w:instrText>
    </w:r>
    <w:r>
      <w:fldChar w:fldCharType="separate"/>
    </w:r>
    <w:r w:rsidR="001B1941">
      <w:rPr>
        <w:noProof/>
      </w:rPr>
      <w:t>2</w:t>
    </w:r>
    <w:r>
      <w:rPr>
        <w:noProof/>
      </w:rPr>
      <w:fldChar w:fldCharType="end"/>
    </w:r>
    <w:r>
      <w:rPr>
        <w:noProof/>
      </w:rPr>
      <w:br/>
    </w:r>
    <w:r w:rsidR="00D412C7" w:rsidRPr="00534B7F">
      <w:rPr>
        <w:noProof/>
      </w:rPr>
      <w:t>CWG-SFP</w:t>
    </w:r>
    <w:r w:rsidR="00965A18" w:rsidRPr="00534B7F">
      <w:rPr>
        <w:noProof/>
      </w:rPr>
      <w:t>-1</w:t>
    </w:r>
    <w:r w:rsidR="000854C6" w:rsidRPr="00534B7F">
      <w:rPr>
        <w:noProof/>
      </w:rPr>
      <w:t>\</w:t>
    </w:r>
    <w:r w:rsidR="00534B7F" w:rsidRPr="00534B7F">
      <w:rPr>
        <w:noProof/>
      </w:rPr>
      <w:t>8</w:t>
    </w:r>
    <w:r w:rsidRPr="00534B7F">
      <w:rPr>
        <w:noProof/>
      </w:rPr>
      <w:t>-</w:t>
    </w:r>
    <w:r w:rsidR="004C11BC">
      <w:rPr>
        <w:noProof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DAD3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DC9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F09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D8F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26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EE33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D2D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6AF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445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282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A15F1"/>
    <w:multiLevelType w:val="hybridMultilevel"/>
    <w:tmpl w:val="E51AD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23FFE"/>
    <w:multiLevelType w:val="hybridMultilevel"/>
    <w:tmpl w:val="F192F9D2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473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5E1726"/>
    <w:multiLevelType w:val="hybridMultilevel"/>
    <w:tmpl w:val="F1A6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547"/>
    <w:multiLevelType w:val="hybridMultilevel"/>
    <w:tmpl w:val="4DFE797E"/>
    <w:lvl w:ilvl="0" w:tplc="AAC85838">
      <w:start w:val="1"/>
      <w:numFmt w:val="lowerLetter"/>
      <w:lvlText w:val="%1)"/>
      <w:lvlJc w:val="left"/>
      <w:pPr>
        <w:ind w:left="931" w:hanging="57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21DB5"/>
    <w:multiLevelType w:val="hybridMultilevel"/>
    <w:tmpl w:val="4F0CD21A"/>
    <w:lvl w:ilvl="0" w:tplc="F1329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3E643A"/>
    <w:multiLevelType w:val="hybridMultilevel"/>
    <w:tmpl w:val="40880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57F85"/>
    <w:multiLevelType w:val="multilevel"/>
    <w:tmpl w:val="819813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FF000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C9066D"/>
    <w:multiLevelType w:val="hybridMultilevel"/>
    <w:tmpl w:val="D316AE1C"/>
    <w:lvl w:ilvl="0" w:tplc="440C0FAE">
      <w:start w:val="1"/>
      <w:numFmt w:val="decimal"/>
      <w:lvlText w:val="Z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4F28"/>
    <w:multiLevelType w:val="multilevel"/>
    <w:tmpl w:val="F1AC0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AD6EE8"/>
    <w:multiLevelType w:val="hybridMultilevel"/>
    <w:tmpl w:val="07ACC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4"/>
  </w:num>
  <w:num w:numId="5">
    <w:abstractNumId w:val="20"/>
  </w:num>
  <w:num w:numId="6">
    <w:abstractNumId w:val="12"/>
  </w:num>
  <w:num w:numId="7">
    <w:abstractNumId w:val="19"/>
  </w:num>
  <w:num w:numId="8">
    <w:abstractNumId w:val="17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C5"/>
    <w:rsid w:val="0000609D"/>
    <w:rsid w:val="00030247"/>
    <w:rsid w:val="0003420F"/>
    <w:rsid w:val="0005540C"/>
    <w:rsid w:val="00063016"/>
    <w:rsid w:val="00066DF5"/>
    <w:rsid w:val="00076AF6"/>
    <w:rsid w:val="00083635"/>
    <w:rsid w:val="000854C6"/>
    <w:rsid w:val="00085CF2"/>
    <w:rsid w:val="000915E5"/>
    <w:rsid w:val="000950D1"/>
    <w:rsid w:val="000B1705"/>
    <w:rsid w:val="000C0529"/>
    <w:rsid w:val="000C2903"/>
    <w:rsid w:val="000C2F74"/>
    <w:rsid w:val="000C37C9"/>
    <w:rsid w:val="000D75B2"/>
    <w:rsid w:val="000E01F5"/>
    <w:rsid w:val="001121F5"/>
    <w:rsid w:val="00140CE1"/>
    <w:rsid w:val="00143690"/>
    <w:rsid w:val="00144165"/>
    <w:rsid w:val="0016020C"/>
    <w:rsid w:val="00171F42"/>
    <w:rsid w:val="0017539C"/>
    <w:rsid w:val="00175AC2"/>
    <w:rsid w:val="0017609F"/>
    <w:rsid w:val="00195328"/>
    <w:rsid w:val="001B1941"/>
    <w:rsid w:val="001C628E"/>
    <w:rsid w:val="001E0F7B"/>
    <w:rsid w:val="001F4FF7"/>
    <w:rsid w:val="001F7552"/>
    <w:rsid w:val="002119FD"/>
    <w:rsid w:val="002130E0"/>
    <w:rsid w:val="00221C8F"/>
    <w:rsid w:val="002238C4"/>
    <w:rsid w:val="002303BC"/>
    <w:rsid w:val="0025471D"/>
    <w:rsid w:val="00256D0F"/>
    <w:rsid w:val="00257BDE"/>
    <w:rsid w:val="00265875"/>
    <w:rsid w:val="00265977"/>
    <w:rsid w:val="002667C5"/>
    <w:rsid w:val="0027303B"/>
    <w:rsid w:val="0028109B"/>
    <w:rsid w:val="00293DE5"/>
    <w:rsid w:val="00295397"/>
    <w:rsid w:val="002B1870"/>
    <w:rsid w:val="002B1F58"/>
    <w:rsid w:val="002C1C7A"/>
    <w:rsid w:val="002C22D5"/>
    <w:rsid w:val="002C5285"/>
    <w:rsid w:val="002D1E7F"/>
    <w:rsid w:val="002D494F"/>
    <w:rsid w:val="0030160F"/>
    <w:rsid w:val="0032195E"/>
    <w:rsid w:val="00322D0D"/>
    <w:rsid w:val="00326D48"/>
    <w:rsid w:val="0033276E"/>
    <w:rsid w:val="003370ED"/>
    <w:rsid w:val="00337854"/>
    <w:rsid w:val="00337CE2"/>
    <w:rsid w:val="003439CB"/>
    <w:rsid w:val="003662CE"/>
    <w:rsid w:val="003735DF"/>
    <w:rsid w:val="0037461E"/>
    <w:rsid w:val="00375F3C"/>
    <w:rsid w:val="0038108D"/>
    <w:rsid w:val="00384DD6"/>
    <w:rsid w:val="0039110F"/>
    <w:rsid w:val="003914A7"/>
    <w:rsid w:val="003942D4"/>
    <w:rsid w:val="003958A8"/>
    <w:rsid w:val="003A71C2"/>
    <w:rsid w:val="003C0228"/>
    <w:rsid w:val="003C2533"/>
    <w:rsid w:val="003D15D8"/>
    <w:rsid w:val="003D6F32"/>
    <w:rsid w:val="003E10DE"/>
    <w:rsid w:val="0040435A"/>
    <w:rsid w:val="00407B9C"/>
    <w:rsid w:val="00415736"/>
    <w:rsid w:val="00416A24"/>
    <w:rsid w:val="00431D9E"/>
    <w:rsid w:val="00433805"/>
    <w:rsid w:val="00433CE8"/>
    <w:rsid w:val="0043412A"/>
    <w:rsid w:val="00434145"/>
    <w:rsid w:val="00434A5C"/>
    <w:rsid w:val="00437504"/>
    <w:rsid w:val="004449F3"/>
    <w:rsid w:val="00451A5A"/>
    <w:rsid w:val="0045337A"/>
    <w:rsid w:val="004535DE"/>
    <w:rsid w:val="004544D9"/>
    <w:rsid w:val="004617B3"/>
    <w:rsid w:val="0046438A"/>
    <w:rsid w:val="004648CF"/>
    <w:rsid w:val="00480571"/>
    <w:rsid w:val="004841B7"/>
    <w:rsid w:val="00490E72"/>
    <w:rsid w:val="004921C8"/>
    <w:rsid w:val="0049335F"/>
    <w:rsid w:val="004A29FF"/>
    <w:rsid w:val="004A45DD"/>
    <w:rsid w:val="004B0FC9"/>
    <w:rsid w:val="004B5D1C"/>
    <w:rsid w:val="004C11BC"/>
    <w:rsid w:val="004D0B58"/>
    <w:rsid w:val="004D0C40"/>
    <w:rsid w:val="004D1851"/>
    <w:rsid w:val="004D599D"/>
    <w:rsid w:val="004E2EA5"/>
    <w:rsid w:val="004E3AEB"/>
    <w:rsid w:val="00500C7D"/>
    <w:rsid w:val="00501014"/>
    <w:rsid w:val="0050223C"/>
    <w:rsid w:val="005243FF"/>
    <w:rsid w:val="00534B7F"/>
    <w:rsid w:val="00542AE7"/>
    <w:rsid w:val="00542BAB"/>
    <w:rsid w:val="00544CA6"/>
    <w:rsid w:val="005467AE"/>
    <w:rsid w:val="005471D2"/>
    <w:rsid w:val="00564FBC"/>
    <w:rsid w:val="00574E97"/>
    <w:rsid w:val="0057569B"/>
    <w:rsid w:val="00582442"/>
    <w:rsid w:val="0058499C"/>
    <w:rsid w:val="005A3B8A"/>
    <w:rsid w:val="005B4351"/>
    <w:rsid w:val="005C37A0"/>
    <w:rsid w:val="005D32DC"/>
    <w:rsid w:val="005D6131"/>
    <w:rsid w:val="005F2D25"/>
    <w:rsid w:val="005F40A4"/>
    <w:rsid w:val="00605347"/>
    <w:rsid w:val="006535F1"/>
    <w:rsid w:val="0065557D"/>
    <w:rsid w:val="00662984"/>
    <w:rsid w:val="006716BB"/>
    <w:rsid w:val="006771E7"/>
    <w:rsid w:val="006B472C"/>
    <w:rsid w:val="006B6DCC"/>
    <w:rsid w:val="006B7318"/>
    <w:rsid w:val="006C7699"/>
    <w:rsid w:val="006D3B24"/>
    <w:rsid w:val="006D3B29"/>
    <w:rsid w:val="00733B71"/>
    <w:rsid w:val="00741793"/>
    <w:rsid w:val="0075051B"/>
    <w:rsid w:val="00763E73"/>
    <w:rsid w:val="00782C0B"/>
    <w:rsid w:val="00790142"/>
    <w:rsid w:val="007901DA"/>
    <w:rsid w:val="00794D34"/>
    <w:rsid w:val="007A34B1"/>
    <w:rsid w:val="007C116C"/>
    <w:rsid w:val="007C2E8B"/>
    <w:rsid w:val="007D134F"/>
    <w:rsid w:val="007D7FD5"/>
    <w:rsid w:val="00813E5E"/>
    <w:rsid w:val="0081547A"/>
    <w:rsid w:val="00820BAF"/>
    <w:rsid w:val="0083581B"/>
    <w:rsid w:val="00855BA7"/>
    <w:rsid w:val="00864AFF"/>
    <w:rsid w:val="008662BD"/>
    <w:rsid w:val="00877393"/>
    <w:rsid w:val="008911FB"/>
    <w:rsid w:val="0089474C"/>
    <w:rsid w:val="008A16A8"/>
    <w:rsid w:val="008B4A6A"/>
    <w:rsid w:val="008C7E27"/>
    <w:rsid w:val="008E3733"/>
    <w:rsid w:val="008F1108"/>
    <w:rsid w:val="008F3912"/>
    <w:rsid w:val="008F788A"/>
    <w:rsid w:val="00915A48"/>
    <w:rsid w:val="00917052"/>
    <w:rsid w:val="009173EF"/>
    <w:rsid w:val="00923A1B"/>
    <w:rsid w:val="00926B92"/>
    <w:rsid w:val="00932906"/>
    <w:rsid w:val="00933CC0"/>
    <w:rsid w:val="00933E81"/>
    <w:rsid w:val="00944BC2"/>
    <w:rsid w:val="00961B0B"/>
    <w:rsid w:val="00965A18"/>
    <w:rsid w:val="00987D95"/>
    <w:rsid w:val="00996E42"/>
    <w:rsid w:val="009A4E24"/>
    <w:rsid w:val="009A56C8"/>
    <w:rsid w:val="009B38C3"/>
    <w:rsid w:val="009C6A0F"/>
    <w:rsid w:val="009D629C"/>
    <w:rsid w:val="009E17BD"/>
    <w:rsid w:val="00A04CEC"/>
    <w:rsid w:val="00A27F92"/>
    <w:rsid w:val="00A30574"/>
    <w:rsid w:val="00A32257"/>
    <w:rsid w:val="00A36066"/>
    <w:rsid w:val="00A36D20"/>
    <w:rsid w:val="00A462B5"/>
    <w:rsid w:val="00A54FD8"/>
    <w:rsid w:val="00A550D1"/>
    <w:rsid w:val="00A55622"/>
    <w:rsid w:val="00A56000"/>
    <w:rsid w:val="00A620DA"/>
    <w:rsid w:val="00A83502"/>
    <w:rsid w:val="00AA0BEA"/>
    <w:rsid w:val="00AB2815"/>
    <w:rsid w:val="00AB393C"/>
    <w:rsid w:val="00AC393D"/>
    <w:rsid w:val="00AF6E49"/>
    <w:rsid w:val="00B04A67"/>
    <w:rsid w:val="00B0583C"/>
    <w:rsid w:val="00B131C2"/>
    <w:rsid w:val="00B36E39"/>
    <w:rsid w:val="00B40A81"/>
    <w:rsid w:val="00B447F3"/>
    <w:rsid w:val="00B44910"/>
    <w:rsid w:val="00B47B8F"/>
    <w:rsid w:val="00B71F52"/>
    <w:rsid w:val="00B72267"/>
    <w:rsid w:val="00B769F8"/>
    <w:rsid w:val="00B76EB6"/>
    <w:rsid w:val="00B824C8"/>
    <w:rsid w:val="00B85905"/>
    <w:rsid w:val="00BA74C0"/>
    <w:rsid w:val="00BB1653"/>
    <w:rsid w:val="00BC251A"/>
    <w:rsid w:val="00BD032B"/>
    <w:rsid w:val="00BD6810"/>
    <w:rsid w:val="00BE2640"/>
    <w:rsid w:val="00BE30A1"/>
    <w:rsid w:val="00BF27F0"/>
    <w:rsid w:val="00C01189"/>
    <w:rsid w:val="00C03DBE"/>
    <w:rsid w:val="00C10E06"/>
    <w:rsid w:val="00C11946"/>
    <w:rsid w:val="00C26704"/>
    <w:rsid w:val="00C374DE"/>
    <w:rsid w:val="00C37D85"/>
    <w:rsid w:val="00C413A2"/>
    <w:rsid w:val="00C47AD4"/>
    <w:rsid w:val="00C52D81"/>
    <w:rsid w:val="00C55198"/>
    <w:rsid w:val="00C664FA"/>
    <w:rsid w:val="00C7265C"/>
    <w:rsid w:val="00C8040F"/>
    <w:rsid w:val="00CA6393"/>
    <w:rsid w:val="00CB18FF"/>
    <w:rsid w:val="00CC5EF0"/>
    <w:rsid w:val="00CD0C08"/>
    <w:rsid w:val="00CE03FB"/>
    <w:rsid w:val="00CE433C"/>
    <w:rsid w:val="00CF33F3"/>
    <w:rsid w:val="00D00FA2"/>
    <w:rsid w:val="00D0338D"/>
    <w:rsid w:val="00D06183"/>
    <w:rsid w:val="00D22C42"/>
    <w:rsid w:val="00D30768"/>
    <w:rsid w:val="00D3608E"/>
    <w:rsid w:val="00D412C7"/>
    <w:rsid w:val="00D65041"/>
    <w:rsid w:val="00D9148E"/>
    <w:rsid w:val="00D945E6"/>
    <w:rsid w:val="00DA16C5"/>
    <w:rsid w:val="00DA51F3"/>
    <w:rsid w:val="00DA6905"/>
    <w:rsid w:val="00DB6DC2"/>
    <w:rsid w:val="00DE2B20"/>
    <w:rsid w:val="00DF0F5D"/>
    <w:rsid w:val="00E00F7D"/>
    <w:rsid w:val="00E10E80"/>
    <w:rsid w:val="00E124F0"/>
    <w:rsid w:val="00E378C5"/>
    <w:rsid w:val="00E53777"/>
    <w:rsid w:val="00E60F04"/>
    <w:rsid w:val="00E8113B"/>
    <w:rsid w:val="00E854F1"/>
    <w:rsid w:val="00E9013A"/>
    <w:rsid w:val="00EA48F9"/>
    <w:rsid w:val="00EB0D6F"/>
    <w:rsid w:val="00EB2232"/>
    <w:rsid w:val="00EB52A2"/>
    <w:rsid w:val="00EC1A42"/>
    <w:rsid w:val="00EC5337"/>
    <w:rsid w:val="00EE2A3B"/>
    <w:rsid w:val="00F2150A"/>
    <w:rsid w:val="00F231D8"/>
    <w:rsid w:val="00F44ED7"/>
    <w:rsid w:val="00F46C5F"/>
    <w:rsid w:val="00F54A63"/>
    <w:rsid w:val="00F56D59"/>
    <w:rsid w:val="00F70098"/>
    <w:rsid w:val="00F856EC"/>
    <w:rsid w:val="00F863A8"/>
    <w:rsid w:val="00F94A63"/>
    <w:rsid w:val="00F96CA1"/>
    <w:rsid w:val="00FB7596"/>
    <w:rsid w:val="00FC08D9"/>
    <w:rsid w:val="00FD60B3"/>
    <w:rsid w:val="00FE1048"/>
    <w:rsid w:val="00FE392A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C160C20"/>
  <w15:docId w15:val="{7E68A750-2D85-4C8E-A17E-AAD520EB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4F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Heading1">
    <w:name w:val="heading 1"/>
    <w:basedOn w:val="Normal"/>
    <w:next w:val="Normal"/>
    <w:qFormat/>
    <w:rsid w:val="00EE2A3B"/>
    <w:pPr>
      <w:keepNext/>
      <w:keepLines/>
      <w:numPr>
        <w:numId w:val="8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E2A3B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E2A3B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E2A3B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EE2A3B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EE2A3B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EE2A3B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EE2A3B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EE2A3B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E854F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854F1"/>
  </w:style>
  <w:style w:type="paragraph" w:styleId="TOC8">
    <w:name w:val="toc 8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E2A3B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E2A3B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E2A3B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EE2A3B"/>
    <w:pPr>
      <w:ind w:left="1698"/>
    </w:pPr>
  </w:style>
  <w:style w:type="paragraph" w:styleId="Index6">
    <w:name w:val="index 6"/>
    <w:basedOn w:val="Normal"/>
    <w:next w:val="Normal"/>
    <w:rsid w:val="00EE2A3B"/>
    <w:pPr>
      <w:ind w:left="1415"/>
    </w:pPr>
  </w:style>
  <w:style w:type="paragraph" w:styleId="Index5">
    <w:name w:val="index 5"/>
    <w:basedOn w:val="Normal"/>
    <w:next w:val="Normal"/>
    <w:rsid w:val="00EE2A3B"/>
    <w:pPr>
      <w:ind w:left="1132"/>
    </w:pPr>
  </w:style>
  <w:style w:type="paragraph" w:styleId="Index4">
    <w:name w:val="index 4"/>
    <w:basedOn w:val="Normal"/>
    <w:next w:val="Normal"/>
    <w:rsid w:val="00EE2A3B"/>
    <w:pPr>
      <w:ind w:left="849"/>
    </w:pPr>
  </w:style>
  <w:style w:type="paragraph" w:styleId="Index3">
    <w:name w:val="index 3"/>
    <w:basedOn w:val="Normal"/>
    <w:next w:val="Normal"/>
    <w:rsid w:val="00EE2A3B"/>
    <w:pPr>
      <w:ind w:left="566"/>
    </w:pPr>
  </w:style>
  <w:style w:type="paragraph" w:styleId="Index2">
    <w:name w:val="index 2"/>
    <w:basedOn w:val="Normal"/>
    <w:next w:val="Normal"/>
    <w:rsid w:val="00EE2A3B"/>
    <w:pPr>
      <w:ind w:left="283"/>
    </w:pPr>
  </w:style>
  <w:style w:type="paragraph" w:styleId="Index1">
    <w:name w:val="index 1"/>
    <w:basedOn w:val="Normal"/>
    <w:next w:val="Normal"/>
    <w:rsid w:val="00EE2A3B"/>
  </w:style>
  <w:style w:type="character" w:styleId="LineNumber">
    <w:name w:val="line number"/>
    <w:basedOn w:val="DefaultParagraphFont"/>
    <w:rsid w:val="00EE2A3B"/>
  </w:style>
  <w:style w:type="paragraph" w:styleId="IndexHeading">
    <w:name w:val="index heading"/>
    <w:basedOn w:val="Normal"/>
    <w:next w:val="Index1"/>
    <w:rsid w:val="00EE2A3B"/>
  </w:style>
  <w:style w:type="paragraph" w:styleId="Footer">
    <w:name w:val="footer"/>
    <w:basedOn w:val="Normal"/>
    <w:rsid w:val="00EE2A3B"/>
    <w:pPr>
      <w:tabs>
        <w:tab w:val="left" w:pos="5954"/>
        <w:tab w:val="right" w:pos="9639"/>
      </w:tabs>
    </w:pPr>
    <w:rPr>
      <w:caps/>
      <w:noProof/>
      <w:sz w:val="16"/>
    </w:rPr>
  </w:style>
  <w:style w:type="paragraph" w:styleId="Header">
    <w:name w:val="header"/>
    <w:basedOn w:val="Normal"/>
    <w:rsid w:val="00EE2A3B"/>
    <w:pPr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,Style 12,(NECG) Footnote Reference,Style 124,Appel note de bas de p + 11 pt,Italic,Appel note de bas de p1,Appel note de bas de p2,Appel note de bas de p3,o"/>
    <w:basedOn w:val="DefaultParagraphFont"/>
    <w:qFormat/>
    <w:rsid w:val="00EE2A3B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rsid w:val="00EE2A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E2A3B"/>
    <w:pPr>
      <w:ind w:left="567"/>
    </w:pPr>
  </w:style>
  <w:style w:type="paragraph" w:customStyle="1" w:styleId="enumlev1">
    <w:name w:val="enumlev1"/>
    <w:basedOn w:val="Normal"/>
    <w:link w:val="enumlev1Char"/>
    <w:qFormat/>
    <w:rsid w:val="00EE2A3B"/>
    <w:pPr>
      <w:spacing w:before="86"/>
      <w:ind w:left="567" w:hanging="567"/>
    </w:pPr>
  </w:style>
  <w:style w:type="paragraph" w:customStyle="1" w:styleId="enumlev2">
    <w:name w:val="enumlev2"/>
    <w:basedOn w:val="enumlev1"/>
    <w:rsid w:val="00EE2A3B"/>
    <w:pPr>
      <w:ind w:left="1134"/>
    </w:pPr>
  </w:style>
  <w:style w:type="paragraph" w:customStyle="1" w:styleId="enumlev3">
    <w:name w:val="enumlev3"/>
    <w:basedOn w:val="enumlev2"/>
    <w:rsid w:val="00EE2A3B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EE2A3B"/>
    <w:pPr>
      <w:spacing w:before="240"/>
    </w:pPr>
  </w:style>
  <w:style w:type="paragraph" w:customStyle="1" w:styleId="Equation">
    <w:name w:val="Equation"/>
    <w:basedOn w:val="Normal"/>
    <w:rsid w:val="00EE2A3B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EE2A3B"/>
    <w:pPr>
      <w:tabs>
        <w:tab w:val="left" w:pos="6663"/>
      </w:tabs>
    </w:pPr>
  </w:style>
  <w:style w:type="paragraph" w:customStyle="1" w:styleId="toc0">
    <w:name w:val="toc 0"/>
    <w:basedOn w:val="Normal"/>
    <w:next w:val="TOC1"/>
    <w:rsid w:val="00EE2A3B"/>
    <w:pPr>
      <w:tabs>
        <w:tab w:val="right" w:pos="9781"/>
      </w:tabs>
    </w:pPr>
    <w:rPr>
      <w:b/>
    </w:rPr>
  </w:style>
  <w:style w:type="paragraph" w:styleId="List">
    <w:name w:val="List"/>
    <w:basedOn w:val="Normal"/>
    <w:rsid w:val="00EE2A3B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EE2A3B"/>
    <w:pPr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EE2A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D30768"/>
    <w:pPr>
      <w:spacing w:before="480" w:after="0"/>
      <w:jc w:val="center"/>
    </w:pPr>
    <w:rPr>
      <w:bCs/>
      <w:sz w:val="28"/>
    </w:rPr>
  </w:style>
  <w:style w:type="paragraph" w:customStyle="1" w:styleId="meeting">
    <w:name w:val="meeting"/>
    <w:basedOn w:val="Head"/>
    <w:next w:val="Head"/>
    <w:rsid w:val="00EE2A3B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EE2A3B"/>
    <w:pPr>
      <w:ind w:left="1134" w:hanging="1134"/>
    </w:pPr>
  </w:style>
  <w:style w:type="paragraph" w:customStyle="1" w:styleId="Object">
    <w:name w:val="Object"/>
    <w:basedOn w:val="Subject"/>
    <w:next w:val="Subject"/>
    <w:rsid w:val="00EE2A3B"/>
  </w:style>
  <w:style w:type="paragraph" w:customStyle="1" w:styleId="Data">
    <w:name w:val="Data"/>
    <w:basedOn w:val="Subject"/>
    <w:next w:val="Subject"/>
    <w:rsid w:val="00EE2A3B"/>
  </w:style>
  <w:style w:type="paragraph" w:customStyle="1" w:styleId="Reasons">
    <w:name w:val="Reasons"/>
    <w:basedOn w:val="Normal"/>
    <w:rsid w:val="00EE2A3B"/>
  </w:style>
  <w:style w:type="character" w:styleId="Hyperlink">
    <w:name w:val="Hyperlink"/>
    <w:basedOn w:val="DefaultParagraphFont"/>
    <w:rsid w:val="00EE2A3B"/>
    <w:rPr>
      <w:color w:val="0000FF"/>
      <w:u w:val="single"/>
    </w:rPr>
  </w:style>
  <w:style w:type="paragraph" w:customStyle="1" w:styleId="FirstFooter">
    <w:name w:val="FirstFooter"/>
    <w:basedOn w:val="Footer"/>
    <w:rsid w:val="00EE2A3B"/>
    <w:rPr>
      <w:caps w:val="0"/>
    </w:rPr>
  </w:style>
  <w:style w:type="paragraph" w:customStyle="1" w:styleId="Note">
    <w:name w:val="Note"/>
    <w:basedOn w:val="Normal"/>
    <w:rsid w:val="00EE2A3B"/>
    <w:pPr>
      <w:tabs>
        <w:tab w:val="left" w:pos="851"/>
      </w:tabs>
    </w:pPr>
  </w:style>
  <w:style w:type="paragraph" w:styleId="TOC9">
    <w:name w:val="toc 9"/>
    <w:basedOn w:val="TOC4"/>
    <w:rsid w:val="00EE2A3B"/>
  </w:style>
  <w:style w:type="paragraph" w:customStyle="1" w:styleId="Headingb">
    <w:name w:val="Heading_b"/>
    <w:basedOn w:val="Heading3"/>
    <w:next w:val="Normal"/>
    <w:rsid w:val="00EE2A3B"/>
    <w:pPr>
      <w:spacing w:before="160"/>
      <w:outlineLvl w:val="0"/>
    </w:pPr>
  </w:style>
  <w:style w:type="character" w:styleId="FollowedHyperlink">
    <w:name w:val="FollowedHyperlink"/>
    <w:basedOn w:val="DefaultParagraphFont"/>
    <w:rsid w:val="00EE2A3B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EE2A3B"/>
    <w:pPr>
      <w:spacing w:before="240"/>
    </w:pPr>
    <w:rPr>
      <w:b/>
      <w:caps/>
    </w:rPr>
  </w:style>
  <w:style w:type="paragraph" w:customStyle="1" w:styleId="Title2">
    <w:name w:val="Title 2"/>
    <w:basedOn w:val="Source"/>
    <w:next w:val="Title3"/>
    <w:rsid w:val="00EE2A3B"/>
    <w:pPr>
      <w:spacing w:before="240"/>
    </w:pPr>
    <w:rPr>
      <w:b/>
      <w:caps/>
    </w:rPr>
  </w:style>
  <w:style w:type="paragraph" w:customStyle="1" w:styleId="Title3">
    <w:name w:val="Title 3"/>
    <w:basedOn w:val="Title2"/>
    <w:next w:val="Normalaftertitle"/>
    <w:rsid w:val="00EE2A3B"/>
    <w:rPr>
      <w:caps w:val="0"/>
    </w:rPr>
  </w:style>
  <w:style w:type="paragraph" w:customStyle="1" w:styleId="Title4">
    <w:name w:val="Title 4"/>
    <w:basedOn w:val="Title3"/>
    <w:next w:val="Heading1"/>
    <w:rsid w:val="00EE2A3B"/>
    <w:rPr>
      <w:b w:val="0"/>
    </w:rPr>
  </w:style>
  <w:style w:type="paragraph" w:customStyle="1" w:styleId="dnum">
    <w:name w:val="dnum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orlang">
    <w:name w:val="dorlang"/>
    <w:basedOn w:val="Normal"/>
    <w:rsid w:val="00EE2A3B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AnnexNo">
    <w:name w:val="Annex_No"/>
    <w:basedOn w:val="Normal"/>
    <w:next w:val="Annexref"/>
    <w:link w:val="AnnexNoChar"/>
    <w:rsid w:val="00EE2A3B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EE2A3B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EE2A3B"/>
    <w:pPr>
      <w:jc w:val="center"/>
    </w:pPr>
  </w:style>
  <w:style w:type="paragraph" w:customStyle="1" w:styleId="AppendixNo">
    <w:name w:val="Appendix_No"/>
    <w:basedOn w:val="AnnexNo"/>
    <w:next w:val="Appendixref"/>
    <w:rsid w:val="00EE2A3B"/>
  </w:style>
  <w:style w:type="paragraph" w:customStyle="1" w:styleId="Appendixtitle">
    <w:name w:val="Appendix_title"/>
    <w:basedOn w:val="Annextitle"/>
    <w:next w:val="Normal"/>
    <w:rsid w:val="00EE2A3B"/>
  </w:style>
  <w:style w:type="paragraph" w:customStyle="1" w:styleId="Appendixref">
    <w:name w:val="Appendix_ref"/>
    <w:basedOn w:val="Annexref"/>
    <w:next w:val="Appendixtitle"/>
    <w:rsid w:val="00EE2A3B"/>
  </w:style>
  <w:style w:type="paragraph" w:customStyle="1" w:styleId="Call">
    <w:name w:val="Call"/>
    <w:basedOn w:val="Normal"/>
    <w:next w:val="Normal"/>
    <w:link w:val="CallChar"/>
    <w:rsid w:val="00EE2A3B"/>
    <w:pPr>
      <w:keepNext/>
      <w:keepLines/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EE2A3B"/>
    <w:rPr>
      <w:vertAlign w:val="superscript"/>
    </w:rPr>
  </w:style>
  <w:style w:type="paragraph" w:customStyle="1" w:styleId="Equationlegend">
    <w:name w:val="Equation_legend"/>
    <w:basedOn w:val="Normal"/>
    <w:rsid w:val="00EE2A3B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EE2A3B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EE2A3B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EE2A3B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E2A3B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EE2A3B"/>
    <w:pPr>
      <w:spacing w:before="60" w:after="60"/>
    </w:pPr>
  </w:style>
  <w:style w:type="paragraph" w:customStyle="1" w:styleId="Figurelegend">
    <w:name w:val="Figure_legend"/>
    <w:basedOn w:val="Normal"/>
    <w:rsid w:val="00EE2A3B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EE2A3B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EE2A3B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E2A3B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EE2A3B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EE2A3B"/>
  </w:style>
  <w:style w:type="paragraph" w:customStyle="1" w:styleId="Parttitle">
    <w:name w:val="Part_title"/>
    <w:basedOn w:val="Annextitle"/>
    <w:next w:val="Partref"/>
    <w:rsid w:val="00EE2A3B"/>
  </w:style>
  <w:style w:type="paragraph" w:customStyle="1" w:styleId="Partref">
    <w:name w:val="Part_ref"/>
    <w:basedOn w:val="Annexref"/>
    <w:next w:val="Normalaftertitle"/>
    <w:rsid w:val="00EE2A3B"/>
  </w:style>
  <w:style w:type="paragraph" w:customStyle="1" w:styleId="RecNo">
    <w:name w:val="Rec_No"/>
    <w:basedOn w:val="Normal"/>
    <w:next w:val="Rectitle"/>
    <w:rsid w:val="00EE2A3B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EE2A3B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EE2A3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EE2A3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E2A3B"/>
  </w:style>
  <w:style w:type="paragraph" w:customStyle="1" w:styleId="QuestionNo">
    <w:name w:val="Question_No"/>
    <w:basedOn w:val="RecNo"/>
    <w:next w:val="Questiontitle"/>
    <w:rsid w:val="00EE2A3B"/>
  </w:style>
  <w:style w:type="paragraph" w:customStyle="1" w:styleId="Questionref">
    <w:name w:val="Question_ref"/>
    <w:basedOn w:val="Recref"/>
    <w:next w:val="Questiondate"/>
    <w:rsid w:val="00EE2A3B"/>
  </w:style>
  <w:style w:type="paragraph" w:customStyle="1" w:styleId="Questiontitle">
    <w:name w:val="Question_title"/>
    <w:basedOn w:val="Rectitle"/>
    <w:next w:val="Questionref"/>
    <w:rsid w:val="00EE2A3B"/>
  </w:style>
  <w:style w:type="paragraph" w:customStyle="1" w:styleId="Reftext">
    <w:name w:val="Ref_text"/>
    <w:basedOn w:val="Normal"/>
    <w:rsid w:val="00EE2A3B"/>
    <w:pPr>
      <w:ind w:left="567" w:hanging="567"/>
    </w:pPr>
  </w:style>
  <w:style w:type="paragraph" w:customStyle="1" w:styleId="Reftitle">
    <w:name w:val="Ref_title"/>
    <w:basedOn w:val="Normal"/>
    <w:next w:val="Reftext"/>
    <w:rsid w:val="00EE2A3B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EE2A3B"/>
  </w:style>
  <w:style w:type="paragraph" w:customStyle="1" w:styleId="RepNo">
    <w:name w:val="Rep_No"/>
    <w:basedOn w:val="RecNo"/>
    <w:next w:val="Reptitle"/>
    <w:rsid w:val="00EE2A3B"/>
  </w:style>
  <w:style w:type="paragraph" w:customStyle="1" w:styleId="Reptitle">
    <w:name w:val="Rep_title"/>
    <w:basedOn w:val="Rectitle"/>
    <w:next w:val="Repref"/>
    <w:rsid w:val="00EE2A3B"/>
  </w:style>
  <w:style w:type="paragraph" w:customStyle="1" w:styleId="Repref">
    <w:name w:val="Rep_ref"/>
    <w:basedOn w:val="Recref"/>
    <w:next w:val="Repdate"/>
    <w:rsid w:val="00EE2A3B"/>
  </w:style>
  <w:style w:type="paragraph" w:customStyle="1" w:styleId="Resdate">
    <w:name w:val="Res_date"/>
    <w:basedOn w:val="Recdate"/>
    <w:next w:val="Normalaftertitle"/>
    <w:rsid w:val="00EE2A3B"/>
  </w:style>
  <w:style w:type="paragraph" w:customStyle="1" w:styleId="ResNo">
    <w:name w:val="Res_No"/>
    <w:basedOn w:val="AnnexNo"/>
    <w:next w:val="Restitle"/>
    <w:rsid w:val="00EE2A3B"/>
  </w:style>
  <w:style w:type="paragraph" w:customStyle="1" w:styleId="Restitle">
    <w:name w:val="Res_title"/>
    <w:basedOn w:val="Annextitle"/>
    <w:next w:val="Normal"/>
    <w:link w:val="RestitleChar"/>
    <w:rsid w:val="00EE2A3B"/>
  </w:style>
  <w:style w:type="paragraph" w:customStyle="1" w:styleId="Resref">
    <w:name w:val="Res_ref"/>
    <w:basedOn w:val="Recref"/>
    <w:next w:val="Resdate"/>
    <w:rsid w:val="00EE2A3B"/>
  </w:style>
  <w:style w:type="paragraph" w:customStyle="1" w:styleId="SectionNo">
    <w:name w:val="Section_No"/>
    <w:basedOn w:val="AnnexNo"/>
    <w:next w:val="Sectiontitle"/>
    <w:rsid w:val="00EE2A3B"/>
  </w:style>
  <w:style w:type="paragraph" w:customStyle="1" w:styleId="Sectiontitle">
    <w:name w:val="Section_title"/>
    <w:basedOn w:val="Normal"/>
    <w:next w:val="Normalaftertitle"/>
    <w:rsid w:val="00EE2A3B"/>
    <w:rPr>
      <w:sz w:val="28"/>
    </w:rPr>
  </w:style>
  <w:style w:type="paragraph" w:customStyle="1" w:styleId="SpecialFooter">
    <w:name w:val="Special Footer"/>
    <w:basedOn w:val="Footer"/>
    <w:rsid w:val="00EE2A3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EE2A3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EE2A3B"/>
    <w:pPr>
      <w:spacing w:before="120"/>
    </w:pPr>
  </w:style>
  <w:style w:type="paragraph" w:customStyle="1" w:styleId="Tableref">
    <w:name w:val="Table_ref"/>
    <w:basedOn w:val="Normal"/>
    <w:next w:val="Tabletitle"/>
    <w:rsid w:val="00EE2A3B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EE2A3B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EE2A3B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E2A3B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E2A3B"/>
  </w:style>
  <w:style w:type="paragraph" w:customStyle="1" w:styleId="Chaptitle">
    <w:name w:val="Chap_title"/>
    <w:basedOn w:val="Arttitle"/>
    <w:next w:val="Normal"/>
    <w:rsid w:val="00EE2A3B"/>
  </w:style>
  <w:style w:type="paragraph" w:customStyle="1" w:styleId="firstfooter0">
    <w:name w:val="firstfooter"/>
    <w:basedOn w:val="Normal"/>
    <w:rsid w:val="00EE2A3B"/>
    <w:pPr>
      <w:spacing w:before="100" w:beforeAutospacing="1" w:after="100" w:afterAutospacing="1"/>
    </w:pPr>
    <w:rPr>
      <w:rFonts w:eastAsia="SimSun"/>
    </w:rPr>
  </w:style>
  <w:style w:type="paragraph" w:customStyle="1" w:styleId="Table">
    <w:name w:val="Table_#"/>
    <w:basedOn w:val="Normal"/>
    <w:next w:val="Normal"/>
    <w:rsid w:val="00EE2A3B"/>
    <w:pPr>
      <w:keepNext/>
      <w:tabs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</w:rPr>
  </w:style>
  <w:style w:type="character" w:customStyle="1" w:styleId="CallChar">
    <w:name w:val="Call Char"/>
    <w:basedOn w:val="DefaultParagraphFont"/>
    <w:link w:val="Call"/>
    <w:rsid w:val="004535DE"/>
    <w:rPr>
      <w:rFonts w:ascii="Calibri" w:hAnsi="Calibri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4535DE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4535DE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4535DE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4535DE"/>
    <w:rPr>
      <w:rFonts w:ascii="Calibri" w:hAnsi="Calibri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4535DE"/>
    <w:rPr>
      <w:rFonts w:ascii="Calibri" w:hAnsi="Calibri"/>
      <w:b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A4E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4E24"/>
    <w:rPr>
      <w:rFonts w:ascii="Segoe UI" w:eastAsiaTheme="minorEastAsia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56D59"/>
    <w:pPr>
      <w:ind w:left="720"/>
      <w:contextualSpacing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CC5EF0"/>
    <w:rPr>
      <w:rFonts w:asciiTheme="minorHAnsi" w:eastAsiaTheme="minorEastAsia" w:hAnsiTheme="minorHAnsi" w:cstheme="minorBid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5F2D25"/>
    <w:rPr>
      <w:rFonts w:asciiTheme="minorHAnsi" w:eastAsiaTheme="minorEastAsia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C03DBE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C03DB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407B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7B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7B9C"/>
    <w:rPr>
      <w:rFonts w:asciiTheme="minorHAnsi" w:eastAsiaTheme="minorEastAsia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7B9C"/>
    <w:rPr>
      <w:rFonts w:asciiTheme="minorHAnsi" w:eastAsiaTheme="minorEastAsia" w:hAnsiTheme="minorHAnsi" w:cstheme="minorBidi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984F-D56C-46C3-8EC7-FA1643A4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864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by the Russian Federation</vt:lpstr>
    </vt:vector>
  </TitlesOfParts>
  <Manager>General Secretariat - Pool</Manager>
  <Company>International Telecommunication Union (ITU)</Company>
  <LinksUpToDate>false</LinksUpToDate>
  <CharactersWithSpaces>6822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Russian Federation</dc:title>
  <dc:subject>Counciil Working Group for Strategic and Financial Plans 2024-2027</dc:subject>
  <dc:creator>Brouard, Ricarda</dc:creator>
  <cp:keywords>CWG-SFP, CWG, CWGs &amp; EGs</cp:keywords>
  <dc:description/>
  <cp:lastModifiedBy>Xue, Kun</cp:lastModifiedBy>
  <cp:revision>5</cp:revision>
  <cp:lastPrinted>2000-07-18T13:30:00Z</cp:lastPrinted>
  <dcterms:created xsi:type="dcterms:W3CDTF">2021-09-09T14:49:00Z</dcterms:created>
  <dcterms:modified xsi:type="dcterms:W3CDTF">2021-09-10T06:26:00Z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