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577359" w14:paraId="6735E692" w14:textId="77777777">
        <w:trPr>
          <w:cantSplit/>
        </w:trPr>
        <w:tc>
          <w:tcPr>
            <w:tcW w:w="6911" w:type="dxa"/>
          </w:tcPr>
          <w:p w14:paraId="36629982" w14:textId="58805C74" w:rsidR="00700D1F" w:rsidRPr="00577359" w:rsidRDefault="003C68C5" w:rsidP="004F700E">
            <w:pPr>
              <w:tabs>
                <w:tab w:val="clear" w:pos="794"/>
                <w:tab w:val="clear" w:pos="1191"/>
                <w:tab w:val="clear" w:pos="1588"/>
                <w:tab w:val="clear" w:pos="1985"/>
                <w:tab w:val="left" w:pos="567"/>
                <w:tab w:val="left" w:pos="1134"/>
                <w:tab w:val="left" w:pos="1701"/>
                <w:tab w:val="left" w:pos="2268"/>
                <w:tab w:val="left" w:pos="2835"/>
              </w:tabs>
              <w:spacing w:before="360"/>
              <w:rPr>
                <w:position w:val="6"/>
                <w:lang w:eastAsia="zh-CN"/>
              </w:rPr>
            </w:pPr>
            <w:r w:rsidRPr="00577359">
              <w:rPr>
                <w:rFonts w:hint="eastAsia"/>
                <w:b/>
                <w:sz w:val="30"/>
                <w:szCs w:val="30"/>
                <w:lang w:eastAsia="zh-CN"/>
              </w:rPr>
              <w:t>理事会</w:t>
            </w:r>
            <w:r w:rsidRPr="00577359">
              <w:rPr>
                <w:b/>
                <w:sz w:val="30"/>
                <w:szCs w:val="30"/>
                <w:lang w:eastAsia="zh-CN"/>
              </w:rPr>
              <w:t>202</w:t>
            </w:r>
            <w:r w:rsidR="009D2585" w:rsidRPr="00577359">
              <w:rPr>
                <w:rFonts w:hint="eastAsia"/>
                <w:b/>
                <w:sz w:val="30"/>
                <w:szCs w:val="30"/>
                <w:lang w:eastAsia="zh-CN"/>
              </w:rPr>
              <w:t>4</w:t>
            </w:r>
            <w:r w:rsidRPr="00577359">
              <w:rPr>
                <w:b/>
                <w:sz w:val="30"/>
                <w:szCs w:val="30"/>
                <w:lang w:eastAsia="zh-CN"/>
              </w:rPr>
              <w:t>-202</w:t>
            </w:r>
            <w:r w:rsidR="009D2585" w:rsidRPr="00577359">
              <w:rPr>
                <w:rFonts w:hint="eastAsia"/>
                <w:b/>
                <w:sz w:val="30"/>
                <w:szCs w:val="30"/>
                <w:lang w:eastAsia="zh-CN"/>
              </w:rPr>
              <w:t>7</w:t>
            </w:r>
            <w:r w:rsidRPr="00577359">
              <w:rPr>
                <w:rFonts w:hint="eastAsia"/>
                <w:b/>
                <w:sz w:val="30"/>
                <w:szCs w:val="30"/>
                <w:lang w:eastAsia="zh-CN"/>
              </w:rPr>
              <w:t>年战略</w:t>
            </w:r>
            <w:r w:rsidR="00797000" w:rsidRPr="00577359">
              <w:rPr>
                <w:rFonts w:hint="eastAsia"/>
                <w:b/>
                <w:sz w:val="30"/>
                <w:szCs w:val="30"/>
                <w:lang w:eastAsia="zh-CN"/>
              </w:rPr>
              <w:t>规划</w:t>
            </w:r>
            <w:r w:rsidRPr="00577359">
              <w:rPr>
                <w:b/>
                <w:sz w:val="30"/>
                <w:szCs w:val="30"/>
                <w:lang w:eastAsia="zh-CN"/>
              </w:rPr>
              <w:t>和财务规划工作组</w:t>
            </w:r>
            <w:r w:rsidR="004F700E" w:rsidRPr="00577359">
              <w:rPr>
                <w:b/>
                <w:sz w:val="28"/>
                <w:szCs w:val="28"/>
                <w:lang w:eastAsia="zh-CN"/>
              </w:rPr>
              <w:br/>
            </w:r>
            <w:r w:rsidR="004F700E" w:rsidRPr="00577359">
              <w:rPr>
                <w:rFonts w:cs="Times New Roman Bold" w:hint="eastAsia"/>
                <w:b/>
                <w:lang w:eastAsia="zh-CN"/>
              </w:rPr>
              <w:t>第一</w:t>
            </w:r>
            <w:r w:rsidR="004F700E" w:rsidRPr="00577359">
              <w:rPr>
                <w:rFonts w:cs="Times New Roman Bold"/>
                <w:b/>
                <w:lang w:eastAsia="zh-CN"/>
              </w:rPr>
              <w:t>次会议</w:t>
            </w:r>
            <w:r w:rsidR="004F700E" w:rsidRPr="00577359">
              <w:rPr>
                <w:rFonts w:cs="Times New Roman Bold"/>
                <w:b/>
                <w:lang w:eastAsia="zh-CN"/>
              </w:rPr>
              <w:t xml:space="preserve"> </w:t>
            </w:r>
            <w:r w:rsidR="004F700E" w:rsidRPr="00577359">
              <w:rPr>
                <w:rFonts w:cs="Calibri"/>
                <w:b/>
                <w:color w:val="000000"/>
                <w:lang w:eastAsia="zh-CN"/>
              </w:rPr>
              <w:t>–</w:t>
            </w:r>
            <w:r w:rsidR="004F700E" w:rsidRPr="00577359">
              <w:rPr>
                <w:rFonts w:cs="Times New Roman Bold"/>
                <w:b/>
                <w:lang w:eastAsia="zh-CN"/>
              </w:rPr>
              <w:t xml:space="preserve"> </w:t>
            </w:r>
            <w:r w:rsidR="004F700E" w:rsidRPr="00577359">
              <w:rPr>
                <w:rFonts w:cs="Times New Roman Bold" w:hint="eastAsia"/>
                <w:b/>
                <w:lang w:eastAsia="zh-CN"/>
              </w:rPr>
              <w:t>虚拟会议，</w:t>
            </w:r>
            <w:r w:rsidR="004F700E" w:rsidRPr="00577359">
              <w:rPr>
                <w:rFonts w:cs="Times New Roman Bold"/>
                <w:b/>
                <w:lang w:eastAsia="zh-CN"/>
              </w:rPr>
              <w:t>20</w:t>
            </w:r>
            <w:r w:rsidR="004F700E" w:rsidRPr="00577359">
              <w:rPr>
                <w:rFonts w:cs="Times New Roman Bold" w:hint="eastAsia"/>
                <w:b/>
                <w:lang w:eastAsia="zh-CN"/>
              </w:rPr>
              <w:t>21</w:t>
            </w:r>
            <w:r w:rsidR="004F700E" w:rsidRPr="00577359">
              <w:rPr>
                <w:rFonts w:cs="Times New Roman Bold"/>
                <w:b/>
                <w:lang w:eastAsia="zh-CN"/>
              </w:rPr>
              <w:t>年</w:t>
            </w:r>
            <w:r w:rsidR="004F700E" w:rsidRPr="00577359">
              <w:rPr>
                <w:rFonts w:cs="Times New Roman Bold" w:hint="eastAsia"/>
                <w:b/>
                <w:lang w:eastAsia="zh-CN"/>
              </w:rPr>
              <w:t>9</w:t>
            </w:r>
            <w:r w:rsidR="004F700E" w:rsidRPr="00577359">
              <w:rPr>
                <w:rFonts w:cs="Times New Roman Bold"/>
                <w:b/>
                <w:lang w:eastAsia="zh-CN"/>
              </w:rPr>
              <w:t>月</w:t>
            </w:r>
            <w:r w:rsidR="004F700E" w:rsidRPr="00577359">
              <w:rPr>
                <w:rFonts w:cs="Times New Roman Bold" w:hint="eastAsia"/>
                <w:b/>
                <w:lang w:eastAsia="zh-CN"/>
              </w:rPr>
              <w:t>29-30</w:t>
            </w:r>
            <w:r w:rsidR="004F700E" w:rsidRPr="00577359">
              <w:rPr>
                <w:rFonts w:cs="Times New Roman Bold" w:hint="eastAsia"/>
                <w:b/>
                <w:lang w:eastAsia="zh-CN"/>
              </w:rPr>
              <w:t>日</w:t>
            </w:r>
          </w:p>
        </w:tc>
        <w:tc>
          <w:tcPr>
            <w:tcW w:w="3120" w:type="dxa"/>
          </w:tcPr>
          <w:p w14:paraId="7FA7E62A" w14:textId="77777777" w:rsidR="00700D1F" w:rsidRPr="00577359" w:rsidRDefault="009D2585" w:rsidP="009D2585">
            <w:pPr>
              <w:spacing w:before="0"/>
            </w:pPr>
            <w:bookmarkStart w:id="0" w:name="ditulogo"/>
            <w:bookmarkEnd w:id="0"/>
            <w:r w:rsidRPr="00577359">
              <w:rPr>
                <w:noProof/>
                <w:lang w:val="en-US" w:eastAsia="zh-CN"/>
              </w:rPr>
              <w:drawing>
                <wp:inline distT="0" distB="0" distL="0" distR="0" wp14:anchorId="2AD5B73D" wp14:editId="63E35D6C">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7391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700D1F" w:rsidRPr="00577359" w14:paraId="4E18522B" w14:textId="77777777">
        <w:trPr>
          <w:cantSplit/>
        </w:trPr>
        <w:tc>
          <w:tcPr>
            <w:tcW w:w="6911" w:type="dxa"/>
            <w:tcBorders>
              <w:bottom w:val="single" w:sz="12" w:space="0" w:color="auto"/>
            </w:tcBorders>
          </w:tcPr>
          <w:p w14:paraId="19DB5F0F" w14:textId="2A78B68E" w:rsidR="00700D1F" w:rsidRPr="00577359" w:rsidRDefault="00700D1F" w:rsidP="00D966A7">
            <w:pPr>
              <w:spacing w:before="0" w:after="48"/>
              <w:rPr>
                <w:b/>
                <w:smallCaps/>
                <w:szCs w:val="24"/>
                <w:lang w:eastAsia="zh-CN"/>
              </w:rPr>
            </w:pPr>
          </w:p>
        </w:tc>
        <w:tc>
          <w:tcPr>
            <w:tcW w:w="3120" w:type="dxa"/>
            <w:tcBorders>
              <w:bottom w:val="single" w:sz="12" w:space="0" w:color="auto"/>
            </w:tcBorders>
          </w:tcPr>
          <w:p w14:paraId="0FDA8B22" w14:textId="77777777" w:rsidR="00700D1F" w:rsidRPr="00577359" w:rsidRDefault="00700D1F" w:rsidP="00D966A7">
            <w:pPr>
              <w:spacing w:before="0"/>
              <w:rPr>
                <w:szCs w:val="24"/>
                <w:lang w:eastAsia="zh-CN"/>
              </w:rPr>
            </w:pPr>
          </w:p>
        </w:tc>
      </w:tr>
      <w:tr w:rsidR="00700D1F" w:rsidRPr="00577359" w14:paraId="370F059D" w14:textId="77777777">
        <w:trPr>
          <w:cantSplit/>
        </w:trPr>
        <w:tc>
          <w:tcPr>
            <w:tcW w:w="6911" w:type="dxa"/>
            <w:tcBorders>
              <w:top w:val="single" w:sz="12" w:space="0" w:color="auto"/>
            </w:tcBorders>
          </w:tcPr>
          <w:p w14:paraId="16152C04" w14:textId="77777777" w:rsidR="00700D1F" w:rsidRPr="00577359" w:rsidRDefault="00700D1F" w:rsidP="00D966A7">
            <w:pPr>
              <w:spacing w:before="0" w:after="48"/>
              <w:rPr>
                <w:b/>
                <w:smallCaps/>
                <w:szCs w:val="24"/>
                <w:lang w:eastAsia="zh-CN"/>
              </w:rPr>
            </w:pPr>
          </w:p>
        </w:tc>
        <w:tc>
          <w:tcPr>
            <w:tcW w:w="3120" w:type="dxa"/>
            <w:tcBorders>
              <w:top w:val="single" w:sz="12" w:space="0" w:color="auto"/>
            </w:tcBorders>
          </w:tcPr>
          <w:p w14:paraId="45465A9D" w14:textId="77777777" w:rsidR="00700D1F" w:rsidRPr="00577359" w:rsidRDefault="00700D1F" w:rsidP="00D966A7">
            <w:pPr>
              <w:spacing w:before="0"/>
              <w:rPr>
                <w:szCs w:val="24"/>
                <w:lang w:eastAsia="zh-CN"/>
              </w:rPr>
            </w:pPr>
          </w:p>
        </w:tc>
      </w:tr>
      <w:tr w:rsidR="003C68C5" w:rsidRPr="00577359" w14:paraId="77142615" w14:textId="77777777">
        <w:trPr>
          <w:cantSplit/>
          <w:trHeight w:val="23"/>
        </w:trPr>
        <w:tc>
          <w:tcPr>
            <w:tcW w:w="6911" w:type="dxa"/>
            <w:vMerge w:val="restart"/>
          </w:tcPr>
          <w:p w14:paraId="565723F0" w14:textId="77777777" w:rsidR="003C68C5" w:rsidRPr="00577359" w:rsidRDefault="003C68C5" w:rsidP="00D966A7">
            <w:pPr>
              <w:tabs>
                <w:tab w:val="left" w:pos="851"/>
              </w:tabs>
              <w:rPr>
                <w:b/>
                <w:szCs w:val="24"/>
                <w:lang w:eastAsia="zh-CN"/>
              </w:rPr>
            </w:pPr>
            <w:bookmarkStart w:id="1" w:name="dmeeting" w:colFirst="0" w:colLast="0"/>
          </w:p>
        </w:tc>
        <w:tc>
          <w:tcPr>
            <w:tcW w:w="3120" w:type="dxa"/>
          </w:tcPr>
          <w:p w14:paraId="680A8819" w14:textId="410B8B86" w:rsidR="003C68C5" w:rsidRPr="00577359" w:rsidRDefault="003C68C5" w:rsidP="009935B0">
            <w:pPr>
              <w:tabs>
                <w:tab w:val="clear" w:pos="794"/>
                <w:tab w:val="clear" w:pos="1191"/>
                <w:tab w:val="clear" w:pos="1588"/>
                <w:tab w:val="clear" w:pos="1985"/>
                <w:tab w:val="left" w:pos="567"/>
                <w:tab w:val="left" w:pos="1134"/>
                <w:tab w:val="left" w:pos="1701"/>
                <w:tab w:val="left" w:pos="2268"/>
                <w:tab w:val="left" w:pos="2835"/>
              </w:tabs>
              <w:spacing w:before="0"/>
              <w:rPr>
                <w:b/>
                <w:bCs/>
              </w:rPr>
            </w:pPr>
            <w:proofErr w:type="spellStart"/>
            <w:r w:rsidRPr="00577359">
              <w:rPr>
                <w:rFonts w:hint="eastAsia"/>
                <w:b/>
                <w:bCs/>
                <w:lang w:val="fr-CH"/>
              </w:rPr>
              <w:t>文件</w:t>
            </w:r>
            <w:proofErr w:type="spellEnd"/>
            <w:r w:rsidRPr="00577359">
              <w:rPr>
                <w:b/>
                <w:bCs/>
                <w:sz w:val="20"/>
              </w:rPr>
              <w:t xml:space="preserve"> </w:t>
            </w:r>
            <w:r w:rsidR="009B0BC1" w:rsidRPr="00577359">
              <w:rPr>
                <w:rFonts w:cs="Times New Roman Bold"/>
                <w:b/>
                <w:spacing w:val="-4"/>
                <w:lang w:val="de-CH"/>
              </w:rPr>
              <w:t>CWG-SFP-1</w:t>
            </w:r>
            <w:r w:rsidR="00E75930" w:rsidRPr="00577359">
              <w:rPr>
                <w:rFonts w:cs="Times New Roman Bold"/>
                <w:b/>
                <w:bCs/>
                <w:spacing w:val="-4"/>
                <w:lang w:val="fr-CH"/>
              </w:rPr>
              <w:t>/</w:t>
            </w:r>
            <w:r w:rsidR="009935B0" w:rsidRPr="00577359">
              <w:rPr>
                <w:rFonts w:cs="Times New Roman Bold"/>
                <w:b/>
                <w:bCs/>
                <w:spacing w:val="-4"/>
                <w:lang w:val="fr-CH"/>
              </w:rPr>
              <w:t>8</w:t>
            </w:r>
            <w:r w:rsidR="009B0BC1" w:rsidRPr="00577359">
              <w:rPr>
                <w:rFonts w:cs="Times New Roman Bold"/>
                <w:b/>
                <w:bCs/>
                <w:spacing w:val="-4"/>
                <w:lang w:val="fr-CH"/>
              </w:rPr>
              <w:t>-C</w:t>
            </w:r>
          </w:p>
        </w:tc>
      </w:tr>
      <w:bookmarkEnd w:id="1"/>
      <w:tr w:rsidR="003C68C5" w:rsidRPr="00577359" w14:paraId="00AEC487" w14:textId="77777777">
        <w:trPr>
          <w:cantSplit/>
          <w:trHeight w:val="23"/>
        </w:trPr>
        <w:tc>
          <w:tcPr>
            <w:tcW w:w="6911" w:type="dxa"/>
            <w:vMerge/>
          </w:tcPr>
          <w:p w14:paraId="5B05EF42" w14:textId="77777777" w:rsidR="003C68C5" w:rsidRPr="00577359" w:rsidRDefault="003C68C5" w:rsidP="00D966A7">
            <w:pPr>
              <w:tabs>
                <w:tab w:val="left" w:pos="851"/>
              </w:tabs>
              <w:rPr>
                <w:b/>
                <w:lang w:eastAsia="zh-CN"/>
              </w:rPr>
            </w:pPr>
          </w:p>
        </w:tc>
        <w:tc>
          <w:tcPr>
            <w:tcW w:w="3120" w:type="dxa"/>
          </w:tcPr>
          <w:p w14:paraId="0DB8AC18" w14:textId="60AB4637" w:rsidR="003C68C5" w:rsidRPr="00577359" w:rsidRDefault="009B0BC1" w:rsidP="00A147BA">
            <w:pPr>
              <w:tabs>
                <w:tab w:val="clear" w:pos="794"/>
                <w:tab w:val="clear" w:pos="1191"/>
                <w:tab w:val="clear" w:pos="1588"/>
                <w:tab w:val="clear" w:pos="1985"/>
                <w:tab w:val="left" w:pos="567"/>
                <w:tab w:val="left" w:pos="1134"/>
                <w:tab w:val="left" w:pos="1701"/>
                <w:tab w:val="left" w:pos="2268"/>
                <w:tab w:val="left" w:pos="2835"/>
              </w:tabs>
              <w:spacing w:before="0"/>
              <w:rPr>
                <w:b/>
                <w:bCs/>
              </w:rPr>
            </w:pPr>
            <w:r w:rsidRPr="00577359">
              <w:rPr>
                <w:b/>
              </w:rPr>
              <w:t>20</w:t>
            </w:r>
            <w:r w:rsidRPr="00577359">
              <w:rPr>
                <w:rFonts w:hint="eastAsia"/>
                <w:b/>
                <w:lang w:eastAsia="zh-CN"/>
              </w:rPr>
              <w:t>21</w:t>
            </w:r>
            <w:r w:rsidR="003C68C5" w:rsidRPr="00577359">
              <w:rPr>
                <w:rFonts w:hint="eastAsia"/>
                <w:b/>
              </w:rPr>
              <w:t>年</w:t>
            </w:r>
            <w:r w:rsidR="009935B0" w:rsidRPr="00577359">
              <w:rPr>
                <w:rFonts w:hint="eastAsia"/>
                <w:b/>
                <w:lang w:eastAsia="zh-CN"/>
              </w:rPr>
              <w:t>9</w:t>
            </w:r>
            <w:r w:rsidR="003C68C5" w:rsidRPr="00577359">
              <w:rPr>
                <w:rFonts w:hint="eastAsia"/>
                <w:b/>
              </w:rPr>
              <w:t>月</w:t>
            </w:r>
            <w:r w:rsidR="009935B0" w:rsidRPr="00577359">
              <w:rPr>
                <w:rFonts w:hint="eastAsia"/>
                <w:b/>
                <w:lang w:eastAsia="zh-CN"/>
              </w:rPr>
              <w:t>9</w:t>
            </w:r>
            <w:r w:rsidR="003C68C5" w:rsidRPr="00577359">
              <w:rPr>
                <w:rFonts w:hint="eastAsia"/>
                <w:b/>
              </w:rPr>
              <w:t>日</w:t>
            </w:r>
          </w:p>
        </w:tc>
      </w:tr>
      <w:tr w:rsidR="003C68C5" w:rsidRPr="00577359" w14:paraId="1D98E61C" w14:textId="77777777">
        <w:trPr>
          <w:cantSplit/>
          <w:trHeight w:val="23"/>
        </w:trPr>
        <w:tc>
          <w:tcPr>
            <w:tcW w:w="6911" w:type="dxa"/>
            <w:vMerge/>
          </w:tcPr>
          <w:p w14:paraId="4BB61E2C" w14:textId="77777777" w:rsidR="003C68C5" w:rsidRPr="00577359" w:rsidRDefault="003C68C5" w:rsidP="00D966A7">
            <w:pPr>
              <w:tabs>
                <w:tab w:val="left" w:pos="851"/>
              </w:tabs>
              <w:rPr>
                <w:b/>
                <w:lang w:eastAsia="zh-CN"/>
              </w:rPr>
            </w:pPr>
          </w:p>
        </w:tc>
        <w:tc>
          <w:tcPr>
            <w:tcW w:w="3120" w:type="dxa"/>
          </w:tcPr>
          <w:p w14:paraId="24B0617E" w14:textId="42015A49" w:rsidR="003C68C5" w:rsidRPr="00577359" w:rsidRDefault="003C68C5" w:rsidP="009935B0">
            <w:pPr>
              <w:tabs>
                <w:tab w:val="clear" w:pos="794"/>
                <w:tab w:val="clear" w:pos="1191"/>
                <w:tab w:val="clear" w:pos="1588"/>
                <w:tab w:val="clear" w:pos="1985"/>
                <w:tab w:val="left" w:pos="567"/>
                <w:tab w:val="left" w:pos="1134"/>
                <w:tab w:val="left" w:pos="1701"/>
                <w:tab w:val="left" w:pos="2268"/>
                <w:tab w:val="left" w:pos="2835"/>
              </w:tabs>
              <w:spacing w:before="0"/>
              <w:rPr>
                <w:b/>
                <w:bCs/>
              </w:rPr>
            </w:pPr>
            <w:proofErr w:type="spellStart"/>
            <w:r w:rsidRPr="00577359">
              <w:rPr>
                <w:rFonts w:hint="eastAsia"/>
                <w:b/>
                <w:bCs/>
              </w:rPr>
              <w:t>原文</w:t>
            </w:r>
            <w:proofErr w:type="spellEnd"/>
            <w:r w:rsidRPr="00577359">
              <w:rPr>
                <w:rFonts w:hint="eastAsia"/>
                <w:b/>
                <w:bCs/>
              </w:rPr>
              <w:t>：</w:t>
            </w:r>
            <w:r w:rsidR="009D1C4F" w:rsidRPr="00577359">
              <w:rPr>
                <w:rFonts w:hint="eastAsia"/>
                <w:b/>
                <w:bCs/>
                <w:lang w:eastAsia="zh-CN"/>
              </w:rPr>
              <w:t>俄文</w:t>
            </w:r>
          </w:p>
        </w:tc>
      </w:tr>
      <w:tr w:rsidR="00280F79" w:rsidRPr="00577359" w14:paraId="7372E629" w14:textId="77777777" w:rsidTr="0014033B">
        <w:trPr>
          <w:cantSplit/>
          <w:trHeight w:val="23"/>
        </w:trPr>
        <w:tc>
          <w:tcPr>
            <w:tcW w:w="10031" w:type="dxa"/>
            <w:gridSpan w:val="2"/>
          </w:tcPr>
          <w:p w14:paraId="1226BED0" w14:textId="4FAB0930" w:rsidR="00280F79" w:rsidRPr="00577359" w:rsidRDefault="009935B0" w:rsidP="00E75930">
            <w:pPr>
              <w:pStyle w:val="Source"/>
              <w:rPr>
                <w:lang w:eastAsia="zh-CN"/>
              </w:rPr>
            </w:pPr>
            <w:r w:rsidRPr="00577359">
              <w:rPr>
                <w:rFonts w:hint="eastAsia"/>
                <w:bCs/>
                <w:lang w:eastAsia="zh-CN"/>
              </w:rPr>
              <w:t>俄罗斯联邦文稿</w:t>
            </w:r>
          </w:p>
        </w:tc>
      </w:tr>
      <w:tr w:rsidR="00280F79" w:rsidRPr="00577359" w14:paraId="6B6A844C" w14:textId="77777777" w:rsidTr="0014033B">
        <w:trPr>
          <w:cantSplit/>
          <w:trHeight w:val="23"/>
        </w:trPr>
        <w:tc>
          <w:tcPr>
            <w:tcW w:w="10031" w:type="dxa"/>
            <w:gridSpan w:val="2"/>
          </w:tcPr>
          <w:p w14:paraId="4FBEF284" w14:textId="5371286A" w:rsidR="00280F79" w:rsidRPr="00577359" w:rsidRDefault="00227621" w:rsidP="00A70240">
            <w:pPr>
              <w:pStyle w:val="Title1"/>
              <w:spacing w:after="120"/>
              <w:rPr>
                <w:b/>
                <w:szCs w:val="28"/>
                <w:lang w:eastAsia="zh-CN"/>
              </w:rPr>
            </w:pPr>
            <w:r w:rsidRPr="00577359">
              <w:rPr>
                <w:rFonts w:hint="eastAsia"/>
                <w:bCs/>
                <w:lang w:eastAsia="zh-CN"/>
              </w:rPr>
              <w:t>俄罗斯联邦关于改进国际电联</w:t>
            </w:r>
            <w:r w:rsidRPr="00577359">
              <w:rPr>
                <w:rFonts w:hint="eastAsia"/>
                <w:bCs/>
                <w:lang w:eastAsia="zh-CN"/>
              </w:rPr>
              <w:t>2024-2027</w:t>
            </w:r>
            <w:r w:rsidRPr="00577359">
              <w:rPr>
                <w:rFonts w:hint="eastAsia"/>
                <w:bCs/>
                <w:lang w:eastAsia="zh-CN"/>
              </w:rPr>
              <w:t>年战略</w:t>
            </w:r>
            <w:r w:rsidR="00EF2067" w:rsidRPr="00577359">
              <w:rPr>
                <w:rFonts w:hint="eastAsia"/>
                <w:bCs/>
                <w:lang w:eastAsia="zh-CN"/>
              </w:rPr>
              <w:t>规划</w:t>
            </w:r>
            <w:r w:rsidRPr="00577359">
              <w:rPr>
                <w:rFonts w:hint="eastAsia"/>
                <w:bCs/>
                <w:lang w:eastAsia="zh-CN"/>
              </w:rPr>
              <w:t>的提案</w:t>
            </w:r>
          </w:p>
        </w:tc>
      </w:tr>
    </w:tbl>
    <w:p w14:paraId="6B7579A7" w14:textId="24632815" w:rsidR="00A70240" w:rsidRPr="00577359" w:rsidRDefault="00A70240" w:rsidP="00A70240">
      <w:pPr>
        <w:rPr>
          <w:lang w:eastAsia="zh-CN"/>
        </w:rPr>
      </w:pPr>
    </w:p>
    <w:p w14:paraId="75B1854B" w14:textId="372855BB" w:rsidR="009935B0" w:rsidRPr="00577359" w:rsidRDefault="00227621" w:rsidP="00577359">
      <w:pPr>
        <w:pStyle w:val="Headingb"/>
        <w:rPr>
          <w:lang w:eastAsia="zh-CN"/>
        </w:rPr>
      </w:pPr>
      <w:bookmarkStart w:id="2" w:name="dstart"/>
      <w:bookmarkStart w:id="3" w:name="dbreak"/>
      <w:bookmarkEnd w:id="2"/>
      <w:bookmarkEnd w:id="3"/>
      <w:r w:rsidRPr="00577359">
        <w:rPr>
          <w:rFonts w:hint="eastAsia"/>
          <w:lang w:eastAsia="zh-CN"/>
        </w:rPr>
        <w:t>引言</w:t>
      </w:r>
    </w:p>
    <w:p w14:paraId="38C86E98" w14:textId="6F7FAF34" w:rsidR="009935B0" w:rsidRPr="00577359" w:rsidRDefault="00227621" w:rsidP="00577359">
      <w:pPr>
        <w:ind w:firstLineChars="200" w:firstLine="480"/>
        <w:rPr>
          <w:rFonts w:asciiTheme="minorHAnsi" w:hAnsiTheme="minorHAnsi"/>
          <w:lang w:eastAsia="zh-CN"/>
        </w:rPr>
      </w:pPr>
      <w:r w:rsidRPr="00577359">
        <w:rPr>
          <w:rFonts w:hint="eastAsia"/>
          <w:lang w:eastAsia="zh-CN"/>
        </w:rPr>
        <w:t>国际电</w:t>
      </w:r>
      <w:proofErr w:type="gramStart"/>
      <w:r w:rsidRPr="00577359">
        <w:rPr>
          <w:rFonts w:hint="eastAsia"/>
          <w:lang w:eastAsia="zh-CN"/>
        </w:rPr>
        <w:t>联战略</w:t>
      </w:r>
      <w:proofErr w:type="gramEnd"/>
      <w:r w:rsidRPr="00577359">
        <w:rPr>
          <w:rFonts w:hint="eastAsia"/>
          <w:lang w:eastAsia="zh-CN"/>
        </w:rPr>
        <w:t>和财务</w:t>
      </w:r>
      <w:r w:rsidR="00EF2067" w:rsidRPr="00577359">
        <w:rPr>
          <w:rFonts w:hint="eastAsia"/>
          <w:lang w:eastAsia="zh-CN"/>
        </w:rPr>
        <w:t>规划</w:t>
      </w:r>
      <w:r w:rsidRPr="00577359">
        <w:rPr>
          <w:rFonts w:hint="eastAsia"/>
          <w:lang w:eastAsia="zh-CN"/>
        </w:rPr>
        <w:t>的起草应主要</w:t>
      </w:r>
      <w:r w:rsidR="00EF2067" w:rsidRPr="00577359">
        <w:rPr>
          <w:rFonts w:hint="eastAsia"/>
          <w:lang w:eastAsia="zh-CN"/>
        </w:rPr>
        <w:t>以</w:t>
      </w:r>
      <w:r w:rsidRPr="00577359">
        <w:rPr>
          <w:rFonts w:hint="eastAsia"/>
          <w:lang w:eastAsia="zh-CN"/>
        </w:rPr>
        <w:t>基本文件</w:t>
      </w:r>
      <w:r w:rsidR="00EF2067" w:rsidRPr="00577359">
        <w:rPr>
          <w:rFonts w:hint="eastAsia"/>
          <w:lang w:eastAsia="zh-CN"/>
        </w:rPr>
        <w:t>（</w:t>
      </w:r>
      <w:r w:rsidRPr="00577359">
        <w:rPr>
          <w:rFonts w:hint="eastAsia"/>
          <w:lang w:eastAsia="zh-CN"/>
        </w:rPr>
        <w:t>《</w:t>
      </w:r>
      <w:r w:rsidR="00EF2067" w:rsidRPr="00577359">
        <w:rPr>
          <w:rFonts w:hint="eastAsia"/>
          <w:lang w:eastAsia="zh-CN"/>
        </w:rPr>
        <w:t>组织法</w:t>
      </w:r>
      <w:r w:rsidRPr="00577359">
        <w:rPr>
          <w:rFonts w:hint="eastAsia"/>
          <w:lang w:eastAsia="zh-CN"/>
        </w:rPr>
        <w:t>》和《公约》</w:t>
      </w:r>
      <w:r w:rsidR="00EF2067" w:rsidRPr="00577359">
        <w:rPr>
          <w:rFonts w:hint="eastAsia"/>
          <w:lang w:eastAsia="zh-CN"/>
        </w:rPr>
        <w:t>）</w:t>
      </w:r>
      <w:r w:rsidRPr="00577359">
        <w:rPr>
          <w:rFonts w:hint="eastAsia"/>
          <w:lang w:eastAsia="zh-CN"/>
        </w:rPr>
        <w:t>中规定的</w:t>
      </w:r>
      <w:r w:rsidR="00EF2067" w:rsidRPr="00577359">
        <w:rPr>
          <w:rFonts w:hint="eastAsia"/>
          <w:lang w:eastAsia="zh-CN"/>
        </w:rPr>
        <w:t>职责</w:t>
      </w:r>
      <w:r w:rsidRPr="00577359">
        <w:rPr>
          <w:rFonts w:hint="eastAsia"/>
          <w:lang w:eastAsia="zh-CN"/>
        </w:rPr>
        <w:t>、其成员的</w:t>
      </w:r>
      <w:r w:rsidR="00EF2067" w:rsidRPr="00577359">
        <w:rPr>
          <w:rFonts w:hint="eastAsia"/>
          <w:lang w:eastAsia="zh-CN"/>
        </w:rPr>
        <w:t>需求</w:t>
      </w:r>
      <w:r w:rsidRPr="00577359">
        <w:rPr>
          <w:rFonts w:hint="eastAsia"/>
          <w:lang w:eastAsia="zh-CN"/>
        </w:rPr>
        <w:t>以及外部电信</w:t>
      </w:r>
      <w:r w:rsidRPr="00577359">
        <w:rPr>
          <w:rFonts w:hint="eastAsia"/>
          <w:lang w:eastAsia="zh-CN"/>
        </w:rPr>
        <w:t>/</w:t>
      </w:r>
      <w:r w:rsidR="00EF2067" w:rsidRPr="00577359">
        <w:rPr>
          <w:rFonts w:hint="eastAsia"/>
          <w:lang w:eastAsia="zh-CN"/>
        </w:rPr>
        <w:t>信息通信技术（</w:t>
      </w:r>
      <w:r w:rsidR="00EF2067" w:rsidRPr="00577359">
        <w:rPr>
          <w:rFonts w:hint="eastAsia"/>
          <w:lang w:eastAsia="zh-CN"/>
        </w:rPr>
        <w:t>ICT</w:t>
      </w:r>
      <w:r w:rsidR="00EF2067" w:rsidRPr="00577359">
        <w:rPr>
          <w:rFonts w:hint="eastAsia"/>
          <w:lang w:eastAsia="zh-CN"/>
        </w:rPr>
        <w:t>）</w:t>
      </w:r>
      <w:r w:rsidRPr="00577359">
        <w:rPr>
          <w:rFonts w:hint="eastAsia"/>
          <w:lang w:eastAsia="zh-CN"/>
        </w:rPr>
        <w:t>环境的新趋势</w:t>
      </w:r>
      <w:r w:rsidR="00EF2067" w:rsidRPr="00577359">
        <w:rPr>
          <w:rFonts w:hint="eastAsia"/>
          <w:lang w:eastAsia="zh-CN"/>
        </w:rPr>
        <w:t>为基础</w:t>
      </w:r>
      <w:r w:rsidRPr="00577359">
        <w:rPr>
          <w:rFonts w:hint="eastAsia"/>
          <w:lang w:eastAsia="zh-CN"/>
        </w:rPr>
        <w:t>。然而，考虑联合国的</w:t>
      </w:r>
      <w:r w:rsidR="00EF2067" w:rsidRPr="00577359">
        <w:rPr>
          <w:rFonts w:hint="eastAsia"/>
          <w:lang w:eastAsia="zh-CN"/>
        </w:rPr>
        <w:t>总体和具体</w:t>
      </w:r>
      <w:r w:rsidRPr="00577359">
        <w:rPr>
          <w:rFonts w:hint="eastAsia"/>
          <w:lang w:eastAsia="zh-CN"/>
        </w:rPr>
        <w:t>发展目标以及联合国联合检查组关于可持续发展的建议也很重要，因为国际电联是联合国</w:t>
      </w:r>
      <w:r w:rsidR="00EF2067" w:rsidRPr="00577359">
        <w:rPr>
          <w:rFonts w:hint="eastAsia"/>
          <w:lang w:eastAsia="zh-CN"/>
        </w:rPr>
        <w:t>负责</w:t>
      </w:r>
      <w:r w:rsidRPr="00577359">
        <w:rPr>
          <w:rFonts w:hint="eastAsia"/>
          <w:lang w:eastAsia="zh-CN"/>
        </w:rPr>
        <w:t>电信及信息通信技术</w:t>
      </w:r>
      <w:r w:rsidR="00EF2067" w:rsidRPr="00577359">
        <w:rPr>
          <w:rFonts w:hint="eastAsia"/>
          <w:lang w:eastAsia="zh-CN"/>
        </w:rPr>
        <w:t>（</w:t>
      </w:r>
      <w:r w:rsidR="00EF2067" w:rsidRPr="00577359">
        <w:rPr>
          <w:rFonts w:hint="eastAsia"/>
          <w:lang w:eastAsia="zh-CN"/>
        </w:rPr>
        <w:t>ICT</w:t>
      </w:r>
      <w:r w:rsidR="00EF2067" w:rsidRPr="00577359">
        <w:rPr>
          <w:rFonts w:hint="eastAsia"/>
          <w:lang w:eastAsia="zh-CN"/>
        </w:rPr>
        <w:t>）事务</w:t>
      </w:r>
      <w:r w:rsidRPr="00577359">
        <w:rPr>
          <w:rFonts w:hint="eastAsia"/>
          <w:lang w:eastAsia="zh-CN"/>
        </w:rPr>
        <w:t>的专门机构，并在其活动中</w:t>
      </w:r>
      <w:r w:rsidR="00EF2067" w:rsidRPr="00577359">
        <w:rPr>
          <w:rFonts w:hint="eastAsia"/>
          <w:lang w:eastAsia="zh-CN"/>
        </w:rPr>
        <w:t>积极</w:t>
      </w:r>
      <w:r w:rsidRPr="00577359">
        <w:rPr>
          <w:rFonts w:hint="eastAsia"/>
          <w:lang w:eastAsia="zh-CN"/>
        </w:rPr>
        <w:t>发挥作用</w:t>
      </w:r>
      <w:r w:rsidR="00EF2067" w:rsidRPr="00577359">
        <w:rPr>
          <w:rFonts w:hint="eastAsia"/>
          <w:lang w:eastAsia="zh-CN"/>
        </w:rPr>
        <w:t>。</w:t>
      </w:r>
      <w:r w:rsidRPr="00577359">
        <w:rPr>
          <w:rFonts w:hint="eastAsia"/>
          <w:lang w:eastAsia="zh-CN"/>
        </w:rPr>
        <w:t>电信</w:t>
      </w:r>
      <w:r w:rsidRPr="00577359">
        <w:rPr>
          <w:rFonts w:hint="eastAsia"/>
          <w:lang w:eastAsia="zh-CN"/>
        </w:rPr>
        <w:t>/</w:t>
      </w:r>
      <w:r w:rsidR="00EF2067" w:rsidRPr="00577359">
        <w:rPr>
          <w:rFonts w:hint="eastAsia"/>
          <w:lang w:eastAsia="zh-CN"/>
        </w:rPr>
        <w:t>ICT</w:t>
      </w:r>
      <w:r w:rsidRPr="00577359">
        <w:rPr>
          <w:rFonts w:hint="eastAsia"/>
          <w:lang w:eastAsia="zh-CN"/>
        </w:rPr>
        <w:t>在实现可持续发展目标</w:t>
      </w:r>
      <w:r w:rsidR="00EF2067" w:rsidRPr="00577359">
        <w:rPr>
          <w:rFonts w:hint="eastAsia"/>
          <w:lang w:eastAsia="zh-CN"/>
        </w:rPr>
        <w:t>（</w:t>
      </w:r>
      <w:r w:rsidR="00EF2067" w:rsidRPr="00577359">
        <w:rPr>
          <w:rFonts w:hint="eastAsia"/>
          <w:lang w:eastAsia="zh-CN"/>
        </w:rPr>
        <w:t>SDG</w:t>
      </w:r>
      <w:r w:rsidR="00EF2067" w:rsidRPr="00577359">
        <w:rPr>
          <w:rFonts w:hint="eastAsia"/>
          <w:lang w:eastAsia="zh-CN"/>
        </w:rPr>
        <w:t>）</w:t>
      </w:r>
      <w:r w:rsidRPr="00577359">
        <w:rPr>
          <w:rFonts w:hint="eastAsia"/>
          <w:lang w:eastAsia="zh-CN"/>
        </w:rPr>
        <w:t>和</w:t>
      </w:r>
      <w:r w:rsidR="00EF2067" w:rsidRPr="00577359">
        <w:rPr>
          <w:rFonts w:hint="eastAsia"/>
          <w:lang w:eastAsia="zh-CN"/>
        </w:rPr>
        <w:t>信息社会世界峰会（</w:t>
      </w:r>
      <w:r w:rsidRPr="00577359">
        <w:rPr>
          <w:rFonts w:hint="eastAsia"/>
          <w:lang w:eastAsia="zh-CN"/>
        </w:rPr>
        <w:t>WSIS</w:t>
      </w:r>
      <w:r w:rsidR="00EF2067" w:rsidRPr="00577359">
        <w:rPr>
          <w:rFonts w:hint="eastAsia"/>
          <w:lang w:eastAsia="zh-CN"/>
        </w:rPr>
        <w:t>）</w:t>
      </w:r>
      <w:r w:rsidRPr="00577359">
        <w:rPr>
          <w:rFonts w:hint="eastAsia"/>
          <w:lang w:eastAsia="zh-CN"/>
        </w:rPr>
        <w:t>目标方面的作用</w:t>
      </w:r>
      <w:r w:rsidR="00EF2067" w:rsidRPr="00577359">
        <w:rPr>
          <w:rFonts w:hint="eastAsia"/>
          <w:lang w:eastAsia="zh-CN"/>
        </w:rPr>
        <w:t>已</w:t>
      </w:r>
      <w:r w:rsidRPr="00577359">
        <w:rPr>
          <w:rFonts w:hint="eastAsia"/>
          <w:lang w:eastAsia="zh-CN"/>
        </w:rPr>
        <w:t>得到广泛认可。国际电联及其各部门的协调和互补努力使</w:t>
      </w:r>
      <w:r w:rsidR="00EF2067" w:rsidRPr="00577359">
        <w:rPr>
          <w:rFonts w:hint="eastAsia"/>
          <w:lang w:eastAsia="zh-CN"/>
        </w:rPr>
        <w:t>我们</w:t>
      </w:r>
      <w:r w:rsidRPr="00577359">
        <w:rPr>
          <w:rFonts w:hint="eastAsia"/>
          <w:lang w:eastAsia="zh-CN"/>
        </w:rPr>
        <w:t>有可能接触到更多的成员国，产生更大的影响</w:t>
      </w:r>
      <w:r w:rsidR="00EF2067" w:rsidRPr="00577359">
        <w:rPr>
          <w:rFonts w:hint="eastAsia"/>
          <w:lang w:eastAsia="zh-CN"/>
        </w:rPr>
        <w:t>力</w:t>
      </w:r>
      <w:r w:rsidRPr="00577359">
        <w:rPr>
          <w:rFonts w:hint="eastAsia"/>
          <w:lang w:eastAsia="zh-CN"/>
        </w:rPr>
        <w:t>，从而弥合数字鸿沟和标准化</w:t>
      </w:r>
      <w:r w:rsidR="00EF2067" w:rsidRPr="00577359">
        <w:rPr>
          <w:rFonts w:hint="eastAsia"/>
          <w:lang w:eastAsia="zh-CN"/>
        </w:rPr>
        <w:t>工作</w:t>
      </w:r>
      <w:r w:rsidRPr="00577359">
        <w:rPr>
          <w:rFonts w:hint="eastAsia"/>
          <w:lang w:eastAsia="zh-CN"/>
        </w:rPr>
        <w:t>差距，并促进</w:t>
      </w:r>
      <w:r w:rsidR="00EF2067" w:rsidRPr="00577359">
        <w:rPr>
          <w:rFonts w:hint="eastAsia"/>
          <w:lang w:eastAsia="zh-CN"/>
        </w:rPr>
        <w:t>进行</w:t>
      </w:r>
      <w:r w:rsidRPr="00577359">
        <w:rPr>
          <w:rFonts w:hint="eastAsia"/>
          <w:lang w:eastAsia="zh-CN"/>
        </w:rPr>
        <w:t>更好的频谱管理。</w:t>
      </w:r>
    </w:p>
    <w:p w14:paraId="3B032C30" w14:textId="6B5E7F91" w:rsidR="009935B0" w:rsidRPr="00577359" w:rsidRDefault="00227621" w:rsidP="00577359">
      <w:pPr>
        <w:ind w:firstLineChars="200" w:firstLine="480"/>
        <w:rPr>
          <w:lang w:eastAsia="zh-CN"/>
        </w:rPr>
      </w:pPr>
      <w:r w:rsidRPr="00577359">
        <w:rPr>
          <w:rFonts w:hint="eastAsia"/>
          <w:lang w:eastAsia="zh-CN"/>
        </w:rPr>
        <w:t>制定国际电联的战略</w:t>
      </w:r>
      <w:r w:rsidR="006F315B" w:rsidRPr="00577359">
        <w:rPr>
          <w:rFonts w:hint="eastAsia"/>
          <w:lang w:eastAsia="zh-CN"/>
        </w:rPr>
        <w:t>规划</w:t>
      </w:r>
      <w:r w:rsidRPr="00577359">
        <w:rPr>
          <w:rFonts w:hint="eastAsia"/>
          <w:lang w:eastAsia="zh-CN"/>
        </w:rPr>
        <w:t>涉及</w:t>
      </w:r>
      <w:r w:rsidR="006F315B" w:rsidRPr="00577359">
        <w:rPr>
          <w:rFonts w:hint="eastAsia"/>
          <w:lang w:eastAsia="zh-CN"/>
        </w:rPr>
        <w:t>到</w:t>
      </w:r>
      <w:r w:rsidRPr="00577359">
        <w:rPr>
          <w:rFonts w:hint="eastAsia"/>
          <w:lang w:eastAsia="zh-CN"/>
        </w:rPr>
        <w:t>应对</w:t>
      </w:r>
      <w:r w:rsidR="006F315B" w:rsidRPr="00577359">
        <w:rPr>
          <w:rFonts w:hint="eastAsia"/>
          <w:lang w:eastAsia="zh-CN"/>
        </w:rPr>
        <w:t>诸多挑战，如</w:t>
      </w:r>
      <w:r w:rsidRPr="00577359">
        <w:rPr>
          <w:rFonts w:hint="eastAsia"/>
          <w:lang w:eastAsia="zh-CN"/>
        </w:rPr>
        <w:t>确定问题</w:t>
      </w:r>
      <w:r w:rsidR="006F315B" w:rsidRPr="00577359">
        <w:rPr>
          <w:rFonts w:hint="eastAsia"/>
          <w:lang w:eastAsia="zh-CN"/>
        </w:rPr>
        <w:t>根源</w:t>
      </w:r>
      <w:r w:rsidRPr="00577359">
        <w:rPr>
          <w:rFonts w:hint="eastAsia"/>
          <w:lang w:eastAsia="zh-CN"/>
        </w:rPr>
        <w:t>和新出现的情况和趋势，其中一些挑战显而易见，而另一些挑战则</w:t>
      </w:r>
      <w:r w:rsidR="006F315B" w:rsidRPr="00577359">
        <w:rPr>
          <w:rFonts w:hint="eastAsia"/>
          <w:lang w:eastAsia="zh-CN"/>
        </w:rPr>
        <w:t>并非一目了然，甚或我们对之一无所知</w:t>
      </w:r>
      <w:r w:rsidRPr="00577359">
        <w:rPr>
          <w:rFonts w:hint="eastAsia"/>
          <w:lang w:eastAsia="zh-CN"/>
        </w:rPr>
        <w:t>。</w:t>
      </w:r>
      <w:r w:rsidR="006F315B" w:rsidRPr="00577359">
        <w:rPr>
          <w:rFonts w:hint="eastAsia"/>
          <w:lang w:eastAsia="zh-CN"/>
        </w:rPr>
        <w:t>的确</w:t>
      </w:r>
      <w:r w:rsidRPr="00577359">
        <w:rPr>
          <w:rFonts w:hint="eastAsia"/>
          <w:lang w:eastAsia="zh-CN"/>
        </w:rPr>
        <w:t>，确定这些问题并</w:t>
      </w:r>
      <w:r w:rsidR="006F315B" w:rsidRPr="00577359">
        <w:rPr>
          <w:rFonts w:hint="eastAsia"/>
          <w:lang w:eastAsia="zh-CN"/>
        </w:rPr>
        <w:t>了解</w:t>
      </w:r>
      <w:r w:rsidRPr="00577359">
        <w:rPr>
          <w:rFonts w:hint="eastAsia"/>
          <w:lang w:eastAsia="zh-CN"/>
        </w:rPr>
        <w:t>在起草战略</w:t>
      </w:r>
      <w:r w:rsidR="006F315B" w:rsidRPr="00577359">
        <w:rPr>
          <w:rFonts w:hint="eastAsia"/>
          <w:lang w:eastAsia="zh-CN"/>
        </w:rPr>
        <w:t>规划</w:t>
      </w:r>
      <w:r w:rsidRPr="00577359">
        <w:rPr>
          <w:rFonts w:hint="eastAsia"/>
          <w:lang w:eastAsia="zh-CN"/>
        </w:rPr>
        <w:t>和制定</w:t>
      </w:r>
      <w:r w:rsidR="006F315B" w:rsidRPr="00577359">
        <w:rPr>
          <w:rFonts w:hint="eastAsia"/>
          <w:lang w:eastAsia="zh-CN"/>
        </w:rPr>
        <w:t>总体</w:t>
      </w:r>
      <w:r w:rsidRPr="00577359">
        <w:rPr>
          <w:rFonts w:hint="eastAsia"/>
          <w:lang w:eastAsia="zh-CN"/>
        </w:rPr>
        <w:t>目标和</w:t>
      </w:r>
      <w:r w:rsidR="006F315B" w:rsidRPr="00577359">
        <w:rPr>
          <w:rFonts w:hint="eastAsia"/>
          <w:lang w:eastAsia="zh-CN"/>
        </w:rPr>
        <w:t>具体目标</w:t>
      </w:r>
      <w:r w:rsidRPr="00577359">
        <w:rPr>
          <w:rFonts w:hint="eastAsia"/>
          <w:lang w:eastAsia="zh-CN"/>
        </w:rPr>
        <w:t>时是否有可能</w:t>
      </w:r>
      <w:r w:rsidRPr="00577359">
        <w:rPr>
          <w:rFonts w:hint="eastAsia"/>
          <w:lang w:eastAsia="zh-CN"/>
        </w:rPr>
        <w:t>/</w:t>
      </w:r>
      <w:r w:rsidR="006F315B" w:rsidRPr="00577359">
        <w:rPr>
          <w:rFonts w:hint="eastAsia"/>
          <w:lang w:eastAsia="zh-CN"/>
        </w:rPr>
        <w:t>合适</w:t>
      </w:r>
      <w:r w:rsidRPr="00577359">
        <w:rPr>
          <w:rFonts w:hint="eastAsia"/>
          <w:lang w:eastAsia="zh-CN"/>
        </w:rPr>
        <w:t>考虑这些问题</w:t>
      </w:r>
      <w:r w:rsidR="00C5075E" w:rsidRPr="00577359">
        <w:rPr>
          <w:rFonts w:hint="eastAsia"/>
          <w:lang w:eastAsia="zh-CN"/>
        </w:rPr>
        <w:t>--</w:t>
      </w:r>
      <w:r w:rsidRPr="00577359">
        <w:rPr>
          <w:rFonts w:hint="eastAsia"/>
          <w:lang w:eastAsia="zh-CN"/>
        </w:rPr>
        <w:t>以此作为实现更广泛目标的手段</w:t>
      </w:r>
      <w:r w:rsidR="00C5075E" w:rsidRPr="00577359">
        <w:rPr>
          <w:rFonts w:hint="eastAsia"/>
          <w:lang w:eastAsia="zh-CN"/>
        </w:rPr>
        <w:t>--</w:t>
      </w:r>
      <w:r w:rsidRPr="00577359">
        <w:rPr>
          <w:rFonts w:hint="eastAsia"/>
          <w:lang w:eastAsia="zh-CN"/>
        </w:rPr>
        <w:t>将需要投入时间、金钱和人力资源。</w:t>
      </w:r>
      <w:r w:rsidR="00C5075E" w:rsidRPr="00577359">
        <w:rPr>
          <w:rFonts w:hint="eastAsia"/>
          <w:lang w:eastAsia="zh-CN"/>
        </w:rPr>
        <w:t>有鉴于此</w:t>
      </w:r>
      <w:r w:rsidRPr="00577359">
        <w:rPr>
          <w:rFonts w:hint="eastAsia"/>
          <w:lang w:eastAsia="zh-CN"/>
        </w:rPr>
        <w:t>，每项新战略</w:t>
      </w:r>
      <w:r w:rsidR="00C5075E" w:rsidRPr="00577359">
        <w:rPr>
          <w:rFonts w:hint="eastAsia"/>
          <w:lang w:eastAsia="zh-CN"/>
        </w:rPr>
        <w:t>规划</w:t>
      </w:r>
      <w:r w:rsidRPr="00577359">
        <w:rPr>
          <w:rFonts w:hint="eastAsia"/>
          <w:lang w:eastAsia="zh-CN"/>
        </w:rPr>
        <w:t>的起草都应</w:t>
      </w:r>
      <w:r w:rsidR="00C5075E" w:rsidRPr="00577359">
        <w:rPr>
          <w:rFonts w:hint="eastAsia"/>
          <w:lang w:eastAsia="zh-CN"/>
        </w:rPr>
        <w:t>汲取已</w:t>
      </w:r>
      <w:r w:rsidRPr="00577359">
        <w:rPr>
          <w:rFonts w:hint="eastAsia"/>
          <w:lang w:eastAsia="zh-CN"/>
        </w:rPr>
        <w:t>积累的经验，并确保</w:t>
      </w:r>
      <w:r w:rsidR="00C5075E" w:rsidRPr="00577359">
        <w:rPr>
          <w:rFonts w:hint="eastAsia"/>
          <w:lang w:eastAsia="zh-CN"/>
        </w:rPr>
        <w:t>各战略规划之间</w:t>
      </w:r>
      <w:r w:rsidRPr="00577359">
        <w:rPr>
          <w:rFonts w:hint="eastAsia"/>
          <w:lang w:eastAsia="zh-CN"/>
        </w:rPr>
        <w:t>的连续性。最终，起草国际电联战略</w:t>
      </w:r>
      <w:r w:rsidR="00C5075E" w:rsidRPr="00577359">
        <w:rPr>
          <w:rFonts w:hint="eastAsia"/>
          <w:lang w:eastAsia="zh-CN"/>
        </w:rPr>
        <w:t>规划</w:t>
      </w:r>
      <w:r w:rsidRPr="00577359">
        <w:rPr>
          <w:rFonts w:hint="eastAsia"/>
          <w:lang w:eastAsia="zh-CN"/>
        </w:rPr>
        <w:t>时的首要考虑应是</w:t>
      </w:r>
      <w:r w:rsidR="00C5075E" w:rsidRPr="00577359">
        <w:rPr>
          <w:rFonts w:hint="eastAsia"/>
          <w:lang w:eastAsia="zh-CN"/>
        </w:rPr>
        <w:t>本</w:t>
      </w:r>
      <w:r w:rsidRPr="00577359">
        <w:rPr>
          <w:rFonts w:hint="eastAsia"/>
          <w:lang w:eastAsia="zh-CN"/>
        </w:rPr>
        <w:t>组织的</w:t>
      </w:r>
      <w:r w:rsidR="00C5075E" w:rsidRPr="00577359">
        <w:rPr>
          <w:rFonts w:hint="eastAsia"/>
          <w:lang w:eastAsia="zh-CN"/>
        </w:rPr>
        <w:t>职责</w:t>
      </w:r>
      <w:r w:rsidRPr="00577359">
        <w:rPr>
          <w:rFonts w:hint="eastAsia"/>
          <w:lang w:eastAsia="zh-CN"/>
        </w:rPr>
        <w:t>，即其法定活动。</w:t>
      </w:r>
    </w:p>
    <w:p w14:paraId="03C3009D" w14:textId="5EB24C9C" w:rsidR="009935B0" w:rsidRPr="00577359" w:rsidRDefault="00C5075E" w:rsidP="00577359">
      <w:pPr>
        <w:ind w:firstLineChars="200" w:firstLine="480"/>
        <w:rPr>
          <w:lang w:eastAsia="zh-CN"/>
        </w:rPr>
      </w:pPr>
      <w:r w:rsidRPr="00577359">
        <w:rPr>
          <w:rFonts w:hint="eastAsia"/>
          <w:lang w:eastAsia="zh-CN"/>
        </w:rPr>
        <w:t>国际</w:t>
      </w:r>
      <w:proofErr w:type="gramStart"/>
      <w:r w:rsidRPr="00577359">
        <w:rPr>
          <w:rFonts w:hint="eastAsia"/>
          <w:lang w:eastAsia="zh-CN"/>
        </w:rPr>
        <w:t>电联应</w:t>
      </w:r>
      <w:r w:rsidR="00501C8C" w:rsidRPr="00577359">
        <w:rPr>
          <w:rFonts w:hint="eastAsia"/>
          <w:lang w:eastAsia="zh-CN"/>
        </w:rPr>
        <w:t>再次</w:t>
      </w:r>
      <w:proofErr w:type="gramEnd"/>
      <w:r w:rsidR="00501C8C" w:rsidRPr="00577359">
        <w:rPr>
          <w:rFonts w:hint="eastAsia"/>
          <w:lang w:eastAsia="zh-CN"/>
        </w:rPr>
        <w:t>确认“连通目标</w:t>
      </w:r>
      <w:r w:rsidR="00501C8C" w:rsidRPr="00577359">
        <w:rPr>
          <w:rFonts w:hint="eastAsia"/>
          <w:lang w:eastAsia="zh-CN"/>
        </w:rPr>
        <w:t>2030</w:t>
      </w:r>
      <w:r w:rsidR="00501C8C" w:rsidRPr="00577359">
        <w:rPr>
          <w:rFonts w:hint="eastAsia"/>
          <w:lang w:eastAsia="zh-CN"/>
        </w:rPr>
        <w:t>议程”下促进电信</w:t>
      </w:r>
      <w:r w:rsidR="00501C8C" w:rsidRPr="00577359">
        <w:rPr>
          <w:rFonts w:hint="eastAsia"/>
          <w:lang w:eastAsia="zh-CN"/>
        </w:rPr>
        <w:t>/ICT</w:t>
      </w:r>
      <w:r w:rsidRPr="00577359">
        <w:rPr>
          <w:rFonts w:hint="eastAsia"/>
          <w:lang w:eastAsia="zh-CN"/>
        </w:rPr>
        <w:t>行业</w:t>
      </w:r>
      <w:r w:rsidR="00501C8C" w:rsidRPr="00577359">
        <w:rPr>
          <w:rFonts w:hint="eastAsia"/>
          <w:lang w:eastAsia="zh-CN"/>
        </w:rPr>
        <w:t>发展的全球共同愿景，设想实现“一个由互连世界赋能的信息社会，在此社会中电信</w:t>
      </w:r>
      <w:r w:rsidR="00501C8C" w:rsidRPr="00577359">
        <w:rPr>
          <w:rFonts w:hint="eastAsia"/>
          <w:lang w:eastAsia="zh-CN"/>
        </w:rPr>
        <w:t>/ICT</w:t>
      </w:r>
      <w:r w:rsidR="00501C8C" w:rsidRPr="00577359">
        <w:rPr>
          <w:rFonts w:hint="eastAsia"/>
          <w:lang w:eastAsia="zh-CN"/>
        </w:rPr>
        <w:t>促成并加速可由人人共享的社会、经济和环境方面的可持续增长和发展</w:t>
      </w:r>
      <w:r w:rsidRPr="00577359">
        <w:rPr>
          <w:rFonts w:hint="eastAsia"/>
          <w:lang w:eastAsia="zh-CN"/>
        </w:rPr>
        <w:t>。</w:t>
      </w:r>
      <w:r w:rsidR="00501C8C" w:rsidRPr="00577359">
        <w:rPr>
          <w:rFonts w:hint="eastAsia"/>
          <w:lang w:eastAsia="zh-CN"/>
        </w:rPr>
        <w:t>”</w:t>
      </w:r>
    </w:p>
    <w:p w14:paraId="6AFB2BF9" w14:textId="44E70F4C" w:rsidR="009935B0" w:rsidRPr="00577359" w:rsidRDefault="00881942" w:rsidP="00577359">
      <w:pPr>
        <w:ind w:firstLineChars="200" w:firstLine="480"/>
        <w:rPr>
          <w:lang w:eastAsia="zh-CN"/>
        </w:rPr>
      </w:pPr>
      <w:r w:rsidRPr="00577359">
        <w:rPr>
          <w:rFonts w:hint="eastAsia"/>
          <w:lang w:eastAsia="zh-CN"/>
        </w:rPr>
        <w:t>由于</w:t>
      </w:r>
      <w:r w:rsidR="002E4250" w:rsidRPr="00577359">
        <w:rPr>
          <w:lang w:eastAsia="zh-CN"/>
        </w:rPr>
        <w:t>认识到国际电联的</w:t>
      </w:r>
      <w:r w:rsidRPr="00577359">
        <w:rPr>
          <w:lang w:eastAsia="zh-CN"/>
        </w:rPr>
        <w:t>职责</w:t>
      </w:r>
      <w:r w:rsidR="002E4250" w:rsidRPr="00577359">
        <w:rPr>
          <w:lang w:eastAsia="zh-CN"/>
        </w:rPr>
        <w:t>、正在进行的活动和</w:t>
      </w:r>
      <w:r w:rsidRPr="00577359">
        <w:rPr>
          <w:lang w:eastAsia="zh-CN"/>
        </w:rPr>
        <w:t>项目</w:t>
      </w:r>
      <w:r w:rsidR="002E4250" w:rsidRPr="00577359">
        <w:rPr>
          <w:lang w:eastAsia="zh-CN"/>
        </w:rPr>
        <w:t>、国际电联战略规划的方法</w:t>
      </w:r>
      <w:proofErr w:type="gramStart"/>
      <w:r w:rsidR="002E4250" w:rsidRPr="00577359">
        <w:rPr>
          <w:lang w:eastAsia="zh-CN"/>
        </w:rPr>
        <w:t>学工具</w:t>
      </w:r>
      <w:proofErr w:type="gramEnd"/>
      <w:r w:rsidR="002E4250" w:rsidRPr="00577359">
        <w:rPr>
          <w:lang w:eastAsia="zh-CN"/>
        </w:rPr>
        <w:t>/</w:t>
      </w:r>
      <w:r w:rsidR="002E4250" w:rsidRPr="00577359">
        <w:rPr>
          <w:lang w:eastAsia="zh-CN"/>
        </w:rPr>
        <w:t>工具包，以及国际电联及其成员有必要从战略角度明确了解</w:t>
      </w:r>
      <w:r w:rsidRPr="00577359">
        <w:rPr>
          <w:lang w:eastAsia="zh-CN"/>
        </w:rPr>
        <w:t>国际电联的总体</w:t>
      </w:r>
      <w:r w:rsidR="002E4250" w:rsidRPr="00577359">
        <w:rPr>
          <w:lang w:eastAsia="zh-CN"/>
        </w:rPr>
        <w:t>目标和</w:t>
      </w:r>
      <w:r w:rsidRPr="00577359">
        <w:rPr>
          <w:lang w:eastAsia="zh-CN"/>
        </w:rPr>
        <w:t>部门</w:t>
      </w:r>
      <w:r w:rsidR="002E4250" w:rsidRPr="00577359">
        <w:rPr>
          <w:lang w:eastAsia="zh-CN"/>
        </w:rPr>
        <w:t>目标以及实现这些目标的手段，</w:t>
      </w:r>
      <w:r w:rsidRPr="00577359">
        <w:rPr>
          <w:rFonts w:hint="eastAsia"/>
          <w:lang w:eastAsia="zh-CN"/>
        </w:rPr>
        <w:t>因此</w:t>
      </w:r>
      <w:r w:rsidR="002E4250" w:rsidRPr="00577359">
        <w:rPr>
          <w:lang w:eastAsia="zh-CN"/>
        </w:rPr>
        <w:t>俄罗斯联邦</w:t>
      </w:r>
      <w:r w:rsidRPr="00577359">
        <w:rPr>
          <w:lang w:eastAsia="zh-CN"/>
        </w:rPr>
        <w:t>在此</w:t>
      </w:r>
      <w:r w:rsidR="002E4250" w:rsidRPr="00577359">
        <w:rPr>
          <w:lang w:eastAsia="zh-CN"/>
        </w:rPr>
        <w:t>提出其对战略</w:t>
      </w:r>
      <w:r w:rsidRPr="00577359">
        <w:rPr>
          <w:lang w:eastAsia="zh-CN"/>
        </w:rPr>
        <w:t>规划</w:t>
      </w:r>
      <w:r w:rsidR="002E4250" w:rsidRPr="00577359">
        <w:rPr>
          <w:lang w:eastAsia="zh-CN"/>
        </w:rPr>
        <w:t>应</w:t>
      </w:r>
      <w:r w:rsidRPr="00577359">
        <w:rPr>
          <w:lang w:eastAsia="zh-CN"/>
        </w:rPr>
        <w:t>确立</w:t>
      </w:r>
      <w:r w:rsidR="002E4250" w:rsidRPr="00577359">
        <w:rPr>
          <w:lang w:eastAsia="zh-CN"/>
        </w:rPr>
        <w:t>的方向和改进方法的设想，详见下文</w:t>
      </w:r>
      <w:r w:rsidRPr="00577359">
        <w:rPr>
          <w:b/>
          <w:lang w:eastAsia="zh-CN"/>
        </w:rPr>
        <w:t>提案</w:t>
      </w:r>
      <w:r w:rsidRPr="00577359">
        <w:rPr>
          <w:lang w:eastAsia="zh-CN"/>
        </w:rPr>
        <w:t>一节</w:t>
      </w:r>
      <w:r w:rsidR="002E4250" w:rsidRPr="00577359">
        <w:rPr>
          <w:lang w:eastAsia="zh-CN"/>
        </w:rPr>
        <w:t>。</w:t>
      </w:r>
    </w:p>
    <w:p w14:paraId="40D2DE5A" w14:textId="416B7D40" w:rsidR="009935B0" w:rsidRPr="00577359" w:rsidRDefault="00227621" w:rsidP="00577359">
      <w:pPr>
        <w:pStyle w:val="Headingb"/>
        <w:rPr>
          <w:lang w:eastAsia="zh-CN"/>
        </w:rPr>
      </w:pPr>
      <w:r w:rsidRPr="00577359">
        <w:rPr>
          <w:rFonts w:hint="eastAsia"/>
          <w:lang w:eastAsia="zh-CN"/>
        </w:rPr>
        <w:t>提案</w:t>
      </w:r>
    </w:p>
    <w:p w14:paraId="74A8F5F0" w14:textId="37BBDA46" w:rsidR="009935B0" w:rsidRPr="00577359" w:rsidRDefault="009935B0" w:rsidP="009935B0">
      <w:pPr>
        <w:rPr>
          <w:lang w:eastAsia="zh-CN"/>
        </w:rPr>
      </w:pPr>
      <w:r w:rsidRPr="00577359">
        <w:rPr>
          <w:lang w:eastAsia="zh-CN"/>
        </w:rPr>
        <w:t>1</w:t>
      </w:r>
      <w:r w:rsidRPr="00577359">
        <w:rPr>
          <w:lang w:eastAsia="zh-CN"/>
        </w:rPr>
        <w:tab/>
      </w:r>
      <w:r w:rsidR="00227621" w:rsidRPr="00577359">
        <w:rPr>
          <w:rFonts w:hint="eastAsia"/>
          <w:lang w:eastAsia="zh-CN"/>
        </w:rPr>
        <w:t>将当前国际电联</w:t>
      </w:r>
      <w:r w:rsidR="00227621" w:rsidRPr="00577359">
        <w:rPr>
          <w:rFonts w:hint="eastAsia"/>
          <w:lang w:eastAsia="zh-CN"/>
        </w:rPr>
        <w:t>2020-2023</w:t>
      </w:r>
      <w:r w:rsidR="00227621" w:rsidRPr="00577359">
        <w:rPr>
          <w:rFonts w:hint="eastAsia"/>
          <w:lang w:eastAsia="zh-CN"/>
        </w:rPr>
        <w:t>年战略</w:t>
      </w:r>
      <w:r w:rsidR="00CB1BCA" w:rsidRPr="00577359">
        <w:rPr>
          <w:rFonts w:hint="eastAsia"/>
          <w:lang w:eastAsia="zh-CN"/>
        </w:rPr>
        <w:t>规划</w:t>
      </w:r>
      <w:r w:rsidR="00227621" w:rsidRPr="00577359">
        <w:rPr>
          <w:rFonts w:hint="eastAsia"/>
          <w:lang w:eastAsia="zh-CN"/>
        </w:rPr>
        <w:t>的五</w:t>
      </w:r>
      <w:r w:rsidR="00CB1BCA" w:rsidRPr="00577359">
        <w:rPr>
          <w:rFonts w:hint="eastAsia"/>
          <w:lang w:eastAsia="zh-CN"/>
        </w:rPr>
        <w:t>项</w:t>
      </w:r>
      <w:r w:rsidR="00227621" w:rsidRPr="00577359">
        <w:rPr>
          <w:rFonts w:hint="eastAsia"/>
          <w:lang w:eastAsia="zh-CN"/>
        </w:rPr>
        <w:t>战略目标与《</w:t>
      </w:r>
      <w:r w:rsidR="00CB1BCA" w:rsidRPr="00577359">
        <w:rPr>
          <w:rFonts w:hint="eastAsia"/>
          <w:lang w:eastAsia="zh-CN"/>
        </w:rPr>
        <w:t>组织法</w:t>
      </w:r>
      <w:r w:rsidR="00227621" w:rsidRPr="00577359">
        <w:rPr>
          <w:rFonts w:hint="eastAsia"/>
          <w:lang w:eastAsia="zh-CN"/>
        </w:rPr>
        <w:t>》第</w:t>
      </w:r>
      <w:r w:rsidR="00227621" w:rsidRPr="00577359">
        <w:rPr>
          <w:rFonts w:hint="eastAsia"/>
          <w:lang w:eastAsia="zh-CN"/>
        </w:rPr>
        <w:t>1</w:t>
      </w:r>
      <w:r w:rsidR="00227621" w:rsidRPr="00577359">
        <w:rPr>
          <w:rFonts w:hint="eastAsia"/>
          <w:lang w:eastAsia="zh-CN"/>
        </w:rPr>
        <w:t>条规定的宗旨进行比较，可以看出国际电联总体上在</w:t>
      </w:r>
      <w:r w:rsidR="00CB1BCA" w:rsidRPr="00577359">
        <w:rPr>
          <w:rFonts w:hint="eastAsia"/>
          <w:lang w:eastAsia="zh-CN"/>
        </w:rPr>
        <w:t>理念方面</w:t>
      </w:r>
      <w:r w:rsidR="00227621" w:rsidRPr="00577359">
        <w:rPr>
          <w:rFonts w:hint="eastAsia"/>
          <w:lang w:eastAsia="zh-CN"/>
        </w:rPr>
        <w:t>保持</w:t>
      </w:r>
      <w:r w:rsidR="001C3E29" w:rsidRPr="00577359">
        <w:rPr>
          <w:rFonts w:hint="eastAsia"/>
          <w:lang w:eastAsia="zh-CN"/>
        </w:rPr>
        <w:t>了</w:t>
      </w:r>
      <w:r w:rsidR="00227621" w:rsidRPr="00577359">
        <w:rPr>
          <w:rFonts w:hint="eastAsia"/>
          <w:lang w:eastAsia="zh-CN"/>
        </w:rPr>
        <w:t>一致</w:t>
      </w:r>
      <w:r w:rsidR="001C3E29" w:rsidRPr="00577359">
        <w:rPr>
          <w:rFonts w:hint="eastAsia"/>
          <w:lang w:eastAsia="zh-CN"/>
        </w:rPr>
        <w:t>性</w:t>
      </w:r>
      <w:r w:rsidR="00227621" w:rsidRPr="00577359">
        <w:rPr>
          <w:rFonts w:hint="eastAsia"/>
          <w:lang w:eastAsia="zh-CN"/>
        </w:rPr>
        <w:t>，</w:t>
      </w:r>
      <w:r w:rsidR="001C3E29" w:rsidRPr="00577359">
        <w:rPr>
          <w:rFonts w:hint="eastAsia"/>
          <w:lang w:eastAsia="zh-CN"/>
        </w:rPr>
        <w:t>且</w:t>
      </w:r>
      <w:r w:rsidR="00227621" w:rsidRPr="00577359">
        <w:rPr>
          <w:rFonts w:hint="eastAsia"/>
          <w:lang w:eastAsia="zh-CN"/>
        </w:rPr>
        <w:t>广泛遵守</w:t>
      </w:r>
      <w:r w:rsidR="001C3E29" w:rsidRPr="00577359">
        <w:rPr>
          <w:rFonts w:hint="eastAsia"/>
          <w:lang w:eastAsia="zh-CN"/>
        </w:rPr>
        <w:t>了</w:t>
      </w:r>
      <w:r w:rsidR="00227621" w:rsidRPr="00577359">
        <w:rPr>
          <w:rFonts w:hint="eastAsia"/>
          <w:lang w:eastAsia="zh-CN"/>
        </w:rPr>
        <w:t>其</w:t>
      </w:r>
      <w:r w:rsidR="001C3E29" w:rsidRPr="00577359">
        <w:rPr>
          <w:rFonts w:hint="eastAsia"/>
          <w:lang w:eastAsia="zh-CN"/>
        </w:rPr>
        <w:t>职责范围</w:t>
      </w:r>
      <w:r w:rsidR="00227621" w:rsidRPr="00577359">
        <w:rPr>
          <w:rFonts w:hint="eastAsia"/>
          <w:lang w:eastAsia="zh-CN"/>
        </w:rPr>
        <w:t>，尽管措辞并</w:t>
      </w:r>
      <w:r w:rsidR="001C3E29" w:rsidRPr="00577359">
        <w:rPr>
          <w:rFonts w:hint="eastAsia"/>
          <w:lang w:eastAsia="zh-CN"/>
        </w:rPr>
        <w:t>非</w:t>
      </w:r>
      <w:r w:rsidR="00227621" w:rsidRPr="00577359">
        <w:rPr>
          <w:rFonts w:hint="eastAsia"/>
          <w:lang w:eastAsia="zh-CN"/>
        </w:rPr>
        <w:t>完全一致，因为</w:t>
      </w:r>
      <w:r w:rsidR="001C3E29" w:rsidRPr="00577359">
        <w:rPr>
          <w:rFonts w:hint="eastAsia"/>
          <w:lang w:eastAsia="zh-CN"/>
        </w:rPr>
        <w:t>规划受到</w:t>
      </w:r>
      <w:r w:rsidR="00227621" w:rsidRPr="00577359">
        <w:rPr>
          <w:rFonts w:hint="eastAsia"/>
          <w:lang w:eastAsia="zh-CN"/>
        </w:rPr>
        <w:t>时间推移</w:t>
      </w:r>
      <w:r w:rsidR="001C3E29" w:rsidRPr="00577359">
        <w:rPr>
          <w:rFonts w:hint="eastAsia"/>
          <w:lang w:eastAsia="zh-CN"/>
        </w:rPr>
        <w:t>本身</w:t>
      </w:r>
      <w:r w:rsidR="00227621" w:rsidRPr="00577359">
        <w:rPr>
          <w:rFonts w:hint="eastAsia"/>
          <w:lang w:eastAsia="zh-CN"/>
        </w:rPr>
        <w:t>变化</w:t>
      </w:r>
      <w:r w:rsidR="001C3E29" w:rsidRPr="00577359">
        <w:rPr>
          <w:rFonts w:hint="eastAsia"/>
          <w:lang w:eastAsia="zh-CN"/>
        </w:rPr>
        <w:t>的一影响</w:t>
      </w:r>
      <w:r w:rsidR="00227621" w:rsidRPr="00577359">
        <w:rPr>
          <w:rFonts w:hint="eastAsia"/>
          <w:lang w:eastAsia="zh-CN"/>
        </w:rPr>
        <w:t>。国际电联</w:t>
      </w:r>
      <w:r w:rsidR="00227621" w:rsidRPr="00577359">
        <w:rPr>
          <w:rFonts w:hint="eastAsia"/>
          <w:lang w:eastAsia="zh-CN"/>
        </w:rPr>
        <w:t>2020-2023</w:t>
      </w:r>
      <w:r w:rsidR="00227621" w:rsidRPr="00577359">
        <w:rPr>
          <w:rFonts w:hint="eastAsia"/>
          <w:lang w:eastAsia="zh-CN"/>
        </w:rPr>
        <w:t>年战略</w:t>
      </w:r>
      <w:r w:rsidR="001C3E29" w:rsidRPr="00577359">
        <w:rPr>
          <w:rFonts w:hint="eastAsia"/>
          <w:lang w:eastAsia="zh-CN"/>
        </w:rPr>
        <w:t>规划</w:t>
      </w:r>
      <w:r w:rsidR="00227621" w:rsidRPr="00577359">
        <w:rPr>
          <w:rFonts w:hint="eastAsia"/>
          <w:lang w:eastAsia="zh-CN"/>
        </w:rPr>
        <w:t>中的五</w:t>
      </w:r>
      <w:r w:rsidR="001C3E29" w:rsidRPr="00577359">
        <w:rPr>
          <w:rFonts w:hint="eastAsia"/>
          <w:lang w:eastAsia="zh-CN"/>
        </w:rPr>
        <w:t>项</w:t>
      </w:r>
      <w:r w:rsidR="00227621" w:rsidRPr="00577359">
        <w:rPr>
          <w:rFonts w:hint="eastAsia"/>
          <w:lang w:eastAsia="zh-CN"/>
        </w:rPr>
        <w:t>战略目标可在国际电联</w:t>
      </w:r>
      <w:r w:rsidR="00227621" w:rsidRPr="00577359">
        <w:rPr>
          <w:rFonts w:hint="eastAsia"/>
          <w:lang w:eastAsia="zh-CN"/>
        </w:rPr>
        <w:t>2024-2027</w:t>
      </w:r>
      <w:r w:rsidR="00227621" w:rsidRPr="00577359">
        <w:rPr>
          <w:rFonts w:hint="eastAsia"/>
          <w:lang w:eastAsia="zh-CN"/>
        </w:rPr>
        <w:t>年战略</w:t>
      </w:r>
      <w:r w:rsidR="001C3E29" w:rsidRPr="00577359">
        <w:rPr>
          <w:rFonts w:hint="eastAsia"/>
          <w:lang w:eastAsia="zh-CN"/>
        </w:rPr>
        <w:t>规划</w:t>
      </w:r>
      <w:r w:rsidR="00227621" w:rsidRPr="00577359">
        <w:rPr>
          <w:rFonts w:hint="eastAsia"/>
          <w:lang w:eastAsia="zh-CN"/>
        </w:rPr>
        <w:t>中</w:t>
      </w:r>
      <w:r w:rsidR="001C3E29" w:rsidRPr="00577359">
        <w:rPr>
          <w:rFonts w:hint="eastAsia"/>
          <w:lang w:eastAsia="zh-CN"/>
        </w:rPr>
        <w:t>予以保留</w:t>
      </w:r>
      <w:r w:rsidR="00227621" w:rsidRPr="00577359">
        <w:rPr>
          <w:rFonts w:hint="eastAsia"/>
          <w:lang w:eastAsia="zh-CN"/>
        </w:rPr>
        <w:t>，除其他外，这将确保国际电联活动的长期连续性</w:t>
      </w:r>
      <w:r w:rsidR="001C3E29" w:rsidRPr="00577359">
        <w:rPr>
          <w:rFonts w:hint="eastAsia"/>
          <w:lang w:eastAsia="zh-CN"/>
        </w:rPr>
        <w:t>。</w:t>
      </w:r>
      <w:r w:rsidRPr="00577359">
        <w:rPr>
          <w:lang w:eastAsia="zh-CN"/>
        </w:rPr>
        <w:t xml:space="preserve"> </w:t>
      </w:r>
    </w:p>
    <w:p w14:paraId="10EFF0D3" w14:textId="7FE68503" w:rsidR="009935B0" w:rsidRPr="00577359" w:rsidRDefault="009935B0" w:rsidP="009935B0">
      <w:pPr>
        <w:rPr>
          <w:lang w:eastAsia="zh-CN"/>
        </w:rPr>
      </w:pPr>
      <w:r w:rsidRPr="00577359">
        <w:rPr>
          <w:lang w:eastAsia="zh-CN"/>
        </w:rPr>
        <w:lastRenderedPageBreak/>
        <w:t>2</w:t>
      </w:r>
      <w:r w:rsidRPr="00577359">
        <w:rPr>
          <w:lang w:eastAsia="zh-CN"/>
        </w:rPr>
        <w:tab/>
      </w:r>
      <w:r w:rsidR="00227621" w:rsidRPr="00577359">
        <w:rPr>
          <w:rFonts w:hint="eastAsia"/>
          <w:lang w:eastAsia="zh-CN"/>
        </w:rPr>
        <w:t>战略</w:t>
      </w:r>
      <w:r w:rsidR="00CE7962" w:rsidRPr="00577359">
        <w:rPr>
          <w:rFonts w:hint="eastAsia"/>
          <w:lang w:eastAsia="zh-CN"/>
        </w:rPr>
        <w:t>规划</w:t>
      </w:r>
      <w:r w:rsidR="00227621" w:rsidRPr="00577359">
        <w:rPr>
          <w:rFonts w:hint="eastAsia"/>
          <w:lang w:eastAsia="zh-CN"/>
        </w:rPr>
        <w:t>不应</w:t>
      </w:r>
      <w:r w:rsidR="00CE7962" w:rsidRPr="00577359">
        <w:rPr>
          <w:rFonts w:hint="eastAsia"/>
          <w:lang w:eastAsia="zh-CN"/>
        </w:rPr>
        <w:t>过于冗长</w:t>
      </w:r>
      <w:r w:rsidR="00227621" w:rsidRPr="00577359">
        <w:rPr>
          <w:rFonts w:hint="eastAsia"/>
          <w:lang w:eastAsia="zh-CN"/>
        </w:rPr>
        <w:t>或过于详细，</w:t>
      </w:r>
      <w:r w:rsidR="00CE7962" w:rsidRPr="00577359">
        <w:rPr>
          <w:rFonts w:hint="eastAsia"/>
          <w:lang w:eastAsia="zh-CN"/>
        </w:rPr>
        <w:t>因为</w:t>
      </w:r>
      <w:r w:rsidR="00227621" w:rsidRPr="00577359">
        <w:rPr>
          <w:rFonts w:hint="eastAsia"/>
          <w:lang w:eastAsia="zh-CN"/>
        </w:rPr>
        <w:t>这不仅会使</w:t>
      </w:r>
      <w:r w:rsidR="00CE7962" w:rsidRPr="00577359">
        <w:rPr>
          <w:rFonts w:hint="eastAsia"/>
          <w:lang w:eastAsia="zh-CN"/>
        </w:rPr>
        <w:t>规划的</w:t>
      </w:r>
      <w:r w:rsidR="00227621" w:rsidRPr="00577359">
        <w:rPr>
          <w:rFonts w:hint="eastAsia"/>
          <w:lang w:eastAsia="zh-CN"/>
        </w:rPr>
        <w:t>阅读、分析和其执行情况</w:t>
      </w:r>
      <w:r w:rsidR="00CE7962" w:rsidRPr="00577359">
        <w:rPr>
          <w:rFonts w:hint="eastAsia"/>
          <w:lang w:eastAsia="zh-CN"/>
        </w:rPr>
        <w:t>的监督</w:t>
      </w:r>
      <w:r w:rsidR="00227621" w:rsidRPr="00577359">
        <w:rPr>
          <w:rFonts w:hint="eastAsia"/>
          <w:lang w:eastAsia="zh-CN"/>
        </w:rPr>
        <w:t>困难</w:t>
      </w:r>
      <w:r w:rsidR="00CE7962" w:rsidRPr="00577359">
        <w:rPr>
          <w:rFonts w:hint="eastAsia"/>
          <w:lang w:eastAsia="zh-CN"/>
        </w:rPr>
        <w:t>重重</w:t>
      </w:r>
      <w:r w:rsidR="00227621" w:rsidRPr="00577359">
        <w:rPr>
          <w:rFonts w:hint="eastAsia"/>
          <w:lang w:eastAsia="zh-CN"/>
        </w:rPr>
        <w:t>，而且会使国际电联活动的主要领域与次要领域处于同等地位，</w:t>
      </w:r>
      <w:r w:rsidR="00CE7962" w:rsidRPr="00577359">
        <w:rPr>
          <w:rFonts w:hint="eastAsia"/>
          <w:lang w:val="en-US" w:eastAsia="zh-CN"/>
        </w:rPr>
        <w:t>进而</w:t>
      </w:r>
      <w:r w:rsidR="00227621" w:rsidRPr="00577359">
        <w:rPr>
          <w:rFonts w:hint="eastAsia"/>
          <w:lang w:eastAsia="zh-CN"/>
        </w:rPr>
        <w:t>最终</w:t>
      </w:r>
      <w:r w:rsidR="00CE7962" w:rsidRPr="00577359">
        <w:rPr>
          <w:rFonts w:hint="eastAsia"/>
          <w:lang w:eastAsia="zh-CN"/>
        </w:rPr>
        <w:t>导致</w:t>
      </w:r>
      <w:r w:rsidR="00227621" w:rsidRPr="00577359">
        <w:rPr>
          <w:rFonts w:hint="eastAsia"/>
          <w:lang w:eastAsia="zh-CN"/>
        </w:rPr>
        <w:t>资源过度紧张。</w:t>
      </w:r>
      <w:r w:rsidR="00CE7962" w:rsidRPr="00577359">
        <w:rPr>
          <w:rFonts w:hint="eastAsia"/>
          <w:lang w:eastAsia="zh-CN"/>
        </w:rPr>
        <w:t>无</w:t>
      </w:r>
      <w:r w:rsidR="00227621" w:rsidRPr="00577359">
        <w:rPr>
          <w:rFonts w:hint="eastAsia"/>
          <w:lang w:eastAsia="zh-CN"/>
        </w:rPr>
        <w:t>资金的活动和</w:t>
      </w:r>
      <w:r w:rsidR="00CE7962" w:rsidRPr="00577359">
        <w:rPr>
          <w:rFonts w:hint="eastAsia"/>
          <w:lang w:eastAsia="zh-CN"/>
        </w:rPr>
        <w:t>部门</w:t>
      </w:r>
      <w:r w:rsidR="00227621" w:rsidRPr="00577359">
        <w:rPr>
          <w:rFonts w:hint="eastAsia"/>
          <w:lang w:eastAsia="zh-CN"/>
        </w:rPr>
        <w:t>目标不应列入国际电联的战略</w:t>
      </w:r>
      <w:r w:rsidR="00CE7962" w:rsidRPr="00577359">
        <w:rPr>
          <w:rFonts w:hint="eastAsia"/>
          <w:lang w:eastAsia="zh-CN"/>
        </w:rPr>
        <w:t>规划之中。</w:t>
      </w:r>
    </w:p>
    <w:p w14:paraId="5FF69336" w14:textId="759C959F" w:rsidR="009935B0" w:rsidRPr="00577359" w:rsidRDefault="009935B0" w:rsidP="009935B0">
      <w:pPr>
        <w:rPr>
          <w:lang w:eastAsia="zh-CN"/>
        </w:rPr>
      </w:pPr>
      <w:r w:rsidRPr="00577359">
        <w:rPr>
          <w:lang w:eastAsia="zh-CN"/>
        </w:rPr>
        <w:t>3</w:t>
      </w:r>
      <w:r w:rsidRPr="00577359">
        <w:rPr>
          <w:lang w:eastAsia="zh-CN"/>
        </w:rPr>
        <w:tab/>
      </w:r>
      <w:r w:rsidR="00913437" w:rsidRPr="00577359">
        <w:rPr>
          <w:rFonts w:hint="eastAsia"/>
          <w:lang w:eastAsia="zh-CN"/>
        </w:rPr>
        <w:t>如果不考虑电信</w:t>
      </w:r>
      <w:r w:rsidR="00913437" w:rsidRPr="00577359">
        <w:rPr>
          <w:rFonts w:hint="eastAsia"/>
          <w:lang w:eastAsia="zh-CN"/>
        </w:rPr>
        <w:t>/ICT</w:t>
      </w:r>
      <w:r w:rsidR="00913437" w:rsidRPr="00577359">
        <w:rPr>
          <w:rFonts w:hint="eastAsia"/>
          <w:lang w:eastAsia="zh-CN"/>
        </w:rPr>
        <w:t>、经济和社会领域发生的变化，国际电联基本文件中规定的宗旨和目标就无法实现。在此方面，我们提议在本规划期将国际电联的使命制定如下</w:t>
      </w:r>
      <w:proofErr w:type="gramStart"/>
      <w:r w:rsidR="00913437" w:rsidRPr="00577359">
        <w:rPr>
          <w:rFonts w:hint="eastAsia"/>
          <w:lang w:eastAsia="zh-CN"/>
        </w:rPr>
        <w:t>：“</w:t>
      </w:r>
      <w:proofErr w:type="gramEnd"/>
      <w:r w:rsidR="00913437" w:rsidRPr="00577359">
        <w:rPr>
          <w:rFonts w:hint="eastAsia"/>
          <w:lang w:eastAsia="zh-CN"/>
        </w:rPr>
        <w:t>通过高效和普遍可获得的电信服务以及确保国际电联在此方面的主导作用，促进和扩大各国人民的和平关系、国际合作以及经济和社会发展。”</w:t>
      </w:r>
    </w:p>
    <w:p w14:paraId="117A602D" w14:textId="498801CC" w:rsidR="009935B0" w:rsidRPr="00577359" w:rsidRDefault="009935B0" w:rsidP="00577359">
      <w:pPr>
        <w:rPr>
          <w:lang w:eastAsia="zh-CN"/>
        </w:rPr>
      </w:pPr>
      <w:r w:rsidRPr="00577359">
        <w:rPr>
          <w:lang w:eastAsia="zh-CN"/>
        </w:rPr>
        <w:t>4</w:t>
      </w:r>
      <w:r w:rsidRPr="00577359">
        <w:rPr>
          <w:lang w:eastAsia="zh-CN"/>
        </w:rPr>
        <w:tab/>
      </w:r>
      <w:r w:rsidR="00E36D73" w:rsidRPr="00577359">
        <w:rPr>
          <w:lang w:eastAsia="zh-CN"/>
        </w:rPr>
        <w:t>国际电联作为联合国系统负责电信</w:t>
      </w:r>
      <w:r w:rsidR="00E36D73" w:rsidRPr="00577359">
        <w:rPr>
          <w:lang w:eastAsia="zh-CN"/>
        </w:rPr>
        <w:t>/ICT</w:t>
      </w:r>
      <w:r w:rsidR="00E36D73" w:rsidRPr="00577359">
        <w:rPr>
          <w:lang w:eastAsia="zh-CN"/>
        </w:rPr>
        <w:t>问题的</w:t>
      </w:r>
      <w:r w:rsidR="00E36D73" w:rsidRPr="00577359">
        <w:rPr>
          <w:rFonts w:hint="eastAsia"/>
          <w:lang w:eastAsia="zh-CN"/>
        </w:rPr>
        <w:t>主导</w:t>
      </w:r>
      <w:r w:rsidR="00E36D73" w:rsidRPr="00577359">
        <w:rPr>
          <w:lang w:eastAsia="zh-CN"/>
        </w:rPr>
        <w:t>机构，其战略</w:t>
      </w:r>
      <w:r w:rsidR="00E36D73" w:rsidRPr="00577359">
        <w:rPr>
          <w:rFonts w:hint="eastAsia"/>
          <w:lang w:eastAsia="zh-CN"/>
        </w:rPr>
        <w:t>规划</w:t>
      </w:r>
      <w:r w:rsidR="00E36D73" w:rsidRPr="00577359">
        <w:rPr>
          <w:lang w:eastAsia="zh-CN"/>
        </w:rPr>
        <w:t>应侧重于促进实现</w:t>
      </w:r>
      <w:r w:rsidR="00E36D73" w:rsidRPr="00577359">
        <w:rPr>
          <w:rFonts w:hint="eastAsia"/>
          <w:lang w:eastAsia="zh-CN"/>
        </w:rPr>
        <w:t>国际电联</w:t>
      </w:r>
      <w:r w:rsidR="00E36D73" w:rsidRPr="00577359">
        <w:rPr>
          <w:lang w:eastAsia="zh-CN"/>
        </w:rPr>
        <w:t>战略目标的</w:t>
      </w:r>
      <w:r w:rsidR="00E36D73" w:rsidRPr="00577359">
        <w:rPr>
          <w:rFonts w:hint="eastAsia"/>
          <w:lang w:eastAsia="zh-CN"/>
        </w:rPr>
        <w:t>部门</w:t>
      </w:r>
      <w:r w:rsidR="00E36D73" w:rsidRPr="00577359">
        <w:rPr>
          <w:lang w:eastAsia="zh-CN"/>
        </w:rPr>
        <w:t>目标和职</w:t>
      </w:r>
      <w:r w:rsidR="00E36D73" w:rsidRPr="00577359">
        <w:rPr>
          <w:rFonts w:hint="eastAsia"/>
          <w:lang w:eastAsia="zh-CN"/>
        </w:rPr>
        <w:t>能</w:t>
      </w:r>
      <w:proofErr w:type="gramStart"/>
      <w:r w:rsidR="00E36D73" w:rsidRPr="00577359">
        <w:rPr>
          <w:rFonts w:hint="eastAsia"/>
          <w:lang w:eastAsia="zh-CN"/>
        </w:rPr>
        <w:t>。</w:t>
      </w:r>
      <w:r w:rsidR="00227621" w:rsidRPr="00577359">
        <w:rPr>
          <w:rFonts w:hint="eastAsia"/>
          <w:lang w:eastAsia="zh-CN"/>
        </w:rPr>
        <w:t>“</w:t>
      </w:r>
      <w:proofErr w:type="gramEnd"/>
      <w:r w:rsidR="005060F9" w:rsidRPr="00577359">
        <w:rPr>
          <w:rFonts w:hint="eastAsia"/>
          <w:lang w:eastAsia="zh-CN"/>
        </w:rPr>
        <w:t>国际电联</w:t>
      </w:r>
      <w:r w:rsidR="00227621" w:rsidRPr="00577359">
        <w:rPr>
          <w:rFonts w:hint="eastAsia"/>
          <w:lang w:eastAsia="zh-CN"/>
        </w:rPr>
        <w:t>的</w:t>
      </w:r>
      <w:r w:rsidR="005060F9" w:rsidRPr="00577359">
        <w:rPr>
          <w:rFonts w:hint="eastAsia"/>
          <w:lang w:eastAsia="zh-CN"/>
        </w:rPr>
        <w:t>具体</w:t>
      </w:r>
      <w:r w:rsidR="00227621" w:rsidRPr="00577359">
        <w:rPr>
          <w:rFonts w:hint="eastAsia"/>
          <w:lang w:eastAsia="zh-CN"/>
        </w:rPr>
        <w:t>目标”</w:t>
      </w:r>
      <w:r w:rsidR="005060F9" w:rsidRPr="00577359">
        <w:rPr>
          <w:rFonts w:hint="eastAsia"/>
          <w:lang w:eastAsia="zh-CN"/>
        </w:rPr>
        <w:t>（</w:t>
      </w:r>
      <w:r w:rsidR="00227621" w:rsidRPr="00577359">
        <w:rPr>
          <w:rFonts w:hint="eastAsia"/>
          <w:lang w:eastAsia="zh-CN"/>
        </w:rPr>
        <w:t>作为国际电联工作对社会所有方面的长期影响的产物</w:t>
      </w:r>
      <w:r w:rsidR="005060F9" w:rsidRPr="00577359">
        <w:rPr>
          <w:rFonts w:hint="eastAsia"/>
          <w:lang w:eastAsia="zh-CN"/>
        </w:rPr>
        <w:t>）</w:t>
      </w:r>
      <w:r w:rsidR="00227621" w:rsidRPr="00577359">
        <w:rPr>
          <w:rFonts w:hint="eastAsia"/>
          <w:lang w:eastAsia="zh-CN"/>
        </w:rPr>
        <w:t>可作为实现</w:t>
      </w:r>
      <w:r w:rsidR="005060F9" w:rsidRPr="00577359">
        <w:rPr>
          <w:rFonts w:hint="eastAsia"/>
          <w:lang w:eastAsia="zh-CN"/>
        </w:rPr>
        <w:t>国际电联</w:t>
      </w:r>
      <w:r w:rsidR="00227621" w:rsidRPr="00577359">
        <w:rPr>
          <w:rFonts w:hint="eastAsia"/>
          <w:lang w:eastAsia="zh-CN"/>
        </w:rPr>
        <w:t>战略目标的进展指标，但根据第</w:t>
      </w:r>
      <w:r w:rsidR="00227621" w:rsidRPr="00577359">
        <w:rPr>
          <w:rFonts w:hint="eastAsia"/>
          <w:lang w:eastAsia="zh-CN"/>
        </w:rPr>
        <w:t>71</w:t>
      </w:r>
      <w:r w:rsidR="00227621" w:rsidRPr="00577359">
        <w:rPr>
          <w:rFonts w:hint="eastAsia"/>
          <w:lang w:eastAsia="zh-CN"/>
        </w:rPr>
        <w:t>号决议</w:t>
      </w:r>
      <w:r w:rsidR="005060F9" w:rsidRPr="00577359">
        <w:rPr>
          <w:rFonts w:hint="eastAsia"/>
          <w:lang w:eastAsia="zh-CN"/>
        </w:rPr>
        <w:t>（</w:t>
      </w:r>
      <w:r w:rsidR="005060F9" w:rsidRPr="00577359">
        <w:rPr>
          <w:rFonts w:hint="eastAsia"/>
          <w:lang w:eastAsia="zh-CN"/>
        </w:rPr>
        <w:t>2018</w:t>
      </w:r>
      <w:r w:rsidR="005060F9" w:rsidRPr="00577359">
        <w:rPr>
          <w:rFonts w:hint="eastAsia"/>
          <w:lang w:eastAsia="zh-CN"/>
        </w:rPr>
        <w:t>年，</w:t>
      </w:r>
      <w:r w:rsidR="00227621" w:rsidRPr="00577359">
        <w:rPr>
          <w:rFonts w:hint="eastAsia"/>
          <w:lang w:eastAsia="zh-CN"/>
        </w:rPr>
        <w:t>迪拜，修订</w:t>
      </w:r>
      <w:r w:rsidR="005060F9" w:rsidRPr="00577359">
        <w:rPr>
          <w:rFonts w:hint="eastAsia"/>
          <w:lang w:eastAsia="zh-CN"/>
        </w:rPr>
        <w:t>版</w:t>
      </w:r>
      <w:r w:rsidR="006270D6">
        <w:rPr>
          <w:rFonts w:hint="eastAsia"/>
          <w:lang w:eastAsia="zh-CN"/>
        </w:rPr>
        <w:t>）</w:t>
      </w:r>
      <w:r w:rsidR="00227621" w:rsidRPr="00577359">
        <w:rPr>
          <w:rFonts w:hint="eastAsia"/>
          <w:lang w:eastAsia="zh-CN"/>
        </w:rPr>
        <w:t>，这些目标必须同时与可持续发展目标相联系。这些</w:t>
      </w:r>
      <w:r w:rsidR="005060F9" w:rsidRPr="00577359">
        <w:rPr>
          <w:rFonts w:hint="eastAsia"/>
          <w:lang w:eastAsia="zh-CN"/>
        </w:rPr>
        <w:t>具体</w:t>
      </w:r>
      <w:r w:rsidR="00227621" w:rsidRPr="00577359">
        <w:rPr>
          <w:rFonts w:hint="eastAsia"/>
          <w:lang w:eastAsia="zh-CN"/>
        </w:rPr>
        <w:t>目标的目的是为</w:t>
      </w:r>
      <w:r w:rsidR="005060F9" w:rsidRPr="00577359">
        <w:rPr>
          <w:rFonts w:hint="eastAsia"/>
          <w:lang w:eastAsia="zh-CN"/>
        </w:rPr>
        <w:t>国际电联</w:t>
      </w:r>
      <w:r w:rsidR="00227621" w:rsidRPr="00577359">
        <w:rPr>
          <w:rFonts w:hint="eastAsia"/>
          <w:lang w:eastAsia="zh-CN"/>
        </w:rPr>
        <w:t>应关注的领域提供方向，并实现国际电联</w:t>
      </w:r>
      <w:r w:rsidR="005060F9" w:rsidRPr="00577359">
        <w:rPr>
          <w:rFonts w:hint="eastAsia"/>
          <w:lang w:eastAsia="zh-CN"/>
        </w:rPr>
        <w:t>关于互连</w:t>
      </w:r>
      <w:r w:rsidR="00227621" w:rsidRPr="00577359">
        <w:rPr>
          <w:rFonts w:hint="eastAsia"/>
          <w:lang w:eastAsia="zh-CN"/>
        </w:rPr>
        <w:t>世界的愿景。在</w:t>
      </w:r>
      <w:r w:rsidR="005060F9" w:rsidRPr="00577359">
        <w:rPr>
          <w:rFonts w:hint="eastAsia"/>
          <w:lang w:eastAsia="zh-CN"/>
        </w:rPr>
        <w:t>此</w:t>
      </w:r>
      <w:r w:rsidR="00227621" w:rsidRPr="00577359">
        <w:rPr>
          <w:rFonts w:hint="eastAsia"/>
          <w:lang w:eastAsia="zh-CN"/>
        </w:rPr>
        <w:t>方面，</w:t>
      </w:r>
      <w:r w:rsidR="005060F9" w:rsidRPr="00577359">
        <w:rPr>
          <w:rFonts w:hint="eastAsia"/>
          <w:lang w:eastAsia="zh-CN"/>
        </w:rPr>
        <w:t>现行</w:t>
      </w:r>
      <w:r w:rsidR="00227621" w:rsidRPr="00577359">
        <w:rPr>
          <w:rFonts w:hint="eastAsia"/>
          <w:lang w:eastAsia="zh-CN"/>
        </w:rPr>
        <w:t>国际电联战略</w:t>
      </w:r>
      <w:r w:rsidR="005060F9" w:rsidRPr="00577359">
        <w:rPr>
          <w:rFonts w:hint="eastAsia"/>
          <w:lang w:eastAsia="zh-CN"/>
        </w:rPr>
        <w:t>规划</w:t>
      </w:r>
      <w:r w:rsidR="00227621" w:rsidRPr="00577359">
        <w:rPr>
          <w:rFonts w:hint="eastAsia"/>
          <w:lang w:eastAsia="zh-CN"/>
        </w:rPr>
        <w:t>的第</w:t>
      </w:r>
      <w:r w:rsidR="00227621" w:rsidRPr="00577359">
        <w:rPr>
          <w:rFonts w:hint="eastAsia"/>
          <w:lang w:eastAsia="zh-CN"/>
        </w:rPr>
        <w:t>3</w:t>
      </w:r>
      <w:r w:rsidR="00227621" w:rsidRPr="00577359">
        <w:rPr>
          <w:rFonts w:hint="eastAsia"/>
          <w:lang w:eastAsia="zh-CN"/>
        </w:rPr>
        <w:t>节应大幅缩短或完全删除，因为</w:t>
      </w:r>
      <w:r w:rsidR="005060F9" w:rsidRPr="00577359">
        <w:rPr>
          <w:rFonts w:hint="eastAsia"/>
          <w:lang w:eastAsia="zh-CN"/>
        </w:rPr>
        <w:t>这部分</w:t>
      </w:r>
      <w:r w:rsidR="00227621" w:rsidRPr="00577359">
        <w:rPr>
          <w:rFonts w:hint="eastAsia"/>
          <w:lang w:eastAsia="zh-CN"/>
        </w:rPr>
        <w:t>过于密集，相关信息可</w:t>
      </w:r>
      <w:r w:rsidR="005060F9" w:rsidRPr="00577359">
        <w:rPr>
          <w:rFonts w:hint="eastAsia"/>
          <w:lang w:eastAsia="zh-CN"/>
        </w:rPr>
        <w:t>由</w:t>
      </w:r>
      <w:r w:rsidR="00227621" w:rsidRPr="00577359">
        <w:rPr>
          <w:rFonts w:hint="eastAsia"/>
          <w:lang w:eastAsia="zh-CN"/>
        </w:rPr>
        <w:t>“</w:t>
      </w:r>
      <w:r w:rsidR="005060F9" w:rsidRPr="00577359">
        <w:rPr>
          <w:rFonts w:hint="eastAsia"/>
          <w:lang w:eastAsia="zh-CN"/>
        </w:rPr>
        <w:t>具体</w:t>
      </w:r>
      <w:r w:rsidR="00227621" w:rsidRPr="00577359">
        <w:rPr>
          <w:rFonts w:hint="eastAsia"/>
          <w:lang w:eastAsia="zh-CN"/>
        </w:rPr>
        <w:t>目标”涵盖</w:t>
      </w:r>
      <w:r w:rsidR="005060F9" w:rsidRPr="00577359">
        <w:rPr>
          <w:rFonts w:hint="eastAsia"/>
          <w:lang w:eastAsia="zh-CN"/>
        </w:rPr>
        <w:t>。</w:t>
      </w:r>
    </w:p>
    <w:p w14:paraId="1EC864DC" w14:textId="34E03C82" w:rsidR="009935B0" w:rsidRPr="00577359" w:rsidRDefault="009935B0" w:rsidP="00577359">
      <w:pPr>
        <w:rPr>
          <w:lang w:eastAsia="zh-CN"/>
        </w:rPr>
      </w:pPr>
      <w:r w:rsidRPr="00577359">
        <w:rPr>
          <w:lang w:eastAsia="zh-CN"/>
        </w:rPr>
        <w:t>5</w:t>
      </w:r>
      <w:r w:rsidRPr="00577359">
        <w:rPr>
          <w:lang w:eastAsia="zh-CN"/>
        </w:rPr>
        <w:tab/>
      </w:r>
      <w:r w:rsidR="00524884" w:rsidRPr="00577359">
        <w:rPr>
          <w:lang w:eastAsia="zh-CN"/>
        </w:rPr>
        <w:t>更好地反映区域</w:t>
      </w:r>
      <w:r w:rsidR="00524884" w:rsidRPr="00577359">
        <w:rPr>
          <w:rFonts w:hint="eastAsia"/>
          <w:lang w:eastAsia="zh-CN"/>
        </w:rPr>
        <w:t>代表处</w:t>
      </w:r>
      <w:r w:rsidR="00524884" w:rsidRPr="00577359">
        <w:rPr>
          <w:lang w:eastAsia="zh-CN"/>
        </w:rPr>
        <w:t>作为国际电联最重要职能之一的作用，将</w:t>
      </w:r>
      <w:r w:rsidR="00524884" w:rsidRPr="00577359">
        <w:rPr>
          <w:rFonts w:hint="eastAsia"/>
          <w:lang w:eastAsia="zh-CN"/>
        </w:rPr>
        <w:t>使</w:t>
      </w:r>
      <w:r w:rsidR="00524884" w:rsidRPr="00577359">
        <w:rPr>
          <w:lang w:eastAsia="zh-CN"/>
        </w:rPr>
        <w:t>国际电联的战略</w:t>
      </w:r>
      <w:r w:rsidR="00524884" w:rsidRPr="00577359">
        <w:rPr>
          <w:rFonts w:hint="eastAsia"/>
          <w:lang w:eastAsia="zh-CN"/>
        </w:rPr>
        <w:t>规划受益匪浅。</w:t>
      </w:r>
      <w:r w:rsidR="00227621" w:rsidRPr="00577359">
        <w:rPr>
          <w:rFonts w:hint="eastAsia"/>
          <w:lang w:eastAsia="zh-CN"/>
        </w:rPr>
        <w:t>区域</w:t>
      </w:r>
      <w:r w:rsidR="00524884" w:rsidRPr="00577359">
        <w:rPr>
          <w:rFonts w:hint="eastAsia"/>
          <w:lang w:eastAsia="zh-CN"/>
        </w:rPr>
        <w:t>代表处</w:t>
      </w:r>
      <w:r w:rsidR="00227621" w:rsidRPr="00577359">
        <w:rPr>
          <w:rFonts w:hint="eastAsia"/>
          <w:lang w:eastAsia="zh-CN"/>
        </w:rPr>
        <w:t>有助于更好地评估各区域的问题和需求，并协助解决这些问题和需求。这些活动的主要目标和领域应纳入战略</w:t>
      </w:r>
      <w:r w:rsidR="00524884" w:rsidRPr="00577359">
        <w:rPr>
          <w:rFonts w:hint="eastAsia"/>
          <w:lang w:eastAsia="zh-CN"/>
        </w:rPr>
        <w:t>规划</w:t>
      </w:r>
      <w:r w:rsidR="00227621" w:rsidRPr="00577359">
        <w:rPr>
          <w:rFonts w:hint="eastAsia"/>
          <w:lang w:eastAsia="zh-CN"/>
        </w:rPr>
        <w:t>，</w:t>
      </w:r>
      <w:proofErr w:type="gramStart"/>
      <w:r w:rsidR="00227621" w:rsidRPr="00577359">
        <w:rPr>
          <w:rFonts w:hint="eastAsia"/>
          <w:lang w:eastAsia="zh-CN"/>
        </w:rPr>
        <w:t>作为“</w:t>
      </w:r>
      <w:proofErr w:type="gramEnd"/>
      <w:r w:rsidR="00524884" w:rsidRPr="00577359">
        <w:rPr>
          <w:lang w:eastAsia="zh-CN"/>
        </w:rPr>
        <w:t>同一个国际电</w:t>
      </w:r>
      <w:r w:rsidR="00524884" w:rsidRPr="00577359">
        <w:rPr>
          <w:rFonts w:hint="eastAsia"/>
          <w:lang w:eastAsia="zh-CN"/>
        </w:rPr>
        <w:t>联</w:t>
      </w:r>
      <w:r w:rsidR="00227621" w:rsidRPr="00577359">
        <w:rPr>
          <w:rFonts w:hint="eastAsia"/>
          <w:lang w:eastAsia="zh-CN"/>
        </w:rPr>
        <w:t>”</w:t>
      </w:r>
      <w:r w:rsidR="00524884" w:rsidRPr="00577359">
        <w:rPr>
          <w:rFonts w:hint="eastAsia"/>
          <w:lang w:eastAsia="zh-CN"/>
        </w:rPr>
        <w:t>（</w:t>
      </w:r>
      <w:r w:rsidR="00524884" w:rsidRPr="00577359">
        <w:rPr>
          <w:lang w:eastAsia="zh-CN"/>
        </w:rPr>
        <w:t>working as One ITU</w:t>
      </w:r>
      <w:r w:rsidR="00524884" w:rsidRPr="00577359">
        <w:rPr>
          <w:rFonts w:hint="eastAsia"/>
          <w:lang w:eastAsia="zh-CN"/>
        </w:rPr>
        <w:t>）</w:t>
      </w:r>
      <w:r w:rsidR="00227621" w:rsidRPr="00577359">
        <w:rPr>
          <w:rFonts w:hint="eastAsia"/>
          <w:lang w:eastAsia="zh-CN"/>
        </w:rPr>
        <w:t>的一部分，而不仅仅是部门目标。为此，首先必须解决改变区域</w:t>
      </w:r>
      <w:r w:rsidR="00524884" w:rsidRPr="00577359">
        <w:rPr>
          <w:rFonts w:hint="eastAsia"/>
          <w:lang w:eastAsia="zh-CN"/>
        </w:rPr>
        <w:t>代表处</w:t>
      </w:r>
      <w:r w:rsidR="00227621" w:rsidRPr="00577359">
        <w:rPr>
          <w:rFonts w:hint="eastAsia"/>
          <w:lang w:eastAsia="zh-CN"/>
        </w:rPr>
        <w:t>/</w:t>
      </w:r>
      <w:r w:rsidR="00227621" w:rsidRPr="00577359">
        <w:rPr>
          <w:rFonts w:hint="eastAsia"/>
          <w:lang w:eastAsia="zh-CN"/>
        </w:rPr>
        <w:t>地区办事处行政隶属关系的问题。在编制</w:t>
      </w:r>
      <w:r w:rsidR="00524884" w:rsidRPr="00577359">
        <w:rPr>
          <w:rFonts w:hint="eastAsia"/>
          <w:lang w:eastAsia="zh-CN"/>
        </w:rPr>
        <w:t>规划</w:t>
      </w:r>
      <w:r w:rsidR="00227621" w:rsidRPr="00577359">
        <w:rPr>
          <w:rFonts w:hint="eastAsia"/>
          <w:lang w:eastAsia="zh-CN"/>
        </w:rPr>
        <w:t>的相应要点时，应考虑区域</w:t>
      </w:r>
      <w:r w:rsidR="00524884" w:rsidRPr="00577359">
        <w:rPr>
          <w:rFonts w:hint="eastAsia"/>
          <w:lang w:eastAsia="zh-CN"/>
        </w:rPr>
        <w:t>性</w:t>
      </w:r>
      <w:r w:rsidR="00227621" w:rsidRPr="00577359">
        <w:rPr>
          <w:rFonts w:hint="eastAsia"/>
          <w:lang w:eastAsia="zh-CN"/>
        </w:rPr>
        <w:t>电信组织的意见</w:t>
      </w:r>
      <w:r w:rsidR="00524884" w:rsidRPr="00577359">
        <w:rPr>
          <w:rFonts w:hint="eastAsia"/>
          <w:lang w:eastAsia="zh-CN"/>
        </w:rPr>
        <w:t>（</w:t>
      </w:r>
      <w:r w:rsidR="00227621" w:rsidRPr="00577359">
        <w:rPr>
          <w:rFonts w:hint="eastAsia"/>
          <w:lang w:eastAsia="zh-CN"/>
        </w:rPr>
        <w:t>见全权代表</w:t>
      </w:r>
      <w:r w:rsidR="00524884" w:rsidRPr="00577359">
        <w:rPr>
          <w:rFonts w:hint="eastAsia"/>
          <w:lang w:eastAsia="zh-CN"/>
        </w:rPr>
        <w:t>大会</w:t>
      </w:r>
      <w:r w:rsidR="00227621" w:rsidRPr="00577359">
        <w:rPr>
          <w:rFonts w:hint="eastAsia"/>
          <w:lang w:eastAsia="zh-CN"/>
        </w:rPr>
        <w:t>第</w:t>
      </w:r>
      <w:r w:rsidR="00227621" w:rsidRPr="00577359">
        <w:rPr>
          <w:rFonts w:hint="eastAsia"/>
          <w:lang w:eastAsia="zh-CN"/>
        </w:rPr>
        <w:t>58</w:t>
      </w:r>
      <w:r w:rsidR="00227621" w:rsidRPr="00577359">
        <w:rPr>
          <w:rFonts w:hint="eastAsia"/>
          <w:lang w:eastAsia="zh-CN"/>
        </w:rPr>
        <w:t>号决议</w:t>
      </w:r>
      <w:r w:rsidR="00524884" w:rsidRPr="00577359">
        <w:rPr>
          <w:rFonts w:hint="eastAsia"/>
          <w:lang w:eastAsia="zh-CN"/>
        </w:rPr>
        <w:t>（</w:t>
      </w:r>
      <w:r w:rsidR="00524884" w:rsidRPr="00577359">
        <w:rPr>
          <w:rFonts w:hint="eastAsia"/>
          <w:lang w:eastAsia="zh-CN"/>
        </w:rPr>
        <w:t>2014</w:t>
      </w:r>
      <w:r w:rsidR="00524884" w:rsidRPr="00577359">
        <w:rPr>
          <w:rFonts w:hint="eastAsia"/>
          <w:lang w:eastAsia="zh-CN"/>
        </w:rPr>
        <w:t>年，</w:t>
      </w:r>
      <w:r w:rsidR="00227621" w:rsidRPr="00577359">
        <w:rPr>
          <w:rFonts w:hint="eastAsia"/>
          <w:lang w:eastAsia="zh-CN"/>
        </w:rPr>
        <w:t>釜山，修订</w:t>
      </w:r>
      <w:r w:rsidR="00524884" w:rsidRPr="00577359">
        <w:rPr>
          <w:rFonts w:hint="eastAsia"/>
          <w:lang w:eastAsia="zh-CN"/>
        </w:rPr>
        <w:t>版）</w:t>
      </w:r>
      <w:r w:rsidR="00227621" w:rsidRPr="00577359">
        <w:rPr>
          <w:rFonts w:hint="eastAsia"/>
          <w:lang w:eastAsia="zh-CN"/>
        </w:rPr>
        <w:t>和第</w:t>
      </w:r>
      <w:r w:rsidR="00227621" w:rsidRPr="00577359">
        <w:rPr>
          <w:rFonts w:hint="eastAsia"/>
          <w:lang w:eastAsia="zh-CN"/>
        </w:rPr>
        <w:t>25</w:t>
      </w:r>
      <w:r w:rsidR="00227621" w:rsidRPr="00577359">
        <w:rPr>
          <w:rFonts w:hint="eastAsia"/>
          <w:lang w:eastAsia="zh-CN"/>
        </w:rPr>
        <w:t>号决议</w:t>
      </w:r>
      <w:r w:rsidR="00524884" w:rsidRPr="00577359">
        <w:rPr>
          <w:rFonts w:hint="eastAsia"/>
          <w:lang w:eastAsia="zh-CN"/>
        </w:rPr>
        <w:t>（</w:t>
      </w:r>
      <w:r w:rsidR="00524884" w:rsidRPr="00577359">
        <w:rPr>
          <w:rFonts w:hint="eastAsia"/>
          <w:lang w:eastAsia="zh-CN"/>
        </w:rPr>
        <w:t>2018</w:t>
      </w:r>
      <w:r w:rsidR="00524884" w:rsidRPr="00577359">
        <w:rPr>
          <w:rFonts w:hint="eastAsia"/>
          <w:lang w:eastAsia="zh-CN"/>
        </w:rPr>
        <w:t>年，</w:t>
      </w:r>
      <w:r w:rsidR="00227621" w:rsidRPr="00577359">
        <w:rPr>
          <w:rFonts w:hint="eastAsia"/>
          <w:lang w:eastAsia="zh-CN"/>
        </w:rPr>
        <w:t>迪拜，修订</w:t>
      </w:r>
      <w:r w:rsidR="00524884" w:rsidRPr="00577359">
        <w:rPr>
          <w:rFonts w:hint="eastAsia"/>
          <w:lang w:eastAsia="zh-CN"/>
        </w:rPr>
        <w:t>版））</w:t>
      </w:r>
      <w:r w:rsidR="00227621" w:rsidRPr="00577359">
        <w:rPr>
          <w:rFonts w:hint="eastAsia"/>
          <w:lang w:eastAsia="zh-CN"/>
        </w:rPr>
        <w:t>。</w:t>
      </w:r>
    </w:p>
    <w:p w14:paraId="08D1FC7B" w14:textId="138FEC23" w:rsidR="009935B0" w:rsidRPr="00577359" w:rsidRDefault="009935B0" w:rsidP="00577359">
      <w:pPr>
        <w:rPr>
          <w:lang w:eastAsia="zh-CN"/>
        </w:rPr>
      </w:pPr>
      <w:r w:rsidRPr="00577359">
        <w:rPr>
          <w:lang w:eastAsia="zh-CN"/>
        </w:rPr>
        <w:t>6</w:t>
      </w:r>
      <w:r w:rsidRPr="00577359">
        <w:rPr>
          <w:lang w:eastAsia="zh-CN"/>
        </w:rPr>
        <w:tab/>
      </w:r>
      <w:r w:rsidR="00227621" w:rsidRPr="00577359">
        <w:rPr>
          <w:rFonts w:hint="eastAsia"/>
          <w:lang w:eastAsia="zh-CN"/>
        </w:rPr>
        <w:t>与起草部门和部门间成果有关的问题仍然复杂，需要</w:t>
      </w:r>
      <w:r w:rsidR="00811857" w:rsidRPr="00577359">
        <w:rPr>
          <w:rFonts w:hint="eastAsia"/>
          <w:lang w:eastAsia="zh-CN"/>
        </w:rPr>
        <w:t>进行</w:t>
      </w:r>
      <w:r w:rsidR="00227621" w:rsidRPr="00577359">
        <w:rPr>
          <w:rFonts w:hint="eastAsia"/>
          <w:lang w:eastAsia="zh-CN"/>
        </w:rPr>
        <w:t>进一步审议。战略</w:t>
      </w:r>
      <w:r w:rsidR="00811857" w:rsidRPr="00577359">
        <w:rPr>
          <w:rFonts w:hint="eastAsia"/>
          <w:lang w:eastAsia="zh-CN"/>
        </w:rPr>
        <w:t>规划</w:t>
      </w:r>
      <w:r w:rsidR="00227621" w:rsidRPr="00577359">
        <w:rPr>
          <w:rFonts w:hint="eastAsia"/>
          <w:lang w:eastAsia="zh-CN"/>
        </w:rPr>
        <w:t>的制定缺乏精确性，评估战略</w:t>
      </w:r>
      <w:r w:rsidR="00811857" w:rsidRPr="00577359">
        <w:rPr>
          <w:rFonts w:hint="eastAsia"/>
          <w:lang w:eastAsia="zh-CN"/>
        </w:rPr>
        <w:t>规划</w:t>
      </w:r>
      <w:r w:rsidR="00227621" w:rsidRPr="00577359">
        <w:rPr>
          <w:rFonts w:hint="eastAsia"/>
          <w:lang w:eastAsia="zh-CN"/>
        </w:rPr>
        <w:t>实际执行情况的成果和指标之间缺乏明确的对应关系，这使得</w:t>
      </w:r>
      <w:r w:rsidR="00811857" w:rsidRPr="00577359">
        <w:rPr>
          <w:rFonts w:hint="eastAsia"/>
          <w:lang w:eastAsia="zh-CN"/>
        </w:rPr>
        <w:t>成员</w:t>
      </w:r>
      <w:r w:rsidR="00227621" w:rsidRPr="00577359">
        <w:rPr>
          <w:rFonts w:hint="eastAsia"/>
          <w:lang w:eastAsia="zh-CN"/>
        </w:rPr>
        <w:t>国难以充分评估战略</w:t>
      </w:r>
      <w:r w:rsidR="00811857" w:rsidRPr="00577359">
        <w:rPr>
          <w:rFonts w:hint="eastAsia"/>
          <w:lang w:eastAsia="zh-CN"/>
        </w:rPr>
        <w:t>规划</w:t>
      </w:r>
      <w:r w:rsidR="00227621" w:rsidRPr="00577359">
        <w:rPr>
          <w:rFonts w:hint="eastAsia"/>
          <w:lang w:eastAsia="zh-CN"/>
        </w:rPr>
        <w:t>的</w:t>
      </w:r>
      <w:r w:rsidR="00811857" w:rsidRPr="00577359">
        <w:rPr>
          <w:rFonts w:hint="eastAsia"/>
          <w:lang w:eastAsia="zh-CN"/>
        </w:rPr>
        <w:t>落实</w:t>
      </w:r>
      <w:r w:rsidR="00227621" w:rsidRPr="00577359">
        <w:rPr>
          <w:rFonts w:hint="eastAsia"/>
          <w:lang w:eastAsia="zh-CN"/>
        </w:rPr>
        <w:t>程度。因此，根据全权代表</w:t>
      </w:r>
      <w:r w:rsidR="00811857" w:rsidRPr="00577359">
        <w:rPr>
          <w:rFonts w:hint="eastAsia"/>
          <w:lang w:eastAsia="zh-CN"/>
        </w:rPr>
        <w:t>大会</w:t>
      </w:r>
      <w:r w:rsidR="00227621" w:rsidRPr="00577359">
        <w:rPr>
          <w:rFonts w:hint="eastAsia"/>
          <w:lang w:eastAsia="zh-CN"/>
        </w:rPr>
        <w:t>第</w:t>
      </w:r>
      <w:r w:rsidR="00227621" w:rsidRPr="00577359">
        <w:rPr>
          <w:rFonts w:hint="eastAsia"/>
          <w:lang w:eastAsia="zh-CN"/>
        </w:rPr>
        <w:t>151</w:t>
      </w:r>
      <w:r w:rsidR="00227621" w:rsidRPr="00577359">
        <w:rPr>
          <w:rFonts w:hint="eastAsia"/>
          <w:lang w:eastAsia="zh-CN"/>
        </w:rPr>
        <w:t>号决议</w:t>
      </w:r>
      <w:r w:rsidR="00811857" w:rsidRPr="00577359">
        <w:rPr>
          <w:rFonts w:hint="eastAsia"/>
          <w:lang w:eastAsia="zh-CN"/>
        </w:rPr>
        <w:t>（</w:t>
      </w:r>
      <w:r w:rsidR="00811857" w:rsidRPr="00577359">
        <w:rPr>
          <w:rFonts w:hint="eastAsia"/>
          <w:lang w:eastAsia="zh-CN"/>
        </w:rPr>
        <w:t>2018</w:t>
      </w:r>
      <w:r w:rsidR="00811857" w:rsidRPr="00577359">
        <w:rPr>
          <w:rFonts w:hint="eastAsia"/>
          <w:lang w:eastAsia="zh-CN"/>
        </w:rPr>
        <w:t>年，</w:t>
      </w:r>
      <w:r w:rsidR="00227621" w:rsidRPr="00577359">
        <w:rPr>
          <w:rFonts w:hint="eastAsia"/>
          <w:lang w:eastAsia="zh-CN"/>
        </w:rPr>
        <w:t>迪拜，修订版</w:t>
      </w:r>
      <w:r w:rsidR="00811857" w:rsidRPr="00577359">
        <w:rPr>
          <w:rFonts w:hint="eastAsia"/>
          <w:lang w:eastAsia="zh-CN"/>
        </w:rPr>
        <w:t>）</w:t>
      </w:r>
      <w:r w:rsidR="00227621" w:rsidRPr="00577359">
        <w:rPr>
          <w:rFonts w:hint="eastAsia"/>
          <w:lang w:eastAsia="zh-CN"/>
        </w:rPr>
        <w:t>，</w:t>
      </w:r>
      <w:proofErr w:type="gramStart"/>
      <w:r w:rsidR="00227621" w:rsidRPr="00577359">
        <w:rPr>
          <w:rFonts w:hint="eastAsia"/>
          <w:lang w:eastAsia="zh-CN"/>
        </w:rPr>
        <w:t>有必要</w:t>
      </w:r>
      <w:r w:rsidR="00811857" w:rsidRPr="00577359">
        <w:rPr>
          <w:rFonts w:hint="eastAsia"/>
          <w:lang w:eastAsia="zh-CN"/>
        </w:rPr>
        <w:t>“</w:t>
      </w:r>
      <w:proofErr w:type="gramEnd"/>
      <w:r w:rsidR="00C12068" w:rsidRPr="00577359">
        <w:rPr>
          <w:rFonts w:hint="eastAsia"/>
          <w:lang w:eastAsia="zh-CN"/>
        </w:rPr>
        <w:t>继续制定全面的国际电联结果框架，以支持战略规划</w:t>
      </w:r>
      <w:r w:rsidR="00811857" w:rsidRPr="00577359">
        <w:rPr>
          <w:rFonts w:hint="eastAsia"/>
          <w:lang w:eastAsia="zh-CN"/>
        </w:rPr>
        <w:t>、</w:t>
      </w:r>
      <w:r w:rsidR="00C12068" w:rsidRPr="00577359">
        <w:rPr>
          <w:rFonts w:hint="eastAsia"/>
          <w:lang w:eastAsia="zh-CN"/>
        </w:rPr>
        <w:t>财务规划和运作规划及预算的实施，并提高国际电联成员</w:t>
      </w:r>
      <w:r w:rsidR="00811857" w:rsidRPr="00577359">
        <w:rPr>
          <w:lang w:eastAsia="zh-CN"/>
        </w:rPr>
        <w:t>评估实现国际电联</w:t>
      </w:r>
      <w:r w:rsidR="00811857" w:rsidRPr="00577359">
        <w:rPr>
          <w:rFonts w:hint="eastAsia"/>
          <w:lang w:eastAsia="zh-CN"/>
        </w:rPr>
        <w:t>战略</w:t>
      </w:r>
      <w:r w:rsidR="00811857" w:rsidRPr="00577359">
        <w:rPr>
          <w:lang w:eastAsia="zh-CN"/>
        </w:rPr>
        <w:t>目标进展的能</w:t>
      </w:r>
      <w:r w:rsidR="00811857" w:rsidRPr="00577359">
        <w:rPr>
          <w:rFonts w:hint="eastAsia"/>
          <w:lang w:eastAsia="zh-CN"/>
        </w:rPr>
        <w:t>力。”</w:t>
      </w:r>
    </w:p>
    <w:p w14:paraId="7ACFA2C4" w14:textId="31319DF4" w:rsidR="009935B0" w:rsidRPr="00577359" w:rsidRDefault="00227621" w:rsidP="009935B0">
      <w:pPr>
        <w:pStyle w:val="Headingb"/>
        <w:rPr>
          <w:lang w:eastAsia="zh-CN"/>
        </w:rPr>
      </w:pPr>
      <w:r w:rsidRPr="00577359">
        <w:rPr>
          <w:rFonts w:hint="eastAsia"/>
          <w:lang w:eastAsia="zh-CN"/>
        </w:rPr>
        <w:t>参考</w:t>
      </w:r>
      <w:r w:rsidR="00811857" w:rsidRPr="00577359">
        <w:rPr>
          <w:rFonts w:hint="eastAsia"/>
          <w:lang w:eastAsia="zh-CN"/>
        </w:rPr>
        <w:t>资料</w:t>
      </w:r>
    </w:p>
    <w:p w14:paraId="0AA4403A" w14:textId="2AB67F25" w:rsidR="009935B0" w:rsidRPr="00577359" w:rsidRDefault="00A3647D" w:rsidP="00577359">
      <w:pPr>
        <w:ind w:firstLineChars="200" w:firstLine="480"/>
        <w:rPr>
          <w:lang w:eastAsia="zh-CN"/>
        </w:rPr>
      </w:pPr>
      <w:r w:rsidRPr="00577359">
        <w:rPr>
          <w:lang w:eastAsia="zh-CN"/>
        </w:rPr>
        <w:t>国际电联《组织法》</w:t>
      </w:r>
      <w:r w:rsidR="00DE07DB" w:rsidRPr="00577359">
        <w:rPr>
          <w:rFonts w:hint="eastAsia"/>
          <w:lang w:eastAsia="zh-CN"/>
        </w:rPr>
        <w:t>、</w:t>
      </w:r>
      <w:r w:rsidRPr="00577359">
        <w:rPr>
          <w:lang w:eastAsia="zh-CN"/>
        </w:rPr>
        <w:t>国际电联《公约》</w:t>
      </w:r>
      <w:r w:rsidR="00DE07DB" w:rsidRPr="00577359">
        <w:rPr>
          <w:rFonts w:hint="eastAsia"/>
          <w:lang w:eastAsia="zh-CN"/>
        </w:rPr>
        <w:t>、</w:t>
      </w:r>
      <w:r w:rsidRPr="00577359">
        <w:rPr>
          <w:lang w:eastAsia="zh-CN"/>
        </w:rPr>
        <w:t>第</w:t>
      </w:r>
      <w:r w:rsidRPr="00577359">
        <w:rPr>
          <w:lang w:eastAsia="zh-CN"/>
        </w:rPr>
        <w:t>71</w:t>
      </w:r>
      <w:r w:rsidRPr="00577359">
        <w:rPr>
          <w:lang w:eastAsia="zh-CN"/>
        </w:rPr>
        <w:t>号决议（</w:t>
      </w:r>
      <w:r w:rsidRPr="00577359">
        <w:rPr>
          <w:lang w:eastAsia="zh-CN"/>
        </w:rPr>
        <w:t>201</w:t>
      </w:r>
      <w:r w:rsidR="00DE07DB" w:rsidRPr="00577359">
        <w:rPr>
          <w:lang w:eastAsia="zh-CN"/>
        </w:rPr>
        <w:t>8</w:t>
      </w:r>
      <w:r w:rsidRPr="00577359">
        <w:rPr>
          <w:lang w:eastAsia="zh-CN"/>
        </w:rPr>
        <w:t>年，</w:t>
      </w:r>
      <w:r w:rsidR="00DE07DB" w:rsidRPr="00577359">
        <w:rPr>
          <w:rFonts w:hint="eastAsia"/>
          <w:lang w:eastAsia="zh-CN"/>
        </w:rPr>
        <w:t>迪拜</w:t>
      </w:r>
      <w:r w:rsidRPr="00577359">
        <w:rPr>
          <w:lang w:eastAsia="zh-CN"/>
        </w:rPr>
        <w:t>，修订版）</w:t>
      </w:r>
      <w:r w:rsidR="00DE07DB" w:rsidRPr="00577359">
        <w:rPr>
          <w:rFonts w:hint="eastAsia"/>
          <w:lang w:eastAsia="zh-CN"/>
        </w:rPr>
        <w:t>、</w:t>
      </w:r>
      <w:r w:rsidR="00E135FE" w:rsidRPr="00577359">
        <w:rPr>
          <w:rFonts w:ascii="SimSun" w:hAnsi="CG Times" w:cs="SimSun" w:hint="eastAsia"/>
          <w:lang w:val="en-US" w:eastAsia="zh-CN"/>
        </w:rPr>
        <w:t>第</w:t>
      </w:r>
      <w:r w:rsidR="00E135FE" w:rsidRPr="00577359">
        <w:rPr>
          <w:rFonts w:cs="Calibri"/>
          <w:lang w:val="en-US" w:eastAsia="zh-CN"/>
        </w:rPr>
        <w:t>151</w:t>
      </w:r>
      <w:r w:rsidR="00E135FE" w:rsidRPr="00577359">
        <w:rPr>
          <w:rFonts w:ascii="SimSun" w:hAnsi="CG Times" w:cs="SimSun" w:hint="eastAsia"/>
          <w:lang w:val="en-US" w:eastAsia="zh-CN"/>
        </w:rPr>
        <w:t>号决议（</w:t>
      </w:r>
      <w:r w:rsidR="00E135FE" w:rsidRPr="00577359">
        <w:rPr>
          <w:rFonts w:cs="Calibri"/>
          <w:lang w:val="en-US" w:eastAsia="zh-CN"/>
        </w:rPr>
        <w:t>2018</w:t>
      </w:r>
      <w:r w:rsidR="00E135FE" w:rsidRPr="00577359">
        <w:rPr>
          <w:rFonts w:ascii="SimSun" w:hAnsi="CG Times" w:cs="SimSun" w:hint="eastAsia"/>
          <w:lang w:val="en-US" w:eastAsia="zh-CN"/>
        </w:rPr>
        <w:t>年，迪拜，修订版）</w:t>
      </w:r>
      <w:r w:rsidR="00DE07DB" w:rsidRPr="00577359">
        <w:rPr>
          <w:rFonts w:hint="eastAsia"/>
          <w:szCs w:val="24"/>
          <w:lang w:eastAsia="zh-CN"/>
        </w:rPr>
        <w:t>、</w:t>
      </w:r>
      <w:r w:rsidR="00E135FE" w:rsidRPr="00577359">
        <w:rPr>
          <w:rFonts w:ascii="SimSun" w:hAnsi="CG Times" w:cs="SimSun" w:hint="eastAsia"/>
          <w:lang w:val="en-US" w:eastAsia="zh-CN"/>
        </w:rPr>
        <w:t>第</w:t>
      </w:r>
      <w:r w:rsidR="00E135FE" w:rsidRPr="00577359">
        <w:rPr>
          <w:rFonts w:cs="Calibri"/>
          <w:lang w:val="en-US" w:eastAsia="zh-CN"/>
        </w:rPr>
        <w:t>191</w:t>
      </w:r>
      <w:r w:rsidR="00E135FE" w:rsidRPr="00577359">
        <w:rPr>
          <w:rFonts w:ascii="SimSun" w:hAnsi="CG Times" w:cs="SimSun" w:hint="eastAsia"/>
          <w:lang w:val="en-US" w:eastAsia="zh-CN"/>
        </w:rPr>
        <w:t>号决议（</w:t>
      </w:r>
      <w:r w:rsidR="00E135FE" w:rsidRPr="00577359">
        <w:rPr>
          <w:rFonts w:cs="Calibri"/>
          <w:lang w:val="en-US" w:eastAsia="zh-CN"/>
        </w:rPr>
        <w:t>2018</w:t>
      </w:r>
      <w:r w:rsidR="00E135FE" w:rsidRPr="00577359">
        <w:rPr>
          <w:rFonts w:ascii="SimSun" w:hAnsi="CG Times" w:cs="SimSun" w:hint="eastAsia"/>
          <w:lang w:val="en-US" w:eastAsia="zh-CN"/>
        </w:rPr>
        <w:t>年，迪拜，修订版）</w:t>
      </w:r>
      <w:r w:rsidR="00DE07DB" w:rsidRPr="00577359">
        <w:rPr>
          <w:rFonts w:hint="eastAsia"/>
          <w:szCs w:val="24"/>
          <w:lang w:eastAsia="zh-CN"/>
        </w:rPr>
        <w:t>、</w:t>
      </w:r>
      <w:r w:rsidR="00E135FE" w:rsidRPr="00577359">
        <w:rPr>
          <w:rFonts w:ascii="SimSun" w:hAnsi="CG Times" w:cs="SimSun" w:hint="eastAsia"/>
          <w:lang w:val="en-US" w:eastAsia="zh-CN"/>
        </w:rPr>
        <w:t>第</w:t>
      </w:r>
      <w:r w:rsidR="00E135FE" w:rsidRPr="00577359">
        <w:rPr>
          <w:rFonts w:cs="Calibri"/>
          <w:lang w:val="en-US" w:eastAsia="zh-CN"/>
        </w:rPr>
        <w:t>200</w:t>
      </w:r>
      <w:r w:rsidR="00E135FE" w:rsidRPr="00577359">
        <w:rPr>
          <w:rFonts w:ascii="SimSun" w:hAnsi="CG Times" w:cs="SimSun" w:hint="eastAsia"/>
          <w:lang w:val="en-US" w:eastAsia="zh-CN"/>
        </w:rPr>
        <w:t>号决议（</w:t>
      </w:r>
      <w:r w:rsidR="00E135FE" w:rsidRPr="00577359">
        <w:rPr>
          <w:rFonts w:cs="Calibri"/>
          <w:lang w:val="en-US" w:eastAsia="zh-CN"/>
        </w:rPr>
        <w:t>2018</w:t>
      </w:r>
      <w:r w:rsidR="00E135FE" w:rsidRPr="00577359">
        <w:rPr>
          <w:rFonts w:ascii="SimSun" w:hAnsi="CG Times" w:cs="SimSun" w:hint="eastAsia"/>
          <w:lang w:val="en-US" w:eastAsia="zh-CN"/>
        </w:rPr>
        <w:t>年，迪拜，修订版）</w:t>
      </w:r>
      <w:r w:rsidR="00DE07DB" w:rsidRPr="00577359">
        <w:rPr>
          <w:rFonts w:hint="eastAsia"/>
          <w:szCs w:val="24"/>
          <w:lang w:eastAsia="zh-CN"/>
        </w:rPr>
        <w:t>；理事会第</w:t>
      </w:r>
      <w:r w:rsidR="009935B0" w:rsidRPr="00577359">
        <w:rPr>
          <w:szCs w:val="24"/>
          <w:lang w:eastAsia="zh-CN"/>
        </w:rPr>
        <w:t>1404</w:t>
      </w:r>
      <w:r w:rsidR="00DE07DB" w:rsidRPr="00577359">
        <w:rPr>
          <w:rFonts w:hint="eastAsia"/>
          <w:szCs w:val="24"/>
          <w:lang w:eastAsia="zh-CN"/>
        </w:rPr>
        <w:t>号决议（</w:t>
      </w:r>
      <w:r w:rsidR="009935B0" w:rsidRPr="00577359">
        <w:rPr>
          <w:szCs w:val="24"/>
          <w:lang w:eastAsia="zh-CN"/>
        </w:rPr>
        <w:t>C21</w:t>
      </w:r>
      <w:r w:rsidR="00DE07DB" w:rsidRPr="00577359">
        <w:rPr>
          <w:rFonts w:hint="eastAsia"/>
          <w:szCs w:val="24"/>
          <w:lang w:eastAsia="zh-CN"/>
        </w:rPr>
        <w:t>）。</w:t>
      </w:r>
    </w:p>
    <w:p w14:paraId="5A40B0D5" w14:textId="77777777" w:rsidR="009935B0" w:rsidRPr="00577359" w:rsidRDefault="009935B0" w:rsidP="009935B0">
      <w:pPr>
        <w:jc w:val="center"/>
        <w:rPr>
          <w:lang w:eastAsia="zh-CN"/>
        </w:rPr>
      </w:pPr>
    </w:p>
    <w:p w14:paraId="7ECCCB51" w14:textId="77777777" w:rsidR="009935B0" w:rsidRPr="00DE0750" w:rsidRDefault="009935B0" w:rsidP="009935B0">
      <w:pPr>
        <w:jc w:val="center"/>
      </w:pPr>
      <w:r w:rsidRPr="00577359">
        <w:t>________________</w:t>
      </w:r>
    </w:p>
    <w:p w14:paraId="212BB248" w14:textId="77777777" w:rsidR="00A70240" w:rsidRDefault="00A70240" w:rsidP="009935B0">
      <w:pPr>
        <w:rPr>
          <w:lang w:eastAsia="zh-CN"/>
        </w:rPr>
      </w:pPr>
    </w:p>
    <w:sectPr w:rsidR="00A70240" w:rsidSect="00DC60C4">
      <w:headerReference w:type="default" r:id="rId9"/>
      <w:footerReference w:type="default" r:id="rId10"/>
      <w:footerReference w:type="first" r:id="rId11"/>
      <w:pgSz w:w="11907" w:h="16834"/>
      <w:pgMar w:top="1418" w:right="992"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ECC83" w14:textId="77777777" w:rsidR="003C68C5" w:rsidRDefault="003C68C5">
      <w:r>
        <w:separator/>
      </w:r>
    </w:p>
  </w:endnote>
  <w:endnote w:type="continuationSeparator" w:id="0">
    <w:p w14:paraId="45ADF098" w14:textId="77777777" w:rsidR="003C68C5" w:rsidRDefault="003C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STKaiti">
    <w:altName w:val="华文楷体"/>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2BE7" w14:textId="15C83D9A" w:rsidR="00B40A53" w:rsidRPr="00720913" w:rsidRDefault="0001297B" w:rsidP="0001297B">
    <w:pPr>
      <w:pStyle w:val="Footer"/>
      <w:rPr>
        <w:color w:val="F2F2F2" w:themeColor="background1" w:themeShade="F2"/>
        <w:szCs w:val="16"/>
      </w:rPr>
    </w:pPr>
    <w:r w:rsidRPr="00720913">
      <w:rPr>
        <w:color w:val="F2F2F2" w:themeColor="background1" w:themeShade="F2"/>
        <w:szCs w:val="16"/>
      </w:rPr>
      <w:fldChar w:fldCharType="begin"/>
    </w:r>
    <w:r w:rsidRPr="00720913">
      <w:rPr>
        <w:color w:val="F2F2F2" w:themeColor="background1" w:themeShade="F2"/>
        <w:szCs w:val="16"/>
      </w:rPr>
      <w:instrText xml:space="preserve"> FILENAME \p \* MERGEFORMAT </w:instrText>
    </w:r>
    <w:r w:rsidRPr="00720913">
      <w:rPr>
        <w:color w:val="F2F2F2" w:themeColor="background1" w:themeShade="F2"/>
        <w:szCs w:val="16"/>
      </w:rPr>
      <w:fldChar w:fldCharType="separate"/>
    </w:r>
    <w:r w:rsidR="00577359" w:rsidRPr="00720913">
      <w:rPr>
        <w:color w:val="F2F2F2" w:themeColor="background1" w:themeShade="F2"/>
        <w:szCs w:val="16"/>
      </w:rPr>
      <w:t>P:\CHI\SG\CONSEIL\CWG-SFP\CWG-SFP1\000\008C.docx</w:t>
    </w:r>
    <w:r w:rsidRPr="00720913">
      <w:rPr>
        <w:color w:val="F2F2F2" w:themeColor="background1" w:themeShade="F2"/>
        <w:szCs w:val="16"/>
      </w:rPr>
      <w:fldChar w:fldCharType="end"/>
    </w:r>
    <w:r w:rsidRPr="00720913">
      <w:rPr>
        <w:color w:val="F2F2F2" w:themeColor="background1" w:themeShade="F2"/>
        <w:szCs w:val="16"/>
      </w:rPr>
      <w:t xml:space="preserve"> (</w:t>
    </w:r>
    <w:r w:rsidR="00424F7A" w:rsidRPr="00720913">
      <w:rPr>
        <w:color w:val="F2F2F2" w:themeColor="background1" w:themeShade="F2"/>
        <w:szCs w:val="16"/>
      </w:rPr>
      <w:t>494202</w:t>
    </w:r>
    <w:r w:rsidRPr="00720913">
      <w:rPr>
        <w:color w:val="F2F2F2" w:themeColor="background1" w:themeShade="F2"/>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A5F8"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3F644" w14:textId="77777777" w:rsidR="003C68C5" w:rsidRDefault="003C68C5">
      <w:r>
        <w:t>____________________</w:t>
      </w:r>
    </w:p>
  </w:footnote>
  <w:footnote w:type="continuationSeparator" w:id="0">
    <w:p w14:paraId="7D734DFB" w14:textId="77777777" w:rsidR="003C68C5" w:rsidRDefault="003C6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5217" w14:textId="50D49323" w:rsidR="00DA48FE" w:rsidRDefault="00DA48FE" w:rsidP="00DA48FE">
    <w:pPr>
      <w:pStyle w:val="Header"/>
      <w:spacing w:after="120"/>
    </w:pPr>
    <w:r w:rsidRPr="009F2E71">
      <w:fldChar w:fldCharType="begin"/>
    </w:r>
    <w:r w:rsidRPr="009F2E71">
      <w:instrText xml:space="preserve"> PAGE   \* MERGEFORMAT </w:instrText>
    </w:r>
    <w:r w:rsidRPr="009F2E71">
      <w:fldChar w:fldCharType="separate"/>
    </w:r>
    <w:r w:rsidR="006270D6">
      <w:rPr>
        <w:noProof/>
      </w:rPr>
      <w:t>2</w:t>
    </w:r>
    <w:r w:rsidRPr="009F2E71">
      <w:rPr>
        <w:noProof/>
      </w:rPr>
      <w:fldChar w:fldCharType="end"/>
    </w:r>
    <w:r w:rsidRPr="009F2E71">
      <w:rPr>
        <w:noProof/>
      </w:rPr>
      <w:br/>
    </w:r>
    <w:r w:rsidR="009935B0" w:rsidRPr="009935B0">
      <w:rPr>
        <w:noProof/>
        <w:lang w:val="en-GB"/>
      </w:rPr>
      <w:t>CWG-SFP-1</w:t>
    </w:r>
    <w:r w:rsidR="009935B0" w:rsidRPr="009935B0">
      <w:rPr>
        <w:bCs/>
        <w:noProof/>
        <w:lang w:val="en-GB"/>
      </w:rPr>
      <w:t>/8</w:t>
    </w:r>
    <w:r>
      <w:rPr>
        <w:noProof/>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D158E0"/>
    <w:multiLevelType w:val="hybridMultilevel"/>
    <w:tmpl w:val="BDCA6C82"/>
    <w:lvl w:ilvl="0" w:tplc="6B8A2C08">
      <w:start w:val="1"/>
      <w:numFmt w:val="decimal"/>
      <w:lvlText w:val="%1."/>
      <w:lvlJc w:val="left"/>
      <w:pPr>
        <w:ind w:left="720" w:hanging="360"/>
      </w:pPr>
    </w:lvl>
    <w:lvl w:ilvl="1" w:tplc="86340E1C">
      <w:start w:val="1"/>
      <w:numFmt w:val="lowerLetter"/>
      <w:lvlText w:val="%2."/>
      <w:lvlJc w:val="left"/>
      <w:pPr>
        <w:ind w:left="1440" w:hanging="360"/>
      </w:pPr>
    </w:lvl>
    <w:lvl w:ilvl="2" w:tplc="B56EC016">
      <w:start w:val="1"/>
      <w:numFmt w:val="lowerRoman"/>
      <w:lvlText w:val="%3."/>
      <w:lvlJc w:val="right"/>
      <w:pPr>
        <w:ind w:left="2160" w:hanging="180"/>
      </w:pPr>
    </w:lvl>
    <w:lvl w:ilvl="3" w:tplc="96B8B9BA">
      <w:start w:val="1"/>
      <w:numFmt w:val="decimal"/>
      <w:lvlText w:val="%4."/>
      <w:lvlJc w:val="left"/>
      <w:pPr>
        <w:ind w:left="2880" w:hanging="360"/>
      </w:pPr>
    </w:lvl>
    <w:lvl w:ilvl="4" w:tplc="C1883A0E">
      <w:start w:val="1"/>
      <w:numFmt w:val="lowerLetter"/>
      <w:lvlText w:val="%5."/>
      <w:lvlJc w:val="left"/>
      <w:pPr>
        <w:ind w:left="3600" w:hanging="360"/>
      </w:pPr>
    </w:lvl>
    <w:lvl w:ilvl="5" w:tplc="8C9840B0">
      <w:start w:val="1"/>
      <w:numFmt w:val="lowerRoman"/>
      <w:lvlText w:val="%6."/>
      <w:lvlJc w:val="right"/>
      <w:pPr>
        <w:ind w:left="4320" w:hanging="180"/>
      </w:pPr>
    </w:lvl>
    <w:lvl w:ilvl="6" w:tplc="087CD65A">
      <w:start w:val="1"/>
      <w:numFmt w:val="decimal"/>
      <w:lvlText w:val="%7."/>
      <w:lvlJc w:val="left"/>
      <w:pPr>
        <w:ind w:left="5040" w:hanging="360"/>
      </w:pPr>
    </w:lvl>
    <w:lvl w:ilvl="7" w:tplc="FC586632">
      <w:start w:val="1"/>
      <w:numFmt w:val="lowerLetter"/>
      <w:lvlText w:val="%8."/>
      <w:lvlJc w:val="left"/>
      <w:pPr>
        <w:ind w:left="5760" w:hanging="360"/>
      </w:pPr>
    </w:lvl>
    <w:lvl w:ilvl="8" w:tplc="FD868712">
      <w:start w:val="1"/>
      <w:numFmt w:val="lowerRoman"/>
      <w:lvlText w:val="%9."/>
      <w:lvlJc w:val="right"/>
      <w:pPr>
        <w:ind w:left="6480" w:hanging="180"/>
      </w:pPr>
    </w:lvl>
  </w:abstractNum>
  <w:abstractNum w:abstractNumId="2"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8895AC0"/>
    <w:multiLevelType w:val="hybridMultilevel"/>
    <w:tmpl w:val="0366CF7A"/>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DDD443C"/>
    <w:multiLevelType w:val="multilevel"/>
    <w:tmpl w:val="2A8CB998"/>
    <w:lvl w:ilvl="0">
      <w:start w:val="5"/>
      <w:numFmt w:val="decimal"/>
      <w:lvlText w:val="%1"/>
      <w:lvlJc w:val="left"/>
      <w:pPr>
        <w:ind w:left="360" w:hanging="360"/>
      </w:pPr>
    </w:lvl>
    <w:lvl w:ilvl="1">
      <w:start w:val="1"/>
      <w:numFmt w:val="decimal"/>
      <w:lvlText w:val="%1.%2"/>
      <w:lvlJc w:val="left"/>
      <w:pPr>
        <w:ind w:left="1353"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9"/>
  </w:num>
  <w:num w:numId="5">
    <w:abstractNumId w:val="11"/>
  </w:num>
  <w:num w:numId="6">
    <w:abstractNumId w:val="10"/>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5" w:nlCheck="1" w:checkStyle="1"/>
  <w:activeWritingStyle w:appName="MSWord" w:lang="fr-CH"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8C5"/>
    <w:rsid w:val="00001B77"/>
    <w:rsid w:val="0000517A"/>
    <w:rsid w:val="0001297B"/>
    <w:rsid w:val="00031E72"/>
    <w:rsid w:val="000404D2"/>
    <w:rsid w:val="00057C46"/>
    <w:rsid w:val="000853C0"/>
    <w:rsid w:val="000A1C21"/>
    <w:rsid w:val="000C4248"/>
    <w:rsid w:val="000D0712"/>
    <w:rsid w:val="000D0B67"/>
    <w:rsid w:val="000D15EA"/>
    <w:rsid w:val="00100D84"/>
    <w:rsid w:val="00117F6C"/>
    <w:rsid w:val="00120379"/>
    <w:rsid w:val="00124C9D"/>
    <w:rsid w:val="00136D3E"/>
    <w:rsid w:val="00157773"/>
    <w:rsid w:val="0018251A"/>
    <w:rsid w:val="00190272"/>
    <w:rsid w:val="00193244"/>
    <w:rsid w:val="00195C6C"/>
    <w:rsid w:val="00195FED"/>
    <w:rsid w:val="001A4BD6"/>
    <w:rsid w:val="001B4A65"/>
    <w:rsid w:val="001C3E29"/>
    <w:rsid w:val="001D5A18"/>
    <w:rsid w:val="00227621"/>
    <w:rsid w:val="002607D5"/>
    <w:rsid w:val="00264044"/>
    <w:rsid w:val="002749C1"/>
    <w:rsid w:val="002768E8"/>
    <w:rsid w:val="00280EB8"/>
    <w:rsid w:val="00280F79"/>
    <w:rsid w:val="002A6670"/>
    <w:rsid w:val="002C322C"/>
    <w:rsid w:val="002E2C4D"/>
    <w:rsid w:val="002E4250"/>
    <w:rsid w:val="002F20D0"/>
    <w:rsid w:val="00303502"/>
    <w:rsid w:val="00325C25"/>
    <w:rsid w:val="00345800"/>
    <w:rsid w:val="003552E5"/>
    <w:rsid w:val="00372C8F"/>
    <w:rsid w:val="00380ECE"/>
    <w:rsid w:val="00393DDF"/>
    <w:rsid w:val="00397F55"/>
    <w:rsid w:val="003A369A"/>
    <w:rsid w:val="003A797E"/>
    <w:rsid w:val="003B4454"/>
    <w:rsid w:val="003C2E37"/>
    <w:rsid w:val="003C68C5"/>
    <w:rsid w:val="003F1415"/>
    <w:rsid w:val="0040144C"/>
    <w:rsid w:val="00403EB7"/>
    <w:rsid w:val="00424F7A"/>
    <w:rsid w:val="00430BF0"/>
    <w:rsid w:val="004672E6"/>
    <w:rsid w:val="00474ED1"/>
    <w:rsid w:val="00493085"/>
    <w:rsid w:val="004A36EC"/>
    <w:rsid w:val="004D163F"/>
    <w:rsid w:val="004E4BFF"/>
    <w:rsid w:val="004F079A"/>
    <w:rsid w:val="004F2598"/>
    <w:rsid w:val="004F700E"/>
    <w:rsid w:val="00501C8C"/>
    <w:rsid w:val="005060F9"/>
    <w:rsid w:val="00524884"/>
    <w:rsid w:val="005403F7"/>
    <w:rsid w:val="00540632"/>
    <w:rsid w:val="00541CF4"/>
    <w:rsid w:val="00544C81"/>
    <w:rsid w:val="005451E8"/>
    <w:rsid w:val="005507F2"/>
    <w:rsid w:val="00555B1F"/>
    <w:rsid w:val="005759CC"/>
    <w:rsid w:val="00577359"/>
    <w:rsid w:val="005A72E1"/>
    <w:rsid w:val="005C5A89"/>
    <w:rsid w:val="005C6632"/>
    <w:rsid w:val="005D1C9E"/>
    <w:rsid w:val="005D5620"/>
    <w:rsid w:val="00610772"/>
    <w:rsid w:val="00626565"/>
    <w:rsid w:val="006270D6"/>
    <w:rsid w:val="00654257"/>
    <w:rsid w:val="0065435A"/>
    <w:rsid w:val="006A2DD3"/>
    <w:rsid w:val="006A5AF8"/>
    <w:rsid w:val="006C36CD"/>
    <w:rsid w:val="006F315B"/>
    <w:rsid w:val="00700D1F"/>
    <w:rsid w:val="007125F3"/>
    <w:rsid w:val="00715DAC"/>
    <w:rsid w:val="00720594"/>
    <w:rsid w:val="007205CB"/>
    <w:rsid w:val="00720913"/>
    <w:rsid w:val="00722F05"/>
    <w:rsid w:val="00726073"/>
    <w:rsid w:val="00734FE8"/>
    <w:rsid w:val="007360CE"/>
    <w:rsid w:val="0075041B"/>
    <w:rsid w:val="007508E8"/>
    <w:rsid w:val="00772315"/>
    <w:rsid w:val="00775157"/>
    <w:rsid w:val="007813AE"/>
    <w:rsid w:val="00796695"/>
    <w:rsid w:val="00797000"/>
    <w:rsid w:val="007A37DB"/>
    <w:rsid w:val="007A5537"/>
    <w:rsid w:val="007E189D"/>
    <w:rsid w:val="007F46B6"/>
    <w:rsid w:val="00811259"/>
    <w:rsid w:val="00811857"/>
    <w:rsid w:val="008119AE"/>
    <w:rsid w:val="00813AA2"/>
    <w:rsid w:val="008173A3"/>
    <w:rsid w:val="0086059C"/>
    <w:rsid w:val="00864589"/>
    <w:rsid w:val="00870ECF"/>
    <w:rsid w:val="00881942"/>
    <w:rsid w:val="008876C4"/>
    <w:rsid w:val="00890AFB"/>
    <w:rsid w:val="00890FC4"/>
    <w:rsid w:val="00895905"/>
    <w:rsid w:val="008C052B"/>
    <w:rsid w:val="008F6603"/>
    <w:rsid w:val="00904574"/>
    <w:rsid w:val="00913437"/>
    <w:rsid w:val="009164A9"/>
    <w:rsid w:val="009258CB"/>
    <w:rsid w:val="00926253"/>
    <w:rsid w:val="0093362E"/>
    <w:rsid w:val="00944563"/>
    <w:rsid w:val="00953160"/>
    <w:rsid w:val="009625D8"/>
    <w:rsid w:val="00977179"/>
    <w:rsid w:val="0098459B"/>
    <w:rsid w:val="009935B0"/>
    <w:rsid w:val="00997185"/>
    <w:rsid w:val="009B0BC1"/>
    <w:rsid w:val="009C2458"/>
    <w:rsid w:val="009C4A7B"/>
    <w:rsid w:val="009C6123"/>
    <w:rsid w:val="009D1C4F"/>
    <w:rsid w:val="009D2585"/>
    <w:rsid w:val="009F1E3E"/>
    <w:rsid w:val="009F343A"/>
    <w:rsid w:val="00A1213C"/>
    <w:rsid w:val="00A147BA"/>
    <w:rsid w:val="00A272FF"/>
    <w:rsid w:val="00A3647D"/>
    <w:rsid w:val="00A5354B"/>
    <w:rsid w:val="00A70240"/>
    <w:rsid w:val="00A71B57"/>
    <w:rsid w:val="00A87B83"/>
    <w:rsid w:val="00AB0B85"/>
    <w:rsid w:val="00AB42C1"/>
    <w:rsid w:val="00AC516F"/>
    <w:rsid w:val="00AE2926"/>
    <w:rsid w:val="00AE536E"/>
    <w:rsid w:val="00B0184B"/>
    <w:rsid w:val="00B035CD"/>
    <w:rsid w:val="00B0769D"/>
    <w:rsid w:val="00B10446"/>
    <w:rsid w:val="00B1197B"/>
    <w:rsid w:val="00B16F5A"/>
    <w:rsid w:val="00B217F8"/>
    <w:rsid w:val="00B251F5"/>
    <w:rsid w:val="00B2605E"/>
    <w:rsid w:val="00B332EA"/>
    <w:rsid w:val="00B40A53"/>
    <w:rsid w:val="00B45365"/>
    <w:rsid w:val="00B46A65"/>
    <w:rsid w:val="00B60184"/>
    <w:rsid w:val="00B62D20"/>
    <w:rsid w:val="00B81E75"/>
    <w:rsid w:val="00B86D56"/>
    <w:rsid w:val="00B90C18"/>
    <w:rsid w:val="00BC021A"/>
    <w:rsid w:val="00BD1194"/>
    <w:rsid w:val="00BD1A5A"/>
    <w:rsid w:val="00BD7A9B"/>
    <w:rsid w:val="00BD7BE1"/>
    <w:rsid w:val="00BE6A78"/>
    <w:rsid w:val="00BF416B"/>
    <w:rsid w:val="00BF4EFC"/>
    <w:rsid w:val="00BF774C"/>
    <w:rsid w:val="00C12068"/>
    <w:rsid w:val="00C41BC3"/>
    <w:rsid w:val="00C5075E"/>
    <w:rsid w:val="00C50B28"/>
    <w:rsid w:val="00C5723D"/>
    <w:rsid w:val="00C64E4E"/>
    <w:rsid w:val="00C66E64"/>
    <w:rsid w:val="00C71444"/>
    <w:rsid w:val="00C761A0"/>
    <w:rsid w:val="00C85F7E"/>
    <w:rsid w:val="00C90D53"/>
    <w:rsid w:val="00C961B9"/>
    <w:rsid w:val="00C96259"/>
    <w:rsid w:val="00CA3D9A"/>
    <w:rsid w:val="00CB1BCA"/>
    <w:rsid w:val="00CC11DF"/>
    <w:rsid w:val="00CD47F0"/>
    <w:rsid w:val="00CD5566"/>
    <w:rsid w:val="00CD64D7"/>
    <w:rsid w:val="00CE6F22"/>
    <w:rsid w:val="00CE7962"/>
    <w:rsid w:val="00CF41F6"/>
    <w:rsid w:val="00CF7D3E"/>
    <w:rsid w:val="00D02B4E"/>
    <w:rsid w:val="00D21F11"/>
    <w:rsid w:val="00D36817"/>
    <w:rsid w:val="00D5666C"/>
    <w:rsid w:val="00D666BC"/>
    <w:rsid w:val="00D83542"/>
    <w:rsid w:val="00D92F45"/>
    <w:rsid w:val="00D94637"/>
    <w:rsid w:val="00D96457"/>
    <w:rsid w:val="00D966A7"/>
    <w:rsid w:val="00D9725C"/>
    <w:rsid w:val="00DA48FE"/>
    <w:rsid w:val="00DA7006"/>
    <w:rsid w:val="00DB73F9"/>
    <w:rsid w:val="00DC60C4"/>
    <w:rsid w:val="00DC6427"/>
    <w:rsid w:val="00DD66A1"/>
    <w:rsid w:val="00DE07DB"/>
    <w:rsid w:val="00DE196D"/>
    <w:rsid w:val="00DF6B49"/>
    <w:rsid w:val="00E067C5"/>
    <w:rsid w:val="00E135FE"/>
    <w:rsid w:val="00E265BF"/>
    <w:rsid w:val="00E36D73"/>
    <w:rsid w:val="00E378D8"/>
    <w:rsid w:val="00E43A12"/>
    <w:rsid w:val="00E67C67"/>
    <w:rsid w:val="00E75930"/>
    <w:rsid w:val="00E77476"/>
    <w:rsid w:val="00E8228B"/>
    <w:rsid w:val="00EA2204"/>
    <w:rsid w:val="00EE4D0B"/>
    <w:rsid w:val="00EE5706"/>
    <w:rsid w:val="00EF2067"/>
    <w:rsid w:val="00EF373D"/>
    <w:rsid w:val="00F11595"/>
    <w:rsid w:val="00F13BC9"/>
    <w:rsid w:val="00F350F0"/>
    <w:rsid w:val="00F357B2"/>
    <w:rsid w:val="00F36556"/>
    <w:rsid w:val="00F432F3"/>
    <w:rsid w:val="00F705DF"/>
    <w:rsid w:val="00F70622"/>
    <w:rsid w:val="00F74BDA"/>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38069B9"/>
  <w15:docId w15:val="{B93A1514-41E9-4334-8CDC-2DA47F0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rsid w:val="003C68C5"/>
    <w:rPr>
      <w:rFonts w:ascii="Calibri" w:eastAsia="Times New Roman" w:hAnsi="Calibri"/>
      <w:sz w:val="24"/>
      <w:lang w:val="en-GB" w:eastAsia="en-US"/>
    </w:rPr>
  </w:style>
  <w:style w:type="character" w:styleId="Emphasis">
    <w:name w:val="Emphasis"/>
    <w:uiPriority w:val="20"/>
    <w:qFormat/>
    <w:rsid w:val="00C50B28"/>
    <w:rPr>
      <w:i/>
      <w:iCs/>
    </w:rPr>
  </w:style>
  <w:style w:type="paragraph" w:styleId="Subtitle">
    <w:name w:val="Subtitle"/>
    <w:basedOn w:val="Normal"/>
    <w:next w:val="Normal"/>
    <w:link w:val="SubtitleChar"/>
    <w:uiPriority w:val="11"/>
    <w:qFormat/>
    <w:rsid w:val="00C50B28"/>
    <w:pPr>
      <w:numPr>
        <w:ilvl w:val="1"/>
      </w:numPr>
      <w:tabs>
        <w:tab w:val="clear" w:pos="794"/>
        <w:tab w:val="clear" w:pos="1191"/>
        <w:tab w:val="clear" w:pos="1588"/>
        <w:tab w:val="clear" w:pos="1985"/>
      </w:tabs>
      <w:overflowPunct/>
      <w:autoSpaceDE/>
      <w:autoSpaceDN/>
      <w:adjustRightInd/>
      <w:spacing w:before="240" w:after="240" w:line="259" w:lineRule="auto"/>
      <w:jc w:val="center"/>
      <w:textAlignment w:val="auto"/>
    </w:pPr>
    <w:rPr>
      <w:rFonts w:asciiTheme="minorHAnsi" w:eastAsiaTheme="minorEastAsia" w:hAnsiTheme="minorHAnsi" w:cstheme="minorBidi"/>
      <w:b/>
      <w:szCs w:val="22"/>
      <w:lang w:val="en-US" w:eastAsia="zh-CN"/>
    </w:rPr>
  </w:style>
  <w:style w:type="character" w:customStyle="1" w:styleId="SubtitleChar">
    <w:name w:val="Subtitle Char"/>
    <w:basedOn w:val="DefaultParagraphFont"/>
    <w:link w:val="Subtitle"/>
    <w:uiPriority w:val="11"/>
    <w:rsid w:val="00C50B28"/>
    <w:rPr>
      <w:rFonts w:asciiTheme="minorHAnsi" w:eastAsiaTheme="minorEastAsia" w:hAnsiTheme="minorHAnsi" w:cstheme="minorBidi"/>
      <w:b/>
      <w:sz w:val="24"/>
      <w:szCs w:val="22"/>
    </w:rPr>
  </w:style>
  <w:style w:type="table" w:styleId="PlainTable4">
    <w:name w:val="Plain Table 4"/>
    <w:basedOn w:val="TableNormal"/>
    <w:uiPriority w:val="44"/>
    <w:rsid w:val="00C50B2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ranssent">
    <w:name w:val="transsent"/>
    <w:basedOn w:val="DefaultParagraphFont"/>
    <w:rsid w:val="002E4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155F1-60F7-40D0-B331-81B38AA92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1</TotalTime>
  <Pages>2</Pages>
  <Words>2008</Words>
  <Characters>214</Characters>
  <Application>Microsoft Office Word</Application>
  <DocSecurity>4</DocSecurity>
  <Lines>1</Lines>
  <Paragraphs>4</Paragraphs>
  <ScaleCrop>false</ScaleCrop>
  <HeadingPairs>
    <vt:vector size="2" baseType="variant">
      <vt:variant>
        <vt:lpstr>Title</vt:lpstr>
      </vt:variant>
      <vt:variant>
        <vt:i4>1</vt:i4>
      </vt:variant>
    </vt:vector>
  </HeadingPairs>
  <TitlesOfParts>
    <vt:vector size="1" baseType="lpstr">
      <vt:lpstr>Draft agenda of Council Working Group for Strategic and Financial Plans 2024-2027</vt:lpstr>
    </vt:vector>
  </TitlesOfParts>
  <Manager>General Secretariat - Pool</Manager>
  <Company>International Telecommunication Union (ITU)</Company>
  <LinksUpToDate>false</LinksUpToDate>
  <CharactersWithSpaces>2218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Russian Federation - Proposals on improving the ITU strategic plan for the period 2024-2027</dc:title>
  <dc:subject>Counciil Working Group for Strategic and Financial Plans 2024-2027</dc:subject>
  <dc:creator>Wang, Yujia</dc:creator>
  <cp:keywords>CWG-SFP, CWG, CWGs &amp; EGs</cp:keywords>
  <dc:description/>
  <cp:lastModifiedBy>Xue, Kun</cp:lastModifiedBy>
  <cp:revision>2</cp:revision>
  <cp:lastPrinted>2018-04-05T09:51:00Z</cp:lastPrinted>
  <dcterms:created xsi:type="dcterms:W3CDTF">2021-09-22T10:18:00Z</dcterms:created>
  <dcterms:modified xsi:type="dcterms:W3CDTF">2021-09-22T10:18:00Z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