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EB98" w14:textId="5D872B1C" w:rsidR="00B915C1" w:rsidRPr="00282172" w:rsidRDefault="00B915C1" w:rsidP="005A232E">
      <w:pPr>
        <w:jc w:val="center"/>
        <w:rPr>
          <w:rFonts w:asciiTheme="minorHAnsi" w:hAnsiTheme="minorHAnsi" w:cstheme="minorHAnsi"/>
          <w:sz w:val="32"/>
          <w:szCs w:val="32"/>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RPr="00BD0203" w14:paraId="418E5B0C" w14:textId="77777777" w:rsidTr="000F2E67">
        <w:trPr>
          <w:cantSplit/>
        </w:trPr>
        <w:tc>
          <w:tcPr>
            <w:tcW w:w="6521" w:type="dxa"/>
          </w:tcPr>
          <w:p w14:paraId="7231E528" w14:textId="77777777" w:rsidR="004E5922" w:rsidRPr="00BD0203" w:rsidRDefault="000F2E67" w:rsidP="00815174">
            <w:pPr>
              <w:spacing w:before="240" w:after="48"/>
              <w:rPr>
                <w:rFonts w:asciiTheme="minorHAnsi" w:hAnsiTheme="minorHAnsi" w:cstheme="minorHAnsi"/>
                <w:b/>
                <w:position w:val="6"/>
                <w:sz w:val="30"/>
                <w:szCs w:val="30"/>
              </w:rPr>
            </w:pPr>
            <w:bookmarkStart w:id="0" w:name="dc06"/>
            <w:bookmarkEnd w:id="0"/>
            <w:r w:rsidRPr="00BD0203">
              <w:rPr>
                <w:rFonts w:asciiTheme="minorHAnsi" w:hAnsiTheme="minorHAnsi" w:cstheme="minorHAnsi"/>
                <w:b/>
                <w:position w:val="6"/>
                <w:sz w:val="30"/>
                <w:szCs w:val="30"/>
              </w:rPr>
              <w:t xml:space="preserve">Council Working Group on </w:t>
            </w:r>
            <w:r w:rsidR="00815174" w:rsidRPr="00BD0203">
              <w:rPr>
                <w:rFonts w:asciiTheme="minorHAnsi" w:hAnsiTheme="minorHAnsi" w:cstheme="minorHAnsi"/>
                <w:b/>
                <w:position w:val="6"/>
                <w:sz w:val="30"/>
                <w:szCs w:val="30"/>
              </w:rPr>
              <w:br/>
              <w:t>Financial and Human Resources</w:t>
            </w:r>
          </w:p>
          <w:p w14:paraId="7F311F8C" w14:textId="3106E9E9" w:rsidR="005F153A" w:rsidRPr="00BD0203" w:rsidRDefault="00E60CA8" w:rsidP="00B72B57">
            <w:pPr>
              <w:spacing w:after="120"/>
              <w:rPr>
                <w:rFonts w:asciiTheme="minorHAnsi" w:hAnsiTheme="minorHAnsi" w:cstheme="minorHAnsi"/>
                <w:b/>
                <w:position w:val="6"/>
                <w:szCs w:val="22"/>
              </w:rPr>
            </w:pPr>
            <w:r w:rsidRPr="00E74973">
              <w:rPr>
                <w:rFonts w:asciiTheme="minorHAnsi" w:hAnsiTheme="minorHAnsi" w:cstheme="minorHAnsi"/>
                <w:b/>
              </w:rPr>
              <w:t xml:space="preserve">Fourteenth meeting </w:t>
            </w:r>
            <w:r w:rsidRPr="00E74973">
              <w:rPr>
                <w:rFonts w:asciiTheme="minorHAnsi" w:eastAsia="Calibri" w:hAnsiTheme="minorHAnsi" w:cstheme="minorHAnsi"/>
                <w:b/>
                <w:color w:val="000000"/>
              </w:rPr>
              <w:t>–</w:t>
            </w:r>
            <w:r w:rsidRPr="00E74973">
              <w:rPr>
                <w:rFonts w:asciiTheme="minorHAnsi" w:hAnsiTheme="minorHAnsi" w:cstheme="minorHAnsi"/>
                <w:b/>
              </w:rPr>
              <w:t xml:space="preserve"> Virtual, 20</w:t>
            </w:r>
            <w:r>
              <w:rPr>
                <w:rFonts w:asciiTheme="minorHAnsi" w:hAnsiTheme="minorHAnsi" w:cstheme="minorHAnsi"/>
                <w:b/>
              </w:rPr>
              <w:t>-</w:t>
            </w:r>
            <w:r w:rsidRPr="00E74973">
              <w:rPr>
                <w:rFonts w:asciiTheme="minorHAnsi" w:hAnsiTheme="minorHAnsi" w:cstheme="minorHAnsi"/>
                <w:b/>
              </w:rPr>
              <w:t>21 September 2021</w:t>
            </w:r>
          </w:p>
        </w:tc>
        <w:tc>
          <w:tcPr>
            <w:tcW w:w="3793" w:type="dxa"/>
          </w:tcPr>
          <w:p w14:paraId="1A942CFB" w14:textId="77777777" w:rsidR="005F153A" w:rsidRPr="00BD0203" w:rsidRDefault="002A1458" w:rsidP="001B506B">
            <w:pPr>
              <w:spacing w:before="120" w:line="240" w:lineRule="atLeast"/>
              <w:rPr>
                <w:rFonts w:asciiTheme="minorHAnsi" w:hAnsiTheme="minorHAnsi" w:cstheme="minorHAnsi"/>
              </w:rPr>
            </w:pPr>
            <w:bookmarkStart w:id="1" w:name="ditulogo"/>
            <w:bookmarkEnd w:id="1"/>
            <w:r w:rsidRPr="00BD0203">
              <w:rPr>
                <w:rFonts w:asciiTheme="minorHAnsi" w:hAnsiTheme="minorHAnsi" w:cstheme="minorHAnsi"/>
                <w:noProof/>
                <w:lang w:eastAsia="en-US"/>
              </w:rPr>
              <w:drawing>
                <wp:inline distT="0" distB="0" distL="0" distR="0" wp14:anchorId="7AF60DED" wp14:editId="4C813A14">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F153A" w:rsidRPr="00BD0203" w14:paraId="5E5FE9D5" w14:textId="77777777" w:rsidTr="000F2E67">
        <w:trPr>
          <w:cantSplit/>
        </w:trPr>
        <w:tc>
          <w:tcPr>
            <w:tcW w:w="6521" w:type="dxa"/>
            <w:tcBorders>
              <w:top w:val="single" w:sz="12" w:space="0" w:color="auto"/>
            </w:tcBorders>
          </w:tcPr>
          <w:p w14:paraId="0D47A83D" w14:textId="77777777" w:rsidR="005F153A" w:rsidRPr="00BD0203" w:rsidRDefault="005F153A" w:rsidP="000F2E67">
            <w:pPr>
              <w:snapToGrid w:val="0"/>
              <w:rPr>
                <w:rFonts w:asciiTheme="minorHAnsi" w:hAnsiTheme="minorHAnsi" w:cstheme="minorHAnsi"/>
                <w:b/>
                <w:smallCaps/>
              </w:rPr>
            </w:pPr>
          </w:p>
        </w:tc>
        <w:tc>
          <w:tcPr>
            <w:tcW w:w="3793" w:type="dxa"/>
            <w:tcBorders>
              <w:top w:val="single" w:sz="12" w:space="0" w:color="auto"/>
            </w:tcBorders>
          </w:tcPr>
          <w:p w14:paraId="110DED93" w14:textId="77777777" w:rsidR="005F153A" w:rsidRPr="00BD0203" w:rsidRDefault="005F153A" w:rsidP="000F2E67">
            <w:pPr>
              <w:snapToGrid w:val="0"/>
              <w:ind w:left="209"/>
              <w:rPr>
                <w:rFonts w:asciiTheme="minorHAnsi" w:hAnsiTheme="minorHAnsi" w:cstheme="minorHAnsi"/>
              </w:rPr>
            </w:pPr>
          </w:p>
        </w:tc>
      </w:tr>
      <w:tr w:rsidR="005F153A" w:rsidRPr="00BD0203" w14:paraId="005EF269" w14:textId="77777777" w:rsidTr="000F2E67">
        <w:trPr>
          <w:cantSplit/>
          <w:trHeight w:val="23"/>
        </w:trPr>
        <w:tc>
          <w:tcPr>
            <w:tcW w:w="6521" w:type="dxa"/>
            <w:vMerge w:val="restart"/>
          </w:tcPr>
          <w:p w14:paraId="209A6A85" w14:textId="77777777" w:rsidR="005F153A" w:rsidRPr="00BD0203" w:rsidRDefault="005F153A" w:rsidP="000F2E67">
            <w:pPr>
              <w:snapToGrid w:val="0"/>
              <w:rPr>
                <w:rFonts w:asciiTheme="minorHAnsi" w:hAnsiTheme="minorHAnsi" w:cstheme="minorHAnsi"/>
                <w:b/>
              </w:rPr>
            </w:pPr>
            <w:bookmarkStart w:id="2" w:name="dmeeting" w:colFirst="0" w:colLast="0"/>
            <w:bookmarkStart w:id="3" w:name="dnum" w:colFirst="1" w:colLast="1"/>
          </w:p>
        </w:tc>
        <w:tc>
          <w:tcPr>
            <w:tcW w:w="3793" w:type="dxa"/>
          </w:tcPr>
          <w:p w14:paraId="5EF5377F" w14:textId="467F85E0" w:rsidR="005F153A" w:rsidRPr="00BD0203" w:rsidRDefault="00D05C32" w:rsidP="002A1458">
            <w:pPr>
              <w:snapToGrid w:val="0"/>
              <w:ind w:left="57"/>
              <w:rPr>
                <w:rFonts w:asciiTheme="minorHAnsi" w:hAnsiTheme="minorHAnsi" w:cstheme="minorHAnsi"/>
                <w:b/>
                <w:sz w:val="24"/>
              </w:rPr>
            </w:pPr>
            <w:r w:rsidRPr="00BD0203">
              <w:rPr>
                <w:rFonts w:asciiTheme="minorHAnsi" w:hAnsiTheme="minorHAnsi" w:cstheme="minorHAnsi"/>
                <w:b/>
                <w:sz w:val="24"/>
              </w:rPr>
              <w:t>Document CWG-FHR-</w:t>
            </w:r>
            <w:r w:rsidR="002B54EC" w:rsidRPr="00BD0203">
              <w:rPr>
                <w:rFonts w:asciiTheme="minorHAnsi" w:hAnsiTheme="minorHAnsi" w:cstheme="minorHAnsi"/>
                <w:b/>
                <w:sz w:val="24"/>
              </w:rPr>
              <w:t>1</w:t>
            </w:r>
            <w:r w:rsidR="00220152">
              <w:rPr>
                <w:rFonts w:asciiTheme="minorHAnsi" w:hAnsiTheme="minorHAnsi" w:cstheme="minorHAnsi"/>
                <w:b/>
                <w:sz w:val="24"/>
              </w:rPr>
              <w:t>4</w:t>
            </w:r>
            <w:r w:rsidRPr="00BD0203">
              <w:rPr>
                <w:rFonts w:asciiTheme="minorHAnsi" w:hAnsiTheme="minorHAnsi" w:cstheme="minorHAnsi"/>
                <w:b/>
                <w:sz w:val="24"/>
              </w:rPr>
              <w:t>/</w:t>
            </w:r>
            <w:r w:rsidR="00EB0F7E">
              <w:rPr>
                <w:rFonts w:asciiTheme="minorHAnsi" w:hAnsiTheme="minorHAnsi" w:cstheme="minorHAnsi"/>
                <w:b/>
                <w:sz w:val="24"/>
              </w:rPr>
              <w:t>12</w:t>
            </w:r>
          </w:p>
        </w:tc>
      </w:tr>
      <w:tr w:rsidR="005F153A" w:rsidRPr="00BD0203" w14:paraId="7DFA84DB" w14:textId="77777777" w:rsidTr="000F2E67">
        <w:trPr>
          <w:cantSplit/>
          <w:trHeight w:val="23"/>
        </w:trPr>
        <w:tc>
          <w:tcPr>
            <w:tcW w:w="6521" w:type="dxa"/>
            <w:vMerge/>
          </w:tcPr>
          <w:p w14:paraId="55864F81" w14:textId="77777777" w:rsidR="005F153A" w:rsidRPr="00BD0203" w:rsidRDefault="005F153A" w:rsidP="000F2E67">
            <w:pPr>
              <w:snapToGrid w:val="0"/>
              <w:rPr>
                <w:rFonts w:asciiTheme="minorHAnsi" w:hAnsiTheme="minorHAnsi" w:cstheme="minorHAnsi"/>
                <w:b/>
                <w:lang w:val="de-CH"/>
              </w:rPr>
            </w:pPr>
            <w:bookmarkStart w:id="4" w:name="ddate" w:colFirst="1" w:colLast="1"/>
            <w:bookmarkEnd w:id="2"/>
            <w:bookmarkEnd w:id="3"/>
          </w:p>
        </w:tc>
        <w:tc>
          <w:tcPr>
            <w:tcW w:w="3793" w:type="dxa"/>
          </w:tcPr>
          <w:p w14:paraId="1CA4EBE6" w14:textId="3460F9D0" w:rsidR="005F153A" w:rsidRPr="00BD0203" w:rsidRDefault="00252465" w:rsidP="00496E19">
            <w:pPr>
              <w:snapToGrid w:val="0"/>
              <w:ind w:left="57"/>
              <w:rPr>
                <w:rFonts w:asciiTheme="minorHAnsi" w:hAnsiTheme="minorHAnsi" w:cstheme="minorHAnsi"/>
                <w:b/>
                <w:sz w:val="24"/>
              </w:rPr>
            </w:pPr>
            <w:r>
              <w:rPr>
                <w:rFonts w:asciiTheme="minorHAnsi" w:hAnsiTheme="minorHAnsi" w:cstheme="minorHAnsi"/>
                <w:b/>
                <w:sz w:val="24"/>
              </w:rPr>
              <w:t>25</w:t>
            </w:r>
            <w:r w:rsidR="00753767">
              <w:rPr>
                <w:rFonts w:asciiTheme="minorHAnsi" w:hAnsiTheme="minorHAnsi" w:cstheme="minorHAnsi"/>
                <w:b/>
                <w:sz w:val="24"/>
              </w:rPr>
              <w:t xml:space="preserve"> </w:t>
            </w:r>
            <w:r w:rsidR="00D35FC7">
              <w:rPr>
                <w:rFonts w:asciiTheme="minorHAnsi" w:hAnsiTheme="minorHAnsi" w:cstheme="minorHAnsi"/>
                <w:b/>
                <w:sz w:val="24"/>
              </w:rPr>
              <w:t xml:space="preserve">October </w:t>
            </w:r>
            <w:r w:rsidR="00756E92" w:rsidRPr="00BD0203">
              <w:rPr>
                <w:rFonts w:asciiTheme="minorHAnsi" w:hAnsiTheme="minorHAnsi" w:cstheme="minorHAnsi"/>
                <w:b/>
                <w:sz w:val="24"/>
              </w:rPr>
              <w:t>20</w:t>
            </w:r>
            <w:r w:rsidR="00B72B57" w:rsidRPr="00BD0203">
              <w:rPr>
                <w:rFonts w:asciiTheme="minorHAnsi" w:hAnsiTheme="minorHAnsi" w:cstheme="minorHAnsi"/>
                <w:b/>
                <w:sz w:val="24"/>
              </w:rPr>
              <w:t>2</w:t>
            </w:r>
            <w:r w:rsidR="00C01971" w:rsidRPr="00BD0203">
              <w:rPr>
                <w:rFonts w:asciiTheme="minorHAnsi" w:hAnsiTheme="minorHAnsi" w:cstheme="minorHAnsi"/>
                <w:b/>
                <w:sz w:val="24"/>
              </w:rPr>
              <w:t>1</w:t>
            </w:r>
          </w:p>
        </w:tc>
      </w:tr>
      <w:tr w:rsidR="005F153A" w:rsidRPr="00BD0203" w14:paraId="48F16FA3" w14:textId="77777777" w:rsidTr="000F2E67">
        <w:trPr>
          <w:cantSplit/>
          <w:trHeight w:val="80"/>
        </w:trPr>
        <w:tc>
          <w:tcPr>
            <w:tcW w:w="6521" w:type="dxa"/>
            <w:vMerge/>
          </w:tcPr>
          <w:p w14:paraId="0EC7CF81" w14:textId="77777777" w:rsidR="005F153A" w:rsidRPr="00BD0203" w:rsidRDefault="005F153A" w:rsidP="000F2E67">
            <w:pPr>
              <w:snapToGrid w:val="0"/>
              <w:rPr>
                <w:rFonts w:asciiTheme="minorHAnsi" w:hAnsiTheme="minorHAnsi" w:cstheme="minorHAnsi"/>
                <w:b/>
              </w:rPr>
            </w:pPr>
            <w:bookmarkStart w:id="5" w:name="dorlang" w:colFirst="1" w:colLast="1"/>
            <w:bookmarkEnd w:id="4"/>
          </w:p>
        </w:tc>
        <w:tc>
          <w:tcPr>
            <w:tcW w:w="3793" w:type="dxa"/>
          </w:tcPr>
          <w:p w14:paraId="22704AC7" w14:textId="77777777" w:rsidR="005F153A" w:rsidRPr="00BD0203" w:rsidRDefault="005F153A" w:rsidP="000F2E67">
            <w:pPr>
              <w:snapToGrid w:val="0"/>
              <w:ind w:left="57"/>
              <w:rPr>
                <w:rFonts w:asciiTheme="minorHAnsi" w:hAnsiTheme="minorHAnsi" w:cstheme="minorHAnsi"/>
                <w:b/>
                <w:sz w:val="24"/>
              </w:rPr>
            </w:pPr>
            <w:r w:rsidRPr="00BD0203">
              <w:rPr>
                <w:rFonts w:asciiTheme="minorHAnsi" w:hAnsiTheme="minorHAnsi" w:cstheme="minorHAnsi"/>
                <w:b/>
                <w:sz w:val="24"/>
              </w:rPr>
              <w:t>English only</w:t>
            </w:r>
          </w:p>
        </w:tc>
      </w:tr>
    </w:tbl>
    <w:bookmarkEnd w:id="5"/>
    <w:p w14:paraId="11AA9BCF" w14:textId="3F2259BE" w:rsidR="00FE12AF" w:rsidRPr="00BD0203" w:rsidRDefault="00FE12AF" w:rsidP="00FE12AF">
      <w:pPr>
        <w:spacing w:before="720"/>
        <w:jc w:val="center"/>
        <w:rPr>
          <w:rFonts w:asciiTheme="minorHAnsi" w:hAnsiTheme="minorHAnsi" w:cstheme="minorHAnsi"/>
          <w:b/>
          <w:bCs/>
          <w:caps/>
          <w:sz w:val="28"/>
          <w:szCs w:val="28"/>
          <w:lang w:val="en-AU" w:eastAsia="en-AU"/>
        </w:rPr>
      </w:pPr>
      <w:r w:rsidRPr="00BD0203">
        <w:rPr>
          <w:rFonts w:asciiTheme="minorHAnsi" w:hAnsiTheme="minorHAnsi" w:cstheme="minorHAnsi"/>
          <w:b/>
          <w:bCs/>
          <w:caps/>
          <w:sz w:val="28"/>
          <w:szCs w:val="28"/>
          <w:lang w:val="en-AU" w:eastAsia="en-AU"/>
        </w:rPr>
        <w:t>Chair</w:t>
      </w:r>
      <w:r w:rsidR="00057853" w:rsidRPr="00BD0203">
        <w:rPr>
          <w:rFonts w:asciiTheme="minorHAnsi" w:hAnsiTheme="minorHAnsi" w:cstheme="minorHAnsi"/>
          <w:b/>
          <w:bCs/>
          <w:caps/>
          <w:sz w:val="28"/>
          <w:szCs w:val="28"/>
          <w:lang w:val="en-AU" w:eastAsia="en-AU"/>
        </w:rPr>
        <w:t>person</w:t>
      </w:r>
      <w:r w:rsidRPr="00BD0203">
        <w:rPr>
          <w:rFonts w:asciiTheme="minorHAnsi" w:hAnsiTheme="minorHAnsi" w:cstheme="minorHAnsi"/>
          <w:b/>
          <w:bCs/>
          <w:caps/>
          <w:sz w:val="28"/>
          <w:szCs w:val="28"/>
          <w:lang w:val="en-AU" w:eastAsia="en-AU"/>
        </w:rPr>
        <w:t xml:space="preserve"> of the Council Working Group on Financial</w:t>
      </w:r>
      <w:r w:rsidRPr="00BD0203">
        <w:rPr>
          <w:rFonts w:asciiTheme="minorHAnsi" w:hAnsiTheme="minorHAnsi" w:cstheme="minorHAnsi"/>
          <w:b/>
          <w:bCs/>
          <w:caps/>
          <w:sz w:val="28"/>
          <w:szCs w:val="28"/>
          <w:lang w:val="en-AU" w:eastAsia="en-AU"/>
        </w:rPr>
        <w:br/>
        <w:t>and Human Resources</w:t>
      </w:r>
    </w:p>
    <w:p w14:paraId="59280DBE" w14:textId="36925E93" w:rsidR="00FE12AF" w:rsidRPr="00BD0203" w:rsidRDefault="00FE12AF" w:rsidP="00FE12AF">
      <w:pPr>
        <w:spacing w:before="120"/>
        <w:jc w:val="center"/>
        <w:outlineLvl w:val="0"/>
        <w:rPr>
          <w:rFonts w:asciiTheme="minorHAnsi" w:hAnsiTheme="minorHAnsi" w:cstheme="minorHAnsi"/>
          <w:b/>
          <w:bCs/>
          <w:sz w:val="28"/>
          <w:szCs w:val="28"/>
          <w:lang w:val="en-AU"/>
        </w:rPr>
      </w:pPr>
      <w:r w:rsidRPr="00BD0203">
        <w:rPr>
          <w:rFonts w:asciiTheme="minorHAnsi" w:hAnsiTheme="minorHAnsi" w:cstheme="minorHAnsi"/>
          <w:b/>
          <w:bCs/>
          <w:sz w:val="28"/>
          <w:szCs w:val="28"/>
          <w:lang w:val="en-AU"/>
        </w:rPr>
        <w:t xml:space="preserve">Summary report of the </w:t>
      </w:r>
      <w:r w:rsidR="005F7B31">
        <w:rPr>
          <w:rFonts w:asciiTheme="minorHAnsi" w:hAnsiTheme="minorHAnsi" w:cstheme="minorHAnsi"/>
          <w:b/>
          <w:bCs/>
          <w:sz w:val="28"/>
          <w:szCs w:val="28"/>
          <w:lang w:val="en-AU"/>
        </w:rPr>
        <w:t>four</w:t>
      </w:r>
      <w:r w:rsidR="00753767">
        <w:rPr>
          <w:rFonts w:asciiTheme="minorHAnsi" w:hAnsiTheme="minorHAnsi" w:cstheme="minorHAnsi"/>
          <w:b/>
          <w:bCs/>
          <w:sz w:val="28"/>
          <w:szCs w:val="28"/>
          <w:lang w:val="en-AU"/>
        </w:rPr>
        <w:t xml:space="preserve">teenth </w:t>
      </w:r>
      <w:r w:rsidRPr="00BD0203">
        <w:rPr>
          <w:rFonts w:asciiTheme="minorHAnsi" w:hAnsiTheme="minorHAnsi" w:cstheme="minorHAnsi"/>
          <w:b/>
          <w:bCs/>
          <w:sz w:val="28"/>
          <w:szCs w:val="28"/>
          <w:lang w:val="en-AU"/>
        </w:rPr>
        <w:t>meeting</w:t>
      </w:r>
    </w:p>
    <w:p w14:paraId="70A41F0B" w14:textId="228EAB36" w:rsidR="00FE12AF" w:rsidRPr="00BD0203" w:rsidRDefault="00FE12AF" w:rsidP="00FE12AF">
      <w:pPr>
        <w:tabs>
          <w:tab w:val="left" w:pos="709"/>
        </w:tabs>
        <w:adjustRightInd w:val="0"/>
        <w:snapToGrid w:val="0"/>
        <w:spacing w:before="480" w:after="240"/>
        <w:rPr>
          <w:rFonts w:asciiTheme="minorHAnsi" w:eastAsia="Times New Roman" w:hAnsiTheme="minorHAnsi" w:cstheme="minorHAnsi"/>
          <w:sz w:val="24"/>
          <w:lang w:val="en-GB" w:eastAsia="en-US"/>
        </w:rPr>
      </w:pPr>
      <w:r w:rsidRPr="00BD0203">
        <w:rPr>
          <w:rFonts w:asciiTheme="minorHAnsi" w:hAnsiTheme="minorHAnsi" w:cstheme="minorHAnsi"/>
          <w:bCs/>
          <w:sz w:val="24"/>
          <w:lang w:val="en-CA" w:eastAsia="en-AU"/>
        </w:rPr>
        <w:t xml:space="preserve">The Council Working Group on Financial and Human Resources is chaired by </w:t>
      </w:r>
      <w:r w:rsidRPr="00BD0203">
        <w:rPr>
          <w:rFonts w:asciiTheme="minorHAnsi" w:eastAsia="Times New Roman" w:hAnsiTheme="minorHAnsi" w:cstheme="minorHAnsi"/>
          <w:sz w:val="24"/>
          <w:lang w:val="en-GB" w:eastAsia="en-US"/>
        </w:rPr>
        <w:t>M</w:t>
      </w:r>
      <w:r w:rsidR="00C01971" w:rsidRPr="00BD0203">
        <w:rPr>
          <w:rFonts w:asciiTheme="minorHAnsi" w:eastAsia="Times New Roman" w:hAnsiTheme="minorHAnsi" w:cstheme="minorHAnsi"/>
          <w:sz w:val="24"/>
          <w:lang w:val="en-GB" w:eastAsia="en-US"/>
        </w:rPr>
        <w:t>s</w:t>
      </w:r>
      <w:r w:rsidRPr="00BD0203">
        <w:rPr>
          <w:rFonts w:asciiTheme="minorHAnsi" w:eastAsia="Times New Roman" w:hAnsiTheme="minorHAnsi" w:cstheme="minorHAnsi"/>
          <w:sz w:val="24"/>
          <w:lang w:val="en-GB" w:eastAsia="en-US"/>
        </w:rPr>
        <w:t xml:space="preserve">. </w:t>
      </w:r>
      <w:r w:rsidR="00C01971" w:rsidRPr="00BD0203">
        <w:rPr>
          <w:rFonts w:asciiTheme="minorHAnsi" w:eastAsia="Times New Roman" w:hAnsiTheme="minorHAnsi" w:cstheme="minorHAnsi"/>
          <w:sz w:val="24"/>
          <w:lang w:val="en-GB" w:eastAsia="en-US"/>
        </w:rPr>
        <w:t>Vernita Harris, (USA)</w:t>
      </w:r>
      <w:r w:rsidRPr="00BD0203">
        <w:rPr>
          <w:rFonts w:asciiTheme="minorHAnsi" w:eastAsia="Times New Roman" w:hAnsiTheme="minorHAnsi" w:cstheme="minorHAnsi"/>
          <w:sz w:val="24"/>
          <w:lang w:val="en-GB" w:eastAsia="en-US"/>
        </w:rPr>
        <w:t xml:space="preserve"> assisted by </w:t>
      </w:r>
      <w:r w:rsidR="00252465">
        <w:rPr>
          <w:rFonts w:asciiTheme="minorHAnsi" w:eastAsia="Times New Roman" w:hAnsiTheme="minorHAnsi" w:cstheme="minorHAnsi"/>
          <w:sz w:val="24"/>
          <w:lang w:val="en-GB" w:eastAsia="en-US"/>
        </w:rPr>
        <w:t>five</w:t>
      </w:r>
      <w:r w:rsidRPr="00BD0203">
        <w:rPr>
          <w:rFonts w:asciiTheme="minorHAnsi" w:eastAsia="Times New Roman" w:hAnsiTheme="minorHAnsi" w:cstheme="minorHAnsi"/>
          <w:sz w:val="24"/>
          <w:lang w:val="en-GB" w:eastAsia="en-US"/>
        </w:rPr>
        <w:t xml:space="preserve"> Vice-Chairs as follows:</w:t>
      </w:r>
    </w:p>
    <w:p w14:paraId="6B30611E" w14:textId="328071CA" w:rsidR="00C01971" w:rsidRPr="00BD0203" w:rsidRDefault="00C01971" w:rsidP="00C01971">
      <w:pPr>
        <w:pStyle w:val="PlainText"/>
        <w:spacing w:after="60"/>
        <w:rPr>
          <w:rFonts w:asciiTheme="minorHAnsi" w:hAnsiTheme="minorHAnsi" w:cstheme="minorHAnsi"/>
          <w:sz w:val="24"/>
          <w:szCs w:val="24"/>
        </w:rPr>
      </w:pPr>
      <w:r w:rsidRPr="00BD0203">
        <w:rPr>
          <w:rFonts w:asciiTheme="minorHAnsi" w:hAnsiTheme="minorHAnsi" w:cstheme="minorHAnsi"/>
          <w:sz w:val="24"/>
          <w:szCs w:val="24"/>
        </w:rPr>
        <w:t xml:space="preserve">Ms Seynabou </w:t>
      </w:r>
      <w:proofErr w:type="spellStart"/>
      <w:r w:rsidRPr="00BD0203">
        <w:rPr>
          <w:rFonts w:asciiTheme="minorHAnsi" w:hAnsiTheme="minorHAnsi" w:cstheme="minorHAnsi"/>
          <w:sz w:val="24"/>
          <w:szCs w:val="24"/>
        </w:rPr>
        <w:t>Seck</w:t>
      </w:r>
      <w:proofErr w:type="spellEnd"/>
      <w:r w:rsidRPr="00BD0203">
        <w:rPr>
          <w:rFonts w:asciiTheme="minorHAnsi" w:hAnsiTheme="minorHAnsi" w:cstheme="minorHAnsi"/>
          <w:sz w:val="24"/>
          <w:szCs w:val="24"/>
        </w:rPr>
        <w:t xml:space="preserve"> Cisse</w:t>
      </w:r>
      <w:r w:rsidR="00FF6589" w:rsidRPr="00BD0203">
        <w:rPr>
          <w:rFonts w:asciiTheme="minorHAnsi" w:hAnsiTheme="minorHAnsi" w:cstheme="minorHAnsi"/>
          <w:sz w:val="24"/>
          <w:szCs w:val="24"/>
        </w:rPr>
        <w:t xml:space="preserve"> </w:t>
      </w:r>
      <w:r w:rsidRPr="00BD0203">
        <w:rPr>
          <w:rFonts w:asciiTheme="minorHAnsi" w:hAnsiTheme="minorHAnsi" w:cstheme="minorHAnsi"/>
          <w:sz w:val="24"/>
          <w:szCs w:val="24"/>
        </w:rPr>
        <w:t>(Senegal)</w:t>
      </w:r>
    </w:p>
    <w:p w14:paraId="455B4BBF" w14:textId="711D4620" w:rsidR="00C01971" w:rsidRPr="00BD0203" w:rsidRDefault="00C01971" w:rsidP="00C01971">
      <w:pPr>
        <w:pStyle w:val="PlainText"/>
        <w:spacing w:after="60"/>
        <w:rPr>
          <w:rFonts w:asciiTheme="minorHAnsi" w:hAnsiTheme="minorHAnsi" w:cstheme="minorHAnsi"/>
          <w:sz w:val="24"/>
          <w:szCs w:val="24"/>
        </w:rPr>
      </w:pPr>
      <w:r w:rsidRPr="00BD0203">
        <w:rPr>
          <w:rFonts w:asciiTheme="minorHAnsi" w:hAnsiTheme="minorHAnsi" w:cstheme="minorHAnsi"/>
          <w:sz w:val="24"/>
          <w:szCs w:val="24"/>
        </w:rPr>
        <w:t xml:space="preserve">Mr Mohamed S. Ali Al </w:t>
      </w:r>
      <w:proofErr w:type="spellStart"/>
      <w:r w:rsidRPr="00BD0203">
        <w:rPr>
          <w:rFonts w:asciiTheme="minorHAnsi" w:hAnsiTheme="minorHAnsi" w:cstheme="minorHAnsi"/>
          <w:sz w:val="24"/>
          <w:szCs w:val="24"/>
        </w:rPr>
        <w:t>Muathen</w:t>
      </w:r>
      <w:proofErr w:type="spellEnd"/>
      <w:r w:rsidRPr="00BD0203">
        <w:rPr>
          <w:rFonts w:asciiTheme="minorHAnsi" w:hAnsiTheme="minorHAnsi" w:cstheme="minorHAnsi"/>
          <w:sz w:val="24"/>
          <w:szCs w:val="24"/>
        </w:rPr>
        <w:t xml:space="preserve"> Al </w:t>
      </w:r>
      <w:proofErr w:type="spellStart"/>
      <w:r w:rsidRPr="00BD0203">
        <w:rPr>
          <w:rFonts w:asciiTheme="minorHAnsi" w:hAnsiTheme="minorHAnsi" w:cstheme="minorHAnsi"/>
          <w:sz w:val="24"/>
          <w:szCs w:val="24"/>
        </w:rPr>
        <w:t>Mazroei</w:t>
      </w:r>
      <w:proofErr w:type="spellEnd"/>
      <w:r w:rsidR="00FF6589" w:rsidRPr="00BD0203">
        <w:rPr>
          <w:rFonts w:asciiTheme="minorHAnsi" w:hAnsiTheme="minorHAnsi" w:cstheme="minorHAnsi"/>
          <w:sz w:val="24"/>
          <w:szCs w:val="24"/>
        </w:rPr>
        <w:t xml:space="preserve"> </w:t>
      </w:r>
      <w:r w:rsidRPr="00BD0203">
        <w:rPr>
          <w:rFonts w:asciiTheme="minorHAnsi" w:hAnsiTheme="minorHAnsi" w:cstheme="minorHAnsi"/>
          <w:sz w:val="24"/>
          <w:szCs w:val="24"/>
        </w:rPr>
        <w:t>(United Arab Emirates)</w:t>
      </w:r>
    </w:p>
    <w:p w14:paraId="5A75B740" w14:textId="36C9414E" w:rsidR="00C01971" w:rsidRPr="00BD0203" w:rsidRDefault="00C01971" w:rsidP="00C01971">
      <w:pPr>
        <w:pStyle w:val="PlainText"/>
        <w:spacing w:after="60"/>
        <w:rPr>
          <w:rFonts w:asciiTheme="minorHAnsi" w:hAnsiTheme="minorHAnsi" w:cstheme="minorHAnsi"/>
          <w:sz w:val="24"/>
          <w:szCs w:val="24"/>
        </w:rPr>
      </w:pPr>
      <w:r w:rsidRPr="00BD0203">
        <w:rPr>
          <w:rFonts w:asciiTheme="minorHAnsi" w:hAnsiTheme="minorHAnsi" w:cstheme="minorHAnsi"/>
          <w:sz w:val="24"/>
          <w:szCs w:val="24"/>
        </w:rPr>
        <w:t>Ms Archana Goyal Gulati</w:t>
      </w:r>
      <w:r w:rsidR="00FF6589" w:rsidRPr="00BD0203">
        <w:rPr>
          <w:rFonts w:asciiTheme="minorHAnsi" w:hAnsiTheme="minorHAnsi" w:cstheme="minorHAnsi"/>
          <w:sz w:val="24"/>
          <w:szCs w:val="24"/>
        </w:rPr>
        <w:t xml:space="preserve"> </w:t>
      </w:r>
      <w:r w:rsidRPr="00BD0203">
        <w:rPr>
          <w:rFonts w:asciiTheme="minorHAnsi" w:hAnsiTheme="minorHAnsi" w:cstheme="minorHAnsi"/>
          <w:sz w:val="24"/>
          <w:szCs w:val="24"/>
        </w:rPr>
        <w:t>(India)</w:t>
      </w:r>
    </w:p>
    <w:p w14:paraId="7103FC6C" w14:textId="2D6CB2B0" w:rsidR="00C01971" w:rsidRPr="00BD0203" w:rsidRDefault="00C01971" w:rsidP="00C01971">
      <w:pPr>
        <w:pStyle w:val="PlainText"/>
        <w:spacing w:after="60"/>
        <w:rPr>
          <w:rFonts w:asciiTheme="minorHAnsi" w:hAnsiTheme="minorHAnsi" w:cstheme="minorHAnsi"/>
          <w:sz w:val="24"/>
          <w:szCs w:val="24"/>
        </w:rPr>
      </w:pPr>
      <w:r w:rsidRPr="00BD0203">
        <w:rPr>
          <w:rFonts w:asciiTheme="minorHAnsi" w:hAnsiTheme="minorHAnsi" w:cstheme="minorHAnsi"/>
          <w:sz w:val="24"/>
          <w:szCs w:val="24"/>
        </w:rPr>
        <w:t xml:space="preserve">Ms D.V. </w:t>
      </w:r>
      <w:proofErr w:type="spellStart"/>
      <w:r w:rsidRPr="00BD0203">
        <w:rPr>
          <w:rFonts w:asciiTheme="minorHAnsi" w:hAnsiTheme="minorHAnsi" w:cstheme="minorHAnsi"/>
          <w:sz w:val="24"/>
          <w:szCs w:val="24"/>
        </w:rPr>
        <w:t>Kalyuga</w:t>
      </w:r>
      <w:proofErr w:type="spellEnd"/>
      <w:r w:rsidR="00FF6589" w:rsidRPr="00BD0203">
        <w:rPr>
          <w:rFonts w:asciiTheme="minorHAnsi" w:hAnsiTheme="minorHAnsi" w:cstheme="minorHAnsi"/>
          <w:sz w:val="24"/>
          <w:szCs w:val="24"/>
        </w:rPr>
        <w:t xml:space="preserve"> </w:t>
      </w:r>
      <w:r w:rsidRPr="00BD0203">
        <w:rPr>
          <w:rFonts w:asciiTheme="minorHAnsi" w:hAnsiTheme="minorHAnsi" w:cstheme="minorHAnsi"/>
          <w:sz w:val="24"/>
          <w:szCs w:val="24"/>
        </w:rPr>
        <w:t>(Russian Federation)</w:t>
      </w:r>
    </w:p>
    <w:p w14:paraId="77551218" w14:textId="0099D261" w:rsidR="00C01971" w:rsidRPr="00BD0203" w:rsidRDefault="00C01971" w:rsidP="00C01971">
      <w:pPr>
        <w:pStyle w:val="PlainText"/>
        <w:rPr>
          <w:rFonts w:asciiTheme="minorHAnsi" w:hAnsiTheme="minorHAnsi" w:cstheme="minorHAnsi"/>
          <w:sz w:val="24"/>
          <w:szCs w:val="24"/>
        </w:rPr>
      </w:pPr>
      <w:r w:rsidRPr="00BD0203">
        <w:rPr>
          <w:rFonts w:asciiTheme="minorHAnsi" w:hAnsiTheme="minorHAnsi" w:cstheme="minorHAnsi"/>
          <w:sz w:val="24"/>
          <w:szCs w:val="24"/>
        </w:rPr>
        <w:t>Mr Vilem Vesely</w:t>
      </w:r>
      <w:r w:rsidR="00FF6589" w:rsidRPr="00BD0203">
        <w:rPr>
          <w:rFonts w:asciiTheme="minorHAnsi" w:hAnsiTheme="minorHAnsi" w:cstheme="minorHAnsi"/>
          <w:sz w:val="24"/>
          <w:szCs w:val="24"/>
        </w:rPr>
        <w:t xml:space="preserve"> </w:t>
      </w:r>
      <w:r w:rsidRPr="00BD0203">
        <w:rPr>
          <w:rFonts w:asciiTheme="minorHAnsi" w:hAnsiTheme="minorHAnsi" w:cstheme="minorHAnsi"/>
          <w:sz w:val="24"/>
          <w:szCs w:val="24"/>
        </w:rPr>
        <w:t>(Czech Republic)</w:t>
      </w:r>
    </w:p>
    <w:p w14:paraId="1984F11B" w14:textId="254AC36E" w:rsidR="00FE12AF" w:rsidRPr="00BD0203" w:rsidRDefault="00FE12AF" w:rsidP="00FE12AF">
      <w:pPr>
        <w:tabs>
          <w:tab w:val="left" w:pos="567"/>
          <w:tab w:val="left" w:pos="709"/>
          <w:tab w:val="left" w:pos="1134"/>
          <w:tab w:val="left" w:pos="1701"/>
          <w:tab w:val="left" w:pos="2268"/>
          <w:tab w:val="left" w:pos="2835"/>
        </w:tabs>
        <w:overflowPunct w:val="0"/>
        <w:autoSpaceDE w:val="0"/>
        <w:autoSpaceDN w:val="0"/>
        <w:adjustRightInd w:val="0"/>
        <w:snapToGrid w:val="0"/>
        <w:textAlignment w:val="baseline"/>
        <w:rPr>
          <w:rFonts w:asciiTheme="minorHAnsi" w:hAnsiTheme="minorHAnsi" w:cstheme="minorHAnsi"/>
          <w:color w:val="000000"/>
          <w:sz w:val="24"/>
          <w:lang w:eastAsia="en-AU"/>
        </w:rPr>
      </w:pPr>
    </w:p>
    <w:p w14:paraId="3254E4CA" w14:textId="47DCC98A" w:rsidR="00632E4E" w:rsidRDefault="00632E4E" w:rsidP="00632E4E">
      <w:pPr>
        <w:tabs>
          <w:tab w:val="left" w:pos="709"/>
        </w:tabs>
        <w:adjustRightInd w:val="0"/>
        <w:snapToGrid w:val="0"/>
        <w:ind w:right="57"/>
        <w:jc w:val="both"/>
        <w:rPr>
          <w:rFonts w:asciiTheme="minorHAnsi" w:hAnsiTheme="minorHAnsi" w:cstheme="minorHAnsi"/>
          <w:b/>
          <w:bCs/>
          <w:sz w:val="24"/>
          <w:lang w:val="en-AU" w:eastAsia="en-US"/>
        </w:rPr>
      </w:pPr>
    </w:p>
    <w:p w14:paraId="421DE0D7" w14:textId="77777777" w:rsidR="009B7F73" w:rsidRPr="009B7F73" w:rsidRDefault="009B7F73" w:rsidP="009B7F73">
      <w:pPr>
        <w:tabs>
          <w:tab w:val="left" w:pos="709"/>
        </w:tabs>
        <w:adjustRightInd w:val="0"/>
        <w:snapToGrid w:val="0"/>
        <w:ind w:left="709" w:hanging="709"/>
        <w:rPr>
          <w:rFonts w:ascii="Calibri" w:hAnsi="Calibri" w:cs="Calibri"/>
          <w:b/>
          <w:bCs/>
          <w:sz w:val="24"/>
          <w:u w:val="single"/>
          <w:lang w:val="en-AU" w:eastAsia="en-AU"/>
        </w:rPr>
      </w:pPr>
      <w:r w:rsidRPr="009B7F73">
        <w:rPr>
          <w:rFonts w:ascii="Calibri" w:hAnsi="Calibri" w:cs="Calibri"/>
          <w:b/>
          <w:bCs/>
          <w:sz w:val="24"/>
          <w:lang w:val="en-CA" w:eastAsia="en-AU"/>
        </w:rPr>
        <w:t>1</w:t>
      </w:r>
      <w:r w:rsidRPr="009B7F73">
        <w:rPr>
          <w:rFonts w:ascii="Calibri" w:hAnsi="Calibri" w:cs="Calibri"/>
          <w:b/>
          <w:bCs/>
          <w:sz w:val="24"/>
          <w:lang w:val="en-CA" w:eastAsia="en-AU"/>
        </w:rPr>
        <w:tab/>
        <w:t xml:space="preserve">Opening remarks and approval of the revised Agenda (Document </w:t>
      </w:r>
      <w:r w:rsidRPr="009B7F73">
        <w:rPr>
          <w:rFonts w:ascii="Calibri" w:hAnsi="Calibri" w:cs="Calibri"/>
          <w:b/>
          <w:bCs/>
          <w:sz w:val="24"/>
          <w:lang w:val="en-AU" w:eastAsia="en-US"/>
        </w:rPr>
        <w:fldChar w:fldCharType="begin"/>
      </w:r>
      <w:r w:rsidRPr="009B7F73">
        <w:rPr>
          <w:rFonts w:ascii="Calibri" w:hAnsi="Calibri" w:cs="Calibri"/>
          <w:b/>
          <w:bCs/>
          <w:sz w:val="24"/>
          <w:lang w:val="en-AU" w:eastAsia="en-US"/>
        </w:rPr>
        <w:instrText>HYPERLINK "https://www.itu.int/md/S21-CWGFHR14-C-0001/en"</w:instrText>
      </w:r>
      <w:r w:rsidRPr="009B7F73">
        <w:rPr>
          <w:rFonts w:ascii="Calibri" w:hAnsi="Calibri" w:cs="Calibri"/>
          <w:b/>
          <w:bCs/>
          <w:sz w:val="24"/>
          <w:lang w:val="en-AU" w:eastAsia="en-US"/>
        </w:rPr>
        <w:fldChar w:fldCharType="separate"/>
      </w:r>
      <w:r w:rsidRPr="009B7F73">
        <w:rPr>
          <w:rFonts w:ascii="Calibri" w:hAnsi="Calibri" w:cs="Calibri"/>
          <w:b/>
          <w:bCs/>
          <w:sz w:val="24"/>
          <w:u w:val="single"/>
          <w:lang w:val="en-AU" w:eastAsia="en-US"/>
        </w:rPr>
        <w:t>CWG-FHR-14/1 (Rev.2))</w:t>
      </w:r>
    </w:p>
    <w:p w14:paraId="0F4773AC" w14:textId="77777777" w:rsidR="009B7F73" w:rsidRPr="009B7F73" w:rsidRDefault="009B7F73" w:rsidP="009B7F73">
      <w:pPr>
        <w:tabs>
          <w:tab w:val="left" w:pos="709"/>
        </w:tabs>
        <w:adjustRightInd w:val="0"/>
        <w:snapToGrid w:val="0"/>
        <w:ind w:right="57"/>
        <w:jc w:val="both"/>
        <w:rPr>
          <w:rFonts w:ascii="Calibri" w:eastAsia="Times New Roman" w:hAnsi="Calibri" w:cs="Calibri"/>
          <w:b/>
          <w:bCs/>
          <w:sz w:val="24"/>
          <w:lang w:val="en-GB" w:eastAsia="en-US"/>
        </w:rPr>
      </w:pPr>
      <w:r w:rsidRPr="009B7F73">
        <w:rPr>
          <w:rFonts w:ascii="Calibri" w:hAnsi="Calibri" w:cs="Calibri"/>
          <w:b/>
          <w:bCs/>
          <w:sz w:val="24"/>
          <w:lang w:val="en-AU" w:eastAsia="en-US"/>
        </w:rPr>
        <w:fldChar w:fldCharType="end"/>
      </w:r>
    </w:p>
    <w:p w14:paraId="432D3F9D" w14:textId="77777777" w:rsidR="009B7F73" w:rsidRPr="009B7F73" w:rsidRDefault="009B7F73" w:rsidP="009B7F73">
      <w:pPr>
        <w:tabs>
          <w:tab w:val="left" w:pos="709"/>
        </w:tabs>
        <w:adjustRightInd w:val="0"/>
        <w:snapToGrid w:val="0"/>
        <w:ind w:right="57"/>
        <w:jc w:val="both"/>
        <w:rPr>
          <w:rFonts w:ascii="Calibri" w:eastAsia="Times New Roman" w:hAnsi="Calibri" w:cs="Calibri"/>
          <w:b/>
          <w:bCs/>
          <w:sz w:val="24"/>
          <w:lang w:val="en-GB" w:eastAsia="en-US"/>
        </w:rPr>
      </w:pPr>
      <w:r w:rsidRPr="009B7F73">
        <w:rPr>
          <w:rFonts w:ascii="Calibri" w:eastAsia="Times New Roman" w:hAnsi="Calibri" w:cs="Calibri"/>
          <w:b/>
          <w:bCs/>
          <w:sz w:val="24"/>
          <w:lang w:val="en-GB" w:eastAsia="en-US"/>
        </w:rPr>
        <w:tab/>
        <w:t>Opening remarks by the Chairperson</w:t>
      </w:r>
    </w:p>
    <w:p w14:paraId="39EE315E" w14:textId="77777777" w:rsidR="009B7F73" w:rsidRPr="009B7F73" w:rsidRDefault="009B7F73" w:rsidP="009B7F73">
      <w:pPr>
        <w:tabs>
          <w:tab w:val="left" w:pos="709"/>
        </w:tabs>
        <w:overflowPunct w:val="0"/>
        <w:autoSpaceDE w:val="0"/>
        <w:autoSpaceDN w:val="0"/>
        <w:adjustRightInd w:val="0"/>
        <w:snapToGrid w:val="0"/>
        <w:textAlignment w:val="baseline"/>
        <w:outlineLvl w:val="0"/>
        <w:rPr>
          <w:rFonts w:ascii="Calibri" w:eastAsia="Times New Roman" w:hAnsi="Calibri" w:cs="Calibri"/>
          <w:color w:val="000000"/>
          <w:sz w:val="24"/>
          <w:lang w:val="en-CA" w:eastAsia="en-US"/>
        </w:rPr>
      </w:pPr>
    </w:p>
    <w:p w14:paraId="01E8B9FF" w14:textId="77777777" w:rsidR="009B7F73" w:rsidRPr="009B7F73" w:rsidRDefault="009B7F73" w:rsidP="009B7F73">
      <w:pPr>
        <w:tabs>
          <w:tab w:val="left" w:pos="709"/>
        </w:tabs>
        <w:overflowPunct w:val="0"/>
        <w:autoSpaceDE w:val="0"/>
        <w:autoSpaceDN w:val="0"/>
        <w:adjustRightInd w:val="0"/>
        <w:snapToGrid w:val="0"/>
        <w:textAlignment w:val="baseline"/>
        <w:outlineLvl w:val="0"/>
        <w:rPr>
          <w:rFonts w:ascii="Calibri" w:hAnsi="Calibri" w:cs="Calibri"/>
          <w:sz w:val="24"/>
        </w:rPr>
      </w:pPr>
      <w:r w:rsidRPr="009B7F73">
        <w:rPr>
          <w:rFonts w:ascii="Calibri" w:eastAsia="Times New Roman" w:hAnsi="Calibri" w:cs="Calibri"/>
          <w:sz w:val="24"/>
          <w:lang w:val="en-CA" w:eastAsia="en-US"/>
        </w:rPr>
        <w:t>1.1</w:t>
      </w:r>
      <w:r w:rsidRPr="009B7F73">
        <w:rPr>
          <w:rFonts w:ascii="Calibri" w:eastAsia="Times New Roman" w:hAnsi="Calibri" w:cs="Calibri"/>
          <w:sz w:val="24"/>
          <w:lang w:val="en-GB" w:eastAsia="en-US"/>
        </w:rPr>
        <w:tab/>
      </w:r>
      <w:r w:rsidRPr="009B7F73">
        <w:rPr>
          <w:rFonts w:ascii="Calibri" w:hAnsi="Calibri" w:cs="Calibri"/>
          <w:sz w:val="24"/>
        </w:rPr>
        <w:t xml:space="preserve">The Chairperson, </w:t>
      </w:r>
      <w:bookmarkStart w:id="6" w:name="_Hlk62546548"/>
      <w:r w:rsidRPr="009B7F73">
        <w:rPr>
          <w:rFonts w:ascii="Calibri" w:hAnsi="Calibri" w:cs="Calibri"/>
          <w:sz w:val="24"/>
        </w:rPr>
        <w:t>Ms. Vernita Harris</w:t>
      </w:r>
      <w:bookmarkEnd w:id="6"/>
      <w:r w:rsidRPr="009B7F73">
        <w:rPr>
          <w:rFonts w:ascii="Calibri" w:hAnsi="Calibri" w:cs="Calibri"/>
          <w:sz w:val="24"/>
        </w:rPr>
        <w:t xml:space="preserve"> (USA) welcomed the delegates and acknowledged the presence of Elected Officials.</w:t>
      </w:r>
    </w:p>
    <w:p w14:paraId="58340CC1" w14:textId="77777777" w:rsidR="009B7F73" w:rsidRPr="009B7F73" w:rsidRDefault="009B7F73" w:rsidP="009B7F73">
      <w:pPr>
        <w:tabs>
          <w:tab w:val="left" w:pos="709"/>
        </w:tabs>
        <w:overflowPunct w:val="0"/>
        <w:autoSpaceDE w:val="0"/>
        <w:autoSpaceDN w:val="0"/>
        <w:adjustRightInd w:val="0"/>
        <w:snapToGrid w:val="0"/>
        <w:textAlignment w:val="baseline"/>
        <w:outlineLvl w:val="0"/>
        <w:rPr>
          <w:rFonts w:ascii="Calibri" w:eastAsia="Times New Roman" w:hAnsi="Calibri" w:cs="Calibri"/>
          <w:sz w:val="24"/>
          <w:lang w:eastAsia="en-US"/>
        </w:rPr>
      </w:pPr>
    </w:p>
    <w:p w14:paraId="5FDA2CE4" w14:textId="77777777" w:rsidR="009B7F73" w:rsidRPr="009B7F73" w:rsidRDefault="009B7F73" w:rsidP="009B7F73">
      <w:pPr>
        <w:tabs>
          <w:tab w:val="left" w:pos="709"/>
        </w:tabs>
        <w:overflowPunct w:val="0"/>
        <w:autoSpaceDE w:val="0"/>
        <w:autoSpaceDN w:val="0"/>
        <w:adjustRightInd w:val="0"/>
        <w:snapToGrid w:val="0"/>
        <w:textAlignment w:val="baseline"/>
        <w:outlineLvl w:val="0"/>
        <w:rPr>
          <w:rFonts w:ascii="Calibri" w:eastAsia="Times New Roman" w:hAnsi="Calibri" w:cs="Calibri"/>
          <w:b/>
          <w:bCs/>
          <w:sz w:val="24"/>
          <w:lang w:val="en-GB" w:eastAsia="en-US"/>
        </w:rPr>
      </w:pPr>
      <w:r w:rsidRPr="009B7F73">
        <w:rPr>
          <w:rFonts w:ascii="Calibri" w:eastAsia="Times New Roman" w:hAnsi="Calibri" w:cs="Calibri"/>
          <w:sz w:val="24"/>
          <w:lang w:val="en-GB" w:eastAsia="en-US"/>
        </w:rPr>
        <w:tab/>
      </w:r>
      <w:r w:rsidRPr="009B7F73">
        <w:rPr>
          <w:rFonts w:ascii="Calibri" w:eastAsia="Times New Roman" w:hAnsi="Calibri" w:cs="Calibri"/>
          <w:b/>
          <w:bCs/>
          <w:sz w:val="24"/>
          <w:lang w:val="en-GB" w:eastAsia="en-US"/>
        </w:rPr>
        <w:t>Welcome remarks by the Deputy Secretary-General</w:t>
      </w:r>
    </w:p>
    <w:p w14:paraId="4FF9236F" w14:textId="77777777" w:rsidR="009B7F73" w:rsidRPr="009B7F73" w:rsidRDefault="009B7F73" w:rsidP="009B7F73">
      <w:pPr>
        <w:tabs>
          <w:tab w:val="left" w:pos="709"/>
        </w:tabs>
        <w:overflowPunct w:val="0"/>
        <w:autoSpaceDE w:val="0"/>
        <w:autoSpaceDN w:val="0"/>
        <w:adjustRightInd w:val="0"/>
        <w:snapToGrid w:val="0"/>
        <w:textAlignment w:val="baseline"/>
        <w:outlineLvl w:val="0"/>
        <w:rPr>
          <w:rFonts w:ascii="Calibri" w:eastAsia="Times New Roman" w:hAnsi="Calibri" w:cs="Calibri"/>
          <w:sz w:val="24"/>
          <w:lang w:val="en-GB" w:eastAsia="en-US"/>
        </w:rPr>
      </w:pPr>
    </w:p>
    <w:p w14:paraId="23D135CA" w14:textId="56FCB508" w:rsidR="009B7F73" w:rsidRPr="009B7F73" w:rsidRDefault="009B7F73" w:rsidP="009B7F73">
      <w:pPr>
        <w:rPr>
          <w:rFonts w:ascii="Calibri" w:hAnsi="Calibri" w:cs="Calibri"/>
          <w:sz w:val="24"/>
        </w:rPr>
      </w:pPr>
      <w:r w:rsidRPr="009B7F73">
        <w:rPr>
          <w:rFonts w:ascii="Calibri" w:eastAsia="Times New Roman" w:hAnsi="Calibri" w:cs="Calibri"/>
          <w:sz w:val="24"/>
          <w:lang w:val="en-GB" w:eastAsia="en-US"/>
        </w:rPr>
        <w:t>1.2</w:t>
      </w:r>
      <w:r w:rsidRPr="009B7F73">
        <w:rPr>
          <w:rFonts w:ascii="Calibri" w:eastAsia="Times New Roman" w:hAnsi="Calibri" w:cs="Calibri"/>
          <w:sz w:val="24"/>
          <w:lang w:val="en-GB" w:eastAsia="en-US"/>
        </w:rPr>
        <w:tab/>
        <w:t xml:space="preserve">On behalf of the Secretary-General and the other </w:t>
      </w:r>
      <w:r w:rsidR="003B4FE4">
        <w:rPr>
          <w:rFonts w:ascii="Calibri" w:eastAsia="Times New Roman" w:hAnsi="Calibri" w:cs="Calibri"/>
          <w:sz w:val="24"/>
          <w:lang w:val="en-GB" w:eastAsia="en-US"/>
        </w:rPr>
        <w:t>E</w:t>
      </w:r>
      <w:r w:rsidRPr="009B7F73">
        <w:rPr>
          <w:rFonts w:ascii="Calibri" w:eastAsia="Times New Roman" w:hAnsi="Calibri" w:cs="Calibri"/>
          <w:sz w:val="24"/>
          <w:lang w:val="en-GB" w:eastAsia="en-US"/>
        </w:rPr>
        <w:t xml:space="preserve">lected </w:t>
      </w:r>
      <w:r w:rsidR="003B4FE4">
        <w:rPr>
          <w:rFonts w:ascii="Calibri" w:eastAsia="Times New Roman" w:hAnsi="Calibri" w:cs="Calibri"/>
          <w:sz w:val="24"/>
          <w:lang w:val="en-GB" w:eastAsia="en-US"/>
        </w:rPr>
        <w:t>O</w:t>
      </w:r>
      <w:r w:rsidRPr="009B7F73">
        <w:rPr>
          <w:rFonts w:ascii="Calibri" w:eastAsia="Times New Roman" w:hAnsi="Calibri" w:cs="Calibri"/>
          <w:sz w:val="24"/>
          <w:lang w:val="en-GB" w:eastAsia="en-US"/>
        </w:rPr>
        <w:t xml:space="preserve">fficials, Mr. Malcolm Johnson, </w:t>
      </w:r>
      <w:r w:rsidRPr="009B7F73">
        <w:rPr>
          <w:rFonts w:ascii="Calibri" w:hAnsi="Calibri" w:cs="Calibri"/>
          <w:sz w:val="24"/>
        </w:rPr>
        <w:t xml:space="preserve">Deputy Secretary-General, welcomed the delegates and acknowledged the able leadership of the Chairperson, Ms. Vernita Harris. Mr. Johnson summarized the contents of </w:t>
      </w:r>
      <w:r w:rsidR="003B4FE4">
        <w:rPr>
          <w:rFonts w:ascii="Calibri" w:hAnsi="Calibri" w:cs="Calibri"/>
          <w:sz w:val="24"/>
        </w:rPr>
        <w:t>I</w:t>
      </w:r>
      <w:r w:rsidRPr="009B7F73">
        <w:rPr>
          <w:rFonts w:ascii="Calibri" w:hAnsi="Calibri" w:cs="Calibri"/>
          <w:sz w:val="24"/>
        </w:rPr>
        <w:t xml:space="preserve">tems 2, 3 and 4 </w:t>
      </w:r>
      <w:r w:rsidR="003B4FE4">
        <w:rPr>
          <w:rFonts w:ascii="Calibri" w:hAnsi="Calibri" w:cs="Calibri"/>
          <w:sz w:val="24"/>
        </w:rPr>
        <w:t>on</w:t>
      </w:r>
      <w:r w:rsidRPr="009B7F73">
        <w:rPr>
          <w:rFonts w:ascii="Calibri" w:hAnsi="Calibri" w:cs="Calibri"/>
          <w:sz w:val="24"/>
        </w:rPr>
        <w:t xml:space="preserve"> the agenda.</w:t>
      </w:r>
    </w:p>
    <w:p w14:paraId="2C093F68" w14:textId="77777777" w:rsidR="009B7F73" w:rsidRPr="009B7F73" w:rsidRDefault="009B7F73" w:rsidP="009B7F73">
      <w:pPr>
        <w:rPr>
          <w:rFonts w:ascii="Calibri" w:hAnsi="Calibri" w:cs="Calibri"/>
          <w:sz w:val="24"/>
        </w:rPr>
      </w:pPr>
    </w:p>
    <w:p w14:paraId="79D23505" w14:textId="77777777" w:rsidR="009B7F73" w:rsidRPr="009B7F73" w:rsidRDefault="009B7F73" w:rsidP="009B7F73">
      <w:pPr>
        <w:rPr>
          <w:rFonts w:ascii="Calibri" w:hAnsi="Calibri" w:cs="Calibri"/>
          <w:sz w:val="24"/>
        </w:rPr>
      </w:pPr>
      <w:r w:rsidRPr="009B7F73">
        <w:rPr>
          <w:rFonts w:ascii="Calibri" w:hAnsi="Calibri" w:cs="Calibri"/>
          <w:sz w:val="24"/>
        </w:rPr>
        <w:t>1.3</w:t>
      </w:r>
      <w:r w:rsidRPr="009B7F73">
        <w:rPr>
          <w:rFonts w:ascii="Calibri" w:hAnsi="Calibri" w:cs="Calibri"/>
          <w:sz w:val="24"/>
        </w:rPr>
        <w:tab/>
        <w:t>He thanked India for taking into consideration the safety and well-being of ITU staff in hosting this year’s WTSA.</w:t>
      </w:r>
    </w:p>
    <w:p w14:paraId="10490285" w14:textId="77777777" w:rsidR="009B7F73" w:rsidRPr="009B7F73" w:rsidRDefault="009B7F73" w:rsidP="009B7F73">
      <w:pPr>
        <w:rPr>
          <w:rFonts w:ascii="Calibri" w:hAnsi="Calibri" w:cs="Calibri"/>
          <w:sz w:val="24"/>
        </w:rPr>
      </w:pPr>
    </w:p>
    <w:p w14:paraId="5BF26BFA" w14:textId="70D16AA1" w:rsidR="009B7F73" w:rsidRPr="009B7F73" w:rsidRDefault="009B7F73" w:rsidP="009B7F73">
      <w:pPr>
        <w:rPr>
          <w:rFonts w:ascii="Calibri" w:hAnsi="Calibri" w:cs="Calibri"/>
          <w:sz w:val="24"/>
        </w:rPr>
      </w:pPr>
      <w:r w:rsidRPr="009B7F73">
        <w:rPr>
          <w:rFonts w:ascii="Calibri" w:hAnsi="Calibri" w:cs="Calibri"/>
          <w:sz w:val="24"/>
        </w:rPr>
        <w:t>1.4</w:t>
      </w:r>
      <w:r w:rsidRPr="009B7F73">
        <w:rPr>
          <w:rFonts w:ascii="Calibri" w:hAnsi="Calibri" w:cs="Calibri"/>
          <w:sz w:val="24"/>
        </w:rPr>
        <w:tab/>
        <w:t>Mr. Johnson announced the forthcoming retirement of Mr. Arnaud Guillot,</w:t>
      </w:r>
      <w:r w:rsidR="007F5F91">
        <w:rPr>
          <w:rFonts w:ascii="Calibri" w:hAnsi="Calibri" w:cs="Calibri"/>
          <w:sz w:val="24"/>
        </w:rPr>
        <w:t xml:space="preserve"> Head, </w:t>
      </w:r>
      <w:r w:rsidRPr="009B7F73">
        <w:rPr>
          <w:rFonts w:ascii="Calibri" w:hAnsi="Calibri" w:cs="Calibri"/>
          <w:sz w:val="24"/>
        </w:rPr>
        <w:t>Legal</w:t>
      </w:r>
      <w:r w:rsidR="007F5F91">
        <w:rPr>
          <w:rFonts w:ascii="Calibri" w:hAnsi="Calibri" w:cs="Calibri"/>
          <w:sz w:val="24"/>
        </w:rPr>
        <w:t xml:space="preserve"> Affairs Unit, </w:t>
      </w:r>
      <w:r w:rsidRPr="009B7F73">
        <w:rPr>
          <w:rFonts w:ascii="Calibri" w:hAnsi="Calibri" w:cs="Calibri"/>
          <w:sz w:val="24"/>
        </w:rPr>
        <w:t>after more than 36 years of service. He thanked Mr. Guillot for having worked faithfully, efficiently, tirelessly and for being omnipresent during his years of service. He is a unique asset to ITU as shown in his wonderful personality and loyalty</w:t>
      </w:r>
      <w:proofErr w:type="gramStart"/>
      <w:r w:rsidRPr="009B7F73">
        <w:rPr>
          <w:rFonts w:ascii="Calibri" w:hAnsi="Calibri" w:cs="Calibri"/>
          <w:sz w:val="24"/>
        </w:rPr>
        <w:t xml:space="preserve">.  </w:t>
      </w:r>
      <w:proofErr w:type="gramEnd"/>
      <w:r w:rsidRPr="009B7F73">
        <w:rPr>
          <w:rFonts w:ascii="Calibri" w:hAnsi="Calibri" w:cs="Calibri"/>
          <w:sz w:val="24"/>
        </w:rPr>
        <w:t>He thanked Mr. Guillot for his excellent service which will certainly be missed during PP-22 and wished him a long and happy retirement.</w:t>
      </w:r>
    </w:p>
    <w:p w14:paraId="7E25307B" w14:textId="77777777" w:rsidR="009B7F73" w:rsidRPr="009B7F73" w:rsidRDefault="009B7F73" w:rsidP="009B7F73">
      <w:pPr>
        <w:rPr>
          <w:rFonts w:ascii="Calibri" w:hAnsi="Calibri" w:cs="Calibri"/>
          <w:sz w:val="24"/>
        </w:rPr>
      </w:pPr>
    </w:p>
    <w:p w14:paraId="73C1D6A4" w14:textId="3F68999A" w:rsidR="009B7F73" w:rsidRPr="009B7F73" w:rsidRDefault="009B7F73" w:rsidP="009B7F73">
      <w:pPr>
        <w:rPr>
          <w:rFonts w:ascii="Calibri" w:hAnsi="Calibri" w:cs="Calibri"/>
          <w:sz w:val="24"/>
        </w:rPr>
      </w:pPr>
      <w:r w:rsidRPr="009B7F73">
        <w:rPr>
          <w:rFonts w:ascii="Calibri" w:hAnsi="Calibri" w:cs="Calibri"/>
          <w:sz w:val="24"/>
        </w:rPr>
        <w:lastRenderedPageBreak/>
        <w:t>1.5</w:t>
      </w:r>
      <w:r w:rsidRPr="009B7F73">
        <w:rPr>
          <w:rFonts w:ascii="Calibri" w:hAnsi="Calibri" w:cs="Calibri"/>
          <w:sz w:val="24"/>
        </w:rPr>
        <w:tab/>
      </w:r>
      <w:proofErr w:type="gramStart"/>
      <w:r w:rsidRPr="009B7F73">
        <w:rPr>
          <w:rFonts w:ascii="Calibri" w:hAnsi="Calibri" w:cs="Calibri"/>
          <w:sz w:val="24"/>
        </w:rPr>
        <w:t>A number of</w:t>
      </w:r>
      <w:proofErr w:type="gramEnd"/>
      <w:r w:rsidRPr="009B7F73">
        <w:rPr>
          <w:rFonts w:ascii="Calibri" w:hAnsi="Calibri" w:cs="Calibri"/>
          <w:sz w:val="24"/>
        </w:rPr>
        <w:t xml:space="preserve"> </w:t>
      </w:r>
      <w:r w:rsidR="007F5F91">
        <w:rPr>
          <w:rFonts w:ascii="Calibri" w:hAnsi="Calibri" w:cs="Calibri"/>
          <w:sz w:val="24"/>
        </w:rPr>
        <w:t>delegates</w:t>
      </w:r>
      <w:r w:rsidRPr="009B7F73">
        <w:rPr>
          <w:rFonts w:ascii="Calibri" w:hAnsi="Calibri" w:cs="Calibri"/>
          <w:sz w:val="24"/>
        </w:rPr>
        <w:t xml:space="preserve"> expressed appreciation of the works of Mr. Guillot and thanked him for his genuine and top-level performance, efficiency, excellence and for being an inspiration to members. They congratulated Mr. Guillot for his manner of dealing with delicate and sensitive legal issues together with his vision, fairness, understanding and special attention to specific needs. They also congratulated him for a job well done and gave him best wishes for his early retirement.</w:t>
      </w:r>
    </w:p>
    <w:p w14:paraId="6E544A6F" w14:textId="77777777" w:rsidR="009B7F73" w:rsidRPr="009B7F73" w:rsidRDefault="009B7F73" w:rsidP="009B7F73">
      <w:pPr>
        <w:rPr>
          <w:rFonts w:ascii="Calibri" w:hAnsi="Calibri" w:cs="Calibri"/>
          <w:sz w:val="24"/>
        </w:rPr>
      </w:pPr>
    </w:p>
    <w:p w14:paraId="32B88414" w14:textId="3C997B35" w:rsidR="009B7F73" w:rsidRPr="009B7F73" w:rsidRDefault="009B7F73" w:rsidP="009B7F73">
      <w:pPr>
        <w:rPr>
          <w:rFonts w:ascii="Calibri" w:hAnsi="Calibri" w:cs="Calibri"/>
          <w:sz w:val="24"/>
        </w:rPr>
      </w:pPr>
      <w:r w:rsidRPr="009B7F73">
        <w:rPr>
          <w:rFonts w:ascii="Calibri" w:hAnsi="Calibri" w:cs="Calibri"/>
          <w:sz w:val="24"/>
        </w:rPr>
        <w:t>1.6</w:t>
      </w:r>
      <w:r w:rsidRPr="009B7F73">
        <w:rPr>
          <w:rFonts w:ascii="Calibri" w:hAnsi="Calibri" w:cs="Calibri"/>
          <w:sz w:val="24"/>
        </w:rPr>
        <w:tab/>
        <w:t xml:space="preserve">Mr. Guillot thanked the Deputy Secretary-General and the </w:t>
      </w:r>
      <w:r w:rsidR="007F5F91">
        <w:rPr>
          <w:rFonts w:ascii="Calibri" w:hAnsi="Calibri" w:cs="Calibri"/>
          <w:sz w:val="24"/>
        </w:rPr>
        <w:t xml:space="preserve">delegates </w:t>
      </w:r>
      <w:r w:rsidRPr="009B7F73">
        <w:rPr>
          <w:rFonts w:ascii="Calibri" w:hAnsi="Calibri" w:cs="Calibri"/>
          <w:sz w:val="24"/>
        </w:rPr>
        <w:t>for the touching words of appreciation and for the satisfaction brought by serving ITU who has “built” him professionally and humanly.  He thanked everyone from the bottom of his heart for the trust given to him and the friendship that he has been shown.</w:t>
      </w:r>
    </w:p>
    <w:p w14:paraId="4F6C0E90" w14:textId="77777777" w:rsidR="009B7F73" w:rsidRPr="00BD0203" w:rsidRDefault="009B7F73" w:rsidP="00632E4E">
      <w:pPr>
        <w:tabs>
          <w:tab w:val="left" w:pos="709"/>
        </w:tabs>
        <w:adjustRightInd w:val="0"/>
        <w:snapToGrid w:val="0"/>
        <w:ind w:right="57"/>
        <w:jc w:val="both"/>
        <w:rPr>
          <w:rFonts w:asciiTheme="minorHAnsi" w:eastAsia="Times New Roman" w:hAnsiTheme="minorHAnsi" w:cstheme="minorHAnsi"/>
          <w:b/>
          <w:bCs/>
          <w:sz w:val="24"/>
          <w:lang w:val="en-GB" w:eastAsia="en-US"/>
        </w:rPr>
      </w:pPr>
    </w:p>
    <w:p w14:paraId="5D5E7FCB" w14:textId="77777777" w:rsidR="00632E4E" w:rsidRDefault="00632E4E" w:rsidP="00632E4E">
      <w:pPr>
        <w:tabs>
          <w:tab w:val="left" w:pos="709"/>
        </w:tabs>
        <w:overflowPunct w:val="0"/>
        <w:autoSpaceDE w:val="0"/>
        <w:autoSpaceDN w:val="0"/>
        <w:adjustRightInd w:val="0"/>
        <w:snapToGrid w:val="0"/>
        <w:textAlignment w:val="baseline"/>
        <w:outlineLvl w:val="0"/>
      </w:pPr>
      <w:r w:rsidRPr="00BD0203">
        <w:rPr>
          <w:rFonts w:asciiTheme="minorHAnsi" w:eastAsia="Times New Roman" w:hAnsiTheme="minorHAnsi" w:cstheme="minorHAnsi"/>
          <w:sz w:val="24"/>
          <w:lang w:val="en-GB" w:eastAsia="en-US"/>
        </w:rPr>
        <w:t>1.</w:t>
      </w:r>
      <w:r>
        <w:rPr>
          <w:rFonts w:asciiTheme="minorHAnsi" w:eastAsia="Times New Roman" w:hAnsiTheme="minorHAnsi" w:cstheme="minorHAnsi"/>
          <w:sz w:val="24"/>
          <w:lang w:val="en-GB" w:eastAsia="en-US"/>
        </w:rPr>
        <w:t>7</w:t>
      </w:r>
      <w:r w:rsidRPr="00BD0203">
        <w:rPr>
          <w:rFonts w:asciiTheme="minorHAnsi" w:eastAsia="Times New Roman" w:hAnsiTheme="minorHAnsi" w:cstheme="minorHAnsi"/>
          <w:sz w:val="24"/>
          <w:lang w:val="en-GB" w:eastAsia="en-US"/>
        </w:rPr>
        <w:tab/>
        <w:t>The revised Agenda (</w:t>
      </w:r>
      <w:r>
        <w:rPr>
          <w:rFonts w:asciiTheme="minorHAnsi" w:eastAsia="Times New Roman" w:hAnsiTheme="minorHAnsi" w:cstheme="minorHAnsi"/>
          <w:sz w:val="24"/>
          <w:lang w:val="en-GB" w:eastAsia="en-US"/>
        </w:rPr>
        <w:t xml:space="preserve">Document </w:t>
      </w:r>
      <w:r w:rsidRPr="00BD0203">
        <w:rPr>
          <w:rFonts w:asciiTheme="minorHAnsi" w:eastAsia="Times New Roman" w:hAnsiTheme="minorHAnsi" w:cstheme="minorHAnsi"/>
          <w:sz w:val="24"/>
          <w:lang w:val="en-GB" w:eastAsia="en-US"/>
        </w:rPr>
        <w:t>CWG-FHR 1</w:t>
      </w:r>
      <w:r>
        <w:rPr>
          <w:rFonts w:asciiTheme="minorHAnsi" w:eastAsia="Times New Roman" w:hAnsiTheme="minorHAnsi" w:cstheme="minorHAnsi"/>
          <w:sz w:val="24"/>
          <w:lang w:val="en-GB" w:eastAsia="en-US"/>
        </w:rPr>
        <w:t>4</w:t>
      </w:r>
      <w:r w:rsidRPr="00BD0203">
        <w:rPr>
          <w:rFonts w:asciiTheme="minorHAnsi" w:eastAsia="Times New Roman" w:hAnsiTheme="minorHAnsi" w:cstheme="minorHAnsi"/>
          <w:sz w:val="24"/>
          <w:lang w:val="en-GB" w:eastAsia="en-US"/>
        </w:rPr>
        <w:t>/1</w:t>
      </w:r>
      <w:r>
        <w:rPr>
          <w:rFonts w:asciiTheme="minorHAnsi" w:eastAsia="Times New Roman" w:hAnsiTheme="minorHAnsi" w:cstheme="minorHAnsi"/>
          <w:sz w:val="24"/>
          <w:lang w:val="en-GB" w:eastAsia="en-US"/>
        </w:rPr>
        <w:t xml:space="preserve"> (Rev. 2))</w:t>
      </w:r>
      <w:r w:rsidRPr="00BD0203">
        <w:rPr>
          <w:rFonts w:asciiTheme="minorHAnsi" w:eastAsia="Times New Roman" w:hAnsiTheme="minorHAnsi" w:cstheme="minorHAnsi"/>
          <w:sz w:val="24"/>
          <w:lang w:val="en-GB" w:eastAsia="en-US"/>
        </w:rPr>
        <w:t xml:space="preserve"> was approved.</w:t>
      </w:r>
    </w:p>
    <w:p w14:paraId="1B06C202" w14:textId="77777777" w:rsidR="0092268E" w:rsidRDefault="0092268E" w:rsidP="00290D95">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22730F97" w14:textId="3F8DCB85" w:rsidR="00DF19B8" w:rsidRPr="006F6188" w:rsidRDefault="006F6188" w:rsidP="00290D95">
      <w:pPr>
        <w:tabs>
          <w:tab w:val="left" w:pos="709"/>
        </w:tabs>
        <w:overflowPunct w:val="0"/>
        <w:autoSpaceDE w:val="0"/>
        <w:autoSpaceDN w:val="0"/>
        <w:adjustRightInd w:val="0"/>
        <w:snapToGrid w:val="0"/>
        <w:textAlignment w:val="baseline"/>
        <w:rPr>
          <w:rFonts w:ascii="Calibri" w:hAnsi="Calibri" w:cs="Calibri"/>
          <w:b/>
          <w:bCs/>
          <w:sz w:val="24"/>
        </w:rPr>
      </w:pPr>
      <w:r w:rsidRPr="006F6188">
        <w:rPr>
          <w:rFonts w:ascii="Calibri" w:hAnsi="Calibri" w:cs="Calibri"/>
          <w:b/>
          <w:bCs/>
          <w:sz w:val="24"/>
        </w:rPr>
        <w:t>2</w:t>
      </w:r>
      <w:r w:rsidRPr="006F6188">
        <w:rPr>
          <w:rFonts w:ascii="Calibri" w:hAnsi="Calibri" w:cs="Calibri"/>
          <w:b/>
          <w:bCs/>
          <w:sz w:val="24"/>
        </w:rPr>
        <w:tab/>
        <w:t xml:space="preserve">Accountability framework (Documents </w:t>
      </w:r>
      <w:hyperlink r:id="rId13" w:history="1">
        <w:r w:rsidRPr="006F6188">
          <w:rPr>
            <w:rStyle w:val="Hyperlink"/>
            <w:rFonts w:ascii="Calibri" w:hAnsi="Calibri" w:cs="Calibri"/>
            <w:b/>
            <w:bCs/>
            <w:sz w:val="24"/>
          </w:rPr>
          <w:t>CWG-FHR-</w:t>
        </w:r>
      </w:hyperlink>
      <w:r w:rsidRPr="006F6188">
        <w:rPr>
          <w:rStyle w:val="Hyperlink"/>
          <w:rFonts w:ascii="Calibri" w:hAnsi="Calibri" w:cs="Calibri"/>
          <w:b/>
          <w:bCs/>
          <w:sz w:val="24"/>
        </w:rPr>
        <w:t>14/2</w:t>
      </w:r>
      <w:r w:rsidRPr="006F6188">
        <w:rPr>
          <w:rStyle w:val="Hyperlink"/>
          <w:rFonts w:ascii="Calibri" w:hAnsi="Calibri" w:cs="Calibri"/>
          <w:b/>
          <w:bCs/>
          <w:sz w:val="24"/>
          <w:u w:val="none"/>
        </w:rPr>
        <w:t xml:space="preserve"> and </w:t>
      </w:r>
      <w:hyperlink r:id="rId14" w:history="1">
        <w:r w:rsidRPr="006F6188">
          <w:rPr>
            <w:rStyle w:val="Hyperlink"/>
            <w:rFonts w:ascii="Calibri" w:hAnsi="Calibri" w:cs="Calibri"/>
            <w:b/>
            <w:bCs/>
            <w:sz w:val="24"/>
          </w:rPr>
          <w:t>CWG-FHR-14/INF-1</w:t>
        </w:r>
      </w:hyperlink>
      <w:r w:rsidRPr="006F6188">
        <w:rPr>
          <w:rStyle w:val="Hyperlink"/>
          <w:rFonts w:ascii="Calibri" w:hAnsi="Calibri" w:cs="Calibri"/>
          <w:b/>
          <w:bCs/>
          <w:sz w:val="24"/>
        </w:rPr>
        <w:t>)</w:t>
      </w:r>
    </w:p>
    <w:p w14:paraId="65BC8EF2" w14:textId="0DC4BAA6" w:rsidR="00DF19B8" w:rsidRPr="00CD5BD4" w:rsidRDefault="00DF19B8" w:rsidP="00290D95">
      <w:pPr>
        <w:tabs>
          <w:tab w:val="left" w:pos="709"/>
        </w:tabs>
        <w:overflowPunct w:val="0"/>
        <w:autoSpaceDE w:val="0"/>
        <w:autoSpaceDN w:val="0"/>
        <w:adjustRightInd w:val="0"/>
        <w:snapToGrid w:val="0"/>
        <w:textAlignment w:val="baseline"/>
        <w:rPr>
          <w:rFonts w:asciiTheme="minorHAnsi" w:hAnsiTheme="minorHAnsi" w:cstheme="minorHAnsi"/>
          <w:sz w:val="24"/>
        </w:rPr>
      </w:pPr>
    </w:p>
    <w:p w14:paraId="3B4B7E06" w14:textId="2AD98F4D" w:rsidR="00CD5BD4" w:rsidRPr="00CD5BD4" w:rsidRDefault="00CD5BD4" w:rsidP="00CD5BD4">
      <w:pPr>
        <w:tabs>
          <w:tab w:val="left" w:pos="709"/>
        </w:tabs>
        <w:overflowPunct w:val="0"/>
        <w:autoSpaceDE w:val="0"/>
        <w:autoSpaceDN w:val="0"/>
        <w:adjustRightInd w:val="0"/>
        <w:snapToGrid w:val="0"/>
        <w:spacing w:after="160" w:line="259" w:lineRule="auto"/>
        <w:textAlignment w:val="baseline"/>
        <w:rPr>
          <w:rFonts w:ascii="Calibri" w:eastAsia="Calibri" w:hAnsi="Calibri" w:cs="Calibri"/>
          <w:sz w:val="24"/>
          <w:lang w:eastAsia="en-US"/>
        </w:rPr>
      </w:pPr>
      <w:bookmarkStart w:id="7" w:name="_Hlk83040950"/>
      <w:r w:rsidRPr="00CD5BD4">
        <w:rPr>
          <w:rFonts w:ascii="Calibri" w:eastAsia="Calibri" w:hAnsi="Calibri" w:cs="Calibri"/>
          <w:sz w:val="24"/>
          <w:lang w:eastAsia="en-US"/>
        </w:rPr>
        <w:t>2.1</w:t>
      </w:r>
      <w:r w:rsidRPr="00CD5BD4">
        <w:rPr>
          <w:rFonts w:ascii="Calibri" w:eastAsia="Calibri" w:hAnsi="Calibri" w:cs="Calibri"/>
          <w:sz w:val="24"/>
          <w:lang w:eastAsia="en-US"/>
        </w:rPr>
        <w:tab/>
        <w:t xml:space="preserve">The </w:t>
      </w:r>
      <w:r w:rsidR="00134FC3">
        <w:rPr>
          <w:rFonts w:ascii="Calibri" w:eastAsia="Calibri" w:hAnsi="Calibri" w:cs="Calibri"/>
          <w:sz w:val="24"/>
          <w:lang w:eastAsia="en-US"/>
        </w:rPr>
        <w:t>s</w:t>
      </w:r>
      <w:r w:rsidRPr="00CD5BD4">
        <w:rPr>
          <w:rFonts w:ascii="Calibri" w:eastAsia="Calibri" w:hAnsi="Calibri" w:cs="Calibri"/>
          <w:sz w:val="24"/>
          <w:lang w:eastAsia="en-US"/>
        </w:rPr>
        <w:t>ecretariat presented the document on Strengthening the Accountability Framework (Document CWG-FHR-14/2). There was need for a full review of the ITU Accountability Framework to further strengthen the accountability mechanisms and internal controls in the Union in line with the recommendations from the External Auditor’s Report (2019 Financial Statements) and the PWC Report on Regional Presence.</w:t>
      </w:r>
    </w:p>
    <w:p w14:paraId="5A2E7CCD" w14:textId="77777777" w:rsidR="00CD5BD4" w:rsidRPr="00CD5BD4" w:rsidRDefault="00CD5BD4" w:rsidP="00CD5BD4">
      <w:pPr>
        <w:tabs>
          <w:tab w:val="left" w:pos="709"/>
        </w:tabs>
        <w:overflowPunct w:val="0"/>
        <w:autoSpaceDE w:val="0"/>
        <w:autoSpaceDN w:val="0"/>
        <w:adjustRightInd w:val="0"/>
        <w:snapToGrid w:val="0"/>
        <w:spacing w:after="160" w:line="259" w:lineRule="auto"/>
        <w:textAlignment w:val="baseline"/>
        <w:rPr>
          <w:rFonts w:ascii="Calibri" w:eastAsia="Calibri" w:hAnsi="Calibri" w:cs="Calibri"/>
          <w:sz w:val="24"/>
          <w:lang w:eastAsia="en-US"/>
        </w:rPr>
      </w:pPr>
      <w:r w:rsidRPr="00CD5BD4">
        <w:rPr>
          <w:rFonts w:ascii="Calibri" w:eastAsia="Calibri" w:hAnsi="Calibri" w:cs="Calibri"/>
          <w:sz w:val="24"/>
          <w:lang w:eastAsia="en-US"/>
        </w:rPr>
        <w:t>2.2</w:t>
      </w:r>
      <w:r w:rsidRPr="00CD5BD4">
        <w:rPr>
          <w:rFonts w:ascii="Calibri" w:eastAsia="Calibri" w:hAnsi="Calibri" w:cs="Calibri"/>
          <w:sz w:val="24"/>
          <w:lang w:eastAsia="en-US"/>
        </w:rPr>
        <w:tab/>
        <w:t>T</w:t>
      </w:r>
      <w:r w:rsidRPr="00CD5BD4">
        <w:rPr>
          <w:rFonts w:ascii="Calibri" w:eastAsia="Calibri" w:hAnsi="Calibri" w:cs="Calibri"/>
          <w:spacing w:val="-2"/>
          <w:sz w:val="24"/>
          <w:lang w:eastAsia="en-US"/>
        </w:rPr>
        <w:t>he new framework is geared to be aligned with the ongoing management initiatives for better accountability:</w:t>
      </w:r>
    </w:p>
    <w:p w14:paraId="4476AF65" w14:textId="77777777" w:rsidR="00CD5BD4" w:rsidRPr="00CD5BD4" w:rsidRDefault="00CD5BD4" w:rsidP="00E619C8">
      <w:pPr>
        <w:numPr>
          <w:ilvl w:val="0"/>
          <w:numId w:val="44"/>
        </w:numPr>
        <w:tabs>
          <w:tab w:val="left" w:pos="1134"/>
        </w:tabs>
        <w:snapToGrid w:val="0"/>
        <w:spacing w:before="120" w:after="120"/>
        <w:ind w:hanging="56"/>
        <w:rPr>
          <w:rFonts w:ascii="Calibri" w:eastAsia="Times New Roman" w:hAnsi="Calibri" w:cs="Calibri"/>
          <w:spacing w:val="-2"/>
          <w:sz w:val="24"/>
          <w:lang w:val="en-GB" w:eastAsia="en-US"/>
        </w:rPr>
      </w:pPr>
      <w:r w:rsidRPr="00CD5BD4">
        <w:rPr>
          <w:rFonts w:ascii="Calibri" w:eastAsia="Times New Roman" w:hAnsi="Calibri" w:cs="Calibri"/>
          <w:spacing w:val="-2"/>
          <w:sz w:val="24"/>
          <w:lang w:val="en-GB" w:eastAsia="en-US"/>
        </w:rPr>
        <w:t xml:space="preserve">The Action Plan of the Working Group on Internal </w:t>
      </w:r>
      <w:proofErr w:type="gramStart"/>
      <w:r w:rsidRPr="00CD5BD4">
        <w:rPr>
          <w:rFonts w:ascii="Calibri" w:eastAsia="Times New Roman" w:hAnsi="Calibri" w:cs="Calibri"/>
          <w:spacing w:val="-2"/>
          <w:sz w:val="24"/>
          <w:lang w:val="en-GB" w:eastAsia="en-US"/>
        </w:rPr>
        <w:t>Controls;</w:t>
      </w:r>
      <w:proofErr w:type="gramEnd"/>
    </w:p>
    <w:p w14:paraId="18339740" w14:textId="77777777" w:rsidR="00CD5BD4" w:rsidRPr="00CD5BD4" w:rsidRDefault="00CD5BD4" w:rsidP="00E619C8">
      <w:pPr>
        <w:numPr>
          <w:ilvl w:val="0"/>
          <w:numId w:val="44"/>
        </w:numPr>
        <w:tabs>
          <w:tab w:val="left" w:pos="1134"/>
        </w:tabs>
        <w:snapToGrid w:val="0"/>
        <w:spacing w:before="120" w:after="120"/>
        <w:ind w:left="1134" w:hanging="425"/>
        <w:rPr>
          <w:rFonts w:ascii="Calibri" w:eastAsia="Times New Roman" w:hAnsi="Calibri" w:cs="Calibri"/>
          <w:spacing w:val="-2"/>
          <w:sz w:val="24"/>
          <w:lang w:val="en-GB" w:eastAsia="en-US"/>
        </w:rPr>
      </w:pPr>
      <w:r w:rsidRPr="00CD5BD4">
        <w:rPr>
          <w:rFonts w:ascii="Calibri" w:eastAsia="Times New Roman" w:hAnsi="Calibri" w:cs="Calibri"/>
          <w:spacing w:val="-2"/>
          <w:sz w:val="24"/>
          <w:lang w:val="en-GB" w:eastAsia="en-US"/>
        </w:rPr>
        <w:t xml:space="preserve">The improvements in the Results-Based Management framework and the development of the delegation of authority </w:t>
      </w:r>
      <w:proofErr w:type="gramStart"/>
      <w:r w:rsidRPr="00CD5BD4">
        <w:rPr>
          <w:rFonts w:ascii="Calibri" w:eastAsia="Times New Roman" w:hAnsi="Calibri" w:cs="Calibri"/>
          <w:spacing w:val="-2"/>
          <w:sz w:val="24"/>
          <w:lang w:val="en-GB" w:eastAsia="en-US"/>
        </w:rPr>
        <w:t>framework;</w:t>
      </w:r>
      <w:proofErr w:type="gramEnd"/>
    </w:p>
    <w:p w14:paraId="0E3E38C3" w14:textId="77777777" w:rsidR="00CD5BD4" w:rsidRPr="00CD5BD4" w:rsidRDefault="00CD5BD4" w:rsidP="00E619C8">
      <w:pPr>
        <w:numPr>
          <w:ilvl w:val="0"/>
          <w:numId w:val="44"/>
        </w:numPr>
        <w:tabs>
          <w:tab w:val="left" w:pos="1134"/>
        </w:tabs>
        <w:snapToGrid w:val="0"/>
        <w:spacing w:before="120" w:after="120"/>
        <w:ind w:hanging="56"/>
        <w:rPr>
          <w:rFonts w:ascii="Calibri" w:eastAsia="Times New Roman" w:hAnsi="Calibri" w:cs="Calibri"/>
          <w:spacing w:val="-2"/>
          <w:sz w:val="24"/>
          <w:lang w:val="en-GB" w:eastAsia="en-US"/>
        </w:rPr>
      </w:pPr>
      <w:r w:rsidRPr="00CD5BD4">
        <w:rPr>
          <w:rFonts w:ascii="Calibri" w:eastAsia="Times New Roman" w:hAnsi="Calibri" w:cs="Calibri"/>
          <w:spacing w:val="-2"/>
          <w:sz w:val="24"/>
          <w:lang w:val="en-GB" w:eastAsia="en-US"/>
        </w:rPr>
        <w:t xml:space="preserve">The implementation of the Risk Management Action </w:t>
      </w:r>
      <w:proofErr w:type="gramStart"/>
      <w:r w:rsidRPr="00CD5BD4">
        <w:rPr>
          <w:rFonts w:ascii="Calibri" w:eastAsia="Times New Roman" w:hAnsi="Calibri" w:cs="Calibri"/>
          <w:spacing w:val="-2"/>
          <w:sz w:val="24"/>
          <w:lang w:val="en-GB" w:eastAsia="en-US"/>
        </w:rPr>
        <w:t>Plan;</w:t>
      </w:r>
      <w:proofErr w:type="gramEnd"/>
    </w:p>
    <w:p w14:paraId="04144166" w14:textId="77777777" w:rsidR="00CD5BD4" w:rsidRPr="00CD5BD4" w:rsidRDefault="00CD5BD4" w:rsidP="00E619C8">
      <w:pPr>
        <w:numPr>
          <w:ilvl w:val="0"/>
          <w:numId w:val="44"/>
        </w:numPr>
        <w:tabs>
          <w:tab w:val="left" w:pos="1134"/>
        </w:tabs>
        <w:snapToGrid w:val="0"/>
        <w:spacing w:before="120" w:after="120"/>
        <w:ind w:left="714" w:hanging="5"/>
        <w:rPr>
          <w:rFonts w:ascii="Calibri" w:eastAsia="Times New Roman" w:hAnsi="Calibri" w:cs="Calibri"/>
          <w:spacing w:val="-2"/>
          <w:sz w:val="24"/>
          <w:lang w:val="en-GB" w:eastAsia="en-US"/>
        </w:rPr>
      </w:pPr>
      <w:r w:rsidRPr="00CD5BD4">
        <w:rPr>
          <w:rFonts w:ascii="Calibri" w:eastAsia="Times New Roman" w:hAnsi="Calibri" w:cs="Calibri"/>
          <w:spacing w:val="-2"/>
          <w:sz w:val="24"/>
          <w:lang w:val="en-GB" w:eastAsia="en-US"/>
        </w:rPr>
        <w:t>The development of the ITU Compliance Dashboard; and</w:t>
      </w:r>
    </w:p>
    <w:p w14:paraId="181D8E25" w14:textId="5310919B" w:rsidR="00CD5BD4" w:rsidRPr="00CD5BD4" w:rsidRDefault="00CD5BD4" w:rsidP="00CD5BD4">
      <w:pPr>
        <w:numPr>
          <w:ilvl w:val="0"/>
          <w:numId w:val="44"/>
        </w:numPr>
        <w:tabs>
          <w:tab w:val="left" w:pos="1134"/>
        </w:tabs>
        <w:snapToGrid w:val="0"/>
        <w:spacing w:before="120" w:after="120" w:line="259" w:lineRule="auto"/>
        <w:ind w:left="1134" w:hanging="425"/>
        <w:rPr>
          <w:rFonts w:ascii="Calibri" w:eastAsia="Times New Roman" w:hAnsi="Calibri" w:cs="Calibri"/>
          <w:spacing w:val="-2"/>
          <w:sz w:val="24"/>
          <w:lang w:val="en-GB" w:eastAsia="en-US"/>
        </w:rPr>
      </w:pPr>
      <w:r w:rsidRPr="00CD5BD4">
        <w:rPr>
          <w:rFonts w:ascii="Calibri" w:eastAsia="Times New Roman" w:hAnsi="Calibri" w:cs="Calibri"/>
          <w:spacing w:val="-2"/>
          <w:sz w:val="24"/>
          <w:lang w:val="en-GB" w:eastAsia="en-US"/>
        </w:rPr>
        <w:t>Other related projects</w:t>
      </w:r>
      <w:r w:rsidR="00480393">
        <w:rPr>
          <w:rFonts w:ascii="Calibri" w:eastAsia="Times New Roman" w:hAnsi="Calibri" w:cs="Calibri"/>
          <w:spacing w:val="-2"/>
          <w:sz w:val="24"/>
          <w:lang w:val="en-GB" w:eastAsia="en-US"/>
        </w:rPr>
        <w:t>,</w:t>
      </w:r>
      <w:r w:rsidRPr="00CD5BD4">
        <w:rPr>
          <w:rFonts w:ascii="Calibri" w:eastAsia="Times New Roman" w:hAnsi="Calibri" w:cs="Calibri"/>
          <w:spacing w:val="-2"/>
          <w:sz w:val="24"/>
          <w:lang w:val="en-GB" w:eastAsia="en-US"/>
        </w:rPr>
        <w:t xml:space="preserve"> i.e.</w:t>
      </w:r>
      <w:r w:rsidR="00480393">
        <w:rPr>
          <w:rFonts w:ascii="Calibri" w:eastAsia="Times New Roman" w:hAnsi="Calibri" w:cs="Calibri"/>
          <w:spacing w:val="-2"/>
          <w:sz w:val="24"/>
          <w:lang w:val="en-GB" w:eastAsia="en-US"/>
        </w:rPr>
        <w:t>,</w:t>
      </w:r>
      <w:r w:rsidRPr="00CD5BD4">
        <w:rPr>
          <w:rFonts w:ascii="Calibri" w:eastAsia="Times New Roman" w:hAnsi="Calibri" w:cs="Calibri"/>
          <w:spacing w:val="-2"/>
          <w:sz w:val="24"/>
          <w:lang w:val="en-GB" w:eastAsia="en-US"/>
        </w:rPr>
        <w:t xml:space="preserve"> the Leadership Culture Assessment and the Culture Diagnosis and Skills Gap Project.</w:t>
      </w:r>
    </w:p>
    <w:p w14:paraId="40E2DBBC" w14:textId="77777777" w:rsidR="00CD5BD4" w:rsidRPr="00CD5BD4" w:rsidRDefault="00CD5BD4" w:rsidP="00CD5BD4">
      <w:pPr>
        <w:tabs>
          <w:tab w:val="left" w:pos="709"/>
        </w:tabs>
        <w:overflowPunct w:val="0"/>
        <w:autoSpaceDE w:val="0"/>
        <w:autoSpaceDN w:val="0"/>
        <w:adjustRightInd w:val="0"/>
        <w:snapToGrid w:val="0"/>
        <w:spacing w:after="160" w:line="259" w:lineRule="auto"/>
        <w:textAlignment w:val="baseline"/>
        <w:rPr>
          <w:rFonts w:ascii="Calibri" w:eastAsia="Calibri" w:hAnsi="Calibri" w:cs="Calibri"/>
          <w:sz w:val="24"/>
          <w:lang w:eastAsia="en-US"/>
        </w:rPr>
      </w:pPr>
      <w:r w:rsidRPr="00CD5BD4">
        <w:rPr>
          <w:rFonts w:ascii="Calibri" w:eastAsia="Calibri" w:hAnsi="Calibri" w:cs="Calibri"/>
          <w:sz w:val="24"/>
          <w:lang w:eastAsia="en-US"/>
        </w:rPr>
        <w:t>2.3</w:t>
      </w:r>
      <w:r w:rsidRPr="00CD5BD4">
        <w:rPr>
          <w:rFonts w:ascii="Calibri" w:eastAsia="Calibri" w:hAnsi="Calibri" w:cs="Calibri"/>
          <w:sz w:val="24"/>
          <w:lang w:eastAsia="en-US"/>
        </w:rPr>
        <w:tab/>
        <w:t xml:space="preserve">The basis of the New Accountability Framework, the scope, roles, </w:t>
      </w:r>
      <w:proofErr w:type="gramStart"/>
      <w:r w:rsidRPr="00CD5BD4">
        <w:rPr>
          <w:rFonts w:ascii="Calibri" w:eastAsia="Calibri" w:hAnsi="Calibri" w:cs="Calibri"/>
          <w:sz w:val="24"/>
          <w:lang w:eastAsia="en-US"/>
        </w:rPr>
        <w:t>governance</w:t>
      </w:r>
      <w:proofErr w:type="gramEnd"/>
      <w:r w:rsidRPr="00CD5BD4">
        <w:rPr>
          <w:rFonts w:ascii="Calibri" w:eastAsia="Calibri" w:hAnsi="Calibri" w:cs="Calibri"/>
          <w:sz w:val="24"/>
          <w:lang w:eastAsia="en-US"/>
        </w:rPr>
        <w:t xml:space="preserve"> and desk research relating to the project as well as review and assessment of the project have been presented in the document.</w:t>
      </w:r>
    </w:p>
    <w:p w14:paraId="5A14A146" w14:textId="77777777" w:rsidR="00CD5BD4" w:rsidRPr="00CD5BD4" w:rsidRDefault="00CD5BD4" w:rsidP="00CD5BD4">
      <w:pPr>
        <w:tabs>
          <w:tab w:val="left" w:pos="709"/>
        </w:tabs>
        <w:overflowPunct w:val="0"/>
        <w:autoSpaceDE w:val="0"/>
        <w:autoSpaceDN w:val="0"/>
        <w:adjustRightInd w:val="0"/>
        <w:snapToGrid w:val="0"/>
        <w:spacing w:after="160" w:line="259" w:lineRule="auto"/>
        <w:textAlignment w:val="baseline"/>
        <w:rPr>
          <w:rFonts w:ascii="Calibri" w:eastAsia="Calibri" w:hAnsi="Calibri" w:cs="Calibri"/>
          <w:sz w:val="24"/>
          <w:lang w:eastAsia="en-US"/>
        </w:rPr>
      </w:pPr>
      <w:r w:rsidRPr="00CD5BD4">
        <w:rPr>
          <w:rFonts w:ascii="Calibri" w:eastAsia="Calibri" w:hAnsi="Calibri" w:cs="Calibri"/>
          <w:sz w:val="24"/>
          <w:lang w:eastAsia="en-US"/>
        </w:rPr>
        <w:t>2.4</w:t>
      </w:r>
      <w:r w:rsidRPr="00CD5BD4">
        <w:rPr>
          <w:rFonts w:ascii="Calibri" w:eastAsia="Calibri" w:hAnsi="Calibri" w:cs="Calibri"/>
          <w:sz w:val="24"/>
          <w:lang w:eastAsia="en-US"/>
        </w:rPr>
        <w:tab/>
        <w:t>Successful implementation and follow-up on the project results in the following:</w:t>
      </w:r>
    </w:p>
    <w:p w14:paraId="647BDC6F" w14:textId="77777777" w:rsidR="00CD5BD4" w:rsidRPr="00CD5BD4" w:rsidRDefault="00CD5BD4" w:rsidP="00CD5BD4">
      <w:pPr>
        <w:numPr>
          <w:ilvl w:val="0"/>
          <w:numId w:val="45"/>
        </w:numPr>
        <w:tabs>
          <w:tab w:val="left" w:pos="567"/>
          <w:tab w:val="left" w:pos="709"/>
          <w:tab w:val="left" w:pos="1134"/>
          <w:tab w:val="left" w:pos="1701"/>
          <w:tab w:val="left" w:pos="2268"/>
          <w:tab w:val="left" w:pos="2835"/>
        </w:tabs>
        <w:overflowPunct w:val="0"/>
        <w:autoSpaceDE w:val="0"/>
        <w:autoSpaceDN w:val="0"/>
        <w:adjustRightInd w:val="0"/>
        <w:snapToGrid w:val="0"/>
        <w:spacing w:before="120" w:after="120" w:line="259" w:lineRule="auto"/>
        <w:ind w:left="1134" w:hanging="425"/>
        <w:textAlignment w:val="baseline"/>
        <w:rPr>
          <w:rFonts w:ascii="Calibri" w:eastAsia="Times New Roman" w:hAnsi="Calibri" w:cs="Calibri"/>
          <w:sz w:val="24"/>
          <w:lang w:val="en-GB" w:eastAsia="en-US"/>
        </w:rPr>
      </w:pPr>
      <w:r w:rsidRPr="00CD5BD4">
        <w:rPr>
          <w:rFonts w:ascii="Calibri" w:eastAsia="Times New Roman" w:hAnsi="Calibri" w:cs="Calibri"/>
          <w:sz w:val="24"/>
          <w:lang w:val="en-GB" w:eastAsia="en-US"/>
        </w:rPr>
        <w:t xml:space="preserve">Integration of existing initiatives under one meaningful framework which raises awareness on the importance of </w:t>
      </w:r>
      <w:proofErr w:type="gramStart"/>
      <w:r w:rsidRPr="00CD5BD4">
        <w:rPr>
          <w:rFonts w:ascii="Calibri" w:eastAsia="Times New Roman" w:hAnsi="Calibri" w:cs="Calibri"/>
          <w:sz w:val="24"/>
          <w:lang w:val="en-GB" w:eastAsia="en-US"/>
        </w:rPr>
        <w:t>accountability;</w:t>
      </w:r>
      <w:proofErr w:type="gramEnd"/>
    </w:p>
    <w:p w14:paraId="7EC47EA3" w14:textId="77777777" w:rsidR="00CD5BD4" w:rsidRPr="00CD5BD4" w:rsidRDefault="00CD5BD4" w:rsidP="00CD5BD4">
      <w:pPr>
        <w:numPr>
          <w:ilvl w:val="0"/>
          <w:numId w:val="45"/>
        </w:numPr>
        <w:tabs>
          <w:tab w:val="left" w:pos="567"/>
          <w:tab w:val="left" w:pos="709"/>
          <w:tab w:val="left" w:pos="1134"/>
          <w:tab w:val="left" w:pos="1701"/>
          <w:tab w:val="left" w:pos="2268"/>
          <w:tab w:val="left" w:pos="2835"/>
        </w:tabs>
        <w:overflowPunct w:val="0"/>
        <w:autoSpaceDE w:val="0"/>
        <w:autoSpaceDN w:val="0"/>
        <w:adjustRightInd w:val="0"/>
        <w:snapToGrid w:val="0"/>
        <w:spacing w:before="120" w:after="120" w:line="259" w:lineRule="auto"/>
        <w:ind w:hanging="11"/>
        <w:textAlignment w:val="baseline"/>
        <w:rPr>
          <w:rFonts w:ascii="Calibri" w:eastAsia="Times New Roman" w:hAnsi="Calibri" w:cs="Calibri"/>
          <w:sz w:val="24"/>
          <w:lang w:val="en-GB" w:eastAsia="en-US"/>
        </w:rPr>
      </w:pPr>
      <w:r w:rsidRPr="00CD5BD4">
        <w:rPr>
          <w:rFonts w:ascii="Calibri" w:eastAsia="Times New Roman" w:hAnsi="Calibri" w:cs="Calibri"/>
          <w:sz w:val="24"/>
          <w:lang w:val="en-GB" w:eastAsia="en-US"/>
        </w:rPr>
        <w:t xml:space="preserve">Establishment of improved arrangements to assess and oversee </w:t>
      </w:r>
      <w:proofErr w:type="gramStart"/>
      <w:r w:rsidRPr="00CD5BD4">
        <w:rPr>
          <w:rFonts w:ascii="Calibri" w:eastAsia="Times New Roman" w:hAnsi="Calibri" w:cs="Calibri"/>
          <w:sz w:val="24"/>
          <w:lang w:val="en-GB" w:eastAsia="en-US"/>
        </w:rPr>
        <w:t>accountability;</w:t>
      </w:r>
      <w:proofErr w:type="gramEnd"/>
    </w:p>
    <w:p w14:paraId="533B3E22" w14:textId="77777777" w:rsidR="00CD5BD4" w:rsidRPr="00CD5BD4" w:rsidRDefault="00CD5BD4" w:rsidP="00CD5BD4">
      <w:pPr>
        <w:numPr>
          <w:ilvl w:val="0"/>
          <w:numId w:val="45"/>
        </w:numPr>
        <w:tabs>
          <w:tab w:val="left" w:pos="567"/>
          <w:tab w:val="left" w:pos="709"/>
          <w:tab w:val="left" w:pos="1134"/>
          <w:tab w:val="left" w:pos="1701"/>
          <w:tab w:val="left" w:pos="2268"/>
          <w:tab w:val="left" w:pos="2835"/>
        </w:tabs>
        <w:overflowPunct w:val="0"/>
        <w:autoSpaceDE w:val="0"/>
        <w:autoSpaceDN w:val="0"/>
        <w:adjustRightInd w:val="0"/>
        <w:snapToGrid w:val="0"/>
        <w:spacing w:before="120" w:after="120" w:line="259" w:lineRule="auto"/>
        <w:ind w:left="1134" w:hanging="425"/>
        <w:textAlignment w:val="baseline"/>
        <w:rPr>
          <w:rFonts w:ascii="Calibri" w:eastAsia="Times New Roman" w:hAnsi="Calibri" w:cs="Calibri"/>
          <w:sz w:val="24"/>
          <w:lang w:val="en-GB" w:eastAsia="en-US"/>
        </w:rPr>
      </w:pPr>
      <w:r w:rsidRPr="00CD5BD4">
        <w:rPr>
          <w:rFonts w:ascii="Calibri" w:eastAsia="Times New Roman" w:hAnsi="Calibri" w:cs="Calibri"/>
          <w:sz w:val="24"/>
          <w:lang w:val="en-GB" w:eastAsia="en-US"/>
        </w:rPr>
        <w:t>Implementation of the 17 Benchmarks from the 2011 JIU Report on UN Accountability Frameworks (JIU/REP/2-11/5</w:t>
      </w:r>
      <w:proofErr w:type="gramStart"/>
      <w:r w:rsidRPr="00CD5BD4">
        <w:rPr>
          <w:rFonts w:ascii="Calibri" w:eastAsia="Times New Roman" w:hAnsi="Calibri" w:cs="Calibri"/>
          <w:sz w:val="24"/>
          <w:lang w:val="en-GB" w:eastAsia="en-US"/>
        </w:rPr>
        <w:t>);</w:t>
      </w:r>
      <w:proofErr w:type="gramEnd"/>
    </w:p>
    <w:p w14:paraId="22CB6F34" w14:textId="77777777" w:rsidR="00CD5BD4" w:rsidRPr="00CD5BD4" w:rsidRDefault="00CD5BD4" w:rsidP="00CD5BD4">
      <w:pPr>
        <w:numPr>
          <w:ilvl w:val="0"/>
          <w:numId w:val="45"/>
        </w:numPr>
        <w:tabs>
          <w:tab w:val="left" w:pos="567"/>
          <w:tab w:val="left" w:pos="709"/>
          <w:tab w:val="left" w:pos="1134"/>
          <w:tab w:val="left" w:pos="1701"/>
          <w:tab w:val="left" w:pos="2268"/>
          <w:tab w:val="left" w:pos="2835"/>
        </w:tabs>
        <w:overflowPunct w:val="0"/>
        <w:autoSpaceDE w:val="0"/>
        <w:autoSpaceDN w:val="0"/>
        <w:adjustRightInd w:val="0"/>
        <w:snapToGrid w:val="0"/>
        <w:spacing w:before="120" w:after="120" w:line="259" w:lineRule="auto"/>
        <w:ind w:left="1134" w:hanging="425"/>
        <w:textAlignment w:val="baseline"/>
        <w:rPr>
          <w:rFonts w:ascii="Calibri" w:eastAsia="Times New Roman" w:hAnsi="Calibri" w:cs="Calibri"/>
          <w:sz w:val="24"/>
          <w:lang w:val="en-GB" w:eastAsia="en-US"/>
        </w:rPr>
      </w:pPr>
      <w:r w:rsidRPr="00CD5BD4">
        <w:rPr>
          <w:rFonts w:ascii="Calibri" w:eastAsia="Times New Roman" w:hAnsi="Calibri" w:cs="Calibri"/>
          <w:sz w:val="24"/>
          <w:lang w:val="en-GB" w:eastAsia="en-US"/>
        </w:rPr>
        <w:t>Addresses the 2016 JIU report on the 2015 review of ITU management (JIU/REP/2016/1</w:t>
      </w:r>
      <w:proofErr w:type="gramStart"/>
      <w:r w:rsidRPr="00CD5BD4">
        <w:rPr>
          <w:rFonts w:ascii="Calibri" w:eastAsia="Times New Roman" w:hAnsi="Calibri" w:cs="Calibri"/>
          <w:sz w:val="24"/>
          <w:lang w:val="en-GB" w:eastAsia="en-US"/>
        </w:rPr>
        <w:t>);</w:t>
      </w:r>
      <w:proofErr w:type="gramEnd"/>
    </w:p>
    <w:p w14:paraId="7175D0FD" w14:textId="77777777" w:rsidR="00CD5BD4" w:rsidRPr="00CD5BD4" w:rsidRDefault="00CD5BD4" w:rsidP="00CD5BD4">
      <w:pPr>
        <w:numPr>
          <w:ilvl w:val="0"/>
          <w:numId w:val="45"/>
        </w:numPr>
        <w:tabs>
          <w:tab w:val="left" w:pos="567"/>
          <w:tab w:val="left" w:pos="709"/>
          <w:tab w:val="left" w:pos="1134"/>
          <w:tab w:val="left" w:pos="1701"/>
          <w:tab w:val="left" w:pos="2268"/>
          <w:tab w:val="left" w:pos="2835"/>
        </w:tabs>
        <w:overflowPunct w:val="0"/>
        <w:autoSpaceDE w:val="0"/>
        <w:autoSpaceDN w:val="0"/>
        <w:adjustRightInd w:val="0"/>
        <w:snapToGrid w:val="0"/>
        <w:spacing w:before="120" w:after="120" w:line="259" w:lineRule="auto"/>
        <w:ind w:left="1134" w:hanging="425"/>
        <w:textAlignment w:val="baseline"/>
        <w:rPr>
          <w:rFonts w:ascii="Calibri" w:eastAsia="Times New Roman" w:hAnsi="Calibri" w:cs="Calibri"/>
          <w:sz w:val="24"/>
          <w:lang w:val="en-GB" w:eastAsia="en-US"/>
        </w:rPr>
      </w:pPr>
      <w:r w:rsidRPr="00CD5BD4">
        <w:rPr>
          <w:rFonts w:ascii="Calibri" w:eastAsia="Times New Roman" w:hAnsi="Calibri" w:cs="Calibri"/>
          <w:sz w:val="24"/>
          <w:lang w:val="en-GB" w:eastAsia="en-US"/>
        </w:rPr>
        <w:t xml:space="preserve">Sets the basis to effectively incorporate the </w:t>
      </w:r>
      <w:r w:rsidRPr="00CD5BD4">
        <w:rPr>
          <w:rFonts w:ascii="Calibri" w:eastAsia="Times New Roman" w:hAnsi="Calibri" w:cs="Calibri"/>
          <w:bCs/>
          <w:sz w:val="24"/>
          <w:lang w:val="en-GB" w:eastAsia="en-US"/>
        </w:rPr>
        <w:t>Accountability Framework Components into the new ITU Strategic Plan.</w:t>
      </w:r>
    </w:p>
    <w:p w14:paraId="4FDF7577" w14:textId="0763072C" w:rsidR="00CD5BD4" w:rsidRPr="00CD5BD4" w:rsidRDefault="00CD5BD4" w:rsidP="00CD5BD4">
      <w:pPr>
        <w:tabs>
          <w:tab w:val="left" w:pos="709"/>
        </w:tabs>
        <w:snapToGrid w:val="0"/>
        <w:spacing w:after="160" w:line="259" w:lineRule="auto"/>
        <w:rPr>
          <w:rFonts w:ascii="Calibri" w:eastAsia="Calibri" w:hAnsi="Calibri" w:cs="Calibri"/>
          <w:spacing w:val="-2"/>
          <w:sz w:val="24"/>
          <w:lang w:eastAsia="en-US"/>
        </w:rPr>
      </w:pPr>
      <w:r w:rsidRPr="00CD5BD4">
        <w:rPr>
          <w:rFonts w:ascii="Calibri" w:eastAsia="Calibri" w:hAnsi="Calibri" w:cs="Calibri"/>
          <w:sz w:val="24"/>
          <w:lang w:eastAsia="en-US"/>
        </w:rPr>
        <w:lastRenderedPageBreak/>
        <w:t>2.5</w:t>
      </w:r>
      <w:r w:rsidRPr="00CD5BD4">
        <w:rPr>
          <w:rFonts w:ascii="Calibri" w:eastAsia="Calibri" w:hAnsi="Calibri" w:cs="Calibri"/>
          <w:sz w:val="24"/>
          <w:lang w:val="en-GB" w:eastAsia="en-US"/>
        </w:rPr>
        <w:tab/>
      </w:r>
      <w:r w:rsidRPr="00CD5BD4">
        <w:rPr>
          <w:rFonts w:ascii="Calibri" w:eastAsia="Calibri" w:hAnsi="Calibri" w:cs="Calibri"/>
          <w:spacing w:val="-2"/>
          <w:sz w:val="24"/>
          <w:lang w:eastAsia="en-US"/>
        </w:rPr>
        <w:t xml:space="preserve">The description of the new ITU Accountability Model and the Framework is presented in Information Document C21/INF/14.  The new framework has </w:t>
      </w:r>
      <w:r w:rsidR="00480393">
        <w:rPr>
          <w:rFonts w:ascii="Calibri" w:eastAsia="Calibri" w:hAnsi="Calibri" w:cs="Calibri"/>
          <w:spacing w:val="-2"/>
          <w:sz w:val="24"/>
          <w:lang w:eastAsia="en-US"/>
        </w:rPr>
        <w:t>nine</w:t>
      </w:r>
      <w:r w:rsidRPr="00CD5BD4">
        <w:rPr>
          <w:rFonts w:ascii="Calibri" w:eastAsia="Calibri" w:hAnsi="Calibri" w:cs="Calibri"/>
          <w:spacing w:val="-2"/>
          <w:sz w:val="24"/>
          <w:lang w:eastAsia="en-US"/>
        </w:rPr>
        <w:t xml:space="preserve"> components with 36 elements:</w:t>
      </w:r>
    </w:p>
    <w:p w14:paraId="4AAA444D" w14:textId="7D16DF00" w:rsidR="00CD5BD4" w:rsidRPr="00CD5BD4" w:rsidRDefault="00CD5BD4" w:rsidP="00E619C8">
      <w:pPr>
        <w:tabs>
          <w:tab w:val="left" w:pos="709"/>
          <w:tab w:val="left" w:pos="1134"/>
        </w:tabs>
        <w:snapToGrid w:val="0"/>
        <w:spacing w:before="120" w:after="120"/>
        <w:rPr>
          <w:rFonts w:ascii="Calibri" w:eastAsia="Calibri" w:hAnsi="Calibri" w:cs="Calibri"/>
          <w:spacing w:val="-2"/>
          <w:sz w:val="24"/>
          <w:lang w:eastAsia="en-US"/>
        </w:rPr>
      </w:pPr>
      <w:r w:rsidRPr="00CD5BD4">
        <w:rPr>
          <w:rFonts w:ascii="Calibri" w:eastAsia="Calibri" w:hAnsi="Calibri" w:cs="Calibri"/>
          <w:spacing w:val="-2"/>
          <w:sz w:val="24"/>
          <w:lang w:eastAsia="en-US"/>
        </w:rPr>
        <w:tab/>
        <w:t>(a)</w:t>
      </w:r>
      <w:r w:rsidRPr="00CD5BD4">
        <w:rPr>
          <w:rFonts w:ascii="Calibri" w:eastAsia="Calibri" w:hAnsi="Calibri" w:cs="Calibri"/>
          <w:spacing w:val="-2"/>
          <w:sz w:val="24"/>
          <w:lang w:eastAsia="en-US"/>
        </w:rPr>
        <w:tab/>
        <w:t xml:space="preserve">Control Environment &amp; </w:t>
      </w:r>
      <w:proofErr w:type="gramStart"/>
      <w:r w:rsidRPr="00CD5BD4">
        <w:rPr>
          <w:rFonts w:ascii="Calibri" w:eastAsia="Calibri" w:hAnsi="Calibri" w:cs="Calibri"/>
          <w:spacing w:val="-2"/>
          <w:sz w:val="24"/>
          <w:lang w:eastAsia="en-US"/>
        </w:rPr>
        <w:t>Oversight</w:t>
      </w:r>
      <w:r w:rsidR="00480393">
        <w:rPr>
          <w:rFonts w:ascii="Calibri" w:eastAsia="Calibri" w:hAnsi="Calibri" w:cs="Calibri"/>
          <w:spacing w:val="-2"/>
          <w:sz w:val="24"/>
          <w:lang w:eastAsia="en-US"/>
        </w:rPr>
        <w:t>;</w:t>
      </w:r>
      <w:proofErr w:type="gramEnd"/>
    </w:p>
    <w:p w14:paraId="010B114C" w14:textId="7175EFCB" w:rsidR="00CD5BD4" w:rsidRPr="00CD5BD4" w:rsidRDefault="00CD5BD4" w:rsidP="00E619C8">
      <w:pPr>
        <w:tabs>
          <w:tab w:val="left" w:pos="709"/>
          <w:tab w:val="left" w:pos="1134"/>
        </w:tabs>
        <w:snapToGrid w:val="0"/>
        <w:spacing w:before="120" w:after="120"/>
        <w:rPr>
          <w:rFonts w:ascii="Calibri" w:eastAsia="Calibri" w:hAnsi="Calibri" w:cs="Calibri"/>
          <w:spacing w:val="-2"/>
          <w:sz w:val="24"/>
          <w:lang w:eastAsia="en-US"/>
        </w:rPr>
      </w:pPr>
      <w:r w:rsidRPr="00CD5BD4">
        <w:rPr>
          <w:rFonts w:ascii="Calibri" w:eastAsia="Calibri" w:hAnsi="Calibri" w:cs="Calibri"/>
          <w:spacing w:val="-2"/>
          <w:sz w:val="24"/>
          <w:lang w:eastAsia="en-US"/>
        </w:rPr>
        <w:tab/>
        <w:t>(b)</w:t>
      </w:r>
      <w:r w:rsidRPr="00CD5BD4">
        <w:rPr>
          <w:rFonts w:ascii="Calibri" w:eastAsia="Calibri" w:hAnsi="Calibri" w:cs="Calibri"/>
          <w:spacing w:val="-2"/>
          <w:sz w:val="24"/>
          <w:lang w:eastAsia="en-US"/>
        </w:rPr>
        <w:tab/>
        <w:t>Result-Based Management (RBM</w:t>
      </w:r>
      <w:proofErr w:type="gramStart"/>
      <w:r w:rsidRPr="00CD5BD4">
        <w:rPr>
          <w:rFonts w:ascii="Calibri" w:eastAsia="Calibri" w:hAnsi="Calibri" w:cs="Calibri"/>
          <w:spacing w:val="-2"/>
          <w:sz w:val="24"/>
          <w:lang w:eastAsia="en-US"/>
        </w:rPr>
        <w:t>)</w:t>
      </w:r>
      <w:r w:rsidR="00480393">
        <w:rPr>
          <w:rFonts w:ascii="Calibri" w:eastAsia="Calibri" w:hAnsi="Calibri" w:cs="Calibri"/>
          <w:spacing w:val="-2"/>
          <w:sz w:val="24"/>
          <w:lang w:eastAsia="en-US"/>
        </w:rPr>
        <w:t>;</w:t>
      </w:r>
      <w:proofErr w:type="gramEnd"/>
    </w:p>
    <w:p w14:paraId="20A3437D" w14:textId="547D350F" w:rsidR="00CD5BD4" w:rsidRPr="00CD5BD4" w:rsidRDefault="00CD5BD4" w:rsidP="00E619C8">
      <w:pPr>
        <w:keepNext/>
        <w:tabs>
          <w:tab w:val="left" w:pos="709"/>
          <w:tab w:val="left" w:pos="1134"/>
        </w:tabs>
        <w:spacing w:before="120" w:after="120"/>
        <w:rPr>
          <w:rFonts w:ascii="Calibri" w:eastAsia="Times New Roman" w:hAnsi="Calibri" w:cs="Calibri"/>
          <w:sz w:val="24"/>
          <w:lang w:val="en-GB" w:eastAsia="en-US"/>
        </w:rPr>
      </w:pPr>
      <w:r w:rsidRPr="00CD5BD4">
        <w:rPr>
          <w:rFonts w:ascii="Calibri" w:eastAsia="Times New Roman" w:hAnsi="Calibri" w:cs="Calibri"/>
          <w:sz w:val="24"/>
          <w:lang w:val="en-GB" w:eastAsia="en-US"/>
        </w:rPr>
        <w:tab/>
        <w:t>(c)</w:t>
      </w:r>
      <w:r w:rsidRPr="00CD5BD4">
        <w:rPr>
          <w:rFonts w:ascii="Calibri" w:eastAsia="Times New Roman" w:hAnsi="Calibri" w:cs="Calibri"/>
          <w:sz w:val="24"/>
          <w:lang w:val="en-GB" w:eastAsia="en-US"/>
        </w:rPr>
        <w:tab/>
        <w:t xml:space="preserve">Risk </w:t>
      </w:r>
      <w:proofErr w:type="gramStart"/>
      <w:r w:rsidRPr="00CD5BD4">
        <w:rPr>
          <w:rFonts w:ascii="Calibri" w:eastAsia="Times New Roman" w:hAnsi="Calibri" w:cs="Calibri"/>
          <w:sz w:val="24"/>
          <w:lang w:val="en-GB" w:eastAsia="en-US"/>
        </w:rPr>
        <w:t>Management</w:t>
      </w:r>
      <w:r w:rsidR="00480393">
        <w:rPr>
          <w:rFonts w:ascii="Calibri" w:eastAsia="Times New Roman" w:hAnsi="Calibri" w:cs="Calibri"/>
          <w:sz w:val="24"/>
          <w:lang w:val="en-GB" w:eastAsia="en-US"/>
        </w:rPr>
        <w:t>;</w:t>
      </w:r>
      <w:proofErr w:type="gramEnd"/>
    </w:p>
    <w:p w14:paraId="3260D2B3" w14:textId="62695318" w:rsidR="00CD5BD4" w:rsidRPr="00CD5BD4" w:rsidRDefault="00CD5BD4" w:rsidP="00E619C8">
      <w:pPr>
        <w:keepNext/>
        <w:tabs>
          <w:tab w:val="left" w:pos="709"/>
          <w:tab w:val="left" w:pos="1134"/>
        </w:tabs>
        <w:spacing w:before="120" w:after="120"/>
        <w:rPr>
          <w:rFonts w:ascii="Calibri" w:eastAsia="Times New Roman" w:hAnsi="Calibri" w:cs="Calibri"/>
          <w:sz w:val="24"/>
          <w:lang w:val="en-GB" w:eastAsia="en-US"/>
        </w:rPr>
      </w:pPr>
      <w:r w:rsidRPr="00CD5BD4">
        <w:rPr>
          <w:rFonts w:ascii="Calibri" w:eastAsia="Times New Roman" w:hAnsi="Calibri" w:cs="Calibri"/>
          <w:sz w:val="24"/>
          <w:lang w:val="en-GB" w:eastAsia="en-US"/>
        </w:rPr>
        <w:tab/>
        <w:t>(d)</w:t>
      </w:r>
      <w:r w:rsidRPr="00CD5BD4">
        <w:rPr>
          <w:rFonts w:ascii="Calibri" w:eastAsia="Times New Roman" w:hAnsi="Calibri" w:cs="Calibri"/>
          <w:sz w:val="24"/>
          <w:lang w:val="en-GB" w:eastAsia="en-US"/>
        </w:rPr>
        <w:tab/>
        <w:t xml:space="preserve">Control </w:t>
      </w:r>
      <w:proofErr w:type="gramStart"/>
      <w:r w:rsidRPr="00CD5BD4">
        <w:rPr>
          <w:rFonts w:ascii="Calibri" w:eastAsia="Times New Roman" w:hAnsi="Calibri" w:cs="Calibri"/>
          <w:sz w:val="24"/>
          <w:lang w:val="en-GB" w:eastAsia="en-US"/>
        </w:rPr>
        <w:t>Activities</w:t>
      </w:r>
      <w:r w:rsidR="00480393">
        <w:rPr>
          <w:rFonts w:ascii="Calibri" w:eastAsia="Times New Roman" w:hAnsi="Calibri" w:cs="Calibri"/>
          <w:sz w:val="24"/>
          <w:lang w:val="en-GB" w:eastAsia="en-US"/>
        </w:rPr>
        <w:t>;</w:t>
      </w:r>
      <w:proofErr w:type="gramEnd"/>
    </w:p>
    <w:p w14:paraId="477FFC86" w14:textId="7DA5A6F7" w:rsidR="00CD5BD4" w:rsidRPr="00CD5BD4" w:rsidRDefault="00CD5BD4" w:rsidP="00E619C8">
      <w:pPr>
        <w:keepNext/>
        <w:tabs>
          <w:tab w:val="left" w:pos="709"/>
          <w:tab w:val="left" w:pos="1134"/>
        </w:tabs>
        <w:spacing w:before="120" w:after="120"/>
        <w:rPr>
          <w:rFonts w:ascii="Calibri" w:eastAsia="Times New Roman" w:hAnsi="Calibri" w:cs="Calibri"/>
          <w:sz w:val="24"/>
          <w:lang w:val="en-GB" w:eastAsia="en-US"/>
        </w:rPr>
      </w:pPr>
      <w:r w:rsidRPr="00CD5BD4">
        <w:rPr>
          <w:rFonts w:ascii="Calibri" w:eastAsia="Times New Roman" w:hAnsi="Calibri" w:cs="Calibri"/>
          <w:sz w:val="24"/>
          <w:lang w:val="en-GB" w:eastAsia="en-US"/>
        </w:rPr>
        <w:tab/>
        <w:t>(e)</w:t>
      </w:r>
      <w:r w:rsidRPr="00CD5BD4">
        <w:rPr>
          <w:rFonts w:ascii="Calibri" w:eastAsia="Times New Roman" w:hAnsi="Calibri" w:cs="Calibri"/>
          <w:sz w:val="24"/>
          <w:lang w:val="en-GB" w:eastAsia="en-US"/>
        </w:rPr>
        <w:tab/>
      </w:r>
      <w:proofErr w:type="gramStart"/>
      <w:r w:rsidRPr="00CD5BD4">
        <w:rPr>
          <w:rFonts w:ascii="Calibri" w:eastAsia="Times New Roman" w:hAnsi="Calibri" w:cs="Calibri"/>
          <w:sz w:val="24"/>
          <w:lang w:val="en-GB" w:eastAsia="en-US"/>
        </w:rPr>
        <w:t>Information</w:t>
      </w:r>
      <w:r w:rsidR="00480393">
        <w:rPr>
          <w:rFonts w:ascii="Calibri" w:eastAsia="Times New Roman" w:hAnsi="Calibri" w:cs="Calibri"/>
          <w:sz w:val="24"/>
          <w:lang w:val="en-GB" w:eastAsia="en-US"/>
        </w:rPr>
        <w:t>;</w:t>
      </w:r>
      <w:proofErr w:type="gramEnd"/>
    </w:p>
    <w:p w14:paraId="14077A8F" w14:textId="57035D78" w:rsidR="00CD5BD4" w:rsidRPr="00CD5BD4" w:rsidRDefault="00CD5BD4" w:rsidP="00E619C8">
      <w:pPr>
        <w:keepNext/>
        <w:tabs>
          <w:tab w:val="left" w:pos="709"/>
          <w:tab w:val="left" w:pos="1134"/>
        </w:tabs>
        <w:spacing w:before="120" w:after="120"/>
        <w:rPr>
          <w:rFonts w:ascii="Calibri" w:eastAsia="Times New Roman" w:hAnsi="Calibri" w:cs="Calibri"/>
          <w:sz w:val="24"/>
          <w:lang w:val="en-GB" w:eastAsia="en-US"/>
        </w:rPr>
      </w:pPr>
      <w:r w:rsidRPr="00CD5BD4">
        <w:rPr>
          <w:rFonts w:ascii="Calibri" w:eastAsia="Times New Roman" w:hAnsi="Calibri" w:cs="Calibri"/>
          <w:sz w:val="24"/>
          <w:lang w:val="en-GB" w:eastAsia="en-US"/>
        </w:rPr>
        <w:tab/>
        <w:t>(f)</w:t>
      </w:r>
      <w:r w:rsidRPr="00CD5BD4">
        <w:rPr>
          <w:rFonts w:ascii="Calibri" w:eastAsia="Times New Roman" w:hAnsi="Calibri" w:cs="Calibri"/>
          <w:sz w:val="24"/>
          <w:lang w:val="en-GB" w:eastAsia="en-US"/>
        </w:rPr>
        <w:tab/>
      </w:r>
      <w:proofErr w:type="gramStart"/>
      <w:r w:rsidRPr="00CD5BD4">
        <w:rPr>
          <w:rFonts w:ascii="Calibri" w:eastAsia="Times New Roman" w:hAnsi="Calibri" w:cs="Calibri"/>
          <w:sz w:val="24"/>
          <w:lang w:val="en-GB" w:eastAsia="en-US"/>
        </w:rPr>
        <w:t>Communication</w:t>
      </w:r>
      <w:r w:rsidR="00480393">
        <w:rPr>
          <w:rFonts w:ascii="Calibri" w:eastAsia="Times New Roman" w:hAnsi="Calibri" w:cs="Calibri"/>
          <w:sz w:val="24"/>
          <w:lang w:val="en-GB" w:eastAsia="en-US"/>
        </w:rPr>
        <w:t>;</w:t>
      </w:r>
      <w:proofErr w:type="gramEnd"/>
    </w:p>
    <w:p w14:paraId="7DF581E2" w14:textId="3725BBA8" w:rsidR="00CD5BD4" w:rsidRPr="00CD5BD4" w:rsidRDefault="00CD5BD4" w:rsidP="00E619C8">
      <w:pPr>
        <w:keepNext/>
        <w:tabs>
          <w:tab w:val="left" w:pos="709"/>
          <w:tab w:val="left" w:pos="1134"/>
        </w:tabs>
        <w:spacing w:before="120" w:after="120"/>
        <w:rPr>
          <w:rFonts w:ascii="Calibri" w:eastAsia="Times New Roman" w:hAnsi="Calibri" w:cs="Calibri"/>
          <w:sz w:val="24"/>
          <w:lang w:val="en-GB" w:eastAsia="en-US"/>
        </w:rPr>
      </w:pPr>
      <w:r w:rsidRPr="00CD5BD4">
        <w:rPr>
          <w:rFonts w:ascii="Calibri" w:eastAsia="Times New Roman" w:hAnsi="Calibri" w:cs="Calibri"/>
          <w:sz w:val="24"/>
          <w:lang w:val="en-GB" w:eastAsia="en-US"/>
        </w:rPr>
        <w:tab/>
        <w:t>(g)</w:t>
      </w:r>
      <w:r w:rsidRPr="00CD5BD4">
        <w:rPr>
          <w:rFonts w:ascii="Calibri" w:eastAsia="Times New Roman" w:hAnsi="Calibri" w:cs="Calibri"/>
          <w:sz w:val="24"/>
          <w:lang w:val="en-GB" w:eastAsia="en-US"/>
        </w:rPr>
        <w:tab/>
        <w:t xml:space="preserve">Performance </w:t>
      </w:r>
      <w:proofErr w:type="gramStart"/>
      <w:r w:rsidRPr="00CD5BD4">
        <w:rPr>
          <w:rFonts w:ascii="Calibri" w:eastAsia="Times New Roman" w:hAnsi="Calibri" w:cs="Calibri"/>
          <w:sz w:val="24"/>
          <w:lang w:val="en-GB" w:eastAsia="en-US"/>
        </w:rPr>
        <w:t>Management</w:t>
      </w:r>
      <w:r w:rsidR="00480393">
        <w:rPr>
          <w:rFonts w:ascii="Calibri" w:eastAsia="Times New Roman" w:hAnsi="Calibri" w:cs="Calibri"/>
          <w:sz w:val="24"/>
          <w:lang w:val="en-GB" w:eastAsia="en-US"/>
        </w:rPr>
        <w:t>;</w:t>
      </w:r>
      <w:proofErr w:type="gramEnd"/>
    </w:p>
    <w:p w14:paraId="4E84B54F" w14:textId="3D9CE78F" w:rsidR="00CD5BD4" w:rsidRPr="00CD5BD4" w:rsidRDefault="00CD5BD4" w:rsidP="00E619C8">
      <w:pPr>
        <w:keepNext/>
        <w:tabs>
          <w:tab w:val="left" w:pos="709"/>
          <w:tab w:val="left" w:pos="1134"/>
        </w:tabs>
        <w:spacing w:before="120" w:after="120"/>
        <w:rPr>
          <w:rFonts w:ascii="Calibri" w:eastAsia="Times New Roman" w:hAnsi="Calibri" w:cs="Calibri"/>
          <w:sz w:val="24"/>
          <w:lang w:val="en-GB" w:eastAsia="en-US"/>
        </w:rPr>
      </w:pPr>
      <w:r w:rsidRPr="00CD5BD4">
        <w:rPr>
          <w:rFonts w:ascii="Calibri" w:eastAsia="Times New Roman" w:hAnsi="Calibri" w:cs="Calibri"/>
          <w:sz w:val="24"/>
          <w:lang w:val="en-GB" w:eastAsia="en-US"/>
        </w:rPr>
        <w:tab/>
        <w:t>(h)</w:t>
      </w:r>
      <w:r w:rsidRPr="00CD5BD4">
        <w:rPr>
          <w:rFonts w:ascii="Calibri" w:eastAsia="Times New Roman" w:hAnsi="Calibri" w:cs="Calibri"/>
          <w:sz w:val="24"/>
          <w:lang w:val="en-GB" w:eastAsia="en-US"/>
        </w:rPr>
        <w:tab/>
        <w:t xml:space="preserve">Monitoring &amp; </w:t>
      </w:r>
      <w:proofErr w:type="gramStart"/>
      <w:r w:rsidRPr="00CD5BD4">
        <w:rPr>
          <w:rFonts w:ascii="Calibri" w:eastAsia="Times New Roman" w:hAnsi="Calibri" w:cs="Calibri"/>
          <w:sz w:val="24"/>
          <w:lang w:val="en-GB" w:eastAsia="en-US"/>
        </w:rPr>
        <w:t>Evaluation</w:t>
      </w:r>
      <w:r w:rsidR="00480393">
        <w:rPr>
          <w:rFonts w:ascii="Calibri" w:eastAsia="Times New Roman" w:hAnsi="Calibri" w:cs="Calibri"/>
          <w:sz w:val="24"/>
          <w:lang w:val="en-GB" w:eastAsia="en-US"/>
        </w:rPr>
        <w:t>;</w:t>
      </w:r>
      <w:proofErr w:type="gramEnd"/>
    </w:p>
    <w:p w14:paraId="542C7B6E" w14:textId="476C3662" w:rsidR="00CD5BD4" w:rsidRPr="00CD5BD4" w:rsidRDefault="00CD5BD4" w:rsidP="00CD5BD4">
      <w:pPr>
        <w:keepNext/>
        <w:tabs>
          <w:tab w:val="left" w:pos="709"/>
          <w:tab w:val="left" w:pos="1134"/>
        </w:tabs>
        <w:spacing w:before="120" w:after="120" w:line="259" w:lineRule="auto"/>
        <w:rPr>
          <w:rFonts w:ascii="Calibri" w:eastAsia="Times New Roman" w:hAnsi="Calibri" w:cs="Calibri"/>
          <w:sz w:val="24"/>
          <w:lang w:val="en-GB" w:eastAsia="en-US"/>
        </w:rPr>
      </w:pPr>
      <w:r w:rsidRPr="00CD5BD4">
        <w:rPr>
          <w:rFonts w:ascii="Calibri" w:eastAsia="Times New Roman" w:hAnsi="Calibri" w:cs="Calibri"/>
          <w:sz w:val="24"/>
          <w:lang w:val="en-GB" w:eastAsia="en-US"/>
        </w:rPr>
        <w:tab/>
        <w:t>(</w:t>
      </w:r>
      <w:proofErr w:type="spellStart"/>
      <w:r w:rsidRPr="00CD5BD4">
        <w:rPr>
          <w:rFonts w:ascii="Calibri" w:eastAsia="Times New Roman" w:hAnsi="Calibri" w:cs="Calibri"/>
          <w:sz w:val="24"/>
          <w:lang w:val="en-GB" w:eastAsia="en-US"/>
        </w:rPr>
        <w:t>i</w:t>
      </w:r>
      <w:proofErr w:type="spellEnd"/>
      <w:r w:rsidRPr="00CD5BD4">
        <w:rPr>
          <w:rFonts w:ascii="Calibri" w:eastAsia="Times New Roman" w:hAnsi="Calibri" w:cs="Calibri"/>
          <w:sz w:val="24"/>
          <w:lang w:val="en-GB" w:eastAsia="en-US"/>
        </w:rPr>
        <w:t>)</w:t>
      </w:r>
      <w:r w:rsidRPr="00CD5BD4">
        <w:rPr>
          <w:rFonts w:ascii="Calibri" w:eastAsia="Times New Roman" w:hAnsi="Calibri" w:cs="Calibri"/>
          <w:sz w:val="24"/>
          <w:lang w:val="en-GB" w:eastAsia="en-US"/>
        </w:rPr>
        <w:tab/>
        <w:t>Trusted Places</w:t>
      </w:r>
      <w:r w:rsidR="00480393">
        <w:rPr>
          <w:rFonts w:ascii="Calibri" w:eastAsia="Times New Roman" w:hAnsi="Calibri" w:cs="Calibri"/>
          <w:sz w:val="24"/>
          <w:lang w:val="en-GB" w:eastAsia="en-US"/>
        </w:rPr>
        <w:t>.</w:t>
      </w:r>
    </w:p>
    <w:p w14:paraId="4987FBBC" w14:textId="775B3517" w:rsidR="00CD5BD4" w:rsidRPr="00CD5BD4" w:rsidRDefault="00CD5BD4" w:rsidP="00CD5BD4">
      <w:pPr>
        <w:keepNext/>
        <w:spacing w:before="120" w:after="120" w:line="259" w:lineRule="auto"/>
        <w:rPr>
          <w:rFonts w:ascii="Calibri" w:eastAsia="Times New Roman" w:hAnsi="Calibri" w:cs="Calibri"/>
          <w:sz w:val="24"/>
          <w:lang w:val="en-GB" w:eastAsia="en-US"/>
        </w:rPr>
      </w:pPr>
      <w:r w:rsidRPr="00CD5BD4">
        <w:rPr>
          <w:rFonts w:ascii="Calibri" w:eastAsia="Times New Roman" w:hAnsi="Calibri" w:cs="Calibri"/>
          <w:sz w:val="24"/>
          <w:lang w:val="en-GB" w:eastAsia="en-US"/>
        </w:rPr>
        <w:t>2.6</w:t>
      </w:r>
      <w:r w:rsidRPr="00CD5BD4">
        <w:rPr>
          <w:rFonts w:ascii="Calibri" w:eastAsia="Times New Roman" w:hAnsi="Calibri" w:cs="Calibri"/>
          <w:sz w:val="24"/>
          <w:lang w:val="en-GB" w:eastAsia="en-US"/>
        </w:rPr>
        <w:tab/>
        <w:t>The draft document has been submitted to the External Auditor and IMAC for comments and suggestions. Once received, they will be taken into consideration and integrated to the document to be presented to Council 2022.</w:t>
      </w:r>
    </w:p>
    <w:p w14:paraId="00D12DCC" w14:textId="000523C2" w:rsidR="00CD5BD4" w:rsidRPr="00CD5BD4" w:rsidRDefault="00CD5BD4" w:rsidP="00CD5BD4">
      <w:pPr>
        <w:keepNext/>
        <w:spacing w:before="120" w:after="120" w:line="259" w:lineRule="auto"/>
        <w:rPr>
          <w:rFonts w:ascii="Calibri" w:eastAsia="Calibri" w:hAnsi="Calibri" w:cs="Calibri"/>
          <w:sz w:val="24"/>
          <w:lang w:eastAsia="en-US"/>
        </w:rPr>
      </w:pPr>
      <w:r w:rsidRPr="00CD5BD4">
        <w:rPr>
          <w:rFonts w:ascii="Calibri" w:eastAsia="Times New Roman" w:hAnsi="Calibri" w:cs="Calibri"/>
          <w:sz w:val="24"/>
          <w:lang w:val="en-GB" w:eastAsia="en-US"/>
        </w:rPr>
        <w:t>2.7</w:t>
      </w:r>
      <w:r w:rsidRPr="00CD5BD4">
        <w:rPr>
          <w:rFonts w:ascii="Calibri" w:eastAsia="Times New Roman" w:hAnsi="Calibri" w:cs="Calibri"/>
          <w:sz w:val="24"/>
          <w:lang w:val="en-GB" w:eastAsia="en-US"/>
        </w:rPr>
        <w:tab/>
        <w:t xml:space="preserve">Following queries from </w:t>
      </w:r>
      <w:r w:rsidR="00480393">
        <w:rPr>
          <w:rFonts w:ascii="Calibri" w:eastAsia="Times New Roman" w:hAnsi="Calibri" w:cs="Calibri"/>
          <w:sz w:val="24"/>
          <w:lang w:val="en-GB" w:eastAsia="en-US"/>
        </w:rPr>
        <w:t xml:space="preserve">two delegates, </w:t>
      </w:r>
      <w:r w:rsidRPr="00CD5BD4">
        <w:rPr>
          <w:rFonts w:ascii="Calibri" w:eastAsia="Times New Roman" w:hAnsi="Calibri" w:cs="Calibri"/>
          <w:sz w:val="24"/>
          <w:lang w:val="en-GB" w:eastAsia="en-US"/>
        </w:rPr>
        <w:t>the secretariat clarified that a</w:t>
      </w:r>
      <w:proofErr w:type="spellStart"/>
      <w:r w:rsidRPr="00CD5BD4">
        <w:rPr>
          <w:rFonts w:ascii="Calibri" w:eastAsia="Calibri" w:hAnsi="Calibri" w:cs="Calibri"/>
          <w:sz w:val="24"/>
          <w:lang w:eastAsia="en-US"/>
        </w:rPr>
        <w:t>t</w:t>
      </w:r>
      <w:proofErr w:type="spellEnd"/>
      <w:r w:rsidRPr="00CD5BD4">
        <w:rPr>
          <w:rFonts w:ascii="Calibri" w:eastAsia="Calibri" w:hAnsi="Calibri" w:cs="Calibri"/>
          <w:sz w:val="24"/>
          <w:lang w:eastAsia="en-US"/>
        </w:rPr>
        <w:t xml:space="preserve"> this stage this document is being presented for information only. In addition to the comments from IMAC and </w:t>
      </w:r>
      <w:r w:rsidR="00480393">
        <w:rPr>
          <w:rFonts w:ascii="Calibri" w:eastAsia="Calibri" w:hAnsi="Calibri" w:cs="Calibri"/>
          <w:sz w:val="24"/>
          <w:lang w:eastAsia="en-US"/>
        </w:rPr>
        <w:t xml:space="preserve">the </w:t>
      </w:r>
      <w:r w:rsidRPr="00CD5BD4">
        <w:rPr>
          <w:rFonts w:ascii="Calibri" w:eastAsia="Calibri" w:hAnsi="Calibri" w:cs="Calibri"/>
          <w:sz w:val="24"/>
          <w:lang w:eastAsia="en-US"/>
        </w:rPr>
        <w:t xml:space="preserve">External Auditor that are being awaited, the comments and proposals </w:t>
      </w:r>
      <w:r w:rsidR="00480393">
        <w:rPr>
          <w:rFonts w:ascii="Calibri" w:eastAsia="Calibri" w:hAnsi="Calibri" w:cs="Calibri"/>
          <w:sz w:val="24"/>
          <w:lang w:eastAsia="en-US"/>
        </w:rPr>
        <w:t>from</w:t>
      </w:r>
      <w:r w:rsidRPr="00CD5BD4">
        <w:rPr>
          <w:rFonts w:ascii="Calibri" w:eastAsia="Calibri" w:hAnsi="Calibri" w:cs="Calibri"/>
          <w:sz w:val="24"/>
          <w:lang w:eastAsia="en-US"/>
        </w:rPr>
        <w:t xml:space="preserve"> members are also welcome and will be </w:t>
      </w:r>
      <w:proofErr w:type="gramStart"/>
      <w:r w:rsidRPr="00CD5BD4">
        <w:rPr>
          <w:rFonts w:ascii="Calibri" w:eastAsia="Calibri" w:hAnsi="Calibri" w:cs="Calibri"/>
          <w:sz w:val="24"/>
          <w:lang w:eastAsia="en-US"/>
        </w:rPr>
        <w:t>taken into account</w:t>
      </w:r>
      <w:proofErr w:type="gramEnd"/>
      <w:r w:rsidRPr="00CD5BD4">
        <w:rPr>
          <w:rFonts w:ascii="Calibri" w:eastAsia="Calibri" w:hAnsi="Calibri" w:cs="Calibri"/>
          <w:sz w:val="24"/>
          <w:lang w:eastAsia="en-US"/>
        </w:rPr>
        <w:t xml:space="preserve"> in updating the document to be presented </w:t>
      </w:r>
      <w:r w:rsidR="00480393">
        <w:rPr>
          <w:rFonts w:ascii="Calibri" w:eastAsia="Calibri" w:hAnsi="Calibri" w:cs="Calibri"/>
          <w:sz w:val="24"/>
          <w:lang w:eastAsia="en-US"/>
        </w:rPr>
        <w:t>to</w:t>
      </w:r>
      <w:r w:rsidRPr="00CD5BD4">
        <w:rPr>
          <w:rFonts w:ascii="Calibri" w:eastAsia="Calibri" w:hAnsi="Calibri" w:cs="Calibri"/>
          <w:sz w:val="24"/>
          <w:lang w:eastAsia="en-US"/>
        </w:rPr>
        <w:t xml:space="preserve"> the next CWG-FHR session in January 2022. The above-mentioned proposals will be useful </w:t>
      </w:r>
      <w:proofErr w:type="gramStart"/>
      <w:r w:rsidRPr="00CD5BD4">
        <w:rPr>
          <w:rFonts w:ascii="Calibri" w:eastAsia="Calibri" w:hAnsi="Calibri" w:cs="Calibri"/>
          <w:sz w:val="24"/>
          <w:lang w:eastAsia="en-US"/>
        </w:rPr>
        <w:t>in order to</w:t>
      </w:r>
      <w:proofErr w:type="gramEnd"/>
      <w:r w:rsidRPr="00CD5BD4">
        <w:rPr>
          <w:rFonts w:ascii="Calibri" w:eastAsia="Calibri" w:hAnsi="Calibri" w:cs="Calibri"/>
          <w:sz w:val="24"/>
          <w:lang w:eastAsia="en-US"/>
        </w:rPr>
        <w:t xml:space="preserve"> identify where the framework will be located, who will monitor, evaluate, and prepare the report to Council and whether the report will be made annually or every 4 years. Existing resources are being utilized in the current framework. The possibility of adding the mandate to IMAC’s current TOR</w:t>
      </w:r>
      <w:r w:rsidR="00480393">
        <w:rPr>
          <w:rFonts w:ascii="Calibri" w:eastAsia="Calibri" w:hAnsi="Calibri" w:cs="Calibri"/>
          <w:sz w:val="24"/>
          <w:lang w:eastAsia="en-US"/>
        </w:rPr>
        <w:t xml:space="preserve">s </w:t>
      </w:r>
      <w:r w:rsidRPr="00CD5BD4">
        <w:rPr>
          <w:rFonts w:ascii="Calibri" w:eastAsia="Calibri" w:hAnsi="Calibri" w:cs="Calibri"/>
          <w:sz w:val="24"/>
          <w:lang w:eastAsia="en-US"/>
        </w:rPr>
        <w:t>may also be considered. On the other hand, should the proposal to create a new Ombudsman post be approved, this will have financial implications.</w:t>
      </w:r>
    </w:p>
    <w:p w14:paraId="73D69E0F" w14:textId="5F9DACD3" w:rsidR="00CD5BD4" w:rsidRPr="00CD5BD4" w:rsidRDefault="00CD5BD4" w:rsidP="00CD5BD4">
      <w:pPr>
        <w:keepNext/>
        <w:spacing w:before="120" w:after="120" w:line="259" w:lineRule="auto"/>
        <w:rPr>
          <w:rFonts w:ascii="Calibri" w:eastAsia="Calibri" w:hAnsi="Calibri" w:cs="Calibri"/>
          <w:sz w:val="24"/>
          <w:lang w:eastAsia="en-US"/>
        </w:rPr>
      </w:pPr>
      <w:r w:rsidRPr="00CD5BD4">
        <w:rPr>
          <w:rFonts w:ascii="Calibri" w:eastAsia="Calibri" w:hAnsi="Calibri" w:cs="Calibri"/>
          <w:sz w:val="24"/>
          <w:lang w:eastAsia="en-US"/>
        </w:rPr>
        <w:t>2.8</w:t>
      </w:r>
      <w:r w:rsidRPr="00CD5BD4">
        <w:rPr>
          <w:rFonts w:ascii="Calibri" w:eastAsia="Calibri" w:hAnsi="Calibri" w:cs="Calibri"/>
          <w:sz w:val="24"/>
          <w:lang w:eastAsia="en-US"/>
        </w:rPr>
        <w:tab/>
        <w:t xml:space="preserve">One </w:t>
      </w:r>
      <w:r>
        <w:rPr>
          <w:rFonts w:ascii="Calibri" w:eastAsia="Calibri" w:hAnsi="Calibri" w:cs="Calibri"/>
          <w:sz w:val="24"/>
          <w:lang w:eastAsia="en-US"/>
        </w:rPr>
        <w:t>delegate</w:t>
      </w:r>
      <w:r w:rsidRPr="00CD5BD4">
        <w:rPr>
          <w:rFonts w:ascii="Calibri" w:eastAsia="Calibri" w:hAnsi="Calibri" w:cs="Calibri"/>
          <w:sz w:val="24"/>
          <w:lang w:eastAsia="en-US"/>
        </w:rPr>
        <w:t xml:space="preserve"> highlighted the importance of separation of powers</w:t>
      </w:r>
      <w:r>
        <w:rPr>
          <w:rFonts w:ascii="Calibri" w:eastAsia="Calibri" w:hAnsi="Calibri" w:cs="Calibri"/>
          <w:sz w:val="24"/>
          <w:lang w:eastAsia="en-US"/>
        </w:rPr>
        <w:t>,</w:t>
      </w:r>
      <w:r w:rsidRPr="00CD5BD4">
        <w:rPr>
          <w:rFonts w:ascii="Calibri" w:eastAsia="Calibri" w:hAnsi="Calibri" w:cs="Calibri"/>
          <w:sz w:val="24"/>
          <w:lang w:eastAsia="en-US"/>
        </w:rPr>
        <w:t xml:space="preserve"> </w:t>
      </w:r>
      <w:proofErr w:type="spellStart"/>
      <w:r w:rsidRPr="00CD5BD4">
        <w:rPr>
          <w:rFonts w:ascii="Calibri" w:eastAsia="Calibri" w:hAnsi="Calibri" w:cs="Calibri"/>
          <w:sz w:val="24"/>
          <w:lang w:eastAsia="en-US"/>
        </w:rPr>
        <w:t>i</w:t>
      </w:r>
      <w:proofErr w:type="spellEnd"/>
      <w:r w:rsidRPr="00CD5BD4">
        <w:rPr>
          <w:rFonts w:ascii="Calibri" w:eastAsia="Calibri" w:hAnsi="Calibri" w:cs="Calibri"/>
          <w:sz w:val="24"/>
          <w:lang w:eastAsia="en-US"/>
        </w:rPr>
        <w:t>.</w:t>
      </w:r>
      <w:r>
        <w:rPr>
          <w:rFonts w:ascii="Calibri" w:eastAsia="Calibri" w:hAnsi="Calibri" w:cs="Calibri"/>
          <w:sz w:val="24"/>
          <w:lang w:eastAsia="en-US"/>
        </w:rPr>
        <w:t xml:space="preserve"> </w:t>
      </w:r>
      <w:r w:rsidRPr="00CD5BD4">
        <w:rPr>
          <w:rFonts w:ascii="Calibri" w:eastAsia="Calibri" w:hAnsi="Calibri" w:cs="Calibri"/>
          <w:sz w:val="24"/>
          <w:lang w:eastAsia="en-US"/>
        </w:rPr>
        <w:t>e.</w:t>
      </w:r>
      <w:r w:rsidR="00480393">
        <w:rPr>
          <w:rFonts w:ascii="Calibri" w:eastAsia="Calibri" w:hAnsi="Calibri" w:cs="Calibri"/>
          <w:sz w:val="24"/>
          <w:lang w:eastAsia="en-US"/>
        </w:rPr>
        <w:t>,</w:t>
      </w:r>
      <w:r w:rsidRPr="00CD5BD4">
        <w:rPr>
          <w:rFonts w:ascii="Calibri" w:eastAsia="Calibri" w:hAnsi="Calibri" w:cs="Calibri"/>
          <w:sz w:val="24"/>
          <w:lang w:eastAsia="en-US"/>
        </w:rPr>
        <w:t xml:space="preserve"> the accountability issue should be dealt with by members and not self-accountability on the part of the Union.</w:t>
      </w:r>
    </w:p>
    <w:p w14:paraId="0B7A9313" w14:textId="1D1001B3" w:rsidR="00CD5BD4" w:rsidRPr="00CD5BD4" w:rsidRDefault="00CD5BD4" w:rsidP="00D97342">
      <w:pPr>
        <w:keepNext/>
        <w:rPr>
          <w:rFonts w:ascii="Calibri" w:eastAsia="Calibri" w:hAnsi="Calibri" w:cs="Calibri"/>
          <w:sz w:val="24"/>
          <w:lang w:eastAsia="en-US"/>
        </w:rPr>
      </w:pPr>
      <w:bookmarkStart w:id="8" w:name="_Hlk83041255"/>
      <w:r w:rsidRPr="00CD5BD4">
        <w:rPr>
          <w:rFonts w:ascii="Calibri" w:eastAsia="Calibri" w:hAnsi="Calibri" w:cs="Calibri"/>
          <w:sz w:val="24"/>
          <w:lang w:eastAsia="en-US"/>
        </w:rPr>
        <w:t>2.9</w:t>
      </w:r>
      <w:r w:rsidRPr="00CD5BD4">
        <w:rPr>
          <w:rFonts w:ascii="Calibri" w:eastAsia="Calibri" w:hAnsi="Calibri" w:cs="Calibri"/>
          <w:sz w:val="24"/>
          <w:lang w:eastAsia="en-US"/>
        </w:rPr>
        <w:tab/>
        <w:t xml:space="preserve">The Chairperson encouraged all </w:t>
      </w:r>
      <w:r>
        <w:rPr>
          <w:rFonts w:ascii="Calibri" w:eastAsia="Calibri" w:hAnsi="Calibri" w:cs="Calibri"/>
          <w:sz w:val="24"/>
          <w:lang w:eastAsia="en-US"/>
        </w:rPr>
        <w:t>delegates</w:t>
      </w:r>
      <w:r w:rsidRPr="00CD5BD4">
        <w:rPr>
          <w:rFonts w:ascii="Calibri" w:eastAsia="Calibri" w:hAnsi="Calibri" w:cs="Calibri"/>
          <w:sz w:val="24"/>
          <w:lang w:eastAsia="en-US"/>
        </w:rPr>
        <w:t xml:space="preserve"> to submit contributions to the draft new accountability framework prior to the next CWG-FHR session in January 2022 with the aim of endorsing the new framework to Council 2022 for consideration.</w:t>
      </w:r>
    </w:p>
    <w:bookmarkEnd w:id="7"/>
    <w:bookmarkEnd w:id="8"/>
    <w:p w14:paraId="5B2720AA" w14:textId="3A6DC6D5" w:rsidR="00DF19B8" w:rsidRPr="00CD5BD4" w:rsidRDefault="00DF19B8" w:rsidP="00D97342">
      <w:pPr>
        <w:tabs>
          <w:tab w:val="left" w:pos="709"/>
        </w:tabs>
        <w:overflowPunct w:val="0"/>
        <w:autoSpaceDE w:val="0"/>
        <w:autoSpaceDN w:val="0"/>
        <w:adjustRightInd w:val="0"/>
        <w:snapToGrid w:val="0"/>
        <w:textAlignment w:val="baseline"/>
        <w:rPr>
          <w:rFonts w:asciiTheme="minorHAnsi" w:hAnsiTheme="minorHAnsi" w:cstheme="minorHAnsi"/>
          <w:sz w:val="24"/>
        </w:rPr>
      </w:pPr>
    </w:p>
    <w:p w14:paraId="604A5104" w14:textId="56D7D579" w:rsidR="006F6188" w:rsidRPr="006F6188" w:rsidRDefault="006F6188" w:rsidP="00D97342">
      <w:pPr>
        <w:rPr>
          <w:rFonts w:ascii="Calibri" w:hAnsi="Calibri" w:cs="Calibri"/>
          <w:b/>
          <w:bCs/>
          <w:sz w:val="24"/>
        </w:rPr>
      </w:pPr>
      <w:r w:rsidRPr="006F6188">
        <w:rPr>
          <w:rFonts w:ascii="Calibri" w:hAnsi="Calibri" w:cs="Calibri"/>
          <w:b/>
          <w:bCs/>
          <w:sz w:val="24"/>
        </w:rPr>
        <w:t>3</w:t>
      </w:r>
      <w:r w:rsidRPr="006F6188">
        <w:rPr>
          <w:rFonts w:ascii="Calibri" w:hAnsi="Calibri" w:cs="Calibri"/>
          <w:b/>
          <w:bCs/>
          <w:sz w:val="24"/>
        </w:rPr>
        <w:tab/>
        <w:t xml:space="preserve">Forensic audit report (Document </w:t>
      </w:r>
      <w:hyperlink r:id="rId15" w:history="1">
        <w:r w:rsidRPr="006F6188">
          <w:rPr>
            <w:rStyle w:val="Hyperlink"/>
            <w:rFonts w:ascii="Calibri" w:hAnsi="Calibri" w:cs="Calibri"/>
            <w:b/>
            <w:bCs/>
            <w:sz w:val="24"/>
          </w:rPr>
          <w:t>CWG-FHR-14/9</w:t>
        </w:r>
      </w:hyperlink>
      <w:r w:rsidRPr="006F6188">
        <w:rPr>
          <w:rStyle w:val="Hyperlink"/>
          <w:rFonts w:ascii="Calibri" w:hAnsi="Calibri" w:cs="Calibri"/>
          <w:b/>
          <w:bCs/>
          <w:color w:val="auto"/>
          <w:sz w:val="24"/>
        </w:rPr>
        <w:t>)</w:t>
      </w:r>
      <w:r w:rsidRPr="006F6188">
        <w:rPr>
          <w:rStyle w:val="Hyperlink"/>
          <w:rFonts w:ascii="Calibri" w:hAnsi="Calibri" w:cs="Calibri"/>
          <w:b/>
          <w:bCs/>
          <w:color w:val="auto"/>
          <w:sz w:val="24"/>
          <w:u w:val="none"/>
        </w:rPr>
        <w:t xml:space="preserve"> and </w:t>
      </w:r>
      <w:r w:rsidRPr="006F6188">
        <w:rPr>
          <w:rFonts w:ascii="Calibri" w:hAnsi="Calibri" w:cs="Calibri"/>
          <w:b/>
          <w:bCs/>
          <w:sz w:val="24"/>
          <w:lang w:eastAsia="en-GB"/>
        </w:rPr>
        <w:t xml:space="preserve">ITU forensic review - Final report </w:t>
      </w:r>
      <w:r>
        <w:rPr>
          <w:rFonts w:ascii="Calibri" w:hAnsi="Calibri" w:cs="Calibri"/>
          <w:b/>
          <w:bCs/>
          <w:sz w:val="24"/>
          <w:lang w:eastAsia="en-GB"/>
        </w:rPr>
        <w:tab/>
      </w:r>
      <w:r w:rsidRPr="006F6188">
        <w:rPr>
          <w:rFonts w:ascii="Calibri" w:hAnsi="Calibri" w:cs="Calibri"/>
          <w:b/>
          <w:bCs/>
          <w:sz w:val="24"/>
          <w:lang w:eastAsia="en-GB"/>
        </w:rPr>
        <w:t xml:space="preserve">on the </w:t>
      </w:r>
      <w:r w:rsidRPr="006F6188">
        <w:rPr>
          <w:rFonts w:ascii="Calibri" w:hAnsi="Calibri" w:cs="Calibri"/>
          <w:b/>
          <w:bCs/>
          <w:sz w:val="24"/>
          <w:lang w:eastAsia="en-GB"/>
        </w:rPr>
        <w:tab/>
        <w:t xml:space="preserve">initial examination (Document </w:t>
      </w:r>
      <w:hyperlink r:id="rId16" w:history="1">
        <w:r w:rsidRPr="006F6188">
          <w:rPr>
            <w:rStyle w:val="Hyperlink"/>
            <w:rFonts w:ascii="Calibri" w:hAnsi="Calibri" w:cs="Calibri"/>
            <w:b/>
            <w:bCs/>
            <w:sz w:val="24"/>
          </w:rPr>
          <w:t>CWG-FHR-14/11</w:t>
        </w:r>
      </w:hyperlink>
      <w:r w:rsidRPr="006F6188">
        <w:rPr>
          <w:rStyle w:val="Hyperlink"/>
          <w:rFonts w:ascii="Calibri" w:hAnsi="Calibri" w:cs="Calibri"/>
          <w:b/>
          <w:bCs/>
          <w:sz w:val="24"/>
        </w:rPr>
        <w:t>)</w:t>
      </w:r>
    </w:p>
    <w:p w14:paraId="2071A429" w14:textId="180B097F" w:rsidR="006F6188" w:rsidRDefault="006F6188" w:rsidP="00D97342">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46719C1C" w14:textId="4DCF2050" w:rsidR="008E591D" w:rsidRPr="00E76F61" w:rsidRDefault="00723164" w:rsidP="008E591D">
      <w:pPr>
        <w:rPr>
          <w:rFonts w:ascii="Calibri" w:eastAsia="Calibri" w:hAnsi="Calibri" w:cs="Calibri"/>
          <w:color w:val="000000"/>
          <w:sz w:val="24"/>
          <w:lang w:val="en-GB" w:eastAsia="en-US"/>
        </w:rPr>
      </w:pPr>
      <w:r w:rsidRPr="00E76F61">
        <w:rPr>
          <w:rFonts w:asciiTheme="minorHAnsi" w:hAnsiTheme="minorHAnsi" w:cstheme="minorHAnsi"/>
          <w:sz w:val="24"/>
        </w:rPr>
        <w:t>3.1</w:t>
      </w:r>
      <w:r w:rsidRPr="00E76F61">
        <w:rPr>
          <w:rFonts w:asciiTheme="minorHAnsi" w:hAnsiTheme="minorHAnsi" w:cstheme="minorHAnsi"/>
          <w:sz w:val="24"/>
        </w:rPr>
        <w:tab/>
      </w:r>
      <w:r w:rsidR="008E591D" w:rsidRPr="00E76F61">
        <w:rPr>
          <w:rFonts w:ascii="Calibri" w:eastAsia="Calibri" w:hAnsi="Calibri" w:cs="Calibri"/>
          <w:color w:val="000000"/>
          <w:sz w:val="24"/>
          <w:lang w:val="en-GB" w:eastAsia="en-US"/>
        </w:rPr>
        <w:t xml:space="preserve">Following the oral presentation made by a representative of the consultant PricewaterhouseCoopers (PwC), the Chairperson opened the floor for questions. Delegates commended the valuable report of the consultant and one delegate expressed confirmation that the report fulfilled the expectations reflected in Council Decision 613. Questions raised by delegates concerned the late submission of the document, the lack of a full glossary of abbreviations for non-English speakers, and the link to the recovery of the assets defrauded in the Asia </w:t>
      </w:r>
      <w:r w:rsidR="005421E6" w:rsidRPr="00E76F61">
        <w:rPr>
          <w:rFonts w:ascii="Calibri" w:eastAsia="Calibri" w:hAnsi="Calibri" w:cs="Calibri"/>
          <w:color w:val="000000"/>
          <w:sz w:val="24"/>
          <w:lang w:val="en-GB" w:eastAsia="en-US"/>
        </w:rPr>
        <w:t>P</w:t>
      </w:r>
      <w:r w:rsidR="008E591D" w:rsidRPr="00E76F61">
        <w:rPr>
          <w:rFonts w:ascii="Calibri" w:eastAsia="Calibri" w:hAnsi="Calibri" w:cs="Calibri"/>
          <w:color w:val="000000"/>
          <w:sz w:val="24"/>
          <w:lang w:val="en-GB" w:eastAsia="en-US"/>
        </w:rPr>
        <w:t xml:space="preserve">acific </w:t>
      </w:r>
      <w:r w:rsidR="005421E6" w:rsidRPr="00E76F61">
        <w:rPr>
          <w:rFonts w:ascii="Calibri" w:eastAsia="Calibri" w:hAnsi="Calibri" w:cs="Calibri"/>
          <w:color w:val="000000"/>
          <w:sz w:val="24"/>
          <w:lang w:val="en-GB" w:eastAsia="en-US"/>
        </w:rPr>
        <w:t>O</w:t>
      </w:r>
      <w:r w:rsidR="008E591D" w:rsidRPr="00E76F61">
        <w:rPr>
          <w:rFonts w:ascii="Calibri" w:eastAsia="Calibri" w:hAnsi="Calibri" w:cs="Calibri"/>
          <w:color w:val="000000"/>
          <w:sz w:val="24"/>
          <w:lang w:val="en-GB" w:eastAsia="en-US"/>
        </w:rPr>
        <w:t xml:space="preserve">ffice fraud case. One delegate highlighted that the ongoing work of the Ethics Office and Internal Audit is very important. The main concern expressed by several delegates was in relation to the caveats in response to actions proposed by PwC to strengthen the forensic investigation readiness and data management. It was clarified by the consultant that the situation is not overly problematic yet needs attention by ITU Management. These aspects were addressed </w:t>
      </w:r>
      <w:r w:rsidR="008E591D" w:rsidRPr="00E76F61">
        <w:rPr>
          <w:rFonts w:ascii="Calibri" w:eastAsia="Calibri" w:hAnsi="Calibri" w:cs="Calibri"/>
          <w:color w:val="000000"/>
          <w:sz w:val="24"/>
          <w:lang w:val="en-GB" w:eastAsia="en-US"/>
        </w:rPr>
        <w:lastRenderedPageBreak/>
        <w:t xml:space="preserve">by the </w:t>
      </w:r>
      <w:r w:rsidR="00E76F61">
        <w:rPr>
          <w:rFonts w:ascii="Calibri" w:eastAsia="Calibri" w:hAnsi="Calibri" w:cs="Calibri"/>
          <w:color w:val="000000"/>
          <w:sz w:val="24"/>
          <w:lang w:val="en-GB" w:eastAsia="en-US"/>
        </w:rPr>
        <w:t>s</w:t>
      </w:r>
      <w:r w:rsidR="008E591D" w:rsidRPr="00E76F61">
        <w:rPr>
          <w:rFonts w:ascii="Calibri" w:eastAsia="Calibri" w:hAnsi="Calibri" w:cs="Calibri"/>
          <w:color w:val="000000"/>
          <w:sz w:val="24"/>
          <w:lang w:val="en-GB" w:eastAsia="en-US"/>
        </w:rPr>
        <w:t xml:space="preserve">ecretariat during the discussion of the subsequent document (UMACs CWG-FHR-14/5) as they relate to a wider and a resource issue. The ITU Legal Adviser addressed the recovery of assets from the earlier fraud case by clarifying that the Thai authorities had appointed the National Anti-Corruption Commission (NACC) to conduct the judicial procedure versus the fraudster and his accomplices, and that the United Nations Joint Staff Pension Fund assets of the fraudster had been frozen since the investigation. The </w:t>
      </w:r>
      <w:r w:rsidR="00B800CE" w:rsidRPr="00E76F61">
        <w:rPr>
          <w:rFonts w:ascii="Calibri" w:eastAsia="Calibri" w:hAnsi="Calibri" w:cs="Calibri"/>
          <w:color w:val="000000"/>
          <w:sz w:val="24"/>
          <w:lang w:val="en-GB" w:eastAsia="en-US"/>
        </w:rPr>
        <w:t xml:space="preserve">secretariat </w:t>
      </w:r>
      <w:r w:rsidR="008E591D" w:rsidRPr="00E76F61">
        <w:rPr>
          <w:rFonts w:ascii="Calibri" w:eastAsia="Calibri" w:hAnsi="Calibri" w:cs="Calibri"/>
          <w:color w:val="000000"/>
          <w:sz w:val="24"/>
          <w:lang w:val="en-GB" w:eastAsia="en-US"/>
        </w:rPr>
        <w:t>also clarified the need for an additional post in the extra-budgetary control unit, as formulated in one of the actions recommended by the consultant.</w:t>
      </w:r>
    </w:p>
    <w:p w14:paraId="0F7EADE6" w14:textId="77777777" w:rsidR="008E591D" w:rsidRPr="00E76F61" w:rsidRDefault="008E591D" w:rsidP="008E591D">
      <w:pPr>
        <w:rPr>
          <w:rFonts w:ascii="Calibri" w:eastAsia="Calibri" w:hAnsi="Calibri" w:cs="Calibri"/>
          <w:color w:val="000000"/>
          <w:sz w:val="24"/>
          <w:lang w:val="en-GB" w:eastAsia="en-US"/>
        </w:rPr>
      </w:pPr>
    </w:p>
    <w:p w14:paraId="09E20E39" w14:textId="00EAD197" w:rsidR="008E591D" w:rsidRPr="008E591D" w:rsidRDefault="00E76F61" w:rsidP="008E591D">
      <w:pPr>
        <w:rPr>
          <w:rFonts w:ascii="Calibri" w:eastAsia="Calibri" w:hAnsi="Calibri" w:cs="Calibri"/>
          <w:szCs w:val="22"/>
          <w:lang w:val="en-GB" w:eastAsia="en-US"/>
        </w:rPr>
      </w:pPr>
      <w:r>
        <w:rPr>
          <w:rFonts w:ascii="Calibri" w:eastAsia="Calibri" w:hAnsi="Calibri" w:cs="Calibri"/>
          <w:color w:val="000000"/>
          <w:sz w:val="24"/>
          <w:lang w:val="en-GB" w:eastAsia="en-US"/>
        </w:rPr>
        <w:t>3.2</w:t>
      </w:r>
      <w:r>
        <w:rPr>
          <w:rFonts w:ascii="Calibri" w:eastAsia="Calibri" w:hAnsi="Calibri" w:cs="Calibri"/>
          <w:color w:val="000000"/>
          <w:sz w:val="24"/>
          <w:lang w:val="en-GB" w:eastAsia="en-US"/>
        </w:rPr>
        <w:tab/>
      </w:r>
      <w:r w:rsidR="008E591D" w:rsidRPr="00E76F61">
        <w:rPr>
          <w:rFonts w:ascii="Calibri" w:eastAsia="Calibri" w:hAnsi="Calibri" w:cs="Calibri"/>
          <w:color w:val="000000"/>
          <w:sz w:val="24"/>
          <w:lang w:val="en-GB" w:eastAsia="en-US"/>
        </w:rPr>
        <w:t xml:space="preserve">The Chairperson concluded the discussion by proposing that the </w:t>
      </w:r>
      <w:r w:rsidR="00B800CE" w:rsidRPr="00E76F61">
        <w:rPr>
          <w:rFonts w:ascii="Calibri" w:eastAsia="Calibri" w:hAnsi="Calibri" w:cs="Calibri"/>
          <w:color w:val="000000"/>
          <w:sz w:val="24"/>
          <w:lang w:val="en-GB" w:eastAsia="en-US"/>
        </w:rPr>
        <w:t>s</w:t>
      </w:r>
      <w:r w:rsidR="008E591D" w:rsidRPr="00E76F61">
        <w:rPr>
          <w:rFonts w:ascii="Calibri" w:eastAsia="Calibri" w:hAnsi="Calibri" w:cs="Calibri"/>
          <w:color w:val="000000"/>
          <w:sz w:val="24"/>
          <w:lang w:val="en-GB" w:eastAsia="en-US"/>
        </w:rPr>
        <w:t xml:space="preserve">ecretariat would update the next meeting of CWG-FHR on the follow-up of the actions as per Annex 1 </w:t>
      </w:r>
      <w:r w:rsidR="00B800CE" w:rsidRPr="00E76F61">
        <w:rPr>
          <w:rFonts w:ascii="Calibri" w:eastAsia="Calibri" w:hAnsi="Calibri" w:cs="Calibri"/>
          <w:color w:val="000000"/>
          <w:sz w:val="24"/>
          <w:lang w:val="en-GB" w:eastAsia="en-US"/>
        </w:rPr>
        <w:t>to</w:t>
      </w:r>
      <w:r w:rsidR="008E591D" w:rsidRPr="00E76F61">
        <w:rPr>
          <w:rFonts w:ascii="Calibri" w:eastAsia="Calibri" w:hAnsi="Calibri" w:cs="Calibri"/>
          <w:color w:val="000000"/>
          <w:sz w:val="24"/>
          <w:lang w:val="en-GB" w:eastAsia="en-US"/>
        </w:rPr>
        <w:t xml:space="preserve"> CWH-FHR-14/9.</w:t>
      </w:r>
    </w:p>
    <w:p w14:paraId="6BC3F694" w14:textId="77777777" w:rsidR="00723164" w:rsidRDefault="00723164" w:rsidP="00290D95">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0E738D86" w14:textId="14BFE342" w:rsidR="006F6188" w:rsidRPr="00EA2AF1" w:rsidRDefault="00F20DE3" w:rsidP="00290D95">
      <w:pPr>
        <w:tabs>
          <w:tab w:val="left" w:pos="709"/>
        </w:tabs>
        <w:overflowPunct w:val="0"/>
        <w:autoSpaceDE w:val="0"/>
        <w:autoSpaceDN w:val="0"/>
        <w:adjustRightInd w:val="0"/>
        <w:snapToGrid w:val="0"/>
        <w:textAlignment w:val="baseline"/>
        <w:rPr>
          <w:rFonts w:ascii="Calibri" w:hAnsi="Calibri" w:cs="Calibri"/>
          <w:b/>
          <w:bCs/>
          <w:sz w:val="24"/>
        </w:rPr>
      </w:pPr>
      <w:r>
        <w:rPr>
          <w:rFonts w:ascii="Calibri" w:hAnsi="Calibri" w:cs="Calibri"/>
          <w:b/>
          <w:bCs/>
          <w:sz w:val="24"/>
        </w:rPr>
        <w:t>4</w:t>
      </w:r>
      <w:r w:rsidR="00EA2AF1" w:rsidRPr="00EA2AF1">
        <w:rPr>
          <w:rFonts w:ascii="Calibri" w:hAnsi="Calibri" w:cs="Calibri"/>
          <w:b/>
          <w:bCs/>
          <w:sz w:val="24"/>
        </w:rPr>
        <w:tab/>
        <w:t>Impact of COVID-19 Pandemic on the functioning and activities of ITU</w:t>
      </w:r>
      <w:r w:rsidR="00EA2AF1">
        <w:rPr>
          <w:rFonts w:ascii="Calibri" w:hAnsi="Calibri" w:cs="Calibri"/>
          <w:b/>
          <w:bCs/>
          <w:sz w:val="24"/>
        </w:rPr>
        <w:br/>
      </w:r>
      <w:r w:rsidR="00EA2AF1">
        <w:rPr>
          <w:rFonts w:ascii="Calibri" w:hAnsi="Calibri" w:cs="Calibri"/>
          <w:b/>
          <w:bCs/>
          <w:sz w:val="24"/>
        </w:rPr>
        <w:tab/>
      </w:r>
      <w:r w:rsidR="00EA2AF1" w:rsidRPr="00EA2AF1">
        <w:rPr>
          <w:rFonts w:ascii="Calibri" w:hAnsi="Calibri" w:cs="Calibri"/>
          <w:b/>
          <w:bCs/>
          <w:sz w:val="24"/>
        </w:rPr>
        <w:t xml:space="preserve">(Document </w:t>
      </w:r>
      <w:hyperlink r:id="rId17" w:history="1">
        <w:r w:rsidR="00EA2AF1" w:rsidRPr="00EA2AF1">
          <w:rPr>
            <w:rStyle w:val="Hyperlink"/>
            <w:rFonts w:ascii="Calibri" w:hAnsi="Calibri" w:cs="Calibri"/>
            <w:b/>
            <w:bCs/>
            <w:sz w:val="24"/>
          </w:rPr>
          <w:t>CWG-FHR-14/5</w:t>
        </w:r>
      </w:hyperlink>
      <w:r w:rsidR="00EA2AF1" w:rsidRPr="00EA2AF1">
        <w:rPr>
          <w:rStyle w:val="Hyperlink"/>
          <w:rFonts w:ascii="Calibri" w:hAnsi="Calibri" w:cs="Calibri"/>
          <w:b/>
          <w:bCs/>
          <w:sz w:val="24"/>
        </w:rPr>
        <w:t>)</w:t>
      </w:r>
    </w:p>
    <w:p w14:paraId="2CA3E28B" w14:textId="21A5898E" w:rsidR="006F6188" w:rsidRDefault="006F6188" w:rsidP="00E76F61">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5A43F9F4" w14:textId="5E06E817" w:rsidR="00E76F61" w:rsidRPr="00EC21FB" w:rsidRDefault="00F20DE3" w:rsidP="00E76F61">
      <w:pPr>
        <w:rPr>
          <w:rFonts w:ascii="Calibri" w:hAnsi="Calibri" w:cs="Calibri"/>
          <w:sz w:val="24"/>
        </w:rPr>
      </w:pPr>
      <w:r w:rsidRPr="00EC21FB">
        <w:rPr>
          <w:rFonts w:asciiTheme="minorHAnsi" w:hAnsiTheme="minorHAnsi" w:cstheme="minorHAnsi"/>
          <w:sz w:val="24"/>
        </w:rPr>
        <w:t>4</w:t>
      </w:r>
      <w:r w:rsidR="00723164" w:rsidRPr="00EC21FB">
        <w:rPr>
          <w:rFonts w:asciiTheme="minorHAnsi" w:hAnsiTheme="minorHAnsi" w:cstheme="minorHAnsi"/>
          <w:sz w:val="24"/>
        </w:rPr>
        <w:t>.1</w:t>
      </w:r>
      <w:r w:rsidR="00723164" w:rsidRPr="00EC21FB">
        <w:rPr>
          <w:rFonts w:asciiTheme="minorHAnsi" w:hAnsiTheme="minorHAnsi" w:cstheme="minorHAnsi"/>
          <w:sz w:val="24"/>
        </w:rPr>
        <w:tab/>
      </w:r>
      <w:r w:rsidR="00E76F61" w:rsidRPr="00EC21FB">
        <w:rPr>
          <w:rFonts w:ascii="Calibri" w:hAnsi="Calibri" w:cs="Calibri"/>
          <w:sz w:val="24"/>
        </w:rPr>
        <w:t>The secretariat introduced document CWG-FHR-14/5 on the Impact of the Covid-19 pandemic on the functioning and activities of ITU. The document provides key considerations from document C21/74, includes the points raised by delegates during C21/VCC-1 and outlines the latest developments following the consultation by correspondence of Council Member States. The CWG-FHR was invited to advise on a possible way forward and make recommendations for the next session of the Council and, if necessary,</w:t>
      </w:r>
      <w:r w:rsidR="00EC21FB">
        <w:rPr>
          <w:rFonts w:ascii="Calibri" w:hAnsi="Calibri" w:cs="Calibri"/>
          <w:sz w:val="24"/>
        </w:rPr>
        <w:t xml:space="preserve"> </w:t>
      </w:r>
      <w:r w:rsidR="00E76F61" w:rsidRPr="00EC21FB">
        <w:rPr>
          <w:rFonts w:ascii="Calibri" w:hAnsi="Calibri" w:cs="Calibri"/>
          <w:sz w:val="24"/>
        </w:rPr>
        <w:t>PP-22.</w:t>
      </w:r>
    </w:p>
    <w:p w14:paraId="743AB0A0" w14:textId="77777777" w:rsidR="00E76F61" w:rsidRPr="00EC21FB" w:rsidRDefault="00E76F61" w:rsidP="00E76F61">
      <w:pPr>
        <w:rPr>
          <w:rFonts w:ascii="Calibri" w:hAnsi="Calibri" w:cs="Calibri"/>
          <w:sz w:val="24"/>
        </w:rPr>
      </w:pPr>
    </w:p>
    <w:p w14:paraId="7CD8EFE3" w14:textId="64855F96" w:rsidR="00E76F61" w:rsidRPr="00EC21FB" w:rsidRDefault="00E76F61" w:rsidP="00E76F61">
      <w:pPr>
        <w:rPr>
          <w:rFonts w:ascii="Calibri" w:hAnsi="Calibri" w:cs="Calibri"/>
          <w:sz w:val="24"/>
        </w:rPr>
      </w:pPr>
      <w:r w:rsidRPr="00EC21FB">
        <w:rPr>
          <w:rFonts w:ascii="Calibri" w:hAnsi="Calibri" w:cs="Calibri"/>
          <w:sz w:val="24"/>
        </w:rPr>
        <w:t>4.2</w:t>
      </w:r>
      <w:r w:rsidRPr="00EC21FB">
        <w:rPr>
          <w:rFonts w:ascii="Calibri" w:hAnsi="Calibri" w:cs="Calibri"/>
          <w:sz w:val="24"/>
        </w:rPr>
        <w:tab/>
        <w:t xml:space="preserve">Several delegates expressed their appreciation for the document, especially the lessons learned from </w:t>
      </w:r>
      <w:r w:rsidR="00304420" w:rsidRPr="00EC21FB">
        <w:rPr>
          <w:rFonts w:ascii="Calibri" w:hAnsi="Calibri" w:cs="Calibri"/>
          <w:sz w:val="24"/>
        </w:rPr>
        <w:t>the p</w:t>
      </w:r>
      <w:r w:rsidRPr="00EC21FB">
        <w:rPr>
          <w:rFonts w:ascii="Calibri" w:hAnsi="Calibri" w:cs="Calibri"/>
          <w:sz w:val="24"/>
        </w:rPr>
        <w:t>andemic. Regarding the way forward and the possibility of issuing recommendation</w:t>
      </w:r>
      <w:r w:rsidR="00304420" w:rsidRPr="00EC21FB">
        <w:rPr>
          <w:rFonts w:ascii="Calibri" w:hAnsi="Calibri" w:cs="Calibri"/>
          <w:sz w:val="24"/>
        </w:rPr>
        <w:t>s</w:t>
      </w:r>
      <w:r w:rsidRPr="00EC21FB">
        <w:rPr>
          <w:rFonts w:ascii="Calibri" w:hAnsi="Calibri" w:cs="Calibri"/>
          <w:sz w:val="24"/>
        </w:rPr>
        <w:t xml:space="preserve"> for</w:t>
      </w:r>
      <w:r w:rsidR="00EC21FB">
        <w:rPr>
          <w:rFonts w:ascii="Calibri" w:hAnsi="Calibri" w:cs="Calibri"/>
          <w:sz w:val="24"/>
        </w:rPr>
        <w:t xml:space="preserve"> </w:t>
      </w:r>
      <w:r w:rsidR="00304420" w:rsidRPr="00EC21FB">
        <w:rPr>
          <w:rFonts w:ascii="Calibri" w:hAnsi="Calibri" w:cs="Calibri"/>
          <w:sz w:val="24"/>
        </w:rPr>
        <w:t>Council-22</w:t>
      </w:r>
      <w:r w:rsidRPr="00EC21FB">
        <w:rPr>
          <w:rFonts w:ascii="Calibri" w:hAnsi="Calibri" w:cs="Calibri"/>
          <w:sz w:val="24"/>
        </w:rPr>
        <w:t xml:space="preserve">, the Chair concluded that further discussion is needed, possibly </w:t>
      </w:r>
      <w:r w:rsidR="00304420" w:rsidRPr="00EC21FB">
        <w:rPr>
          <w:rFonts w:ascii="Calibri" w:hAnsi="Calibri" w:cs="Calibri"/>
          <w:sz w:val="24"/>
        </w:rPr>
        <w:t>during the next</w:t>
      </w:r>
      <w:r w:rsidRPr="00EC21FB">
        <w:rPr>
          <w:rFonts w:ascii="Calibri" w:hAnsi="Calibri" w:cs="Calibri"/>
          <w:sz w:val="24"/>
        </w:rPr>
        <w:t xml:space="preserve"> meeting of the CWG</w:t>
      </w:r>
      <w:r w:rsidR="00304420" w:rsidRPr="00EC21FB">
        <w:rPr>
          <w:rFonts w:ascii="Calibri" w:hAnsi="Calibri" w:cs="Calibri"/>
          <w:sz w:val="24"/>
        </w:rPr>
        <w:t>-</w:t>
      </w:r>
      <w:r w:rsidRPr="00EC21FB">
        <w:rPr>
          <w:rFonts w:ascii="Calibri" w:hAnsi="Calibri" w:cs="Calibri"/>
          <w:sz w:val="24"/>
        </w:rPr>
        <w:t>FHR.</w:t>
      </w:r>
    </w:p>
    <w:p w14:paraId="0F52135A" w14:textId="77777777" w:rsidR="00723164" w:rsidRPr="00EC21FB" w:rsidRDefault="00723164" w:rsidP="00E76F61">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79E977D1" w14:textId="5A1B2CC5" w:rsidR="006F6188" w:rsidRPr="007B59C9" w:rsidRDefault="00F20DE3" w:rsidP="00290D95">
      <w:pPr>
        <w:tabs>
          <w:tab w:val="left" w:pos="709"/>
        </w:tabs>
        <w:overflowPunct w:val="0"/>
        <w:autoSpaceDE w:val="0"/>
        <w:autoSpaceDN w:val="0"/>
        <w:adjustRightInd w:val="0"/>
        <w:snapToGrid w:val="0"/>
        <w:textAlignment w:val="baseline"/>
        <w:rPr>
          <w:rFonts w:ascii="Calibri" w:hAnsi="Calibri" w:cs="Calibri"/>
          <w:b/>
          <w:bCs/>
          <w:sz w:val="24"/>
        </w:rPr>
      </w:pPr>
      <w:r w:rsidRPr="007B59C9">
        <w:rPr>
          <w:rFonts w:ascii="Calibri" w:hAnsi="Calibri" w:cs="Calibri"/>
          <w:b/>
          <w:bCs/>
          <w:sz w:val="24"/>
        </w:rPr>
        <w:t>5</w:t>
      </w:r>
      <w:r w:rsidR="00976E9E" w:rsidRPr="007B59C9">
        <w:rPr>
          <w:rFonts w:ascii="Calibri" w:hAnsi="Calibri" w:cs="Calibri"/>
          <w:b/>
          <w:bCs/>
          <w:sz w:val="24"/>
        </w:rPr>
        <w:tab/>
        <w:t xml:space="preserve">Unfunded Mandatory Activities (UMACs) (Document </w:t>
      </w:r>
      <w:hyperlink r:id="rId18" w:history="1">
        <w:r w:rsidR="00976E9E" w:rsidRPr="007B59C9">
          <w:rPr>
            <w:rStyle w:val="Hyperlink"/>
            <w:rFonts w:ascii="Calibri" w:hAnsi="Calibri" w:cs="Calibri"/>
            <w:b/>
            <w:bCs/>
            <w:sz w:val="24"/>
          </w:rPr>
          <w:t>CWG-FHR-14/10</w:t>
        </w:r>
      </w:hyperlink>
      <w:r w:rsidR="00976E9E" w:rsidRPr="007B59C9">
        <w:rPr>
          <w:rStyle w:val="Hyperlink"/>
          <w:rFonts w:ascii="Calibri" w:hAnsi="Calibri" w:cs="Calibri"/>
          <w:b/>
          <w:bCs/>
          <w:sz w:val="24"/>
        </w:rPr>
        <w:t>)</w:t>
      </w:r>
    </w:p>
    <w:p w14:paraId="6AFA0E52" w14:textId="73C450CF" w:rsidR="006F6188" w:rsidRPr="007B59C9" w:rsidRDefault="006F6188" w:rsidP="00290D95">
      <w:pPr>
        <w:tabs>
          <w:tab w:val="left" w:pos="709"/>
        </w:tabs>
        <w:overflowPunct w:val="0"/>
        <w:autoSpaceDE w:val="0"/>
        <w:autoSpaceDN w:val="0"/>
        <w:adjustRightInd w:val="0"/>
        <w:snapToGrid w:val="0"/>
        <w:textAlignment w:val="baseline"/>
        <w:rPr>
          <w:rFonts w:ascii="Calibri" w:hAnsi="Calibri" w:cs="Calibri"/>
          <w:b/>
          <w:bCs/>
          <w:sz w:val="24"/>
        </w:rPr>
      </w:pPr>
    </w:p>
    <w:p w14:paraId="75214B68" w14:textId="694C99D9" w:rsidR="00F760D9" w:rsidRPr="007B59C9" w:rsidRDefault="00F20DE3" w:rsidP="00F760D9">
      <w:pPr>
        <w:rPr>
          <w:rFonts w:ascii="Calibri" w:eastAsia="Calibri" w:hAnsi="Calibri" w:cs="Calibri"/>
          <w:sz w:val="24"/>
          <w:lang w:val="en-GB" w:eastAsia="en-US"/>
        </w:rPr>
      </w:pPr>
      <w:r w:rsidRPr="007B59C9">
        <w:rPr>
          <w:rFonts w:ascii="Calibri" w:hAnsi="Calibri" w:cs="Calibri"/>
          <w:sz w:val="24"/>
        </w:rPr>
        <w:t>5</w:t>
      </w:r>
      <w:r w:rsidR="00723164" w:rsidRPr="007B59C9">
        <w:rPr>
          <w:rFonts w:ascii="Calibri" w:hAnsi="Calibri" w:cs="Calibri"/>
          <w:sz w:val="24"/>
        </w:rPr>
        <w:t>.1</w:t>
      </w:r>
      <w:r w:rsidR="00723164" w:rsidRPr="007B59C9">
        <w:rPr>
          <w:rFonts w:ascii="Calibri" w:hAnsi="Calibri" w:cs="Calibri"/>
          <w:sz w:val="24"/>
        </w:rPr>
        <w:tab/>
      </w:r>
      <w:r w:rsidR="00F760D9" w:rsidRPr="007B59C9">
        <w:rPr>
          <w:rFonts w:ascii="Calibri" w:eastAsia="Calibri" w:hAnsi="Calibri" w:cs="Calibri"/>
          <w:sz w:val="24"/>
          <w:lang w:val="en-GB" w:eastAsia="en-US"/>
        </w:rPr>
        <w:t>The secretariat introduced document CWG-FHR</w:t>
      </w:r>
      <w:r w:rsidR="004F36FA" w:rsidRPr="007B59C9">
        <w:rPr>
          <w:rFonts w:ascii="Calibri" w:eastAsia="Calibri" w:hAnsi="Calibri" w:cs="Calibri"/>
          <w:sz w:val="24"/>
          <w:lang w:val="en-GB" w:eastAsia="en-US"/>
        </w:rPr>
        <w:t>-</w:t>
      </w:r>
      <w:r w:rsidR="00F760D9" w:rsidRPr="007B59C9">
        <w:rPr>
          <w:rFonts w:ascii="Calibri" w:eastAsia="Calibri" w:hAnsi="Calibri" w:cs="Calibri"/>
          <w:sz w:val="24"/>
          <w:lang w:val="en-GB" w:eastAsia="en-US"/>
        </w:rPr>
        <w:t>14/10 presenting an update to UMAC document C21/49 as requested by Council-21, but only with respect to A: Business Continuity and Information Management (documents C20/53, CWG-FHR-12/</w:t>
      </w:r>
      <w:proofErr w:type="gramStart"/>
      <w:r w:rsidR="00F760D9" w:rsidRPr="007B59C9">
        <w:rPr>
          <w:rFonts w:ascii="Calibri" w:eastAsia="Calibri" w:hAnsi="Calibri" w:cs="Calibri"/>
          <w:sz w:val="24"/>
          <w:lang w:val="en-GB" w:eastAsia="en-US"/>
        </w:rPr>
        <w:t>3</w:t>
      </w:r>
      <w:proofErr w:type="gramEnd"/>
      <w:r w:rsidR="00F760D9" w:rsidRPr="007B59C9">
        <w:rPr>
          <w:rFonts w:ascii="Calibri" w:eastAsia="Calibri" w:hAnsi="Calibri" w:cs="Calibri"/>
          <w:sz w:val="24"/>
          <w:lang w:val="en-GB" w:eastAsia="en-US"/>
        </w:rPr>
        <w:t xml:space="preserve"> and C21/49). The criticality of these activities, and the need to identify resources to implement them, has been further recognized in the following documents:</w:t>
      </w:r>
    </w:p>
    <w:p w14:paraId="4F53ACF6" w14:textId="77137702" w:rsidR="00F760D9" w:rsidRPr="007B59C9" w:rsidRDefault="00F760D9" w:rsidP="00F760D9">
      <w:pPr>
        <w:rPr>
          <w:rFonts w:ascii="Calibri" w:eastAsia="Calibri" w:hAnsi="Calibri" w:cs="Calibri"/>
          <w:sz w:val="24"/>
          <w:lang w:val="en-GB" w:eastAsia="en-US"/>
        </w:rPr>
      </w:pPr>
    </w:p>
    <w:p w14:paraId="581F26B1" w14:textId="01E3DA4E" w:rsidR="00F760D9" w:rsidRPr="007B59C9" w:rsidRDefault="00F760D9" w:rsidP="007B59C9">
      <w:pPr>
        <w:numPr>
          <w:ilvl w:val="0"/>
          <w:numId w:val="47"/>
        </w:numPr>
        <w:spacing w:after="60" w:line="259" w:lineRule="auto"/>
        <w:ind w:left="714" w:hanging="357"/>
        <w:rPr>
          <w:rFonts w:ascii="Calibri" w:eastAsia="Calibri" w:hAnsi="Calibri" w:cs="Calibri"/>
          <w:sz w:val="24"/>
          <w:lang w:val="en-GB" w:eastAsia="en-US"/>
        </w:rPr>
      </w:pPr>
      <w:r w:rsidRPr="007B59C9">
        <w:rPr>
          <w:rFonts w:ascii="Calibri" w:eastAsia="Calibri" w:hAnsi="Calibri" w:cs="Calibri"/>
          <w:sz w:val="24"/>
          <w:lang w:val="en-GB" w:eastAsia="en-US"/>
        </w:rPr>
        <w:t xml:space="preserve">The </w:t>
      </w:r>
      <w:r w:rsidRPr="007B59C9">
        <w:rPr>
          <w:rFonts w:ascii="Calibri" w:eastAsia="Calibri" w:hAnsi="Calibri" w:cs="Calibri"/>
          <w:b/>
          <w:bCs/>
          <w:sz w:val="24"/>
          <w:lang w:val="en-GB" w:eastAsia="en-US"/>
        </w:rPr>
        <w:t xml:space="preserve">PWC forensic </w:t>
      </w:r>
      <w:r w:rsidR="007B59C9" w:rsidRPr="007B59C9">
        <w:rPr>
          <w:rFonts w:ascii="Calibri" w:eastAsia="Calibri" w:hAnsi="Calibri" w:cs="Calibri"/>
          <w:b/>
          <w:bCs/>
          <w:sz w:val="24"/>
          <w:lang w:val="en-GB" w:eastAsia="en-US"/>
        </w:rPr>
        <w:t>a</w:t>
      </w:r>
      <w:r w:rsidRPr="007B59C9">
        <w:rPr>
          <w:rFonts w:ascii="Calibri" w:eastAsia="Calibri" w:hAnsi="Calibri" w:cs="Calibri"/>
          <w:b/>
          <w:bCs/>
          <w:sz w:val="24"/>
          <w:lang w:val="en-GB" w:eastAsia="en-US"/>
        </w:rPr>
        <w:t>udit recommendations</w:t>
      </w:r>
      <w:r w:rsidRPr="007B59C9">
        <w:rPr>
          <w:rFonts w:ascii="Calibri" w:eastAsia="Calibri" w:hAnsi="Calibri" w:cs="Calibri"/>
          <w:sz w:val="24"/>
          <w:lang w:val="en-GB" w:eastAsia="en-US"/>
        </w:rPr>
        <w:t xml:space="preserve"> in Document CWG-FHR</w:t>
      </w:r>
      <w:r w:rsidR="004F36FA" w:rsidRPr="007B59C9">
        <w:rPr>
          <w:rFonts w:ascii="Calibri" w:eastAsia="Calibri" w:hAnsi="Calibri" w:cs="Calibri"/>
          <w:sz w:val="24"/>
          <w:lang w:val="en-GB" w:eastAsia="en-US"/>
        </w:rPr>
        <w:t>-</w:t>
      </w:r>
      <w:r w:rsidRPr="007B59C9">
        <w:rPr>
          <w:rFonts w:ascii="Calibri" w:eastAsia="Calibri" w:hAnsi="Calibri" w:cs="Calibri"/>
          <w:sz w:val="24"/>
          <w:lang w:val="en-GB" w:eastAsia="en-US"/>
        </w:rPr>
        <w:t xml:space="preserve">14/11. Para 4.11 Forensic investigation readiness &amp; data management and the </w:t>
      </w:r>
      <w:r w:rsidR="007B59C9" w:rsidRPr="007B59C9">
        <w:rPr>
          <w:rFonts w:ascii="Calibri" w:eastAsia="Calibri" w:hAnsi="Calibri" w:cs="Calibri"/>
          <w:sz w:val="24"/>
          <w:lang w:val="en-GB" w:eastAsia="en-US"/>
        </w:rPr>
        <w:t xml:space="preserve">eight </w:t>
      </w:r>
      <w:r w:rsidRPr="007B59C9">
        <w:rPr>
          <w:rFonts w:ascii="Calibri" w:eastAsia="Calibri" w:hAnsi="Calibri" w:cs="Calibri"/>
          <w:sz w:val="24"/>
          <w:lang w:val="en-GB" w:eastAsia="en-US"/>
        </w:rPr>
        <w:t xml:space="preserve">recommendations #62-#69 in </w:t>
      </w:r>
      <w:r w:rsidR="007B59C9" w:rsidRPr="007B59C9">
        <w:rPr>
          <w:rFonts w:ascii="Calibri" w:eastAsia="Calibri" w:hAnsi="Calibri" w:cs="Calibri"/>
          <w:sz w:val="24"/>
          <w:lang w:val="en-GB" w:eastAsia="en-US"/>
        </w:rPr>
        <w:t>the N</w:t>
      </w:r>
      <w:r w:rsidRPr="007B59C9">
        <w:rPr>
          <w:rFonts w:ascii="Calibri" w:eastAsia="Calibri" w:hAnsi="Calibri" w:cs="Calibri"/>
          <w:sz w:val="24"/>
          <w:lang w:val="en-GB" w:eastAsia="en-US"/>
        </w:rPr>
        <w:t>ote from the Secretariat (CWG-FHR</w:t>
      </w:r>
      <w:r w:rsidR="007B59C9" w:rsidRPr="007B59C9">
        <w:rPr>
          <w:rFonts w:ascii="Calibri" w:eastAsia="Calibri" w:hAnsi="Calibri" w:cs="Calibri"/>
          <w:sz w:val="24"/>
          <w:lang w:val="en-GB" w:eastAsia="en-US"/>
        </w:rPr>
        <w:t>-</w:t>
      </w:r>
      <w:r w:rsidRPr="007B59C9">
        <w:rPr>
          <w:rFonts w:ascii="Calibri" w:eastAsia="Calibri" w:hAnsi="Calibri" w:cs="Calibri"/>
          <w:sz w:val="24"/>
          <w:lang w:val="en-GB" w:eastAsia="en-US"/>
        </w:rPr>
        <w:t>14/9).</w:t>
      </w:r>
    </w:p>
    <w:p w14:paraId="3E1C3F86" w14:textId="1D3A8FE5" w:rsidR="00F760D9" w:rsidRPr="007B59C9" w:rsidRDefault="00F760D9" w:rsidP="007B59C9">
      <w:pPr>
        <w:numPr>
          <w:ilvl w:val="0"/>
          <w:numId w:val="47"/>
        </w:numPr>
        <w:spacing w:after="60" w:line="259" w:lineRule="auto"/>
        <w:ind w:left="714" w:hanging="357"/>
        <w:rPr>
          <w:rFonts w:ascii="Calibri" w:eastAsia="Calibri" w:hAnsi="Calibri" w:cs="Calibri"/>
          <w:sz w:val="24"/>
          <w:lang w:val="en-GB" w:eastAsia="en-US"/>
        </w:rPr>
      </w:pPr>
      <w:r w:rsidRPr="007B59C9">
        <w:rPr>
          <w:rFonts w:ascii="Calibri" w:eastAsia="Calibri" w:hAnsi="Calibri" w:cs="Calibri"/>
          <w:sz w:val="24"/>
          <w:lang w:val="en-GB" w:eastAsia="en-US"/>
        </w:rPr>
        <w:t xml:space="preserve">The </w:t>
      </w:r>
      <w:r w:rsidRPr="007B59C9">
        <w:rPr>
          <w:rFonts w:ascii="Calibri" w:eastAsia="Calibri" w:hAnsi="Calibri" w:cs="Calibri"/>
          <w:b/>
          <w:bCs/>
          <w:sz w:val="24"/>
          <w:lang w:val="en-GB" w:eastAsia="en-US"/>
        </w:rPr>
        <w:t>JIU recommendations in the draft management letter</w:t>
      </w:r>
      <w:r w:rsidRPr="007B59C9">
        <w:rPr>
          <w:rFonts w:ascii="Calibri" w:eastAsia="Calibri" w:hAnsi="Calibri" w:cs="Calibri"/>
          <w:sz w:val="24"/>
          <w:lang w:val="en-GB" w:eastAsia="en-US"/>
        </w:rPr>
        <w:t xml:space="preserve"> on </w:t>
      </w:r>
      <w:r w:rsidRPr="007B59C9">
        <w:rPr>
          <w:rFonts w:ascii="Calibri" w:eastAsia="Calibri" w:hAnsi="Calibri" w:cs="Calibri"/>
          <w:i/>
          <w:iCs/>
          <w:sz w:val="24"/>
          <w:lang w:val="en-GB" w:eastAsia="en-US"/>
        </w:rPr>
        <w:t>securing the integrity of documents, records and archives of the UN system organization</w:t>
      </w:r>
      <w:r w:rsidRPr="007B59C9">
        <w:rPr>
          <w:rFonts w:ascii="Calibri" w:eastAsia="Calibri" w:hAnsi="Calibri" w:cs="Calibri"/>
          <w:sz w:val="24"/>
          <w:lang w:val="en-GB" w:eastAsia="en-US"/>
        </w:rPr>
        <w:t>s included in Annex to CWG-FHR</w:t>
      </w:r>
      <w:r w:rsidR="007B59C9" w:rsidRPr="007B59C9">
        <w:rPr>
          <w:rFonts w:ascii="Calibri" w:eastAsia="Calibri" w:hAnsi="Calibri" w:cs="Calibri"/>
          <w:sz w:val="24"/>
          <w:lang w:val="en-GB" w:eastAsia="en-US"/>
        </w:rPr>
        <w:t>-</w:t>
      </w:r>
      <w:r w:rsidRPr="007B59C9">
        <w:rPr>
          <w:rFonts w:ascii="Calibri" w:eastAsia="Calibri" w:hAnsi="Calibri" w:cs="Calibri"/>
          <w:sz w:val="24"/>
          <w:lang w:val="en-GB" w:eastAsia="en-US"/>
        </w:rPr>
        <w:t>14/10.</w:t>
      </w:r>
    </w:p>
    <w:p w14:paraId="5CBDCEBF" w14:textId="35E5127C" w:rsidR="00F760D9" w:rsidRPr="007B59C9" w:rsidRDefault="00F760D9" w:rsidP="007B59C9">
      <w:pPr>
        <w:numPr>
          <w:ilvl w:val="0"/>
          <w:numId w:val="47"/>
        </w:numPr>
        <w:spacing w:after="60" w:line="259" w:lineRule="auto"/>
        <w:ind w:left="714" w:hanging="357"/>
        <w:rPr>
          <w:rFonts w:ascii="Calibri" w:eastAsia="Calibri" w:hAnsi="Calibri" w:cs="Calibri"/>
          <w:sz w:val="24"/>
          <w:lang w:val="en-GB" w:eastAsia="en-US"/>
        </w:rPr>
      </w:pPr>
      <w:r w:rsidRPr="007B59C9">
        <w:rPr>
          <w:rFonts w:ascii="Calibri" w:eastAsia="Calibri" w:hAnsi="Calibri" w:cs="Calibri"/>
          <w:sz w:val="24"/>
          <w:lang w:val="en-GB" w:eastAsia="en-US"/>
        </w:rPr>
        <w:t xml:space="preserve">The </w:t>
      </w:r>
      <w:r w:rsidRPr="007B59C9">
        <w:rPr>
          <w:rFonts w:ascii="Calibri" w:eastAsia="Calibri" w:hAnsi="Calibri" w:cs="Calibri"/>
          <w:b/>
          <w:bCs/>
          <w:sz w:val="24"/>
          <w:lang w:val="en-GB" w:eastAsia="en-US"/>
        </w:rPr>
        <w:t xml:space="preserve">proposed strengthening of the ITU </w:t>
      </w:r>
      <w:r w:rsidR="007B59C9" w:rsidRPr="007B59C9">
        <w:rPr>
          <w:rFonts w:ascii="Calibri" w:eastAsia="Calibri" w:hAnsi="Calibri" w:cs="Calibri"/>
          <w:b/>
          <w:bCs/>
          <w:sz w:val="24"/>
          <w:lang w:val="en-GB" w:eastAsia="en-US"/>
        </w:rPr>
        <w:t>a</w:t>
      </w:r>
      <w:r w:rsidRPr="007B59C9">
        <w:rPr>
          <w:rFonts w:ascii="Calibri" w:eastAsia="Calibri" w:hAnsi="Calibri" w:cs="Calibri"/>
          <w:b/>
          <w:bCs/>
          <w:sz w:val="24"/>
          <w:lang w:val="en-GB" w:eastAsia="en-US"/>
        </w:rPr>
        <w:t>ccountability framework</w:t>
      </w:r>
      <w:r w:rsidRPr="007B59C9">
        <w:rPr>
          <w:rFonts w:ascii="Calibri" w:eastAsia="Calibri" w:hAnsi="Calibri" w:cs="Calibri"/>
          <w:sz w:val="24"/>
          <w:lang w:val="en-GB" w:eastAsia="en-US"/>
        </w:rPr>
        <w:t xml:space="preserve"> by introducing Digital Asset management and compliance framework as presented in documents CWG-FHR</w:t>
      </w:r>
      <w:r w:rsidR="007B59C9" w:rsidRPr="007B59C9">
        <w:rPr>
          <w:rFonts w:ascii="Calibri" w:eastAsia="Calibri" w:hAnsi="Calibri" w:cs="Calibri"/>
          <w:sz w:val="24"/>
          <w:lang w:val="en-GB" w:eastAsia="en-US"/>
        </w:rPr>
        <w:t>-</w:t>
      </w:r>
      <w:r w:rsidRPr="007B59C9">
        <w:rPr>
          <w:rFonts w:ascii="Calibri" w:eastAsia="Calibri" w:hAnsi="Calibri" w:cs="Calibri"/>
          <w:sz w:val="24"/>
          <w:lang w:val="en-GB" w:eastAsia="en-US"/>
        </w:rPr>
        <w:t>14/2 and</w:t>
      </w:r>
      <w:r w:rsidR="002273F0">
        <w:rPr>
          <w:rFonts w:ascii="Calibri" w:eastAsia="Calibri" w:hAnsi="Calibri" w:cs="Calibri"/>
          <w:sz w:val="24"/>
          <w:lang w:val="en-GB" w:eastAsia="en-US"/>
        </w:rPr>
        <w:t xml:space="preserve"> </w:t>
      </w:r>
      <w:r w:rsidRPr="007B59C9">
        <w:rPr>
          <w:rFonts w:ascii="Calibri" w:eastAsia="Calibri" w:hAnsi="Calibri" w:cs="Calibri"/>
          <w:sz w:val="24"/>
          <w:lang w:val="en-GB" w:eastAsia="en-US"/>
        </w:rPr>
        <w:t>CWG-FHR</w:t>
      </w:r>
      <w:r w:rsidR="007B59C9" w:rsidRPr="007B59C9">
        <w:rPr>
          <w:rFonts w:ascii="Calibri" w:eastAsia="Calibri" w:hAnsi="Calibri" w:cs="Calibri"/>
          <w:sz w:val="24"/>
          <w:lang w:val="en-GB" w:eastAsia="en-US"/>
        </w:rPr>
        <w:t>-</w:t>
      </w:r>
      <w:r w:rsidRPr="007B59C9">
        <w:rPr>
          <w:rFonts w:ascii="Calibri" w:eastAsia="Calibri" w:hAnsi="Calibri" w:cs="Calibri"/>
          <w:sz w:val="24"/>
          <w:lang w:val="en-GB" w:eastAsia="en-US"/>
        </w:rPr>
        <w:t>14/INF-1.</w:t>
      </w:r>
    </w:p>
    <w:p w14:paraId="78B151C5" w14:textId="77777777" w:rsidR="00F760D9" w:rsidRPr="007B59C9" w:rsidRDefault="00F760D9" w:rsidP="007B59C9">
      <w:pPr>
        <w:numPr>
          <w:ilvl w:val="0"/>
          <w:numId w:val="47"/>
        </w:numPr>
        <w:spacing w:after="60" w:line="259" w:lineRule="auto"/>
        <w:ind w:left="714" w:hanging="357"/>
        <w:rPr>
          <w:rFonts w:ascii="Calibri" w:eastAsia="Calibri" w:hAnsi="Calibri" w:cs="Calibri"/>
          <w:sz w:val="24"/>
          <w:lang w:val="en-GB" w:eastAsia="en-US"/>
        </w:rPr>
      </w:pPr>
      <w:r w:rsidRPr="007B59C9">
        <w:rPr>
          <w:rFonts w:ascii="Calibri" w:eastAsia="Calibri" w:hAnsi="Calibri" w:cs="Calibri"/>
          <w:sz w:val="24"/>
          <w:lang w:val="en-GB" w:eastAsia="en-US"/>
        </w:rPr>
        <w:t xml:space="preserve">The </w:t>
      </w:r>
      <w:r w:rsidRPr="007B59C9">
        <w:rPr>
          <w:rFonts w:ascii="Calibri" w:eastAsia="Calibri" w:hAnsi="Calibri" w:cs="Calibri"/>
          <w:b/>
          <w:bCs/>
          <w:sz w:val="24"/>
          <w:lang w:val="en-GB" w:eastAsia="en-US"/>
        </w:rPr>
        <w:t>Council-21 approval of ORMS deliverables</w:t>
      </w:r>
      <w:r w:rsidRPr="007B59C9">
        <w:rPr>
          <w:rFonts w:ascii="Calibri" w:eastAsia="Calibri" w:hAnsi="Calibri" w:cs="Calibri"/>
          <w:sz w:val="24"/>
          <w:lang w:val="en-GB" w:eastAsia="en-US"/>
        </w:rPr>
        <w:t xml:space="preserve"> in document C21/15.</w:t>
      </w:r>
    </w:p>
    <w:p w14:paraId="459AF158" w14:textId="3002DE23" w:rsidR="00F760D9" w:rsidRPr="007B59C9" w:rsidRDefault="00F760D9" w:rsidP="007B59C9">
      <w:pPr>
        <w:numPr>
          <w:ilvl w:val="0"/>
          <w:numId w:val="47"/>
        </w:numPr>
        <w:ind w:left="714" w:hanging="357"/>
        <w:rPr>
          <w:rFonts w:ascii="Calibri" w:eastAsia="Calibri" w:hAnsi="Calibri" w:cs="Calibri"/>
          <w:sz w:val="24"/>
          <w:lang w:val="en-GB" w:eastAsia="en-US"/>
        </w:rPr>
      </w:pPr>
      <w:r w:rsidRPr="007B59C9">
        <w:rPr>
          <w:rFonts w:ascii="Calibri" w:eastAsia="Calibri" w:hAnsi="Calibri" w:cs="Calibri"/>
          <w:sz w:val="24"/>
          <w:lang w:val="en-GB" w:eastAsia="en-US"/>
        </w:rPr>
        <w:t xml:space="preserve">The </w:t>
      </w:r>
      <w:r w:rsidRPr="007B59C9">
        <w:rPr>
          <w:rFonts w:ascii="Calibri" w:eastAsia="Calibri" w:hAnsi="Calibri" w:cs="Calibri"/>
          <w:b/>
          <w:bCs/>
          <w:sz w:val="24"/>
          <w:lang w:val="en-GB" w:eastAsia="en-US"/>
        </w:rPr>
        <w:t xml:space="preserve">lessons learned from the </w:t>
      </w:r>
      <w:r w:rsidR="007B59C9" w:rsidRPr="007B59C9">
        <w:rPr>
          <w:rFonts w:ascii="Calibri" w:eastAsia="Calibri" w:hAnsi="Calibri" w:cs="Calibri"/>
          <w:b/>
          <w:bCs/>
          <w:sz w:val="24"/>
          <w:lang w:val="en-GB" w:eastAsia="en-US"/>
        </w:rPr>
        <w:t>C</w:t>
      </w:r>
      <w:r w:rsidRPr="007B59C9">
        <w:rPr>
          <w:rFonts w:ascii="Calibri" w:eastAsia="Calibri" w:hAnsi="Calibri" w:cs="Calibri"/>
          <w:b/>
          <w:bCs/>
          <w:sz w:val="24"/>
          <w:lang w:val="en-GB" w:eastAsia="en-US"/>
        </w:rPr>
        <w:t>ovid restrictions</w:t>
      </w:r>
      <w:r w:rsidRPr="007B59C9">
        <w:rPr>
          <w:rFonts w:ascii="Calibri" w:eastAsia="Calibri" w:hAnsi="Calibri" w:cs="Calibri"/>
          <w:sz w:val="24"/>
          <w:lang w:val="en-GB" w:eastAsia="en-US"/>
        </w:rPr>
        <w:t xml:space="preserve"> with the extensive use of Teleworking and virtual meetings - depending on solid and auditable digital processes (</w:t>
      </w:r>
      <w:r w:rsidR="007B59C9" w:rsidRPr="007B59C9">
        <w:rPr>
          <w:rFonts w:ascii="Calibri" w:eastAsia="Calibri" w:hAnsi="Calibri" w:cs="Calibri"/>
          <w:sz w:val="24"/>
          <w:lang w:val="en-GB" w:eastAsia="en-US"/>
        </w:rPr>
        <w:t>documents</w:t>
      </w:r>
      <w:r w:rsidR="00E12D3E">
        <w:rPr>
          <w:rFonts w:ascii="Calibri" w:eastAsia="Calibri" w:hAnsi="Calibri" w:cs="Calibri"/>
          <w:sz w:val="24"/>
          <w:lang w:val="en-GB" w:eastAsia="en-US"/>
        </w:rPr>
        <w:t> </w:t>
      </w:r>
      <w:r w:rsidRPr="007B59C9">
        <w:rPr>
          <w:rFonts w:ascii="Calibri" w:eastAsia="Calibri" w:hAnsi="Calibri" w:cs="Calibri"/>
          <w:sz w:val="24"/>
          <w:lang w:val="en-GB" w:eastAsia="en-US"/>
        </w:rPr>
        <w:t>C21/74 and</w:t>
      </w:r>
      <w:r w:rsidR="00E12D3E">
        <w:rPr>
          <w:rFonts w:ascii="Calibri" w:eastAsia="Calibri" w:hAnsi="Calibri" w:cs="Calibri"/>
          <w:sz w:val="24"/>
          <w:lang w:val="en-GB" w:eastAsia="en-US"/>
        </w:rPr>
        <w:t xml:space="preserve"> </w:t>
      </w:r>
      <w:r w:rsidRPr="007B59C9">
        <w:rPr>
          <w:rFonts w:ascii="Calibri" w:eastAsia="Calibri" w:hAnsi="Calibri" w:cs="Calibri"/>
          <w:sz w:val="24"/>
          <w:lang w:val="en-GB" w:eastAsia="en-US"/>
        </w:rPr>
        <w:t xml:space="preserve">C20/13 </w:t>
      </w:r>
      <w:r w:rsidR="007B59C9" w:rsidRPr="007B59C9">
        <w:rPr>
          <w:rFonts w:ascii="Calibri" w:eastAsia="Calibri" w:hAnsi="Calibri" w:cs="Calibri"/>
          <w:sz w:val="24"/>
          <w:lang w:val="en-GB" w:eastAsia="en-US"/>
        </w:rPr>
        <w:t>(Rev. 1</w:t>
      </w:r>
      <w:r w:rsidRPr="007B59C9">
        <w:rPr>
          <w:rFonts w:ascii="Calibri" w:eastAsia="Calibri" w:hAnsi="Calibri" w:cs="Calibri"/>
          <w:sz w:val="24"/>
          <w:lang w:val="en-GB" w:eastAsia="en-US"/>
        </w:rPr>
        <w:t>)</w:t>
      </w:r>
      <w:r w:rsidR="002273F0">
        <w:rPr>
          <w:rFonts w:ascii="Calibri" w:eastAsia="Calibri" w:hAnsi="Calibri" w:cs="Calibri"/>
          <w:sz w:val="24"/>
          <w:lang w:val="en-GB" w:eastAsia="en-US"/>
        </w:rPr>
        <w:t>)</w:t>
      </w:r>
      <w:r w:rsidRPr="007B59C9">
        <w:rPr>
          <w:rFonts w:ascii="Calibri" w:eastAsia="Calibri" w:hAnsi="Calibri" w:cs="Calibri"/>
          <w:sz w:val="24"/>
          <w:lang w:val="en-GB" w:eastAsia="en-US"/>
        </w:rPr>
        <w:t>. The reliance on solid digital processes will continue into the staff relocation period connected with the construction of the new ITU building.</w:t>
      </w:r>
    </w:p>
    <w:p w14:paraId="3A1DF3CF" w14:textId="77777777" w:rsidR="007B59C9" w:rsidRPr="007B59C9" w:rsidRDefault="007B59C9" w:rsidP="007B59C9">
      <w:pPr>
        <w:rPr>
          <w:rFonts w:ascii="Calibri" w:eastAsia="Calibri" w:hAnsi="Calibri" w:cs="Calibri"/>
          <w:sz w:val="24"/>
          <w:lang w:val="en-GB" w:eastAsia="en-US"/>
        </w:rPr>
      </w:pPr>
    </w:p>
    <w:p w14:paraId="6429A3B2" w14:textId="7DF2EDB6" w:rsidR="00F760D9" w:rsidRPr="007B59C9" w:rsidRDefault="007B59C9" w:rsidP="00E12D3E">
      <w:pPr>
        <w:rPr>
          <w:rFonts w:ascii="Calibri" w:eastAsia="Calibri" w:hAnsi="Calibri" w:cs="Calibri"/>
          <w:sz w:val="24"/>
          <w:lang w:val="en-GB" w:eastAsia="en-US"/>
        </w:rPr>
      </w:pPr>
      <w:r w:rsidRPr="007B59C9">
        <w:rPr>
          <w:rFonts w:ascii="Calibri" w:eastAsia="Calibri" w:hAnsi="Calibri" w:cs="Calibri"/>
          <w:sz w:val="24"/>
          <w:lang w:val="en-GB" w:eastAsia="en-US"/>
        </w:rPr>
        <w:lastRenderedPageBreak/>
        <w:t>5.2</w:t>
      </w:r>
      <w:r w:rsidRPr="007B59C9">
        <w:rPr>
          <w:rFonts w:ascii="Calibri" w:eastAsia="Calibri" w:hAnsi="Calibri" w:cs="Calibri"/>
          <w:sz w:val="24"/>
          <w:lang w:val="en-GB" w:eastAsia="en-US"/>
        </w:rPr>
        <w:tab/>
      </w:r>
      <w:r w:rsidR="00F760D9" w:rsidRPr="007B59C9">
        <w:rPr>
          <w:rFonts w:ascii="Calibri" w:eastAsia="Calibri" w:hAnsi="Calibri" w:cs="Calibri"/>
          <w:sz w:val="24"/>
          <w:lang w:val="en-GB" w:eastAsia="en-US"/>
        </w:rPr>
        <w:t xml:space="preserve">The </w:t>
      </w:r>
      <w:r w:rsidR="00AD7046" w:rsidRPr="007B59C9">
        <w:rPr>
          <w:rFonts w:ascii="Calibri" w:eastAsia="Calibri" w:hAnsi="Calibri" w:cs="Calibri"/>
          <w:sz w:val="24"/>
          <w:lang w:val="en-GB" w:eastAsia="en-US"/>
        </w:rPr>
        <w:t>s</w:t>
      </w:r>
      <w:r w:rsidR="00F760D9" w:rsidRPr="007B59C9">
        <w:rPr>
          <w:rFonts w:ascii="Calibri" w:eastAsia="Calibri" w:hAnsi="Calibri" w:cs="Calibri"/>
          <w:sz w:val="24"/>
          <w:lang w:val="en-GB" w:eastAsia="en-US"/>
        </w:rPr>
        <w:t xml:space="preserve">ecretariat requested the CWG-FHR to advise on funding mechanisms to reduce risk and minimize interruptions to ITU operations. The </w:t>
      </w:r>
      <w:r w:rsidRPr="007B59C9">
        <w:rPr>
          <w:rFonts w:ascii="Calibri" w:eastAsia="Calibri" w:hAnsi="Calibri" w:cs="Calibri"/>
          <w:sz w:val="24"/>
          <w:lang w:val="en-GB" w:eastAsia="en-US"/>
        </w:rPr>
        <w:t>s</w:t>
      </w:r>
      <w:r w:rsidR="00F760D9" w:rsidRPr="007B59C9">
        <w:rPr>
          <w:rFonts w:ascii="Calibri" w:eastAsia="Calibri" w:hAnsi="Calibri" w:cs="Calibri"/>
          <w:sz w:val="24"/>
          <w:lang w:val="en-GB" w:eastAsia="en-US"/>
        </w:rPr>
        <w:t>ecretariat emphasized that this activity would be a multi-year activity (2021-2027).</w:t>
      </w:r>
    </w:p>
    <w:p w14:paraId="0EC9ACF8" w14:textId="77777777" w:rsidR="00E12D3E" w:rsidRDefault="00E12D3E" w:rsidP="00E12D3E">
      <w:pPr>
        <w:rPr>
          <w:rFonts w:ascii="Calibri" w:eastAsia="Calibri" w:hAnsi="Calibri" w:cs="Calibri"/>
          <w:sz w:val="24"/>
          <w:lang w:val="en-GB" w:eastAsia="en-US"/>
        </w:rPr>
      </w:pPr>
    </w:p>
    <w:p w14:paraId="2C79BEA1" w14:textId="27CA281F" w:rsidR="00F760D9" w:rsidRPr="007B59C9" w:rsidRDefault="00E12D3E" w:rsidP="00E12D3E">
      <w:pPr>
        <w:rPr>
          <w:rFonts w:ascii="Calibri" w:eastAsia="Calibri" w:hAnsi="Calibri" w:cs="Calibri"/>
          <w:sz w:val="24"/>
          <w:lang w:val="en-GB" w:eastAsia="en-US"/>
        </w:rPr>
      </w:pPr>
      <w:r>
        <w:rPr>
          <w:rFonts w:ascii="Calibri" w:eastAsia="Calibri" w:hAnsi="Calibri" w:cs="Calibri"/>
          <w:sz w:val="24"/>
          <w:lang w:val="en-GB" w:eastAsia="en-US"/>
        </w:rPr>
        <w:t>5.3</w:t>
      </w:r>
      <w:r>
        <w:rPr>
          <w:rFonts w:ascii="Calibri" w:eastAsia="Calibri" w:hAnsi="Calibri" w:cs="Calibri"/>
          <w:sz w:val="24"/>
          <w:lang w:val="en-GB" w:eastAsia="en-US"/>
        </w:rPr>
        <w:tab/>
      </w:r>
      <w:r w:rsidR="007B59C9" w:rsidRPr="007B59C9">
        <w:rPr>
          <w:rFonts w:ascii="Calibri" w:eastAsia="Calibri" w:hAnsi="Calibri" w:cs="Calibri"/>
          <w:sz w:val="24"/>
          <w:lang w:val="en-GB" w:eastAsia="en-US"/>
        </w:rPr>
        <w:t xml:space="preserve">Delegates </w:t>
      </w:r>
      <w:r w:rsidR="00F760D9" w:rsidRPr="007B59C9">
        <w:rPr>
          <w:rFonts w:ascii="Calibri" w:eastAsia="Calibri" w:hAnsi="Calibri" w:cs="Calibri"/>
          <w:sz w:val="24"/>
          <w:lang w:val="en-GB" w:eastAsia="en-US"/>
        </w:rPr>
        <w:t xml:space="preserve">recognized the critical and strategic importance of those activities and the need to secure long-term and stable funding to implement </w:t>
      </w:r>
      <w:r>
        <w:rPr>
          <w:rFonts w:ascii="Calibri" w:eastAsia="Calibri" w:hAnsi="Calibri" w:cs="Calibri"/>
          <w:sz w:val="24"/>
          <w:lang w:val="en-GB" w:eastAsia="en-US"/>
        </w:rPr>
        <w:t>B</w:t>
      </w:r>
      <w:r w:rsidR="00F760D9" w:rsidRPr="007B59C9">
        <w:rPr>
          <w:rFonts w:ascii="Calibri" w:eastAsia="Calibri" w:hAnsi="Calibri" w:cs="Calibri"/>
          <w:sz w:val="24"/>
          <w:lang w:val="en-GB" w:eastAsia="en-US"/>
        </w:rPr>
        <w:t xml:space="preserve">usiness </w:t>
      </w:r>
      <w:r>
        <w:rPr>
          <w:rFonts w:ascii="Calibri" w:eastAsia="Calibri" w:hAnsi="Calibri" w:cs="Calibri"/>
          <w:sz w:val="24"/>
          <w:lang w:val="en-GB" w:eastAsia="en-US"/>
        </w:rPr>
        <w:t>C</w:t>
      </w:r>
      <w:r w:rsidR="00F760D9" w:rsidRPr="007B59C9">
        <w:rPr>
          <w:rFonts w:ascii="Calibri" w:eastAsia="Calibri" w:hAnsi="Calibri" w:cs="Calibri"/>
          <w:sz w:val="24"/>
          <w:lang w:val="en-GB" w:eastAsia="en-US"/>
        </w:rPr>
        <w:t xml:space="preserve">ontinuity and </w:t>
      </w:r>
      <w:r>
        <w:rPr>
          <w:rFonts w:ascii="Calibri" w:eastAsia="Calibri" w:hAnsi="Calibri" w:cs="Calibri"/>
          <w:sz w:val="24"/>
          <w:lang w:val="en-GB" w:eastAsia="en-US"/>
        </w:rPr>
        <w:t>I</w:t>
      </w:r>
      <w:r w:rsidR="00F760D9" w:rsidRPr="007B59C9">
        <w:rPr>
          <w:rFonts w:ascii="Calibri" w:eastAsia="Calibri" w:hAnsi="Calibri" w:cs="Calibri"/>
          <w:sz w:val="24"/>
          <w:lang w:val="en-GB" w:eastAsia="en-US"/>
        </w:rPr>
        <w:t xml:space="preserve">nformation </w:t>
      </w:r>
      <w:r>
        <w:rPr>
          <w:rFonts w:ascii="Calibri" w:eastAsia="Calibri" w:hAnsi="Calibri" w:cs="Calibri"/>
          <w:sz w:val="24"/>
          <w:lang w:val="en-GB" w:eastAsia="en-US"/>
        </w:rPr>
        <w:t>M</w:t>
      </w:r>
      <w:r w:rsidR="00F760D9" w:rsidRPr="007B59C9">
        <w:rPr>
          <w:rFonts w:ascii="Calibri" w:eastAsia="Calibri" w:hAnsi="Calibri" w:cs="Calibri"/>
          <w:sz w:val="24"/>
          <w:lang w:val="en-GB" w:eastAsia="en-US"/>
        </w:rPr>
        <w:t>anagement.</w:t>
      </w:r>
    </w:p>
    <w:p w14:paraId="5C879923" w14:textId="08FDA496" w:rsidR="00E12D3E" w:rsidRDefault="00E12D3E">
      <w:pPr>
        <w:rPr>
          <w:rFonts w:ascii="Calibri" w:eastAsia="Calibri" w:hAnsi="Calibri" w:cs="Calibri"/>
          <w:sz w:val="24"/>
          <w:lang w:val="en-GB" w:eastAsia="en-US"/>
        </w:rPr>
      </w:pPr>
    </w:p>
    <w:p w14:paraId="5592ED98" w14:textId="60B98007" w:rsidR="00F760D9" w:rsidRPr="007B59C9" w:rsidRDefault="00E12D3E" w:rsidP="00E12D3E">
      <w:pPr>
        <w:rPr>
          <w:rFonts w:ascii="Calibri" w:eastAsia="Calibri" w:hAnsi="Calibri" w:cs="Calibri"/>
          <w:sz w:val="24"/>
          <w:lang w:val="en-GB" w:eastAsia="en-US"/>
        </w:rPr>
      </w:pPr>
      <w:r>
        <w:rPr>
          <w:rFonts w:ascii="Calibri" w:eastAsia="Calibri" w:hAnsi="Calibri" w:cs="Calibri"/>
          <w:sz w:val="24"/>
          <w:lang w:val="en-GB" w:eastAsia="en-US"/>
        </w:rPr>
        <w:t>5.4</w:t>
      </w:r>
      <w:r>
        <w:rPr>
          <w:rFonts w:ascii="Calibri" w:eastAsia="Calibri" w:hAnsi="Calibri" w:cs="Calibri"/>
          <w:sz w:val="24"/>
          <w:lang w:val="en-GB" w:eastAsia="en-US"/>
        </w:rPr>
        <w:tab/>
        <w:t xml:space="preserve">Some delegates </w:t>
      </w:r>
      <w:r w:rsidR="00F760D9" w:rsidRPr="007B59C9">
        <w:rPr>
          <w:rFonts w:ascii="Calibri" w:eastAsia="Calibri" w:hAnsi="Calibri" w:cs="Calibri"/>
          <w:sz w:val="24"/>
          <w:lang w:val="en-GB" w:eastAsia="en-US"/>
        </w:rPr>
        <w:t>inquired whether the CHF</w:t>
      </w:r>
      <w:r>
        <w:rPr>
          <w:rFonts w:ascii="Calibri" w:eastAsia="Calibri" w:hAnsi="Calibri" w:cs="Calibri"/>
          <w:sz w:val="24"/>
          <w:lang w:val="en-GB" w:eastAsia="en-US"/>
        </w:rPr>
        <w:t> </w:t>
      </w:r>
      <w:r w:rsidR="00F760D9" w:rsidRPr="007B59C9">
        <w:rPr>
          <w:rFonts w:ascii="Calibri" w:eastAsia="Calibri" w:hAnsi="Calibri" w:cs="Calibri"/>
          <w:sz w:val="24"/>
          <w:lang w:val="en-GB" w:eastAsia="en-US"/>
        </w:rPr>
        <w:t xml:space="preserve">13 million required for the Business Continuity and Information Management activities would be sufficient to implement the PWC recommendations concerning </w:t>
      </w:r>
      <w:r w:rsidR="00F760D9" w:rsidRPr="007B59C9">
        <w:rPr>
          <w:rFonts w:ascii="Calibri" w:eastAsia="Calibri" w:hAnsi="Calibri" w:cs="Calibri"/>
          <w:i/>
          <w:iCs/>
          <w:sz w:val="24"/>
          <w:lang w:val="en-GB" w:eastAsia="en-US"/>
        </w:rPr>
        <w:t>Forensic Investigation readiness &amp; data management</w:t>
      </w:r>
      <w:r w:rsidR="00F760D9" w:rsidRPr="007B59C9">
        <w:rPr>
          <w:rFonts w:ascii="Calibri" w:eastAsia="Calibri" w:hAnsi="Calibri" w:cs="Calibri"/>
          <w:sz w:val="24"/>
          <w:lang w:val="en-GB" w:eastAsia="en-US"/>
        </w:rPr>
        <w:t xml:space="preserve">. Another </w:t>
      </w:r>
      <w:r>
        <w:rPr>
          <w:rFonts w:ascii="Calibri" w:eastAsia="Calibri" w:hAnsi="Calibri" w:cs="Calibri"/>
          <w:sz w:val="24"/>
          <w:lang w:val="en-GB" w:eastAsia="en-US"/>
        </w:rPr>
        <w:t xml:space="preserve">delegate </w:t>
      </w:r>
      <w:r w:rsidR="00F760D9" w:rsidRPr="007B59C9">
        <w:rPr>
          <w:rFonts w:ascii="Calibri" w:eastAsia="Calibri" w:hAnsi="Calibri" w:cs="Calibri"/>
          <w:sz w:val="24"/>
          <w:lang w:val="en-GB" w:eastAsia="en-US"/>
        </w:rPr>
        <w:t>inquired whether the caveat mentioned in the Note by the Secretariat</w:t>
      </w:r>
      <w:r>
        <w:rPr>
          <w:rFonts w:ascii="Calibri" w:eastAsia="Calibri" w:hAnsi="Calibri" w:cs="Calibri"/>
          <w:sz w:val="24"/>
          <w:lang w:val="en-GB" w:eastAsia="en-US"/>
        </w:rPr>
        <w:br/>
      </w:r>
      <w:r w:rsidR="00F760D9" w:rsidRPr="007B59C9">
        <w:rPr>
          <w:rFonts w:ascii="Calibri" w:eastAsia="Calibri" w:hAnsi="Calibri" w:cs="Calibri"/>
          <w:sz w:val="24"/>
          <w:lang w:val="en-GB" w:eastAsia="en-US"/>
        </w:rPr>
        <w:t>(</w:t>
      </w:r>
      <w:r>
        <w:rPr>
          <w:rFonts w:ascii="Calibri" w:eastAsia="Calibri" w:hAnsi="Calibri" w:cs="Calibri"/>
          <w:sz w:val="24"/>
          <w:lang w:val="en-GB" w:eastAsia="en-US"/>
        </w:rPr>
        <w:t xml:space="preserve">document </w:t>
      </w:r>
      <w:r w:rsidR="00F760D9" w:rsidRPr="007B59C9">
        <w:rPr>
          <w:rFonts w:ascii="Calibri" w:eastAsia="Calibri" w:hAnsi="Calibri" w:cs="Calibri"/>
          <w:sz w:val="24"/>
          <w:lang w:val="en-GB" w:eastAsia="en-US"/>
        </w:rPr>
        <w:t>CWG-FHR-14/9</w:t>
      </w:r>
      <w:r>
        <w:rPr>
          <w:rFonts w:ascii="Calibri" w:eastAsia="Calibri" w:hAnsi="Calibri" w:cs="Calibri"/>
          <w:sz w:val="24"/>
          <w:lang w:val="en-GB" w:eastAsia="en-US"/>
        </w:rPr>
        <w:t xml:space="preserve"> – Annex 1</w:t>
      </w:r>
      <w:r w:rsidR="00F760D9" w:rsidRPr="007B59C9">
        <w:rPr>
          <w:rFonts w:ascii="Calibri" w:eastAsia="Calibri" w:hAnsi="Calibri" w:cs="Calibri"/>
          <w:sz w:val="24"/>
          <w:lang w:val="en-GB" w:eastAsia="en-US"/>
        </w:rPr>
        <w:t xml:space="preserve">) meant that the resources to implement the Business Continuity and Information Management activities would be a prerequisite for implementation of recommendations 62-69 in the PWC report. The </w:t>
      </w:r>
      <w:r>
        <w:rPr>
          <w:rFonts w:ascii="Calibri" w:eastAsia="Calibri" w:hAnsi="Calibri" w:cs="Calibri"/>
          <w:sz w:val="24"/>
          <w:lang w:val="en-GB" w:eastAsia="en-US"/>
        </w:rPr>
        <w:t>s</w:t>
      </w:r>
      <w:r w:rsidR="00F760D9" w:rsidRPr="007B59C9">
        <w:rPr>
          <w:rFonts w:ascii="Calibri" w:eastAsia="Calibri" w:hAnsi="Calibri" w:cs="Calibri"/>
          <w:sz w:val="24"/>
          <w:lang w:val="en-GB" w:eastAsia="en-US"/>
        </w:rPr>
        <w:t>ecretariat confirmed that it had pre-empted the PWC requirements already in document C20/53 submitted to Council in April 2020 and that those resources would be necessary for implementing the PWC recommendations (62-69) as the recommendation</w:t>
      </w:r>
      <w:r>
        <w:rPr>
          <w:rFonts w:ascii="Calibri" w:eastAsia="Calibri" w:hAnsi="Calibri" w:cs="Calibri"/>
          <w:sz w:val="24"/>
          <w:lang w:val="en-GB" w:eastAsia="en-US"/>
        </w:rPr>
        <w:t>s</w:t>
      </w:r>
      <w:r w:rsidR="00F760D9" w:rsidRPr="007B59C9">
        <w:rPr>
          <w:rFonts w:ascii="Calibri" w:eastAsia="Calibri" w:hAnsi="Calibri" w:cs="Calibri"/>
          <w:sz w:val="24"/>
          <w:lang w:val="en-GB" w:eastAsia="en-US"/>
        </w:rPr>
        <w:t xml:space="preserve"> included identification of information in all locations, on all devices with clear classification, retentions schedules, protection of data privacy and ensuring availability for eventual future forensic audits.</w:t>
      </w:r>
    </w:p>
    <w:p w14:paraId="3D7E6E68" w14:textId="77777777" w:rsidR="00E12D3E" w:rsidRDefault="00E12D3E" w:rsidP="00E12D3E">
      <w:pPr>
        <w:rPr>
          <w:rFonts w:ascii="Calibri" w:eastAsia="Calibri" w:hAnsi="Calibri" w:cs="Calibri"/>
          <w:sz w:val="24"/>
          <w:lang w:val="en-GB" w:eastAsia="en-US"/>
        </w:rPr>
      </w:pPr>
    </w:p>
    <w:p w14:paraId="00B1C886" w14:textId="30756111" w:rsidR="00F760D9" w:rsidRPr="007B59C9" w:rsidRDefault="00E12D3E" w:rsidP="00E12D3E">
      <w:pPr>
        <w:rPr>
          <w:rFonts w:ascii="Calibri" w:eastAsia="Calibri" w:hAnsi="Calibri" w:cs="Calibri"/>
          <w:sz w:val="24"/>
          <w:lang w:val="en-GB" w:eastAsia="en-US"/>
        </w:rPr>
      </w:pPr>
      <w:r>
        <w:rPr>
          <w:rFonts w:ascii="Calibri" w:eastAsia="Calibri" w:hAnsi="Calibri" w:cs="Calibri"/>
          <w:sz w:val="24"/>
          <w:lang w:val="en-GB" w:eastAsia="en-US"/>
        </w:rPr>
        <w:t>5.5</w:t>
      </w:r>
      <w:r>
        <w:rPr>
          <w:rFonts w:ascii="Calibri" w:eastAsia="Calibri" w:hAnsi="Calibri" w:cs="Calibri"/>
          <w:sz w:val="24"/>
          <w:lang w:val="en-GB" w:eastAsia="en-US"/>
        </w:rPr>
        <w:tab/>
      </w:r>
      <w:r w:rsidR="00A654E4">
        <w:rPr>
          <w:rFonts w:ascii="Calibri" w:eastAsia="Calibri" w:hAnsi="Calibri" w:cs="Calibri"/>
          <w:sz w:val="24"/>
          <w:lang w:val="en-GB" w:eastAsia="en-US"/>
        </w:rPr>
        <w:t>Several d</w:t>
      </w:r>
      <w:r>
        <w:rPr>
          <w:rFonts w:ascii="Calibri" w:eastAsia="Calibri" w:hAnsi="Calibri" w:cs="Calibri"/>
          <w:sz w:val="24"/>
          <w:lang w:val="en-GB" w:eastAsia="en-US"/>
        </w:rPr>
        <w:t xml:space="preserve">elegates </w:t>
      </w:r>
      <w:r w:rsidR="00F760D9" w:rsidRPr="007B59C9">
        <w:rPr>
          <w:rFonts w:ascii="Calibri" w:eastAsia="Calibri" w:hAnsi="Calibri" w:cs="Calibri"/>
          <w:sz w:val="24"/>
          <w:lang w:val="en-GB" w:eastAsia="en-US"/>
        </w:rPr>
        <w:t>inquired whether the CHF 1.4</w:t>
      </w:r>
      <w:r>
        <w:rPr>
          <w:rFonts w:ascii="Calibri" w:eastAsia="Calibri" w:hAnsi="Calibri" w:cs="Calibri"/>
          <w:sz w:val="24"/>
          <w:lang w:val="en-GB" w:eastAsia="en-US"/>
        </w:rPr>
        <w:t> </w:t>
      </w:r>
      <w:r w:rsidR="00F760D9" w:rsidRPr="007B59C9">
        <w:rPr>
          <w:rFonts w:ascii="Calibri" w:eastAsia="Calibri" w:hAnsi="Calibri" w:cs="Calibri"/>
          <w:sz w:val="24"/>
          <w:lang w:val="en-GB" w:eastAsia="en-US"/>
        </w:rPr>
        <w:t xml:space="preserve">million requested for 2021 to start the activities had changed. The </w:t>
      </w:r>
      <w:r>
        <w:rPr>
          <w:rFonts w:ascii="Calibri" w:eastAsia="Calibri" w:hAnsi="Calibri" w:cs="Calibri"/>
          <w:sz w:val="24"/>
          <w:lang w:val="en-GB" w:eastAsia="en-US"/>
        </w:rPr>
        <w:t>s</w:t>
      </w:r>
      <w:r w:rsidR="00F760D9" w:rsidRPr="007B59C9">
        <w:rPr>
          <w:rFonts w:ascii="Calibri" w:eastAsia="Calibri" w:hAnsi="Calibri" w:cs="Calibri"/>
          <w:sz w:val="24"/>
          <w:lang w:val="en-GB" w:eastAsia="en-US"/>
        </w:rPr>
        <w:t>ecretariat highlighted that the overall request for CHF 13</w:t>
      </w:r>
      <w:r>
        <w:rPr>
          <w:rFonts w:ascii="Calibri" w:eastAsia="Calibri" w:hAnsi="Calibri" w:cs="Calibri"/>
          <w:sz w:val="24"/>
          <w:lang w:val="en-GB" w:eastAsia="en-US"/>
        </w:rPr>
        <w:t> </w:t>
      </w:r>
      <w:r w:rsidR="00F760D9" w:rsidRPr="007B59C9">
        <w:rPr>
          <w:rFonts w:ascii="Calibri" w:eastAsia="Calibri" w:hAnsi="Calibri" w:cs="Calibri"/>
          <w:sz w:val="24"/>
          <w:lang w:val="en-GB" w:eastAsia="en-US"/>
        </w:rPr>
        <w:t>million presented in April 2020 had not changed and explained that the requests for CHF</w:t>
      </w:r>
      <w:r w:rsidR="00A654E4">
        <w:rPr>
          <w:rFonts w:ascii="Calibri" w:eastAsia="Calibri" w:hAnsi="Calibri" w:cs="Calibri"/>
          <w:sz w:val="24"/>
          <w:lang w:val="en-GB" w:eastAsia="en-US"/>
        </w:rPr>
        <w:t> </w:t>
      </w:r>
      <w:r w:rsidR="00F760D9" w:rsidRPr="007B59C9">
        <w:rPr>
          <w:rFonts w:ascii="Calibri" w:eastAsia="Calibri" w:hAnsi="Calibri" w:cs="Calibri"/>
          <w:sz w:val="24"/>
          <w:lang w:val="en-GB" w:eastAsia="en-US"/>
        </w:rPr>
        <w:t>1.4 million for 2021,</w:t>
      </w:r>
      <w:r w:rsidR="00A654E4">
        <w:rPr>
          <w:rFonts w:ascii="Calibri" w:eastAsia="Calibri" w:hAnsi="Calibri" w:cs="Calibri"/>
          <w:sz w:val="24"/>
          <w:lang w:val="en-GB" w:eastAsia="en-US"/>
        </w:rPr>
        <w:t xml:space="preserve"> </w:t>
      </w:r>
      <w:r w:rsidR="00F760D9" w:rsidRPr="007B59C9">
        <w:rPr>
          <w:rFonts w:ascii="Calibri" w:eastAsia="Calibri" w:hAnsi="Calibri" w:cs="Calibri"/>
          <w:sz w:val="24"/>
          <w:lang w:val="en-GB" w:eastAsia="en-US"/>
        </w:rPr>
        <w:t>CHF 3.4</w:t>
      </w:r>
      <w:r w:rsidR="00A654E4">
        <w:rPr>
          <w:rFonts w:ascii="Calibri" w:eastAsia="Calibri" w:hAnsi="Calibri" w:cs="Calibri"/>
          <w:sz w:val="24"/>
          <w:lang w:val="en-GB" w:eastAsia="en-US"/>
        </w:rPr>
        <w:t> </w:t>
      </w:r>
      <w:r w:rsidR="00F760D9" w:rsidRPr="007B59C9">
        <w:rPr>
          <w:rFonts w:ascii="Calibri" w:eastAsia="Calibri" w:hAnsi="Calibri" w:cs="Calibri"/>
          <w:sz w:val="24"/>
          <w:lang w:val="en-GB" w:eastAsia="en-US"/>
        </w:rPr>
        <w:t>million for 2022-2023 and CHF 8.2</w:t>
      </w:r>
      <w:r w:rsidR="00A654E4">
        <w:rPr>
          <w:rFonts w:ascii="Calibri" w:eastAsia="Calibri" w:hAnsi="Calibri" w:cs="Calibri"/>
          <w:sz w:val="24"/>
          <w:lang w:val="en-GB" w:eastAsia="en-US"/>
        </w:rPr>
        <w:t> </w:t>
      </w:r>
      <w:r w:rsidR="00F760D9" w:rsidRPr="007B59C9">
        <w:rPr>
          <w:rFonts w:ascii="Calibri" w:eastAsia="Calibri" w:hAnsi="Calibri" w:cs="Calibri"/>
          <w:sz w:val="24"/>
          <w:lang w:val="en-GB" w:eastAsia="en-US"/>
        </w:rPr>
        <w:t>million for 2024-2027 were still valid, but the delay in identifying the funding resources, meant that the 1.4 million requested for 2021 would have to be included in the 2022 budget instead.</w:t>
      </w:r>
    </w:p>
    <w:p w14:paraId="11A7AA54" w14:textId="77777777" w:rsidR="00E12D3E" w:rsidRDefault="00E12D3E" w:rsidP="00E12D3E">
      <w:pPr>
        <w:rPr>
          <w:rFonts w:ascii="Calibri" w:eastAsia="Calibri" w:hAnsi="Calibri" w:cs="Calibri"/>
          <w:sz w:val="24"/>
          <w:lang w:val="en-GB" w:eastAsia="en-US"/>
        </w:rPr>
      </w:pPr>
    </w:p>
    <w:p w14:paraId="3F666A29" w14:textId="1D1FB19B" w:rsidR="00F760D9" w:rsidRPr="007B59C9" w:rsidRDefault="00E12D3E" w:rsidP="00E12D3E">
      <w:pPr>
        <w:rPr>
          <w:rFonts w:ascii="Calibri" w:eastAsia="Calibri" w:hAnsi="Calibri" w:cs="Calibri"/>
          <w:sz w:val="24"/>
          <w:lang w:val="en-GB" w:eastAsia="en-US"/>
        </w:rPr>
      </w:pPr>
      <w:r>
        <w:rPr>
          <w:rFonts w:ascii="Calibri" w:eastAsia="Calibri" w:hAnsi="Calibri" w:cs="Calibri"/>
          <w:sz w:val="24"/>
          <w:lang w:val="en-GB" w:eastAsia="en-US"/>
        </w:rPr>
        <w:t>5.6</w:t>
      </w:r>
      <w:r>
        <w:rPr>
          <w:rFonts w:ascii="Calibri" w:eastAsia="Calibri" w:hAnsi="Calibri" w:cs="Calibri"/>
          <w:sz w:val="24"/>
          <w:lang w:val="en-GB" w:eastAsia="en-US"/>
        </w:rPr>
        <w:tab/>
      </w:r>
      <w:r w:rsidR="00A654E4">
        <w:rPr>
          <w:rFonts w:ascii="Calibri" w:eastAsia="Calibri" w:hAnsi="Calibri" w:cs="Calibri"/>
          <w:sz w:val="24"/>
          <w:lang w:val="en-GB" w:eastAsia="en-US"/>
        </w:rPr>
        <w:t xml:space="preserve">Some delegates </w:t>
      </w:r>
      <w:r w:rsidR="00F760D9" w:rsidRPr="007B59C9">
        <w:rPr>
          <w:rFonts w:ascii="Calibri" w:eastAsia="Calibri" w:hAnsi="Calibri" w:cs="Calibri"/>
          <w:sz w:val="24"/>
          <w:lang w:val="en-GB" w:eastAsia="en-US"/>
        </w:rPr>
        <w:t>supported the need for the additional resources and suggested that</w:t>
      </w:r>
      <w:r w:rsidR="00A654E4">
        <w:rPr>
          <w:rFonts w:ascii="Calibri" w:eastAsia="Calibri" w:hAnsi="Calibri" w:cs="Calibri"/>
          <w:sz w:val="24"/>
          <w:lang w:val="en-GB" w:eastAsia="en-US"/>
        </w:rPr>
        <w:br/>
      </w:r>
      <w:r w:rsidR="00F760D9" w:rsidRPr="007B59C9">
        <w:rPr>
          <w:rFonts w:ascii="Calibri" w:eastAsia="Calibri" w:hAnsi="Calibri" w:cs="Calibri"/>
          <w:sz w:val="24"/>
          <w:lang w:val="en-GB" w:eastAsia="en-US"/>
        </w:rPr>
        <w:t>CWG-FHR liaise with CWG-SFP to include such strategic requirements in the 2024-2027 Strategic Plan. For the urgent need for resources in 2022-2023</w:t>
      </w:r>
      <w:r w:rsidR="00A654E4">
        <w:rPr>
          <w:rFonts w:ascii="Calibri" w:eastAsia="Calibri" w:hAnsi="Calibri" w:cs="Calibri"/>
          <w:sz w:val="24"/>
          <w:lang w:val="en-GB" w:eastAsia="en-US"/>
        </w:rPr>
        <w:t>,</w:t>
      </w:r>
      <w:r w:rsidR="00F760D9" w:rsidRPr="007B59C9">
        <w:rPr>
          <w:rFonts w:ascii="Calibri" w:eastAsia="Calibri" w:hAnsi="Calibri" w:cs="Calibri"/>
          <w:sz w:val="24"/>
          <w:lang w:val="en-GB" w:eastAsia="en-US"/>
        </w:rPr>
        <w:t xml:space="preserve"> the CWG-FHR </w:t>
      </w:r>
      <w:r w:rsidR="00A654E4">
        <w:rPr>
          <w:rFonts w:ascii="Calibri" w:eastAsia="Calibri" w:hAnsi="Calibri" w:cs="Calibri"/>
          <w:sz w:val="24"/>
          <w:lang w:val="en-GB" w:eastAsia="en-US"/>
        </w:rPr>
        <w:t xml:space="preserve">should at its next meeting </w:t>
      </w:r>
      <w:r w:rsidR="00F760D9" w:rsidRPr="007B59C9">
        <w:rPr>
          <w:rFonts w:ascii="Calibri" w:eastAsia="Calibri" w:hAnsi="Calibri" w:cs="Calibri"/>
          <w:sz w:val="24"/>
          <w:lang w:val="en-GB" w:eastAsia="en-US"/>
        </w:rPr>
        <w:t>in January</w:t>
      </w:r>
      <w:r w:rsidR="00A654E4">
        <w:rPr>
          <w:rFonts w:ascii="Calibri" w:eastAsia="Calibri" w:hAnsi="Calibri" w:cs="Calibri"/>
          <w:sz w:val="24"/>
          <w:lang w:val="en-GB" w:eastAsia="en-US"/>
        </w:rPr>
        <w:t> </w:t>
      </w:r>
      <w:r w:rsidR="00F760D9" w:rsidRPr="007B59C9">
        <w:rPr>
          <w:rFonts w:ascii="Calibri" w:eastAsia="Calibri" w:hAnsi="Calibri" w:cs="Calibri"/>
          <w:sz w:val="24"/>
          <w:lang w:val="en-GB" w:eastAsia="en-US"/>
        </w:rPr>
        <w:t>2022 recommend a funding mechanism to Council-22 (reprioritise 2022-2023 activities, use the Reserve Account or savings).</w:t>
      </w:r>
    </w:p>
    <w:p w14:paraId="72773DB5" w14:textId="77777777" w:rsidR="00E12D3E" w:rsidRDefault="00E12D3E" w:rsidP="00E12D3E">
      <w:pPr>
        <w:tabs>
          <w:tab w:val="left" w:pos="709"/>
        </w:tabs>
        <w:overflowPunct w:val="0"/>
        <w:autoSpaceDE w:val="0"/>
        <w:autoSpaceDN w:val="0"/>
        <w:adjustRightInd w:val="0"/>
        <w:snapToGrid w:val="0"/>
        <w:textAlignment w:val="baseline"/>
        <w:rPr>
          <w:rFonts w:ascii="Calibri" w:eastAsia="Calibri" w:hAnsi="Calibri" w:cs="Calibri"/>
          <w:b/>
          <w:bCs/>
          <w:sz w:val="24"/>
          <w:lang w:val="en-GB" w:eastAsia="en-US"/>
        </w:rPr>
      </w:pPr>
    </w:p>
    <w:p w14:paraId="1F40DF6F" w14:textId="5CD08087" w:rsidR="00723164" w:rsidRPr="007B59C9" w:rsidRDefault="00E12D3E" w:rsidP="00E12D3E">
      <w:pPr>
        <w:tabs>
          <w:tab w:val="left" w:pos="709"/>
        </w:tabs>
        <w:overflowPunct w:val="0"/>
        <w:autoSpaceDE w:val="0"/>
        <w:autoSpaceDN w:val="0"/>
        <w:adjustRightInd w:val="0"/>
        <w:snapToGrid w:val="0"/>
        <w:textAlignment w:val="baseline"/>
        <w:rPr>
          <w:rFonts w:ascii="Calibri" w:hAnsi="Calibri" w:cs="Calibri"/>
          <w:sz w:val="24"/>
        </w:rPr>
      </w:pPr>
      <w:r w:rsidRPr="00E12D3E">
        <w:rPr>
          <w:rFonts w:ascii="Calibri" w:eastAsia="Calibri" w:hAnsi="Calibri" w:cs="Calibri"/>
          <w:sz w:val="24"/>
          <w:lang w:val="en-GB" w:eastAsia="en-US"/>
        </w:rPr>
        <w:t>5.7</w:t>
      </w:r>
      <w:r w:rsidRPr="00E12D3E">
        <w:rPr>
          <w:rFonts w:ascii="Calibri" w:eastAsia="Calibri" w:hAnsi="Calibri" w:cs="Calibri"/>
          <w:sz w:val="24"/>
          <w:lang w:val="en-GB" w:eastAsia="en-US"/>
        </w:rPr>
        <w:tab/>
      </w:r>
      <w:r w:rsidR="00F760D9" w:rsidRPr="00E12D3E">
        <w:rPr>
          <w:rFonts w:ascii="Calibri" w:eastAsia="Calibri" w:hAnsi="Calibri" w:cs="Calibri"/>
          <w:sz w:val="24"/>
          <w:lang w:val="en-GB" w:eastAsia="en-US"/>
        </w:rPr>
        <w:t>The Chair</w:t>
      </w:r>
      <w:r w:rsidR="00A654E4">
        <w:rPr>
          <w:rFonts w:ascii="Calibri" w:eastAsia="Calibri" w:hAnsi="Calibri" w:cs="Calibri"/>
          <w:sz w:val="24"/>
          <w:lang w:val="en-GB" w:eastAsia="en-US"/>
        </w:rPr>
        <w:t>person</w:t>
      </w:r>
      <w:r w:rsidR="00F760D9" w:rsidRPr="00E12D3E">
        <w:rPr>
          <w:rFonts w:ascii="Calibri" w:eastAsia="Calibri" w:hAnsi="Calibri" w:cs="Calibri"/>
          <w:sz w:val="24"/>
          <w:lang w:val="en-GB" w:eastAsia="en-US"/>
        </w:rPr>
        <w:t xml:space="preserve"> requested the </w:t>
      </w:r>
      <w:r w:rsidR="00A654E4">
        <w:rPr>
          <w:rFonts w:ascii="Calibri" w:eastAsia="Calibri" w:hAnsi="Calibri" w:cs="Calibri"/>
          <w:sz w:val="24"/>
          <w:lang w:val="en-GB" w:eastAsia="en-US"/>
        </w:rPr>
        <w:t>s</w:t>
      </w:r>
      <w:r w:rsidR="00F760D9" w:rsidRPr="00E12D3E">
        <w:rPr>
          <w:rFonts w:ascii="Calibri" w:eastAsia="Calibri" w:hAnsi="Calibri" w:cs="Calibri"/>
          <w:sz w:val="24"/>
          <w:lang w:val="en-GB" w:eastAsia="en-US"/>
        </w:rPr>
        <w:t>ecretariat to prepare a revised funding schedule</w:t>
      </w:r>
      <w:r w:rsidR="00A654E4">
        <w:rPr>
          <w:rFonts w:ascii="Calibri" w:eastAsia="Calibri" w:hAnsi="Calibri" w:cs="Calibri"/>
          <w:sz w:val="24"/>
          <w:lang w:val="en-GB" w:eastAsia="en-US"/>
        </w:rPr>
        <w:br/>
      </w:r>
      <w:r w:rsidR="00F760D9" w:rsidRPr="00E12D3E">
        <w:rPr>
          <w:rFonts w:ascii="Calibri" w:eastAsia="Calibri" w:hAnsi="Calibri" w:cs="Calibri"/>
          <w:sz w:val="24"/>
          <w:lang w:val="en-GB" w:eastAsia="en-US"/>
        </w:rPr>
        <w:t>(2022-2027) and</w:t>
      </w:r>
      <w:r w:rsidR="00F760D9" w:rsidRPr="007B59C9">
        <w:rPr>
          <w:rFonts w:ascii="Calibri" w:eastAsia="Calibri" w:hAnsi="Calibri" w:cs="Calibri"/>
          <w:sz w:val="24"/>
          <w:lang w:val="en-GB" w:eastAsia="en-US"/>
        </w:rPr>
        <w:t xml:space="preserve"> present it to the next </w:t>
      </w:r>
      <w:r w:rsidR="00A654E4">
        <w:rPr>
          <w:rFonts w:ascii="Calibri" w:eastAsia="Calibri" w:hAnsi="Calibri" w:cs="Calibri"/>
          <w:sz w:val="24"/>
          <w:lang w:val="en-GB" w:eastAsia="en-US"/>
        </w:rPr>
        <w:t>meeting</w:t>
      </w:r>
      <w:r w:rsidR="00F760D9" w:rsidRPr="007B59C9">
        <w:rPr>
          <w:rFonts w:ascii="Calibri" w:eastAsia="Calibri" w:hAnsi="Calibri" w:cs="Calibri"/>
          <w:sz w:val="24"/>
          <w:lang w:val="en-GB" w:eastAsia="en-US"/>
        </w:rPr>
        <w:t xml:space="preserve"> of CWG-FHR in January 2022.</w:t>
      </w:r>
    </w:p>
    <w:p w14:paraId="737EADB5" w14:textId="2B06EDB0" w:rsidR="00723164" w:rsidRPr="007B59C9" w:rsidRDefault="00723164" w:rsidP="00290D95">
      <w:pPr>
        <w:tabs>
          <w:tab w:val="left" w:pos="709"/>
        </w:tabs>
        <w:overflowPunct w:val="0"/>
        <w:autoSpaceDE w:val="0"/>
        <w:autoSpaceDN w:val="0"/>
        <w:adjustRightInd w:val="0"/>
        <w:snapToGrid w:val="0"/>
        <w:textAlignment w:val="baseline"/>
        <w:rPr>
          <w:rFonts w:ascii="Calibri" w:hAnsi="Calibri" w:cs="Calibri"/>
          <w:b/>
          <w:bCs/>
          <w:sz w:val="24"/>
        </w:rPr>
      </w:pPr>
    </w:p>
    <w:p w14:paraId="26313D2D" w14:textId="7598849C" w:rsidR="00F20DE3" w:rsidRPr="00550582" w:rsidRDefault="00F20DE3" w:rsidP="00F20DE3">
      <w:pPr>
        <w:tabs>
          <w:tab w:val="left" w:pos="709"/>
        </w:tabs>
        <w:overflowPunct w:val="0"/>
        <w:autoSpaceDE w:val="0"/>
        <w:autoSpaceDN w:val="0"/>
        <w:adjustRightInd w:val="0"/>
        <w:snapToGrid w:val="0"/>
        <w:textAlignment w:val="baseline"/>
        <w:rPr>
          <w:rFonts w:ascii="Calibri" w:hAnsi="Calibri" w:cs="Calibri"/>
          <w:b/>
          <w:bCs/>
          <w:sz w:val="24"/>
        </w:rPr>
      </w:pPr>
      <w:r>
        <w:rPr>
          <w:rFonts w:asciiTheme="minorHAnsi" w:hAnsiTheme="minorHAnsi" w:cstheme="minorHAnsi"/>
          <w:b/>
          <w:bCs/>
          <w:sz w:val="24"/>
        </w:rPr>
        <w:t>6</w:t>
      </w:r>
      <w:r>
        <w:rPr>
          <w:rFonts w:asciiTheme="minorHAnsi" w:hAnsiTheme="minorHAnsi" w:cstheme="minorHAnsi"/>
          <w:b/>
          <w:bCs/>
          <w:sz w:val="24"/>
        </w:rPr>
        <w:tab/>
      </w:r>
      <w:r w:rsidRPr="00550582">
        <w:rPr>
          <w:rFonts w:ascii="Calibri" w:hAnsi="Calibri" w:cs="Calibri"/>
          <w:b/>
          <w:bCs/>
          <w:sz w:val="24"/>
        </w:rPr>
        <w:t xml:space="preserve">In-kind contribution guidelines (Document </w:t>
      </w:r>
      <w:hyperlink r:id="rId19" w:history="1">
        <w:r w:rsidRPr="00550582">
          <w:rPr>
            <w:rStyle w:val="Hyperlink"/>
            <w:rFonts w:ascii="Calibri" w:hAnsi="Calibri" w:cs="Calibri"/>
            <w:b/>
            <w:bCs/>
            <w:sz w:val="24"/>
          </w:rPr>
          <w:t>CWG-FHR-</w:t>
        </w:r>
      </w:hyperlink>
      <w:r w:rsidRPr="00550582">
        <w:rPr>
          <w:rStyle w:val="Hyperlink"/>
          <w:rFonts w:ascii="Calibri" w:hAnsi="Calibri" w:cs="Calibri"/>
          <w:b/>
          <w:bCs/>
          <w:sz w:val="24"/>
        </w:rPr>
        <w:t>14/3</w:t>
      </w:r>
      <w:r w:rsidRPr="00022E91">
        <w:rPr>
          <w:rStyle w:val="Hyperlink"/>
          <w:rFonts w:ascii="Calibri" w:hAnsi="Calibri" w:cs="Calibri"/>
          <w:b/>
          <w:bCs/>
          <w:color w:val="auto"/>
          <w:sz w:val="24"/>
        </w:rPr>
        <w:t>)</w:t>
      </w:r>
      <w:r w:rsidRPr="00022E91">
        <w:rPr>
          <w:rStyle w:val="Hyperlink"/>
          <w:rFonts w:ascii="Calibri" w:hAnsi="Calibri" w:cs="Calibri"/>
          <w:b/>
          <w:bCs/>
          <w:color w:val="auto"/>
          <w:sz w:val="24"/>
          <w:u w:val="none"/>
        </w:rPr>
        <w:t xml:space="preserve"> and </w:t>
      </w:r>
      <w:r w:rsidRPr="00550582">
        <w:rPr>
          <w:rFonts w:ascii="Calibri" w:hAnsi="Calibri" w:cs="Calibri"/>
          <w:b/>
          <w:bCs/>
          <w:sz w:val="24"/>
        </w:rPr>
        <w:t xml:space="preserve">Modifications to the </w:t>
      </w:r>
      <w:r>
        <w:rPr>
          <w:rFonts w:ascii="Calibri" w:hAnsi="Calibri" w:cs="Calibri"/>
          <w:b/>
          <w:bCs/>
          <w:sz w:val="24"/>
        </w:rPr>
        <w:tab/>
      </w:r>
      <w:r w:rsidRPr="00550582">
        <w:rPr>
          <w:rFonts w:ascii="Calibri" w:hAnsi="Calibri" w:cs="Calibri"/>
          <w:b/>
          <w:bCs/>
          <w:sz w:val="24"/>
        </w:rPr>
        <w:t xml:space="preserve">Financial Regulations and Financial Rules (Document </w:t>
      </w:r>
      <w:hyperlink r:id="rId20" w:history="1">
        <w:r w:rsidRPr="00550582">
          <w:rPr>
            <w:rStyle w:val="Hyperlink"/>
            <w:rFonts w:ascii="Calibri" w:hAnsi="Calibri" w:cs="Calibri"/>
            <w:b/>
            <w:bCs/>
            <w:sz w:val="24"/>
          </w:rPr>
          <w:t>CWG-FHR-</w:t>
        </w:r>
      </w:hyperlink>
      <w:r w:rsidRPr="00550582">
        <w:rPr>
          <w:rStyle w:val="Hyperlink"/>
          <w:rFonts w:ascii="Calibri" w:hAnsi="Calibri" w:cs="Calibri"/>
          <w:b/>
          <w:bCs/>
          <w:sz w:val="24"/>
        </w:rPr>
        <w:t>14/4)</w:t>
      </w:r>
    </w:p>
    <w:p w14:paraId="3C4C7EA2" w14:textId="77777777" w:rsidR="00C95E55" w:rsidRDefault="00C95E55" w:rsidP="00C95E55">
      <w:pPr>
        <w:rPr>
          <w:rFonts w:ascii="Calibri" w:eastAsia="Times New Roman" w:hAnsi="Calibri" w:cs="Calibri"/>
          <w:bCs/>
          <w:sz w:val="24"/>
          <w:lang w:eastAsia="en-GB"/>
        </w:rPr>
      </w:pPr>
    </w:p>
    <w:p w14:paraId="13C3613F" w14:textId="2C629CD5" w:rsidR="00C95E55" w:rsidRPr="00C95E55" w:rsidRDefault="00C95E55" w:rsidP="00C95E55">
      <w:pPr>
        <w:rPr>
          <w:rFonts w:ascii="Calibri" w:eastAsia="Times New Roman" w:hAnsi="Calibri" w:cs="Calibri"/>
          <w:sz w:val="24"/>
        </w:rPr>
      </w:pPr>
      <w:r w:rsidRPr="00C95E55">
        <w:rPr>
          <w:rFonts w:ascii="Calibri" w:eastAsia="Times New Roman" w:hAnsi="Calibri" w:cs="Calibri"/>
          <w:bCs/>
          <w:sz w:val="24"/>
          <w:lang w:eastAsia="en-GB"/>
        </w:rPr>
        <w:t>6.1</w:t>
      </w:r>
      <w:r w:rsidRPr="00C95E55">
        <w:rPr>
          <w:rFonts w:ascii="Calibri" w:eastAsia="Times New Roman" w:hAnsi="Calibri" w:cs="Calibri"/>
          <w:bCs/>
          <w:sz w:val="24"/>
          <w:lang w:eastAsia="en-GB"/>
        </w:rPr>
        <w:tab/>
        <w:t>The secretariat presented document CWG-FHR-14/3 on in-kind contribution guidelines which ha</w:t>
      </w:r>
      <w:r w:rsidR="00B97956">
        <w:rPr>
          <w:rFonts w:ascii="Calibri" w:eastAsia="Times New Roman" w:hAnsi="Calibri" w:cs="Calibri"/>
          <w:bCs/>
          <w:sz w:val="24"/>
          <w:lang w:eastAsia="en-GB"/>
        </w:rPr>
        <w:t>d</w:t>
      </w:r>
      <w:r w:rsidRPr="00C95E55">
        <w:rPr>
          <w:rFonts w:ascii="Calibri" w:eastAsia="Times New Roman" w:hAnsi="Calibri" w:cs="Calibri"/>
          <w:bCs/>
          <w:sz w:val="24"/>
          <w:lang w:eastAsia="en-GB"/>
        </w:rPr>
        <w:t xml:space="preserve"> been prepared based on the</w:t>
      </w:r>
      <w:r w:rsidRPr="00C95E55">
        <w:rPr>
          <w:rFonts w:ascii="Calibri" w:eastAsia="Times New Roman" w:hAnsi="Calibri" w:cs="Calibri"/>
          <w:sz w:val="24"/>
        </w:rPr>
        <w:t xml:space="preserve"> contribution from the Russian Federation in Document</w:t>
      </w:r>
      <w:r w:rsidR="00444193">
        <w:rPr>
          <w:rFonts w:ascii="Calibri" w:eastAsia="Times New Roman" w:hAnsi="Calibri" w:cs="Calibri"/>
          <w:sz w:val="24"/>
        </w:rPr>
        <w:t> </w:t>
      </w:r>
      <w:r w:rsidRPr="00C95E55">
        <w:rPr>
          <w:rFonts w:ascii="Calibri" w:eastAsia="Times New Roman" w:hAnsi="Calibri" w:cs="Calibri"/>
          <w:sz w:val="24"/>
        </w:rPr>
        <w:t>CWG-FHR-12/15 and in line with the summary report of the 12</w:t>
      </w:r>
      <w:r w:rsidRPr="00C95E55">
        <w:rPr>
          <w:rFonts w:ascii="Calibri" w:eastAsia="Times New Roman" w:hAnsi="Calibri" w:cs="Calibri"/>
          <w:sz w:val="24"/>
          <w:vertAlign w:val="superscript"/>
        </w:rPr>
        <w:t>th</w:t>
      </w:r>
      <w:r w:rsidRPr="00C95E55">
        <w:rPr>
          <w:rFonts w:ascii="Calibri" w:eastAsia="Times New Roman" w:hAnsi="Calibri" w:cs="Calibri"/>
          <w:sz w:val="24"/>
        </w:rPr>
        <w:t xml:space="preserve"> CWG-FHR session (Document CWG-FHR-12/17) indicating what had been agreed during that session</w:t>
      </w:r>
      <w:r w:rsidR="00B97956">
        <w:rPr>
          <w:rFonts w:ascii="Calibri" w:eastAsia="Times New Roman" w:hAnsi="Calibri" w:cs="Calibri"/>
          <w:sz w:val="24"/>
        </w:rPr>
        <w:t xml:space="preserve">, namely, </w:t>
      </w:r>
      <w:r w:rsidRPr="00C95E55">
        <w:rPr>
          <w:rFonts w:ascii="Calibri" w:eastAsia="Times New Roman" w:hAnsi="Calibri" w:cs="Calibri"/>
          <w:sz w:val="24"/>
        </w:rPr>
        <w:t>that</w:t>
      </w:r>
      <w:r w:rsidRPr="00C95E55">
        <w:rPr>
          <w:rFonts w:ascii="Calibri" w:hAnsi="Calibri" w:cs="Calibri"/>
          <w:sz w:val="24"/>
        </w:rPr>
        <w:t xml:space="preserve"> the Russian Federation and the secretariat will work together to establish a methodology for calculating in-kind contributions and report to the next CWG-FHR session</w:t>
      </w:r>
      <w:r w:rsidRPr="00C95E55">
        <w:rPr>
          <w:rFonts w:ascii="Calibri" w:eastAsia="Times New Roman" w:hAnsi="Calibri" w:cs="Calibri"/>
          <w:sz w:val="24"/>
        </w:rPr>
        <w:t>.  Should these guidelines be approved by the Council, the secretariat will amend Annex 2 to the Financial Regulations and Financial Rules to reflect these guidelines on in-kind contributions.</w:t>
      </w:r>
    </w:p>
    <w:p w14:paraId="49766914" w14:textId="77777777" w:rsidR="00C95E55" w:rsidRPr="00C95E55" w:rsidRDefault="00C95E55" w:rsidP="00C95E55">
      <w:pPr>
        <w:rPr>
          <w:rFonts w:ascii="Calibri" w:eastAsia="Times New Roman" w:hAnsi="Calibri" w:cs="Calibri"/>
          <w:b/>
          <w:sz w:val="24"/>
          <w:lang w:eastAsia="en-GB"/>
        </w:rPr>
      </w:pPr>
    </w:p>
    <w:p w14:paraId="5EAA1123" w14:textId="2BDA3B15" w:rsidR="00C95E55" w:rsidRDefault="00C95E55" w:rsidP="00CA05AD">
      <w:pPr>
        <w:keepNext/>
        <w:keepLines/>
        <w:rPr>
          <w:rFonts w:ascii="Calibri" w:eastAsia="Times New Roman" w:hAnsi="Calibri" w:cs="Calibri"/>
          <w:bCs/>
          <w:sz w:val="24"/>
          <w:lang w:eastAsia="en-GB"/>
        </w:rPr>
      </w:pPr>
      <w:r w:rsidRPr="00C95E55">
        <w:rPr>
          <w:rFonts w:ascii="Calibri" w:eastAsia="Times New Roman" w:hAnsi="Calibri" w:cs="Calibri"/>
          <w:bCs/>
          <w:sz w:val="24"/>
          <w:lang w:eastAsia="en-GB"/>
        </w:rPr>
        <w:lastRenderedPageBreak/>
        <w:t>6.2</w:t>
      </w:r>
      <w:r w:rsidRPr="00C95E55">
        <w:rPr>
          <w:rFonts w:ascii="Calibri" w:eastAsia="Times New Roman" w:hAnsi="Calibri" w:cs="Calibri"/>
          <w:bCs/>
          <w:sz w:val="24"/>
          <w:lang w:eastAsia="en-GB"/>
        </w:rPr>
        <w:tab/>
        <w:t xml:space="preserve">Following a query from a couple of </w:t>
      </w:r>
      <w:r w:rsidR="00B97956">
        <w:rPr>
          <w:rFonts w:ascii="Calibri" w:eastAsia="Times New Roman" w:hAnsi="Calibri" w:cs="Calibri"/>
          <w:bCs/>
          <w:sz w:val="24"/>
          <w:lang w:eastAsia="en-GB"/>
        </w:rPr>
        <w:t xml:space="preserve">delegates, </w:t>
      </w:r>
      <w:r w:rsidRPr="00C95E55">
        <w:rPr>
          <w:rFonts w:ascii="Calibri" w:eastAsia="Times New Roman" w:hAnsi="Calibri" w:cs="Calibri"/>
          <w:bCs/>
          <w:sz w:val="24"/>
          <w:lang w:eastAsia="en-GB"/>
        </w:rPr>
        <w:t>the secretariat clarified that the secondment of staff from an administration to ITU is not considered as an in-kind contribution since the said administration provides a financial contribution by funding the assignment, while the staff is subjected to ITU regulations</w:t>
      </w:r>
      <w:r w:rsidR="00980872">
        <w:rPr>
          <w:rFonts w:ascii="Calibri" w:eastAsia="Times New Roman" w:hAnsi="Calibri" w:cs="Calibri"/>
          <w:bCs/>
          <w:sz w:val="24"/>
          <w:lang w:eastAsia="en-GB"/>
        </w:rPr>
        <w:t xml:space="preserve"> and rules</w:t>
      </w:r>
      <w:r w:rsidRPr="00C95E55">
        <w:rPr>
          <w:rFonts w:ascii="Calibri" w:eastAsia="Times New Roman" w:hAnsi="Calibri" w:cs="Calibri"/>
          <w:bCs/>
          <w:sz w:val="24"/>
          <w:lang w:eastAsia="en-GB"/>
        </w:rPr>
        <w:t xml:space="preserve">. Such funding is considered as cash contribution and is recorded as revenue with the corresponding expense. A list of the staff on secondment from administrations will be provided by the secretariat. Addressing the query as to whether such secondment entails encumbering a post in ITU, the secretariat informed </w:t>
      </w:r>
      <w:r w:rsidR="00B97956">
        <w:rPr>
          <w:rFonts w:ascii="Calibri" w:eastAsia="Times New Roman" w:hAnsi="Calibri" w:cs="Calibri"/>
          <w:bCs/>
          <w:sz w:val="24"/>
          <w:lang w:eastAsia="en-GB"/>
        </w:rPr>
        <w:t xml:space="preserve">delegates </w:t>
      </w:r>
      <w:r w:rsidRPr="00C95E55">
        <w:rPr>
          <w:rFonts w:ascii="Calibri" w:eastAsia="Times New Roman" w:hAnsi="Calibri" w:cs="Calibri"/>
          <w:bCs/>
          <w:sz w:val="24"/>
          <w:lang w:eastAsia="en-GB"/>
        </w:rPr>
        <w:t>that a temporary post is created and therefore the seconded staff does not occupy a budgeted post.</w:t>
      </w:r>
    </w:p>
    <w:p w14:paraId="6E195716" w14:textId="77777777" w:rsidR="00CA05AD" w:rsidRPr="00C95E55" w:rsidRDefault="00CA05AD" w:rsidP="00C95E55">
      <w:pPr>
        <w:rPr>
          <w:rFonts w:ascii="Calibri" w:eastAsia="Times New Roman" w:hAnsi="Calibri" w:cs="Calibri"/>
          <w:bCs/>
          <w:sz w:val="24"/>
          <w:lang w:eastAsia="en-GB"/>
        </w:rPr>
      </w:pPr>
    </w:p>
    <w:p w14:paraId="30E90F4D" w14:textId="7C5A5846" w:rsidR="00C95E55" w:rsidRPr="00C95E55" w:rsidRDefault="00C95E55" w:rsidP="00C95E55">
      <w:pPr>
        <w:rPr>
          <w:rFonts w:ascii="Calibri" w:eastAsia="Times New Roman" w:hAnsi="Calibri" w:cs="Calibri"/>
          <w:bCs/>
          <w:sz w:val="24"/>
          <w:lang w:eastAsia="en-GB"/>
        </w:rPr>
      </w:pPr>
      <w:r w:rsidRPr="00C95E55">
        <w:rPr>
          <w:rFonts w:ascii="Calibri" w:eastAsia="Times New Roman" w:hAnsi="Calibri" w:cs="Calibri"/>
          <w:bCs/>
          <w:sz w:val="24"/>
          <w:lang w:eastAsia="en-GB"/>
        </w:rPr>
        <w:t>6.3</w:t>
      </w:r>
      <w:r w:rsidRPr="00C95E55">
        <w:rPr>
          <w:rFonts w:ascii="Calibri" w:eastAsia="Times New Roman" w:hAnsi="Calibri" w:cs="Calibri"/>
          <w:bCs/>
          <w:sz w:val="24"/>
          <w:lang w:eastAsia="en-GB"/>
        </w:rPr>
        <w:tab/>
        <w:t xml:space="preserve">Addressing the query from </w:t>
      </w:r>
      <w:r w:rsidR="00B97956">
        <w:rPr>
          <w:rFonts w:ascii="Calibri" w:eastAsia="Times New Roman" w:hAnsi="Calibri" w:cs="Calibri"/>
          <w:bCs/>
          <w:sz w:val="24"/>
          <w:lang w:eastAsia="en-GB"/>
        </w:rPr>
        <w:t xml:space="preserve">one delegate, </w:t>
      </w:r>
      <w:r w:rsidRPr="00C95E55">
        <w:rPr>
          <w:rFonts w:ascii="Calibri" w:eastAsia="Times New Roman" w:hAnsi="Calibri" w:cs="Calibri"/>
          <w:bCs/>
          <w:sz w:val="24"/>
          <w:lang w:eastAsia="en-GB"/>
        </w:rPr>
        <w:t xml:space="preserve">the secretariat clarified that the document is in line with the regional initiative discussed in WTDC in Buenos Aires wherein </w:t>
      </w:r>
      <w:r w:rsidR="00B97956">
        <w:rPr>
          <w:rFonts w:ascii="Calibri" w:eastAsia="Times New Roman" w:hAnsi="Calibri" w:cs="Calibri"/>
          <w:bCs/>
          <w:sz w:val="24"/>
          <w:lang w:eastAsia="en-GB"/>
        </w:rPr>
        <w:t xml:space="preserve">delegates </w:t>
      </w:r>
      <w:r w:rsidRPr="00C95E55">
        <w:rPr>
          <w:rFonts w:ascii="Calibri" w:eastAsia="Times New Roman" w:hAnsi="Calibri" w:cs="Calibri"/>
          <w:bCs/>
          <w:sz w:val="24"/>
          <w:lang w:eastAsia="en-GB"/>
        </w:rPr>
        <w:t>expressed their interest in contributing to this regional initiative and had requested the secretariat to provide a clear definition of in-kind contribution.</w:t>
      </w:r>
    </w:p>
    <w:p w14:paraId="77FCDDA1" w14:textId="77777777" w:rsidR="00C95E55" w:rsidRPr="00C95E55" w:rsidRDefault="00C95E55" w:rsidP="00C95E55">
      <w:pPr>
        <w:rPr>
          <w:rFonts w:ascii="Calibri" w:eastAsia="Times New Roman" w:hAnsi="Calibri" w:cs="Calibri"/>
          <w:bCs/>
          <w:sz w:val="24"/>
          <w:lang w:eastAsia="en-GB"/>
        </w:rPr>
      </w:pPr>
    </w:p>
    <w:p w14:paraId="3ACF4F77" w14:textId="18D4D435" w:rsidR="00C95E55" w:rsidRPr="00C95E55" w:rsidRDefault="00C95E55" w:rsidP="00C95E55">
      <w:pPr>
        <w:rPr>
          <w:rFonts w:ascii="Calibri" w:eastAsia="Times New Roman" w:hAnsi="Calibri" w:cs="Calibri"/>
          <w:bCs/>
          <w:sz w:val="24"/>
          <w:lang w:eastAsia="en-GB"/>
        </w:rPr>
      </w:pPr>
      <w:r w:rsidRPr="00C95E55">
        <w:rPr>
          <w:rFonts w:ascii="Calibri" w:eastAsia="Times New Roman" w:hAnsi="Calibri" w:cs="Calibri"/>
          <w:bCs/>
          <w:sz w:val="24"/>
          <w:lang w:eastAsia="en-GB"/>
        </w:rPr>
        <w:t>6.4</w:t>
      </w:r>
      <w:r w:rsidRPr="00C95E55">
        <w:rPr>
          <w:rFonts w:ascii="Calibri" w:eastAsia="Times New Roman" w:hAnsi="Calibri" w:cs="Calibri"/>
          <w:bCs/>
          <w:sz w:val="24"/>
          <w:lang w:eastAsia="en-GB"/>
        </w:rPr>
        <w:tab/>
        <w:t xml:space="preserve">Although support to the document was expressed by </w:t>
      </w:r>
      <w:r w:rsidR="00B97956">
        <w:rPr>
          <w:rFonts w:ascii="Calibri" w:eastAsia="Times New Roman" w:hAnsi="Calibri" w:cs="Calibri"/>
          <w:bCs/>
          <w:sz w:val="24"/>
          <w:lang w:eastAsia="en-GB"/>
        </w:rPr>
        <w:t xml:space="preserve">one delegate, </w:t>
      </w:r>
      <w:r w:rsidRPr="00C95E55">
        <w:rPr>
          <w:rFonts w:ascii="Calibri" w:eastAsia="Times New Roman" w:hAnsi="Calibri" w:cs="Calibri"/>
          <w:bCs/>
          <w:sz w:val="24"/>
          <w:lang w:eastAsia="en-GB"/>
        </w:rPr>
        <w:t xml:space="preserve">another </w:t>
      </w:r>
      <w:r w:rsidR="00B97956">
        <w:rPr>
          <w:rFonts w:ascii="Calibri" w:eastAsia="Times New Roman" w:hAnsi="Calibri" w:cs="Calibri"/>
          <w:bCs/>
          <w:sz w:val="24"/>
          <w:lang w:eastAsia="en-GB"/>
        </w:rPr>
        <w:t xml:space="preserve">delegate </w:t>
      </w:r>
      <w:r w:rsidRPr="00C95E55">
        <w:rPr>
          <w:rFonts w:ascii="Calibri" w:eastAsia="Times New Roman" w:hAnsi="Calibri" w:cs="Calibri"/>
          <w:bCs/>
          <w:sz w:val="24"/>
          <w:lang w:eastAsia="en-GB"/>
        </w:rPr>
        <w:t>indicated that it is premature to approve the current document on in-kind contribution guidelines since the feedback from IMAC and the External Auditor have not yet been received.</w:t>
      </w:r>
    </w:p>
    <w:p w14:paraId="3E286A50" w14:textId="77777777" w:rsidR="00C95E55" w:rsidRPr="00C95E55" w:rsidRDefault="00C95E55" w:rsidP="00C95E55">
      <w:pPr>
        <w:rPr>
          <w:rFonts w:ascii="Calibri" w:eastAsia="Times New Roman" w:hAnsi="Calibri" w:cs="Calibri"/>
          <w:bCs/>
          <w:sz w:val="24"/>
          <w:lang w:eastAsia="en-GB"/>
        </w:rPr>
      </w:pPr>
    </w:p>
    <w:p w14:paraId="2F834FFD" w14:textId="5D2EEB9D" w:rsidR="00C95E55" w:rsidRPr="00C95E55" w:rsidRDefault="00C95E55" w:rsidP="00C95E55">
      <w:pPr>
        <w:rPr>
          <w:rFonts w:ascii="Calibri" w:eastAsia="Calibri" w:hAnsi="Calibri" w:cs="Calibri"/>
          <w:sz w:val="24"/>
          <w:szCs w:val="22"/>
          <w:lang w:eastAsia="en-US"/>
        </w:rPr>
      </w:pPr>
      <w:r w:rsidRPr="00C95E55">
        <w:rPr>
          <w:rFonts w:ascii="Calibri" w:eastAsia="Times New Roman" w:hAnsi="Calibri" w:cs="Calibri"/>
          <w:bCs/>
          <w:sz w:val="24"/>
          <w:lang w:eastAsia="en-GB"/>
        </w:rPr>
        <w:t>6.5</w:t>
      </w:r>
      <w:r w:rsidRPr="00C95E55">
        <w:rPr>
          <w:rFonts w:ascii="Calibri" w:eastAsia="Times New Roman" w:hAnsi="Calibri" w:cs="Calibri"/>
          <w:bCs/>
          <w:sz w:val="24"/>
          <w:lang w:eastAsia="en-GB"/>
        </w:rPr>
        <w:tab/>
        <w:t xml:space="preserve">In light of the above, the Chairperson concluded that discussions will be continued on the in-kind contribution guidelines during the next CWG-FHR session in January 2022 and </w:t>
      </w:r>
      <w:r w:rsidR="00E846F7">
        <w:rPr>
          <w:rFonts w:ascii="Calibri" w:eastAsia="Times New Roman" w:hAnsi="Calibri" w:cs="Calibri"/>
          <w:bCs/>
          <w:sz w:val="24"/>
          <w:lang w:eastAsia="en-GB"/>
        </w:rPr>
        <w:t xml:space="preserve">delegates </w:t>
      </w:r>
      <w:r w:rsidRPr="00C95E55">
        <w:rPr>
          <w:rFonts w:ascii="Calibri" w:eastAsia="Times New Roman" w:hAnsi="Calibri" w:cs="Calibri"/>
          <w:bCs/>
          <w:sz w:val="24"/>
          <w:lang w:eastAsia="en-GB"/>
        </w:rPr>
        <w:t xml:space="preserve">are encouraged to submit their comments and proposals to the draft guidelines while feedback from IMAC and the External Auditor are being awaited. Thus, </w:t>
      </w:r>
      <w:r w:rsidR="005A1C78">
        <w:rPr>
          <w:rFonts w:ascii="Calibri" w:eastAsia="Times New Roman" w:hAnsi="Calibri" w:cs="Calibri"/>
          <w:bCs/>
          <w:sz w:val="24"/>
          <w:lang w:eastAsia="en-GB"/>
        </w:rPr>
        <w:t>d</w:t>
      </w:r>
      <w:r w:rsidRPr="00C95E55">
        <w:rPr>
          <w:rFonts w:ascii="Calibri" w:eastAsia="Times New Roman" w:hAnsi="Calibri" w:cs="Calibri"/>
          <w:bCs/>
          <w:sz w:val="24"/>
          <w:lang w:eastAsia="en-GB"/>
        </w:rPr>
        <w:t xml:space="preserve">ocument </w:t>
      </w:r>
      <w:hyperlink r:id="rId21" w:history="1">
        <w:r w:rsidRPr="00980872">
          <w:rPr>
            <w:rFonts w:ascii="Calibri" w:eastAsia="Calibri" w:hAnsi="Calibri" w:cs="Calibri"/>
            <w:sz w:val="24"/>
            <w:szCs w:val="22"/>
            <w:u w:val="single"/>
            <w:lang w:eastAsia="en-US"/>
          </w:rPr>
          <w:t>CWG-FHR-</w:t>
        </w:r>
      </w:hyperlink>
      <w:r w:rsidRPr="00980872">
        <w:rPr>
          <w:rFonts w:ascii="Calibri" w:eastAsia="Calibri" w:hAnsi="Calibri" w:cs="Calibri"/>
          <w:sz w:val="24"/>
          <w:szCs w:val="22"/>
          <w:u w:val="single"/>
          <w:lang w:eastAsia="en-US"/>
        </w:rPr>
        <w:t xml:space="preserve">14/4 </w:t>
      </w:r>
      <w:r w:rsidRPr="00980872">
        <w:rPr>
          <w:rFonts w:ascii="Calibri" w:eastAsia="Calibri" w:hAnsi="Calibri" w:cs="Calibri"/>
          <w:sz w:val="24"/>
          <w:szCs w:val="22"/>
          <w:lang w:eastAsia="en-US"/>
        </w:rPr>
        <w:t xml:space="preserve">on Modifications to the Financial Regulations and Financial Rules was not discussed during this </w:t>
      </w:r>
      <w:r w:rsidRPr="00C95E55">
        <w:rPr>
          <w:rFonts w:ascii="Calibri" w:eastAsia="Calibri" w:hAnsi="Calibri" w:cs="Calibri"/>
          <w:sz w:val="24"/>
          <w:szCs w:val="22"/>
          <w:lang w:eastAsia="en-US"/>
        </w:rPr>
        <w:t>session.</w:t>
      </w:r>
    </w:p>
    <w:p w14:paraId="314086C6" w14:textId="137F2A42" w:rsidR="00723164" w:rsidRDefault="00723164" w:rsidP="00C95E55">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6587B7E1" w14:textId="74969331" w:rsidR="00723164" w:rsidRPr="00723164" w:rsidRDefault="006F6188" w:rsidP="00723164">
      <w:pPr>
        <w:tabs>
          <w:tab w:val="left" w:pos="709"/>
          <w:tab w:val="left" w:pos="1588"/>
          <w:tab w:val="left" w:pos="1985"/>
          <w:tab w:val="left" w:pos="2127"/>
        </w:tabs>
        <w:overflowPunct w:val="0"/>
        <w:autoSpaceDE w:val="0"/>
        <w:autoSpaceDN w:val="0"/>
        <w:adjustRightInd w:val="0"/>
        <w:textAlignment w:val="baseline"/>
        <w:rPr>
          <w:rFonts w:ascii="Calibri" w:hAnsi="Calibri" w:cs="Calibri"/>
          <w:b/>
          <w:bCs/>
          <w:sz w:val="24"/>
        </w:rPr>
      </w:pPr>
      <w:r w:rsidRPr="00723164">
        <w:rPr>
          <w:rFonts w:asciiTheme="minorHAnsi" w:hAnsiTheme="minorHAnsi" w:cstheme="minorHAnsi"/>
          <w:b/>
          <w:bCs/>
          <w:sz w:val="24"/>
        </w:rPr>
        <w:t>7</w:t>
      </w:r>
      <w:r w:rsidR="00723164" w:rsidRPr="00723164">
        <w:rPr>
          <w:rFonts w:asciiTheme="minorHAnsi" w:hAnsiTheme="minorHAnsi" w:cstheme="minorHAnsi"/>
          <w:b/>
          <w:bCs/>
          <w:sz w:val="24"/>
        </w:rPr>
        <w:tab/>
        <w:t>Report on the Implementation of the HRSP covering the period 2019-2021</w:t>
      </w:r>
      <w:r w:rsidR="00723164">
        <w:rPr>
          <w:rFonts w:asciiTheme="minorHAnsi" w:hAnsiTheme="minorHAnsi" w:cstheme="minorHAnsi"/>
          <w:b/>
          <w:bCs/>
          <w:sz w:val="24"/>
        </w:rPr>
        <w:t xml:space="preserve"> </w:t>
      </w:r>
      <w:r w:rsidR="00723164" w:rsidRPr="00723164">
        <w:rPr>
          <w:rFonts w:ascii="Calibri" w:hAnsi="Calibri" w:cs="Calibri"/>
          <w:b/>
          <w:bCs/>
          <w:sz w:val="24"/>
        </w:rPr>
        <w:tab/>
        <w:t>(Document </w:t>
      </w:r>
      <w:hyperlink r:id="rId22" w:history="1">
        <w:r w:rsidR="00723164" w:rsidRPr="00723164">
          <w:rPr>
            <w:rStyle w:val="Hyperlink"/>
            <w:rFonts w:ascii="Calibri" w:hAnsi="Calibri" w:cs="Calibri"/>
            <w:b/>
            <w:bCs/>
            <w:sz w:val="24"/>
          </w:rPr>
          <w:t>C21/54</w:t>
        </w:r>
      </w:hyperlink>
      <w:r w:rsidR="00723164" w:rsidRPr="00723164">
        <w:rPr>
          <w:rStyle w:val="Hyperlink"/>
          <w:rFonts w:ascii="Calibri" w:hAnsi="Calibri" w:cs="Calibri"/>
          <w:b/>
          <w:bCs/>
          <w:sz w:val="24"/>
        </w:rPr>
        <w:t>)</w:t>
      </w:r>
    </w:p>
    <w:p w14:paraId="4990F9EA" w14:textId="08A063E3" w:rsidR="006F6188" w:rsidRDefault="006F6188" w:rsidP="00723164">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3C638996" w14:textId="548EEADE" w:rsidR="00282172" w:rsidRDefault="00282172" w:rsidP="00282172">
      <w:pPr>
        <w:overflowPunct w:val="0"/>
        <w:autoSpaceDE w:val="0"/>
        <w:autoSpaceDN w:val="0"/>
        <w:snapToGrid w:val="0"/>
        <w:textAlignment w:val="baseline"/>
        <w:rPr>
          <w:rFonts w:ascii="Calibri" w:hAnsi="Calibri" w:cs="Calibri"/>
          <w:sz w:val="24"/>
        </w:rPr>
      </w:pPr>
      <w:r>
        <w:rPr>
          <w:rFonts w:ascii="Calibri" w:hAnsi="Calibri" w:cs="Calibri"/>
          <w:sz w:val="24"/>
        </w:rPr>
        <w:t>7.1</w:t>
      </w:r>
      <w:r>
        <w:rPr>
          <w:rFonts w:ascii="Calibri" w:hAnsi="Calibri" w:cs="Calibri"/>
          <w:sz w:val="24"/>
        </w:rPr>
        <w:tab/>
        <w:t xml:space="preserve">There were no comments </w:t>
      </w:r>
      <w:r w:rsidR="00097184">
        <w:rPr>
          <w:rFonts w:ascii="Calibri" w:hAnsi="Calibri" w:cs="Calibri"/>
          <w:sz w:val="24"/>
        </w:rPr>
        <w:t>on</w:t>
      </w:r>
      <w:r>
        <w:rPr>
          <w:rFonts w:ascii="Calibri" w:hAnsi="Calibri" w:cs="Calibri"/>
          <w:sz w:val="24"/>
        </w:rPr>
        <w:t xml:space="preserve"> the report presented by the secretariat.</w:t>
      </w:r>
    </w:p>
    <w:p w14:paraId="7CFBA0AE" w14:textId="77777777" w:rsidR="00723164" w:rsidRDefault="00723164" w:rsidP="00723164">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65075538" w14:textId="13590635" w:rsidR="00723164" w:rsidRPr="00723164" w:rsidRDefault="00723164" w:rsidP="00723164">
      <w:pPr>
        <w:tabs>
          <w:tab w:val="left" w:pos="709"/>
          <w:tab w:val="left" w:pos="1588"/>
          <w:tab w:val="left" w:pos="1985"/>
        </w:tabs>
        <w:overflowPunct w:val="0"/>
        <w:autoSpaceDE w:val="0"/>
        <w:autoSpaceDN w:val="0"/>
        <w:adjustRightInd w:val="0"/>
        <w:textAlignment w:val="baseline"/>
        <w:rPr>
          <w:rFonts w:ascii="Calibri" w:hAnsi="Calibri" w:cs="Calibri"/>
          <w:b/>
          <w:bCs/>
          <w:sz w:val="24"/>
          <w:szCs w:val="20"/>
          <w:lang w:eastAsia="en-US"/>
        </w:rPr>
      </w:pPr>
      <w:r>
        <w:rPr>
          <w:rFonts w:ascii="Calibri" w:hAnsi="Calibri" w:cs="Calibri"/>
          <w:b/>
          <w:bCs/>
          <w:sz w:val="24"/>
          <w:szCs w:val="20"/>
          <w:lang w:eastAsia="en-US"/>
        </w:rPr>
        <w:tab/>
      </w:r>
      <w:r w:rsidRPr="00723164">
        <w:rPr>
          <w:rFonts w:ascii="Calibri" w:hAnsi="Calibri" w:cs="Calibri"/>
          <w:b/>
          <w:bCs/>
          <w:sz w:val="24"/>
          <w:szCs w:val="20"/>
          <w:lang w:eastAsia="en-US"/>
        </w:rPr>
        <w:t>Recruitment Process – proposal for the reduction of the advertisement period</w:t>
      </w:r>
    </w:p>
    <w:p w14:paraId="180217CF" w14:textId="79977547" w:rsidR="00723164" w:rsidRDefault="00723164" w:rsidP="00723164">
      <w:pPr>
        <w:tabs>
          <w:tab w:val="left" w:pos="794"/>
          <w:tab w:val="left" w:pos="1191"/>
          <w:tab w:val="left" w:pos="1588"/>
          <w:tab w:val="left" w:pos="1985"/>
        </w:tabs>
        <w:overflowPunct w:val="0"/>
        <w:autoSpaceDE w:val="0"/>
        <w:autoSpaceDN w:val="0"/>
        <w:adjustRightInd w:val="0"/>
        <w:textAlignment w:val="baseline"/>
        <w:rPr>
          <w:rFonts w:ascii="Calibri" w:hAnsi="Calibri" w:cs="Calibri"/>
          <w:b/>
          <w:bCs/>
          <w:sz w:val="24"/>
          <w:szCs w:val="20"/>
          <w:lang w:eastAsia="en-US"/>
        </w:rPr>
      </w:pPr>
    </w:p>
    <w:p w14:paraId="1E0A821A" w14:textId="6C11D35A" w:rsidR="00282172" w:rsidRDefault="00FE35DD" w:rsidP="00282172">
      <w:pPr>
        <w:overflowPunct w:val="0"/>
        <w:autoSpaceDE w:val="0"/>
        <w:autoSpaceDN w:val="0"/>
        <w:textAlignment w:val="baseline"/>
        <w:rPr>
          <w:rFonts w:ascii="Calibri" w:hAnsi="Calibri" w:cs="Calibri"/>
          <w:sz w:val="24"/>
          <w:lang w:eastAsia="en-US"/>
        </w:rPr>
      </w:pPr>
      <w:r w:rsidRPr="00FE35DD">
        <w:rPr>
          <w:rFonts w:ascii="Calibri" w:hAnsi="Calibri" w:cs="Calibri"/>
          <w:sz w:val="24"/>
          <w:szCs w:val="20"/>
          <w:lang w:eastAsia="en-US"/>
        </w:rPr>
        <w:t>7.</w:t>
      </w:r>
      <w:r w:rsidR="00282172">
        <w:rPr>
          <w:rFonts w:ascii="Calibri" w:hAnsi="Calibri" w:cs="Calibri"/>
          <w:sz w:val="24"/>
          <w:szCs w:val="20"/>
          <w:lang w:eastAsia="en-US"/>
        </w:rPr>
        <w:t>2</w:t>
      </w:r>
      <w:r w:rsidR="00282172">
        <w:rPr>
          <w:rFonts w:ascii="Calibri" w:hAnsi="Calibri" w:cs="Calibri"/>
          <w:sz w:val="24"/>
          <w:szCs w:val="20"/>
          <w:lang w:eastAsia="en-US"/>
        </w:rPr>
        <w:tab/>
      </w:r>
      <w:r w:rsidR="00282172">
        <w:rPr>
          <w:rFonts w:ascii="Calibri" w:hAnsi="Calibri" w:cs="Calibri"/>
          <w:sz w:val="24"/>
          <w:lang w:eastAsia="en-US"/>
        </w:rPr>
        <w:t>The secretariat presented the proposal to reduce the advertisement period from two months to one month, a change which requires a modification to the Staff Regulations. Delegates asked several questions, including: (</w:t>
      </w:r>
      <w:proofErr w:type="spellStart"/>
      <w:r w:rsidR="00282172">
        <w:rPr>
          <w:rFonts w:ascii="Calibri" w:hAnsi="Calibri" w:cs="Calibri"/>
          <w:sz w:val="24"/>
          <w:lang w:eastAsia="en-US"/>
        </w:rPr>
        <w:t>i</w:t>
      </w:r>
      <w:proofErr w:type="spellEnd"/>
      <w:r w:rsidR="00282172">
        <w:rPr>
          <w:rFonts w:ascii="Calibri" w:hAnsi="Calibri" w:cs="Calibri"/>
          <w:sz w:val="24"/>
          <w:lang w:eastAsia="en-US"/>
        </w:rPr>
        <w:t>) the rationale for such change, (ii) the percentage of applicants at different stages of the process, (iii) the overall utility of this change when several positions remained vacant for several months, and (iv) if other stages of the process were also being improved.</w:t>
      </w:r>
    </w:p>
    <w:p w14:paraId="142DDA58" w14:textId="77777777" w:rsidR="00282172" w:rsidRDefault="00282172" w:rsidP="00282172">
      <w:pPr>
        <w:overflowPunct w:val="0"/>
        <w:autoSpaceDE w:val="0"/>
        <w:autoSpaceDN w:val="0"/>
        <w:textAlignment w:val="baseline"/>
        <w:rPr>
          <w:rFonts w:ascii="Calibri" w:hAnsi="Calibri" w:cs="Calibri"/>
          <w:sz w:val="24"/>
          <w:lang w:eastAsia="en-US"/>
        </w:rPr>
      </w:pPr>
    </w:p>
    <w:p w14:paraId="3E1E0C9A" w14:textId="247E714C" w:rsidR="00282172" w:rsidRDefault="00282172" w:rsidP="00282172">
      <w:pPr>
        <w:overflowPunct w:val="0"/>
        <w:autoSpaceDE w:val="0"/>
        <w:autoSpaceDN w:val="0"/>
        <w:textAlignment w:val="baseline"/>
        <w:rPr>
          <w:rFonts w:ascii="Calibri" w:hAnsi="Calibri" w:cs="Calibri"/>
          <w:sz w:val="24"/>
          <w:lang w:eastAsia="en-US"/>
        </w:rPr>
      </w:pPr>
      <w:r>
        <w:rPr>
          <w:rFonts w:ascii="Calibri" w:hAnsi="Calibri" w:cs="Calibri"/>
          <w:sz w:val="24"/>
          <w:lang w:eastAsia="en-US"/>
        </w:rPr>
        <w:t>7.3</w:t>
      </w:r>
      <w:r>
        <w:rPr>
          <w:rFonts w:ascii="Calibri" w:hAnsi="Calibri" w:cs="Calibri"/>
          <w:sz w:val="24"/>
          <w:lang w:eastAsia="en-US"/>
        </w:rPr>
        <w:tab/>
        <w:t xml:space="preserve">The </w:t>
      </w:r>
      <w:r w:rsidR="00F01477">
        <w:rPr>
          <w:rFonts w:ascii="Calibri" w:hAnsi="Calibri" w:cs="Calibri"/>
          <w:sz w:val="24"/>
          <w:lang w:eastAsia="en-US"/>
        </w:rPr>
        <w:t>s</w:t>
      </w:r>
      <w:r>
        <w:rPr>
          <w:rFonts w:ascii="Calibri" w:hAnsi="Calibri" w:cs="Calibri"/>
          <w:sz w:val="24"/>
          <w:lang w:eastAsia="en-US"/>
        </w:rPr>
        <w:t>ecretariat replied that the purpose of such a change was to make the recruitment process more efficient</w:t>
      </w:r>
      <w:r w:rsidR="00F01477">
        <w:rPr>
          <w:rFonts w:ascii="Calibri" w:hAnsi="Calibri" w:cs="Calibri"/>
          <w:sz w:val="24"/>
          <w:lang w:eastAsia="en-US"/>
        </w:rPr>
        <w:t xml:space="preserve"> and </w:t>
      </w:r>
      <w:r>
        <w:rPr>
          <w:rFonts w:ascii="Calibri" w:hAnsi="Calibri" w:cs="Calibri"/>
          <w:sz w:val="24"/>
          <w:lang w:eastAsia="en-US"/>
        </w:rPr>
        <w:t>presented the results of benchmarking across the UN organizations, and particularly a UN wide benchmarking performed by IAEA in May 2021, which shows that most agencies (up to 64</w:t>
      </w:r>
      <w:r w:rsidR="00F01477">
        <w:rPr>
          <w:rFonts w:ascii="Calibri" w:hAnsi="Calibri" w:cs="Calibri"/>
          <w:sz w:val="24"/>
          <w:lang w:eastAsia="en-US"/>
        </w:rPr>
        <w:t xml:space="preserve"> per cent</w:t>
      </w:r>
      <w:r>
        <w:rPr>
          <w:rFonts w:ascii="Calibri" w:hAnsi="Calibri" w:cs="Calibri"/>
          <w:sz w:val="24"/>
          <w:lang w:eastAsia="en-US"/>
        </w:rPr>
        <w:t xml:space="preserve">) have flexibility in the period of vacancy announcements going from less than </w:t>
      </w:r>
      <w:r w:rsidR="00F01477">
        <w:rPr>
          <w:rFonts w:ascii="Calibri" w:hAnsi="Calibri" w:cs="Calibri"/>
          <w:sz w:val="24"/>
          <w:lang w:eastAsia="en-US"/>
        </w:rPr>
        <w:t>two</w:t>
      </w:r>
      <w:r>
        <w:rPr>
          <w:rFonts w:ascii="Calibri" w:hAnsi="Calibri" w:cs="Calibri"/>
          <w:sz w:val="24"/>
          <w:lang w:eastAsia="en-US"/>
        </w:rPr>
        <w:t xml:space="preserve"> weeks to a month. Only </w:t>
      </w:r>
      <w:r w:rsidR="00CE4346">
        <w:rPr>
          <w:rFonts w:ascii="Calibri" w:hAnsi="Calibri" w:cs="Calibri"/>
          <w:sz w:val="24"/>
          <w:lang w:eastAsia="en-US"/>
        </w:rPr>
        <w:t>ten</w:t>
      </w:r>
      <w:r w:rsidR="00F01477">
        <w:rPr>
          <w:rFonts w:ascii="Calibri" w:hAnsi="Calibri" w:cs="Calibri"/>
          <w:sz w:val="24"/>
          <w:lang w:eastAsia="en-US"/>
        </w:rPr>
        <w:t xml:space="preserve"> per cent</w:t>
      </w:r>
      <w:r>
        <w:rPr>
          <w:rFonts w:ascii="Calibri" w:hAnsi="Calibri" w:cs="Calibri"/>
          <w:sz w:val="24"/>
          <w:lang w:eastAsia="en-US"/>
        </w:rPr>
        <w:t xml:space="preserve"> of agencies publish their vacancies for more than </w:t>
      </w:r>
      <w:r w:rsidR="00F01477">
        <w:rPr>
          <w:rFonts w:ascii="Calibri" w:hAnsi="Calibri" w:cs="Calibri"/>
          <w:sz w:val="24"/>
          <w:lang w:eastAsia="en-US"/>
        </w:rPr>
        <w:t>six</w:t>
      </w:r>
      <w:r>
        <w:rPr>
          <w:rFonts w:ascii="Calibri" w:hAnsi="Calibri" w:cs="Calibri"/>
          <w:sz w:val="24"/>
          <w:lang w:eastAsia="en-US"/>
        </w:rPr>
        <w:t xml:space="preserve"> weeks. It was also clarified that this change would not mean that, for positions which are more specialized, a period of more than one month could be envisaged. Furthermore, </w:t>
      </w:r>
      <w:r w:rsidR="00F01477">
        <w:rPr>
          <w:rFonts w:ascii="Calibri" w:hAnsi="Calibri" w:cs="Calibri"/>
          <w:sz w:val="24"/>
          <w:lang w:eastAsia="en-US"/>
        </w:rPr>
        <w:t xml:space="preserve">it was </w:t>
      </w:r>
      <w:r>
        <w:rPr>
          <w:rFonts w:ascii="Calibri" w:hAnsi="Calibri" w:cs="Calibri"/>
          <w:sz w:val="24"/>
          <w:lang w:eastAsia="en-US"/>
        </w:rPr>
        <w:t>explained that based on analysis made by the HR team, most applicants submitted their candidacies either at the beginning or at the end of the vacancy period.</w:t>
      </w:r>
    </w:p>
    <w:p w14:paraId="21D65759" w14:textId="77777777" w:rsidR="00282172" w:rsidRDefault="00282172" w:rsidP="00282172">
      <w:pPr>
        <w:overflowPunct w:val="0"/>
        <w:autoSpaceDE w:val="0"/>
        <w:autoSpaceDN w:val="0"/>
        <w:textAlignment w:val="baseline"/>
        <w:rPr>
          <w:rFonts w:ascii="Calibri" w:hAnsi="Calibri" w:cs="Calibri"/>
          <w:sz w:val="24"/>
          <w:lang w:eastAsia="en-US"/>
        </w:rPr>
      </w:pPr>
    </w:p>
    <w:p w14:paraId="36E1BE49" w14:textId="1B852138" w:rsidR="00282172" w:rsidRDefault="00F01477" w:rsidP="00CA05AD">
      <w:pPr>
        <w:keepNext/>
        <w:keepLines/>
        <w:overflowPunct w:val="0"/>
        <w:autoSpaceDE w:val="0"/>
        <w:autoSpaceDN w:val="0"/>
        <w:textAlignment w:val="baseline"/>
        <w:rPr>
          <w:rFonts w:ascii="Calibri" w:hAnsi="Calibri" w:cs="Calibri"/>
          <w:sz w:val="24"/>
          <w:lang w:eastAsia="en-US"/>
        </w:rPr>
      </w:pPr>
      <w:r>
        <w:rPr>
          <w:rFonts w:ascii="Calibri" w:hAnsi="Calibri" w:cs="Calibri"/>
          <w:sz w:val="24"/>
          <w:lang w:eastAsia="en-US"/>
        </w:rPr>
        <w:lastRenderedPageBreak/>
        <w:t>7.4</w:t>
      </w:r>
      <w:r>
        <w:rPr>
          <w:rFonts w:ascii="Calibri" w:hAnsi="Calibri" w:cs="Calibri"/>
          <w:sz w:val="24"/>
          <w:lang w:eastAsia="en-US"/>
        </w:rPr>
        <w:tab/>
        <w:t xml:space="preserve">The secretariat </w:t>
      </w:r>
      <w:r w:rsidR="00282172">
        <w:rPr>
          <w:rFonts w:ascii="Calibri" w:hAnsi="Calibri" w:cs="Calibri"/>
          <w:sz w:val="24"/>
          <w:lang w:eastAsia="en-US"/>
        </w:rPr>
        <w:t xml:space="preserve">went on to explain that ITU was </w:t>
      </w:r>
      <w:proofErr w:type="gramStart"/>
      <w:r w:rsidR="00282172">
        <w:rPr>
          <w:rFonts w:ascii="Calibri" w:hAnsi="Calibri" w:cs="Calibri"/>
          <w:sz w:val="24"/>
          <w:lang w:eastAsia="en-US"/>
        </w:rPr>
        <w:t>in the midst of</w:t>
      </w:r>
      <w:proofErr w:type="gramEnd"/>
      <w:r w:rsidR="00282172">
        <w:rPr>
          <w:rFonts w:ascii="Calibri" w:hAnsi="Calibri" w:cs="Calibri"/>
          <w:sz w:val="24"/>
          <w:lang w:eastAsia="en-US"/>
        </w:rPr>
        <w:t xml:space="preserve"> implementing a new E-Recruit system and that this will bring several efficiencies at all stages of the recruitment process. </w:t>
      </w:r>
      <w:r>
        <w:rPr>
          <w:rFonts w:ascii="Calibri" w:hAnsi="Calibri" w:cs="Calibri"/>
          <w:sz w:val="24"/>
          <w:lang w:eastAsia="en-US"/>
        </w:rPr>
        <w:t xml:space="preserve">It was </w:t>
      </w:r>
      <w:r w:rsidR="00282172">
        <w:rPr>
          <w:rFonts w:ascii="Calibri" w:hAnsi="Calibri" w:cs="Calibri"/>
          <w:sz w:val="24"/>
          <w:lang w:eastAsia="en-US"/>
        </w:rPr>
        <w:t>further explained that although, in some cases, the administration might have decided to leave a position vacant for a certain period, in several cases, the organization published the vacancy before the position was even vacant.</w:t>
      </w:r>
    </w:p>
    <w:p w14:paraId="0D4DBEE7" w14:textId="77777777" w:rsidR="00282172" w:rsidRDefault="00282172" w:rsidP="00282172">
      <w:pPr>
        <w:overflowPunct w:val="0"/>
        <w:autoSpaceDE w:val="0"/>
        <w:autoSpaceDN w:val="0"/>
        <w:textAlignment w:val="baseline"/>
        <w:rPr>
          <w:rFonts w:ascii="Calibri" w:hAnsi="Calibri" w:cs="Calibri"/>
          <w:sz w:val="24"/>
          <w:lang w:eastAsia="en-US"/>
        </w:rPr>
      </w:pPr>
    </w:p>
    <w:p w14:paraId="7AA16939" w14:textId="32C2E9E6" w:rsidR="00282172" w:rsidRDefault="00F01477" w:rsidP="00282172">
      <w:pPr>
        <w:overflowPunct w:val="0"/>
        <w:autoSpaceDE w:val="0"/>
        <w:autoSpaceDN w:val="0"/>
        <w:textAlignment w:val="baseline"/>
        <w:rPr>
          <w:rFonts w:ascii="Calibri" w:hAnsi="Calibri" w:cs="Calibri"/>
          <w:sz w:val="24"/>
          <w:lang w:eastAsia="en-US"/>
        </w:rPr>
      </w:pPr>
      <w:r>
        <w:rPr>
          <w:rFonts w:ascii="Calibri" w:hAnsi="Calibri" w:cs="Calibri"/>
          <w:sz w:val="24"/>
          <w:lang w:eastAsia="en-US"/>
        </w:rPr>
        <w:t>7.5</w:t>
      </w:r>
      <w:r>
        <w:rPr>
          <w:rFonts w:ascii="Calibri" w:hAnsi="Calibri" w:cs="Calibri"/>
          <w:sz w:val="24"/>
          <w:lang w:eastAsia="en-US"/>
        </w:rPr>
        <w:tab/>
        <w:t xml:space="preserve">Delegates requested the secretariat </w:t>
      </w:r>
      <w:r w:rsidR="00282172">
        <w:rPr>
          <w:rFonts w:ascii="Calibri" w:hAnsi="Calibri" w:cs="Calibri"/>
          <w:sz w:val="24"/>
          <w:lang w:eastAsia="en-US"/>
        </w:rPr>
        <w:t>to provide further information at the next CWG-FHR</w:t>
      </w:r>
      <w:r>
        <w:rPr>
          <w:rFonts w:ascii="Calibri" w:hAnsi="Calibri" w:cs="Calibri"/>
          <w:sz w:val="24"/>
          <w:lang w:eastAsia="en-US"/>
        </w:rPr>
        <w:t xml:space="preserve"> meeting</w:t>
      </w:r>
      <w:r w:rsidR="00282172">
        <w:rPr>
          <w:rFonts w:ascii="Calibri" w:hAnsi="Calibri" w:cs="Calibri"/>
          <w:sz w:val="24"/>
          <w:lang w:eastAsia="en-US"/>
        </w:rPr>
        <w:t>, namely, a review of the total time taken for recruitment of positions, from vacancy publication until selection of the candidate, identifying the different parts of the process, and separated by category/grade of position.</w:t>
      </w:r>
    </w:p>
    <w:p w14:paraId="1A0CCA9B" w14:textId="77777777" w:rsidR="00723164" w:rsidRPr="00723164" w:rsidRDefault="00723164" w:rsidP="00723164">
      <w:pPr>
        <w:tabs>
          <w:tab w:val="left" w:pos="794"/>
          <w:tab w:val="left" w:pos="1191"/>
          <w:tab w:val="left" w:pos="1588"/>
          <w:tab w:val="left" w:pos="1985"/>
        </w:tabs>
        <w:overflowPunct w:val="0"/>
        <w:autoSpaceDE w:val="0"/>
        <w:autoSpaceDN w:val="0"/>
        <w:adjustRightInd w:val="0"/>
        <w:textAlignment w:val="baseline"/>
        <w:rPr>
          <w:rFonts w:ascii="Calibri" w:hAnsi="Calibri" w:cs="Calibri"/>
          <w:b/>
          <w:bCs/>
          <w:sz w:val="24"/>
          <w:szCs w:val="20"/>
          <w:lang w:eastAsia="en-US"/>
        </w:rPr>
      </w:pPr>
    </w:p>
    <w:p w14:paraId="655D404D" w14:textId="216DAAFD" w:rsidR="00723164" w:rsidRPr="00723164" w:rsidRDefault="00723164" w:rsidP="00723164">
      <w:pPr>
        <w:tabs>
          <w:tab w:val="left" w:pos="709"/>
          <w:tab w:val="left" w:pos="1191"/>
          <w:tab w:val="left" w:pos="1588"/>
          <w:tab w:val="left" w:pos="1985"/>
        </w:tabs>
        <w:overflowPunct w:val="0"/>
        <w:autoSpaceDE w:val="0"/>
        <w:autoSpaceDN w:val="0"/>
        <w:adjustRightInd w:val="0"/>
        <w:textAlignment w:val="baseline"/>
        <w:rPr>
          <w:rFonts w:ascii="Calibri" w:hAnsi="Calibri" w:cs="Calibri"/>
          <w:b/>
          <w:bCs/>
          <w:sz w:val="24"/>
          <w:szCs w:val="20"/>
          <w:lang w:eastAsia="en-US"/>
        </w:rPr>
      </w:pPr>
      <w:r>
        <w:rPr>
          <w:rFonts w:ascii="Calibri" w:hAnsi="Calibri" w:cs="Calibri"/>
          <w:b/>
          <w:bCs/>
          <w:sz w:val="24"/>
          <w:szCs w:val="20"/>
          <w:lang w:eastAsia="en-US"/>
        </w:rPr>
        <w:tab/>
      </w:r>
      <w:r w:rsidRPr="00723164">
        <w:rPr>
          <w:rFonts w:ascii="Calibri" w:hAnsi="Calibri" w:cs="Calibri"/>
          <w:b/>
          <w:bCs/>
          <w:sz w:val="24"/>
          <w:szCs w:val="20"/>
          <w:lang w:eastAsia="en-US"/>
        </w:rPr>
        <w:t>Personal Status for the purpose of ITU entitlements</w:t>
      </w:r>
    </w:p>
    <w:p w14:paraId="05DD9B2D" w14:textId="45A852F5" w:rsidR="00723164" w:rsidRDefault="00723164" w:rsidP="00723164">
      <w:pPr>
        <w:tabs>
          <w:tab w:val="left" w:pos="794"/>
          <w:tab w:val="left" w:pos="1191"/>
          <w:tab w:val="left" w:pos="1588"/>
          <w:tab w:val="left" w:pos="1985"/>
        </w:tabs>
        <w:overflowPunct w:val="0"/>
        <w:autoSpaceDE w:val="0"/>
        <w:autoSpaceDN w:val="0"/>
        <w:adjustRightInd w:val="0"/>
        <w:textAlignment w:val="baseline"/>
        <w:rPr>
          <w:rFonts w:ascii="Calibri" w:hAnsi="Calibri" w:cs="Calibri"/>
          <w:b/>
          <w:bCs/>
          <w:sz w:val="24"/>
          <w:szCs w:val="20"/>
          <w:lang w:eastAsia="en-US"/>
        </w:rPr>
      </w:pPr>
    </w:p>
    <w:p w14:paraId="68D994B4" w14:textId="02E6246D" w:rsidR="00F01477" w:rsidRPr="00F01477" w:rsidRDefault="00FE35DD" w:rsidP="00F01477">
      <w:pPr>
        <w:overflowPunct w:val="0"/>
        <w:autoSpaceDE w:val="0"/>
        <w:autoSpaceDN w:val="0"/>
        <w:textAlignment w:val="baseline"/>
        <w:rPr>
          <w:rFonts w:ascii="Calibri" w:eastAsia="Calibri" w:hAnsi="Calibri" w:cs="Calibri"/>
          <w:sz w:val="24"/>
          <w:lang w:val="en-GB" w:eastAsia="en-US"/>
        </w:rPr>
      </w:pPr>
      <w:r w:rsidRPr="00FE35DD">
        <w:rPr>
          <w:rFonts w:ascii="Calibri" w:hAnsi="Calibri" w:cs="Calibri"/>
          <w:sz w:val="24"/>
          <w:szCs w:val="20"/>
          <w:lang w:eastAsia="en-US"/>
        </w:rPr>
        <w:t>7.</w:t>
      </w:r>
      <w:r w:rsidR="00F01477">
        <w:rPr>
          <w:rFonts w:ascii="Calibri" w:hAnsi="Calibri" w:cs="Calibri"/>
          <w:sz w:val="24"/>
          <w:szCs w:val="20"/>
          <w:lang w:eastAsia="en-US"/>
        </w:rPr>
        <w:t>6</w:t>
      </w:r>
      <w:r w:rsidR="00F01477">
        <w:rPr>
          <w:rFonts w:ascii="Calibri" w:hAnsi="Calibri" w:cs="Calibri"/>
          <w:sz w:val="24"/>
          <w:szCs w:val="20"/>
          <w:lang w:eastAsia="en-US"/>
        </w:rPr>
        <w:tab/>
      </w:r>
      <w:r w:rsidR="00F01477" w:rsidRPr="00F01477">
        <w:rPr>
          <w:rFonts w:ascii="Calibri" w:eastAsia="Calibri" w:hAnsi="Calibri" w:cs="Calibri"/>
          <w:sz w:val="24"/>
          <w:lang w:val="en-GB" w:eastAsia="en-US"/>
        </w:rPr>
        <w:t xml:space="preserve">The </w:t>
      </w:r>
      <w:r w:rsidR="00F01477">
        <w:rPr>
          <w:rFonts w:ascii="Calibri" w:eastAsia="Calibri" w:hAnsi="Calibri" w:cs="Calibri"/>
          <w:sz w:val="24"/>
          <w:lang w:val="en-GB" w:eastAsia="en-US"/>
        </w:rPr>
        <w:t xml:space="preserve">secretariat </w:t>
      </w:r>
      <w:r w:rsidR="00F01477" w:rsidRPr="00F01477">
        <w:rPr>
          <w:rFonts w:ascii="Calibri" w:eastAsia="Calibri" w:hAnsi="Calibri" w:cs="Calibri"/>
          <w:sz w:val="24"/>
          <w:lang w:val="en-GB" w:eastAsia="en-US"/>
        </w:rPr>
        <w:t>presented the proposal to change Staff Regulation 3.12, article 2) a) to read “spouses” instead of “husband and wife”</w:t>
      </w:r>
      <w:r w:rsidR="00F01477">
        <w:rPr>
          <w:rFonts w:ascii="Calibri" w:eastAsia="Calibri" w:hAnsi="Calibri" w:cs="Calibri"/>
          <w:sz w:val="24"/>
          <w:lang w:val="en-GB" w:eastAsia="en-US"/>
        </w:rPr>
        <w:t xml:space="preserve"> and explained </w:t>
      </w:r>
      <w:r w:rsidR="00F01477" w:rsidRPr="00F01477">
        <w:rPr>
          <w:rFonts w:ascii="Calibri" w:eastAsia="Calibri" w:hAnsi="Calibri" w:cs="Calibri"/>
          <w:sz w:val="24"/>
          <w:lang w:val="en-GB" w:eastAsia="en-US"/>
        </w:rPr>
        <w:t xml:space="preserve">that at the United Nations, the recognition of domestic partnerships is governed by the Secretary-General’s Bulletin ST/SGB/2004/13/Rev.1 of 26 June 2014. It states that the personal status of staff members for the purpose of entitlements under the Staff Rules and Staff Regulations of the United Nations will be determined by reference to the law of the competent authority under which the personal status has been established. </w:t>
      </w:r>
      <w:r w:rsidR="00563BC5">
        <w:rPr>
          <w:rFonts w:ascii="Calibri" w:eastAsia="Calibri" w:hAnsi="Calibri" w:cs="Calibri"/>
          <w:sz w:val="24"/>
          <w:lang w:val="en-GB" w:eastAsia="en-US"/>
        </w:rPr>
        <w:t xml:space="preserve">It was </w:t>
      </w:r>
      <w:r w:rsidR="00F01477" w:rsidRPr="00F01477">
        <w:rPr>
          <w:rFonts w:ascii="Calibri" w:eastAsia="Calibri" w:hAnsi="Calibri" w:cs="Calibri"/>
          <w:sz w:val="24"/>
          <w:lang w:val="en-GB" w:eastAsia="en-US"/>
        </w:rPr>
        <w:t>further mentioned that, of the 31 members of the UN System Chief Executives Board for Coordination (CEB) body which include both World Bank and IMF, ITU is still to amend its staff regulations in this respect.</w:t>
      </w:r>
    </w:p>
    <w:p w14:paraId="7E2AB8DE" w14:textId="77777777" w:rsidR="00F01477" w:rsidRPr="00F01477" w:rsidRDefault="00F01477" w:rsidP="00F01477">
      <w:pPr>
        <w:overflowPunct w:val="0"/>
        <w:autoSpaceDE w:val="0"/>
        <w:autoSpaceDN w:val="0"/>
        <w:textAlignment w:val="baseline"/>
        <w:rPr>
          <w:rFonts w:ascii="Calibri" w:eastAsia="Calibri" w:hAnsi="Calibri" w:cs="Calibri"/>
          <w:sz w:val="24"/>
          <w:lang w:val="en-GB" w:eastAsia="en-US"/>
        </w:rPr>
      </w:pPr>
    </w:p>
    <w:p w14:paraId="48032A0A" w14:textId="4B19D4F5" w:rsidR="00F01477" w:rsidRPr="00F01477" w:rsidRDefault="00563BC5" w:rsidP="00F01477">
      <w:pPr>
        <w:overflowPunct w:val="0"/>
        <w:autoSpaceDE w:val="0"/>
        <w:autoSpaceDN w:val="0"/>
        <w:textAlignment w:val="baseline"/>
        <w:rPr>
          <w:rFonts w:ascii="Calibri" w:eastAsia="Calibri" w:hAnsi="Calibri" w:cs="Calibri"/>
          <w:sz w:val="24"/>
          <w:lang w:val="en-GB" w:eastAsia="en-US"/>
        </w:rPr>
      </w:pPr>
      <w:r>
        <w:rPr>
          <w:rFonts w:ascii="Calibri" w:eastAsia="Calibri" w:hAnsi="Calibri" w:cs="Calibri"/>
          <w:sz w:val="24"/>
          <w:lang w:val="en-GB" w:eastAsia="en-US"/>
        </w:rPr>
        <w:t>7.7</w:t>
      </w:r>
      <w:r>
        <w:rPr>
          <w:rFonts w:ascii="Calibri" w:eastAsia="Calibri" w:hAnsi="Calibri" w:cs="Calibri"/>
          <w:sz w:val="24"/>
          <w:lang w:val="en-GB" w:eastAsia="en-US"/>
        </w:rPr>
        <w:tab/>
      </w:r>
      <w:r w:rsidR="00F01477" w:rsidRPr="00F01477">
        <w:rPr>
          <w:rFonts w:ascii="Calibri" w:eastAsia="Calibri" w:hAnsi="Calibri" w:cs="Calibri"/>
          <w:sz w:val="24"/>
          <w:lang w:val="en-GB" w:eastAsia="en-US"/>
        </w:rPr>
        <w:t xml:space="preserve">After the VCC of June 2021, the </w:t>
      </w:r>
      <w:r>
        <w:rPr>
          <w:rFonts w:ascii="Calibri" w:eastAsia="Calibri" w:hAnsi="Calibri" w:cs="Calibri"/>
          <w:sz w:val="24"/>
          <w:lang w:val="en-GB" w:eastAsia="en-US"/>
        </w:rPr>
        <w:t xml:space="preserve">secretariat </w:t>
      </w:r>
      <w:r w:rsidR="00F01477" w:rsidRPr="00F01477">
        <w:rPr>
          <w:rFonts w:ascii="Calibri" w:eastAsia="Calibri" w:hAnsi="Calibri" w:cs="Calibri"/>
          <w:sz w:val="24"/>
          <w:lang w:val="en-GB" w:eastAsia="en-US"/>
        </w:rPr>
        <w:t>reached out to several organizations, including the UN Secretariat, UNHCR, UNDP, UNICEF, UN Women, IOM, and IAEA who confirmed they all systematically follow the Secretary-General’s Bulletin ST/SGB/2004/13/Rev.1 of 26 June 2014 and have integrated this into their Staff Rules and Regulations.</w:t>
      </w:r>
    </w:p>
    <w:p w14:paraId="3C70922E" w14:textId="77777777" w:rsidR="00F01477" w:rsidRPr="00F01477" w:rsidRDefault="00F01477" w:rsidP="00F01477">
      <w:pPr>
        <w:overflowPunct w:val="0"/>
        <w:autoSpaceDE w:val="0"/>
        <w:autoSpaceDN w:val="0"/>
        <w:textAlignment w:val="baseline"/>
        <w:rPr>
          <w:rFonts w:ascii="Calibri" w:eastAsia="Calibri" w:hAnsi="Calibri" w:cs="Calibri"/>
          <w:sz w:val="24"/>
          <w:lang w:val="en-GB" w:eastAsia="en-US"/>
        </w:rPr>
      </w:pPr>
    </w:p>
    <w:p w14:paraId="45A4D2AA" w14:textId="177C22B2" w:rsidR="00F01477" w:rsidRPr="00F01477" w:rsidRDefault="00563BC5" w:rsidP="00F01477">
      <w:pPr>
        <w:overflowPunct w:val="0"/>
        <w:autoSpaceDE w:val="0"/>
        <w:autoSpaceDN w:val="0"/>
        <w:textAlignment w:val="baseline"/>
        <w:rPr>
          <w:rFonts w:ascii="Calibri" w:eastAsia="Calibri" w:hAnsi="Calibri" w:cs="Calibri"/>
          <w:sz w:val="24"/>
          <w:lang w:val="en-GB" w:eastAsia="en-US"/>
        </w:rPr>
      </w:pPr>
      <w:r>
        <w:rPr>
          <w:rFonts w:ascii="Calibri" w:eastAsia="Calibri" w:hAnsi="Calibri" w:cs="Calibri"/>
          <w:sz w:val="24"/>
          <w:lang w:val="en-GB" w:eastAsia="en-US"/>
        </w:rPr>
        <w:t>7.8</w:t>
      </w:r>
      <w:r>
        <w:rPr>
          <w:rFonts w:ascii="Calibri" w:eastAsia="Calibri" w:hAnsi="Calibri" w:cs="Calibri"/>
          <w:sz w:val="24"/>
          <w:lang w:val="en-GB" w:eastAsia="en-US"/>
        </w:rPr>
        <w:tab/>
      </w:r>
      <w:r w:rsidR="00F01477" w:rsidRPr="00F01477">
        <w:rPr>
          <w:rFonts w:ascii="Calibri" w:eastAsia="Calibri" w:hAnsi="Calibri" w:cs="Calibri"/>
          <w:sz w:val="24"/>
          <w:lang w:val="en-GB" w:eastAsia="en-US"/>
        </w:rPr>
        <w:t xml:space="preserve">Concerning cost implications, the </w:t>
      </w:r>
      <w:r>
        <w:rPr>
          <w:rFonts w:ascii="Calibri" w:eastAsia="Calibri" w:hAnsi="Calibri" w:cs="Calibri"/>
          <w:sz w:val="24"/>
          <w:lang w:val="en-GB" w:eastAsia="en-US"/>
        </w:rPr>
        <w:t xml:space="preserve">secretariat </w:t>
      </w:r>
      <w:r w:rsidR="00F01477" w:rsidRPr="00F01477">
        <w:rPr>
          <w:rFonts w:ascii="Calibri" w:eastAsia="Calibri" w:hAnsi="Calibri" w:cs="Calibri"/>
          <w:sz w:val="24"/>
          <w:lang w:val="en-GB" w:eastAsia="en-US"/>
        </w:rPr>
        <w:t xml:space="preserve">mentioned that without knowledge of potential cases it was difficult to ascertain the exact costing but that the budget 2022-2023 could absorb any financial implications on these measures. These implications will be reflected in the </w:t>
      </w:r>
      <w:r>
        <w:rPr>
          <w:rFonts w:ascii="Calibri" w:eastAsia="Calibri" w:hAnsi="Calibri" w:cs="Calibri"/>
          <w:sz w:val="24"/>
          <w:lang w:val="en-GB" w:eastAsia="en-US"/>
        </w:rPr>
        <w:t>F</w:t>
      </w:r>
      <w:r w:rsidR="00F01477" w:rsidRPr="00F01477">
        <w:rPr>
          <w:rFonts w:ascii="Calibri" w:eastAsia="Calibri" w:hAnsi="Calibri" w:cs="Calibri"/>
          <w:sz w:val="24"/>
          <w:lang w:val="en-GB" w:eastAsia="en-US"/>
        </w:rPr>
        <w:t xml:space="preserve">inancial </w:t>
      </w:r>
      <w:r>
        <w:rPr>
          <w:rFonts w:ascii="Calibri" w:eastAsia="Calibri" w:hAnsi="Calibri" w:cs="Calibri"/>
          <w:sz w:val="24"/>
          <w:lang w:val="en-GB" w:eastAsia="en-US"/>
        </w:rPr>
        <w:t>P</w:t>
      </w:r>
      <w:r w:rsidR="00F01477" w:rsidRPr="00F01477">
        <w:rPr>
          <w:rFonts w:ascii="Calibri" w:eastAsia="Calibri" w:hAnsi="Calibri" w:cs="Calibri"/>
          <w:sz w:val="24"/>
          <w:lang w:val="en-GB" w:eastAsia="en-US"/>
        </w:rPr>
        <w:t xml:space="preserve">lan </w:t>
      </w:r>
      <w:proofErr w:type="gramStart"/>
      <w:r w:rsidR="00F01477" w:rsidRPr="00F01477">
        <w:rPr>
          <w:rFonts w:ascii="Calibri" w:eastAsia="Calibri" w:hAnsi="Calibri" w:cs="Calibri"/>
          <w:sz w:val="24"/>
          <w:lang w:val="en-GB" w:eastAsia="en-US"/>
        </w:rPr>
        <w:t>2024-2027</w:t>
      </w:r>
      <w:r w:rsidR="00D54C7C">
        <w:rPr>
          <w:rFonts w:ascii="Calibri" w:eastAsia="Calibri" w:hAnsi="Calibri" w:cs="Calibri"/>
          <w:sz w:val="24"/>
          <w:lang w:val="en-GB" w:eastAsia="en-US"/>
        </w:rPr>
        <w:t>,</w:t>
      </w:r>
      <w:proofErr w:type="gramEnd"/>
      <w:r w:rsidR="00D54C7C">
        <w:rPr>
          <w:rFonts w:ascii="Calibri" w:eastAsia="Calibri" w:hAnsi="Calibri" w:cs="Calibri"/>
          <w:sz w:val="24"/>
          <w:lang w:val="en-GB" w:eastAsia="en-US"/>
        </w:rPr>
        <w:t xml:space="preserve"> </w:t>
      </w:r>
      <w:r w:rsidR="00F01477" w:rsidRPr="00F01477">
        <w:rPr>
          <w:rFonts w:ascii="Calibri" w:eastAsia="Calibri" w:hAnsi="Calibri" w:cs="Calibri"/>
          <w:sz w:val="24"/>
          <w:lang w:val="en-GB" w:eastAsia="en-US"/>
        </w:rPr>
        <w:t>however, cost implications should not be put above what is fair.</w:t>
      </w:r>
    </w:p>
    <w:p w14:paraId="5F32A96F" w14:textId="77777777" w:rsidR="00F01477" w:rsidRPr="00F01477" w:rsidRDefault="00F01477" w:rsidP="00F01477">
      <w:pPr>
        <w:overflowPunct w:val="0"/>
        <w:autoSpaceDE w:val="0"/>
        <w:autoSpaceDN w:val="0"/>
        <w:textAlignment w:val="baseline"/>
        <w:rPr>
          <w:rFonts w:ascii="Calibri" w:eastAsia="Calibri" w:hAnsi="Calibri" w:cs="Calibri"/>
          <w:sz w:val="24"/>
          <w:lang w:val="en-GB" w:eastAsia="en-US"/>
        </w:rPr>
      </w:pPr>
    </w:p>
    <w:p w14:paraId="359AF3D2" w14:textId="287A2BEE" w:rsidR="00F01477" w:rsidRPr="00F01477" w:rsidRDefault="00D54C7C" w:rsidP="00F01477">
      <w:pPr>
        <w:overflowPunct w:val="0"/>
        <w:autoSpaceDE w:val="0"/>
        <w:autoSpaceDN w:val="0"/>
        <w:textAlignment w:val="baseline"/>
        <w:rPr>
          <w:rFonts w:ascii="Calibri" w:eastAsia="Calibri" w:hAnsi="Calibri" w:cs="Calibri"/>
          <w:sz w:val="24"/>
          <w:lang w:val="en-GB" w:eastAsia="en-US"/>
        </w:rPr>
      </w:pPr>
      <w:r>
        <w:rPr>
          <w:rFonts w:ascii="Calibri" w:eastAsia="Calibri" w:hAnsi="Calibri" w:cs="Calibri"/>
          <w:sz w:val="24"/>
          <w:lang w:val="en-GB" w:eastAsia="en-US"/>
        </w:rPr>
        <w:t>7.9</w:t>
      </w:r>
      <w:r>
        <w:rPr>
          <w:rFonts w:ascii="Calibri" w:eastAsia="Calibri" w:hAnsi="Calibri" w:cs="Calibri"/>
          <w:sz w:val="24"/>
          <w:lang w:val="en-GB" w:eastAsia="en-US"/>
        </w:rPr>
        <w:tab/>
      </w:r>
      <w:r w:rsidR="00F01477" w:rsidRPr="00F01477">
        <w:rPr>
          <w:rFonts w:ascii="Calibri" w:eastAsia="Calibri" w:hAnsi="Calibri" w:cs="Calibri"/>
          <w:sz w:val="24"/>
          <w:lang w:val="en-GB" w:eastAsia="en-US"/>
        </w:rPr>
        <w:t>There were several questions raised, in particular: (</w:t>
      </w:r>
      <w:proofErr w:type="spellStart"/>
      <w:r w:rsidR="00F01477" w:rsidRPr="00F01477">
        <w:rPr>
          <w:rFonts w:ascii="Calibri" w:eastAsia="Calibri" w:hAnsi="Calibri" w:cs="Calibri"/>
          <w:sz w:val="24"/>
          <w:lang w:val="en-GB" w:eastAsia="en-US"/>
        </w:rPr>
        <w:t>i</w:t>
      </w:r>
      <w:proofErr w:type="spellEnd"/>
      <w:r w:rsidR="00F01477" w:rsidRPr="00F01477">
        <w:rPr>
          <w:rFonts w:ascii="Calibri" w:eastAsia="Calibri" w:hAnsi="Calibri" w:cs="Calibri"/>
          <w:sz w:val="24"/>
          <w:lang w:val="en-GB" w:eastAsia="en-US"/>
        </w:rPr>
        <w:t>) that the Staff Rules and Regulations were not accessible to members and that they were only available in two languages, (ii) that a costing of this change is necessary, and (iii) that ILO has mention of the phrase “husband and wife” in their staff rules and regulations.</w:t>
      </w:r>
    </w:p>
    <w:p w14:paraId="148899BB" w14:textId="77777777" w:rsidR="00F01477" w:rsidRPr="00F01477" w:rsidRDefault="00F01477" w:rsidP="00F01477">
      <w:pPr>
        <w:overflowPunct w:val="0"/>
        <w:autoSpaceDE w:val="0"/>
        <w:autoSpaceDN w:val="0"/>
        <w:textAlignment w:val="baseline"/>
        <w:rPr>
          <w:rFonts w:ascii="Calibri" w:eastAsia="Calibri" w:hAnsi="Calibri" w:cs="Calibri"/>
          <w:sz w:val="24"/>
          <w:lang w:val="en-GB" w:eastAsia="en-US"/>
        </w:rPr>
      </w:pPr>
    </w:p>
    <w:p w14:paraId="577E57A0" w14:textId="77C44D9C" w:rsidR="00F01477" w:rsidRPr="00F01477" w:rsidRDefault="00F02210" w:rsidP="00F01477">
      <w:pPr>
        <w:overflowPunct w:val="0"/>
        <w:autoSpaceDE w:val="0"/>
        <w:autoSpaceDN w:val="0"/>
        <w:textAlignment w:val="baseline"/>
        <w:rPr>
          <w:rFonts w:ascii="Calibri" w:eastAsia="Calibri" w:hAnsi="Calibri" w:cs="Calibri"/>
          <w:sz w:val="24"/>
          <w:lang w:val="en-GB" w:eastAsia="en-US"/>
        </w:rPr>
      </w:pPr>
      <w:r>
        <w:rPr>
          <w:rFonts w:ascii="Calibri" w:eastAsia="Calibri" w:hAnsi="Calibri" w:cs="Calibri"/>
          <w:sz w:val="24"/>
          <w:lang w:val="en-GB" w:eastAsia="en-US"/>
        </w:rPr>
        <w:t>7.10</w:t>
      </w:r>
      <w:r>
        <w:rPr>
          <w:rFonts w:ascii="Calibri" w:eastAsia="Calibri" w:hAnsi="Calibri" w:cs="Calibri"/>
          <w:sz w:val="24"/>
          <w:lang w:val="en-GB" w:eastAsia="en-US"/>
        </w:rPr>
        <w:tab/>
        <w:t xml:space="preserve">Some delegates </w:t>
      </w:r>
      <w:r w:rsidR="00F01477" w:rsidRPr="00F01477">
        <w:rPr>
          <w:rFonts w:ascii="Calibri" w:eastAsia="Calibri" w:hAnsi="Calibri" w:cs="Calibri"/>
          <w:sz w:val="24"/>
          <w:lang w:val="en-GB" w:eastAsia="en-US"/>
        </w:rPr>
        <w:t>expressed their position of strong support to the change in the Staff Rules and Regulations.</w:t>
      </w:r>
    </w:p>
    <w:p w14:paraId="24F473E9" w14:textId="77777777" w:rsidR="00F01477" w:rsidRPr="00F01477" w:rsidRDefault="00F01477" w:rsidP="00F01477">
      <w:pPr>
        <w:overflowPunct w:val="0"/>
        <w:autoSpaceDE w:val="0"/>
        <w:autoSpaceDN w:val="0"/>
        <w:textAlignment w:val="baseline"/>
        <w:rPr>
          <w:rFonts w:ascii="Calibri" w:eastAsia="Calibri" w:hAnsi="Calibri" w:cs="Calibri"/>
          <w:sz w:val="24"/>
          <w:lang w:val="en-GB" w:eastAsia="en-US"/>
        </w:rPr>
      </w:pPr>
    </w:p>
    <w:p w14:paraId="7048CC2C" w14:textId="68211D9F" w:rsidR="00FE35DD" w:rsidRPr="00FE35DD" w:rsidRDefault="00F02210" w:rsidP="00F01477">
      <w:pPr>
        <w:tabs>
          <w:tab w:val="left" w:pos="709"/>
          <w:tab w:val="left" w:pos="1191"/>
          <w:tab w:val="left" w:pos="1588"/>
          <w:tab w:val="left" w:pos="1985"/>
        </w:tabs>
        <w:overflowPunct w:val="0"/>
        <w:autoSpaceDE w:val="0"/>
        <w:autoSpaceDN w:val="0"/>
        <w:adjustRightInd w:val="0"/>
        <w:textAlignment w:val="baseline"/>
        <w:rPr>
          <w:rFonts w:ascii="Calibri" w:hAnsi="Calibri" w:cs="Calibri"/>
          <w:sz w:val="24"/>
          <w:szCs w:val="20"/>
          <w:lang w:eastAsia="en-US"/>
        </w:rPr>
      </w:pPr>
      <w:r>
        <w:rPr>
          <w:rFonts w:ascii="Calibri" w:eastAsia="Calibri" w:hAnsi="Calibri" w:cs="Calibri"/>
          <w:sz w:val="24"/>
          <w:lang w:val="en-GB" w:eastAsia="en-US"/>
        </w:rPr>
        <w:t>7.11</w:t>
      </w:r>
      <w:r>
        <w:rPr>
          <w:rFonts w:ascii="Calibri" w:eastAsia="Calibri" w:hAnsi="Calibri" w:cs="Calibri"/>
          <w:sz w:val="24"/>
          <w:lang w:val="en-GB" w:eastAsia="en-US"/>
        </w:rPr>
        <w:tab/>
      </w:r>
      <w:r w:rsidR="00F01477" w:rsidRPr="00F01477">
        <w:rPr>
          <w:rFonts w:ascii="Calibri" w:eastAsia="Calibri" w:hAnsi="Calibri" w:cs="Calibri"/>
          <w:sz w:val="24"/>
          <w:lang w:val="en-GB" w:eastAsia="en-US"/>
        </w:rPr>
        <w:t xml:space="preserve">The </w:t>
      </w:r>
      <w:r>
        <w:rPr>
          <w:rFonts w:ascii="Calibri" w:eastAsia="Calibri" w:hAnsi="Calibri" w:cs="Calibri"/>
          <w:sz w:val="24"/>
          <w:lang w:val="en-GB" w:eastAsia="en-US"/>
        </w:rPr>
        <w:t>secretariat</w:t>
      </w:r>
      <w:r w:rsidR="00F01477" w:rsidRPr="00F01477">
        <w:rPr>
          <w:rFonts w:ascii="Calibri" w:eastAsia="Calibri" w:hAnsi="Calibri" w:cs="Calibri"/>
          <w:sz w:val="24"/>
          <w:lang w:val="en-GB" w:eastAsia="en-US"/>
        </w:rPr>
        <w:t xml:space="preserve"> responded that the Staff Rules and Regulations were available at the ITU website, however a technical access problem (which was solved during the day) had prevented access. </w:t>
      </w:r>
      <w:r w:rsidR="00CE4346">
        <w:rPr>
          <w:rFonts w:ascii="Calibri" w:eastAsia="Calibri" w:hAnsi="Calibri" w:cs="Calibri"/>
          <w:sz w:val="24"/>
          <w:lang w:val="en-GB" w:eastAsia="en-US"/>
        </w:rPr>
        <w:t xml:space="preserve">Delegates were also informed that </w:t>
      </w:r>
      <w:r w:rsidR="00F01477" w:rsidRPr="00F01477">
        <w:rPr>
          <w:rFonts w:ascii="Calibri" w:eastAsia="Calibri" w:hAnsi="Calibri" w:cs="Calibri"/>
          <w:sz w:val="24"/>
          <w:lang w:val="en-GB" w:eastAsia="en-US"/>
        </w:rPr>
        <w:t xml:space="preserve">the Staff Rules and Regulations were going to be made available in the six languages for all members before the next CWG-FHR. </w:t>
      </w:r>
      <w:r w:rsidR="00D824F8">
        <w:rPr>
          <w:rFonts w:ascii="Calibri" w:eastAsia="Calibri" w:hAnsi="Calibri" w:cs="Calibri"/>
          <w:sz w:val="24"/>
          <w:lang w:val="en-GB" w:eastAsia="en-US"/>
        </w:rPr>
        <w:t xml:space="preserve">The secretariat </w:t>
      </w:r>
      <w:r w:rsidR="00F01477" w:rsidRPr="00F01477">
        <w:rPr>
          <w:rFonts w:ascii="Calibri" w:eastAsia="Calibri" w:hAnsi="Calibri" w:cs="Calibri"/>
          <w:sz w:val="24"/>
          <w:lang w:val="en-GB" w:eastAsia="en-US"/>
        </w:rPr>
        <w:t>further noted that</w:t>
      </w:r>
      <w:r w:rsidR="00D824F8">
        <w:rPr>
          <w:rFonts w:ascii="Calibri" w:eastAsia="Calibri" w:hAnsi="Calibri" w:cs="Calibri"/>
          <w:sz w:val="24"/>
          <w:lang w:val="en-GB" w:eastAsia="en-US"/>
        </w:rPr>
        <w:t xml:space="preserve"> it</w:t>
      </w:r>
      <w:r w:rsidR="00F01477" w:rsidRPr="00F01477">
        <w:rPr>
          <w:rFonts w:ascii="Calibri" w:eastAsia="Calibri" w:hAnsi="Calibri" w:cs="Calibri"/>
          <w:sz w:val="24"/>
          <w:lang w:val="en-GB" w:eastAsia="en-US"/>
        </w:rPr>
        <w:t xml:space="preserve"> would review the situation with ILO and clarify at the next CWG-FHR.</w:t>
      </w:r>
    </w:p>
    <w:p w14:paraId="6EA242F2" w14:textId="77777777" w:rsidR="00723164" w:rsidRPr="00723164" w:rsidRDefault="00723164" w:rsidP="00723164">
      <w:pPr>
        <w:tabs>
          <w:tab w:val="left" w:pos="794"/>
          <w:tab w:val="left" w:pos="1191"/>
          <w:tab w:val="left" w:pos="1588"/>
          <w:tab w:val="left" w:pos="1985"/>
        </w:tabs>
        <w:overflowPunct w:val="0"/>
        <w:autoSpaceDE w:val="0"/>
        <w:autoSpaceDN w:val="0"/>
        <w:adjustRightInd w:val="0"/>
        <w:textAlignment w:val="baseline"/>
        <w:rPr>
          <w:rFonts w:ascii="Calibri" w:hAnsi="Calibri" w:cs="Calibri"/>
          <w:b/>
          <w:bCs/>
          <w:sz w:val="24"/>
          <w:szCs w:val="20"/>
          <w:lang w:eastAsia="en-US"/>
        </w:rPr>
      </w:pPr>
    </w:p>
    <w:p w14:paraId="4578A696" w14:textId="07457665" w:rsidR="00723164" w:rsidRPr="00723164" w:rsidRDefault="00723164" w:rsidP="00723164">
      <w:pPr>
        <w:tabs>
          <w:tab w:val="left" w:pos="709"/>
          <w:tab w:val="left" w:pos="1191"/>
          <w:tab w:val="left" w:pos="1588"/>
          <w:tab w:val="left" w:pos="1985"/>
        </w:tabs>
        <w:overflowPunct w:val="0"/>
        <w:autoSpaceDE w:val="0"/>
        <w:autoSpaceDN w:val="0"/>
        <w:adjustRightInd w:val="0"/>
        <w:textAlignment w:val="baseline"/>
        <w:rPr>
          <w:rFonts w:ascii="Calibri" w:hAnsi="Calibri" w:cs="Calibri"/>
          <w:b/>
          <w:bCs/>
          <w:sz w:val="24"/>
          <w:szCs w:val="20"/>
          <w:lang w:eastAsia="en-US"/>
        </w:rPr>
      </w:pPr>
      <w:r>
        <w:rPr>
          <w:rFonts w:ascii="Calibri" w:hAnsi="Calibri" w:cs="Calibri"/>
          <w:b/>
          <w:bCs/>
          <w:sz w:val="24"/>
          <w:szCs w:val="20"/>
          <w:lang w:eastAsia="en-US"/>
        </w:rPr>
        <w:tab/>
      </w:r>
      <w:r w:rsidRPr="00723164">
        <w:rPr>
          <w:rFonts w:ascii="Calibri" w:hAnsi="Calibri" w:cs="Calibri"/>
          <w:b/>
          <w:bCs/>
          <w:sz w:val="24"/>
          <w:szCs w:val="20"/>
          <w:lang w:eastAsia="en-US"/>
        </w:rPr>
        <w:t>Advancement within Grade for Professional and Higher Categories</w:t>
      </w:r>
    </w:p>
    <w:p w14:paraId="31B4D634" w14:textId="318EDA29" w:rsidR="00723164" w:rsidRDefault="00723164" w:rsidP="00723164">
      <w:pPr>
        <w:tabs>
          <w:tab w:val="left" w:pos="709"/>
        </w:tabs>
        <w:overflowPunct w:val="0"/>
        <w:autoSpaceDE w:val="0"/>
        <w:autoSpaceDN w:val="0"/>
        <w:adjustRightInd w:val="0"/>
        <w:snapToGrid w:val="0"/>
        <w:textAlignment w:val="baseline"/>
        <w:rPr>
          <w:rFonts w:ascii="Calibri" w:hAnsi="Calibri" w:cs="Calibri"/>
          <w:b/>
          <w:bCs/>
          <w:sz w:val="24"/>
          <w:szCs w:val="20"/>
          <w:lang w:eastAsia="en-US"/>
        </w:rPr>
      </w:pPr>
    </w:p>
    <w:p w14:paraId="6452E743" w14:textId="590568D5" w:rsidR="00246837" w:rsidRDefault="00FE35DD" w:rsidP="00246837">
      <w:pPr>
        <w:overflowPunct w:val="0"/>
        <w:autoSpaceDE w:val="0"/>
        <w:autoSpaceDN w:val="0"/>
        <w:textAlignment w:val="baseline"/>
        <w:rPr>
          <w:rFonts w:ascii="Calibri" w:hAnsi="Calibri" w:cs="Calibri"/>
          <w:sz w:val="24"/>
          <w:lang w:eastAsia="en-US"/>
        </w:rPr>
      </w:pPr>
      <w:r w:rsidRPr="00FE35DD">
        <w:rPr>
          <w:rFonts w:ascii="Calibri" w:hAnsi="Calibri" w:cs="Calibri"/>
          <w:sz w:val="24"/>
          <w:szCs w:val="20"/>
          <w:lang w:eastAsia="en-US"/>
        </w:rPr>
        <w:t>7.</w:t>
      </w:r>
      <w:r w:rsidR="00246837">
        <w:rPr>
          <w:rFonts w:ascii="Calibri" w:hAnsi="Calibri" w:cs="Calibri"/>
          <w:sz w:val="24"/>
          <w:szCs w:val="20"/>
          <w:lang w:eastAsia="en-US"/>
        </w:rPr>
        <w:t>12</w:t>
      </w:r>
      <w:r w:rsidR="00246837">
        <w:rPr>
          <w:rFonts w:ascii="Calibri" w:hAnsi="Calibri" w:cs="Calibri"/>
          <w:sz w:val="24"/>
          <w:szCs w:val="20"/>
          <w:lang w:eastAsia="en-US"/>
        </w:rPr>
        <w:tab/>
      </w:r>
      <w:r w:rsidR="00246837">
        <w:rPr>
          <w:rFonts w:ascii="Calibri" w:hAnsi="Calibri" w:cs="Calibri"/>
          <w:sz w:val="24"/>
          <w:lang w:eastAsia="en-US"/>
        </w:rPr>
        <w:t>The secretariat presented the proposal to change the Staff Rules and Regulations to correct an error in terms of the step advancement which is not aligned to the ICSC regulations.</w:t>
      </w:r>
    </w:p>
    <w:p w14:paraId="5B7EDB77" w14:textId="78553122" w:rsidR="00246837" w:rsidRDefault="00246837" w:rsidP="00246837">
      <w:pPr>
        <w:overflowPunct w:val="0"/>
        <w:autoSpaceDE w:val="0"/>
        <w:autoSpaceDN w:val="0"/>
        <w:textAlignment w:val="baseline"/>
        <w:rPr>
          <w:rFonts w:ascii="Calibri" w:hAnsi="Calibri" w:cs="Calibri"/>
          <w:sz w:val="24"/>
          <w:lang w:eastAsia="en-US"/>
        </w:rPr>
      </w:pPr>
      <w:r>
        <w:rPr>
          <w:rFonts w:ascii="Calibri" w:hAnsi="Calibri" w:cs="Calibri"/>
          <w:sz w:val="24"/>
          <w:lang w:eastAsia="en-US"/>
        </w:rPr>
        <w:lastRenderedPageBreak/>
        <w:t>7.13</w:t>
      </w:r>
      <w:r>
        <w:rPr>
          <w:rFonts w:ascii="Calibri" w:hAnsi="Calibri" w:cs="Calibri"/>
          <w:sz w:val="24"/>
          <w:lang w:eastAsia="en-US"/>
        </w:rPr>
        <w:tab/>
        <w:t xml:space="preserve">One delegate intervened to mention that gender needs to be considered in any prospective change to the Staff Rules and Regulations. </w:t>
      </w:r>
      <w:r w:rsidR="00CE4346">
        <w:rPr>
          <w:rFonts w:ascii="Calibri" w:hAnsi="Calibri" w:cs="Calibri"/>
          <w:sz w:val="24"/>
          <w:lang w:eastAsia="en-US"/>
        </w:rPr>
        <w:t xml:space="preserve">One delegate </w:t>
      </w:r>
      <w:r>
        <w:rPr>
          <w:rFonts w:ascii="Calibri" w:hAnsi="Calibri" w:cs="Calibri"/>
          <w:sz w:val="24"/>
          <w:lang w:eastAsia="en-US"/>
        </w:rPr>
        <w:t>asked if the measure would in any way reduce the salary of staff. The secretariat was asked to provide more information on how this affected the salaries of staff at the next CWG-FHR</w:t>
      </w:r>
      <w:r w:rsidR="00A0548F">
        <w:rPr>
          <w:rFonts w:ascii="Calibri" w:hAnsi="Calibri" w:cs="Calibri"/>
          <w:sz w:val="24"/>
          <w:lang w:eastAsia="en-US"/>
        </w:rPr>
        <w:t xml:space="preserve"> meeting</w:t>
      </w:r>
      <w:r>
        <w:rPr>
          <w:rFonts w:ascii="Calibri" w:hAnsi="Calibri" w:cs="Calibri"/>
          <w:sz w:val="24"/>
          <w:lang w:eastAsia="en-US"/>
        </w:rPr>
        <w:t>.</w:t>
      </w:r>
    </w:p>
    <w:p w14:paraId="2EE49C9D" w14:textId="77777777" w:rsidR="00723164" w:rsidRPr="00723164" w:rsidRDefault="00723164" w:rsidP="00723164">
      <w:pPr>
        <w:tabs>
          <w:tab w:val="left" w:pos="709"/>
        </w:tabs>
        <w:overflowPunct w:val="0"/>
        <w:autoSpaceDE w:val="0"/>
        <w:autoSpaceDN w:val="0"/>
        <w:adjustRightInd w:val="0"/>
        <w:snapToGrid w:val="0"/>
        <w:textAlignment w:val="baseline"/>
        <w:rPr>
          <w:rFonts w:ascii="Calibri" w:hAnsi="Calibri" w:cs="Calibri"/>
          <w:b/>
          <w:bCs/>
          <w:sz w:val="24"/>
          <w:szCs w:val="20"/>
          <w:lang w:eastAsia="en-US"/>
        </w:rPr>
      </w:pPr>
    </w:p>
    <w:p w14:paraId="0B89F2D0" w14:textId="0EDBA2F0" w:rsidR="00723164" w:rsidRPr="00723164" w:rsidRDefault="00723164" w:rsidP="00723164">
      <w:pPr>
        <w:tabs>
          <w:tab w:val="left" w:pos="709"/>
        </w:tabs>
        <w:overflowPunct w:val="0"/>
        <w:autoSpaceDE w:val="0"/>
        <w:autoSpaceDN w:val="0"/>
        <w:adjustRightInd w:val="0"/>
        <w:snapToGrid w:val="0"/>
        <w:textAlignment w:val="baseline"/>
        <w:rPr>
          <w:rFonts w:asciiTheme="minorHAnsi" w:hAnsiTheme="minorHAnsi" w:cstheme="minorHAnsi"/>
          <w:b/>
          <w:bCs/>
          <w:sz w:val="24"/>
        </w:rPr>
      </w:pPr>
      <w:r>
        <w:rPr>
          <w:rFonts w:ascii="Calibri" w:hAnsi="Calibri" w:cs="Calibri"/>
          <w:b/>
          <w:bCs/>
          <w:sz w:val="24"/>
          <w:szCs w:val="20"/>
          <w:lang w:eastAsia="en-US"/>
        </w:rPr>
        <w:tab/>
      </w:r>
      <w:r w:rsidRPr="00723164">
        <w:rPr>
          <w:rFonts w:ascii="Calibri" w:hAnsi="Calibri" w:cs="Calibri"/>
          <w:b/>
          <w:bCs/>
          <w:sz w:val="24"/>
          <w:szCs w:val="20"/>
          <w:lang w:eastAsia="en-US"/>
        </w:rPr>
        <w:t>Presentation of drafts of Audit, Investigations, and Ethics Charters</w:t>
      </w:r>
    </w:p>
    <w:p w14:paraId="69D32CC7" w14:textId="77777777" w:rsidR="00723164" w:rsidRDefault="00723164" w:rsidP="00723164">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0FFA7D1F" w14:textId="52101F78" w:rsidR="00246837" w:rsidRDefault="00FE35DD" w:rsidP="00246837">
      <w:pPr>
        <w:overflowPunct w:val="0"/>
        <w:autoSpaceDE w:val="0"/>
        <w:autoSpaceDN w:val="0"/>
        <w:textAlignment w:val="baseline"/>
        <w:rPr>
          <w:rFonts w:ascii="Calibri" w:hAnsi="Calibri" w:cs="Calibri"/>
          <w:sz w:val="24"/>
          <w:lang w:eastAsia="en-US"/>
        </w:rPr>
      </w:pPr>
      <w:r w:rsidRPr="00FE35DD">
        <w:rPr>
          <w:rFonts w:ascii="Calibri" w:hAnsi="Calibri" w:cs="Calibri"/>
          <w:sz w:val="24"/>
          <w:szCs w:val="20"/>
          <w:lang w:eastAsia="en-US"/>
        </w:rPr>
        <w:t>7.</w:t>
      </w:r>
      <w:r w:rsidR="00246837">
        <w:rPr>
          <w:rFonts w:ascii="Calibri" w:hAnsi="Calibri" w:cs="Calibri"/>
          <w:sz w:val="24"/>
          <w:szCs w:val="20"/>
          <w:lang w:eastAsia="en-US"/>
        </w:rPr>
        <w:t>14</w:t>
      </w:r>
      <w:r w:rsidR="00246837">
        <w:rPr>
          <w:rFonts w:ascii="Calibri" w:hAnsi="Calibri" w:cs="Calibri"/>
          <w:sz w:val="24"/>
          <w:szCs w:val="20"/>
          <w:lang w:eastAsia="en-US"/>
        </w:rPr>
        <w:tab/>
      </w:r>
      <w:r w:rsidR="00246837">
        <w:rPr>
          <w:rFonts w:ascii="Calibri" w:hAnsi="Calibri" w:cs="Calibri"/>
          <w:sz w:val="24"/>
          <w:lang w:eastAsia="en-US"/>
        </w:rPr>
        <w:t xml:space="preserve">The secretariat explained that the draft of the Audit and Ethics charters were ready and that the Charter for Investigations was to be presented when the new Head of Investigations was onboard. </w:t>
      </w:r>
      <w:r w:rsidR="002B3B9F">
        <w:rPr>
          <w:rFonts w:ascii="Calibri" w:hAnsi="Calibri" w:cs="Calibri"/>
          <w:sz w:val="24"/>
          <w:lang w:eastAsia="en-US"/>
        </w:rPr>
        <w:t>T</w:t>
      </w:r>
      <w:r w:rsidR="00246837">
        <w:rPr>
          <w:rFonts w:ascii="Calibri" w:hAnsi="Calibri" w:cs="Calibri"/>
          <w:sz w:val="24"/>
          <w:lang w:eastAsia="en-US"/>
        </w:rPr>
        <w:t xml:space="preserve">he process of recruitment and selection had </w:t>
      </w:r>
      <w:proofErr w:type="gramStart"/>
      <w:r w:rsidR="00246837">
        <w:rPr>
          <w:rFonts w:ascii="Calibri" w:hAnsi="Calibri" w:cs="Calibri"/>
          <w:sz w:val="24"/>
          <w:lang w:eastAsia="en-US"/>
        </w:rPr>
        <w:t>finalized</w:t>
      </w:r>
      <w:proofErr w:type="gramEnd"/>
      <w:r w:rsidR="00246837">
        <w:rPr>
          <w:rFonts w:ascii="Calibri" w:hAnsi="Calibri" w:cs="Calibri"/>
          <w:sz w:val="24"/>
          <w:lang w:eastAsia="en-US"/>
        </w:rPr>
        <w:t xml:space="preserve"> and a candidate had been selected for the post. Delegates took note of this information.</w:t>
      </w:r>
    </w:p>
    <w:p w14:paraId="1F5C5DA7" w14:textId="77777777" w:rsidR="00D97342" w:rsidRDefault="00D97342" w:rsidP="00723164">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003460B8" w14:textId="11A75370" w:rsidR="006F6188" w:rsidRPr="00723164" w:rsidRDefault="006F6188" w:rsidP="00290D95">
      <w:pPr>
        <w:tabs>
          <w:tab w:val="left" w:pos="709"/>
        </w:tabs>
        <w:overflowPunct w:val="0"/>
        <w:autoSpaceDE w:val="0"/>
        <w:autoSpaceDN w:val="0"/>
        <w:adjustRightInd w:val="0"/>
        <w:snapToGrid w:val="0"/>
        <w:textAlignment w:val="baseline"/>
        <w:rPr>
          <w:rFonts w:ascii="Calibri" w:hAnsi="Calibri" w:cs="Calibri"/>
          <w:b/>
          <w:bCs/>
          <w:sz w:val="24"/>
        </w:rPr>
      </w:pPr>
      <w:r w:rsidRPr="00723164">
        <w:rPr>
          <w:rFonts w:ascii="Calibri" w:hAnsi="Calibri" w:cs="Calibri"/>
          <w:b/>
          <w:bCs/>
          <w:sz w:val="24"/>
        </w:rPr>
        <w:t>8</w:t>
      </w:r>
      <w:r w:rsidR="00723164" w:rsidRPr="00723164">
        <w:rPr>
          <w:rFonts w:ascii="Calibri" w:hAnsi="Calibri" w:cs="Calibri"/>
          <w:b/>
          <w:bCs/>
          <w:sz w:val="24"/>
        </w:rPr>
        <w:tab/>
        <w:t>Strengthening the Regional Presence (Resolution 25 (Rev. Dubai, 2018))</w:t>
      </w:r>
      <w:r w:rsidR="00723164" w:rsidRPr="00723164">
        <w:rPr>
          <w:rFonts w:ascii="Calibri" w:hAnsi="Calibri" w:cs="Calibri"/>
          <w:b/>
          <w:bCs/>
          <w:sz w:val="24"/>
        </w:rPr>
        <w:br/>
      </w:r>
      <w:r w:rsidR="00723164" w:rsidRPr="00723164">
        <w:rPr>
          <w:rFonts w:ascii="Calibri" w:hAnsi="Calibri" w:cs="Calibri"/>
          <w:b/>
          <w:bCs/>
          <w:sz w:val="24"/>
        </w:rPr>
        <w:tab/>
        <w:t xml:space="preserve">(Document </w:t>
      </w:r>
      <w:hyperlink r:id="rId23" w:history="1">
        <w:r w:rsidR="00723164" w:rsidRPr="00723164">
          <w:rPr>
            <w:rStyle w:val="Hyperlink"/>
            <w:rFonts w:ascii="Calibri" w:hAnsi="Calibri" w:cs="Calibri"/>
            <w:b/>
            <w:bCs/>
            <w:sz w:val="24"/>
          </w:rPr>
          <w:t>CWG-FHR-14/8</w:t>
        </w:r>
      </w:hyperlink>
      <w:r w:rsidR="00723164" w:rsidRPr="00723164">
        <w:rPr>
          <w:rStyle w:val="Hyperlink"/>
          <w:rFonts w:ascii="Calibri" w:hAnsi="Calibri" w:cs="Calibri"/>
          <w:b/>
          <w:bCs/>
          <w:sz w:val="24"/>
        </w:rPr>
        <w:t>)</w:t>
      </w:r>
    </w:p>
    <w:p w14:paraId="68E41507" w14:textId="4742AE1A" w:rsidR="006F6188" w:rsidRDefault="006F6188" w:rsidP="00290D95">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54588808" w14:textId="687EB853" w:rsidR="00D97342" w:rsidRPr="00D97342" w:rsidRDefault="00FE35DD" w:rsidP="00D97342">
      <w:pPr>
        <w:rPr>
          <w:rFonts w:ascii="Calibri" w:eastAsia="Times New Roman" w:hAnsi="Calibri" w:cs="Calibri"/>
          <w:sz w:val="24"/>
          <w:lang w:eastAsia="en-US"/>
        </w:rPr>
      </w:pPr>
      <w:r w:rsidRPr="00FE35DD">
        <w:rPr>
          <w:rFonts w:ascii="Calibri" w:hAnsi="Calibri" w:cs="Calibri"/>
          <w:sz w:val="24"/>
          <w:lang w:eastAsia="en-US"/>
        </w:rPr>
        <w:t>8.1</w:t>
      </w:r>
      <w:r w:rsidRPr="00FE35DD">
        <w:rPr>
          <w:rFonts w:ascii="Calibri" w:hAnsi="Calibri" w:cs="Calibri"/>
          <w:sz w:val="24"/>
          <w:lang w:eastAsia="en-US"/>
        </w:rPr>
        <w:tab/>
      </w:r>
      <w:r w:rsidR="005A1C78">
        <w:rPr>
          <w:rFonts w:ascii="Calibri" w:hAnsi="Calibri" w:cs="Calibri"/>
          <w:sz w:val="24"/>
          <w:lang w:eastAsia="en-US"/>
        </w:rPr>
        <w:t>D</w:t>
      </w:r>
      <w:r w:rsidR="00D97342" w:rsidRPr="00D97342">
        <w:rPr>
          <w:rFonts w:ascii="Calibri" w:eastAsia="Times New Roman" w:hAnsi="Calibri" w:cs="Calibri"/>
          <w:sz w:val="24"/>
          <w:lang w:eastAsia="en-US"/>
        </w:rPr>
        <w:t xml:space="preserve">ocument </w:t>
      </w:r>
      <w:r w:rsidR="00D97342" w:rsidRPr="00D97342">
        <w:rPr>
          <w:rFonts w:ascii="Calibri" w:eastAsia="Times New Roman" w:hAnsi="Calibri" w:cs="Times New Roman Bold"/>
          <w:b/>
          <w:spacing w:val="-4"/>
          <w:sz w:val="24"/>
          <w:szCs w:val="20"/>
          <w:lang w:val="de-CH" w:eastAsia="en-US"/>
        </w:rPr>
        <w:t xml:space="preserve">CWG-FHR-14/8 </w:t>
      </w:r>
      <w:r w:rsidR="005A1C78">
        <w:rPr>
          <w:rFonts w:ascii="Calibri" w:eastAsia="Times New Roman" w:hAnsi="Calibri" w:cs="Times New Roman Bold"/>
          <w:bCs/>
          <w:spacing w:val="-4"/>
          <w:sz w:val="24"/>
          <w:szCs w:val="20"/>
          <w:lang w:val="de-CH" w:eastAsia="en-US"/>
        </w:rPr>
        <w:t xml:space="preserve">was presented by the </w:t>
      </w:r>
      <w:r w:rsidR="00CA6F1A">
        <w:rPr>
          <w:rFonts w:ascii="Calibri" w:eastAsia="Times New Roman" w:hAnsi="Calibri" w:cs="Times New Roman Bold"/>
          <w:bCs/>
          <w:spacing w:val="-4"/>
          <w:sz w:val="24"/>
          <w:szCs w:val="20"/>
          <w:lang w:val="de-CH" w:eastAsia="en-US"/>
        </w:rPr>
        <w:t>secretariat</w:t>
      </w:r>
      <w:r w:rsidR="00AF5C6B">
        <w:rPr>
          <w:rFonts w:ascii="Calibri" w:eastAsia="Times New Roman" w:hAnsi="Calibri" w:cs="Times New Roman Bold"/>
          <w:bCs/>
          <w:spacing w:val="-4"/>
          <w:sz w:val="24"/>
          <w:szCs w:val="20"/>
          <w:lang w:val="de-CH" w:eastAsia="en-US"/>
        </w:rPr>
        <w:t xml:space="preserve"> who explained </w:t>
      </w:r>
      <w:r w:rsidR="00D97342" w:rsidRPr="00D97342">
        <w:rPr>
          <w:rFonts w:ascii="Calibri" w:eastAsia="Times New Roman" w:hAnsi="Calibri" w:cs="Times New Roman Bold"/>
          <w:bCs/>
          <w:spacing w:val="-4"/>
          <w:sz w:val="24"/>
          <w:szCs w:val="20"/>
          <w:lang w:val="de-CH" w:eastAsia="en-US"/>
        </w:rPr>
        <w:t xml:space="preserve">that </w:t>
      </w:r>
      <w:r w:rsidR="005A1C78">
        <w:rPr>
          <w:rFonts w:ascii="Calibri" w:eastAsia="Times New Roman" w:hAnsi="Calibri" w:cs="Calibri"/>
          <w:sz w:val="24"/>
          <w:lang w:eastAsia="en-US"/>
        </w:rPr>
        <w:t xml:space="preserve">it </w:t>
      </w:r>
      <w:r w:rsidR="00D97342" w:rsidRPr="00D97342">
        <w:rPr>
          <w:rFonts w:ascii="Calibri" w:eastAsia="Times New Roman" w:hAnsi="Calibri" w:cs="Calibri"/>
          <w:sz w:val="24"/>
          <w:lang w:eastAsia="en-US"/>
        </w:rPr>
        <w:t>had created a workplan for full implementation of the sections of the PWC report which are within the secretariat’s ability to implement (based on the decisions made by CWG-FHR upon recommendation</w:t>
      </w:r>
      <w:r w:rsidR="000B71AF">
        <w:rPr>
          <w:rFonts w:ascii="Calibri" w:eastAsia="Times New Roman" w:hAnsi="Calibri" w:cs="Calibri"/>
          <w:sz w:val="24"/>
          <w:lang w:eastAsia="en-US"/>
        </w:rPr>
        <w:t>s</w:t>
      </w:r>
      <w:r w:rsidR="00D97342" w:rsidRPr="00D97342">
        <w:rPr>
          <w:rFonts w:ascii="Calibri" w:eastAsia="Times New Roman" w:hAnsi="Calibri" w:cs="Calibri"/>
          <w:sz w:val="24"/>
          <w:lang w:eastAsia="en-US"/>
        </w:rPr>
        <w:t xml:space="preserve"> by the Ad Hoc Group on the Regional Presence) by the end of 2023.</w:t>
      </w:r>
    </w:p>
    <w:p w14:paraId="54058A60" w14:textId="77777777" w:rsid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sz w:val="24"/>
          <w:lang w:eastAsia="en-US"/>
        </w:rPr>
      </w:pPr>
    </w:p>
    <w:p w14:paraId="63677365" w14:textId="66F72581" w:rsidR="00D97342" w:rsidRP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sz w:val="24"/>
          <w:lang w:eastAsia="en-US"/>
        </w:rPr>
      </w:pPr>
      <w:r>
        <w:rPr>
          <w:rFonts w:ascii="Calibri" w:eastAsia="Times New Roman" w:hAnsi="Calibri" w:cs="Calibri"/>
          <w:sz w:val="24"/>
          <w:lang w:eastAsia="en-US"/>
        </w:rPr>
        <w:t>8.2</w:t>
      </w:r>
      <w:r>
        <w:rPr>
          <w:rFonts w:ascii="Calibri" w:eastAsia="Times New Roman" w:hAnsi="Calibri" w:cs="Calibri"/>
          <w:sz w:val="24"/>
          <w:lang w:eastAsia="en-US"/>
        </w:rPr>
        <w:tab/>
      </w:r>
      <w:r w:rsidRPr="00D97342">
        <w:rPr>
          <w:rFonts w:ascii="Calibri" w:eastAsia="Times New Roman" w:hAnsi="Calibri" w:cs="Calibri"/>
          <w:sz w:val="24"/>
          <w:lang w:eastAsia="en-US"/>
        </w:rPr>
        <w:t xml:space="preserve">The Ad Hoc Group also recommended that the </w:t>
      </w:r>
      <w:r>
        <w:rPr>
          <w:rFonts w:ascii="Calibri" w:eastAsia="Times New Roman" w:hAnsi="Calibri" w:cs="Calibri"/>
          <w:sz w:val="24"/>
          <w:lang w:eastAsia="en-US"/>
        </w:rPr>
        <w:t>s</w:t>
      </w:r>
      <w:r w:rsidRPr="00D97342">
        <w:rPr>
          <w:rFonts w:ascii="Calibri" w:eastAsia="Times New Roman" w:hAnsi="Calibri" w:cs="Calibri"/>
          <w:sz w:val="24"/>
          <w:lang w:eastAsia="en-US"/>
        </w:rPr>
        <w:t>ecretariat produce a Dashboard reflecting the status of the workplan, and accessible by membership. CWG-FHR had agreed to this recommendation at its meeting on 25 and 26 January 2021, and Council adopted the CWG-FHR decision during the June 2021 session of Council. It was also noted that Council expressed interest in publication on the website of dashboards reflecting various areas of management of ITU in addition to the Regional Presence Review dashboard.</w:t>
      </w:r>
    </w:p>
    <w:p w14:paraId="05E8305F" w14:textId="77777777" w:rsid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p>
    <w:p w14:paraId="12C2D764" w14:textId="1AB38211" w:rsidR="00D97342" w:rsidRP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r>
        <w:rPr>
          <w:rFonts w:ascii="Calibri" w:eastAsia="Times New Roman" w:hAnsi="Calibri" w:cs="Calibri"/>
          <w:bCs/>
          <w:sz w:val="24"/>
          <w:lang w:val="en-GB" w:eastAsia="en-US"/>
        </w:rPr>
        <w:t>8.3</w:t>
      </w:r>
      <w:r>
        <w:rPr>
          <w:rFonts w:ascii="Calibri" w:eastAsia="Times New Roman" w:hAnsi="Calibri" w:cs="Calibri"/>
          <w:bCs/>
          <w:sz w:val="24"/>
          <w:lang w:val="en-GB" w:eastAsia="en-US"/>
        </w:rPr>
        <w:tab/>
        <w:t xml:space="preserve">The secretariat </w:t>
      </w:r>
      <w:r w:rsidRPr="00D97342">
        <w:rPr>
          <w:rFonts w:ascii="Calibri" w:eastAsia="Times New Roman" w:hAnsi="Calibri" w:cs="Calibri"/>
          <w:bCs/>
          <w:sz w:val="24"/>
          <w:lang w:val="en-GB" w:eastAsia="en-US"/>
        </w:rPr>
        <w:t>outlined concerns of which Membership should be aware when making dashboards available with full functionality outside of the ITU IT environment. Specifically, the secretariat ha</w:t>
      </w:r>
      <w:r w:rsidR="00CA6F1A">
        <w:rPr>
          <w:rFonts w:ascii="Calibri" w:eastAsia="Times New Roman" w:hAnsi="Calibri" w:cs="Calibri"/>
          <w:bCs/>
          <w:sz w:val="24"/>
          <w:lang w:val="en-GB" w:eastAsia="en-US"/>
        </w:rPr>
        <w:t>d</w:t>
      </w:r>
      <w:r w:rsidRPr="00D97342">
        <w:rPr>
          <w:rFonts w:ascii="Calibri" w:eastAsia="Times New Roman" w:hAnsi="Calibri" w:cs="Calibri"/>
          <w:bCs/>
          <w:sz w:val="24"/>
          <w:lang w:val="en-GB" w:eastAsia="en-US"/>
        </w:rPr>
        <w:t xml:space="preserve"> identified concerns around licensing and data security, as outlined in document</w:t>
      </w:r>
      <w:r w:rsidR="00941A79">
        <w:rPr>
          <w:rFonts w:ascii="Calibri" w:eastAsia="Times New Roman" w:hAnsi="Calibri" w:cs="Calibri"/>
          <w:bCs/>
          <w:sz w:val="24"/>
          <w:lang w:val="en-GB" w:eastAsia="en-US"/>
        </w:rPr>
        <w:t> </w:t>
      </w:r>
      <w:r w:rsidRPr="00D97342">
        <w:rPr>
          <w:rFonts w:ascii="Calibri" w:eastAsia="Times New Roman" w:hAnsi="Calibri" w:cs="Times New Roman Bold"/>
          <w:b/>
          <w:spacing w:val="-4"/>
          <w:sz w:val="24"/>
          <w:szCs w:val="20"/>
          <w:lang w:val="de-CH" w:eastAsia="en-US"/>
        </w:rPr>
        <w:t>CWG-FHR-14/8</w:t>
      </w:r>
      <w:r w:rsidRPr="00D97342">
        <w:rPr>
          <w:rFonts w:ascii="Calibri" w:eastAsia="Times New Roman" w:hAnsi="Calibri" w:cs="Calibri"/>
          <w:bCs/>
          <w:sz w:val="24"/>
          <w:lang w:val="en-GB" w:eastAsia="en-US"/>
        </w:rPr>
        <w:t>.</w:t>
      </w:r>
    </w:p>
    <w:p w14:paraId="4FA3DC11" w14:textId="77777777" w:rsid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p>
    <w:p w14:paraId="57CDC7CE" w14:textId="5F35B210" w:rsidR="00D97342" w:rsidRP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r>
        <w:rPr>
          <w:rFonts w:ascii="Calibri" w:eastAsia="Times New Roman" w:hAnsi="Calibri" w:cs="Calibri"/>
          <w:bCs/>
          <w:sz w:val="24"/>
          <w:lang w:val="en-GB" w:eastAsia="en-US"/>
        </w:rPr>
        <w:t>8.4</w:t>
      </w:r>
      <w:r>
        <w:rPr>
          <w:rFonts w:ascii="Calibri" w:eastAsia="Times New Roman" w:hAnsi="Calibri" w:cs="Calibri"/>
          <w:bCs/>
          <w:sz w:val="24"/>
          <w:lang w:val="en-GB" w:eastAsia="en-US"/>
        </w:rPr>
        <w:tab/>
      </w:r>
      <w:r w:rsidRPr="00D97342">
        <w:rPr>
          <w:rFonts w:ascii="Calibri" w:eastAsia="Times New Roman" w:hAnsi="Calibri" w:cs="Calibri"/>
          <w:bCs/>
          <w:sz w:val="24"/>
          <w:lang w:val="en-GB" w:eastAsia="en-US"/>
        </w:rPr>
        <w:t xml:space="preserve">Accordingly, the </w:t>
      </w:r>
      <w:r w:rsidR="00941A79">
        <w:rPr>
          <w:rFonts w:ascii="Calibri" w:eastAsia="Times New Roman" w:hAnsi="Calibri" w:cs="Calibri"/>
          <w:bCs/>
          <w:sz w:val="24"/>
          <w:lang w:val="en-GB" w:eastAsia="en-US"/>
        </w:rPr>
        <w:t xml:space="preserve">secretariat </w:t>
      </w:r>
      <w:r w:rsidRPr="00D97342">
        <w:rPr>
          <w:rFonts w:ascii="Calibri" w:eastAsia="Times New Roman" w:hAnsi="Calibri" w:cs="Calibri"/>
          <w:bCs/>
          <w:sz w:val="24"/>
          <w:lang w:val="en-GB" w:eastAsia="en-US"/>
        </w:rPr>
        <w:t>noted that, in the absence of acquisition of licences for member access, only dashboards containing connections to data that does not pose a significant privacy or confidentiality risk can be published publicly and made available to Members with full functionality.</w:t>
      </w:r>
    </w:p>
    <w:p w14:paraId="60A0554F" w14:textId="77777777" w:rsid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p>
    <w:p w14:paraId="0C7717AF" w14:textId="5C3E6472" w:rsidR="00D97342" w:rsidRP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r>
        <w:rPr>
          <w:rFonts w:ascii="Calibri" w:eastAsia="Times New Roman" w:hAnsi="Calibri" w:cs="Calibri"/>
          <w:bCs/>
          <w:sz w:val="24"/>
          <w:lang w:val="en-GB" w:eastAsia="en-US"/>
        </w:rPr>
        <w:t>8.5</w:t>
      </w:r>
      <w:r>
        <w:rPr>
          <w:rFonts w:ascii="Calibri" w:eastAsia="Times New Roman" w:hAnsi="Calibri" w:cs="Calibri"/>
          <w:bCs/>
          <w:sz w:val="24"/>
          <w:lang w:val="en-GB" w:eastAsia="en-US"/>
        </w:rPr>
        <w:tab/>
      </w:r>
      <w:r w:rsidRPr="00D97342">
        <w:rPr>
          <w:rFonts w:ascii="Calibri" w:eastAsia="Times New Roman" w:hAnsi="Calibri" w:cs="Calibri"/>
          <w:bCs/>
          <w:sz w:val="24"/>
          <w:lang w:val="en-GB" w:eastAsia="en-US"/>
        </w:rPr>
        <w:t xml:space="preserve">On that basis, it was noted that the information regarding the status of the Regional Presence Review is low risk, and therefore the secretariat has published the dashboard as requested at </w:t>
      </w:r>
      <w:hyperlink r:id="rId24" w:history="1">
        <w:r w:rsidRPr="00D97342">
          <w:rPr>
            <w:rFonts w:ascii="Calibri" w:eastAsia="Times New Roman" w:hAnsi="Calibri" w:cs="Calibri"/>
            <w:bCs/>
            <w:color w:val="0000FF"/>
            <w:sz w:val="24"/>
            <w:u w:val="single"/>
            <w:lang w:val="en-GB" w:eastAsia="en-US"/>
          </w:rPr>
          <w:t>https://www.itu.int/en/council/ties/Pages/regional-presence-dashboard.aspx</w:t>
        </w:r>
      </w:hyperlink>
      <w:r w:rsidRPr="00D97342">
        <w:rPr>
          <w:rFonts w:ascii="Calibri" w:eastAsia="Times New Roman" w:hAnsi="Calibri" w:cs="Calibri"/>
          <w:bCs/>
          <w:color w:val="0000FF"/>
          <w:sz w:val="24"/>
          <w:u w:val="single"/>
          <w:lang w:val="en-GB" w:eastAsia="en-US"/>
        </w:rPr>
        <w:t>.</w:t>
      </w:r>
      <w:r w:rsidRPr="00D97342">
        <w:rPr>
          <w:rFonts w:ascii="Calibri" w:eastAsia="Times New Roman" w:hAnsi="Calibri" w:cs="Calibri"/>
          <w:bCs/>
          <w:sz w:val="24"/>
          <w:lang w:val="en-GB" w:eastAsia="en-US"/>
        </w:rPr>
        <w:t xml:space="preserve"> However, it was noted that publication of other dashboards may require further consideration by Council, and allocation of appropriate budget resources to ensure appropriate security for ITU’s information.</w:t>
      </w:r>
    </w:p>
    <w:p w14:paraId="4819078F" w14:textId="77777777" w:rsid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p>
    <w:p w14:paraId="4FD452FD" w14:textId="28CBB271" w:rsidR="00D97342" w:rsidRP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Times New Roman Bold"/>
          <w:b/>
          <w:spacing w:val="-4"/>
          <w:sz w:val="24"/>
          <w:szCs w:val="20"/>
          <w:lang w:val="de-CH" w:eastAsia="en-US"/>
        </w:rPr>
      </w:pPr>
      <w:r>
        <w:rPr>
          <w:rFonts w:ascii="Calibri" w:eastAsia="Times New Roman" w:hAnsi="Calibri" w:cs="Calibri"/>
          <w:bCs/>
          <w:sz w:val="24"/>
          <w:lang w:val="en-GB" w:eastAsia="en-US"/>
        </w:rPr>
        <w:t>8.6</w:t>
      </w:r>
      <w:r>
        <w:rPr>
          <w:rFonts w:ascii="Calibri" w:eastAsia="Times New Roman" w:hAnsi="Calibri" w:cs="Calibri"/>
          <w:bCs/>
          <w:sz w:val="24"/>
          <w:lang w:val="en-GB" w:eastAsia="en-US"/>
        </w:rPr>
        <w:tab/>
      </w:r>
      <w:r w:rsidR="00941A79">
        <w:rPr>
          <w:rFonts w:ascii="Calibri" w:eastAsia="Times New Roman" w:hAnsi="Calibri" w:cs="Calibri"/>
          <w:bCs/>
          <w:sz w:val="24"/>
          <w:lang w:val="en-GB" w:eastAsia="en-US"/>
        </w:rPr>
        <w:t>The Chairperson</w:t>
      </w:r>
      <w:r w:rsidRPr="00D97342">
        <w:rPr>
          <w:rFonts w:ascii="Calibri" w:eastAsia="Times New Roman" w:hAnsi="Calibri" w:cs="Calibri"/>
          <w:bCs/>
          <w:sz w:val="24"/>
          <w:lang w:val="en-GB" w:eastAsia="en-US"/>
        </w:rPr>
        <w:t xml:space="preserve"> invited comments on the presentation of </w:t>
      </w:r>
      <w:r w:rsidRPr="00D97342">
        <w:rPr>
          <w:rFonts w:ascii="Calibri" w:eastAsia="Times New Roman" w:hAnsi="Calibri" w:cs="Times New Roman Bold"/>
          <w:b/>
          <w:spacing w:val="-4"/>
          <w:sz w:val="24"/>
          <w:szCs w:val="20"/>
          <w:lang w:val="de-CH" w:eastAsia="en-US"/>
        </w:rPr>
        <w:t>CWG-FHR-14/8.</w:t>
      </w:r>
    </w:p>
    <w:p w14:paraId="5C4534B2" w14:textId="77777777" w:rsid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p>
    <w:p w14:paraId="1F809984" w14:textId="592A70F3" w:rsidR="00D97342" w:rsidRP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r>
        <w:rPr>
          <w:rFonts w:ascii="Calibri" w:eastAsia="Times New Roman" w:hAnsi="Calibri" w:cs="Calibri"/>
          <w:bCs/>
          <w:sz w:val="24"/>
          <w:lang w:val="en-GB" w:eastAsia="en-US"/>
        </w:rPr>
        <w:t>8.7</w:t>
      </w:r>
      <w:r>
        <w:rPr>
          <w:rFonts w:ascii="Calibri" w:eastAsia="Times New Roman" w:hAnsi="Calibri" w:cs="Calibri"/>
          <w:bCs/>
          <w:sz w:val="24"/>
          <w:lang w:val="en-GB" w:eastAsia="en-US"/>
        </w:rPr>
        <w:tab/>
      </w:r>
      <w:r w:rsidR="00941A79">
        <w:rPr>
          <w:rFonts w:ascii="Calibri" w:eastAsia="Times New Roman" w:hAnsi="Calibri" w:cs="Calibri"/>
          <w:bCs/>
          <w:sz w:val="24"/>
          <w:lang w:val="en-GB" w:eastAsia="en-US"/>
        </w:rPr>
        <w:t>One delegat</w:t>
      </w:r>
      <w:r w:rsidR="00CA6F1A">
        <w:rPr>
          <w:rFonts w:ascii="Calibri" w:eastAsia="Times New Roman" w:hAnsi="Calibri" w:cs="Calibri"/>
          <w:bCs/>
          <w:sz w:val="24"/>
          <w:lang w:val="en-GB" w:eastAsia="en-US"/>
        </w:rPr>
        <w:t>e</w:t>
      </w:r>
      <w:r w:rsidR="00941A79">
        <w:rPr>
          <w:rFonts w:ascii="Calibri" w:eastAsia="Times New Roman" w:hAnsi="Calibri" w:cs="Calibri"/>
          <w:bCs/>
          <w:sz w:val="24"/>
          <w:lang w:val="en-GB" w:eastAsia="en-US"/>
        </w:rPr>
        <w:t xml:space="preserve"> </w:t>
      </w:r>
      <w:r w:rsidRPr="00D97342">
        <w:rPr>
          <w:rFonts w:ascii="Calibri" w:eastAsia="Times New Roman" w:hAnsi="Calibri" w:cs="Calibri"/>
          <w:bCs/>
          <w:sz w:val="24"/>
          <w:lang w:val="en-GB" w:eastAsia="en-US"/>
        </w:rPr>
        <w:t>thank</w:t>
      </w:r>
      <w:r w:rsidR="00941A79">
        <w:rPr>
          <w:rFonts w:ascii="Calibri" w:eastAsia="Times New Roman" w:hAnsi="Calibri" w:cs="Calibri"/>
          <w:bCs/>
          <w:sz w:val="24"/>
          <w:lang w:val="en-GB" w:eastAsia="en-US"/>
        </w:rPr>
        <w:t>ed</w:t>
      </w:r>
      <w:r w:rsidRPr="00D97342">
        <w:rPr>
          <w:rFonts w:ascii="Calibri" w:eastAsia="Times New Roman" w:hAnsi="Calibri" w:cs="Calibri"/>
          <w:bCs/>
          <w:sz w:val="24"/>
          <w:lang w:val="en-GB" w:eastAsia="en-US"/>
        </w:rPr>
        <w:t xml:space="preserve"> the secretariat for the presentation and the publication of the dashboard</w:t>
      </w:r>
      <w:r w:rsidR="00941A79">
        <w:rPr>
          <w:rFonts w:ascii="Calibri" w:eastAsia="Times New Roman" w:hAnsi="Calibri" w:cs="Calibri"/>
          <w:bCs/>
          <w:sz w:val="24"/>
          <w:lang w:val="en-GB" w:eastAsia="en-US"/>
        </w:rPr>
        <w:t xml:space="preserve"> and </w:t>
      </w:r>
      <w:r w:rsidRPr="00D97342">
        <w:rPr>
          <w:rFonts w:ascii="Calibri" w:eastAsia="Times New Roman" w:hAnsi="Calibri" w:cs="Calibri"/>
          <w:bCs/>
          <w:sz w:val="24"/>
          <w:lang w:val="en-GB" w:eastAsia="en-US"/>
        </w:rPr>
        <w:t xml:space="preserve">proposed that the dashboard be adjusted to reflect </w:t>
      </w:r>
      <w:proofErr w:type="gramStart"/>
      <w:r w:rsidRPr="00D97342">
        <w:rPr>
          <w:rFonts w:ascii="Calibri" w:eastAsia="Times New Roman" w:hAnsi="Calibri" w:cs="Calibri"/>
          <w:bCs/>
          <w:sz w:val="24"/>
          <w:lang w:val="en-GB" w:eastAsia="en-US"/>
        </w:rPr>
        <w:t>all of</w:t>
      </w:r>
      <w:proofErr w:type="gramEnd"/>
      <w:r w:rsidRPr="00D97342">
        <w:rPr>
          <w:rFonts w:ascii="Calibri" w:eastAsia="Times New Roman" w:hAnsi="Calibri" w:cs="Calibri"/>
          <w:bCs/>
          <w:sz w:val="24"/>
          <w:lang w:val="en-GB" w:eastAsia="en-US"/>
        </w:rPr>
        <w:t xml:space="preserve"> the PWC recommendations, and not just those that had been adopted by the Ad Hoc Group, including, for example recommendations regarding changes to </w:t>
      </w:r>
      <w:r w:rsidR="0098551C">
        <w:rPr>
          <w:rFonts w:ascii="Calibri" w:eastAsia="Times New Roman" w:hAnsi="Calibri" w:cs="Calibri"/>
          <w:bCs/>
          <w:sz w:val="24"/>
          <w:lang w:val="en-GB" w:eastAsia="en-US"/>
        </w:rPr>
        <w:t xml:space="preserve">the </w:t>
      </w:r>
      <w:r w:rsidRPr="00D97342">
        <w:rPr>
          <w:rFonts w:ascii="Calibri" w:eastAsia="Times New Roman" w:hAnsi="Calibri" w:cs="Calibri"/>
          <w:bCs/>
          <w:sz w:val="24"/>
          <w:lang w:val="en-GB" w:eastAsia="en-US"/>
        </w:rPr>
        <w:t xml:space="preserve">Regional Presence structure. </w:t>
      </w:r>
      <w:r w:rsidR="00941A79">
        <w:rPr>
          <w:rFonts w:ascii="Calibri" w:eastAsia="Times New Roman" w:hAnsi="Calibri" w:cs="Calibri"/>
          <w:bCs/>
          <w:sz w:val="24"/>
          <w:lang w:val="en-GB" w:eastAsia="en-US"/>
        </w:rPr>
        <w:t>The delegat</w:t>
      </w:r>
      <w:r w:rsidR="00CA6F1A">
        <w:rPr>
          <w:rFonts w:ascii="Calibri" w:eastAsia="Times New Roman" w:hAnsi="Calibri" w:cs="Calibri"/>
          <w:bCs/>
          <w:sz w:val="24"/>
          <w:lang w:val="en-GB" w:eastAsia="en-US"/>
        </w:rPr>
        <w:t>e</w:t>
      </w:r>
      <w:r w:rsidR="00941A79">
        <w:rPr>
          <w:rFonts w:ascii="Calibri" w:eastAsia="Times New Roman" w:hAnsi="Calibri" w:cs="Calibri"/>
          <w:bCs/>
          <w:sz w:val="24"/>
          <w:lang w:val="en-GB" w:eastAsia="en-US"/>
        </w:rPr>
        <w:t xml:space="preserve"> </w:t>
      </w:r>
      <w:r w:rsidRPr="00D97342">
        <w:rPr>
          <w:rFonts w:ascii="Calibri" w:eastAsia="Times New Roman" w:hAnsi="Calibri" w:cs="Calibri"/>
          <w:bCs/>
          <w:sz w:val="24"/>
          <w:lang w:val="en-GB" w:eastAsia="en-US"/>
        </w:rPr>
        <w:t xml:space="preserve">agreed that in the absence of appropriate licences, only dashboards without sensitive information </w:t>
      </w:r>
      <w:r w:rsidRPr="00D97342">
        <w:rPr>
          <w:rFonts w:ascii="Calibri" w:eastAsia="Times New Roman" w:hAnsi="Calibri" w:cs="Calibri"/>
          <w:bCs/>
          <w:sz w:val="24"/>
          <w:lang w:val="en-GB" w:eastAsia="en-US"/>
        </w:rPr>
        <w:lastRenderedPageBreak/>
        <w:t>should be published</w:t>
      </w:r>
      <w:r w:rsidR="00941A79">
        <w:rPr>
          <w:rFonts w:ascii="Calibri" w:eastAsia="Times New Roman" w:hAnsi="Calibri" w:cs="Calibri"/>
          <w:bCs/>
          <w:sz w:val="24"/>
          <w:lang w:val="en-GB" w:eastAsia="en-US"/>
        </w:rPr>
        <w:t xml:space="preserve"> and </w:t>
      </w:r>
      <w:r w:rsidR="00D914A7">
        <w:rPr>
          <w:rFonts w:ascii="Calibri" w:eastAsia="Times New Roman" w:hAnsi="Calibri" w:cs="Calibri"/>
          <w:bCs/>
          <w:sz w:val="24"/>
          <w:lang w:val="en-GB" w:eastAsia="en-US"/>
        </w:rPr>
        <w:t xml:space="preserve">informed that </w:t>
      </w:r>
      <w:r w:rsidRPr="00D97342">
        <w:rPr>
          <w:rFonts w:ascii="Calibri" w:eastAsia="Times New Roman" w:hAnsi="Calibri" w:cs="Calibri"/>
          <w:bCs/>
          <w:sz w:val="24"/>
          <w:lang w:val="en-GB" w:eastAsia="en-US"/>
        </w:rPr>
        <w:t>propos</w:t>
      </w:r>
      <w:r w:rsidR="001F2123">
        <w:rPr>
          <w:rFonts w:ascii="Calibri" w:eastAsia="Times New Roman" w:hAnsi="Calibri" w:cs="Calibri"/>
          <w:bCs/>
          <w:sz w:val="24"/>
          <w:lang w:val="en-GB" w:eastAsia="en-US"/>
        </w:rPr>
        <w:t>ed</w:t>
      </w:r>
      <w:r w:rsidRPr="00D97342">
        <w:rPr>
          <w:rFonts w:ascii="Calibri" w:eastAsia="Times New Roman" w:hAnsi="Calibri" w:cs="Calibri"/>
          <w:bCs/>
          <w:sz w:val="24"/>
          <w:lang w:val="en-GB" w:eastAsia="en-US"/>
        </w:rPr>
        <w:t xml:space="preserve"> changes to </w:t>
      </w:r>
      <w:r w:rsidR="00941A79">
        <w:rPr>
          <w:rFonts w:ascii="Calibri" w:eastAsia="Times New Roman" w:hAnsi="Calibri" w:cs="Calibri"/>
          <w:bCs/>
          <w:sz w:val="24"/>
          <w:lang w:val="en-GB" w:eastAsia="en-US"/>
        </w:rPr>
        <w:t>R</w:t>
      </w:r>
      <w:r w:rsidRPr="00D97342">
        <w:rPr>
          <w:rFonts w:ascii="Calibri" w:eastAsia="Times New Roman" w:hAnsi="Calibri" w:cs="Calibri"/>
          <w:bCs/>
          <w:sz w:val="24"/>
          <w:lang w:val="en-GB" w:eastAsia="en-US"/>
        </w:rPr>
        <w:t xml:space="preserve">esolution 25 </w:t>
      </w:r>
      <w:proofErr w:type="gramStart"/>
      <w:r w:rsidRPr="00D97342">
        <w:rPr>
          <w:rFonts w:ascii="Calibri" w:eastAsia="Times New Roman" w:hAnsi="Calibri" w:cs="Calibri"/>
          <w:bCs/>
          <w:sz w:val="24"/>
          <w:lang w:val="en-GB" w:eastAsia="en-US"/>
        </w:rPr>
        <w:t>and also</w:t>
      </w:r>
      <w:proofErr w:type="gramEnd"/>
      <w:r w:rsidRPr="00D97342">
        <w:rPr>
          <w:rFonts w:ascii="Calibri" w:eastAsia="Times New Roman" w:hAnsi="Calibri" w:cs="Calibri"/>
          <w:bCs/>
          <w:sz w:val="24"/>
          <w:lang w:val="en-GB" w:eastAsia="en-US"/>
        </w:rPr>
        <w:t xml:space="preserve"> </w:t>
      </w:r>
      <w:r w:rsidR="00100766">
        <w:rPr>
          <w:rFonts w:ascii="Calibri" w:eastAsia="Times New Roman" w:hAnsi="Calibri" w:cs="Calibri"/>
          <w:bCs/>
          <w:sz w:val="24"/>
          <w:lang w:val="en-GB" w:eastAsia="en-US"/>
        </w:rPr>
        <w:t xml:space="preserve">proposals </w:t>
      </w:r>
      <w:r w:rsidR="00941A79">
        <w:rPr>
          <w:rFonts w:ascii="Calibri" w:eastAsia="Times New Roman" w:hAnsi="Calibri" w:cs="Calibri"/>
          <w:bCs/>
          <w:sz w:val="24"/>
          <w:lang w:val="en-GB" w:eastAsia="en-US"/>
        </w:rPr>
        <w:t xml:space="preserve">to </w:t>
      </w:r>
      <w:r w:rsidRPr="00D97342">
        <w:rPr>
          <w:rFonts w:ascii="Calibri" w:eastAsia="Times New Roman" w:hAnsi="Calibri" w:cs="Calibri"/>
          <w:bCs/>
          <w:sz w:val="24"/>
          <w:lang w:val="en-GB" w:eastAsia="en-US"/>
        </w:rPr>
        <w:t>the new strategic plan related to the Regional Presence</w:t>
      </w:r>
      <w:r w:rsidR="001F2123">
        <w:rPr>
          <w:rFonts w:ascii="Calibri" w:eastAsia="Times New Roman" w:hAnsi="Calibri" w:cs="Calibri"/>
          <w:bCs/>
          <w:sz w:val="24"/>
          <w:lang w:val="en-GB" w:eastAsia="en-US"/>
        </w:rPr>
        <w:t xml:space="preserve"> would be made</w:t>
      </w:r>
      <w:r w:rsidRPr="00D97342">
        <w:rPr>
          <w:rFonts w:ascii="Calibri" w:eastAsia="Times New Roman" w:hAnsi="Calibri" w:cs="Calibri"/>
          <w:bCs/>
          <w:sz w:val="24"/>
          <w:lang w:val="en-GB" w:eastAsia="en-US"/>
        </w:rPr>
        <w:t xml:space="preserve">. Finally, </w:t>
      </w:r>
      <w:r w:rsidR="00941A79">
        <w:rPr>
          <w:rFonts w:ascii="Calibri" w:eastAsia="Times New Roman" w:hAnsi="Calibri" w:cs="Calibri"/>
          <w:bCs/>
          <w:sz w:val="24"/>
          <w:lang w:val="en-GB" w:eastAsia="en-US"/>
        </w:rPr>
        <w:t>the delegat</w:t>
      </w:r>
      <w:r w:rsidR="0098551C">
        <w:rPr>
          <w:rFonts w:ascii="Calibri" w:eastAsia="Times New Roman" w:hAnsi="Calibri" w:cs="Calibri"/>
          <w:bCs/>
          <w:sz w:val="24"/>
          <w:lang w:val="en-GB" w:eastAsia="en-US"/>
        </w:rPr>
        <w:t>e</w:t>
      </w:r>
      <w:r w:rsidR="00941A79">
        <w:rPr>
          <w:rFonts w:ascii="Calibri" w:eastAsia="Times New Roman" w:hAnsi="Calibri" w:cs="Calibri"/>
          <w:bCs/>
          <w:sz w:val="24"/>
          <w:lang w:val="en-GB" w:eastAsia="en-US"/>
        </w:rPr>
        <w:t xml:space="preserve"> </w:t>
      </w:r>
      <w:r w:rsidRPr="00D97342">
        <w:rPr>
          <w:rFonts w:ascii="Calibri" w:eastAsia="Times New Roman" w:hAnsi="Calibri" w:cs="Calibri"/>
          <w:bCs/>
          <w:sz w:val="24"/>
          <w:lang w:val="en-GB" w:eastAsia="en-US"/>
        </w:rPr>
        <w:t>requested details of the timing for updates to the dashboards, noting the current version published on the website had last been updated in May 2021.</w:t>
      </w:r>
    </w:p>
    <w:p w14:paraId="2BDD6241" w14:textId="77777777" w:rsid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p>
    <w:p w14:paraId="238E1C1F" w14:textId="4F942F70" w:rsidR="00D97342" w:rsidRP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r>
        <w:rPr>
          <w:rFonts w:ascii="Calibri" w:eastAsia="Times New Roman" w:hAnsi="Calibri" w:cs="Calibri"/>
          <w:bCs/>
          <w:sz w:val="24"/>
          <w:lang w:val="en-GB" w:eastAsia="en-US"/>
        </w:rPr>
        <w:t>8.8</w:t>
      </w:r>
      <w:r>
        <w:rPr>
          <w:rFonts w:ascii="Calibri" w:eastAsia="Times New Roman" w:hAnsi="Calibri" w:cs="Calibri"/>
          <w:bCs/>
          <w:sz w:val="24"/>
          <w:lang w:val="en-GB" w:eastAsia="en-US"/>
        </w:rPr>
        <w:tab/>
      </w:r>
      <w:r w:rsidR="00EC21FB">
        <w:rPr>
          <w:rFonts w:ascii="Calibri" w:eastAsia="Times New Roman" w:hAnsi="Calibri" w:cs="Calibri"/>
          <w:bCs/>
          <w:sz w:val="24"/>
          <w:lang w:val="en-GB" w:eastAsia="en-US"/>
        </w:rPr>
        <w:t xml:space="preserve">Another delegate </w:t>
      </w:r>
      <w:r w:rsidRPr="00D97342">
        <w:rPr>
          <w:rFonts w:ascii="Calibri" w:eastAsia="Times New Roman" w:hAnsi="Calibri" w:cs="Calibri"/>
          <w:bCs/>
          <w:sz w:val="24"/>
          <w:lang w:val="en-GB" w:eastAsia="en-US"/>
        </w:rPr>
        <w:t xml:space="preserve">also thanked the </w:t>
      </w:r>
      <w:r w:rsidR="0098551C">
        <w:rPr>
          <w:rFonts w:ascii="Calibri" w:eastAsia="Times New Roman" w:hAnsi="Calibri" w:cs="Calibri"/>
          <w:bCs/>
          <w:sz w:val="24"/>
          <w:lang w:val="en-GB" w:eastAsia="en-US"/>
        </w:rPr>
        <w:t>s</w:t>
      </w:r>
      <w:r w:rsidRPr="00D97342">
        <w:rPr>
          <w:rFonts w:ascii="Calibri" w:eastAsia="Times New Roman" w:hAnsi="Calibri" w:cs="Calibri"/>
          <w:bCs/>
          <w:sz w:val="24"/>
          <w:lang w:val="en-GB" w:eastAsia="en-US"/>
        </w:rPr>
        <w:t>ecretariat for making the dashboards available as they provided a good way to track progress</w:t>
      </w:r>
      <w:r w:rsidR="0098551C">
        <w:rPr>
          <w:rFonts w:ascii="Calibri" w:eastAsia="Times New Roman" w:hAnsi="Calibri" w:cs="Calibri"/>
          <w:bCs/>
          <w:sz w:val="24"/>
          <w:lang w:val="en-GB" w:eastAsia="en-US"/>
        </w:rPr>
        <w:t xml:space="preserve">. The delegate </w:t>
      </w:r>
      <w:r w:rsidRPr="00D97342">
        <w:rPr>
          <w:rFonts w:ascii="Calibri" w:eastAsia="Times New Roman" w:hAnsi="Calibri" w:cs="Calibri"/>
          <w:bCs/>
          <w:sz w:val="24"/>
          <w:lang w:val="en-GB" w:eastAsia="en-US"/>
        </w:rPr>
        <w:t>requested the secretariat’s recommendations for ways to allow publication of more dashboards while addressing the access problems.</w:t>
      </w:r>
    </w:p>
    <w:p w14:paraId="4CF4804B" w14:textId="77777777" w:rsid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p>
    <w:p w14:paraId="1DD98976" w14:textId="51A05758" w:rsidR="00D97342" w:rsidRP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r>
        <w:rPr>
          <w:rFonts w:ascii="Calibri" w:eastAsia="Times New Roman" w:hAnsi="Calibri" w:cs="Calibri"/>
          <w:bCs/>
          <w:sz w:val="24"/>
          <w:lang w:val="en-GB" w:eastAsia="en-US"/>
        </w:rPr>
        <w:t>8.9</w:t>
      </w:r>
      <w:r>
        <w:rPr>
          <w:rFonts w:ascii="Calibri" w:eastAsia="Times New Roman" w:hAnsi="Calibri" w:cs="Calibri"/>
          <w:bCs/>
          <w:sz w:val="24"/>
          <w:lang w:val="en-GB" w:eastAsia="en-US"/>
        </w:rPr>
        <w:tab/>
      </w:r>
      <w:r w:rsidR="00100766">
        <w:rPr>
          <w:rFonts w:ascii="Calibri" w:eastAsia="Times New Roman" w:hAnsi="Calibri" w:cs="Calibri"/>
          <w:bCs/>
          <w:sz w:val="24"/>
          <w:lang w:val="en-GB" w:eastAsia="en-US"/>
        </w:rPr>
        <w:t xml:space="preserve">Another delegate </w:t>
      </w:r>
      <w:r w:rsidRPr="00D97342">
        <w:rPr>
          <w:rFonts w:ascii="Calibri" w:eastAsia="Times New Roman" w:hAnsi="Calibri" w:cs="Calibri"/>
          <w:bCs/>
          <w:sz w:val="24"/>
          <w:lang w:val="en-GB" w:eastAsia="en-US"/>
        </w:rPr>
        <w:t xml:space="preserve">noted the usefulness of the dashboards and suggested as a way forward </w:t>
      </w:r>
      <w:r w:rsidR="00100766">
        <w:rPr>
          <w:rFonts w:ascii="Calibri" w:eastAsia="Times New Roman" w:hAnsi="Calibri" w:cs="Calibri"/>
          <w:bCs/>
          <w:sz w:val="24"/>
          <w:lang w:val="en-GB" w:eastAsia="en-US"/>
        </w:rPr>
        <w:t xml:space="preserve">that </w:t>
      </w:r>
      <w:r w:rsidRPr="00D97342">
        <w:rPr>
          <w:rFonts w:ascii="Calibri" w:eastAsia="Times New Roman" w:hAnsi="Calibri" w:cs="Calibri"/>
          <w:bCs/>
          <w:sz w:val="24"/>
          <w:lang w:val="en-GB" w:eastAsia="en-US"/>
        </w:rPr>
        <w:t>the dashboard could be published as a weekly summary document with specific information, thereby addressing the issue of live dashboard security vulnerabilities.</w:t>
      </w:r>
    </w:p>
    <w:p w14:paraId="77E913AC" w14:textId="77777777" w:rsid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p>
    <w:p w14:paraId="3D7B302F" w14:textId="2FF5A5CA" w:rsidR="00D97342" w:rsidRP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r>
        <w:rPr>
          <w:rFonts w:ascii="Calibri" w:eastAsia="Times New Roman" w:hAnsi="Calibri" w:cs="Calibri"/>
          <w:bCs/>
          <w:sz w:val="24"/>
          <w:lang w:val="en-GB" w:eastAsia="en-US"/>
        </w:rPr>
        <w:t>8.10</w:t>
      </w:r>
      <w:r>
        <w:rPr>
          <w:rFonts w:ascii="Calibri" w:eastAsia="Times New Roman" w:hAnsi="Calibri" w:cs="Calibri"/>
          <w:bCs/>
          <w:sz w:val="24"/>
          <w:lang w:val="en-GB" w:eastAsia="en-US"/>
        </w:rPr>
        <w:tab/>
      </w:r>
      <w:r w:rsidRPr="00D97342">
        <w:rPr>
          <w:rFonts w:ascii="Calibri" w:eastAsia="Times New Roman" w:hAnsi="Calibri" w:cs="Calibri"/>
          <w:bCs/>
          <w:sz w:val="24"/>
          <w:lang w:val="en-GB" w:eastAsia="en-US"/>
        </w:rPr>
        <w:t xml:space="preserve">The </w:t>
      </w:r>
      <w:r w:rsidR="00100766">
        <w:rPr>
          <w:rFonts w:ascii="Calibri" w:eastAsia="Times New Roman" w:hAnsi="Calibri" w:cs="Calibri"/>
          <w:bCs/>
          <w:sz w:val="24"/>
          <w:lang w:val="en-GB" w:eastAsia="en-US"/>
        </w:rPr>
        <w:t>s</w:t>
      </w:r>
      <w:r w:rsidRPr="00D97342">
        <w:rPr>
          <w:rFonts w:ascii="Calibri" w:eastAsia="Times New Roman" w:hAnsi="Calibri" w:cs="Calibri"/>
          <w:bCs/>
          <w:sz w:val="24"/>
          <w:lang w:val="en-GB" w:eastAsia="en-US"/>
        </w:rPr>
        <w:t xml:space="preserve">ecretariat </w:t>
      </w:r>
      <w:r w:rsidR="00100766">
        <w:rPr>
          <w:rFonts w:ascii="Calibri" w:eastAsia="Times New Roman" w:hAnsi="Calibri" w:cs="Calibri"/>
          <w:bCs/>
          <w:sz w:val="24"/>
          <w:lang w:val="en-GB" w:eastAsia="en-US"/>
        </w:rPr>
        <w:t>n</w:t>
      </w:r>
      <w:r w:rsidRPr="00D97342">
        <w:rPr>
          <w:rFonts w:ascii="Calibri" w:eastAsia="Times New Roman" w:hAnsi="Calibri" w:cs="Calibri"/>
          <w:bCs/>
          <w:sz w:val="24"/>
          <w:lang w:val="en-GB" w:eastAsia="en-US"/>
        </w:rPr>
        <w:t>oted the appreciation for the dashboard expressed by delegates, and the agreement with the proposal to not publish dashboards relating to databases which contain sensitive information. In relation to the question regarding the updating of the dashboard</w:t>
      </w:r>
      <w:r w:rsidR="00100766">
        <w:rPr>
          <w:rFonts w:ascii="Calibri" w:eastAsia="Times New Roman" w:hAnsi="Calibri" w:cs="Calibri"/>
          <w:bCs/>
          <w:sz w:val="24"/>
          <w:lang w:val="en-GB" w:eastAsia="en-US"/>
        </w:rPr>
        <w:t>,</w:t>
      </w:r>
      <w:r w:rsidRPr="00D97342">
        <w:rPr>
          <w:rFonts w:ascii="Calibri" w:eastAsia="Times New Roman" w:hAnsi="Calibri" w:cs="Calibri"/>
          <w:bCs/>
          <w:sz w:val="24"/>
          <w:lang w:val="en-GB" w:eastAsia="en-US"/>
        </w:rPr>
        <w:t xml:space="preserve"> the </w:t>
      </w:r>
      <w:r w:rsidR="00100766">
        <w:rPr>
          <w:rFonts w:ascii="Calibri" w:eastAsia="Times New Roman" w:hAnsi="Calibri" w:cs="Calibri"/>
          <w:bCs/>
          <w:sz w:val="24"/>
          <w:lang w:val="en-GB" w:eastAsia="en-US"/>
        </w:rPr>
        <w:t xml:space="preserve">secretariat </w:t>
      </w:r>
      <w:r w:rsidRPr="00D97342">
        <w:rPr>
          <w:rFonts w:ascii="Calibri" w:eastAsia="Times New Roman" w:hAnsi="Calibri" w:cs="Calibri"/>
          <w:bCs/>
          <w:sz w:val="24"/>
          <w:lang w:val="en-GB" w:eastAsia="en-US"/>
        </w:rPr>
        <w:t xml:space="preserve">apologised for the long period without updates and noted that this would be corrected as soon as possible, through updates to the underlying database which had not been updated during the summer period. </w:t>
      </w:r>
      <w:r w:rsidR="00100766">
        <w:rPr>
          <w:rFonts w:ascii="Calibri" w:eastAsia="Times New Roman" w:hAnsi="Calibri" w:cs="Calibri"/>
          <w:bCs/>
          <w:sz w:val="24"/>
          <w:lang w:val="en-GB" w:eastAsia="en-US"/>
        </w:rPr>
        <w:t>T</w:t>
      </w:r>
      <w:r w:rsidRPr="00D97342">
        <w:rPr>
          <w:rFonts w:ascii="Calibri" w:eastAsia="Times New Roman" w:hAnsi="Calibri" w:cs="Calibri"/>
          <w:bCs/>
          <w:sz w:val="24"/>
          <w:lang w:val="en-GB" w:eastAsia="en-US"/>
        </w:rPr>
        <w:t xml:space="preserve">he secretariat </w:t>
      </w:r>
      <w:r w:rsidR="00100766">
        <w:rPr>
          <w:rFonts w:ascii="Calibri" w:eastAsia="Times New Roman" w:hAnsi="Calibri" w:cs="Calibri"/>
          <w:bCs/>
          <w:sz w:val="24"/>
          <w:lang w:val="en-GB" w:eastAsia="en-US"/>
        </w:rPr>
        <w:t xml:space="preserve">explained it </w:t>
      </w:r>
      <w:r w:rsidRPr="00D97342">
        <w:rPr>
          <w:rFonts w:ascii="Calibri" w:eastAsia="Times New Roman" w:hAnsi="Calibri" w:cs="Calibri"/>
          <w:bCs/>
          <w:sz w:val="24"/>
          <w:lang w:val="en-GB" w:eastAsia="en-US"/>
        </w:rPr>
        <w:t xml:space="preserve">was working on ways that the information might be presented and noted that the suggestion </w:t>
      </w:r>
      <w:r w:rsidR="00100766">
        <w:rPr>
          <w:rFonts w:ascii="Calibri" w:eastAsia="Times New Roman" w:hAnsi="Calibri" w:cs="Calibri"/>
          <w:bCs/>
          <w:sz w:val="24"/>
          <w:lang w:val="en-GB" w:eastAsia="en-US"/>
        </w:rPr>
        <w:t xml:space="preserve">made </w:t>
      </w:r>
      <w:r w:rsidRPr="00D97342">
        <w:rPr>
          <w:rFonts w:ascii="Calibri" w:eastAsia="Times New Roman" w:hAnsi="Calibri" w:cs="Calibri"/>
          <w:bCs/>
          <w:sz w:val="24"/>
          <w:lang w:val="en-GB" w:eastAsia="en-US"/>
        </w:rPr>
        <w:t xml:space="preserve">from </w:t>
      </w:r>
      <w:r w:rsidR="00100766">
        <w:rPr>
          <w:rFonts w:ascii="Calibri" w:eastAsia="Times New Roman" w:hAnsi="Calibri" w:cs="Calibri"/>
          <w:bCs/>
          <w:sz w:val="24"/>
          <w:lang w:val="en-GB" w:eastAsia="en-US"/>
        </w:rPr>
        <w:t xml:space="preserve">another delegate </w:t>
      </w:r>
      <w:r w:rsidRPr="00D97342">
        <w:rPr>
          <w:rFonts w:ascii="Calibri" w:eastAsia="Times New Roman" w:hAnsi="Calibri" w:cs="Calibri"/>
          <w:bCs/>
          <w:sz w:val="24"/>
          <w:lang w:val="en-GB" w:eastAsia="en-US"/>
        </w:rPr>
        <w:t>was already being explored of providing a snapshot of the dashboard information periodically, though this would mean the dashboard would not be fully interactive. Also, other options for dashboard publication were being considered though these would require development or licensing resources.</w:t>
      </w:r>
    </w:p>
    <w:p w14:paraId="212EF919" w14:textId="77777777" w:rsidR="00D97342"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bCs/>
          <w:sz w:val="24"/>
          <w:lang w:val="en-GB" w:eastAsia="en-US"/>
        </w:rPr>
      </w:pPr>
    </w:p>
    <w:p w14:paraId="641DF0F0" w14:textId="205F91AF" w:rsidR="00723164" w:rsidRDefault="00D97342" w:rsidP="00D97342">
      <w:pPr>
        <w:tabs>
          <w:tab w:val="left" w:pos="794"/>
          <w:tab w:val="left" w:pos="1191"/>
          <w:tab w:val="left" w:pos="1588"/>
          <w:tab w:val="left" w:pos="1985"/>
        </w:tabs>
        <w:overflowPunct w:val="0"/>
        <w:autoSpaceDE w:val="0"/>
        <w:autoSpaceDN w:val="0"/>
        <w:adjustRightInd w:val="0"/>
        <w:textAlignment w:val="baseline"/>
        <w:rPr>
          <w:rFonts w:ascii="Calibri" w:hAnsi="Calibri" w:cs="Calibri"/>
          <w:sz w:val="24"/>
          <w:lang w:eastAsia="en-US"/>
        </w:rPr>
      </w:pPr>
      <w:r>
        <w:rPr>
          <w:rFonts w:ascii="Calibri" w:eastAsia="Times New Roman" w:hAnsi="Calibri" w:cs="Calibri"/>
          <w:bCs/>
          <w:sz w:val="24"/>
          <w:lang w:val="en-GB" w:eastAsia="en-US"/>
        </w:rPr>
        <w:t>8.11</w:t>
      </w:r>
      <w:r>
        <w:rPr>
          <w:rFonts w:ascii="Calibri" w:eastAsia="Times New Roman" w:hAnsi="Calibri" w:cs="Calibri"/>
          <w:bCs/>
          <w:sz w:val="24"/>
          <w:lang w:val="en-GB" w:eastAsia="en-US"/>
        </w:rPr>
        <w:tab/>
      </w:r>
      <w:r w:rsidRPr="00D97342">
        <w:rPr>
          <w:rFonts w:ascii="Calibri" w:eastAsia="Times New Roman" w:hAnsi="Calibri" w:cs="Calibri"/>
          <w:bCs/>
          <w:sz w:val="24"/>
          <w:lang w:val="en-GB" w:eastAsia="en-US"/>
        </w:rPr>
        <w:t>The Chair</w:t>
      </w:r>
      <w:r w:rsidR="00100766">
        <w:rPr>
          <w:rFonts w:ascii="Calibri" w:eastAsia="Times New Roman" w:hAnsi="Calibri" w:cs="Calibri"/>
          <w:bCs/>
          <w:sz w:val="24"/>
          <w:lang w:val="en-GB" w:eastAsia="en-US"/>
        </w:rPr>
        <w:t>person</w:t>
      </w:r>
      <w:r w:rsidRPr="00D97342">
        <w:rPr>
          <w:rFonts w:ascii="Calibri" w:eastAsia="Times New Roman" w:hAnsi="Calibri" w:cs="Calibri"/>
          <w:bCs/>
          <w:sz w:val="24"/>
          <w:lang w:val="en-GB" w:eastAsia="en-US"/>
        </w:rPr>
        <w:t xml:space="preserve"> noted the discussion and the </w:t>
      </w:r>
      <w:r w:rsidR="00100766">
        <w:rPr>
          <w:rFonts w:ascii="Calibri" w:eastAsia="Times New Roman" w:hAnsi="Calibri" w:cs="Calibri"/>
          <w:bCs/>
          <w:sz w:val="24"/>
          <w:lang w:val="en-GB" w:eastAsia="en-US"/>
        </w:rPr>
        <w:t>s</w:t>
      </w:r>
      <w:r w:rsidRPr="00D97342">
        <w:rPr>
          <w:rFonts w:ascii="Calibri" w:eastAsia="Times New Roman" w:hAnsi="Calibri" w:cs="Calibri"/>
          <w:bCs/>
          <w:sz w:val="24"/>
          <w:lang w:val="en-GB" w:eastAsia="en-US"/>
        </w:rPr>
        <w:t xml:space="preserve">ecretariat responses and proposed that the secretariat come back to the CWG-FHR meetings in January with further proposals regarding publication of dashboards, </w:t>
      </w:r>
      <w:proofErr w:type="gramStart"/>
      <w:r w:rsidRPr="00D97342">
        <w:rPr>
          <w:rFonts w:ascii="Calibri" w:eastAsia="Times New Roman" w:hAnsi="Calibri" w:cs="Calibri"/>
          <w:bCs/>
          <w:sz w:val="24"/>
          <w:lang w:val="en-GB" w:eastAsia="en-US"/>
        </w:rPr>
        <w:t>and also</w:t>
      </w:r>
      <w:proofErr w:type="gramEnd"/>
      <w:r w:rsidRPr="00D97342">
        <w:rPr>
          <w:rFonts w:ascii="Calibri" w:eastAsia="Times New Roman" w:hAnsi="Calibri" w:cs="Calibri"/>
          <w:bCs/>
          <w:sz w:val="24"/>
          <w:lang w:val="en-GB" w:eastAsia="en-US"/>
        </w:rPr>
        <w:t xml:space="preserve"> a further update on the status of the Regional Presence Review.</w:t>
      </w:r>
    </w:p>
    <w:p w14:paraId="01F40A89" w14:textId="77777777" w:rsidR="00723164" w:rsidRDefault="00723164" w:rsidP="00D97342">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6B207268" w14:textId="4E58B665" w:rsidR="006F6188" w:rsidRPr="00723164" w:rsidRDefault="006F6188" w:rsidP="00290D95">
      <w:pPr>
        <w:tabs>
          <w:tab w:val="left" w:pos="709"/>
        </w:tabs>
        <w:overflowPunct w:val="0"/>
        <w:autoSpaceDE w:val="0"/>
        <w:autoSpaceDN w:val="0"/>
        <w:adjustRightInd w:val="0"/>
        <w:snapToGrid w:val="0"/>
        <w:textAlignment w:val="baseline"/>
        <w:rPr>
          <w:rFonts w:ascii="Calibri" w:hAnsi="Calibri" w:cs="Calibri"/>
          <w:b/>
          <w:bCs/>
          <w:sz w:val="24"/>
        </w:rPr>
      </w:pPr>
      <w:r>
        <w:rPr>
          <w:rFonts w:asciiTheme="minorHAnsi" w:hAnsiTheme="minorHAnsi" w:cstheme="minorHAnsi"/>
          <w:b/>
          <w:bCs/>
          <w:sz w:val="24"/>
        </w:rPr>
        <w:t>9</w:t>
      </w:r>
      <w:r w:rsidR="00723164">
        <w:rPr>
          <w:rFonts w:asciiTheme="minorHAnsi" w:hAnsiTheme="minorHAnsi" w:cstheme="minorHAnsi"/>
          <w:b/>
          <w:bCs/>
          <w:sz w:val="24"/>
        </w:rPr>
        <w:tab/>
      </w:r>
      <w:r w:rsidR="00723164" w:rsidRPr="00723164">
        <w:rPr>
          <w:rFonts w:ascii="Calibri" w:hAnsi="Calibri" w:cs="Calibri"/>
          <w:b/>
          <w:bCs/>
          <w:sz w:val="24"/>
        </w:rPr>
        <w:t>Status report on Implementation of Council Decisions 600 and 601 (UIFN, IIN)</w:t>
      </w:r>
      <w:r w:rsidR="00723164" w:rsidRPr="00723164">
        <w:rPr>
          <w:rFonts w:ascii="Calibri" w:hAnsi="Calibri" w:cs="Calibri"/>
          <w:b/>
          <w:bCs/>
          <w:sz w:val="24"/>
        </w:rPr>
        <w:br/>
      </w:r>
      <w:r w:rsidR="00723164" w:rsidRPr="00723164">
        <w:rPr>
          <w:rFonts w:ascii="Calibri" w:hAnsi="Calibri" w:cs="Calibri"/>
          <w:b/>
          <w:bCs/>
          <w:sz w:val="24"/>
        </w:rPr>
        <w:tab/>
        <w:t xml:space="preserve">(Document </w:t>
      </w:r>
      <w:hyperlink r:id="rId25" w:history="1">
        <w:r w:rsidR="00723164" w:rsidRPr="00723164">
          <w:rPr>
            <w:rStyle w:val="Hyperlink"/>
            <w:rFonts w:ascii="Calibri" w:hAnsi="Calibri" w:cs="Calibri"/>
            <w:b/>
            <w:bCs/>
            <w:sz w:val="24"/>
          </w:rPr>
          <w:t>CWG-FHR-14/6</w:t>
        </w:r>
      </w:hyperlink>
      <w:r w:rsidR="00723164" w:rsidRPr="00723164">
        <w:rPr>
          <w:rStyle w:val="Hyperlink"/>
          <w:rFonts w:ascii="Calibri" w:hAnsi="Calibri" w:cs="Calibri"/>
          <w:b/>
          <w:bCs/>
          <w:sz w:val="24"/>
        </w:rPr>
        <w:t>)</w:t>
      </w:r>
      <w:r w:rsidR="00723164" w:rsidRPr="00723164">
        <w:rPr>
          <w:rStyle w:val="Hyperlink"/>
          <w:rFonts w:ascii="Calibri" w:hAnsi="Calibri" w:cs="Calibri"/>
          <w:b/>
          <w:bCs/>
          <w:sz w:val="24"/>
          <w:u w:val="none"/>
        </w:rPr>
        <w:t xml:space="preserve"> </w:t>
      </w:r>
      <w:r w:rsidR="00723164" w:rsidRPr="00723164">
        <w:rPr>
          <w:rStyle w:val="Hyperlink"/>
          <w:rFonts w:ascii="Calibri" w:hAnsi="Calibri" w:cs="Calibri"/>
          <w:b/>
          <w:bCs/>
          <w:color w:val="auto"/>
          <w:sz w:val="24"/>
          <w:u w:val="none"/>
        </w:rPr>
        <w:t xml:space="preserve">and </w:t>
      </w:r>
      <w:r w:rsidR="00723164" w:rsidRPr="00723164">
        <w:rPr>
          <w:rFonts w:ascii="Calibri" w:hAnsi="Calibri" w:cs="Calibri"/>
          <w:b/>
          <w:bCs/>
          <w:sz w:val="24"/>
        </w:rPr>
        <w:t xml:space="preserve">International numbering resource revenue collection </w:t>
      </w:r>
      <w:r w:rsidR="00723164" w:rsidRPr="00723164">
        <w:rPr>
          <w:rFonts w:ascii="Calibri" w:hAnsi="Calibri" w:cs="Calibri"/>
          <w:b/>
          <w:bCs/>
          <w:sz w:val="24"/>
        </w:rPr>
        <w:tab/>
        <w:t>(Document </w:t>
      </w:r>
      <w:hyperlink r:id="rId26" w:history="1">
        <w:r w:rsidR="00723164" w:rsidRPr="00723164">
          <w:rPr>
            <w:rStyle w:val="Hyperlink"/>
            <w:rFonts w:ascii="Calibri" w:hAnsi="Calibri" w:cs="Calibri"/>
            <w:b/>
            <w:bCs/>
            <w:sz w:val="24"/>
          </w:rPr>
          <w:t>CWG-FHR-14/7</w:t>
        </w:r>
      </w:hyperlink>
      <w:r w:rsidR="00723164" w:rsidRPr="00723164">
        <w:rPr>
          <w:rStyle w:val="Hyperlink"/>
          <w:rFonts w:ascii="Calibri" w:hAnsi="Calibri" w:cs="Calibri"/>
          <w:b/>
          <w:bCs/>
          <w:sz w:val="24"/>
        </w:rPr>
        <w:t>)</w:t>
      </w:r>
    </w:p>
    <w:p w14:paraId="20357670" w14:textId="53537ADE" w:rsidR="006F6188" w:rsidRDefault="006F6188" w:rsidP="00290D95">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78D9D0DE" w14:textId="1628C8D6" w:rsidR="008124C3" w:rsidRPr="008124C3" w:rsidRDefault="00FE35DD" w:rsidP="008124C3">
      <w:pPr>
        <w:rPr>
          <w:rFonts w:ascii="Calibri" w:eastAsia="Calibri" w:hAnsi="Calibri" w:cs="Calibri"/>
          <w:sz w:val="24"/>
          <w:lang w:eastAsia="en-US"/>
        </w:rPr>
      </w:pPr>
      <w:r w:rsidRPr="00FE35DD">
        <w:rPr>
          <w:rFonts w:asciiTheme="minorHAnsi" w:hAnsiTheme="minorHAnsi" w:cstheme="minorHAnsi"/>
          <w:sz w:val="24"/>
        </w:rPr>
        <w:t>9.1</w:t>
      </w:r>
      <w:r w:rsidRPr="00FE35DD">
        <w:rPr>
          <w:rFonts w:asciiTheme="minorHAnsi" w:hAnsiTheme="minorHAnsi" w:cstheme="minorHAnsi"/>
          <w:sz w:val="24"/>
        </w:rPr>
        <w:tab/>
      </w:r>
      <w:r w:rsidR="008124C3" w:rsidRPr="008124C3">
        <w:rPr>
          <w:rFonts w:ascii="Calibri" w:eastAsia="Calibri" w:hAnsi="Calibri" w:cs="Calibri"/>
          <w:sz w:val="24"/>
          <w:lang w:eastAsia="en-US"/>
        </w:rPr>
        <w:t xml:space="preserve">The secretariat presented </w:t>
      </w:r>
      <w:r w:rsidR="00483693">
        <w:rPr>
          <w:rFonts w:ascii="Calibri" w:eastAsia="Calibri" w:hAnsi="Calibri" w:cs="Calibri"/>
          <w:sz w:val="24"/>
          <w:lang w:eastAsia="en-US"/>
        </w:rPr>
        <w:t>d</w:t>
      </w:r>
      <w:r w:rsidR="008124C3" w:rsidRPr="008124C3">
        <w:rPr>
          <w:rFonts w:ascii="Calibri" w:eastAsia="Calibri" w:hAnsi="Calibri" w:cs="Calibri"/>
          <w:sz w:val="24"/>
          <w:lang w:eastAsia="en-US"/>
        </w:rPr>
        <w:t xml:space="preserve">ocument </w:t>
      </w:r>
      <w:r w:rsidR="00483693">
        <w:rPr>
          <w:rFonts w:ascii="Calibri" w:eastAsia="Calibri" w:hAnsi="Calibri" w:cs="Calibri"/>
          <w:sz w:val="24"/>
          <w:lang w:eastAsia="en-US"/>
        </w:rPr>
        <w:t>CWG-FHR</w:t>
      </w:r>
      <w:r w:rsidR="001B03F3">
        <w:rPr>
          <w:rFonts w:ascii="Calibri" w:eastAsia="Calibri" w:hAnsi="Calibri" w:cs="Calibri"/>
          <w:sz w:val="24"/>
          <w:lang w:eastAsia="en-US"/>
        </w:rPr>
        <w:t>-</w:t>
      </w:r>
      <w:r w:rsidR="008124C3" w:rsidRPr="008124C3">
        <w:rPr>
          <w:rFonts w:ascii="Calibri" w:eastAsia="Calibri" w:hAnsi="Calibri" w:cs="Calibri"/>
          <w:sz w:val="24"/>
          <w:lang w:eastAsia="en-US"/>
        </w:rPr>
        <w:t>14/6</w:t>
      </w:r>
      <w:r w:rsidR="00483693">
        <w:rPr>
          <w:rFonts w:ascii="Calibri" w:eastAsia="Calibri" w:hAnsi="Calibri" w:cs="Calibri"/>
          <w:sz w:val="24"/>
          <w:lang w:eastAsia="en-US"/>
        </w:rPr>
        <w:t>.</w:t>
      </w:r>
    </w:p>
    <w:p w14:paraId="757046CF" w14:textId="77777777" w:rsidR="008124C3" w:rsidRDefault="008124C3" w:rsidP="0076241B">
      <w:pPr>
        <w:rPr>
          <w:rFonts w:ascii="Calibri" w:eastAsia="Calibri" w:hAnsi="Calibri" w:cs="Calibri"/>
          <w:sz w:val="24"/>
          <w:u w:val="single"/>
          <w:lang w:eastAsia="en-US"/>
        </w:rPr>
      </w:pPr>
    </w:p>
    <w:p w14:paraId="572ECAA9" w14:textId="02ECBB4D" w:rsidR="008124C3" w:rsidRPr="008124C3" w:rsidRDefault="0076241B" w:rsidP="008124C3">
      <w:pPr>
        <w:spacing w:after="160" w:line="259" w:lineRule="auto"/>
        <w:rPr>
          <w:rFonts w:ascii="Calibri" w:eastAsia="Calibri" w:hAnsi="Calibri" w:cs="Calibri"/>
          <w:sz w:val="24"/>
          <w:lang w:eastAsia="en-US"/>
        </w:rPr>
      </w:pPr>
      <w:r>
        <w:rPr>
          <w:rFonts w:ascii="Calibri" w:eastAsia="Calibri" w:hAnsi="Calibri" w:cs="Calibri"/>
          <w:sz w:val="24"/>
          <w:lang w:eastAsia="en-US"/>
        </w:rPr>
        <w:t>9.2</w:t>
      </w:r>
      <w:r>
        <w:rPr>
          <w:rFonts w:ascii="Calibri" w:eastAsia="Calibri" w:hAnsi="Calibri" w:cs="Calibri"/>
          <w:sz w:val="24"/>
          <w:lang w:eastAsia="en-US"/>
        </w:rPr>
        <w:tab/>
      </w:r>
      <w:r w:rsidR="008124C3" w:rsidRPr="008124C3">
        <w:rPr>
          <w:rFonts w:ascii="Calibri" w:eastAsia="Calibri" w:hAnsi="Calibri" w:cs="Calibri"/>
          <w:sz w:val="24"/>
          <w:u w:val="single"/>
          <w:lang w:eastAsia="en-US"/>
        </w:rPr>
        <w:t>For UIFN (Decision 600</w:t>
      </w:r>
      <w:r w:rsidR="008124C3" w:rsidRPr="008124C3">
        <w:rPr>
          <w:rFonts w:ascii="Calibri" w:eastAsia="Calibri" w:hAnsi="Calibri" w:cs="Calibri"/>
          <w:sz w:val="24"/>
          <w:lang w:eastAsia="en-US"/>
        </w:rPr>
        <w:t>):</w:t>
      </w:r>
      <w:r w:rsidR="00483693">
        <w:rPr>
          <w:rFonts w:ascii="Calibri" w:eastAsia="Calibri" w:hAnsi="Calibri" w:cs="Calibri"/>
          <w:sz w:val="24"/>
          <w:lang w:eastAsia="en-US"/>
        </w:rPr>
        <w:t xml:space="preserve"> </w:t>
      </w:r>
      <w:r w:rsidR="008124C3" w:rsidRPr="008124C3">
        <w:rPr>
          <w:rFonts w:ascii="Calibri" w:eastAsia="Calibri" w:hAnsi="Calibri" w:cs="Calibri"/>
          <w:sz w:val="24"/>
          <w:lang w:eastAsia="en-US"/>
        </w:rPr>
        <w:t>as of today, payments are at 94</w:t>
      </w:r>
      <w:r w:rsidR="00483693">
        <w:rPr>
          <w:rFonts w:ascii="Calibri" w:eastAsia="Calibri" w:hAnsi="Calibri" w:cs="Calibri"/>
          <w:sz w:val="24"/>
          <w:lang w:eastAsia="en-US"/>
        </w:rPr>
        <w:t xml:space="preserve"> per cent</w:t>
      </w:r>
      <w:r w:rsidR="008124C3" w:rsidRPr="008124C3">
        <w:rPr>
          <w:rFonts w:ascii="Calibri" w:eastAsia="Calibri" w:hAnsi="Calibri" w:cs="Calibri"/>
          <w:sz w:val="24"/>
          <w:lang w:eastAsia="en-US"/>
        </w:rPr>
        <w:t>, 99</w:t>
      </w:r>
      <w:r w:rsidR="00483693">
        <w:rPr>
          <w:rFonts w:ascii="Calibri" w:eastAsia="Calibri" w:hAnsi="Calibri" w:cs="Calibri"/>
          <w:sz w:val="24"/>
          <w:lang w:eastAsia="en-US"/>
        </w:rPr>
        <w:t> per cent</w:t>
      </w:r>
      <w:r w:rsidR="008124C3" w:rsidRPr="008124C3">
        <w:rPr>
          <w:rFonts w:ascii="Calibri" w:eastAsia="Calibri" w:hAnsi="Calibri" w:cs="Calibri"/>
          <w:sz w:val="24"/>
          <w:lang w:eastAsia="en-US"/>
        </w:rPr>
        <w:t xml:space="preserve"> and 99</w:t>
      </w:r>
      <w:r w:rsidR="00483693">
        <w:rPr>
          <w:rFonts w:ascii="Calibri" w:eastAsia="Calibri" w:hAnsi="Calibri" w:cs="Calibri"/>
          <w:sz w:val="24"/>
          <w:lang w:eastAsia="en-US"/>
        </w:rPr>
        <w:t> per</w:t>
      </w:r>
      <w:r w:rsidR="00B758D2">
        <w:rPr>
          <w:rFonts w:ascii="Calibri" w:eastAsia="Calibri" w:hAnsi="Calibri" w:cs="Calibri"/>
          <w:sz w:val="24"/>
          <w:lang w:eastAsia="en-US"/>
        </w:rPr>
        <w:t> </w:t>
      </w:r>
      <w:r w:rsidR="00483693">
        <w:rPr>
          <w:rFonts w:ascii="Calibri" w:eastAsia="Calibri" w:hAnsi="Calibri" w:cs="Calibri"/>
          <w:sz w:val="24"/>
          <w:lang w:eastAsia="en-US"/>
        </w:rPr>
        <w:t>cent</w:t>
      </w:r>
      <w:r w:rsidR="008124C3" w:rsidRPr="008124C3">
        <w:rPr>
          <w:rFonts w:ascii="Calibri" w:eastAsia="Calibri" w:hAnsi="Calibri" w:cs="Calibri"/>
          <w:sz w:val="24"/>
          <w:lang w:eastAsia="en-US"/>
        </w:rPr>
        <w:t xml:space="preserve"> levels for invoices issued in 2018, 2019, and 2020, respectively, amounting to a total revenue to date for ITU in the amount of CHF 708,267. This is good news for the Union, and </w:t>
      </w:r>
      <w:r w:rsidR="00B758D2">
        <w:rPr>
          <w:rFonts w:ascii="Calibri" w:eastAsia="Calibri" w:hAnsi="Calibri" w:cs="Calibri"/>
          <w:sz w:val="24"/>
          <w:lang w:eastAsia="en-US"/>
        </w:rPr>
        <w:t xml:space="preserve">the secretariat expressed its gratitude to the </w:t>
      </w:r>
      <w:r w:rsidR="008124C3" w:rsidRPr="008124C3">
        <w:rPr>
          <w:rFonts w:ascii="Calibri" w:eastAsia="Calibri" w:hAnsi="Calibri" w:cs="Calibri"/>
          <w:sz w:val="24"/>
          <w:lang w:eastAsia="en-US"/>
        </w:rPr>
        <w:t>operators for paying and M</w:t>
      </w:r>
      <w:r w:rsidR="00B758D2">
        <w:rPr>
          <w:rFonts w:ascii="Calibri" w:eastAsia="Calibri" w:hAnsi="Calibri" w:cs="Calibri"/>
          <w:sz w:val="24"/>
          <w:lang w:eastAsia="en-US"/>
        </w:rPr>
        <w:t xml:space="preserve">ember </w:t>
      </w:r>
      <w:r w:rsidR="008124C3" w:rsidRPr="008124C3">
        <w:rPr>
          <w:rFonts w:ascii="Calibri" w:eastAsia="Calibri" w:hAnsi="Calibri" w:cs="Calibri"/>
          <w:sz w:val="24"/>
          <w:lang w:eastAsia="en-US"/>
        </w:rPr>
        <w:t>S</w:t>
      </w:r>
      <w:r w:rsidR="00B758D2">
        <w:rPr>
          <w:rFonts w:ascii="Calibri" w:eastAsia="Calibri" w:hAnsi="Calibri" w:cs="Calibri"/>
          <w:sz w:val="24"/>
          <w:lang w:eastAsia="en-US"/>
        </w:rPr>
        <w:t>tates</w:t>
      </w:r>
      <w:r w:rsidR="008124C3" w:rsidRPr="008124C3">
        <w:rPr>
          <w:rFonts w:ascii="Calibri" w:eastAsia="Calibri" w:hAnsi="Calibri" w:cs="Calibri"/>
          <w:sz w:val="24"/>
          <w:lang w:eastAsia="en-US"/>
        </w:rPr>
        <w:t xml:space="preserve"> for their assistance in updating contact information and encouraging operators to pay.</w:t>
      </w:r>
    </w:p>
    <w:p w14:paraId="39219288" w14:textId="60C8722D" w:rsidR="008124C3" w:rsidRPr="008124C3" w:rsidRDefault="0076241B" w:rsidP="008124C3">
      <w:pPr>
        <w:spacing w:after="160" w:line="259" w:lineRule="auto"/>
        <w:rPr>
          <w:rFonts w:ascii="Calibri" w:eastAsia="Calibri" w:hAnsi="Calibri" w:cs="Calibri"/>
          <w:sz w:val="24"/>
          <w:lang w:val="en-GB" w:eastAsia="en-US"/>
        </w:rPr>
      </w:pPr>
      <w:r>
        <w:rPr>
          <w:rFonts w:ascii="Calibri" w:eastAsia="Calibri" w:hAnsi="Calibri" w:cs="Calibri"/>
          <w:sz w:val="24"/>
          <w:lang w:eastAsia="en-US"/>
        </w:rPr>
        <w:t>9.3</w:t>
      </w:r>
      <w:r>
        <w:rPr>
          <w:rFonts w:ascii="Calibri" w:eastAsia="Calibri" w:hAnsi="Calibri" w:cs="Calibri"/>
          <w:sz w:val="24"/>
          <w:lang w:eastAsia="en-US"/>
        </w:rPr>
        <w:tab/>
      </w:r>
      <w:r w:rsidR="008124C3" w:rsidRPr="008124C3">
        <w:rPr>
          <w:rFonts w:ascii="Calibri" w:eastAsia="Calibri" w:hAnsi="Calibri" w:cs="Calibri"/>
          <w:sz w:val="24"/>
          <w:lang w:eastAsia="en-US"/>
        </w:rPr>
        <w:t xml:space="preserve">However, as of today, </w:t>
      </w:r>
      <w:r w:rsidR="008124C3" w:rsidRPr="008124C3">
        <w:rPr>
          <w:rFonts w:ascii="Calibri" w:eastAsia="Calibri" w:hAnsi="Calibri" w:cs="Calibri"/>
          <w:sz w:val="24"/>
          <w:lang w:val="en-GB" w:eastAsia="en-US"/>
        </w:rPr>
        <w:t xml:space="preserve">CHF 21 600 remain to be recovered. </w:t>
      </w:r>
      <w:r w:rsidR="008124C3" w:rsidRPr="008124C3">
        <w:rPr>
          <w:rFonts w:ascii="Calibri" w:eastAsia="Calibri" w:hAnsi="Calibri" w:cs="Calibri"/>
          <w:b/>
          <w:sz w:val="24"/>
          <w:lang w:val="en-GB" w:eastAsia="en-US"/>
        </w:rPr>
        <w:t>Annex B</w:t>
      </w:r>
      <w:r w:rsidR="008124C3" w:rsidRPr="008124C3">
        <w:rPr>
          <w:rFonts w:ascii="Calibri" w:eastAsia="Calibri" w:hAnsi="Calibri" w:cs="Calibri"/>
          <w:sz w:val="24"/>
          <w:lang w:val="en-GB" w:eastAsia="en-US"/>
        </w:rPr>
        <w:t xml:space="preserve"> of</w:t>
      </w:r>
      <w:r w:rsidR="00AC7966">
        <w:rPr>
          <w:rFonts w:ascii="Calibri" w:eastAsia="Calibri" w:hAnsi="Calibri" w:cs="Calibri"/>
          <w:sz w:val="24"/>
          <w:lang w:val="en-GB" w:eastAsia="en-US"/>
        </w:rPr>
        <w:br/>
      </w:r>
      <w:r w:rsidR="008124C3" w:rsidRPr="008124C3">
        <w:rPr>
          <w:rFonts w:ascii="Calibri" w:eastAsia="Calibri" w:hAnsi="Calibri" w:cs="Calibri"/>
          <w:sz w:val="24"/>
          <w:lang w:val="en-GB" w:eastAsia="en-US"/>
        </w:rPr>
        <w:t>document</w:t>
      </w:r>
      <w:r w:rsidR="00AC7966">
        <w:rPr>
          <w:rFonts w:ascii="Calibri" w:eastAsia="Calibri" w:hAnsi="Calibri" w:cs="Calibri"/>
          <w:sz w:val="24"/>
          <w:lang w:val="en-GB" w:eastAsia="en-US"/>
        </w:rPr>
        <w:t> CWG-FHR-</w:t>
      </w:r>
      <w:r w:rsidR="008124C3" w:rsidRPr="008124C3">
        <w:rPr>
          <w:rFonts w:ascii="Calibri" w:eastAsia="Calibri" w:hAnsi="Calibri" w:cs="Calibri"/>
          <w:sz w:val="24"/>
          <w:lang w:val="en-GB" w:eastAsia="en-US"/>
        </w:rPr>
        <w:t>14/6 lists the entities for which TSB has a valid contact, that have been billed in 2018, 2019 and/or 2020, and have not paid their bills to date. The secretariat seeks the assistance of Members States in recovering this debt.</w:t>
      </w:r>
    </w:p>
    <w:p w14:paraId="57FF3CC7" w14:textId="5330066D" w:rsidR="008124C3" w:rsidRPr="008124C3" w:rsidRDefault="0076241B" w:rsidP="008124C3">
      <w:pPr>
        <w:spacing w:after="160" w:line="259" w:lineRule="auto"/>
        <w:rPr>
          <w:rFonts w:ascii="Calibri" w:eastAsia="Calibri" w:hAnsi="Calibri" w:cs="Calibri"/>
          <w:sz w:val="24"/>
          <w:lang w:val="en-GB" w:eastAsia="en-US"/>
        </w:rPr>
      </w:pPr>
      <w:r w:rsidRPr="0076241B">
        <w:rPr>
          <w:rFonts w:ascii="Calibri" w:eastAsia="Calibri" w:hAnsi="Calibri" w:cs="Calibri"/>
          <w:sz w:val="24"/>
          <w:lang w:val="en-GB" w:eastAsia="en-US"/>
        </w:rPr>
        <w:t>9.4</w:t>
      </w:r>
      <w:r w:rsidRPr="0076241B">
        <w:rPr>
          <w:rFonts w:ascii="Calibri" w:eastAsia="Calibri" w:hAnsi="Calibri" w:cs="Calibri"/>
          <w:sz w:val="24"/>
          <w:lang w:val="en-GB" w:eastAsia="en-US"/>
        </w:rPr>
        <w:tab/>
      </w:r>
      <w:r w:rsidR="008124C3" w:rsidRPr="008124C3">
        <w:rPr>
          <w:rFonts w:ascii="Calibri" w:eastAsia="Calibri" w:hAnsi="Calibri" w:cs="Calibri"/>
          <w:sz w:val="24"/>
          <w:u w:val="single"/>
          <w:lang w:val="en-GB" w:eastAsia="en-US"/>
        </w:rPr>
        <w:t>For IIN (</w:t>
      </w:r>
      <w:r w:rsidR="002008A8">
        <w:rPr>
          <w:rFonts w:ascii="Calibri" w:eastAsia="Calibri" w:hAnsi="Calibri" w:cs="Calibri"/>
          <w:sz w:val="24"/>
          <w:u w:val="single"/>
          <w:lang w:val="en-GB" w:eastAsia="en-US"/>
        </w:rPr>
        <w:t>D</w:t>
      </w:r>
      <w:r w:rsidR="008124C3" w:rsidRPr="008124C3">
        <w:rPr>
          <w:rFonts w:ascii="Calibri" w:eastAsia="Calibri" w:hAnsi="Calibri" w:cs="Calibri"/>
          <w:sz w:val="24"/>
          <w:u w:val="single"/>
          <w:lang w:val="en-GB" w:eastAsia="en-US"/>
        </w:rPr>
        <w:t>ecision 601)</w:t>
      </w:r>
      <w:r w:rsidR="008124C3" w:rsidRPr="008124C3">
        <w:rPr>
          <w:rFonts w:ascii="Calibri" w:eastAsia="Calibri" w:hAnsi="Calibri" w:cs="Calibri"/>
          <w:sz w:val="24"/>
          <w:lang w:val="en-GB" w:eastAsia="en-US"/>
        </w:rPr>
        <w:t xml:space="preserve"> the first set of invoices will be issued this year as the secretariat has been updating the contact information of some 850 entities that registered IINs with ITU over the course of many years before Council </w:t>
      </w:r>
      <w:r w:rsidR="001C14B8">
        <w:rPr>
          <w:rFonts w:ascii="Calibri" w:eastAsia="Calibri" w:hAnsi="Calibri" w:cs="Calibri"/>
          <w:sz w:val="24"/>
          <w:lang w:val="en-GB" w:eastAsia="en-US"/>
        </w:rPr>
        <w:t>D</w:t>
      </w:r>
      <w:r w:rsidR="008124C3" w:rsidRPr="008124C3">
        <w:rPr>
          <w:rFonts w:ascii="Calibri" w:eastAsia="Calibri" w:hAnsi="Calibri" w:cs="Calibri"/>
          <w:sz w:val="24"/>
          <w:lang w:val="en-GB" w:eastAsia="en-US"/>
        </w:rPr>
        <w:t xml:space="preserve">ecision 601 came into force. </w:t>
      </w:r>
      <w:r w:rsidR="008124C3" w:rsidRPr="008124C3">
        <w:rPr>
          <w:rFonts w:ascii="Calibri" w:eastAsia="Calibri" w:hAnsi="Calibri" w:cs="Calibri"/>
          <w:b/>
          <w:sz w:val="24"/>
          <w:lang w:val="en-GB" w:eastAsia="en-US"/>
        </w:rPr>
        <w:t>Section 3.2</w:t>
      </w:r>
      <w:r w:rsidR="008124C3" w:rsidRPr="008124C3">
        <w:rPr>
          <w:rFonts w:ascii="Calibri" w:eastAsia="Calibri" w:hAnsi="Calibri" w:cs="Calibri"/>
          <w:sz w:val="24"/>
          <w:lang w:val="en-GB" w:eastAsia="en-US"/>
        </w:rPr>
        <w:t xml:space="preserve"> of</w:t>
      </w:r>
      <w:r w:rsidR="00AC7966">
        <w:rPr>
          <w:rFonts w:ascii="Calibri" w:eastAsia="Calibri" w:hAnsi="Calibri" w:cs="Calibri"/>
          <w:sz w:val="24"/>
          <w:lang w:val="en-GB" w:eastAsia="en-US"/>
        </w:rPr>
        <w:br/>
      </w:r>
      <w:r w:rsidR="008124C3" w:rsidRPr="008124C3">
        <w:rPr>
          <w:rFonts w:ascii="Calibri" w:eastAsia="Calibri" w:hAnsi="Calibri" w:cs="Calibri"/>
          <w:sz w:val="24"/>
          <w:lang w:val="en-GB" w:eastAsia="en-US"/>
        </w:rPr>
        <w:t>document</w:t>
      </w:r>
      <w:r w:rsidR="00AC7966">
        <w:rPr>
          <w:rFonts w:ascii="Calibri" w:eastAsia="Calibri" w:hAnsi="Calibri" w:cs="Calibri"/>
          <w:sz w:val="24"/>
          <w:lang w:val="en-GB" w:eastAsia="en-US"/>
        </w:rPr>
        <w:t> CWG-FHR-</w:t>
      </w:r>
      <w:r w:rsidR="008124C3" w:rsidRPr="008124C3">
        <w:rPr>
          <w:rFonts w:ascii="Calibri" w:eastAsia="Calibri" w:hAnsi="Calibri" w:cs="Calibri"/>
          <w:sz w:val="24"/>
          <w:lang w:val="en-GB" w:eastAsia="en-US"/>
        </w:rPr>
        <w:t>14/6 summarizes on the status of IIN contact updates.</w:t>
      </w:r>
    </w:p>
    <w:p w14:paraId="75CB822B" w14:textId="5CF59AC6" w:rsidR="008124C3" w:rsidRPr="008124C3" w:rsidRDefault="0076241B" w:rsidP="008124C3">
      <w:pPr>
        <w:spacing w:after="160" w:line="259" w:lineRule="auto"/>
        <w:rPr>
          <w:rFonts w:ascii="Calibri" w:eastAsia="Calibri" w:hAnsi="Calibri" w:cs="Calibri"/>
          <w:color w:val="323E4F"/>
          <w:sz w:val="24"/>
          <w:lang w:val="en-GB" w:eastAsia="en-US"/>
        </w:rPr>
      </w:pPr>
      <w:r>
        <w:rPr>
          <w:rFonts w:ascii="Calibri" w:eastAsia="Calibri" w:hAnsi="Calibri" w:cs="Calibri"/>
          <w:sz w:val="24"/>
          <w:lang w:val="en-GB" w:eastAsia="en-US"/>
        </w:rPr>
        <w:lastRenderedPageBreak/>
        <w:t>9.5</w:t>
      </w:r>
      <w:r>
        <w:rPr>
          <w:rFonts w:ascii="Calibri" w:eastAsia="Calibri" w:hAnsi="Calibri" w:cs="Calibri"/>
          <w:sz w:val="24"/>
          <w:lang w:val="en-GB" w:eastAsia="en-US"/>
        </w:rPr>
        <w:tab/>
      </w:r>
      <w:r w:rsidR="008124C3" w:rsidRPr="008124C3">
        <w:rPr>
          <w:rFonts w:ascii="Calibri" w:eastAsia="Calibri" w:hAnsi="Calibri" w:cs="Calibri"/>
          <w:sz w:val="24"/>
          <w:lang w:val="en-GB" w:eastAsia="en-US"/>
        </w:rPr>
        <w:t xml:space="preserve">As per an announcement in ITU Operational Bulletin No. 1222 (15.VI.2021), the list of ITU-T E.118 IINs for which the assignee contact is still not known can be found on the ITU web page in </w:t>
      </w:r>
      <w:r w:rsidR="008124C3" w:rsidRPr="008124C3">
        <w:rPr>
          <w:rFonts w:ascii="Calibri" w:eastAsia="Calibri" w:hAnsi="Calibri" w:cs="Calibri"/>
          <w:b/>
          <w:sz w:val="24"/>
          <w:lang w:val="en-GB" w:eastAsia="en-US"/>
        </w:rPr>
        <w:t>section</w:t>
      </w:r>
      <w:r w:rsidR="008124C3" w:rsidRPr="008124C3">
        <w:rPr>
          <w:rFonts w:ascii="Calibri" w:eastAsia="Calibri" w:hAnsi="Calibri" w:cs="Calibri"/>
          <w:sz w:val="24"/>
          <w:lang w:val="en-GB" w:eastAsia="en-US"/>
        </w:rPr>
        <w:t xml:space="preserve"> </w:t>
      </w:r>
      <w:r w:rsidR="008124C3" w:rsidRPr="008124C3">
        <w:rPr>
          <w:rFonts w:ascii="Calibri" w:eastAsia="Calibri" w:hAnsi="Calibri" w:cs="Calibri"/>
          <w:b/>
          <w:sz w:val="24"/>
          <w:lang w:val="en-GB" w:eastAsia="en-US"/>
        </w:rPr>
        <w:t>3.1.4</w:t>
      </w:r>
      <w:r w:rsidR="008124C3" w:rsidRPr="008124C3">
        <w:rPr>
          <w:rFonts w:ascii="Calibri" w:eastAsia="Calibri" w:hAnsi="Calibri" w:cs="Calibri"/>
          <w:sz w:val="24"/>
          <w:lang w:val="en-GB" w:eastAsia="en-US"/>
        </w:rPr>
        <w:t xml:space="preserve">: </w:t>
      </w:r>
      <w:hyperlink r:id="rId27" w:anchor="assignee-contact-not-reachable" w:history="1">
        <w:r w:rsidR="008124C3" w:rsidRPr="008124C3">
          <w:rPr>
            <w:rFonts w:ascii="Calibri" w:eastAsia="Calibri" w:hAnsi="Calibri" w:cs="Calibri"/>
            <w:color w:val="0563C1"/>
            <w:sz w:val="24"/>
            <w:u w:val="single"/>
            <w:lang w:val="en-GB" w:eastAsia="en-US"/>
          </w:rPr>
          <w:t>https://www.itu.int/en/ITU-T/inr/forms/Pages/iin.aspx#assignee-contact-not-reachable</w:t>
        </w:r>
      </w:hyperlink>
      <w:r w:rsidR="008124C3">
        <w:rPr>
          <w:rFonts w:ascii="Calibri" w:eastAsia="Calibri" w:hAnsi="Calibri" w:cs="Calibri"/>
          <w:color w:val="0563C1"/>
          <w:sz w:val="24"/>
          <w:u w:val="single"/>
          <w:lang w:val="en-GB" w:eastAsia="en-US"/>
        </w:rPr>
        <w:t>.</w:t>
      </w:r>
    </w:p>
    <w:p w14:paraId="1B4DB0B2" w14:textId="7EAB1944" w:rsidR="008124C3" w:rsidRPr="008124C3" w:rsidRDefault="0076241B" w:rsidP="008124C3">
      <w:pPr>
        <w:spacing w:after="160" w:line="259" w:lineRule="auto"/>
        <w:rPr>
          <w:rFonts w:ascii="Calibri" w:eastAsia="Calibri" w:hAnsi="Calibri" w:cs="Calibri"/>
          <w:sz w:val="24"/>
          <w:lang w:val="en-GB" w:eastAsia="en-US"/>
        </w:rPr>
      </w:pPr>
      <w:r>
        <w:rPr>
          <w:rFonts w:ascii="Calibri" w:eastAsia="Calibri" w:hAnsi="Calibri" w:cs="Calibri"/>
          <w:sz w:val="24"/>
          <w:lang w:val="en-GB" w:eastAsia="en-US"/>
        </w:rPr>
        <w:t>9.6</w:t>
      </w:r>
      <w:r>
        <w:rPr>
          <w:rFonts w:ascii="Calibri" w:eastAsia="Calibri" w:hAnsi="Calibri" w:cs="Calibri"/>
          <w:sz w:val="24"/>
          <w:lang w:val="en-GB" w:eastAsia="en-US"/>
        </w:rPr>
        <w:tab/>
      </w:r>
      <w:r w:rsidR="008124C3" w:rsidRPr="008124C3">
        <w:rPr>
          <w:rFonts w:ascii="Calibri" w:eastAsia="Calibri" w:hAnsi="Calibri" w:cs="Calibri"/>
          <w:sz w:val="24"/>
          <w:lang w:val="en-GB" w:eastAsia="en-US"/>
        </w:rPr>
        <w:t xml:space="preserve">National Administrations/regulators or authorized agencies are encouraged to </w:t>
      </w:r>
      <w:proofErr w:type="gramStart"/>
      <w:r w:rsidR="008124C3" w:rsidRPr="008124C3">
        <w:rPr>
          <w:rFonts w:ascii="Calibri" w:eastAsia="Calibri" w:hAnsi="Calibri" w:cs="Calibri"/>
          <w:sz w:val="24"/>
          <w:lang w:val="en-GB" w:eastAsia="en-US"/>
        </w:rPr>
        <w:t>provide assistance</w:t>
      </w:r>
      <w:proofErr w:type="gramEnd"/>
      <w:r w:rsidR="008124C3" w:rsidRPr="008124C3">
        <w:rPr>
          <w:rFonts w:ascii="Calibri" w:eastAsia="Calibri" w:hAnsi="Calibri" w:cs="Calibri"/>
          <w:sz w:val="24"/>
          <w:lang w:val="en-GB" w:eastAsia="en-US"/>
        </w:rPr>
        <w:t xml:space="preserve"> in identifying their up-to-date status and/or contact information.</w:t>
      </w:r>
    </w:p>
    <w:p w14:paraId="0E8066EC" w14:textId="2D45FE8B" w:rsidR="008124C3" w:rsidRPr="007B672D" w:rsidRDefault="007B672D" w:rsidP="008124C3">
      <w:pPr>
        <w:spacing w:after="160" w:line="259" w:lineRule="auto"/>
        <w:rPr>
          <w:rFonts w:ascii="Calibri" w:eastAsia="Calibri" w:hAnsi="Calibri" w:cs="Calibri"/>
          <w:sz w:val="24"/>
          <w:u w:val="single"/>
          <w:lang w:val="en-GB" w:eastAsia="en-US"/>
        </w:rPr>
      </w:pPr>
      <w:r w:rsidRPr="007B672D">
        <w:rPr>
          <w:rFonts w:ascii="Calibri" w:eastAsia="Calibri" w:hAnsi="Calibri" w:cs="Calibri"/>
          <w:sz w:val="24"/>
          <w:u w:val="single"/>
          <w:lang w:val="en-GB" w:eastAsia="en-US"/>
        </w:rPr>
        <w:t>C</w:t>
      </w:r>
      <w:r w:rsidR="008124C3" w:rsidRPr="007B672D">
        <w:rPr>
          <w:rFonts w:ascii="Calibri" w:eastAsia="Calibri" w:hAnsi="Calibri" w:cs="Calibri"/>
          <w:sz w:val="24"/>
          <w:u w:val="single"/>
          <w:lang w:val="en-GB" w:eastAsia="en-US"/>
        </w:rPr>
        <w:t>onclusion</w:t>
      </w:r>
    </w:p>
    <w:p w14:paraId="6EF91F6F" w14:textId="255EEC48" w:rsidR="008124C3" w:rsidRPr="008124C3" w:rsidRDefault="007B672D" w:rsidP="007B672D">
      <w:pPr>
        <w:spacing w:after="160" w:line="259" w:lineRule="auto"/>
        <w:rPr>
          <w:rFonts w:ascii="Calibri" w:eastAsia="Calibri" w:hAnsi="Calibri" w:cs="Calibri"/>
          <w:sz w:val="24"/>
          <w:lang w:val="en-GB" w:eastAsia="en-US"/>
        </w:rPr>
      </w:pPr>
      <w:r>
        <w:rPr>
          <w:rFonts w:ascii="Calibri" w:eastAsia="Calibri" w:hAnsi="Calibri" w:cs="Calibri"/>
          <w:sz w:val="24"/>
          <w:lang w:val="en-GB" w:eastAsia="en-US"/>
        </w:rPr>
        <w:t>9.7</w:t>
      </w:r>
      <w:r>
        <w:rPr>
          <w:rFonts w:ascii="Calibri" w:eastAsia="Calibri" w:hAnsi="Calibri" w:cs="Calibri"/>
          <w:sz w:val="24"/>
          <w:lang w:val="en-GB" w:eastAsia="en-US"/>
        </w:rPr>
        <w:tab/>
      </w:r>
      <w:r w:rsidR="008124C3" w:rsidRPr="008124C3">
        <w:rPr>
          <w:rFonts w:ascii="Calibri" w:eastAsia="Calibri" w:hAnsi="Calibri" w:cs="Calibri"/>
          <w:sz w:val="24"/>
          <w:lang w:val="en-GB" w:eastAsia="en-US"/>
        </w:rPr>
        <w:t xml:space="preserve">The secretariat seeks the continued assistance of Members States in recovering the debt identified in </w:t>
      </w:r>
      <w:r w:rsidR="008124C3" w:rsidRPr="008124C3">
        <w:rPr>
          <w:rFonts w:ascii="Calibri" w:eastAsia="Calibri" w:hAnsi="Calibri" w:cs="Calibri"/>
          <w:b/>
          <w:sz w:val="24"/>
          <w:lang w:val="en-GB" w:eastAsia="en-US"/>
        </w:rPr>
        <w:t>Annex B</w:t>
      </w:r>
      <w:r w:rsidR="008124C3" w:rsidRPr="008124C3">
        <w:rPr>
          <w:rFonts w:ascii="Calibri" w:eastAsia="Calibri" w:hAnsi="Calibri" w:cs="Calibri"/>
          <w:sz w:val="24"/>
          <w:lang w:val="en-GB" w:eastAsia="en-US"/>
        </w:rPr>
        <w:t>.</w:t>
      </w:r>
    </w:p>
    <w:p w14:paraId="6637CBE6" w14:textId="1D271001" w:rsidR="008124C3" w:rsidRPr="008124C3" w:rsidRDefault="007B672D" w:rsidP="007B672D">
      <w:pPr>
        <w:spacing w:after="160" w:line="259" w:lineRule="auto"/>
        <w:rPr>
          <w:rFonts w:ascii="Calibri" w:eastAsia="Calibri" w:hAnsi="Calibri" w:cs="Calibri"/>
          <w:sz w:val="24"/>
          <w:lang w:val="en-GB" w:eastAsia="en-US"/>
        </w:rPr>
      </w:pPr>
      <w:r>
        <w:rPr>
          <w:rFonts w:ascii="Calibri" w:eastAsia="Calibri" w:hAnsi="Calibri" w:cs="Calibri"/>
          <w:sz w:val="24"/>
          <w:lang w:val="en-GB" w:eastAsia="en-US"/>
        </w:rPr>
        <w:t>9.8</w:t>
      </w:r>
      <w:r>
        <w:rPr>
          <w:rFonts w:ascii="Calibri" w:eastAsia="Calibri" w:hAnsi="Calibri" w:cs="Calibri"/>
          <w:sz w:val="24"/>
          <w:lang w:val="en-GB" w:eastAsia="en-US"/>
        </w:rPr>
        <w:tab/>
      </w:r>
      <w:r w:rsidR="008124C3" w:rsidRPr="008124C3">
        <w:rPr>
          <w:rFonts w:ascii="Calibri" w:eastAsia="Calibri" w:hAnsi="Calibri" w:cs="Calibri"/>
          <w:sz w:val="24"/>
          <w:lang w:val="en-GB" w:eastAsia="en-US"/>
        </w:rPr>
        <w:t xml:space="preserve">National Administrations/regulators or authorized agencies are encouraged to aid the secretariat in identifying up-to-date status and/or </w:t>
      </w:r>
      <w:r w:rsidR="008124C3" w:rsidRPr="008124C3">
        <w:rPr>
          <w:rFonts w:ascii="Calibri" w:eastAsia="Calibri" w:hAnsi="Calibri" w:cs="Calibri"/>
          <w:b/>
          <w:sz w:val="24"/>
          <w:lang w:val="en-GB" w:eastAsia="en-US"/>
        </w:rPr>
        <w:t>contact information</w:t>
      </w:r>
      <w:r w:rsidR="008124C3" w:rsidRPr="008124C3">
        <w:rPr>
          <w:rFonts w:ascii="Calibri" w:eastAsia="Calibri" w:hAnsi="Calibri" w:cs="Calibri"/>
          <w:sz w:val="24"/>
          <w:lang w:val="en-GB" w:eastAsia="en-US"/>
        </w:rPr>
        <w:t xml:space="preserve"> for UIFN identified in </w:t>
      </w:r>
      <w:r w:rsidR="008124C3" w:rsidRPr="008124C3">
        <w:rPr>
          <w:rFonts w:ascii="Calibri" w:eastAsia="Calibri" w:hAnsi="Calibri" w:cs="Calibri"/>
          <w:b/>
          <w:sz w:val="24"/>
          <w:lang w:val="en-GB" w:eastAsia="en-US"/>
        </w:rPr>
        <w:t>Annex C</w:t>
      </w:r>
      <w:r w:rsidR="008124C3" w:rsidRPr="008124C3">
        <w:rPr>
          <w:rFonts w:ascii="Calibri" w:eastAsia="Calibri" w:hAnsi="Calibri" w:cs="Calibri"/>
          <w:sz w:val="24"/>
          <w:lang w:val="en-GB" w:eastAsia="en-US"/>
        </w:rPr>
        <w:t xml:space="preserve"> and </w:t>
      </w:r>
      <w:r w:rsidR="008124C3" w:rsidRPr="008124C3">
        <w:rPr>
          <w:rFonts w:ascii="Calibri" w:eastAsia="Calibri" w:hAnsi="Calibri" w:cs="Calibri"/>
          <w:b/>
          <w:sz w:val="24"/>
          <w:lang w:val="en-GB" w:eastAsia="en-US"/>
        </w:rPr>
        <w:t xml:space="preserve">IIN contacts </w:t>
      </w:r>
      <w:r w:rsidR="008124C3" w:rsidRPr="008124C3">
        <w:rPr>
          <w:rFonts w:ascii="Calibri" w:eastAsia="Calibri" w:hAnsi="Calibri" w:cs="Calibri"/>
          <w:sz w:val="24"/>
          <w:lang w:val="en-GB" w:eastAsia="en-US"/>
        </w:rPr>
        <w:t>in section 3.1.4.</w:t>
      </w:r>
    </w:p>
    <w:p w14:paraId="05962A06" w14:textId="6F30F9DE" w:rsidR="008124C3" w:rsidRPr="008124C3" w:rsidRDefault="0076241B" w:rsidP="008124C3">
      <w:pPr>
        <w:spacing w:after="160" w:line="259" w:lineRule="auto"/>
        <w:rPr>
          <w:rFonts w:ascii="Calibri" w:eastAsia="Calibri" w:hAnsi="Calibri" w:cs="Calibri"/>
          <w:sz w:val="24"/>
          <w:lang w:val="en-GB" w:eastAsia="en-US"/>
        </w:rPr>
      </w:pPr>
      <w:r>
        <w:rPr>
          <w:rFonts w:ascii="Calibri" w:eastAsia="Calibri" w:hAnsi="Calibri" w:cs="Calibri"/>
          <w:sz w:val="24"/>
          <w:lang w:val="en-GB" w:eastAsia="en-US"/>
        </w:rPr>
        <w:t>9.</w:t>
      </w:r>
      <w:r w:rsidR="007B672D">
        <w:rPr>
          <w:rFonts w:ascii="Calibri" w:eastAsia="Calibri" w:hAnsi="Calibri" w:cs="Calibri"/>
          <w:sz w:val="24"/>
          <w:lang w:val="en-GB" w:eastAsia="en-US"/>
        </w:rPr>
        <w:t>9</w:t>
      </w:r>
      <w:r>
        <w:rPr>
          <w:rFonts w:ascii="Calibri" w:eastAsia="Calibri" w:hAnsi="Calibri" w:cs="Calibri"/>
          <w:sz w:val="24"/>
          <w:lang w:val="en-GB" w:eastAsia="en-US"/>
        </w:rPr>
        <w:tab/>
      </w:r>
      <w:r w:rsidR="00AC7966">
        <w:rPr>
          <w:rFonts w:ascii="Calibri" w:eastAsia="Calibri" w:hAnsi="Calibri" w:cs="Calibri"/>
          <w:sz w:val="24"/>
          <w:lang w:val="en-GB" w:eastAsia="en-US"/>
        </w:rPr>
        <w:t xml:space="preserve">One delegate </w:t>
      </w:r>
      <w:r w:rsidR="008124C3" w:rsidRPr="008124C3">
        <w:rPr>
          <w:rFonts w:ascii="Calibri" w:eastAsia="Calibri" w:hAnsi="Calibri" w:cs="Calibri"/>
          <w:sz w:val="24"/>
          <w:lang w:val="en-GB" w:eastAsia="en-US"/>
        </w:rPr>
        <w:t xml:space="preserve">asked whether the revenue collected to date covers the cost of the UIFN and IIN registrar. The </w:t>
      </w:r>
      <w:r w:rsidR="00AC7966">
        <w:rPr>
          <w:rFonts w:ascii="Calibri" w:eastAsia="Calibri" w:hAnsi="Calibri" w:cs="Calibri"/>
          <w:sz w:val="24"/>
          <w:lang w:val="en-GB" w:eastAsia="en-US"/>
        </w:rPr>
        <w:t>s</w:t>
      </w:r>
      <w:r w:rsidR="008124C3" w:rsidRPr="008124C3">
        <w:rPr>
          <w:rFonts w:ascii="Calibri" w:eastAsia="Calibri" w:hAnsi="Calibri" w:cs="Calibri"/>
          <w:sz w:val="24"/>
          <w:lang w:val="en-GB" w:eastAsia="en-US"/>
        </w:rPr>
        <w:t xml:space="preserve">ecretariat responded that for the time being the revenue was not sufficient to </w:t>
      </w:r>
      <w:r w:rsidR="008124C3" w:rsidRPr="00CA05AD">
        <w:rPr>
          <w:rFonts w:ascii="Calibri" w:eastAsia="Calibri" w:hAnsi="Calibri" w:cs="Calibri"/>
          <w:spacing w:val="-2"/>
          <w:sz w:val="24"/>
          <w:lang w:val="en-GB" w:eastAsia="en-US"/>
        </w:rPr>
        <w:t>recover the cost of this activity and proposed to submit a document to the next CWG</w:t>
      </w:r>
      <w:r w:rsidR="00AC7966" w:rsidRPr="00CA05AD">
        <w:rPr>
          <w:rFonts w:ascii="Calibri" w:eastAsia="Calibri" w:hAnsi="Calibri" w:cs="Calibri"/>
          <w:spacing w:val="-2"/>
          <w:sz w:val="24"/>
          <w:lang w:val="en-GB" w:eastAsia="en-US"/>
        </w:rPr>
        <w:t>-</w:t>
      </w:r>
      <w:r w:rsidR="008124C3" w:rsidRPr="00CA05AD">
        <w:rPr>
          <w:rFonts w:ascii="Calibri" w:eastAsia="Calibri" w:hAnsi="Calibri" w:cs="Calibri"/>
          <w:spacing w:val="-2"/>
          <w:sz w:val="24"/>
          <w:lang w:val="en-GB" w:eastAsia="en-US"/>
        </w:rPr>
        <w:t>FHR to better</w:t>
      </w:r>
      <w:r w:rsidR="008124C3" w:rsidRPr="008124C3">
        <w:rPr>
          <w:rFonts w:ascii="Calibri" w:eastAsia="Calibri" w:hAnsi="Calibri" w:cs="Calibri"/>
          <w:sz w:val="24"/>
          <w:lang w:val="en-GB" w:eastAsia="en-US"/>
        </w:rPr>
        <w:t xml:space="preserve"> answer this question based on all revenues received to date, including the newly issued IIN invoices and those for the new Sector Members that joined ITU-T or ITU-R because of Decisions</w:t>
      </w:r>
      <w:r w:rsidR="001B03F3">
        <w:rPr>
          <w:rFonts w:ascii="Calibri" w:eastAsia="Calibri" w:hAnsi="Calibri" w:cs="Calibri"/>
          <w:sz w:val="24"/>
          <w:lang w:val="en-GB" w:eastAsia="en-US"/>
        </w:rPr>
        <w:t> </w:t>
      </w:r>
      <w:r w:rsidR="008124C3" w:rsidRPr="008124C3">
        <w:rPr>
          <w:rFonts w:ascii="Calibri" w:eastAsia="Calibri" w:hAnsi="Calibri" w:cs="Calibri"/>
          <w:sz w:val="24"/>
          <w:lang w:val="en-GB" w:eastAsia="en-US"/>
        </w:rPr>
        <w:t>600 and 601.</w:t>
      </w:r>
    </w:p>
    <w:p w14:paraId="092E73C9" w14:textId="21960579" w:rsidR="008124C3" w:rsidRPr="008124C3" w:rsidRDefault="0076241B" w:rsidP="008124C3">
      <w:pPr>
        <w:spacing w:after="160" w:line="259" w:lineRule="auto"/>
        <w:rPr>
          <w:rFonts w:ascii="Calibri" w:eastAsia="Calibri" w:hAnsi="Calibri" w:cs="Calibri"/>
          <w:sz w:val="24"/>
          <w:lang w:val="en-GB" w:eastAsia="en-US"/>
        </w:rPr>
      </w:pPr>
      <w:r>
        <w:rPr>
          <w:rFonts w:ascii="Calibri" w:eastAsia="Calibri" w:hAnsi="Calibri" w:cs="Calibri"/>
          <w:sz w:val="24"/>
          <w:lang w:val="en-GB" w:eastAsia="en-US"/>
        </w:rPr>
        <w:t>9.</w:t>
      </w:r>
      <w:r w:rsidR="007B672D">
        <w:rPr>
          <w:rFonts w:ascii="Calibri" w:eastAsia="Calibri" w:hAnsi="Calibri" w:cs="Calibri"/>
          <w:sz w:val="24"/>
          <w:lang w:val="en-GB" w:eastAsia="en-US"/>
        </w:rPr>
        <w:t>10</w:t>
      </w:r>
      <w:r>
        <w:rPr>
          <w:rFonts w:ascii="Calibri" w:eastAsia="Calibri" w:hAnsi="Calibri" w:cs="Calibri"/>
          <w:sz w:val="24"/>
          <w:lang w:val="en-GB" w:eastAsia="en-US"/>
        </w:rPr>
        <w:tab/>
      </w:r>
      <w:r w:rsidR="008124C3" w:rsidRPr="008124C3">
        <w:rPr>
          <w:rFonts w:ascii="Calibri" w:eastAsia="Calibri" w:hAnsi="Calibri" w:cs="Calibri"/>
          <w:sz w:val="24"/>
          <w:lang w:val="en-GB" w:eastAsia="en-US"/>
        </w:rPr>
        <w:t xml:space="preserve">The secretariat presented document </w:t>
      </w:r>
      <w:r w:rsidR="001B03F3">
        <w:rPr>
          <w:rFonts w:ascii="Calibri" w:eastAsia="Calibri" w:hAnsi="Calibri" w:cs="Calibri"/>
          <w:sz w:val="24"/>
          <w:lang w:val="en-GB" w:eastAsia="en-US"/>
        </w:rPr>
        <w:t>CWG-FHR-</w:t>
      </w:r>
      <w:r w:rsidR="008124C3" w:rsidRPr="008124C3">
        <w:rPr>
          <w:rFonts w:ascii="Calibri" w:eastAsia="Calibri" w:hAnsi="Calibri" w:cs="Calibri"/>
          <w:sz w:val="24"/>
          <w:lang w:val="en-GB" w:eastAsia="en-US"/>
        </w:rPr>
        <w:t>14/7</w:t>
      </w:r>
      <w:r>
        <w:rPr>
          <w:rFonts w:ascii="Calibri" w:eastAsia="Calibri" w:hAnsi="Calibri" w:cs="Calibri"/>
          <w:sz w:val="24"/>
          <w:lang w:val="en-GB" w:eastAsia="en-US"/>
        </w:rPr>
        <w:t>.</w:t>
      </w:r>
    </w:p>
    <w:p w14:paraId="561C9AFE" w14:textId="349DD961" w:rsidR="008124C3" w:rsidRPr="008124C3" w:rsidRDefault="0076241B" w:rsidP="008124C3">
      <w:pPr>
        <w:spacing w:after="160" w:line="259" w:lineRule="auto"/>
        <w:rPr>
          <w:rFonts w:ascii="Calibri" w:eastAsia="Calibri" w:hAnsi="Calibri" w:cs="Calibri"/>
          <w:sz w:val="24"/>
          <w:lang w:val="en-GB" w:eastAsia="en-US"/>
        </w:rPr>
      </w:pPr>
      <w:r>
        <w:rPr>
          <w:rFonts w:ascii="Calibri" w:eastAsia="Calibri" w:hAnsi="Calibri" w:cs="Calibri"/>
          <w:sz w:val="24"/>
          <w:lang w:val="en-GB" w:eastAsia="en-US"/>
        </w:rPr>
        <w:t>9.1</w:t>
      </w:r>
      <w:r w:rsidR="007B672D">
        <w:rPr>
          <w:rFonts w:ascii="Calibri" w:eastAsia="Calibri" w:hAnsi="Calibri" w:cs="Calibri"/>
          <w:sz w:val="24"/>
          <w:lang w:val="en-GB" w:eastAsia="en-US"/>
        </w:rPr>
        <w:t>1</w:t>
      </w:r>
      <w:r>
        <w:rPr>
          <w:rFonts w:ascii="Calibri" w:eastAsia="Calibri" w:hAnsi="Calibri" w:cs="Calibri"/>
          <w:sz w:val="24"/>
          <w:lang w:val="en-GB" w:eastAsia="en-US"/>
        </w:rPr>
        <w:tab/>
      </w:r>
      <w:r w:rsidR="008124C3" w:rsidRPr="008124C3">
        <w:rPr>
          <w:rFonts w:ascii="Calibri" w:eastAsia="Calibri" w:hAnsi="Calibri" w:cs="Calibri"/>
          <w:sz w:val="24"/>
          <w:lang w:val="en-GB" w:eastAsia="en-US"/>
        </w:rPr>
        <w:t xml:space="preserve">This document summarizes the proposed advice </w:t>
      </w:r>
      <w:r w:rsidR="008124C3" w:rsidRPr="008124C3">
        <w:rPr>
          <w:rFonts w:ascii="Calibri" w:eastAsia="Calibri" w:hAnsi="Calibri" w:cs="Calibri"/>
          <w:b/>
          <w:sz w:val="24"/>
          <w:lang w:val="en-GB" w:eastAsia="en-US"/>
        </w:rPr>
        <w:t>to the Director of TSB</w:t>
      </w:r>
      <w:r w:rsidR="008124C3" w:rsidRPr="008124C3">
        <w:rPr>
          <w:rFonts w:ascii="Calibri" w:eastAsia="Calibri" w:hAnsi="Calibri" w:cs="Calibri"/>
          <w:sz w:val="24"/>
          <w:lang w:val="en-GB" w:eastAsia="en-US"/>
        </w:rPr>
        <w:t xml:space="preserve"> from an </w:t>
      </w:r>
      <w:r w:rsidR="008124C3" w:rsidRPr="008124C3">
        <w:rPr>
          <w:rFonts w:ascii="Calibri" w:eastAsia="Calibri" w:hAnsi="Calibri" w:cs="Calibri"/>
          <w:b/>
          <w:sz w:val="24"/>
          <w:lang w:val="en-GB" w:eastAsia="en-US"/>
        </w:rPr>
        <w:t xml:space="preserve">ITU-T SG2 meeting </w:t>
      </w:r>
      <w:r w:rsidR="008124C3" w:rsidRPr="008124C3">
        <w:rPr>
          <w:rFonts w:ascii="Calibri" w:eastAsia="Calibri" w:hAnsi="Calibri" w:cs="Calibri"/>
          <w:sz w:val="24"/>
          <w:lang w:val="en-GB" w:eastAsia="en-US"/>
        </w:rPr>
        <w:t xml:space="preserve">regarding International Numbering Resource revenue </w:t>
      </w:r>
      <w:r w:rsidR="008124C3" w:rsidRPr="008124C3">
        <w:rPr>
          <w:rFonts w:ascii="Calibri" w:eastAsia="Calibri" w:hAnsi="Calibri" w:cs="Calibri"/>
          <w:b/>
          <w:sz w:val="24"/>
          <w:lang w:val="en-GB" w:eastAsia="en-US"/>
        </w:rPr>
        <w:t>collection</w:t>
      </w:r>
      <w:r w:rsidR="008124C3" w:rsidRPr="008124C3">
        <w:rPr>
          <w:rFonts w:ascii="Calibri" w:eastAsia="Calibri" w:hAnsi="Calibri" w:cs="Calibri"/>
          <w:sz w:val="24"/>
          <w:lang w:val="en-GB" w:eastAsia="en-US"/>
        </w:rPr>
        <w:t xml:space="preserve"> and the possibility of </w:t>
      </w:r>
      <w:r w:rsidR="008124C3" w:rsidRPr="008124C3">
        <w:rPr>
          <w:rFonts w:ascii="Calibri" w:eastAsia="Calibri" w:hAnsi="Calibri" w:cs="Calibri"/>
          <w:b/>
          <w:sz w:val="24"/>
          <w:lang w:val="en-GB" w:eastAsia="en-US"/>
        </w:rPr>
        <w:t>reclaiming</w:t>
      </w:r>
      <w:r w:rsidR="008124C3" w:rsidRPr="008124C3">
        <w:rPr>
          <w:rFonts w:ascii="Calibri" w:eastAsia="Calibri" w:hAnsi="Calibri" w:cs="Calibri"/>
          <w:sz w:val="24"/>
          <w:lang w:val="en-GB" w:eastAsia="en-US"/>
        </w:rPr>
        <w:t xml:space="preserve"> International Numbering Resource where payment to the ITU is outstanding.</w:t>
      </w:r>
    </w:p>
    <w:p w14:paraId="2272EC39" w14:textId="2EE35F66" w:rsidR="008124C3" w:rsidRPr="008124C3" w:rsidRDefault="0076241B" w:rsidP="008124C3">
      <w:pPr>
        <w:spacing w:after="160" w:line="259" w:lineRule="auto"/>
        <w:rPr>
          <w:rFonts w:ascii="Calibri" w:eastAsia="Calibri" w:hAnsi="Calibri" w:cs="Calibri"/>
          <w:sz w:val="24"/>
          <w:lang w:val="en-GB" w:eastAsia="en-US"/>
        </w:rPr>
      </w:pPr>
      <w:r>
        <w:rPr>
          <w:rFonts w:ascii="Calibri" w:eastAsia="Calibri" w:hAnsi="Calibri" w:cs="Calibri"/>
          <w:sz w:val="24"/>
          <w:lang w:val="en-GB" w:eastAsia="en-US"/>
        </w:rPr>
        <w:t>9.1</w:t>
      </w:r>
      <w:r w:rsidR="007B672D">
        <w:rPr>
          <w:rFonts w:ascii="Calibri" w:eastAsia="Calibri" w:hAnsi="Calibri" w:cs="Calibri"/>
          <w:sz w:val="24"/>
          <w:lang w:val="en-GB" w:eastAsia="en-US"/>
        </w:rPr>
        <w:t>2</w:t>
      </w:r>
      <w:r>
        <w:rPr>
          <w:rFonts w:ascii="Calibri" w:eastAsia="Calibri" w:hAnsi="Calibri" w:cs="Calibri"/>
          <w:sz w:val="24"/>
          <w:lang w:val="en-GB" w:eastAsia="en-US"/>
        </w:rPr>
        <w:tab/>
      </w:r>
      <w:r w:rsidR="008124C3" w:rsidRPr="008124C3">
        <w:rPr>
          <w:rFonts w:ascii="Calibri" w:eastAsia="Calibri" w:hAnsi="Calibri" w:cs="Calibri"/>
          <w:sz w:val="24"/>
          <w:lang w:val="en-GB" w:eastAsia="en-US"/>
        </w:rPr>
        <w:t xml:space="preserve">During its meeting (virtual, May 31 – 11 June 2021) ITU-T Q1/2 discussed the content of </w:t>
      </w:r>
      <w:r w:rsidR="001B03F3">
        <w:rPr>
          <w:rFonts w:ascii="Calibri" w:eastAsia="Calibri" w:hAnsi="Calibri" w:cs="Calibri"/>
          <w:sz w:val="24"/>
          <w:lang w:val="en-GB" w:eastAsia="en-US"/>
        </w:rPr>
        <w:t>d</w:t>
      </w:r>
      <w:r w:rsidR="008124C3" w:rsidRPr="008124C3">
        <w:rPr>
          <w:rFonts w:ascii="Calibri" w:eastAsia="Calibri" w:hAnsi="Calibri" w:cs="Calibri"/>
          <w:sz w:val="24"/>
          <w:lang w:val="en-GB" w:eastAsia="en-US"/>
        </w:rPr>
        <w:t xml:space="preserve">ocument </w:t>
      </w:r>
      <w:r w:rsidR="001B03F3">
        <w:rPr>
          <w:rFonts w:ascii="Calibri" w:eastAsia="Calibri" w:hAnsi="Calibri" w:cs="Calibri"/>
          <w:sz w:val="24"/>
          <w:lang w:val="en-GB" w:eastAsia="en-US"/>
        </w:rPr>
        <w:t>CWG-FHR-</w:t>
      </w:r>
      <w:r w:rsidR="008124C3" w:rsidRPr="008124C3">
        <w:rPr>
          <w:rFonts w:ascii="Calibri" w:eastAsia="Calibri" w:hAnsi="Calibri" w:cs="Calibri"/>
          <w:sz w:val="24"/>
          <w:lang w:val="en-GB" w:eastAsia="en-US"/>
        </w:rPr>
        <w:t>14/6. It was agreed to develop advice to the Director of TSB to provide additional information to Council on INR revenue collection.</w:t>
      </w:r>
    </w:p>
    <w:p w14:paraId="2DDD1A67" w14:textId="4EDA23C2" w:rsidR="008124C3" w:rsidRPr="008124C3" w:rsidRDefault="0076241B" w:rsidP="008124C3">
      <w:pPr>
        <w:spacing w:after="160" w:line="259" w:lineRule="auto"/>
        <w:rPr>
          <w:rFonts w:ascii="Calibri" w:eastAsia="Calibri" w:hAnsi="Calibri" w:cs="Calibri"/>
          <w:sz w:val="24"/>
          <w:lang w:val="en-GB" w:eastAsia="ja-JP"/>
        </w:rPr>
      </w:pPr>
      <w:r>
        <w:rPr>
          <w:rFonts w:ascii="Calibri" w:eastAsia="Calibri" w:hAnsi="Calibri" w:cs="Calibri"/>
          <w:sz w:val="24"/>
          <w:lang w:val="en-GB" w:eastAsia="en-US"/>
        </w:rPr>
        <w:t>9.1</w:t>
      </w:r>
      <w:r w:rsidR="007B672D">
        <w:rPr>
          <w:rFonts w:ascii="Calibri" w:eastAsia="Calibri" w:hAnsi="Calibri" w:cs="Calibri"/>
          <w:sz w:val="24"/>
          <w:lang w:val="en-GB" w:eastAsia="en-US"/>
        </w:rPr>
        <w:t>3</w:t>
      </w:r>
      <w:r>
        <w:rPr>
          <w:rFonts w:ascii="Calibri" w:eastAsia="Calibri" w:hAnsi="Calibri" w:cs="Calibri"/>
          <w:sz w:val="24"/>
          <w:lang w:val="en-GB" w:eastAsia="en-US"/>
        </w:rPr>
        <w:tab/>
      </w:r>
      <w:r w:rsidR="008124C3" w:rsidRPr="008124C3">
        <w:rPr>
          <w:rFonts w:ascii="Calibri" w:eastAsia="Calibri" w:hAnsi="Calibri" w:cs="Calibri"/>
          <w:sz w:val="24"/>
          <w:lang w:val="en-GB" w:eastAsia="en-US"/>
        </w:rPr>
        <w:t xml:space="preserve">Pursuant to Recommendation ITU-T E.169.1, assignees have the responsibility to ensure payment of an annual maintenance fee. Further, pursuant to Recommendation ITU-T E.190, </w:t>
      </w:r>
      <w:r w:rsidR="008124C3" w:rsidRPr="008124C3">
        <w:rPr>
          <w:rFonts w:ascii="Calibri" w:eastAsia="Calibri" w:hAnsi="Calibri" w:cs="Calibri"/>
          <w:sz w:val="24"/>
          <w:lang w:val="en-GB" w:eastAsia="ja-JP"/>
        </w:rPr>
        <w:t>applicants must comply with the assignment criteria, which include adherence to all ITU-T Recommendations relative to each service.</w:t>
      </w:r>
    </w:p>
    <w:p w14:paraId="164AB724" w14:textId="2C11426C" w:rsidR="008124C3" w:rsidRPr="008124C3" w:rsidRDefault="0076241B" w:rsidP="008124C3">
      <w:pPr>
        <w:spacing w:after="160" w:line="259" w:lineRule="auto"/>
        <w:rPr>
          <w:rFonts w:ascii="Calibri" w:eastAsia="Calibri" w:hAnsi="Calibri" w:cs="Calibri"/>
          <w:sz w:val="24"/>
          <w:lang w:val="en-GB" w:eastAsia="en-US"/>
        </w:rPr>
      </w:pPr>
      <w:r>
        <w:rPr>
          <w:rFonts w:ascii="Calibri" w:eastAsia="Calibri" w:hAnsi="Calibri" w:cs="Calibri"/>
          <w:sz w:val="24"/>
          <w:lang w:val="en-GB" w:eastAsia="en-US"/>
        </w:rPr>
        <w:t>9.1</w:t>
      </w:r>
      <w:r w:rsidR="007B672D">
        <w:rPr>
          <w:rFonts w:ascii="Calibri" w:eastAsia="Calibri" w:hAnsi="Calibri" w:cs="Calibri"/>
          <w:sz w:val="24"/>
          <w:lang w:val="en-GB" w:eastAsia="en-US"/>
        </w:rPr>
        <w:t>4</w:t>
      </w:r>
      <w:r>
        <w:rPr>
          <w:rFonts w:ascii="Calibri" w:eastAsia="Calibri" w:hAnsi="Calibri" w:cs="Calibri"/>
          <w:sz w:val="24"/>
          <w:lang w:val="en-GB" w:eastAsia="en-US"/>
        </w:rPr>
        <w:tab/>
      </w:r>
      <w:r w:rsidR="008124C3" w:rsidRPr="008124C3">
        <w:rPr>
          <w:rFonts w:ascii="Calibri" w:eastAsia="Calibri" w:hAnsi="Calibri" w:cs="Calibri"/>
          <w:sz w:val="24"/>
          <w:lang w:val="en-GB" w:eastAsia="en-US"/>
        </w:rPr>
        <w:t xml:space="preserve">SG2 advises the Director of TSB to present to Council, for its information, this document, whose section 2 contains detailed information on clauses applicable to </w:t>
      </w:r>
      <w:r w:rsidR="008124C3" w:rsidRPr="008124C3">
        <w:rPr>
          <w:rFonts w:ascii="Calibri" w:eastAsia="Calibri" w:hAnsi="Calibri" w:cs="Calibri"/>
          <w:b/>
          <w:sz w:val="24"/>
          <w:lang w:val="en-GB" w:eastAsia="en-US"/>
        </w:rPr>
        <w:t>reclamation</w:t>
      </w:r>
      <w:r w:rsidR="008124C3" w:rsidRPr="008124C3">
        <w:rPr>
          <w:rFonts w:ascii="Calibri" w:eastAsia="Calibri" w:hAnsi="Calibri" w:cs="Calibri"/>
          <w:sz w:val="24"/>
          <w:lang w:val="en-GB" w:eastAsia="en-US"/>
        </w:rPr>
        <w:t xml:space="preserve"> in case of non-payment of fees.</w:t>
      </w:r>
    </w:p>
    <w:p w14:paraId="4B608BC3" w14:textId="6BA0ADB6" w:rsidR="008124C3" w:rsidRPr="008124C3" w:rsidRDefault="0076241B" w:rsidP="003A0020">
      <w:pPr>
        <w:spacing w:after="160" w:line="259" w:lineRule="auto"/>
        <w:ind w:left="709" w:hanging="709"/>
        <w:rPr>
          <w:rFonts w:ascii="Calibri" w:eastAsia="Calibri" w:hAnsi="Calibri" w:cs="Calibri"/>
          <w:sz w:val="24"/>
          <w:lang w:val="en-GB" w:eastAsia="en-US"/>
        </w:rPr>
      </w:pPr>
      <w:r>
        <w:rPr>
          <w:rFonts w:ascii="Calibri" w:eastAsia="Calibri" w:hAnsi="Calibri" w:cs="Calibri"/>
          <w:sz w:val="24"/>
          <w:lang w:val="en-GB" w:eastAsia="en-US"/>
        </w:rPr>
        <w:t>9.1</w:t>
      </w:r>
      <w:r w:rsidR="007B672D">
        <w:rPr>
          <w:rFonts w:ascii="Calibri" w:eastAsia="Calibri" w:hAnsi="Calibri" w:cs="Calibri"/>
          <w:sz w:val="24"/>
          <w:lang w:val="en-GB" w:eastAsia="en-US"/>
        </w:rPr>
        <w:t>5</w:t>
      </w:r>
      <w:r>
        <w:rPr>
          <w:rFonts w:ascii="Calibri" w:eastAsia="Calibri" w:hAnsi="Calibri" w:cs="Calibri"/>
          <w:sz w:val="24"/>
          <w:lang w:val="en-GB" w:eastAsia="en-US"/>
        </w:rPr>
        <w:tab/>
      </w:r>
      <w:r w:rsidR="008124C3" w:rsidRPr="008124C3">
        <w:rPr>
          <w:rFonts w:ascii="Calibri" w:eastAsia="Calibri" w:hAnsi="Calibri" w:cs="Calibri"/>
          <w:sz w:val="24"/>
          <w:lang w:val="en-GB" w:eastAsia="en-US"/>
        </w:rPr>
        <w:t>SG2 also advises the Director of TSB to invite Council to instruct him to proceed as follows in case of non-payment of fees for numbering resources:</w:t>
      </w:r>
    </w:p>
    <w:p w14:paraId="51DE8DB5" w14:textId="77777777" w:rsidR="008124C3" w:rsidRPr="008124C3" w:rsidRDefault="008124C3" w:rsidP="003A0020">
      <w:pPr>
        <w:numPr>
          <w:ilvl w:val="0"/>
          <w:numId w:val="46"/>
        </w:numPr>
        <w:tabs>
          <w:tab w:val="left" w:pos="1134"/>
        </w:tabs>
        <w:spacing w:after="120" w:line="259" w:lineRule="auto"/>
        <w:ind w:left="1134" w:hanging="425"/>
        <w:rPr>
          <w:rFonts w:ascii="Calibri" w:eastAsia="Calibri" w:hAnsi="Calibri" w:cs="Calibri"/>
          <w:sz w:val="24"/>
          <w:lang w:val="en-GB" w:eastAsia="en-US"/>
        </w:rPr>
      </w:pPr>
      <w:r w:rsidRPr="008124C3">
        <w:rPr>
          <w:rFonts w:ascii="Calibri" w:eastAsia="Calibri" w:hAnsi="Calibri" w:cs="Calibri"/>
          <w:sz w:val="24"/>
          <w:lang w:val="en-GB" w:eastAsia="en-US"/>
        </w:rPr>
        <w:t>Send a request for payment within 90 days (if the contact information in the ITU-T database is incorrect, request the relevant Member State to assist in obtaining up-to-date contact information; if no up-to-date contact information can be obtained, send a notice of planned reclamation to the address in the database in accordance with step (c) below and proceed in accordance with step (d) below).</w:t>
      </w:r>
    </w:p>
    <w:p w14:paraId="61EF38BC" w14:textId="7EC3A377" w:rsidR="008124C3" w:rsidRPr="008124C3" w:rsidRDefault="008124C3" w:rsidP="003A0020">
      <w:pPr>
        <w:numPr>
          <w:ilvl w:val="0"/>
          <w:numId w:val="46"/>
        </w:numPr>
        <w:tabs>
          <w:tab w:val="left" w:pos="1134"/>
        </w:tabs>
        <w:spacing w:after="120" w:line="259" w:lineRule="auto"/>
        <w:ind w:left="1134" w:hanging="425"/>
        <w:rPr>
          <w:rFonts w:ascii="Calibri" w:eastAsia="Calibri" w:hAnsi="Calibri" w:cs="Calibri"/>
          <w:sz w:val="24"/>
          <w:lang w:val="en-GB" w:eastAsia="en-US"/>
        </w:rPr>
      </w:pPr>
      <w:r w:rsidRPr="008124C3">
        <w:rPr>
          <w:rFonts w:ascii="Calibri" w:eastAsia="Calibri" w:hAnsi="Calibri" w:cs="Calibri"/>
          <w:sz w:val="24"/>
          <w:lang w:val="en-GB" w:eastAsia="en-US"/>
        </w:rPr>
        <w:t>If no payment is received within 90 days, send a second request for payment within 60</w:t>
      </w:r>
      <w:r w:rsidR="00F87329">
        <w:rPr>
          <w:rFonts w:ascii="Calibri" w:eastAsia="Calibri" w:hAnsi="Calibri" w:cs="Calibri"/>
          <w:sz w:val="24"/>
          <w:lang w:val="en-GB" w:eastAsia="en-US"/>
        </w:rPr>
        <w:t> </w:t>
      </w:r>
      <w:r w:rsidRPr="008124C3">
        <w:rPr>
          <w:rFonts w:ascii="Calibri" w:eastAsia="Calibri" w:hAnsi="Calibri" w:cs="Calibri"/>
          <w:sz w:val="24"/>
          <w:lang w:val="en-GB" w:eastAsia="en-US"/>
        </w:rPr>
        <w:t>days.</w:t>
      </w:r>
    </w:p>
    <w:p w14:paraId="31607849" w14:textId="77777777" w:rsidR="008124C3" w:rsidRPr="008124C3" w:rsidRDefault="008124C3" w:rsidP="003A0020">
      <w:pPr>
        <w:numPr>
          <w:ilvl w:val="0"/>
          <w:numId w:val="46"/>
        </w:numPr>
        <w:tabs>
          <w:tab w:val="left" w:pos="1134"/>
        </w:tabs>
        <w:spacing w:after="120" w:line="259" w:lineRule="auto"/>
        <w:ind w:left="1134" w:hanging="425"/>
        <w:rPr>
          <w:rFonts w:ascii="Calibri" w:eastAsia="Calibri" w:hAnsi="Calibri" w:cs="Calibri"/>
          <w:sz w:val="24"/>
          <w:lang w:val="en-GB" w:eastAsia="en-US"/>
        </w:rPr>
      </w:pPr>
      <w:r w:rsidRPr="008124C3">
        <w:rPr>
          <w:rFonts w:ascii="Calibri" w:eastAsia="Calibri" w:hAnsi="Calibri" w:cs="Calibri"/>
          <w:sz w:val="24"/>
          <w:lang w:val="en-GB" w:eastAsia="en-US"/>
        </w:rPr>
        <w:lastRenderedPageBreak/>
        <w:t>If no payment is received within 60 days, send a notice of planned reclamation if no payment is received within 30 days.</w:t>
      </w:r>
    </w:p>
    <w:p w14:paraId="5CF36940" w14:textId="77777777" w:rsidR="008124C3" w:rsidRPr="008124C3" w:rsidRDefault="008124C3" w:rsidP="003A0020">
      <w:pPr>
        <w:numPr>
          <w:ilvl w:val="0"/>
          <w:numId w:val="46"/>
        </w:numPr>
        <w:tabs>
          <w:tab w:val="left" w:pos="1134"/>
        </w:tabs>
        <w:spacing w:after="160" w:line="259" w:lineRule="auto"/>
        <w:ind w:left="1134" w:hanging="425"/>
        <w:rPr>
          <w:rFonts w:ascii="Calibri" w:eastAsia="Calibri" w:hAnsi="Calibri" w:cs="Calibri"/>
          <w:sz w:val="24"/>
          <w:lang w:val="en-GB" w:eastAsia="en-US"/>
        </w:rPr>
      </w:pPr>
      <w:r w:rsidRPr="008124C3">
        <w:rPr>
          <w:rFonts w:ascii="Calibri" w:eastAsia="Calibri" w:hAnsi="Calibri" w:cs="Calibri"/>
          <w:sz w:val="24"/>
          <w:lang w:val="en-GB" w:eastAsia="en-US"/>
        </w:rPr>
        <w:t>If no payment is received within 30 days, reclaim the resource (a notification of reclamation is sent to the assignee and the reclamation is published in the Operational Bulletin).</w:t>
      </w:r>
    </w:p>
    <w:p w14:paraId="507CC10C" w14:textId="127C003F" w:rsidR="008124C3" w:rsidRPr="007B672D" w:rsidRDefault="007B672D" w:rsidP="00C56A03">
      <w:pPr>
        <w:spacing w:after="160" w:line="259" w:lineRule="auto"/>
        <w:rPr>
          <w:rFonts w:ascii="Calibri" w:eastAsia="Calibri" w:hAnsi="Calibri" w:cs="Calibri"/>
          <w:sz w:val="24"/>
          <w:u w:val="single"/>
          <w:lang w:val="en-GB" w:eastAsia="en-US"/>
        </w:rPr>
      </w:pPr>
      <w:r w:rsidRPr="007B672D">
        <w:rPr>
          <w:rFonts w:ascii="Calibri" w:eastAsia="Calibri" w:hAnsi="Calibri" w:cs="Calibri"/>
          <w:sz w:val="24"/>
          <w:u w:val="single"/>
          <w:lang w:val="en-GB" w:eastAsia="en-US"/>
        </w:rPr>
        <w:t>C</w:t>
      </w:r>
      <w:r w:rsidR="008124C3" w:rsidRPr="007B672D">
        <w:rPr>
          <w:rFonts w:ascii="Calibri" w:eastAsia="Calibri" w:hAnsi="Calibri" w:cs="Calibri"/>
          <w:sz w:val="24"/>
          <w:u w:val="single"/>
          <w:lang w:val="en-GB" w:eastAsia="en-US"/>
        </w:rPr>
        <w:t>onclusion</w:t>
      </w:r>
    </w:p>
    <w:p w14:paraId="5D06DA0D" w14:textId="1E2B9C3E" w:rsidR="008124C3" w:rsidRPr="008124C3" w:rsidRDefault="007B672D" w:rsidP="008124C3">
      <w:pPr>
        <w:spacing w:after="160" w:line="259" w:lineRule="auto"/>
        <w:rPr>
          <w:rFonts w:ascii="Calibri" w:eastAsia="Calibri" w:hAnsi="Calibri" w:cs="Calibri"/>
          <w:sz w:val="24"/>
          <w:lang w:val="en-GB" w:eastAsia="en-US"/>
        </w:rPr>
      </w:pPr>
      <w:r>
        <w:rPr>
          <w:rFonts w:ascii="Calibri" w:eastAsia="Calibri" w:hAnsi="Calibri" w:cs="Calibri"/>
          <w:sz w:val="24"/>
          <w:lang w:val="en-GB" w:eastAsia="en-US"/>
        </w:rPr>
        <w:t>9.16</w:t>
      </w:r>
      <w:r>
        <w:rPr>
          <w:rFonts w:ascii="Calibri" w:eastAsia="Calibri" w:hAnsi="Calibri" w:cs="Calibri"/>
          <w:sz w:val="24"/>
          <w:lang w:val="en-GB" w:eastAsia="en-US"/>
        </w:rPr>
        <w:tab/>
      </w:r>
      <w:r w:rsidR="008124C3" w:rsidRPr="008124C3">
        <w:rPr>
          <w:rFonts w:ascii="Calibri" w:eastAsia="Calibri" w:hAnsi="Calibri" w:cs="Calibri"/>
          <w:sz w:val="24"/>
          <w:lang w:val="en-GB" w:eastAsia="en-US"/>
        </w:rPr>
        <w:t xml:space="preserve">The TSB Director consulted with internal ITU departments, including the </w:t>
      </w:r>
      <w:r w:rsidR="00F87329">
        <w:rPr>
          <w:rFonts w:ascii="Calibri" w:eastAsia="Calibri" w:hAnsi="Calibri" w:cs="Calibri"/>
          <w:sz w:val="24"/>
          <w:lang w:val="en-GB" w:eastAsia="en-US"/>
        </w:rPr>
        <w:t>Financial Resources Management Department.</w:t>
      </w:r>
      <w:r w:rsidR="008124C3" w:rsidRPr="008124C3">
        <w:rPr>
          <w:rFonts w:ascii="Calibri" w:eastAsia="Calibri" w:hAnsi="Calibri" w:cs="Calibri"/>
          <w:sz w:val="24"/>
          <w:lang w:val="en-GB" w:eastAsia="en-US"/>
        </w:rPr>
        <w:t xml:space="preserve"> The proposed advice and elements in section 2 of this document were considered useful as they give a clear basis to deal with non-payment issues related to numbering resources.</w:t>
      </w:r>
    </w:p>
    <w:p w14:paraId="6AE81137" w14:textId="0F0C321E" w:rsidR="008124C3" w:rsidRPr="008124C3" w:rsidRDefault="007B672D" w:rsidP="008124C3">
      <w:pPr>
        <w:spacing w:after="160" w:line="259" w:lineRule="auto"/>
        <w:rPr>
          <w:rFonts w:ascii="Calibri" w:eastAsia="Calibri" w:hAnsi="Calibri" w:cs="Calibri"/>
          <w:sz w:val="24"/>
          <w:lang w:val="en-GB" w:eastAsia="en-US"/>
        </w:rPr>
      </w:pPr>
      <w:r>
        <w:rPr>
          <w:rFonts w:ascii="Calibri" w:eastAsia="Calibri" w:hAnsi="Calibri" w:cs="Calibri"/>
          <w:sz w:val="24"/>
          <w:lang w:val="en-GB" w:eastAsia="en-US"/>
        </w:rPr>
        <w:t>9.17</w:t>
      </w:r>
      <w:r>
        <w:rPr>
          <w:rFonts w:ascii="Calibri" w:eastAsia="Calibri" w:hAnsi="Calibri" w:cs="Calibri"/>
          <w:sz w:val="24"/>
          <w:lang w:val="en-GB" w:eastAsia="en-US"/>
        </w:rPr>
        <w:tab/>
      </w:r>
      <w:r w:rsidR="00F87329">
        <w:rPr>
          <w:rFonts w:ascii="Calibri" w:eastAsia="Calibri" w:hAnsi="Calibri" w:cs="Calibri"/>
          <w:sz w:val="24"/>
          <w:lang w:val="en-GB" w:eastAsia="en-US"/>
        </w:rPr>
        <w:t>The Financial Resources Management Department</w:t>
      </w:r>
      <w:r w:rsidR="00F87329" w:rsidRPr="008124C3">
        <w:rPr>
          <w:rFonts w:ascii="Calibri" w:eastAsia="Calibri" w:hAnsi="Calibri" w:cs="Calibri"/>
          <w:sz w:val="24"/>
          <w:lang w:val="en-GB" w:eastAsia="en-US"/>
        </w:rPr>
        <w:t xml:space="preserve"> </w:t>
      </w:r>
      <w:r w:rsidR="008124C3" w:rsidRPr="008124C3">
        <w:rPr>
          <w:rFonts w:ascii="Calibri" w:eastAsia="Calibri" w:hAnsi="Calibri" w:cs="Calibri"/>
          <w:sz w:val="24"/>
          <w:lang w:val="en-GB" w:eastAsia="en-US"/>
        </w:rPr>
        <w:t>would apply the timeframes mentioned above in its billing system when collecting revenue for INRs. This approach helps to ensure consistent and efficient implementation.</w:t>
      </w:r>
    </w:p>
    <w:p w14:paraId="63E96BC8" w14:textId="068B54B5" w:rsidR="008124C3" w:rsidRPr="008124C3" w:rsidRDefault="007B672D" w:rsidP="008124C3">
      <w:pPr>
        <w:spacing w:after="160" w:line="259" w:lineRule="auto"/>
        <w:rPr>
          <w:rFonts w:ascii="Calibri" w:eastAsia="Calibri" w:hAnsi="Calibri" w:cs="Calibri"/>
          <w:sz w:val="24"/>
          <w:lang w:val="en-GB" w:eastAsia="en-US"/>
        </w:rPr>
      </w:pPr>
      <w:r>
        <w:rPr>
          <w:rFonts w:ascii="Calibri" w:eastAsia="Calibri" w:hAnsi="Calibri" w:cs="Calibri"/>
          <w:sz w:val="24"/>
          <w:lang w:val="en-GB" w:eastAsia="en-US"/>
        </w:rPr>
        <w:t>9.18</w:t>
      </w:r>
      <w:r>
        <w:rPr>
          <w:rFonts w:ascii="Calibri" w:eastAsia="Calibri" w:hAnsi="Calibri" w:cs="Calibri"/>
          <w:sz w:val="24"/>
          <w:lang w:val="en-GB" w:eastAsia="en-US"/>
        </w:rPr>
        <w:tab/>
      </w:r>
      <w:r w:rsidR="00F87329">
        <w:rPr>
          <w:rFonts w:ascii="Calibri" w:eastAsia="Calibri" w:hAnsi="Calibri" w:cs="Calibri"/>
          <w:sz w:val="24"/>
          <w:lang w:val="en-GB" w:eastAsia="en-US"/>
        </w:rPr>
        <w:t>One delegate a</w:t>
      </w:r>
      <w:r w:rsidR="008124C3" w:rsidRPr="008124C3">
        <w:rPr>
          <w:rFonts w:ascii="Calibri" w:eastAsia="Calibri" w:hAnsi="Calibri" w:cs="Calibri"/>
          <w:sz w:val="24"/>
          <w:lang w:val="en-GB" w:eastAsia="en-US"/>
        </w:rPr>
        <w:t>sked to clarify the current process to handle non-payment and how SG2 experts' advice would help in the future?</w:t>
      </w:r>
    </w:p>
    <w:p w14:paraId="0CD8BACA" w14:textId="5E5ED4A2" w:rsidR="008124C3" w:rsidRPr="008124C3" w:rsidRDefault="007B672D" w:rsidP="008124C3">
      <w:pPr>
        <w:spacing w:after="160" w:line="259" w:lineRule="auto"/>
        <w:rPr>
          <w:rFonts w:ascii="Calibri" w:eastAsia="Calibri" w:hAnsi="Calibri" w:cs="Calibri"/>
          <w:sz w:val="24"/>
          <w:lang w:val="en-GB" w:eastAsia="en-US"/>
        </w:rPr>
      </w:pPr>
      <w:r>
        <w:rPr>
          <w:rFonts w:ascii="Calibri" w:eastAsia="Calibri" w:hAnsi="Calibri" w:cs="Calibri"/>
          <w:sz w:val="24"/>
          <w:lang w:val="en-GB" w:eastAsia="en-US"/>
        </w:rPr>
        <w:t>9.19</w:t>
      </w:r>
      <w:r>
        <w:rPr>
          <w:rFonts w:ascii="Calibri" w:eastAsia="Calibri" w:hAnsi="Calibri" w:cs="Calibri"/>
          <w:sz w:val="24"/>
          <w:lang w:val="en-GB" w:eastAsia="en-US"/>
        </w:rPr>
        <w:tab/>
      </w:r>
      <w:r w:rsidR="008124C3" w:rsidRPr="008124C3">
        <w:rPr>
          <w:rFonts w:ascii="Calibri" w:eastAsia="Calibri" w:hAnsi="Calibri" w:cs="Calibri"/>
          <w:sz w:val="24"/>
          <w:lang w:val="en-GB" w:eastAsia="en-US"/>
        </w:rPr>
        <w:t xml:space="preserve">The secretariat clarified that the process to date consisted of working with Member States to encourage operators to pay their dues (Annex B of </w:t>
      </w:r>
      <w:r w:rsidR="00F87329">
        <w:rPr>
          <w:rFonts w:ascii="Calibri" w:eastAsia="Calibri" w:hAnsi="Calibri" w:cs="Calibri"/>
          <w:sz w:val="24"/>
          <w:lang w:val="en-GB" w:eastAsia="en-US"/>
        </w:rPr>
        <w:t>d</w:t>
      </w:r>
      <w:r w:rsidR="008124C3" w:rsidRPr="008124C3">
        <w:rPr>
          <w:rFonts w:ascii="Calibri" w:eastAsia="Calibri" w:hAnsi="Calibri" w:cs="Calibri"/>
          <w:sz w:val="24"/>
          <w:lang w:val="en-GB" w:eastAsia="en-US"/>
        </w:rPr>
        <w:t xml:space="preserve">ocument </w:t>
      </w:r>
      <w:r w:rsidR="00F87329">
        <w:rPr>
          <w:rFonts w:ascii="Calibri" w:eastAsia="Calibri" w:hAnsi="Calibri" w:cs="Calibri"/>
          <w:sz w:val="24"/>
          <w:lang w:val="en-GB" w:eastAsia="en-US"/>
        </w:rPr>
        <w:t>CWG-FHR-</w:t>
      </w:r>
      <w:r w:rsidR="008124C3" w:rsidRPr="008124C3">
        <w:rPr>
          <w:rFonts w:ascii="Calibri" w:eastAsia="Calibri" w:hAnsi="Calibri" w:cs="Calibri"/>
          <w:sz w:val="24"/>
          <w:lang w:val="en-GB" w:eastAsia="en-US"/>
        </w:rPr>
        <w:t xml:space="preserve">14/6). The secretariat welcomes the advice of ITU-T SG2 to the TSB Director as it provides both TSB and </w:t>
      </w:r>
      <w:r w:rsidR="00F87329">
        <w:rPr>
          <w:rFonts w:ascii="Calibri" w:eastAsia="Calibri" w:hAnsi="Calibri" w:cs="Calibri"/>
          <w:sz w:val="24"/>
          <w:lang w:val="en-GB" w:eastAsia="en-US"/>
        </w:rPr>
        <w:t>the Financial Resources Management Department</w:t>
      </w:r>
      <w:r w:rsidR="008124C3" w:rsidRPr="008124C3">
        <w:rPr>
          <w:rFonts w:ascii="Calibri" w:eastAsia="Calibri" w:hAnsi="Calibri" w:cs="Calibri"/>
          <w:sz w:val="24"/>
          <w:lang w:val="en-GB" w:eastAsia="en-US"/>
        </w:rPr>
        <w:t xml:space="preserve"> with a clear process to remind entities to pay their bills and, in the case of non-payment, to reclaim the INRs.</w:t>
      </w:r>
    </w:p>
    <w:p w14:paraId="449D86E4" w14:textId="4F81FB8E" w:rsidR="00723164" w:rsidRPr="00FE35DD" w:rsidRDefault="007B672D" w:rsidP="00483693">
      <w:pPr>
        <w:tabs>
          <w:tab w:val="left" w:pos="709"/>
        </w:tabs>
        <w:overflowPunct w:val="0"/>
        <w:autoSpaceDE w:val="0"/>
        <w:autoSpaceDN w:val="0"/>
        <w:adjustRightInd w:val="0"/>
        <w:snapToGrid w:val="0"/>
        <w:textAlignment w:val="baseline"/>
        <w:rPr>
          <w:rFonts w:asciiTheme="minorHAnsi" w:hAnsiTheme="minorHAnsi" w:cstheme="minorHAnsi"/>
          <w:sz w:val="24"/>
        </w:rPr>
      </w:pPr>
      <w:r>
        <w:rPr>
          <w:rFonts w:ascii="Calibri" w:eastAsia="Calibri" w:hAnsi="Calibri" w:cs="Calibri"/>
          <w:sz w:val="24"/>
          <w:lang w:val="en-GB" w:eastAsia="en-US"/>
        </w:rPr>
        <w:t>9.20</w:t>
      </w:r>
      <w:r>
        <w:rPr>
          <w:rFonts w:ascii="Calibri" w:eastAsia="Calibri" w:hAnsi="Calibri" w:cs="Calibri"/>
          <w:sz w:val="24"/>
          <w:lang w:val="en-GB" w:eastAsia="en-US"/>
        </w:rPr>
        <w:tab/>
      </w:r>
      <w:r w:rsidR="00F87329">
        <w:rPr>
          <w:rFonts w:ascii="Calibri" w:eastAsia="Calibri" w:hAnsi="Calibri" w:cs="Calibri"/>
          <w:sz w:val="24"/>
          <w:lang w:val="en-GB" w:eastAsia="en-US"/>
        </w:rPr>
        <w:t xml:space="preserve">One delegate </w:t>
      </w:r>
      <w:r w:rsidR="008124C3" w:rsidRPr="008124C3">
        <w:rPr>
          <w:rFonts w:ascii="Calibri" w:eastAsia="Calibri" w:hAnsi="Calibri" w:cs="Calibri"/>
          <w:sz w:val="24"/>
          <w:lang w:val="en-GB" w:eastAsia="en-US"/>
        </w:rPr>
        <w:t xml:space="preserve">proposed to bring the advice from ITU-T SG2 to the TSB Director to the Council for its decision. Such a decision would </w:t>
      </w:r>
      <w:r w:rsidR="00F87329">
        <w:rPr>
          <w:rFonts w:ascii="Calibri" w:eastAsia="Calibri" w:hAnsi="Calibri" w:cs="Calibri"/>
          <w:sz w:val="24"/>
          <w:lang w:val="en-GB" w:eastAsia="en-US"/>
        </w:rPr>
        <w:t xml:space="preserve">assist </w:t>
      </w:r>
      <w:r w:rsidR="008124C3" w:rsidRPr="008124C3">
        <w:rPr>
          <w:rFonts w:ascii="Calibri" w:eastAsia="Calibri" w:hAnsi="Calibri" w:cs="Calibri"/>
          <w:sz w:val="24"/>
          <w:lang w:val="en-GB" w:eastAsia="en-US"/>
        </w:rPr>
        <w:t xml:space="preserve">the secretariat </w:t>
      </w:r>
      <w:r w:rsidR="00F87329">
        <w:rPr>
          <w:rFonts w:ascii="Calibri" w:eastAsia="Calibri" w:hAnsi="Calibri" w:cs="Calibri"/>
          <w:sz w:val="24"/>
          <w:lang w:val="en-GB" w:eastAsia="en-US"/>
        </w:rPr>
        <w:t xml:space="preserve">in </w:t>
      </w:r>
      <w:r w:rsidR="008124C3" w:rsidRPr="008124C3">
        <w:rPr>
          <w:rFonts w:ascii="Calibri" w:eastAsia="Calibri" w:hAnsi="Calibri" w:cs="Calibri"/>
          <w:sz w:val="24"/>
          <w:lang w:val="en-GB" w:eastAsia="en-US"/>
        </w:rPr>
        <w:t>better implement</w:t>
      </w:r>
      <w:r w:rsidR="00F87329">
        <w:rPr>
          <w:rFonts w:ascii="Calibri" w:eastAsia="Calibri" w:hAnsi="Calibri" w:cs="Calibri"/>
          <w:sz w:val="24"/>
          <w:lang w:val="en-GB" w:eastAsia="en-US"/>
        </w:rPr>
        <w:t>ing</w:t>
      </w:r>
      <w:r w:rsidR="008124C3" w:rsidRPr="008124C3">
        <w:rPr>
          <w:rFonts w:ascii="Calibri" w:eastAsia="Calibri" w:hAnsi="Calibri" w:cs="Calibri"/>
          <w:sz w:val="24"/>
          <w:lang w:val="en-GB" w:eastAsia="en-US"/>
        </w:rPr>
        <w:t xml:space="preserve"> </w:t>
      </w:r>
      <w:r w:rsidR="00F87329">
        <w:rPr>
          <w:rFonts w:ascii="Calibri" w:eastAsia="Calibri" w:hAnsi="Calibri" w:cs="Calibri"/>
          <w:sz w:val="24"/>
          <w:lang w:val="en-GB" w:eastAsia="en-US"/>
        </w:rPr>
        <w:t>D</w:t>
      </w:r>
      <w:r w:rsidR="008124C3" w:rsidRPr="008124C3">
        <w:rPr>
          <w:rFonts w:ascii="Calibri" w:eastAsia="Calibri" w:hAnsi="Calibri" w:cs="Calibri"/>
          <w:sz w:val="24"/>
          <w:lang w:val="en-GB" w:eastAsia="en-US"/>
        </w:rPr>
        <w:t>ecisions</w:t>
      </w:r>
      <w:r w:rsidR="00F87329">
        <w:rPr>
          <w:rFonts w:ascii="Calibri" w:eastAsia="Calibri" w:hAnsi="Calibri" w:cs="Calibri"/>
          <w:sz w:val="24"/>
          <w:lang w:val="en-GB" w:eastAsia="en-US"/>
        </w:rPr>
        <w:t> </w:t>
      </w:r>
      <w:r w:rsidR="008124C3" w:rsidRPr="008124C3">
        <w:rPr>
          <w:rFonts w:ascii="Calibri" w:eastAsia="Calibri" w:hAnsi="Calibri" w:cs="Calibri"/>
          <w:sz w:val="24"/>
          <w:lang w:val="en-GB" w:eastAsia="en-US"/>
        </w:rPr>
        <w:t>600</w:t>
      </w:r>
      <w:r w:rsidR="00F87329">
        <w:rPr>
          <w:rFonts w:ascii="Calibri" w:eastAsia="Calibri" w:hAnsi="Calibri" w:cs="Calibri"/>
          <w:sz w:val="24"/>
          <w:lang w:val="en-GB" w:eastAsia="en-US"/>
        </w:rPr>
        <w:t> </w:t>
      </w:r>
      <w:r w:rsidR="008124C3" w:rsidRPr="008124C3">
        <w:rPr>
          <w:rFonts w:ascii="Calibri" w:eastAsia="Calibri" w:hAnsi="Calibri" w:cs="Calibri"/>
          <w:sz w:val="24"/>
          <w:lang w:val="en-GB" w:eastAsia="en-US"/>
        </w:rPr>
        <w:t>and 601</w:t>
      </w:r>
      <w:r w:rsidR="008124C3">
        <w:rPr>
          <w:rFonts w:ascii="Calibri" w:eastAsia="Calibri" w:hAnsi="Calibri" w:cs="Calibri"/>
          <w:sz w:val="24"/>
          <w:lang w:val="en-GB" w:eastAsia="en-US"/>
        </w:rPr>
        <w:t>.</w:t>
      </w:r>
    </w:p>
    <w:p w14:paraId="22B01EC4" w14:textId="77777777" w:rsidR="006F6188" w:rsidRDefault="006F6188" w:rsidP="00290D95">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6F9529DC" w14:textId="31967EF4" w:rsidR="008A53D8" w:rsidRPr="00BD0203" w:rsidRDefault="00DF19B8" w:rsidP="005D2E33">
      <w:pPr>
        <w:snapToGrid w:val="0"/>
        <w:ind w:left="709" w:hanging="709"/>
        <w:rPr>
          <w:rFonts w:asciiTheme="minorHAnsi" w:hAnsiTheme="minorHAnsi" w:cstheme="minorHAnsi"/>
          <w:b/>
          <w:bCs/>
          <w:sz w:val="24"/>
          <w:lang w:val="en-GB" w:eastAsia="en-AU"/>
        </w:rPr>
      </w:pPr>
      <w:r>
        <w:rPr>
          <w:rFonts w:asciiTheme="minorHAnsi" w:hAnsiTheme="minorHAnsi" w:cstheme="minorHAnsi"/>
          <w:b/>
          <w:bCs/>
          <w:sz w:val="24"/>
          <w:lang w:val="en-GB" w:eastAsia="en-AU"/>
        </w:rPr>
        <w:t>10</w:t>
      </w:r>
      <w:r w:rsidR="008A53D8" w:rsidRPr="00BD0203">
        <w:rPr>
          <w:rFonts w:asciiTheme="minorHAnsi" w:hAnsiTheme="minorHAnsi" w:cstheme="minorHAnsi"/>
          <w:b/>
          <w:bCs/>
          <w:sz w:val="24"/>
          <w:lang w:val="en-GB" w:eastAsia="en-AU"/>
        </w:rPr>
        <w:tab/>
        <w:t>Other business</w:t>
      </w:r>
    </w:p>
    <w:p w14:paraId="3EB7558D" w14:textId="4D4A4802" w:rsidR="008A53D8" w:rsidRDefault="008A53D8" w:rsidP="005D2E33">
      <w:pPr>
        <w:snapToGrid w:val="0"/>
        <w:ind w:left="709" w:hanging="709"/>
        <w:rPr>
          <w:rFonts w:asciiTheme="minorHAnsi" w:hAnsiTheme="minorHAnsi" w:cstheme="minorHAnsi"/>
          <w:b/>
          <w:bCs/>
          <w:sz w:val="24"/>
          <w:lang w:val="en-GB" w:eastAsia="en-AU"/>
        </w:rPr>
      </w:pPr>
    </w:p>
    <w:p w14:paraId="6550E98D" w14:textId="6735253F" w:rsidR="00753767" w:rsidRPr="00FE35DD" w:rsidRDefault="00FE35DD" w:rsidP="005D2E33">
      <w:pPr>
        <w:snapToGrid w:val="0"/>
        <w:ind w:left="709" w:hanging="709"/>
        <w:rPr>
          <w:rFonts w:asciiTheme="minorHAnsi" w:hAnsiTheme="minorHAnsi" w:cstheme="minorHAnsi"/>
          <w:sz w:val="24"/>
          <w:lang w:val="en-GB" w:eastAsia="en-AU"/>
        </w:rPr>
      </w:pPr>
      <w:r w:rsidRPr="00FE35DD">
        <w:rPr>
          <w:rFonts w:asciiTheme="minorHAnsi" w:hAnsiTheme="minorHAnsi" w:cstheme="minorHAnsi"/>
          <w:sz w:val="24"/>
          <w:lang w:val="en-GB" w:eastAsia="en-AU"/>
        </w:rPr>
        <w:t>10.1</w:t>
      </w:r>
      <w:r w:rsidRPr="00FE35DD">
        <w:rPr>
          <w:rFonts w:asciiTheme="minorHAnsi" w:hAnsiTheme="minorHAnsi" w:cstheme="minorHAnsi"/>
          <w:sz w:val="24"/>
          <w:lang w:val="en-GB" w:eastAsia="en-AU"/>
        </w:rPr>
        <w:tab/>
      </w:r>
      <w:r w:rsidR="004C6344">
        <w:rPr>
          <w:rFonts w:asciiTheme="minorHAnsi" w:hAnsiTheme="minorHAnsi" w:cstheme="minorHAnsi"/>
          <w:sz w:val="24"/>
          <w:lang w:val="en-GB" w:eastAsia="en-AU"/>
        </w:rPr>
        <w:t>Delegates continued to express their gratitude to Mr. Guillot.</w:t>
      </w:r>
    </w:p>
    <w:p w14:paraId="25FDE065" w14:textId="77777777" w:rsidR="00753767" w:rsidRPr="00BD0203" w:rsidRDefault="00753767" w:rsidP="005D2E33">
      <w:pPr>
        <w:snapToGrid w:val="0"/>
        <w:ind w:left="709" w:hanging="709"/>
        <w:rPr>
          <w:rFonts w:asciiTheme="minorHAnsi" w:hAnsiTheme="minorHAnsi" w:cstheme="minorHAnsi"/>
          <w:b/>
          <w:bCs/>
          <w:sz w:val="24"/>
          <w:lang w:val="en-GB" w:eastAsia="en-AU"/>
        </w:rPr>
      </w:pPr>
    </w:p>
    <w:p w14:paraId="05A9947D" w14:textId="44FD5388" w:rsidR="008A53D8" w:rsidRPr="00BD0203" w:rsidRDefault="00DF19B8" w:rsidP="005D2E33">
      <w:pPr>
        <w:snapToGrid w:val="0"/>
        <w:ind w:left="709" w:hanging="709"/>
        <w:rPr>
          <w:rFonts w:asciiTheme="minorHAnsi" w:hAnsiTheme="minorHAnsi" w:cstheme="minorHAnsi"/>
          <w:b/>
          <w:bCs/>
          <w:sz w:val="24"/>
          <w:lang w:val="en-GB" w:eastAsia="en-AU"/>
        </w:rPr>
      </w:pPr>
      <w:r>
        <w:rPr>
          <w:rFonts w:asciiTheme="minorHAnsi" w:hAnsiTheme="minorHAnsi" w:cstheme="minorHAnsi"/>
          <w:b/>
          <w:bCs/>
          <w:sz w:val="24"/>
          <w:lang w:val="en-GB" w:eastAsia="en-AU"/>
        </w:rPr>
        <w:t>11</w:t>
      </w:r>
      <w:r w:rsidR="008A53D8" w:rsidRPr="00BD0203">
        <w:rPr>
          <w:rFonts w:asciiTheme="minorHAnsi" w:hAnsiTheme="minorHAnsi" w:cstheme="minorHAnsi"/>
          <w:b/>
          <w:bCs/>
          <w:sz w:val="24"/>
          <w:lang w:val="en-GB" w:eastAsia="en-AU"/>
        </w:rPr>
        <w:tab/>
        <w:t>Next meeting</w:t>
      </w:r>
    </w:p>
    <w:p w14:paraId="110617C6" w14:textId="6A401AD3" w:rsidR="008A53D8" w:rsidRDefault="008A53D8" w:rsidP="005D2E33">
      <w:pPr>
        <w:snapToGrid w:val="0"/>
        <w:ind w:left="709" w:hanging="709"/>
        <w:rPr>
          <w:rFonts w:asciiTheme="minorHAnsi" w:hAnsiTheme="minorHAnsi" w:cstheme="minorHAnsi"/>
          <w:b/>
          <w:bCs/>
          <w:sz w:val="24"/>
          <w:lang w:val="en-GB" w:eastAsia="en-AU"/>
        </w:rPr>
      </w:pPr>
    </w:p>
    <w:p w14:paraId="326F7874" w14:textId="311A789B" w:rsidR="00FE35DD" w:rsidRPr="00FE35DD" w:rsidRDefault="00FE35DD" w:rsidP="005D2E33">
      <w:pPr>
        <w:snapToGrid w:val="0"/>
        <w:ind w:left="709" w:hanging="709"/>
        <w:rPr>
          <w:rFonts w:asciiTheme="minorHAnsi" w:hAnsiTheme="minorHAnsi" w:cstheme="minorHAnsi"/>
          <w:sz w:val="24"/>
          <w:lang w:val="en-GB" w:eastAsia="en-AU"/>
        </w:rPr>
      </w:pPr>
      <w:r w:rsidRPr="00FE35DD">
        <w:rPr>
          <w:rFonts w:asciiTheme="minorHAnsi" w:hAnsiTheme="minorHAnsi" w:cstheme="minorHAnsi"/>
          <w:sz w:val="24"/>
          <w:lang w:val="en-GB" w:eastAsia="en-AU"/>
        </w:rPr>
        <w:t>11.1</w:t>
      </w:r>
      <w:r w:rsidRPr="00FE35DD">
        <w:rPr>
          <w:rFonts w:asciiTheme="minorHAnsi" w:hAnsiTheme="minorHAnsi" w:cstheme="minorHAnsi"/>
          <w:sz w:val="24"/>
          <w:lang w:val="en-GB" w:eastAsia="en-AU"/>
        </w:rPr>
        <w:tab/>
      </w:r>
      <w:r w:rsidR="003A3142">
        <w:rPr>
          <w:rFonts w:asciiTheme="minorHAnsi" w:hAnsiTheme="minorHAnsi" w:cstheme="minorHAnsi"/>
          <w:sz w:val="24"/>
          <w:lang w:val="en-GB" w:eastAsia="en-AU"/>
        </w:rPr>
        <w:t xml:space="preserve">The </w:t>
      </w:r>
      <w:r w:rsidR="00D42C56">
        <w:rPr>
          <w:rFonts w:asciiTheme="minorHAnsi" w:hAnsiTheme="minorHAnsi" w:cstheme="minorHAnsi"/>
          <w:sz w:val="24"/>
          <w:lang w:val="en-GB" w:eastAsia="en-AU"/>
        </w:rPr>
        <w:t xml:space="preserve">next </w:t>
      </w:r>
      <w:r w:rsidR="003A3142">
        <w:rPr>
          <w:rFonts w:asciiTheme="minorHAnsi" w:hAnsiTheme="minorHAnsi" w:cstheme="minorHAnsi"/>
          <w:sz w:val="24"/>
          <w:lang w:val="en-GB" w:eastAsia="en-AU"/>
        </w:rPr>
        <w:t>meeting of CWG-FHR will take place on 11 and 12 January 2022.</w:t>
      </w:r>
    </w:p>
    <w:p w14:paraId="0CB13293" w14:textId="4407CA34" w:rsidR="00CF68E6" w:rsidRPr="00BD0203" w:rsidRDefault="00CF68E6" w:rsidP="00CF68E6">
      <w:pPr>
        <w:snapToGrid w:val="0"/>
        <w:spacing w:before="840"/>
        <w:ind w:left="709" w:hanging="709"/>
        <w:jc w:val="center"/>
        <w:rPr>
          <w:rFonts w:asciiTheme="minorHAnsi" w:hAnsiTheme="minorHAnsi" w:cstheme="minorHAnsi"/>
          <w:sz w:val="24"/>
          <w:lang w:val="en-GB" w:eastAsia="en-AU"/>
        </w:rPr>
      </w:pPr>
      <w:r w:rsidRPr="00BD0203">
        <w:rPr>
          <w:rFonts w:asciiTheme="minorHAnsi" w:hAnsiTheme="minorHAnsi" w:cstheme="minorHAnsi"/>
          <w:sz w:val="24"/>
          <w:lang w:val="en-GB" w:eastAsia="en-AU"/>
        </w:rPr>
        <w:t>___________________</w:t>
      </w:r>
    </w:p>
    <w:sectPr w:rsidR="00CF68E6" w:rsidRPr="00BD0203" w:rsidSect="001448FF">
      <w:headerReference w:type="default" r:id="rId28"/>
      <w:footerReference w:type="first" r:id="rId29"/>
      <w:pgSz w:w="11906" w:h="16838" w:code="9"/>
      <w:pgMar w:top="964" w:right="1140" w:bottom="680" w:left="1140" w:header="28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0973" w14:textId="77777777" w:rsidR="006345B0" w:rsidRDefault="006345B0">
      <w:r>
        <w:separator/>
      </w:r>
    </w:p>
  </w:endnote>
  <w:endnote w:type="continuationSeparator" w:id="0">
    <w:p w14:paraId="70595124" w14:textId="77777777" w:rsidR="006345B0" w:rsidRDefault="006345B0">
      <w:r>
        <w:continuationSeparator/>
      </w:r>
    </w:p>
  </w:endnote>
  <w:endnote w:type="continuationNotice" w:id="1">
    <w:p w14:paraId="3F8FBE7A" w14:textId="77777777" w:rsidR="006345B0" w:rsidRDefault="0063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5BA0" w14:textId="77777777" w:rsidR="006345B0" w:rsidRPr="00756E92" w:rsidRDefault="006345B0" w:rsidP="002A1458">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p w14:paraId="5BABB58E" w14:textId="77777777" w:rsidR="006345B0" w:rsidRPr="00756E92" w:rsidRDefault="006345B0" w:rsidP="0075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94D5" w14:textId="77777777" w:rsidR="006345B0" w:rsidRDefault="006345B0">
      <w:r>
        <w:separator/>
      </w:r>
    </w:p>
  </w:footnote>
  <w:footnote w:type="continuationSeparator" w:id="0">
    <w:p w14:paraId="48B01913" w14:textId="77777777" w:rsidR="006345B0" w:rsidRDefault="006345B0">
      <w:r>
        <w:continuationSeparator/>
      </w:r>
    </w:p>
  </w:footnote>
  <w:footnote w:type="continuationNotice" w:id="1">
    <w:p w14:paraId="022C5CBD" w14:textId="77777777" w:rsidR="006345B0" w:rsidRDefault="00634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8173" w14:textId="22F18305" w:rsidR="006345B0" w:rsidRPr="00FE12AF" w:rsidRDefault="006345B0" w:rsidP="002A1458">
    <w:pPr>
      <w:pStyle w:val="Header"/>
      <w:jc w:val="center"/>
      <w:rPr>
        <w:rFonts w:ascii="Calibri" w:hAnsi="Calibri" w:cs="Calibri"/>
        <w:sz w:val="24"/>
      </w:rPr>
    </w:pPr>
    <w:r>
      <w:rPr>
        <w:rFonts w:ascii="Calibri" w:hAnsi="Calibri" w:cs="Calibri"/>
        <w:sz w:val="24"/>
      </w:rPr>
      <w:t>- </w:t>
    </w:r>
    <w:r w:rsidRPr="00FE12AF">
      <w:rPr>
        <w:rFonts w:ascii="Calibri" w:hAnsi="Calibri" w:cs="Calibri"/>
        <w:sz w:val="24"/>
      </w:rPr>
      <w:fldChar w:fldCharType="begin"/>
    </w:r>
    <w:r w:rsidRPr="00FE12AF">
      <w:rPr>
        <w:rFonts w:ascii="Calibri" w:hAnsi="Calibri" w:cs="Calibri"/>
        <w:sz w:val="24"/>
      </w:rPr>
      <w:instrText xml:space="preserve"> PAGE   \* MERGEFORMAT </w:instrText>
    </w:r>
    <w:r w:rsidRPr="00FE12AF">
      <w:rPr>
        <w:rFonts w:ascii="Calibri" w:hAnsi="Calibri" w:cs="Calibri"/>
        <w:sz w:val="24"/>
      </w:rPr>
      <w:fldChar w:fldCharType="separate"/>
    </w:r>
    <w:r w:rsidRPr="00FE12AF">
      <w:rPr>
        <w:rFonts w:ascii="Calibri" w:hAnsi="Calibri" w:cs="Calibri"/>
        <w:noProof/>
        <w:sz w:val="24"/>
      </w:rPr>
      <w:t>2</w:t>
    </w:r>
    <w:r w:rsidRPr="00FE12AF">
      <w:rPr>
        <w:rFonts w:ascii="Calibri" w:hAnsi="Calibri" w:cs="Calibri"/>
        <w:noProof/>
        <w:sz w:val="24"/>
      </w:rPr>
      <w:fldChar w:fldCharType="end"/>
    </w:r>
    <w:r>
      <w:rPr>
        <w:rFonts w:ascii="Calibri" w:hAnsi="Calibri" w:cs="Calibri"/>
        <w:noProof/>
        <w:sz w:val="24"/>
      </w:rPr>
      <w:t> -</w:t>
    </w:r>
  </w:p>
  <w:p w14:paraId="3CCA2AE4" w14:textId="77777777" w:rsidR="006345B0" w:rsidRDefault="0063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122"/>
    <w:multiLevelType w:val="hybridMultilevel"/>
    <w:tmpl w:val="698803F0"/>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E5376"/>
    <w:multiLevelType w:val="hybridMultilevel"/>
    <w:tmpl w:val="29C23A2A"/>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C245E"/>
    <w:multiLevelType w:val="hybridMultilevel"/>
    <w:tmpl w:val="CBB68B3E"/>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17A52"/>
    <w:multiLevelType w:val="hybridMultilevel"/>
    <w:tmpl w:val="AB9E6848"/>
    <w:lvl w:ilvl="0" w:tplc="2ABE339E">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0A8D6CF8"/>
    <w:multiLevelType w:val="hybridMultilevel"/>
    <w:tmpl w:val="78D06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9077A"/>
    <w:multiLevelType w:val="hybridMultilevel"/>
    <w:tmpl w:val="B77A6C08"/>
    <w:lvl w:ilvl="0" w:tplc="D82CCC28">
      <w:start w:val="2"/>
      <w:numFmt w:val="bullet"/>
      <w:lvlText w:val="•"/>
      <w:lvlJc w:val="left"/>
      <w:pPr>
        <w:ind w:left="1069" w:hanging="360"/>
      </w:pPr>
      <w:rPr>
        <w:rFonts w:ascii="Calibri" w:eastAsia="SimSu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0CA250E2"/>
    <w:multiLevelType w:val="hybridMultilevel"/>
    <w:tmpl w:val="4516D5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E062062"/>
    <w:multiLevelType w:val="hybridMultilevel"/>
    <w:tmpl w:val="909E8A2E"/>
    <w:lvl w:ilvl="0" w:tplc="6D48D3B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 w15:restartNumberingAfterBreak="0">
    <w:nsid w:val="11521A6E"/>
    <w:multiLevelType w:val="hybridMultilevel"/>
    <w:tmpl w:val="3D8C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15E6F"/>
    <w:multiLevelType w:val="hybridMultilevel"/>
    <w:tmpl w:val="444EEA5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8701E"/>
    <w:multiLevelType w:val="hybridMultilevel"/>
    <w:tmpl w:val="08087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A1D8C"/>
    <w:multiLevelType w:val="hybridMultilevel"/>
    <w:tmpl w:val="822C3626"/>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39C42F8"/>
    <w:multiLevelType w:val="hybridMultilevel"/>
    <w:tmpl w:val="217CE736"/>
    <w:lvl w:ilvl="0" w:tplc="29946834">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24C42F5B"/>
    <w:multiLevelType w:val="hybridMultilevel"/>
    <w:tmpl w:val="6838C3F8"/>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93365"/>
    <w:multiLevelType w:val="hybridMultilevel"/>
    <w:tmpl w:val="A88A1FA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1E6940"/>
    <w:multiLevelType w:val="hybridMultilevel"/>
    <w:tmpl w:val="FCE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9193A"/>
    <w:multiLevelType w:val="hybridMultilevel"/>
    <w:tmpl w:val="B6D2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D5D9B"/>
    <w:multiLevelType w:val="hybridMultilevel"/>
    <w:tmpl w:val="4B7AF3C4"/>
    <w:lvl w:ilvl="0" w:tplc="040C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02D6964"/>
    <w:multiLevelType w:val="hybridMultilevel"/>
    <w:tmpl w:val="B7BE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584627"/>
    <w:multiLevelType w:val="hybridMultilevel"/>
    <w:tmpl w:val="2C0C0F74"/>
    <w:lvl w:ilvl="0" w:tplc="97E6FB60">
      <w:start w:val="1"/>
      <w:numFmt w:val="lowerLetter"/>
      <w:lvlText w:val="%1."/>
      <w:lvlJc w:val="left"/>
      <w:pPr>
        <w:ind w:left="1065" w:hanging="360"/>
      </w:pPr>
      <w:rPr>
        <w:rFonts w:hint="default"/>
        <w:color w:val="auto"/>
        <w:u w:val="none"/>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1" w15:restartNumberingAfterBreak="0">
    <w:nsid w:val="393571A2"/>
    <w:multiLevelType w:val="hybridMultilevel"/>
    <w:tmpl w:val="A824D5B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 w15:restartNumberingAfterBreak="0">
    <w:nsid w:val="3C9C6868"/>
    <w:multiLevelType w:val="hybridMultilevel"/>
    <w:tmpl w:val="62501DC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1C739B"/>
    <w:multiLevelType w:val="hybridMultilevel"/>
    <w:tmpl w:val="DB328E5C"/>
    <w:lvl w:ilvl="0" w:tplc="FB4C2A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B66859"/>
    <w:multiLevelType w:val="hybridMultilevel"/>
    <w:tmpl w:val="2EC0EEF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752C3"/>
    <w:multiLevelType w:val="hybridMultilevel"/>
    <w:tmpl w:val="6F7A1FDC"/>
    <w:lvl w:ilvl="0" w:tplc="0809001B">
      <w:start w:val="1"/>
      <w:numFmt w:val="lowerRoman"/>
      <w:lvlText w:val="%1."/>
      <w:lvlJc w:val="right"/>
      <w:pPr>
        <w:tabs>
          <w:tab w:val="num" w:pos="720"/>
        </w:tabs>
        <w:ind w:left="720" w:hanging="360"/>
      </w:pPr>
    </w:lvl>
    <w:lvl w:ilvl="1" w:tplc="3174A32E" w:tentative="1">
      <w:start w:val="1"/>
      <w:numFmt w:val="decimal"/>
      <w:lvlText w:val="%2."/>
      <w:lvlJc w:val="left"/>
      <w:pPr>
        <w:tabs>
          <w:tab w:val="num" w:pos="1440"/>
        </w:tabs>
        <w:ind w:left="1440" w:hanging="360"/>
      </w:pPr>
    </w:lvl>
    <w:lvl w:ilvl="2" w:tplc="98744014" w:tentative="1">
      <w:start w:val="1"/>
      <w:numFmt w:val="decimal"/>
      <w:lvlText w:val="%3."/>
      <w:lvlJc w:val="left"/>
      <w:pPr>
        <w:tabs>
          <w:tab w:val="num" w:pos="2160"/>
        </w:tabs>
        <w:ind w:left="2160" w:hanging="360"/>
      </w:pPr>
    </w:lvl>
    <w:lvl w:ilvl="3" w:tplc="BA34F7F8" w:tentative="1">
      <w:start w:val="1"/>
      <w:numFmt w:val="decimal"/>
      <w:lvlText w:val="%4."/>
      <w:lvlJc w:val="left"/>
      <w:pPr>
        <w:tabs>
          <w:tab w:val="num" w:pos="2880"/>
        </w:tabs>
        <w:ind w:left="2880" w:hanging="360"/>
      </w:pPr>
    </w:lvl>
    <w:lvl w:ilvl="4" w:tplc="95AC69C6" w:tentative="1">
      <w:start w:val="1"/>
      <w:numFmt w:val="decimal"/>
      <w:lvlText w:val="%5."/>
      <w:lvlJc w:val="left"/>
      <w:pPr>
        <w:tabs>
          <w:tab w:val="num" w:pos="3600"/>
        </w:tabs>
        <w:ind w:left="3600" w:hanging="360"/>
      </w:pPr>
    </w:lvl>
    <w:lvl w:ilvl="5" w:tplc="64AC91CA" w:tentative="1">
      <w:start w:val="1"/>
      <w:numFmt w:val="decimal"/>
      <w:lvlText w:val="%6."/>
      <w:lvlJc w:val="left"/>
      <w:pPr>
        <w:tabs>
          <w:tab w:val="num" w:pos="4320"/>
        </w:tabs>
        <w:ind w:left="4320" w:hanging="360"/>
      </w:pPr>
    </w:lvl>
    <w:lvl w:ilvl="6" w:tplc="87B25292" w:tentative="1">
      <w:start w:val="1"/>
      <w:numFmt w:val="decimal"/>
      <w:lvlText w:val="%7."/>
      <w:lvlJc w:val="left"/>
      <w:pPr>
        <w:tabs>
          <w:tab w:val="num" w:pos="5040"/>
        </w:tabs>
        <w:ind w:left="5040" w:hanging="360"/>
      </w:pPr>
    </w:lvl>
    <w:lvl w:ilvl="7" w:tplc="42342DC2" w:tentative="1">
      <w:start w:val="1"/>
      <w:numFmt w:val="decimal"/>
      <w:lvlText w:val="%8."/>
      <w:lvlJc w:val="left"/>
      <w:pPr>
        <w:tabs>
          <w:tab w:val="num" w:pos="5760"/>
        </w:tabs>
        <w:ind w:left="5760" w:hanging="360"/>
      </w:pPr>
    </w:lvl>
    <w:lvl w:ilvl="8" w:tplc="F46C8E2C" w:tentative="1">
      <w:start w:val="1"/>
      <w:numFmt w:val="decimal"/>
      <w:lvlText w:val="%9."/>
      <w:lvlJc w:val="left"/>
      <w:pPr>
        <w:tabs>
          <w:tab w:val="num" w:pos="6480"/>
        </w:tabs>
        <w:ind w:left="6480" w:hanging="360"/>
      </w:pPr>
    </w:lvl>
  </w:abstractNum>
  <w:abstractNum w:abstractNumId="26" w15:restartNumberingAfterBreak="0">
    <w:nsid w:val="4A4C0139"/>
    <w:multiLevelType w:val="hybridMultilevel"/>
    <w:tmpl w:val="296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C7C2C"/>
    <w:multiLevelType w:val="hybridMultilevel"/>
    <w:tmpl w:val="06CC1D6A"/>
    <w:lvl w:ilvl="0" w:tplc="B72A3FCC">
      <w:start w:val="1"/>
      <w:numFmt w:val="lowerLetter"/>
      <w:lvlText w:val="%1."/>
      <w:lvlJc w:val="left"/>
      <w:pPr>
        <w:ind w:left="1065" w:hanging="360"/>
      </w:pPr>
      <w:rPr>
        <w:rFonts w:hint="default"/>
        <w:color w:val="auto"/>
        <w:u w:val="none"/>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8"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077B6"/>
    <w:multiLevelType w:val="hybridMultilevel"/>
    <w:tmpl w:val="967A7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36D5684"/>
    <w:multiLevelType w:val="hybridMultilevel"/>
    <w:tmpl w:val="C0EA6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534B2B"/>
    <w:multiLevelType w:val="hybridMultilevel"/>
    <w:tmpl w:val="7916AD2A"/>
    <w:lvl w:ilvl="0" w:tplc="B80E9A42">
      <w:start w:val="1"/>
      <w:numFmt w:val="bullet"/>
      <w:lvlText w:val=""/>
      <w:lvlJc w:val="left"/>
      <w:pPr>
        <w:ind w:left="360" w:hanging="360"/>
      </w:pPr>
      <w:rPr>
        <w:rFonts w:ascii="Symbol" w:hAnsi="Symbol" w:hint="default"/>
      </w:rPr>
    </w:lvl>
    <w:lvl w:ilvl="1" w:tplc="A398AF32">
      <w:numFmt w:val="bullet"/>
      <w:lvlText w:val="-"/>
      <w:lvlJc w:val="left"/>
      <w:pPr>
        <w:ind w:left="1080" w:hanging="360"/>
      </w:pPr>
      <w:rPr>
        <w:rFonts w:ascii="Times New Roman" w:eastAsiaTheme="minorEastAsia"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952ED7"/>
    <w:multiLevelType w:val="hybridMultilevel"/>
    <w:tmpl w:val="591A9B12"/>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445F70"/>
    <w:multiLevelType w:val="hybridMultilevel"/>
    <w:tmpl w:val="1B1A3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AA6597"/>
    <w:multiLevelType w:val="hybridMultilevel"/>
    <w:tmpl w:val="F7749E6E"/>
    <w:lvl w:ilvl="0" w:tplc="7972747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5BDC5EBD"/>
    <w:multiLevelType w:val="hybridMultilevel"/>
    <w:tmpl w:val="81924A94"/>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F90534"/>
    <w:multiLevelType w:val="hybridMultilevel"/>
    <w:tmpl w:val="A0823D2C"/>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F9788D"/>
    <w:multiLevelType w:val="hybridMultilevel"/>
    <w:tmpl w:val="22E61466"/>
    <w:lvl w:ilvl="0" w:tplc="B80E9A42">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5DF55C15"/>
    <w:multiLevelType w:val="hybridMultilevel"/>
    <w:tmpl w:val="B5EA428C"/>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F37652"/>
    <w:multiLevelType w:val="hybridMultilevel"/>
    <w:tmpl w:val="3CAC089A"/>
    <w:lvl w:ilvl="0" w:tplc="3E1C2F2E">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300855"/>
    <w:multiLevelType w:val="hybridMultilevel"/>
    <w:tmpl w:val="CA94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2" w15:restartNumberingAfterBreak="0">
    <w:nsid w:val="723A7E73"/>
    <w:multiLevelType w:val="hybridMultilevel"/>
    <w:tmpl w:val="56960FF8"/>
    <w:lvl w:ilvl="0" w:tplc="08090011">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3" w15:restartNumberingAfterBreak="0">
    <w:nsid w:val="73AB307B"/>
    <w:multiLevelType w:val="hybridMultilevel"/>
    <w:tmpl w:val="9E767DA4"/>
    <w:lvl w:ilvl="0" w:tplc="9782DE74">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75A81"/>
    <w:multiLevelType w:val="hybridMultilevel"/>
    <w:tmpl w:val="19182302"/>
    <w:lvl w:ilvl="0" w:tplc="080C0011">
      <w:start w:val="1"/>
      <w:numFmt w:val="decimal"/>
      <w:lvlText w:val="%1)"/>
      <w:lvlJc w:val="left"/>
      <w:pPr>
        <w:ind w:left="720" w:hanging="360"/>
      </w:pPr>
    </w:lvl>
    <w:lvl w:ilvl="1" w:tplc="4B0C849C">
      <w:start w:val="1"/>
      <w:numFmt w:val="lowerLetter"/>
      <w:lvlText w:val="%2."/>
      <w:lvlJc w:val="left"/>
      <w:pPr>
        <w:ind w:left="1440" w:hanging="360"/>
      </w:pPr>
      <w:rPr>
        <w:b w:val="0"/>
        <w:bCs w:val="0"/>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5" w15:restartNumberingAfterBreak="0">
    <w:nsid w:val="7A87672A"/>
    <w:multiLevelType w:val="hybridMultilevel"/>
    <w:tmpl w:val="A824D5B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9"/>
  </w:num>
  <w:num w:numId="2">
    <w:abstractNumId w:val="28"/>
  </w:num>
  <w:num w:numId="3">
    <w:abstractNumId w:val="29"/>
  </w:num>
  <w:num w:numId="4">
    <w:abstractNumId w:val="28"/>
  </w:num>
  <w:num w:numId="5">
    <w:abstractNumId w:val="41"/>
  </w:num>
  <w:num w:numId="6">
    <w:abstractNumId w:val="31"/>
  </w:num>
  <w:num w:numId="7">
    <w:abstractNumId w:val="15"/>
  </w:num>
  <w:num w:numId="8">
    <w:abstractNumId w:val="11"/>
  </w:num>
  <w:num w:numId="9">
    <w:abstractNumId w:val="2"/>
  </w:num>
  <w:num w:numId="10">
    <w:abstractNumId w:val="0"/>
  </w:num>
  <w:num w:numId="11">
    <w:abstractNumId w:val="22"/>
  </w:num>
  <w:num w:numId="12">
    <w:abstractNumId w:val="32"/>
  </w:num>
  <w:num w:numId="13">
    <w:abstractNumId w:val="38"/>
  </w:num>
  <w:num w:numId="14">
    <w:abstractNumId w:val="42"/>
  </w:num>
  <w:num w:numId="15">
    <w:abstractNumId w:val="37"/>
  </w:num>
  <w:num w:numId="16">
    <w:abstractNumId w:val="30"/>
  </w:num>
  <w:num w:numId="17">
    <w:abstractNumId w:val="4"/>
  </w:num>
  <w:num w:numId="18">
    <w:abstractNumId w:val="43"/>
  </w:num>
  <w:num w:numId="19">
    <w:abstractNumId w:val="23"/>
  </w:num>
  <w:num w:numId="20">
    <w:abstractNumId w:val="24"/>
  </w:num>
  <w:num w:numId="21">
    <w:abstractNumId w:val="8"/>
  </w:num>
  <w:num w:numId="22">
    <w:abstractNumId w:val="12"/>
  </w:num>
  <w:num w:numId="23">
    <w:abstractNumId w:val="40"/>
  </w:num>
  <w:num w:numId="24">
    <w:abstractNumId w:val="17"/>
  </w:num>
  <w:num w:numId="25">
    <w:abstractNumId w:val="1"/>
  </w:num>
  <w:num w:numId="26">
    <w:abstractNumId w:val="35"/>
  </w:num>
  <w:num w:numId="27">
    <w:abstractNumId w:val="36"/>
  </w:num>
  <w:num w:numId="28">
    <w:abstractNumId w:val="13"/>
  </w:num>
  <w:num w:numId="29">
    <w:abstractNumId w:val="27"/>
  </w:num>
  <w:num w:numId="30">
    <w:abstractNumId w:val="20"/>
  </w:num>
  <w:num w:numId="31">
    <w:abstractNumId w:val="7"/>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5"/>
  </w:num>
  <w:num w:numId="36">
    <w:abstractNumId w:val="39"/>
  </w:num>
  <w:num w:numId="37">
    <w:abstractNumId w:val="6"/>
  </w:num>
  <w:num w:numId="38">
    <w:abstractNumId w:val="16"/>
  </w:num>
  <w:num w:numId="39">
    <w:abstractNumId w:val="26"/>
  </w:num>
  <w:num w:numId="40">
    <w:abstractNumId w:val="34"/>
  </w:num>
  <w:num w:numId="41">
    <w:abstractNumId w:val="5"/>
  </w:num>
  <w:num w:numId="42">
    <w:abstractNumId w:val="25"/>
  </w:num>
  <w:num w:numId="43">
    <w:abstractNumId w:val="14"/>
  </w:num>
  <w:num w:numId="44">
    <w:abstractNumId w:val="18"/>
  </w:num>
  <w:num w:numId="45">
    <w:abstractNumId w:val="33"/>
  </w:num>
  <w:num w:numId="46">
    <w:abstractNumId w:val="10"/>
  </w:num>
  <w:num w:numId="4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6AD"/>
    <w:rsid w:val="000038C4"/>
    <w:rsid w:val="0000522F"/>
    <w:rsid w:val="0000661A"/>
    <w:rsid w:val="00007F7F"/>
    <w:rsid w:val="00010C32"/>
    <w:rsid w:val="00010F48"/>
    <w:rsid w:val="000147CA"/>
    <w:rsid w:val="0001781D"/>
    <w:rsid w:val="0002197D"/>
    <w:rsid w:val="00021DF9"/>
    <w:rsid w:val="00022E91"/>
    <w:rsid w:val="00023FD1"/>
    <w:rsid w:val="0002607F"/>
    <w:rsid w:val="0002623A"/>
    <w:rsid w:val="000264BE"/>
    <w:rsid w:val="000268B0"/>
    <w:rsid w:val="00027767"/>
    <w:rsid w:val="00031460"/>
    <w:rsid w:val="0003282D"/>
    <w:rsid w:val="000334BE"/>
    <w:rsid w:val="00037C59"/>
    <w:rsid w:val="00042A0C"/>
    <w:rsid w:val="00047F0D"/>
    <w:rsid w:val="00052578"/>
    <w:rsid w:val="00052886"/>
    <w:rsid w:val="00052EB0"/>
    <w:rsid w:val="00053C26"/>
    <w:rsid w:val="00053FE3"/>
    <w:rsid w:val="00054724"/>
    <w:rsid w:val="000548E3"/>
    <w:rsid w:val="00057853"/>
    <w:rsid w:val="0006023C"/>
    <w:rsid w:val="00060990"/>
    <w:rsid w:val="00060A89"/>
    <w:rsid w:val="0006108F"/>
    <w:rsid w:val="00061780"/>
    <w:rsid w:val="00065C85"/>
    <w:rsid w:val="00065E3D"/>
    <w:rsid w:val="0006644B"/>
    <w:rsid w:val="00070720"/>
    <w:rsid w:val="00071C7B"/>
    <w:rsid w:val="000720AB"/>
    <w:rsid w:val="00073F35"/>
    <w:rsid w:val="00076C9E"/>
    <w:rsid w:val="0007733F"/>
    <w:rsid w:val="0008010E"/>
    <w:rsid w:val="000811C5"/>
    <w:rsid w:val="0008236A"/>
    <w:rsid w:val="00085DD6"/>
    <w:rsid w:val="000929FF"/>
    <w:rsid w:val="00093ACA"/>
    <w:rsid w:val="00097184"/>
    <w:rsid w:val="000A1688"/>
    <w:rsid w:val="000A30EC"/>
    <w:rsid w:val="000A5071"/>
    <w:rsid w:val="000B4C95"/>
    <w:rsid w:val="000B71AF"/>
    <w:rsid w:val="000C20DC"/>
    <w:rsid w:val="000C2A2E"/>
    <w:rsid w:val="000C2C28"/>
    <w:rsid w:val="000C2DDF"/>
    <w:rsid w:val="000C4839"/>
    <w:rsid w:val="000C5BA2"/>
    <w:rsid w:val="000D1EC9"/>
    <w:rsid w:val="000D746E"/>
    <w:rsid w:val="000E0B2E"/>
    <w:rsid w:val="000E1C8D"/>
    <w:rsid w:val="000E38AA"/>
    <w:rsid w:val="000E6444"/>
    <w:rsid w:val="000E6F49"/>
    <w:rsid w:val="000E738E"/>
    <w:rsid w:val="000F2E67"/>
    <w:rsid w:val="000F366F"/>
    <w:rsid w:val="000F7399"/>
    <w:rsid w:val="000F7587"/>
    <w:rsid w:val="00100766"/>
    <w:rsid w:val="0010077D"/>
    <w:rsid w:val="00100F73"/>
    <w:rsid w:val="00100FFB"/>
    <w:rsid w:val="001012BC"/>
    <w:rsid w:val="0010361A"/>
    <w:rsid w:val="0010375B"/>
    <w:rsid w:val="001054A9"/>
    <w:rsid w:val="00105535"/>
    <w:rsid w:val="001115EA"/>
    <w:rsid w:val="00111A8A"/>
    <w:rsid w:val="0011257B"/>
    <w:rsid w:val="001158FB"/>
    <w:rsid w:val="001164E6"/>
    <w:rsid w:val="001217CF"/>
    <w:rsid w:val="00121D0F"/>
    <w:rsid w:val="00122205"/>
    <w:rsid w:val="0012767B"/>
    <w:rsid w:val="00130BEC"/>
    <w:rsid w:val="001318DE"/>
    <w:rsid w:val="00134251"/>
    <w:rsid w:val="00134FC3"/>
    <w:rsid w:val="0014173E"/>
    <w:rsid w:val="00143AFF"/>
    <w:rsid w:val="001448FF"/>
    <w:rsid w:val="001509F4"/>
    <w:rsid w:val="00151F6B"/>
    <w:rsid w:val="00162B08"/>
    <w:rsid w:val="001668F0"/>
    <w:rsid w:val="0017057A"/>
    <w:rsid w:val="001743A1"/>
    <w:rsid w:val="001837F9"/>
    <w:rsid w:val="00190D19"/>
    <w:rsid w:val="00191861"/>
    <w:rsid w:val="00193826"/>
    <w:rsid w:val="00194AC8"/>
    <w:rsid w:val="001962CD"/>
    <w:rsid w:val="001A1E52"/>
    <w:rsid w:val="001A5DC4"/>
    <w:rsid w:val="001B03F3"/>
    <w:rsid w:val="001B0D22"/>
    <w:rsid w:val="001B17B9"/>
    <w:rsid w:val="001B3FBE"/>
    <w:rsid w:val="001B506B"/>
    <w:rsid w:val="001B5EDA"/>
    <w:rsid w:val="001B63C9"/>
    <w:rsid w:val="001B776D"/>
    <w:rsid w:val="001B7A37"/>
    <w:rsid w:val="001C14B8"/>
    <w:rsid w:val="001C230E"/>
    <w:rsid w:val="001C2863"/>
    <w:rsid w:val="001C36A8"/>
    <w:rsid w:val="001C4440"/>
    <w:rsid w:val="001C533D"/>
    <w:rsid w:val="001D0884"/>
    <w:rsid w:val="001D16E1"/>
    <w:rsid w:val="001D27FE"/>
    <w:rsid w:val="001D31C2"/>
    <w:rsid w:val="001D6882"/>
    <w:rsid w:val="001D69BE"/>
    <w:rsid w:val="001D6BE4"/>
    <w:rsid w:val="001E4BD2"/>
    <w:rsid w:val="001E5885"/>
    <w:rsid w:val="001E5B3B"/>
    <w:rsid w:val="001E7D6D"/>
    <w:rsid w:val="001F2123"/>
    <w:rsid w:val="001F7D49"/>
    <w:rsid w:val="00200486"/>
    <w:rsid w:val="002008A8"/>
    <w:rsid w:val="00200CD5"/>
    <w:rsid w:val="0020676D"/>
    <w:rsid w:val="0020692F"/>
    <w:rsid w:val="002070AD"/>
    <w:rsid w:val="00207123"/>
    <w:rsid w:val="002079BE"/>
    <w:rsid w:val="0021145F"/>
    <w:rsid w:val="00212443"/>
    <w:rsid w:val="002125C7"/>
    <w:rsid w:val="00212BF7"/>
    <w:rsid w:val="00214150"/>
    <w:rsid w:val="00220152"/>
    <w:rsid w:val="0022078A"/>
    <w:rsid w:val="00220E16"/>
    <w:rsid w:val="002228D5"/>
    <w:rsid w:val="00222D1C"/>
    <w:rsid w:val="0022556C"/>
    <w:rsid w:val="002273F0"/>
    <w:rsid w:val="00231E1D"/>
    <w:rsid w:val="0023248B"/>
    <w:rsid w:val="00234D49"/>
    <w:rsid w:val="00236174"/>
    <w:rsid w:val="00241AF3"/>
    <w:rsid w:val="0024200E"/>
    <w:rsid w:val="002427C0"/>
    <w:rsid w:val="00243040"/>
    <w:rsid w:val="00246837"/>
    <w:rsid w:val="00251AC8"/>
    <w:rsid w:val="00252465"/>
    <w:rsid w:val="00253185"/>
    <w:rsid w:val="00253744"/>
    <w:rsid w:val="00255D27"/>
    <w:rsid w:val="0026019F"/>
    <w:rsid w:val="00260923"/>
    <w:rsid w:val="00260D49"/>
    <w:rsid w:val="00261ACE"/>
    <w:rsid w:val="00265269"/>
    <w:rsid w:val="0026646E"/>
    <w:rsid w:val="00266D8D"/>
    <w:rsid w:val="00273E73"/>
    <w:rsid w:val="002773E1"/>
    <w:rsid w:val="0028192B"/>
    <w:rsid w:val="00282172"/>
    <w:rsid w:val="00284237"/>
    <w:rsid w:val="0028438C"/>
    <w:rsid w:val="00287A13"/>
    <w:rsid w:val="00290D95"/>
    <w:rsid w:val="00291555"/>
    <w:rsid w:val="00291F7C"/>
    <w:rsid w:val="00292EB7"/>
    <w:rsid w:val="002A09B4"/>
    <w:rsid w:val="002A1458"/>
    <w:rsid w:val="002A173B"/>
    <w:rsid w:val="002A264E"/>
    <w:rsid w:val="002A6B9A"/>
    <w:rsid w:val="002B03C9"/>
    <w:rsid w:val="002B3B9F"/>
    <w:rsid w:val="002B4498"/>
    <w:rsid w:val="002B4C20"/>
    <w:rsid w:val="002B54EC"/>
    <w:rsid w:val="002B6F25"/>
    <w:rsid w:val="002B7F6E"/>
    <w:rsid w:val="002C5D1C"/>
    <w:rsid w:val="002D0596"/>
    <w:rsid w:val="002D0F7E"/>
    <w:rsid w:val="002E04CE"/>
    <w:rsid w:val="002E581D"/>
    <w:rsid w:val="002E59BD"/>
    <w:rsid w:val="002E5B9B"/>
    <w:rsid w:val="002F150A"/>
    <w:rsid w:val="002F4C7C"/>
    <w:rsid w:val="003010A1"/>
    <w:rsid w:val="0030144F"/>
    <w:rsid w:val="00302584"/>
    <w:rsid w:val="00302B27"/>
    <w:rsid w:val="00304420"/>
    <w:rsid w:val="00306388"/>
    <w:rsid w:val="00307AF2"/>
    <w:rsid w:val="00312766"/>
    <w:rsid w:val="00315C60"/>
    <w:rsid w:val="0031621F"/>
    <w:rsid w:val="00317DCE"/>
    <w:rsid w:val="00332B82"/>
    <w:rsid w:val="00334198"/>
    <w:rsid w:val="003341A5"/>
    <w:rsid w:val="00342898"/>
    <w:rsid w:val="00344CAA"/>
    <w:rsid w:val="00344DC5"/>
    <w:rsid w:val="0034736F"/>
    <w:rsid w:val="00347E04"/>
    <w:rsid w:val="0035524F"/>
    <w:rsid w:val="003573BA"/>
    <w:rsid w:val="00364AE7"/>
    <w:rsid w:val="00366DC6"/>
    <w:rsid w:val="00374C2C"/>
    <w:rsid w:val="0037552B"/>
    <w:rsid w:val="0038108B"/>
    <w:rsid w:val="003821DC"/>
    <w:rsid w:val="003834F8"/>
    <w:rsid w:val="00383568"/>
    <w:rsid w:val="00383935"/>
    <w:rsid w:val="0038562C"/>
    <w:rsid w:val="00390067"/>
    <w:rsid w:val="00391655"/>
    <w:rsid w:val="003917D7"/>
    <w:rsid w:val="00394C20"/>
    <w:rsid w:val="003A0020"/>
    <w:rsid w:val="003A3142"/>
    <w:rsid w:val="003A38A2"/>
    <w:rsid w:val="003A4FC0"/>
    <w:rsid w:val="003B306B"/>
    <w:rsid w:val="003B4FE4"/>
    <w:rsid w:val="003B63AE"/>
    <w:rsid w:val="003C1B04"/>
    <w:rsid w:val="003C441A"/>
    <w:rsid w:val="003D1349"/>
    <w:rsid w:val="003D1F22"/>
    <w:rsid w:val="003D3745"/>
    <w:rsid w:val="003D38E2"/>
    <w:rsid w:val="003D7FD9"/>
    <w:rsid w:val="003E071A"/>
    <w:rsid w:val="003E3E24"/>
    <w:rsid w:val="003E74D8"/>
    <w:rsid w:val="003E7E4F"/>
    <w:rsid w:val="003F0742"/>
    <w:rsid w:val="003F2694"/>
    <w:rsid w:val="003F354E"/>
    <w:rsid w:val="003F36AF"/>
    <w:rsid w:val="003F6014"/>
    <w:rsid w:val="003F7794"/>
    <w:rsid w:val="00401FA7"/>
    <w:rsid w:val="00403A79"/>
    <w:rsid w:val="004049C4"/>
    <w:rsid w:val="00405880"/>
    <w:rsid w:val="00405A0C"/>
    <w:rsid w:val="004061AF"/>
    <w:rsid w:val="00406379"/>
    <w:rsid w:val="00406503"/>
    <w:rsid w:val="00406D07"/>
    <w:rsid w:val="004110D2"/>
    <w:rsid w:val="0041154D"/>
    <w:rsid w:val="00412020"/>
    <w:rsid w:val="00416C2F"/>
    <w:rsid w:val="00417936"/>
    <w:rsid w:val="00422311"/>
    <w:rsid w:val="00423041"/>
    <w:rsid w:val="004232D9"/>
    <w:rsid w:val="00425B40"/>
    <w:rsid w:val="004268D5"/>
    <w:rsid w:val="004303C3"/>
    <w:rsid w:val="00431D53"/>
    <w:rsid w:val="00431EA7"/>
    <w:rsid w:val="00433985"/>
    <w:rsid w:val="00434926"/>
    <w:rsid w:val="0043494A"/>
    <w:rsid w:val="004351D8"/>
    <w:rsid w:val="0043742A"/>
    <w:rsid w:val="00441E09"/>
    <w:rsid w:val="00444193"/>
    <w:rsid w:val="00453636"/>
    <w:rsid w:val="00455626"/>
    <w:rsid w:val="0045624E"/>
    <w:rsid w:val="0045647C"/>
    <w:rsid w:val="00457B00"/>
    <w:rsid w:val="00463A64"/>
    <w:rsid w:val="00471036"/>
    <w:rsid w:val="00473B64"/>
    <w:rsid w:val="004754B5"/>
    <w:rsid w:val="00477A11"/>
    <w:rsid w:val="00480393"/>
    <w:rsid w:val="004812CB"/>
    <w:rsid w:val="00482779"/>
    <w:rsid w:val="00483693"/>
    <w:rsid w:val="004855FD"/>
    <w:rsid w:val="00486CB6"/>
    <w:rsid w:val="004944DB"/>
    <w:rsid w:val="00496213"/>
    <w:rsid w:val="00496E19"/>
    <w:rsid w:val="004A0CD0"/>
    <w:rsid w:val="004A469F"/>
    <w:rsid w:val="004A7FE5"/>
    <w:rsid w:val="004B4403"/>
    <w:rsid w:val="004C1A8E"/>
    <w:rsid w:val="004C1FFF"/>
    <w:rsid w:val="004C2FA6"/>
    <w:rsid w:val="004C4DBE"/>
    <w:rsid w:val="004C53CF"/>
    <w:rsid w:val="004C6344"/>
    <w:rsid w:val="004C72E3"/>
    <w:rsid w:val="004D02FD"/>
    <w:rsid w:val="004D3913"/>
    <w:rsid w:val="004D48DF"/>
    <w:rsid w:val="004D597E"/>
    <w:rsid w:val="004D639C"/>
    <w:rsid w:val="004E2A9A"/>
    <w:rsid w:val="004E50DC"/>
    <w:rsid w:val="004E5922"/>
    <w:rsid w:val="004E59D9"/>
    <w:rsid w:val="004F36FA"/>
    <w:rsid w:val="004F5D70"/>
    <w:rsid w:val="00502CCA"/>
    <w:rsid w:val="00503235"/>
    <w:rsid w:val="005070D4"/>
    <w:rsid w:val="00510FAF"/>
    <w:rsid w:val="00513A75"/>
    <w:rsid w:val="0051532C"/>
    <w:rsid w:val="0051761A"/>
    <w:rsid w:val="00524EF4"/>
    <w:rsid w:val="00530D10"/>
    <w:rsid w:val="005325DA"/>
    <w:rsid w:val="00532C41"/>
    <w:rsid w:val="00533490"/>
    <w:rsid w:val="00533519"/>
    <w:rsid w:val="0053382F"/>
    <w:rsid w:val="00535836"/>
    <w:rsid w:val="005364C3"/>
    <w:rsid w:val="00536CF3"/>
    <w:rsid w:val="0054047D"/>
    <w:rsid w:val="005421E6"/>
    <w:rsid w:val="00545DD0"/>
    <w:rsid w:val="00550582"/>
    <w:rsid w:val="005523DF"/>
    <w:rsid w:val="00552B05"/>
    <w:rsid w:val="00555C6E"/>
    <w:rsid w:val="005629A0"/>
    <w:rsid w:val="00563BC5"/>
    <w:rsid w:val="00566311"/>
    <w:rsid w:val="00566BFF"/>
    <w:rsid w:val="00570FC0"/>
    <w:rsid w:val="00571DB9"/>
    <w:rsid w:val="0057315F"/>
    <w:rsid w:val="00575631"/>
    <w:rsid w:val="0057653D"/>
    <w:rsid w:val="00580921"/>
    <w:rsid w:val="00580A4A"/>
    <w:rsid w:val="00581062"/>
    <w:rsid w:val="005816C5"/>
    <w:rsid w:val="00582047"/>
    <w:rsid w:val="00586ABC"/>
    <w:rsid w:val="005940F0"/>
    <w:rsid w:val="0059492C"/>
    <w:rsid w:val="00595CBF"/>
    <w:rsid w:val="005A000B"/>
    <w:rsid w:val="005A09AC"/>
    <w:rsid w:val="005A09D7"/>
    <w:rsid w:val="005A1C78"/>
    <w:rsid w:val="005A232E"/>
    <w:rsid w:val="005A39BB"/>
    <w:rsid w:val="005A3ABC"/>
    <w:rsid w:val="005A58DC"/>
    <w:rsid w:val="005B231B"/>
    <w:rsid w:val="005B4061"/>
    <w:rsid w:val="005B4DD4"/>
    <w:rsid w:val="005B5D4C"/>
    <w:rsid w:val="005C295A"/>
    <w:rsid w:val="005C3310"/>
    <w:rsid w:val="005C3678"/>
    <w:rsid w:val="005C510E"/>
    <w:rsid w:val="005C51C0"/>
    <w:rsid w:val="005C55D0"/>
    <w:rsid w:val="005C6602"/>
    <w:rsid w:val="005D010A"/>
    <w:rsid w:val="005D07C3"/>
    <w:rsid w:val="005D23BD"/>
    <w:rsid w:val="005D2E33"/>
    <w:rsid w:val="005D55E2"/>
    <w:rsid w:val="005D676E"/>
    <w:rsid w:val="005D7FBC"/>
    <w:rsid w:val="005E00D4"/>
    <w:rsid w:val="005E4B0A"/>
    <w:rsid w:val="005E4E84"/>
    <w:rsid w:val="005E6186"/>
    <w:rsid w:val="005E6248"/>
    <w:rsid w:val="005E63E0"/>
    <w:rsid w:val="005F0248"/>
    <w:rsid w:val="005F0DAC"/>
    <w:rsid w:val="005F153A"/>
    <w:rsid w:val="005F3C9A"/>
    <w:rsid w:val="005F42CA"/>
    <w:rsid w:val="005F43BC"/>
    <w:rsid w:val="005F6E60"/>
    <w:rsid w:val="005F716F"/>
    <w:rsid w:val="005F7189"/>
    <w:rsid w:val="005F7B31"/>
    <w:rsid w:val="005F7C2E"/>
    <w:rsid w:val="006006FD"/>
    <w:rsid w:val="00602355"/>
    <w:rsid w:val="00607480"/>
    <w:rsid w:val="00607F0B"/>
    <w:rsid w:val="00611188"/>
    <w:rsid w:val="0061330E"/>
    <w:rsid w:val="00613CAE"/>
    <w:rsid w:val="00616D37"/>
    <w:rsid w:val="006204DB"/>
    <w:rsid w:val="0062320B"/>
    <w:rsid w:val="00623E67"/>
    <w:rsid w:val="00624887"/>
    <w:rsid w:val="00626262"/>
    <w:rsid w:val="00630805"/>
    <w:rsid w:val="00632E4E"/>
    <w:rsid w:val="006345B0"/>
    <w:rsid w:val="00635161"/>
    <w:rsid w:val="006367B6"/>
    <w:rsid w:val="0064055B"/>
    <w:rsid w:val="00640F05"/>
    <w:rsid w:val="00642B5B"/>
    <w:rsid w:val="006463AB"/>
    <w:rsid w:val="00646805"/>
    <w:rsid w:val="006477FD"/>
    <w:rsid w:val="00651A48"/>
    <w:rsid w:val="00656B2D"/>
    <w:rsid w:val="00664B52"/>
    <w:rsid w:val="00665F5E"/>
    <w:rsid w:val="0066704D"/>
    <w:rsid w:val="00671AA0"/>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1B18"/>
    <w:rsid w:val="006B361F"/>
    <w:rsid w:val="006B39E1"/>
    <w:rsid w:val="006B3C5E"/>
    <w:rsid w:val="006B460D"/>
    <w:rsid w:val="006C080D"/>
    <w:rsid w:val="006C1682"/>
    <w:rsid w:val="006C2B40"/>
    <w:rsid w:val="006C364F"/>
    <w:rsid w:val="006C5D53"/>
    <w:rsid w:val="006C64C6"/>
    <w:rsid w:val="006D18A0"/>
    <w:rsid w:val="006D2E4F"/>
    <w:rsid w:val="006D30E2"/>
    <w:rsid w:val="006D42F1"/>
    <w:rsid w:val="006D5D09"/>
    <w:rsid w:val="006D70C6"/>
    <w:rsid w:val="006E0FF3"/>
    <w:rsid w:val="006E36F1"/>
    <w:rsid w:val="006E39B8"/>
    <w:rsid w:val="006F2163"/>
    <w:rsid w:val="006F2AB5"/>
    <w:rsid w:val="006F5ACB"/>
    <w:rsid w:val="006F6188"/>
    <w:rsid w:val="007003D6"/>
    <w:rsid w:val="0070262F"/>
    <w:rsid w:val="00704271"/>
    <w:rsid w:val="00712740"/>
    <w:rsid w:val="00713A1D"/>
    <w:rsid w:val="007156E4"/>
    <w:rsid w:val="0071580E"/>
    <w:rsid w:val="00717F6C"/>
    <w:rsid w:val="0072067D"/>
    <w:rsid w:val="00721EED"/>
    <w:rsid w:val="00723164"/>
    <w:rsid w:val="007232B3"/>
    <w:rsid w:val="00724630"/>
    <w:rsid w:val="007270D0"/>
    <w:rsid w:val="00727DC2"/>
    <w:rsid w:val="00733871"/>
    <w:rsid w:val="007339D5"/>
    <w:rsid w:val="00734285"/>
    <w:rsid w:val="0074415C"/>
    <w:rsid w:val="00750401"/>
    <w:rsid w:val="00753767"/>
    <w:rsid w:val="00753E4E"/>
    <w:rsid w:val="00756122"/>
    <w:rsid w:val="00756B60"/>
    <w:rsid w:val="00756E92"/>
    <w:rsid w:val="0076010E"/>
    <w:rsid w:val="0076241B"/>
    <w:rsid w:val="00764696"/>
    <w:rsid w:val="0077353C"/>
    <w:rsid w:val="00775A12"/>
    <w:rsid w:val="00776D75"/>
    <w:rsid w:val="00783E51"/>
    <w:rsid w:val="0078643F"/>
    <w:rsid w:val="0079077B"/>
    <w:rsid w:val="00790E9D"/>
    <w:rsid w:val="007944BB"/>
    <w:rsid w:val="0079453B"/>
    <w:rsid w:val="007962C2"/>
    <w:rsid w:val="007969B4"/>
    <w:rsid w:val="00797953"/>
    <w:rsid w:val="00797D46"/>
    <w:rsid w:val="007A0D91"/>
    <w:rsid w:val="007A2CDA"/>
    <w:rsid w:val="007A5462"/>
    <w:rsid w:val="007A54BE"/>
    <w:rsid w:val="007A5722"/>
    <w:rsid w:val="007B1D6C"/>
    <w:rsid w:val="007B3243"/>
    <w:rsid w:val="007B3BF2"/>
    <w:rsid w:val="007B59C9"/>
    <w:rsid w:val="007B672D"/>
    <w:rsid w:val="007B7969"/>
    <w:rsid w:val="007B7E45"/>
    <w:rsid w:val="007C05A7"/>
    <w:rsid w:val="007C102C"/>
    <w:rsid w:val="007C34B0"/>
    <w:rsid w:val="007C47E0"/>
    <w:rsid w:val="007C5CDF"/>
    <w:rsid w:val="007C7752"/>
    <w:rsid w:val="007D65D9"/>
    <w:rsid w:val="007E1149"/>
    <w:rsid w:val="007E33CE"/>
    <w:rsid w:val="007E6398"/>
    <w:rsid w:val="007E754E"/>
    <w:rsid w:val="007E77C1"/>
    <w:rsid w:val="007F1EAE"/>
    <w:rsid w:val="007F5448"/>
    <w:rsid w:val="007F5590"/>
    <w:rsid w:val="007F5CC0"/>
    <w:rsid w:val="007F5F91"/>
    <w:rsid w:val="007F6C7A"/>
    <w:rsid w:val="007F7ECE"/>
    <w:rsid w:val="007F7EDA"/>
    <w:rsid w:val="008002FF"/>
    <w:rsid w:val="00802ED1"/>
    <w:rsid w:val="00803EC9"/>
    <w:rsid w:val="0080441F"/>
    <w:rsid w:val="00804996"/>
    <w:rsid w:val="0080713C"/>
    <w:rsid w:val="0081165B"/>
    <w:rsid w:val="00811AE1"/>
    <w:rsid w:val="008124C3"/>
    <w:rsid w:val="00815174"/>
    <w:rsid w:val="008151AA"/>
    <w:rsid w:val="00816221"/>
    <w:rsid w:val="00816507"/>
    <w:rsid w:val="00820D82"/>
    <w:rsid w:val="00821976"/>
    <w:rsid w:val="0082335C"/>
    <w:rsid w:val="008233F9"/>
    <w:rsid w:val="00831D35"/>
    <w:rsid w:val="0083200C"/>
    <w:rsid w:val="00833784"/>
    <w:rsid w:val="00833DC2"/>
    <w:rsid w:val="00835CD6"/>
    <w:rsid w:val="00836423"/>
    <w:rsid w:val="00840A7A"/>
    <w:rsid w:val="0084292A"/>
    <w:rsid w:val="00842DFD"/>
    <w:rsid w:val="008446CA"/>
    <w:rsid w:val="00844EA2"/>
    <w:rsid w:val="0084622B"/>
    <w:rsid w:val="008476F6"/>
    <w:rsid w:val="00852314"/>
    <w:rsid w:val="00853371"/>
    <w:rsid w:val="0085345F"/>
    <w:rsid w:val="008543CD"/>
    <w:rsid w:val="00861F9C"/>
    <w:rsid w:val="00862631"/>
    <w:rsid w:val="00872804"/>
    <w:rsid w:val="008749C8"/>
    <w:rsid w:val="0088059A"/>
    <w:rsid w:val="00883936"/>
    <w:rsid w:val="00883FE0"/>
    <w:rsid w:val="00885376"/>
    <w:rsid w:val="00887F43"/>
    <w:rsid w:val="00891BFC"/>
    <w:rsid w:val="00893BBD"/>
    <w:rsid w:val="00894A9C"/>
    <w:rsid w:val="00897007"/>
    <w:rsid w:val="008A0AAD"/>
    <w:rsid w:val="008A0B10"/>
    <w:rsid w:val="008A0F72"/>
    <w:rsid w:val="008A17F9"/>
    <w:rsid w:val="008A2445"/>
    <w:rsid w:val="008A292E"/>
    <w:rsid w:val="008A4F01"/>
    <w:rsid w:val="008A53D8"/>
    <w:rsid w:val="008B2C85"/>
    <w:rsid w:val="008B56C2"/>
    <w:rsid w:val="008B672A"/>
    <w:rsid w:val="008C173B"/>
    <w:rsid w:val="008C24BE"/>
    <w:rsid w:val="008C2C8E"/>
    <w:rsid w:val="008D150E"/>
    <w:rsid w:val="008D18C5"/>
    <w:rsid w:val="008D1B8D"/>
    <w:rsid w:val="008D1DB1"/>
    <w:rsid w:val="008D45D6"/>
    <w:rsid w:val="008E27E9"/>
    <w:rsid w:val="008E28FB"/>
    <w:rsid w:val="008E3915"/>
    <w:rsid w:val="008E591D"/>
    <w:rsid w:val="008E74F8"/>
    <w:rsid w:val="008F0348"/>
    <w:rsid w:val="008F736F"/>
    <w:rsid w:val="00901F08"/>
    <w:rsid w:val="00902E96"/>
    <w:rsid w:val="009039E6"/>
    <w:rsid w:val="009060A3"/>
    <w:rsid w:val="0090735D"/>
    <w:rsid w:val="00907AAE"/>
    <w:rsid w:val="00907BC6"/>
    <w:rsid w:val="00907F6E"/>
    <w:rsid w:val="00911D35"/>
    <w:rsid w:val="0091462A"/>
    <w:rsid w:val="009152F8"/>
    <w:rsid w:val="009158E2"/>
    <w:rsid w:val="009165A7"/>
    <w:rsid w:val="0091691F"/>
    <w:rsid w:val="009208B2"/>
    <w:rsid w:val="00921BD2"/>
    <w:rsid w:val="0092268E"/>
    <w:rsid w:val="00923F98"/>
    <w:rsid w:val="009325E5"/>
    <w:rsid w:val="00932DC2"/>
    <w:rsid w:val="00933184"/>
    <w:rsid w:val="00941A79"/>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1F48"/>
    <w:rsid w:val="00973FB5"/>
    <w:rsid w:val="00976E9E"/>
    <w:rsid w:val="00977945"/>
    <w:rsid w:val="00980872"/>
    <w:rsid w:val="00980DE1"/>
    <w:rsid w:val="00981751"/>
    <w:rsid w:val="00981C18"/>
    <w:rsid w:val="0098551C"/>
    <w:rsid w:val="009879D0"/>
    <w:rsid w:val="00990AD9"/>
    <w:rsid w:val="00990CB4"/>
    <w:rsid w:val="00990FC4"/>
    <w:rsid w:val="009914AD"/>
    <w:rsid w:val="009A0436"/>
    <w:rsid w:val="009A5599"/>
    <w:rsid w:val="009A68D0"/>
    <w:rsid w:val="009A7E6E"/>
    <w:rsid w:val="009B08D1"/>
    <w:rsid w:val="009B2CB2"/>
    <w:rsid w:val="009B7A6D"/>
    <w:rsid w:val="009B7F73"/>
    <w:rsid w:val="009C0B27"/>
    <w:rsid w:val="009C38EC"/>
    <w:rsid w:val="009C404B"/>
    <w:rsid w:val="009C53AB"/>
    <w:rsid w:val="009C7808"/>
    <w:rsid w:val="009C7959"/>
    <w:rsid w:val="009D06FA"/>
    <w:rsid w:val="009D6E05"/>
    <w:rsid w:val="009D71BE"/>
    <w:rsid w:val="009E0E57"/>
    <w:rsid w:val="009E6DA4"/>
    <w:rsid w:val="009E788E"/>
    <w:rsid w:val="009F6474"/>
    <w:rsid w:val="00A004BB"/>
    <w:rsid w:val="00A01278"/>
    <w:rsid w:val="00A017C1"/>
    <w:rsid w:val="00A03373"/>
    <w:rsid w:val="00A034D1"/>
    <w:rsid w:val="00A036B8"/>
    <w:rsid w:val="00A0548F"/>
    <w:rsid w:val="00A05AC3"/>
    <w:rsid w:val="00A07D6E"/>
    <w:rsid w:val="00A10925"/>
    <w:rsid w:val="00A10EFD"/>
    <w:rsid w:val="00A10EFE"/>
    <w:rsid w:val="00A12C2C"/>
    <w:rsid w:val="00A14D06"/>
    <w:rsid w:val="00A2103F"/>
    <w:rsid w:val="00A241C3"/>
    <w:rsid w:val="00A26C2E"/>
    <w:rsid w:val="00A26EF2"/>
    <w:rsid w:val="00A316ED"/>
    <w:rsid w:val="00A3221E"/>
    <w:rsid w:val="00A37145"/>
    <w:rsid w:val="00A40EC9"/>
    <w:rsid w:val="00A4220F"/>
    <w:rsid w:val="00A4271C"/>
    <w:rsid w:val="00A4381A"/>
    <w:rsid w:val="00A43E66"/>
    <w:rsid w:val="00A46705"/>
    <w:rsid w:val="00A467F7"/>
    <w:rsid w:val="00A47D6B"/>
    <w:rsid w:val="00A53763"/>
    <w:rsid w:val="00A538E3"/>
    <w:rsid w:val="00A5763D"/>
    <w:rsid w:val="00A57D48"/>
    <w:rsid w:val="00A60890"/>
    <w:rsid w:val="00A609B1"/>
    <w:rsid w:val="00A62722"/>
    <w:rsid w:val="00A654E4"/>
    <w:rsid w:val="00A66A91"/>
    <w:rsid w:val="00A66CCC"/>
    <w:rsid w:val="00A70CB6"/>
    <w:rsid w:val="00A714BD"/>
    <w:rsid w:val="00A76E6D"/>
    <w:rsid w:val="00A77A06"/>
    <w:rsid w:val="00A819C3"/>
    <w:rsid w:val="00A86A12"/>
    <w:rsid w:val="00A8726B"/>
    <w:rsid w:val="00A93C72"/>
    <w:rsid w:val="00A95D42"/>
    <w:rsid w:val="00A962C3"/>
    <w:rsid w:val="00A973E2"/>
    <w:rsid w:val="00A974C7"/>
    <w:rsid w:val="00A9753B"/>
    <w:rsid w:val="00AA33AB"/>
    <w:rsid w:val="00AA5CFE"/>
    <w:rsid w:val="00AB1A29"/>
    <w:rsid w:val="00AC37B1"/>
    <w:rsid w:val="00AC6047"/>
    <w:rsid w:val="00AC7956"/>
    <w:rsid w:val="00AC7966"/>
    <w:rsid w:val="00AD0F41"/>
    <w:rsid w:val="00AD6268"/>
    <w:rsid w:val="00AD7046"/>
    <w:rsid w:val="00AE72AF"/>
    <w:rsid w:val="00AF1F52"/>
    <w:rsid w:val="00AF2C12"/>
    <w:rsid w:val="00AF4FEB"/>
    <w:rsid w:val="00AF50A8"/>
    <w:rsid w:val="00AF5C6B"/>
    <w:rsid w:val="00B012E8"/>
    <w:rsid w:val="00B02AB0"/>
    <w:rsid w:val="00B13CEA"/>
    <w:rsid w:val="00B15C66"/>
    <w:rsid w:val="00B160D0"/>
    <w:rsid w:val="00B16489"/>
    <w:rsid w:val="00B212A4"/>
    <w:rsid w:val="00B22946"/>
    <w:rsid w:val="00B23999"/>
    <w:rsid w:val="00B25573"/>
    <w:rsid w:val="00B31C10"/>
    <w:rsid w:val="00B32122"/>
    <w:rsid w:val="00B3280E"/>
    <w:rsid w:val="00B33E2C"/>
    <w:rsid w:val="00B36FB3"/>
    <w:rsid w:val="00B4273F"/>
    <w:rsid w:val="00B46BB7"/>
    <w:rsid w:val="00B50536"/>
    <w:rsid w:val="00B52617"/>
    <w:rsid w:val="00B548BE"/>
    <w:rsid w:val="00B60E2E"/>
    <w:rsid w:val="00B628B6"/>
    <w:rsid w:val="00B648E7"/>
    <w:rsid w:val="00B660AC"/>
    <w:rsid w:val="00B70A2D"/>
    <w:rsid w:val="00B70AF5"/>
    <w:rsid w:val="00B70B6B"/>
    <w:rsid w:val="00B71491"/>
    <w:rsid w:val="00B72B57"/>
    <w:rsid w:val="00B7485F"/>
    <w:rsid w:val="00B74B43"/>
    <w:rsid w:val="00B758D2"/>
    <w:rsid w:val="00B76EBD"/>
    <w:rsid w:val="00B800CE"/>
    <w:rsid w:val="00B81D14"/>
    <w:rsid w:val="00B83F99"/>
    <w:rsid w:val="00B86879"/>
    <w:rsid w:val="00B915C1"/>
    <w:rsid w:val="00B921B1"/>
    <w:rsid w:val="00B92D6B"/>
    <w:rsid w:val="00B9352F"/>
    <w:rsid w:val="00B96815"/>
    <w:rsid w:val="00B97956"/>
    <w:rsid w:val="00B97A98"/>
    <w:rsid w:val="00BA02C1"/>
    <w:rsid w:val="00BA0F89"/>
    <w:rsid w:val="00BA4B96"/>
    <w:rsid w:val="00BA7BE0"/>
    <w:rsid w:val="00BB09A2"/>
    <w:rsid w:val="00BB0AE6"/>
    <w:rsid w:val="00BB1545"/>
    <w:rsid w:val="00BB16E4"/>
    <w:rsid w:val="00BB21AD"/>
    <w:rsid w:val="00BB46DF"/>
    <w:rsid w:val="00BB4B1A"/>
    <w:rsid w:val="00BB4E09"/>
    <w:rsid w:val="00BB611D"/>
    <w:rsid w:val="00BC1480"/>
    <w:rsid w:val="00BC30E9"/>
    <w:rsid w:val="00BC4228"/>
    <w:rsid w:val="00BD0203"/>
    <w:rsid w:val="00BD5EB1"/>
    <w:rsid w:val="00BD6A33"/>
    <w:rsid w:val="00BD6AF4"/>
    <w:rsid w:val="00BD6DF5"/>
    <w:rsid w:val="00BE175D"/>
    <w:rsid w:val="00BE364F"/>
    <w:rsid w:val="00BE4BC7"/>
    <w:rsid w:val="00BE5EDE"/>
    <w:rsid w:val="00BE71E9"/>
    <w:rsid w:val="00BE7737"/>
    <w:rsid w:val="00BF06CF"/>
    <w:rsid w:val="00BF2CEA"/>
    <w:rsid w:val="00BF3543"/>
    <w:rsid w:val="00BF3A0C"/>
    <w:rsid w:val="00BF5747"/>
    <w:rsid w:val="00C01971"/>
    <w:rsid w:val="00C02CCE"/>
    <w:rsid w:val="00C0350F"/>
    <w:rsid w:val="00C03ACA"/>
    <w:rsid w:val="00C05325"/>
    <w:rsid w:val="00C06D7A"/>
    <w:rsid w:val="00C07674"/>
    <w:rsid w:val="00C077B4"/>
    <w:rsid w:val="00C10210"/>
    <w:rsid w:val="00C13CAA"/>
    <w:rsid w:val="00C13CBB"/>
    <w:rsid w:val="00C16177"/>
    <w:rsid w:val="00C201B9"/>
    <w:rsid w:val="00C24302"/>
    <w:rsid w:val="00C243FF"/>
    <w:rsid w:val="00C25ADC"/>
    <w:rsid w:val="00C25D00"/>
    <w:rsid w:val="00C318C0"/>
    <w:rsid w:val="00C37CB2"/>
    <w:rsid w:val="00C37F17"/>
    <w:rsid w:val="00C40E80"/>
    <w:rsid w:val="00C42E8B"/>
    <w:rsid w:val="00C43031"/>
    <w:rsid w:val="00C4710B"/>
    <w:rsid w:val="00C55EC6"/>
    <w:rsid w:val="00C56A03"/>
    <w:rsid w:val="00C57678"/>
    <w:rsid w:val="00C62850"/>
    <w:rsid w:val="00C62E1A"/>
    <w:rsid w:val="00C632DB"/>
    <w:rsid w:val="00C64BBF"/>
    <w:rsid w:val="00C64EB2"/>
    <w:rsid w:val="00C657EE"/>
    <w:rsid w:val="00C70490"/>
    <w:rsid w:val="00C70729"/>
    <w:rsid w:val="00C71595"/>
    <w:rsid w:val="00C73208"/>
    <w:rsid w:val="00C73FEA"/>
    <w:rsid w:val="00C7455C"/>
    <w:rsid w:val="00C85CA1"/>
    <w:rsid w:val="00C863F7"/>
    <w:rsid w:val="00C869C5"/>
    <w:rsid w:val="00C86BA0"/>
    <w:rsid w:val="00C9084A"/>
    <w:rsid w:val="00C92514"/>
    <w:rsid w:val="00C93B0C"/>
    <w:rsid w:val="00C95E55"/>
    <w:rsid w:val="00CA05AD"/>
    <w:rsid w:val="00CA0720"/>
    <w:rsid w:val="00CA120F"/>
    <w:rsid w:val="00CA151D"/>
    <w:rsid w:val="00CA2A06"/>
    <w:rsid w:val="00CA3CB2"/>
    <w:rsid w:val="00CA3F8B"/>
    <w:rsid w:val="00CA5798"/>
    <w:rsid w:val="00CA59F0"/>
    <w:rsid w:val="00CA6F1A"/>
    <w:rsid w:val="00CB000D"/>
    <w:rsid w:val="00CB0190"/>
    <w:rsid w:val="00CB2620"/>
    <w:rsid w:val="00CB3D5E"/>
    <w:rsid w:val="00CB5E62"/>
    <w:rsid w:val="00CB6567"/>
    <w:rsid w:val="00CB7510"/>
    <w:rsid w:val="00CB7672"/>
    <w:rsid w:val="00CB7CCD"/>
    <w:rsid w:val="00CC2C8B"/>
    <w:rsid w:val="00CC597D"/>
    <w:rsid w:val="00CC69B6"/>
    <w:rsid w:val="00CD01A7"/>
    <w:rsid w:val="00CD04E4"/>
    <w:rsid w:val="00CD098D"/>
    <w:rsid w:val="00CD4382"/>
    <w:rsid w:val="00CD5BD4"/>
    <w:rsid w:val="00CD605A"/>
    <w:rsid w:val="00CD6E42"/>
    <w:rsid w:val="00CE036F"/>
    <w:rsid w:val="00CE22E3"/>
    <w:rsid w:val="00CE4346"/>
    <w:rsid w:val="00CE5449"/>
    <w:rsid w:val="00CF049D"/>
    <w:rsid w:val="00CF0CDE"/>
    <w:rsid w:val="00CF1CD3"/>
    <w:rsid w:val="00CF3EA5"/>
    <w:rsid w:val="00CF4C38"/>
    <w:rsid w:val="00CF68E6"/>
    <w:rsid w:val="00CF6F28"/>
    <w:rsid w:val="00D02CC5"/>
    <w:rsid w:val="00D03809"/>
    <w:rsid w:val="00D03FE6"/>
    <w:rsid w:val="00D05C32"/>
    <w:rsid w:val="00D078F2"/>
    <w:rsid w:val="00D13E8A"/>
    <w:rsid w:val="00D14744"/>
    <w:rsid w:val="00D15326"/>
    <w:rsid w:val="00D15F1E"/>
    <w:rsid w:val="00D1632D"/>
    <w:rsid w:val="00D24CF3"/>
    <w:rsid w:val="00D35A9D"/>
    <w:rsid w:val="00D35FC7"/>
    <w:rsid w:val="00D42C56"/>
    <w:rsid w:val="00D44B7E"/>
    <w:rsid w:val="00D44BB2"/>
    <w:rsid w:val="00D45050"/>
    <w:rsid w:val="00D452A3"/>
    <w:rsid w:val="00D46175"/>
    <w:rsid w:val="00D50491"/>
    <w:rsid w:val="00D5205D"/>
    <w:rsid w:val="00D52814"/>
    <w:rsid w:val="00D548B3"/>
    <w:rsid w:val="00D54C7C"/>
    <w:rsid w:val="00D55BA5"/>
    <w:rsid w:val="00D565B5"/>
    <w:rsid w:val="00D56BEF"/>
    <w:rsid w:val="00D57D04"/>
    <w:rsid w:val="00D60A90"/>
    <w:rsid w:val="00D626A2"/>
    <w:rsid w:val="00D65D0F"/>
    <w:rsid w:val="00D67FAE"/>
    <w:rsid w:val="00D70819"/>
    <w:rsid w:val="00D70C72"/>
    <w:rsid w:val="00D70EE0"/>
    <w:rsid w:val="00D73265"/>
    <w:rsid w:val="00D824F8"/>
    <w:rsid w:val="00D82F11"/>
    <w:rsid w:val="00D834CC"/>
    <w:rsid w:val="00D84DFB"/>
    <w:rsid w:val="00D8573B"/>
    <w:rsid w:val="00D914A7"/>
    <w:rsid w:val="00D91684"/>
    <w:rsid w:val="00D93F41"/>
    <w:rsid w:val="00D96222"/>
    <w:rsid w:val="00D97342"/>
    <w:rsid w:val="00D97EE0"/>
    <w:rsid w:val="00DA0B97"/>
    <w:rsid w:val="00DA256F"/>
    <w:rsid w:val="00DA2A5C"/>
    <w:rsid w:val="00DA41B8"/>
    <w:rsid w:val="00DA5BBE"/>
    <w:rsid w:val="00DA6682"/>
    <w:rsid w:val="00DA6BFD"/>
    <w:rsid w:val="00DAE366"/>
    <w:rsid w:val="00DB00C3"/>
    <w:rsid w:val="00DB054A"/>
    <w:rsid w:val="00DB37C3"/>
    <w:rsid w:val="00DB5C1D"/>
    <w:rsid w:val="00DB6291"/>
    <w:rsid w:val="00DB701F"/>
    <w:rsid w:val="00DC5155"/>
    <w:rsid w:val="00DC740F"/>
    <w:rsid w:val="00DC7AEA"/>
    <w:rsid w:val="00DD0E84"/>
    <w:rsid w:val="00DD0F20"/>
    <w:rsid w:val="00DD4270"/>
    <w:rsid w:val="00DD551F"/>
    <w:rsid w:val="00DD7F74"/>
    <w:rsid w:val="00DE0161"/>
    <w:rsid w:val="00DE0223"/>
    <w:rsid w:val="00DE0493"/>
    <w:rsid w:val="00DE2E35"/>
    <w:rsid w:val="00DE6AB7"/>
    <w:rsid w:val="00DF14CB"/>
    <w:rsid w:val="00DF19B8"/>
    <w:rsid w:val="00DF7B4D"/>
    <w:rsid w:val="00E00223"/>
    <w:rsid w:val="00E01D38"/>
    <w:rsid w:val="00E023F8"/>
    <w:rsid w:val="00E02AF4"/>
    <w:rsid w:val="00E03D90"/>
    <w:rsid w:val="00E04BBC"/>
    <w:rsid w:val="00E055B7"/>
    <w:rsid w:val="00E0648E"/>
    <w:rsid w:val="00E06E45"/>
    <w:rsid w:val="00E1258E"/>
    <w:rsid w:val="00E12D3E"/>
    <w:rsid w:val="00E1668A"/>
    <w:rsid w:val="00E22F34"/>
    <w:rsid w:val="00E30DF6"/>
    <w:rsid w:val="00E31929"/>
    <w:rsid w:val="00E33E37"/>
    <w:rsid w:val="00E44D5A"/>
    <w:rsid w:val="00E44ED4"/>
    <w:rsid w:val="00E450ED"/>
    <w:rsid w:val="00E50795"/>
    <w:rsid w:val="00E507AC"/>
    <w:rsid w:val="00E5592F"/>
    <w:rsid w:val="00E55EFC"/>
    <w:rsid w:val="00E57DBA"/>
    <w:rsid w:val="00E6031C"/>
    <w:rsid w:val="00E60CA8"/>
    <w:rsid w:val="00E6198A"/>
    <w:rsid w:val="00E619C8"/>
    <w:rsid w:val="00E62AFB"/>
    <w:rsid w:val="00E652C7"/>
    <w:rsid w:val="00E67202"/>
    <w:rsid w:val="00E67591"/>
    <w:rsid w:val="00E76F61"/>
    <w:rsid w:val="00E8066A"/>
    <w:rsid w:val="00E846F7"/>
    <w:rsid w:val="00E87721"/>
    <w:rsid w:val="00E90EA7"/>
    <w:rsid w:val="00E91E2F"/>
    <w:rsid w:val="00E93463"/>
    <w:rsid w:val="00E950B1"/>
    <w:rsid w:val="00E95A03"/>
    <w:rsid w:val="00E97D5E"/>
    <w:rsid w:val="00EA1E39"/>
    <w:rsid w:val="00EA2AF1"/>
    <w:rsid w:val="00EA3A6C"/>
    <w:rsid w:val="00EA3ED3"/>
    <w:rsid w:val="00EA43D5"/>
    <w:rsid w:val="00EA5FFD"/>
    <w:rsid w:val="00EA751F"/>
    <w:rsid w:val="00EB08C1"/>
    <w:rsid w:val="00EB0F7E"/>
    <w:rsid w:val="00EB1578"/>
    <w:rsid w:val="00EB2088"/>
    <w:rsid w:val="00EB22B3"/>
    <w:rsid w:val="00EB47FF"/>
    <w:rsid w:val="00EB67D1"/>
    <w:rsid w:val="00EB7CDE"/>
    <w:rsid w:val="00EC21FB"/>
    <w:rsid w:val="00EC7457"/>
    <w:rsid w:val="00ED196F"/>
    <w:rsid w:val="00ED1FE6"/>
    <w:rsid w:val="00ED49A0"/>
    <w:rsid w:val="00EE27ED"/>
    <w:rsid w:val="00EE2DD2"/>
    <w:rsid w:val="00EF3901"/>
    <w:rsid w:val="00EF430C"/>
    <w:rsid w:val="00EF4B60"/>
    <w:rsid w:val="00F01477"/>
    <w:rsid w:val="00F02210"/>
    <w:rsid w:val="00F034E6"/>
    <w:rsid w:val="00F0400A"/>
    <w:rsid w:val="00F05197"/>
    <w:rsid w:val="00F06073"/>
    <w:rsid w:val="00F06256"/>
    <w:rsid w:val="00F063E8"/>
    <w:rsid w:val="00F06CEE"/>
    <w:rsid w:val="00F07006"/>
    <w:rsid w:val="00F13DB9"/>
    <w:rsid w:val="00F147F9"/>
    <w:rsid w:val="00F1697D"/>
    <w:rsid w:val="00F2080E"/>
    <w:rsid w:val="00F20DE3"/>
    <w:rsid w:val="00F22AF9"/>
    <w:rsid w:val="00F2626B"/>
    <w:rsid w:val="00F339FB"/>
    <w:rsid w:val="00F37B8E"/>
    <w:rsid w:val="00F40C0F"/>
    <w:rsid w:val="00F40E12"/>
    <w:rsid w:val="00F45331"/>
    <w:rsid w:val="00F47396"/>
    <w:rsid w:val="00F50E38"/>
    <w:rsid w:val="00F52927"/>
    <w:rsid w:val="00F55548"/>
    <w:rsid w:val="00F567E9"/>
    <w:rsid w:val="00F57E7D"/>
    <w:rsid w:val="00F607ED"/>
    <w:rsid w:val="00F60D6B"/>
    <w:rsid w:val="00F62EA0"/>
    <w:rsid w:val="00F63237"/>
    <w:rsid w:val="00F63983"/>
    <w:rsid w:val="00F70AE5"/>
    <w:rsid w:val="00F70CFE"/>
    <w:rsid w:val="00F739A8"/>
    <w:rsid w:val="00F74ADC"/>
    <w:rsid w:val="00F760D9"/>
    <w:rsid w:val="00F810B3"/>
    <w:rsid w:val="00F813C1"/>
    <w:rsid w:val="00F81790"/>
    <w:rsid w:val="00F84989"/>
    <w:rsid w:val="00F84B96"/>
    <w:rsid w:val="00F8521F"/>
    <w:rsid w:val="00F85428"/>
    <w:rsid w:val="00F87329"/>
    <w:rsid w:val="00F87D4E"/>
    <w:rsid w:val="00F91073"/>
    <w:rsid w:val="00F91B39"/>
    <w:rsid w:val="00F93469"/>
    <w:rsid w:val="00F93F8E"/>
    <w:rsid w:val="00F960AB"/>
    <w:rsid w:val="00F9666C"/>
    <w:rsid w:val="00FA0DC6"/>
    <w:rsid w:val="00FA0E59"/>
    <w:rsid w:val="00FA1C6D"/>
    <w:rsid w:val="00FA3BE3"/>
    <w:rsid w:val="00FA473A"/>
    <w:rsid w:val="00FB022C"/>
    <w:rsid w:val="00FB0912"/>
    <w:rsid w:val="00FB21E2"/>
    <w:rsid w:val="00FB3326"/>
    <w:rsid w:val="00FB3D8B"/>
    <w:rsid w:val="00FC30CC"/>
    <w:rsid w:val="00FD1433"/>
    <w:rsid w:val="00FD258C"/>
    <w:rsid w:val="00FE0F35"/>
    <w:rsid w:val="00FE12AF"/>
    <w:rsid w:val="00FE1C5A"/>
    <w:rsid w:val="00FE35DD"/>
    <w:rsid w:val="00FE5D70"/>
    <w:rsid w:val="00FE6802"/>
    <w:rsid w:val="00FE6FD2"/>
    <w:rsid w:val="00FE787D"/>
    <w:rsid w:val="00FF2F3B"/>
    <w:rsid w:val="00FF6589"/>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719C29BC"/>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character" w:styleId="UnresolvedMention">
    <w:name w:val="Unresolved Mention"/>
    <w:basedOn w:val="DefaultParagraphFont"/>
    <w:uiPriority w:val="99"/>
    <w:semiHidden/>
    <w:unhideWhenUsed/>
    <w:rsid w:val="006D30E2"/>
    <w:rPr>
      <w:color w:val="605E5C"/>
      <w:shd w:val="clear" w:color="auto" w:fill="E1DFDD"/>
    </w:rPr>
  </w:style>
  <w:style w:type="numbering" w:customStyle="1" w:styleId="NoList1">
    <w:name w:val="No List1"/>
    <w:next w:val="NoList"/>
    <w:uiPriority w:val="99"/>
    <w:semiHidden/>
    <w:unhideWhenUsed/>
    <w:rsid w:val="006C080D"/>
  </w:style>
  <w:style w:type="table" w:customStyle="1" w:styleId="TableGrid1">
    <w:name w:val="Table Grid1"/>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C080D"/>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rsid w:val="006C080D"/>
    <w:rPr>
      <w:rFonts w:asciiTheme="minorHAnsi" w:eastAsiaTheme="minorEastAsia" w:hAnsiTheme="minorHAnsi" w:cstheme="minorBidi"/>
      <w:lang w:val="en-GB" w:eastAsia="zh-CN"/>
    </w:rPr>
  </w:style>
  <w:style w:type="character" w:styleId="FootnoteReference">
    <w:name w:val="footnote reference"/>
    <w:aliases w:val="Appel note de bas de p,Footnote Reference/,Footnote symbol,Ref,de nota al pie"/>
    <w:rsid w:val="006C080D"/>
    <w:rPr>
      <w:position w:val="6"/>
      <w:sz w:val="18"/>
    </w:rPr>
  </w:style>
  <w:style w:type="character" w:customStyle="1" w:styleId="HeaderChar">
    <w:name w:val="Header Char"/>
    <w:basedOn w:val="DefaultParagraphFont"/>
    <w:link w:val="Header"/>
    <w:uiPriority w:val="99"/>
    <w:rsid w:val="006C080D"/>
    <w:rPr>
      <w:rFonts w:ascii="Arial" w:hAnsi="Arial"/>
      <w:sz w:val="22"/>
      <w:szCs w:val="24"/>
      <w:lang w:eastAsia="zh-CN"/>
    </w:rPr>
  </w:style>
  <w:style w:type="character" w:customStyle="1" w:styleId="FooterChar">
    <w:name w:val="Footer Char"/>
    <w:basedOn w:val="DefaultParagraphFont"/>
    <w:link w:val="Footer"/>
    <w:uiPriority w:val="99"/>
    <w:rsid w:val="006C080D"/>
    <w:rPr>
      <w:rFonts w:ascii="Arial" w:hAnsi="Arial"/>
      <w:sz w:val="22"/>
      <w:szCs w:val="24"/>
      <w:lang w:eastAsia="zh-CN"/>
    </w:rPr>
  </w:style>
  <w:style w:type="character" w:customStyle="1" w:styleId="BalloonTextChar">
    <w:name w:val="Balloon Text Char"/>
    <w:basedOn w:val="DefaultParagraphFont"/>
    <w:link w:val="BalloonText"/>
    <w:uiPriority w:val="99"/>
    <w:semiHidden/>
    <w:rsid w:val="006C080D"/>
    <w:rPr>
      <w:rFonts w:ascii="Tahoma" w:hAnsi="Tahoma" w:cs="Tahoma"/>
      <w:sz w:val="16"/>
      <w:szCs w:val="16"/>
      <w:lang w:eastAsia="zh-CN"/>
    </w:rPr>
  </w:style>
  <w:style w:type="table" w:customStyle="1" w:styleId="TableGrid2">
    <w:name w:val="Table Grid2"/>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01971"/>
    <w:rPr>
      <w:rFonts w:ascii="Calibri" w:eastAsia="Times New Roman" w:hAnsi="Calibri" w:cstheme="minorBidi"/>
      <w:sz w:val="28"/>
      <w:szCs w:val="21"/>
      <w:lang w:val="en-GB" w:eastAsia="en-US"/>
    </w:rPr>
  </w:style>
  <w:style w:type="character" w:customStyle="1" w:styleId="PlainTextChar">
    <w:name w:val="Plain Text Char"/>
    <w:basedOn w:val="DefaultParagraphFont"/>
    <w:link w:val="PlainText"/>
    <w:uiPriority w:val="99"/>
    <w:semiHidden/>
    <w:rsid w:val="00C01971"/>
    <w:rPr>
      <w:rFonts w:ascii="Calibri" w:eastAsia="Times New Roman" w:hAnsi="Calibri" w:cstheme="minorBidi"/>
      <w:sz w:val="28"/>
      <w:szCs w:val="21"/>
      <w:lang w:val="en-GB" w:eastAsia="en-US"/>
    </w:rPr>
  </w:style>
  <w:style w:type="paragraph" w:styleId="Index2">
    <w:name w:val="index 2"/>
    <w:basedOn w:val="Normal"/>
    <w:next w:val="Normal"/>
    <w:rsid w:val="00820D82"/>
    <w:pPr>
      <w:tabs>
        <w:tab w:val="left" w:pos="794"/>
        <w:tab w:val="left" w:pos="1191"/>
        <w:tab w:val="left" w:pos="1588"/>
        <w:tab w:val="left" w:pos="1985"/>
      </w:tabs>
      <w:overflowPunct w:val="0"/>
      <w:autoSpaceDE w:val="0"/>
      <w:autoSpaceDN w:val="0"/>
      <w:adjustRightInd w:val="0"/>
      <w:spacing w:before="120"/>
      <w:ind w:left="283"/>
      <w:textAlignment w:val="baseline"/>
    </w:pPr>
    <w:rPr>
      <w:rFonts w:ascii="Times New Roman" w:eastAsia="Times New Roman" w:hAnsi="Times New Roman"/>
      <w:sz w:val="24"/>
      <w:szCs w:val="20"/>
      <w:lang w:val="en-GB" w:eastAsia="en-US"/>
    </w:rPr>
  </w:style>
  <w:style w:type="character" w:customStyle="1" w:styleId="CEONormalChar">
    <w:name w:val="CEO_Normal Char"/>
    <w:basedOn w:val="DefaultParagraphFont"/>
    <w:link w:val="CEONormal"/>
    <w:locked/>
    <w:rsid w:val="00990AD9"/>
    <w:rPr>
      <w:rFonts w:ascii="Verdana" w:hAnsi="Verdana"/>
      <w:lang w:eastAsia="en-US"/>
    </w:rPr>
  </w:style>
  <w:style w:type="paragraph" w:customStyle="1" w:styleId="CEONormal">
    <w:name w:val="CEO_Normal"/>
    <w:basedOn w:val="Normal"/>
    <w:link w:val="CEONormalChar"/>
    <w:rsid w:val="00990AD9"/>
    <w:pPr>
      <w:spacing w:before="120" w:after="120"/>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5916071">
      <w:bodyDiv w:val="1"/>
      <w:marLeft w:val="0"/>
      <w:marRight w:val="0"/>
      <w:marTop w:val="0"/>
      <w:marBottom w:val="0"/>
      <w:divBdr>
        <w:top w:val="none" w:sz="0" w:space="0" w:color="auto"/>
        <w:left w:val="none" w:sz="0" w:space="0" w:color="auto"/>
        <w:bottom w:val="none" w:sz="0" w:space="0" w:color="auto"/>
        <w:right w:val="none" w:sz="0" w:space="0" w:color="auto"/>
      </w:divBdr>
    </w:div>
    <w:div w:id="47730404">
      <w:bodyDiv w:val="1"/>
      <w:marLeft w:val="0"/>
      <w:marRight w:val="0"/>
      <w:marTop w:val="0"/>
      <w:marBottom w:val="0"/>
      <w:divBdr>
        <w:top w:val="none" w:sz="0" w:space="0" w:color="auto"/>
        <w:left w:val="none" w:sz="0" w:space="0" w:color="auto"/>
        <w:bottom w:val="none" w:sz="0" w:space="0" w:color="auto"/>
        <w:right w:val="none" w:sz="0" w:space="0" w:color="auto"/>
      </w:divBdr>
    </w:div>
    <w:div w:id="48497612">
      <w:bodyDiv w:val="1"/>
      <w:marLeft w:val="0"/>
      <w:marRight w:val="0"/>
      <w:marTop w:val="0"/>
      <w:marBottom w:val="0"/>
      <w:divBdr>
        <w:top w:val="none" w:sz="0" w:space="0" w:color="auto"/>
        <w:left w:val="none" w:sz="0" w:space="0" w:color="auto"/>
        <w:bottom w:val="none" w:sz="0" w:space="0" w:color="auto"/>
        <w:right w:val="none" w:sz="0" w:space="0" w:color="auto"/>
      </w:divBdr>
    </w:div>
    <w:div w:id="120271574">
      <w:bodyDiv w:val="1"/>
      <w:marLeft w:val="0"/>
      <w:marRight w:val="0"/>
      <w:marTop w:val="0"/>
      <w:marBottom w:val="0"/>
      <w:divBdr>
        <w:top w:val="none" w:sz="0" w:space="0" w:color="auto"/>
        <w:left w:val="none" w:sz="0" w:space="0" w:color="auto"/>
        <w:bottom w:val="none" w:sz="0" w:space="0" w:color="auto"/>
        <w:right w:val="none" w:sz="0" w:space="0" w:color="auto"/>
      </w:divBdr>
    </w:div>
    <w:div w:id="144201441">
      <w:bodyDiv w:val="1"/>
      <w:marLeft w:val="0"/>
      <w:marRight w:val="0"/>
      <w:marTop w:val="0"/>
      <w:marBottom w:val="0"/>
      <w:divBdr>
        <w:top w:val="none" w:sz="0" w:space="0" w:color="auto"/>
        <w:left w:val="none" w:sz="0" w:space="0" w:color="auto"/>
        <w:bottom w:val="none" w:sz="0" w:space="0" w:color="auto"/>
        <w:right w:val="none" w:sz="0" w:space="0" w:color="auto"/>
      </w:divBdr>
    </w:div>
    <w:div w:id="197671458">
      <w:bodyDiv w:val="1"/>
      <w:marLeft w:val="0"/>
      <w:marRight w:val="0"/>
      <w:marTop w:val="0"/>
      <w:marBottom w:val="0"/>
      <w:divBdr>
        <w:top w:val="none" w:sz="0" w:space="0" w:color="auto"/>
        <w:left w:val="none" w:sz="0" w:space="0" w:color="auto"/>
        <w:bottom w:val="none" w:sz="0" w:space="0" w:color="auto"/>
        <w:right w:val="none" w:sz="0" w:space="0" w:color="auto"/>
      </w:divBdr>
    </w:div>
    <w:div w:id="204415151">
      <w:bodyDiv w:val="1"/>
      <w:marLeft w:val="0"/>
      <w:marRight w:val="0"/>
      <w:marTop w:val="0"/>
      <w:marBottom w:val="0"/>
      <w:divBdr>
        <w:top w:val="none" w:sz="0" w:space="0" w:color="auto"/>
        <w:left w:val="none" w:sz="0" w:space="0" w:color="auto"/>
        <w:bottom w:val="none" w:sz="0" w:space="0" w:color="auto"/>
        <w:right w:val="none" w:sz="0" w:space="0" w:color="auto"/>
      </w:divBdr>
    </w:div>
    <w:div w:id="207188036">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41528728">
      <w:bodyDiv w:val="1"/>
      <w:marLeft w:val="0"/>
      <w:marRight w:val="0"/>
      <w:marTop w:val="0"/>
      <w:marBottom w:val="0"/>
      <w:divBdr>
        <w:top w:val="none" w:sz="0" w:space="0" w:color="auto"/>
        <w:left w:val="none" w:sz="0" w:space="0" w:color="auto"/>
        <w:bottom w:val="none" w:sz="0" w:space="0" w:color="auto"/>
        <w:right w:val="none" w:sz="0" w:space="0" w:color="auto"/>
      </w:divBdr>
    </w:div>
    <w:div w:id="261884047">
      <w:bodyDiv w:val="1"/>
      <w:marLeft w:val="0"/>
      <w:marRight w:val="0"/>
      <w:marTop w:val="0"/>
      <w:marBottom w:val="0"/>
      <w:divBdr>
        <w:top w:val="none" w:sz="0" w:space="0" w:color="auto"/>
        <w:left w:val="none" w:sz="0" w:space="0" w:color="auto"/>
        <w:bottom w:val="none" w:sz="0" w:space="0" w:color="auto"/>
        <w:right w:val="none" w:sz="0" w:space="0" w:color="auto"/>
      </w:divBdr>
    </w:div>
    <w:div w:id="266624307">
      <w:bodyDiv w:val="1"/>
      <w:marLeft w:val="0"/>
      <w:marRight w:val="0"/>
      <w:marTop w:val="0"/>
      <w:marBottom w:val="0"/>
      <w:divBdr>
        <w:top w:val="none" w:sz="0" w:space="0" w:color="auto"/>
        <w:left w:val="none" w:sz="0" w:space="0" w:color="auto"/>
        <w:bottom w:val="none" w:sz="0" w:space="0" w:color="auto"/>
        <w:right w:val="none" w:sz="0" w:space="0" w:color="auto"/>
      </w:divBdr>
    </w:div>
    <w:div w:id="375352388">
      <w:bodyDiv w:val="1"/>
      <w:marLeft w:val="0"/>
      <w:marRight w:val="0"/>
      <w:marTop w:val="0"/>
      <w:marBottom w:val="0"/>
      <w:divBdr>
        <w:top w:val="none" w:sz="0" w:space="0" w:color="auto"/>
        <w:left w:val="none" w:sz="0" w:space="0" w:color="auto"/>
        <w:bottom w:val="none" w:sz="0" w:space="0" w:color="auto"/>
        <w:right w:val="none" w:sz="0" w:space="0" w:color="auto"/>
      </w:divBdr>
    </w:div>
    <w:div w:id="375663801">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489757768">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650868866">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88669560">
      <w:bodyDiv w:val="1"/>
      <w:marLeft w:val="0"/>
      <w:marRight w:val="0"/>
      <w:marTop w:val="0"/>
      <w:marBottom w:val="0"/>
      <w:divBdr>
        <w:top w:val="none" w:sz="0" w:space="0" w:color="auto"/>
        <w:left w:val="none" w:sz="0" w:space="0" w:color="auto"/>
        <w:bottom w:val="none" w:sz="0" w:space="0" w:color="auto"/>
        <w:right w:val="none" w:sz="0" w:space="0" w:color="auto"/>
      </w:divBdr>
    </w:div>
    <w:div w:id="807014307">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17784503">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968513641">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10126448">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132138238">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274941849">
      <w:bodyDiv w:val="1"/>
      <w:marLeft w:val="0"/>
      <w:marRight w:val="0"/>
      <w:marTop w:val="0"/>
      <w:marBottom w:val="0"/>
      <w:divBdr>
        <w:top w:val="none" w:sz="0" w:space="0" w:color="auto"/>
        <w:left w:val="none" w:sz="0" w:space="0" w:color="auto"/>
        <w:bottom w:val="none" w:sz="0" w:space="0" w:color="auto"/>
        <w:right w:val="none" w:sz="0" w:space="0" w:color="auto"/>
      </w:divBdr>
    </w:div>
    <w:div w:id="1382512953">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30879628">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771967076">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28227873">
      <w:bodyDiv w:val="1"/>
      <w:marLeft w:val="0"/>
      <w:marRight w:val="0"/>
      <w:marTop w:val="0"/>
      <w:marBottom w:val="0"/>
      <w:divBdr>
        <w:top w:val="none" w:sz="0" w:space="0" w:color="auto"/>
        <w:left w:val="none" w:sz="0" w:space="0" w:color="auto"/>
        <w:bottom w:val="none" w:sz="0" w:space="0" w:color="auto"/>
        <w:right w:val="none" w:sz="0" w:space="0" w:color="auto"/>
      </w:divBdr>
    </w:div>
    <w:div w:id="1944263803">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 w:id="21151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21-CWGFHR14-C-0002/en" TargetMode="External"/><Relationship Id="rId18" Type="http://schemas.openxmlformats.org/officeDocument/2006/relationships/hyperlink" Target="https://www.itu.int/md/S21-CWGFHR14-C-0010/en" TargetMode="External"/><Relationship Id="rId26" Type="http://schemas.openxmlformats.org/officeDocument/2006/relationships/hyperlink" Target="https://www.itu.int/md/S21-CWGFHR14-C-0007/en" TargetMode="External"/><Relationship Id="rId3" Type="http://schemas.openxmlformats.org/officeDocument/2006/relationships/customXml" Target="../customXml/item3.xml"/><Relationship Id="rId21" Type="http://schemas.openxmlformats.org/officeDocument/2006/relationships/hyperlink" Target="https://www.itu.int/md/S21-CWGFHR14-C-0004/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S21-CWGFHR14-C-0005/en" TargetMode="External"/><Relationship Id="rId25" Type="http://schemas.openxmlformats.org/officeDocument/2006/relationships/hyperlink" Target="https://www.itu.int/md/S21-CWGFHR14-C-0006/en" TargetMode="External"/><Relationship Id="rId2" Type="http://schemas.openxmlformats.org/officeDocument/2006/relationships/customXml" Target="../customXml/item2.xml"/><Relationship Id="rId16" Type="http://schemas.openxmlformats.org/officeDocument/2006/relationships/hyperlink" Target="https://www.itu.int/md/S21-CWGFHR14-C-0011/en" TargetMode="External"/><Relationship Id="rId20" Type="http://schemas.openxmlformats.org/officeDocument/2006/relationships/hyperlink" Target="https://www.itu.int/md/S21-CWGFHR14-C-0004/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council/ties/Pages/regional-presence-dashboard.aspx" TargetMode="External"/><Relationship Id="rId5" Type="http://schemas.openxmlformats.org/officeDocument/2006/relationships/customXml" Target="../customXml/item5.xml"/><Relationship Id="rId15" Type="http://schemas.openxmlformats.org/officeDocument/2006/relationships/hyperlink" Target="https://www.itu.int/md/S21-CWGFHR14-C-0009/en" TargetMode="External"/><Relationship Id="rId23" Type="http://schemas.openxmlformats.org/officeDocument/2006/relationships/hyperlink" Target="https://www.itu.int/md/S21-CWGFHR14-C-0008/en"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tu.int/md/S21-CWGFHR14-C-0003/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1-CWGFHR14-INF-0001/en" TargetMode="External"/><Relationship Id="rId22" Type="http://schemas.openxmlformats.org/officeDocument/2006/relationships/hyperlink" Target="https://www.itu.int/md/S21-CL-C-0054/en" TargetMode="External"/><Relationship Id="rId27" Type="http://schemas.openxmlformats.org/officeDocument/2006/relationships/hyperlink" Target="https://www.itu.int/en/ITU-T/inr/forms/Pages/iin.aspx"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5AED0024D4C4B908559843DB30158" ma:contentTypeVersion="2" ma:contentTypeDescription="Create a new document." ma:contentTypeScope="" ma:versionID="962554cd9ef4cf7e86c70e5a8018fa2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c08235ba5f84bc5462d3c7dac5fa3e78"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4707ECA4-3B42-4268-A110-134D34A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51DE3-5DE9-4200-A2DA-D84B8527B68D}">
  <ds:schemaRefs>
    <ds:schemaRef ds:uri="http://schemas.openxmlformats.org/officeDocument/2006/bibliography"/>
  </ds:schemaRefs>
</ds:datastoreItem>
</file>

<file path=customXml/itemProps4.xml><?xml version="1.0" encoding="utf-8"?>
<ds:datastoreItem xmlns:ds="http://schemas.openxmlformats.org/officeDocument/2006/customXml" ds:itemID="{4B02F988-7C8F-406E-AB70-E11BE40F29A3}">
  <ds:schemaRefs>
    <ds:schemaRef ds:uri="http://schemas.openxmlformats.org/officeDocument/2006/bibliography"/>
  </ds:schemaRefs>
</ds:datastoreItem>
</file>

<file path=customXml/itemProps5.xml><?xml version="1.0" encoding="utf-8"?>
<ds:datastoreItem xmlns:ds="http://schemas.openxmlformats.org/officeDocument/2006/customXml" ds:itemID="{0CBB7ADF-EB5F-4537-943F-279F722AEB45}">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schemas.microsoft.com/sharepoint/v3"/>
    <ds:schemaRef ds:uri="1aaea1ea-72e4-4374-b05e-72e2f16fb7a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4967</Words>
  <Characters>28824</Characters>
  <Application>Microsoft Office Word</Application>
  <DocSecurity>0</DocSecurity>
  <Lines>240</Lines>
  <Paragraphs>67</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CWG-FHR template</vt:lpstr>
      <vt:lpstr>CWG-FHR template</vt:lpstr>
      <vt:lpstr>ITU Normal.dot</vt:lpstr>
    </vt:vector>
  </TitlesOfParts>
  <Company>ITU</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Summary report of the fourteenth meeting</dc:title>
  <dc:subject>Council Working Group on Financial and Human Resources</dc:subject>
  <dc:creator>Brouard, Ricarda</dc:creator>
  <cp:keywords>CWG-FHR</cp:keywords>
  <cp:lastModifiedBy>Brouard, Ricarda</cp:lastModifiedBy>
  <cp:revision>3</cp:revision>
  <cp:lastPrinted>2020-01-21T17:38:00Z</cp:lastPrinted>
  <dcterms:created xsi:type="dcterms:W3CDTF">2021-10-26T12:07:00Z</dcterms:created>
  <dcterms:modified xsi:type="dcterms:W3CDTF">2021-10-26T12:18:00Z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0x01010041A5AED0024D4C4B908559843DB30158</vt:lpwstr>
  </property>
</Properties>
</file>