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4495E" w:rsidRPr="00D613F6" w14:paraId="4583D2F2" w14:textId="77777777" w:rsidTr="00851AC1">
        <w:trPr>
          <w:cantSplit/>
        </w:trPr>
        <w:tc>
          <w:tcPr>
            <w:tcW w:w="6521" w:type="dxa"/>
          </w:tcPr>
          <w:p w14:paraId="37CDAE9E" w14:textId="77777777" w:rsidR="00C61ED2" w:rsidRPr="00C61ED2" w:rsidRDefault="00C61ED2" w:rsidP="00C61ED2">
            <w:pPr>
              <w:tabs>
                <w:tab w:val="clear" w:pos="794"/>
                <w:tab w:val="clear" w:pos="1191"/>
                <w:tab w:val="clear" w:pos="1588"/>
                <w:tab w:val="clear" w:pos="1985"/>
              </w:tabs>
              <w:overflowPunct/>
              <w:autoSpaceDE/>
              <w:autoSpaceDN/>
              <w:adjustRightInd/>
              <w:spacing w:before="240" w:after="48"/>
              <w:textAlignment w:val="auto"/>
              <w:rPr>
                <w:rFonts w:ascii="Calibri" w:eastAsia="SimSun" w:hAnsi="Calibri"/>
                <w:b/>
                <w:position w:val="6"/>
                <w:sz w:val="30"/>
                <w:szCs w:val="30"/>
                <w:lang w:val="en-US" w:eastAsia="zh-CN"/>
              </w:rPr>
            </w:pPr>
            <w:r w:rsidRPr="00C61ED2">
              <w:rPr>
                <w:rFonts w:ascii="Calibri" w:eastAsia="SimSun" w:hAnsi="Calibri"/>
                <w:b/>
                <w:position w:val="6"/>
                <w:sz w:val="30"/>
                <w:szCs w:val="30"/>
                <w:lang w:val="en-US" w:eastAsia="zh-CN"/>
              </w:rPr>
              <w:t xml:space="preserve">Council Working Group on </w:t>
            </w:r>
            <w:r w:rsidRPr="00C61ED2">
              <w:rPr>
                <w:rFonts w:ascii="Calibri" w:eastAsia="SimSun" w:hAnsi="Calibri"/>
                <w:b/>
                <w:position w:val="6"/>
                <w:sz w:val="30"/>
                <w:szCs w:val="30"/>
                <w:lang w:val="en-US" w:eastAsia="zh-CN"/>
              </w:rPr>
              <w:br/>
              <w:t>Financial and Human Resources</w:t>
            </w:r>
          </w:p>
          <w:p w14:paraId="640B0422" w14:textId="34766A01" w:rsidR="00E4495E" w:rsidRPr="00D613F6" w:rsidRDefault="002A370A" w:rsidP="00C61ED2">
            <w:pPr>
              <w:spacing w:before="0" w:after="120"/>
              <w:rPr>
                <w:rFonts w:asciiTheme="minorHAnsi" w:hAnsiTheme="minorHAnsi"/>
                <w:b/>
                <w:position w:val="6"/>
                <w:sz w:val="26"/>
                <w:szCs w:val="26"/>
              </w:rPr>
            </w:pPr>
            <w:r>
              <w:rPr>
                <w:rFonts w:asciiTheme="minorHAnsi" w:hAnsiTheme="minorHAnsi" w:cs="Times New Roman Bold"/>
                <w:b/>
              </w:rPr>
              <w:t xml:space="preserve">Fourteenth </w:t>
            </w:r>
            <w:r w:rsidR="001C344D">
              <w:rPr>
                <w:rFonts w:asciiTheme="minorHAnsi" w:hAnsiTheme="minorHAnsi" w:cs="Times New Roman Bold"/>
                <w:b/>
              </w:rPr>
              <w:t>meeting</w:t>
            </w:r>
            <w:r w:rsidR="00E4495E" w:rsidRPr="001B506B">
              <w:rPr>
                <w:rFonts w:asciiTheme="minorHAnsi" w:hAnsiTheme="minorHAnsi" w:cs="Times New Roman Bold"/>
                <w:b/>
              </w:rPr>
              <w:t xml:space="preserve"> </w:t>
            </w:r>
            <w:r w:rsidR="00E4495E" w:rsidRPr="001B506B">
              <w:rPr>
                <w:rFonts w:ascii="Calibri" w:eastAsia="Calibri" w:hAnsi="Calibri" w:cs="Calibri"/>
                <w:b/>
                <w:color w:val="000000"/>
              </w:rPr>
              <w:t>–</w:t>
            </w:r>
            <w:r w:rsidR="00E4495E" w:rsidRPr="000F2E67">
              <w:rPr>
                <w:rFonts w:asciiTheme="minorHAnsi" w:hAnsiTheme="minorHAnsi" w:cs="Times New Roman Bold"/>
                <w:b/>
              </w:rPr>
              <w:t xml:space="preserve"> </w:t>
            </w:r>
            <w:r w:rsidR="00486B69">
              <w:rPr>
                <w:rFonts w:asciiTheme="minorHAnsi" w:hAnsiTheme="minorHAnsi" w:cs="Times New Roman Bold"/>
                <w:b/>
              </w:rPr>
              <w:t>Virtual</w:t>
            </w:r>
            <w:r w:rsidR="00E4495E" w:rsidRPr="00ED14AB">
              <w:rPr>
                <w:rFonts w:asciiTheme="minorHAnsi" w:hAnsiTheme="minorHAnsi" w:cs="Times New Roman Bold"/>
                <w:b/>
              </w:rPr>
              <w:t xml:space="preserve">, </w:t>
            </w:r>
            <w:r w:rsidR="00DF3936">
              <w:rPr>
                <w:rFonts w:asciiTheme="minorHAnsi" w:hAnsiTheme="minorHAnsi" w:cs="Times New Roman Bold"/>
                <w:b/>
              </w:rPr>
              <w:t xml:space="preserve">20 – 21 September </w:t>
            </w:r>
            <w:r w:rsidR="00A17C31" w:rsidRPr="00ED14AB">
              <w:rPr>
                <w:rFonts w:asciiTheme="minorHAnsi" w:hAnsiTheme="minorHAnsi" w:cs="Times New Roman Bold"/>
                <w:b/>
              </w:rPr>
              <w:t>2021</w:t>
            </w:r>
          </w:p>
        </w:tc>
        <w:tc>
          <w:tcPr>
            <w:tcW w:w="3793" w:type="dxa"/>
          </w:tcPr>
          <w:p w14:paraId="15AA68D1" w14:textId="77777777" w:rsidR="00E4495E" w:rsidRPr="00D613F6" w:rsidRDefault="00E4495E" w:rsidP="00851AC1">
            <w:pPr>
              <w:spacing w:line="240" w:lineRule="atLeast"/>
            </w:pPr>
            <w:bookmarkStart w:id="0" w:name="ditulogo"/>
            <w:bookmarkEnd w:id="0"/>
            <w:r>
              <w:rPr>
                <w:noProof/>
                <w:lang w:val="en-US"/>
              </w:rPr>
              <w:drawing>
                <wp:inline distT="0" distB="0" distL="0" distR="0" wp14:anchorId="7A9A9F63" wp14:editId="18E191D4">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E4495E" w:rsidRPr="00D613F6" w14:paraId="3E2CE5B1" w14:textId="77777777" w:rsidTr="00851AC1">
        <w:trPr>
          <w:cantSplit/>
        </w:trPr>
        <w:tc>
          <w:tcPr>
            <w:tcW w:w="6521" w:type="dxa"/>
            <w:tcBorders>
              <w:top w:val="single" w:sz="12" w:space="0" w:color="auto"/>
            </w:tcBorders>
          </w:tcPr>
          <w:p w14:paraId="6D407084" w14:textId="77777777" w:rsidR="00E4495E" w:rsidRPr="00D613F6" w:rsidRDefault="00E4495E" w:rsidP="00E4495E">
            <w:pPr>
              <w:snapToGrid w:val="0"/>
              <w:spacing w:before="0"/>
              <w:rPr>
                <w:b/>
                <w:smallCaps/>
              </w:rPr>
            </w:pPr>
          </w:p>
        </w:tc>
        <w:tc>
          <w:tcPr>
            <w:tcW w:w="3793" w:type="dxa"/>
            <w:tcBorders>
              <w:top w:val="single" w:sz="12" w:space="0" w:color="auto"/>
            </w:tcBorders>
          </w:tcPr>
          <w:p w14:paraId="5C2979A7" w14:textId="2A80F26C" w:rsidR="00E4495E" w:rsidRPr="00D613F6" w:rsidRDefault="00E4495E" w:rsidP="00D47818">
            <w:pPr>
              <w:snapToGrid w:val="0"/>
              <w:spacing w:before="0"/>
              <w:rPr>
                <w:rFonts w:ascii="Verdana" w:hAnsi="Verdana"/>
              </w:rPr>
            </w:pPr>
          </w:p>
        </w:tc>
      </w:tr>
      <w:tr w:rsidR="00E4495E" w:rsidRPr="000F2E67" w14:paraId="6E64A2EF" w14:textId="77777777" w:rsidTr="00851AC1">
        <w:trPr>
          <w:cantSplit/>
          <w:trHeight w:val="23"/>
        </w:trPr>
        <w:tc>
          <w:tcPr>
            <w:tcW w:w="6521" w:type="dxa"/>
            <w:vMerge w:val="restart"/>
          </w:tcPr>
          <w:p w14:paraId="5B7491F6" w14:textId="77777777" w:rsidR="00E4495E" w:rsidRPr="00D613F6" w:rsidRDefault="00E4495E" w:rsidP="00E4495E">
            <w:pPr>
              <w:snapToGrid w:val="0"/>
              <w:spacing w:before="0"/>
              <w:rPr>
                <w:rFonts w:asciiTheme="minorHAnsi" w:hAnsiTheme="minorHAnsi"/>
                <w:b/>
              </w:rPr>
            </w:pPr>
          </w:p>
        </w:tc>
        <w:tc>
          <w:tcPr>
            <w:tcW w:w="3793" w:type="dxa"/>
          </w:tcPr>
          <w:p w14:paraId="22108254" w14:textId="47632044" w:rsidR="00E4495E" w:rsidRPr="00D80F38" w:rsidRDefault="00E4495E" w:rsidP="00E4495E">
            <w:pPr>
              <w:snapToGrid w:val="0"/>
              <w:spacing w:before="0"/>
              <w:ind w:left="57"/>
              <w:rPr>
                <w:rFonts w:asciiTheme="minorHAnsi" w:hAnsiTheme="minorHAnsi" w:cs="Times New Roman Bold"/>
                <w:b/>
                <w:spacing w:val="-4"/>
                <w:lang w:val="de-CH"/>
              </w:rPr>
            </w:pPr>
            <w:r w:rsidRPr="00D80F38">
              <w:rPr>
                <w:rFonts w:asciiTheme="minorHAnsi" w:hAnsiTheme="minorHAnsi" w:cs="Times New Roman Bold"/>
                <w:b/>
                <w:spacing w:val="-4"/>
                <w:lang w:val="de-CH"/>
              </w:rPr>
              <w:t>Document CWG-FHR-1</w:t>
            </w:r>
            <w:r w:rsidR="00DF3936">
              <w:rPr>
                <w:rFonts w:asciiTheme="minorHAnsi" w:hAnsiTheme="minorHAnsi" w:cs="Times New Roman Bold"/>
                <w:b/>
                <w:spacing w:val="-4"/>
                <w:lang w:val="de-CH"/>
              </w:rPr>
              <w:t>4</w:t>
            </w:r>
            <w:r w:rsidRPr="00D80F38">
              <w:rPr>
                <w:rFonts w:asciiTheme="minorHAnsi" w:hAnsiTheme="minorHAnsi" w:cs="Times New Roman Bold"/>
                <w:b/>
                <w:spacing w:val="-4"/>
                <w:lang w:val="de-CH"/>
              </w:rPr>
              <w:t>/</w:t>
            </w:r>
            <w:r w:rsidR="00C465B1">
              <w:rPr>
                <w:rFonts w:asciiTheme="minorHAnsi" w:hAnsiTheme="minorHAnsi" w:cs="Times New Roman Bold"/>
                <w:b/>
                <w:spacing w:val="-4"/>
                <w:lang w:val="de-CH"/>
              </w:rPr>
              <w:t>7</w:t>
            </w:r>
          </w:p>
        </w:tc>
      </w:tr>
      <w:tr w:rsidR="00E4495E" w:rsidRPr="000F2E67" w14:paraId="09BC832E" w14:textId="77777777" w:rsidTr="00851AC1">
        <w:trPr>
          <w:cantSplit/>
          <w:trHeight w:val="23"/>
        </w:trPr>
        <w:tc>
          <w:tcPr>
            <w:tcW w:w="6521" w:type="dxa"/>
            <w:vMerge/>
          </w:tcPr>
          <w:p w14:paraId="25CBA389" w14:textId="77777777" w:rsidR="00E4495E" w:rsidRPr="00D613F6" w:rsidRDefault="00E4495E" w:rsidP="00E4495E">
            <w:pPr>
              <w:snapToGrid w:val="0"/>
              <w:spacing w:before="0"/>
              <w:rPr>
                <w:rFonts w:asciiTheme="minorHAnsi" w:hAnsiTheme="minorHAnsi"/>
                <w:b/>
                <w:lang w:val="de-CH"/>
              </w:rPr>
            </w:pPr>
          </w:p>
        </w:tc>
        <w:tc>
          <w:tcPr>
            <w:tcW w:w="3793" w:type="dxa"/>
          </w:tcPr>
          <w:p w14:paraId="104D8A3A" w14:textId="7A52274E" w:rsidR="00E4495E" w:rsidRPr="00D80F38" w:rsidRDefault="00C465B1" w:rsidP="00C87B58">
            <w:pPr>
              <w:snapToGrid w:val="0"/>
              <w:spacing w:before="0"/>
              <w:ind w:left="57"/>
              <w:rPr>
                <w:rFonts w:asciiTheme="minorHAnsi" w:hAnsiTheme="minorHAnsi"/>
                <w:b/>
              </w:rPr>
            </w:pPr>
            <w:r>
              <w:rPr>
                <w:rFonts w:asciiTheme="minorHAnsi" w:hAnsiTheme="minorHAnsi"/>
                <w:b/>
              </w:rPr>
              <w:t xml:space="preserve">28 </w:t>
            </w:r>
            <w:r w:rsidR="00DF3936">
              <w:rPr>
                <w:rFonts w:asciiTheme="minorHAnsi" w:hAnsiTheme="minorHAnsi"/>
                <w:b/>
              </w:rPr>
              <w:t xml:space="preserve">July </w:t>
            </w:r>
            <w:r w:rsidR="00A17C31" w:rsidRPr="003F0EC2">
              <w:rPr>
                <w:rFonts w:asciiTheme="minorHAnsi" w:hAnsiTheme="minorHAnsi"/>
                <w:b/>
              </w:rPr>
              <w:t>202</w:t>
            </w:r>
            <w:r w:rsidR="000B2C0D" w:rsidRPr="003F0EC2">
              <w:rPr>
                <w:rFonts w:asciiTheme="minorHAnsi" w:hAnsiTheme="minorHAnsi"/>
                <w:b/>
              </w:rPr>
              <w:t>1</w:t>
            </w:r>
          </w:p>
        </w:tc>
      </w:tr>
      <w:tr w:rsidR="00E4495E" w:rsidRPr="000F2E67" w14:paraId="30F32336" w14:textId="77777777" w:rsidTr="00851AC1">
        <w:trPr>
          <w:cantSplit/>
          <w:trHeight w:val="80"/>
        </w:trPr>
        <w:tc>
          <w:tcPr>
            <w:tcW w:w="6521" w:type="dxa"/>
            <w:vMerge/>
          </w:tcPr>
          <w:p w14:paraId="2001205A" w14:textId="77777777" w:rsidR="00E4495E" w:rsidRPr="00E544AC" w:rsidRDefault="00E4495E" w:rsidP="00E4495E">
            <w:pPr>
              <w:snapToGrid w:val="0"/>
              <w:spacing w:before="0"/>
              <w:rPr>
                <w:rFonts w:asciiTheme="minorHAnsi" w:hAnsiTheme="minorHAnsi"/>
                <w:b/>
              </w:rPr>
            </w:pPr>
          </w:p>
        </w:tc>
        <w:tc>
          <w:tcPr>
            <w:tcW w:w="3793" w:type="dxa"/>
          </w:tcPr>
          <w:p w14:paraId="6642EFB7" w14:textId="77777777" w:rsidR="00E4495E" w:rsidRPr="00D80F38" w:rsidRDefault="00E4495E" w:rsidP="00E4495E">
            <w:pPr>
              <w:snapToGrid w:val="0"/>
              <w:spacing w:before="0"/>
              <w:ind w:left="57"/>
              <w:rPr>
                <w:rFonts w:asciiTheme="minorHAnsi" w:hAnsiTheme="minorHAnsi"/>
                <w:b/>
              </w:rPr>
            </w:pPr>
            <w:r w:rsidRPr="00D80F38">
              <w:rPr>
                <w:rFonts w:asciiTheme="minorHAnsi" w:hAnsiTheme="minorHAnsi"/>
                <w:b/>
              </w:rPr>
              <w:t>English only</w:t>
            </w:r>
          </w:p>
        </w:tc>
      </w:tr>
    </w:tbl>
    <w:p w14:paraId="6304B731" w14:textId="77777777" w:rsidR="004C2D8F" w:rsidRPr="004C2D8F" w:rsidRDefault="004C2D8F" w:rsidP="004C2D8F">
      <w:pPr>
        <w:snapToGrid w:val="0"/>
        <w:spacing w:before="960"/>
        <w:jc w:val="center"/>
        <w:rPr>
          <w:rFonts w:ascii="Calibri" w:hAnsi="Calibri"/>
          <w:b/>
          <w:bCs/>
          <w:sz w:val="28"/>
          <w:szCs w:val="28"/>
        </w:rPr>
      </w:pPr>
      <w:r w:rsidRPr="004C2D8F">
        <w:rPr>
          <w:rFonts w:ascii="Calibri" w:hAnsi="Calibri"/>
          <w:b/>
          <w:sz w:val="28"/>
          <w:szCs w:val="32"/>
        </w:rPr>
        <w:t>Contribution by the Secretariat</w:t>
      </w:r>
    </w:p>
    <w:p w14:paraId="34AF5452" w14:textId="6F0BB21A" w:rsidR="004C2D8F" w:rsidRDefault="0072262F" w:rsidP="0072262F">
      <w:pPr>
        <w:snapToGrid w:val="0"/>
        <w:spacing w:before="360"/>
        <w:jc w:val="center"/>
        <w:rPr>
          <w:rFonts w:ascii="Calibri" w:hAnsi="Calibri"/>
          <w:sz w:val="28"/>
          <w:szCs w:val="28"/>
        </w:rPr>
      </w:pPr>
      <w:r w:rsidRPr="00A906AB">
        <w:rPr>
          <w:rFonts w:ascii="Calibri" w:hAnsi="Calibri"/>
          <w:sz w:val="28"/>
          <w:szCs w:val="28"/>
        </w:rPr>
        <w:t>INTERNATIONAL NUMBERING RESOURCE REVENUE COLLECTION</w:t>
      </w:r>
    </w:p>
    <w:p w14:paraId="06FEE23E" w14:textId="77777777" w:rsidR="00E60D03" w:rsidRPr="004C2D8F" w:rsidRDefault="00E60D03" w:rsidP="004C2D8F">
      <w:pPr>
        <w:snapToGrid w:val="0"/>
        <w:jc w:val="center"/>
        <w:rPr>
          <w:rFonts w:ascii="Calibri" w:hAnsi="Calibri"/>
          <w:sz w:val="28"/>
          <w:szCs w:val="2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60D03" w:rsidRPr="00813E5E" w14:paraId="32FFF588" w14:textId="77777777" w:rsidTr="006620EC">
        <w:trPr>
          <w:trHeight w:val="3372"/>
        </w:trPr>
        <w:tc>
          <w:tcPr>
            <w:tcW w:w="8080" w:type="dxa"/>
            <w:tcBorders>
              <w:top w:val="single" w:sz="12" w:space="0" w:color="auto"/>
              <w:left w:val="single" w:sz="12" w:space="0" w:color="auto"/>
              <w:bottom w:val="single" w:sz="12" w:space="0" w:color="auto"/>
              <w:right w:val="single" w:sz="12" w:space="0" w:color="auto"/>
            </w:tcBorders>
          </w:tcPr>
          <w:p w14:paraId="17BD7963" w14:textId="77777777" w:rsidR="00E60D03" w:rsidRPr="00B4167E" w:rsidRDefault="00E60D03" w:rsidP="006620EC">
            <w:pPr>
              <w:pStyle w:val="Headingb"/>
              <w:spacing w:before="120" w:after="120"/>
              <w:jc w:val="both"/>
              <w:rPr>
                <w:rFonts w:ascii="Calibri" w:hAnsi="Calibri" w:cs="Calibri"/>
              </w:rPr>
            </w:pPr>
            <w:r w:rsidRPr="00B4167E">
              <w:rPr>
                <w:rFonts w:ascii="Calibri" w:hAnsi="Calibri" w:cs="Calibri"/>
              </w:rPr>
              <w:t>Summary</w:t>
            </w:r>
          </w:p>
          <w:p w14:paraId="5AE69405" w14:textId="56FF5DD6" w:rsidR="00E60D03" w:rsidRPr="00AE64D4" w:rsidRDefault="00E60D03" w:rsidP="006620EC">
            <w:pPr>
              <w:spacing w:after="120"/>
              <w:jc w:val="both"/>
              <w:rPr>
                <w:rFonts w:ascii="Calibri" w:hAnsi="Calibri" w:cs="Calibri"/>
                <w:szCs w:val="24"/>
                <w:lang w:eastAsia="zh-CN"/>
              </w:rPr>
            </w:pPr>
            <w:r w:rsidRPr="00AE64D4">
              <w:rPr>
                <w:rFonts w:ascii="Calibri" w:hAnsi="Calibri" w:cs="Calibri"/>
                <w:szCs w:val="24"/>
                <w:lang w:eastAsia="zh-CN"/>
              </w:rPr>
              <w:t xml:space="preserve">Following the approval of Decisions 600 and 601 at the Council 2017 session, ITU has been in the process of implementing these Decisions. </w:t>
            </w:r>
          </w:p>
          <w:p w14:paraId="5AC9617A" w14:textId="1FF2EBE6" w:rsidR="00E60D03" w:rsidRPr="00B4167E" w:rsidRDefault="00E60D03" w:rsidP="006620EC">
            <w:pPr>
              <w:spacing w:after="120"/>
              <w:jc w:val="both"/>
              <w:rPr>
                <w:rFonts w:ascii="Calibri" w:hAnsi="Calibri" w:cs="Calibri"/>
                <w:szCs w:val="24"/>
              </w:rPr>
            </w:pPr>
            <w:r w:rsidRPr="00A906AB">
              <w:rPr>
                <w:rFonts w:ascii="Calibri" w:hAnsi="Calibri" w:cs="Calibri"/>
                <w:szCs w:val="24"/>
              </w:rPr>
              <w:t xml:space="preserve">This document </w:t>
            </w:r>
            <w:r w:rsidR="00E374E4" w:rsidRPr="00A906AB">
              <w:rPr>
                <w:rFonts w:ascii="Calibri" w:hAnsi="Calibri" w:cs="Calibri"/>
                <w:szCs w:val="24"/>
                <w:lang w:eastAsia="zh-CN"/>
              </w:rPr>
              <w:t xml:space="preserve">summarizes </w:t>
            </w:r>
            <w:r w:rsidR="002F5E9A" w:rsidRPr="00A906AB">
              <w:rPr>
                <w:rFonts w:ascii="Calibri" w:hAnsi="Calibri" w:cs="Calibri"/>
                <w:szCs w:val="24"/>
                <w:lang w:eastAsia="zh-CN"/>
              </w:rPr>
              <w:t xml:space="preserve">proposed advice during last ITU-T SG2 meeting to the Director of TSB </w:t>
            </w:r>
            <w:r w:rsidR="00A56128" w:rsidRPr="00A906AB">
              <w:rPr>
                <w:rFonts w:ascii="Calibri" w:hAnsi="Calibri" w:cs="Calibri"/>
                <w:szCs w:val="24"/>
                <w:lang w:eastAsia="zh-CN"/>
              </w:rPr>
              <w:t xml:space="preserve">regarding </w:t>
            </w:r>
            <w:r w:rsidR="002F5E9A" w:rsidRPr="00A906AB">
              <w:rPr>
                <w:rFonts w:ascii="Calibri" w:hAnsi="Calibri" w:cs="Calibri"/>
                <w:szCs w:val="24"/>
                <w:lang w:eastAsia="zh-CN"/>
              </w:rPr>
              <w:t>International Numbering Resource revenue collection</w:t>
            </w:r>
            <w:r w:rsidR="00FC2B0F" w:rsidRPr="00A906AB">
              <w:rPr>
                <w:rFonts w:ascii="Calibri" w:hAnsi="Calibri" w:cs="Calibri"/>
                <w:szCs w:val="24"/>
                <w:lang w:eastAsia="zh-CN"/>
              </w:rPr>
              <w:t xml:space="preserve"> and the possibility of reclaiming International Numbering Resource where payment to the </w:t>
            </w:r>
            <w:r w:rsidR="00A56128" w:rsidRPr="00A906AB">
              <w:rPr>
                <w:rFonts w:ascii="Calibri" w:hAnsi="Calibri" w:cs="Calibri"/>
                <w:szCs w:val="24"/>
                <w:lang w:eastAsia="zh-CN"/>
              </w:rPr>
              <w:t>ITU</w:t>
            </w:r>
            <w:r w:rsidR="00FC2B0F" w:rsidRPr="00A906AB">
              <w:rPr>
                <w:rFonts w:ascii="Calibri" w:hAnsi="Calibri" w:cs="Calibri"/>
                <w:szCs w:val="24"/>
                <w:lang w:eastAsia="zh-CN"/>
              </w:rPr>
              <w:t xml:space="preserve"> is outstanding</w:t>
            </w:r>
            <w:r w:rsidR="002F5E9A" w:rsidRPr="00A906AB">
              <w:rPr>
                <w:rFonts w:ascii="Calibri" w:hAnsi="Calibri" w:cs="Calibri"/>
                <w:szCs w:val="24"/>
                <w:lang w:eastAsia="zh-CN"/>
              </w:rPr>
              <w:t>.</w:t>
            </w:r>
          </w:p>
          <w:p w14:paraId="7AAD611B" w14:textId="77777777" w:rsidR="00E60D03" w:rsidRPr="00B4167E" w:rsidRDefault="00E60D03" w:rsidP="006620EC">
            <w:pPr>
              <w:pStyle w:val="Headingb"/>
              <w:spacing w:before="120" w:after="120"/>
              <w:jc w:val="both"/>
              <w:rPr>
                <w:rFonts w:ascii="Calibri" w:hAnsi="Calibri" w:cs="Calibri"/>
              </w:rPr>
            </w:pPr>
            <w:r w:rsidRPr="00B4167E">
              <w:rPr>
                <w:rFonts w:ascii="Calibri" w:hAnsi="Calibri" w:cs="Calibri"/>
              </w:rPr>
              <w:t>Action required</w:t>
            </w:r>
          </w:p>
          <w:p w14:paraId="68733634" w14:textId="542329C1" w:rsidR="00E60D03" w:rsidRPr="00B4167E" w:rsidRDefault="00E60D03" w:rsidP="006620EC">
            <w:pPr>
              <w:overflowPunct/>
              <w:spacing w:after="120"/>
              <w:jc w:val="both"/>
              <w:textAlignment w:val="auto"/>
              <w:rPr>
                <w:rFonts w:ascii="Calibri" w:hAnsi="Calibri" w:cs="Calibri"/>
                <w:szCs w:val="24"/>
                <w:lang w:eastAsia="zh-CN"/>
              </w:rPr>
            </w:pPr>
            <w:r w:rsidRPr="00A906AB">
              <w:rPr>
                <w:rFonts w:ascii="Calibri" w:hAnsi="Calibri" w:cs="Calibri"/>
                <w:szCs w:val="24"/>
              </w:rPr>
              <w:t xml:space="preserve">The </w:t>
            </w:r>
            <w:r w:rsidR="00AE793F" w:rsidRPr="00A906AB">
              <w:rPr>
                <w:rFonts w:ascii="Calibri" w:hAnsi="Calibri" w:cs="Calibri"/>
                <w:szCs w:val="24"/>
              </w:rPr>
              <w:t xml:space="preserve">Council Working Group is invited </w:t>
            </w:r>
            <w:r w:rsidRPr="00A906AB">
              <w:rPr>
                <w:rFonts w:ascii="Calibri" w:hAnsi="Calibri" w:cs="Calibri"/>
                <w:szCs w:val="24"/>
              </w:rPr>
              <w:t xml:space="preserve">to </w:t>
            </w:r>
            <w:r w:rsidRPr="00A906AB">
              <w:rPr>
                <w:rFonts w:ascii="Calibri" w:hAnsi="Calibri" w:cs="Calibri"/>
                <w:b/>
                <w:bCs/>
                <w:szCs w:val="24"/>
              </w:rPr>
              <w:t>note</w:t>
            </w:r>
            <w:r w:rsidRPr="00A906AB">
              <w:rPr>
                <w:rFonts w:ascii="Calibri" w:hAnsi="Calibri" w:cs="Calibri"/>
                <w:szCs w:val="24"/>
              </w:rPr>
              <w:t xml:space="preserve"> the </w:t>
            </w:r>
            <w:r w:rsidR="00AE64D4" w:rsidRPr="00A906AB">
              <w:rPr>
                <w:rFonts w:ascii="Calibri" w:hAnsi="Calibri" w:cs="Calibri"/>
                <w:szCs w:val="24"/>
              </w:rPr>
              <w:t>considerations</w:t>
            </w:r>
            <w:r w:rsidRPr="00A906AB">
              <w:rPr>
                <w:rFonts w:ascii="Calibri" w:hAnsi="Calibri" w:cs="Calibri"/>
                <w:szCs w:val="24"/>
              </w:rPr>
              <w:t xml:space="preserve"> provided in section </w:t>
            </w:r>
            <w:r w:rsidR="00326F10" w:rsidRPr="00A906AB">
              <w:rPr>
                <w:rFonts w:ascii="Calibri" w:hAnsi="Calibri" w:cs="Calibri"/>
                <w:szCs w:val="24"/>
              </w:rPr>
              <w:t>3</w:t>
            </w:r>
            <w:r w:rsidRPr="00A906AB">
              <w:rPr>
                <w:rFonts w:ascii="Calibri" w:hAnsi="Calibri" w:cs="Calibri"/>
                <w:szCs w:val="24"/>
              </w:rPr>
              <w:t>.</w:t>
            </w:r>
          </w:p>
          <w:p w14:paraId="26F34A39" w14:textId="77777777" w:rsidR="00E60D03" w:rsidRPr="00B4167E" w:rsidRDefault="00E60D03" w:rsidP="006620EC">
            <w:pPr>
              <w:pStyle w:val="Table"/>
              <w:keepNext w:val="0"/>
              <w:spacing w:before="120"/>
              <w:rPr>
                <w:rFonts w:ascii="Calibri" w:hAnsi="Calibri" w:cs="Calibri"/>
                <w:caps w:val="0"/>
                <w:sz w:val="22"/>
              </w:rPr>
            </w:pPr>
            <w:r w:rsidRPr="00B4167E">
              <w:rPr>
                <w:rFonts w:ascii="Calibri" w:hAnsi="Calibri" w:cs="Calibri"/>
                <w:caps w:val="0"/>
                <w:sz w:val="22"/>
              </w:rPr>
              <w:t>____________</w:t>
            </w:r>
          </w:p>
          <w:p w14:paraId="5E7344AC" w14:textId="77777777" w:rsidR="00E60D03" w:rsidRPr="00B4167E" w:rsidRDefault="00E60D03" w:rsidP="006620EC">
            <w:pPr>
              <w:pStyle w:val="Headingb"/>
              <w:spacing w:before="120" w:after="120"/>
              <w:rPr>
                <w:rFonts w:ascii="Calibri" w:hAnsi="Calibri" w:cs="Calibri"/>
              </w:rPr>
            </w:pPr>
            <w:r w:rsidRPr="00B4167E">
              <w:rPr>
                <w:rFonts w:ascii="Calibri" w:hAnsi="Calibri" w:cs="Calibri"/>
              </w:rPr>
              <w:t>References</w:t>
            </w:r>
          </w:p>
          <w:p w14:paraId="071E5DC5" w14:textId="2366E425" w:rsidR="00E60D03" w:rsidRPr="00CF3F07" w:rsidRDefault="00E60D03" w:rsidP="006620EC">
            <w:pPr>
              <w:spacing w:after="120"/>
              <w:rPr>
                <w:i/>
                <w:iCs/>
              </w:rPr>
            </w:pPr>
            <w:r w:rsidRPr="00B4167E">
              <w:rPr>
                <w:rFonts w:ascii="Calibri" w:hAnsi="Calibri" w:cs="Calibri"/>
                <w:i/>
                <w:iCs/>
              </w:rPr>
              <w:t xml:space="preserve">Document </w:t>
            </w:r>
            <w:hyperlink r:id="rId12" w:history="1">
              <w:r w:rsidRPr="00B4167E">
                <w:rPr>
                  <w:rStyle w:val="Hyperlink"/>
                  <w:rFonts w:ascii="Calibri" w:hAnsi="Calibri" w:cs="Calibri"/>
                  <w:i/>
                  <w:iCs/>
                </w:rPr>
                <w:t>C17/133</w:t>
              </w:r>
            </w:hyperlink>
            <w:r w:rsidRPr="00B4167E">
              <w:rPr>
                <w:rFonts w:ascii="Calibri" w:hAnsi="Calibri" w:cs="Calibri"/>
                <w:i/>
                <w:iCs/>
              </w:rPr>
              <w:t xml:space="preserve">; </w:t>
            </w:r>
            <w:hyperlink r:id="rId13" w:history="1">
              <w:r w:rsidRPr="00B4167E">
                <w:rPr>
                  <w:rStyle w:val="Hyperlink"/>
                  <w:rFonts w:ascii="Calibri" w:hAnsi="Calibri" w:cs="Calibri"/>
                  <w:i/>
                  <w:iCs/>
                </w:rPr>
                <w:t>C17/134</w:t>
              </w:r>
            </w:hyperlink>
            <w:r w:rsidRPr="00B4167E">
              <w:rPr>
                <w:rFonts w:ascii="Calibri" w:hAnsi="Calibri" w:cs="Calibri"/>
                <w:i/>
                <w:iCs/>
              </w:rPr>
              <w:t xml:space="preserve">; </w:t>
            </w:r>
            <w:hyperlink r:id="rId14" w:history="1">
              <w:r w:rsidRPr="00B4167E">
                <w:rPr>
                  <w:rStyle w:val="Hyperlink"/>
                  <w:rFonts w:ascii="Calibri" w:hAnsi="Calibri" w:cs="Calibri"/>
                  <w:i/>
                  <w:iCs/>
                </w:rPr>
                <w:t>C18/100</w:t>
              </w:r>
            </w:hyperlink>
            <w:r w:rsidRPr="00B4167E">
              <w:rPr>
                <w:rFonts w:ascii="Calibri" w:hAnsi="Calibri" w:cs="Calibri"/>
                <w:i/>
                <w:iCs/>
              </w:rPr>
              <w:t xml:space="preserve">; </w:t>
            </w:r>
            <w:hyperlink r:id="rId15" w:history="1">
              <w:r w:rsidRPr="00B4167E">
                <w:rPr>
                  <w:rStyle w:val="Hyperlink"/>
                  <w:rFonts w:ascii="Calibri" w:hAnsi="Calibri" w:cs="Calibri"/>
                  <w:i/>
                  <w:iCs/>
                  <w:spacing w:val="4"/>
                  <w:szCs w:val="24"/>
                  <w:lang w:val="en-US"/>
                </w:rPr>
                <w:t>CWG-FHR 9/1</w:t>
              </w:r>
            </w:hyperlink>
            <w:r w:rsidRPr="00B4167E">
              <w:rPr>
                <w:rStyle w:val="Hyperlink"/>
                <w:rFonts w:ascii="Calibri" w:hAnsi="Calibri" w:cs="Calibri"/>
                <w:i/>
                <w:iCs/>
                <w:spacing w:val="4"/>
                <w:szCs w:val="24"/>
                <w:lang w:val="en-US"/>
              </w:rPr>
              <w:t>4</w:t>
            </w:r>
            <w:r w:rsidRPr="00B4167E">
              <w:rPr>
                <w:rFonts w:ascii="Calibri" w:hAnsi="Calibri" w:cs="Calibri"/>
                <w:i/>
                <w:iCs/>
              </w:rPr>
              <w:t xml:space="preserve">; </w:t>
            </w:r>
            <w:hyperlink r:id="rId16" w:history="1">
              <w:r w:rsidRPr="00B4167E">
                <w:rPr>
                  <w:rStyle w:val="Hyperlink"/>
                  <w:rFonts w:ascii="Calibri" w:hAnsi="Calibri" w:cs="Calibri"/>
                  <w:i/>
                  <w:iCs/>
                  <w:spacing w:val="4"/>
                  <w:lang w:val="en-US"/>
                </w:rPr>
                <w:t>CWG-FHR 9/15</w:t>
              </w:r>
            </w:hyperlink>
            <w:r w:rsidRPr="00B4167E">
              <w:rPr>
                <w:rStyle w:val="Hyperlink"/>
                <w:rFonts w:ascii="Calibri" w:hAnsi="Calibri" w:cs="Calibri"/>
                <w:i/>
                <w:iCs/>
                <w:spacing w:val="4"/>
                <w:lang w:val="en-US"/>
              </w:rPr>
              <w:t xml:space="preserve">; </w:t>
            </w:r>
            <w:hyperlink r:id="rId17" w:history="1">
              <w:r w:rsidRPr="00B4167E">
                <w:rPr>
                  <w:rStyle w:val="Hyperlink"/>
                  <w:rFonts w:ascii="Calibri" w:hAnsi="Calibri" w:cs="Calibri"/>
                  <w:i/>
                  <w:iCs/>
                  <w:spacing w:val="4"/>
                  <w:lang w:val="en-US"/>
                </w:rPr>
                <w:t>C19/47</w:t>
              </w:r>
            </w:hyperlink>
            <w:r w:rsidRPr="00B4167E">
              <w:rPr>
                <w:rStyle w:val="Hyperlink"/>
                <w:rFonts w:ascii="Calibri" w:hAnsi="Calibri" w:cs="Calibri"/>
                <w:i/>
                <w:iCs/>
                <w:spacing w:val="4"/>
                <w:lang w:val="en-US"/>
              </w:rPr>
              <w:t>,</w:t>
            </w:r>
            <w:r w:rsidRPr="00B4167E">
              <w:rPr>
                <w:rStyle w:val="Hyperlink"/>
                <w:rFonts w:ascii="Calibri" w:hAnsi="Calibri" w:cs="Calibri"/>
                <w:i/>
                <w:iCs/>
                <w:spacing w:val="4"/>
              </w:rPr>
              <w:t xml:space="preserve"> </w:t>
            </w:r>
            <w:hyperlink r:id="rId18" w:history="1">
              <w:r w:rsidRPr="00B4167E">
                <w:rPr>
                  <w:rStyle w:val="Hyperlink"/>
                  <w:rFonts w:ascii="Calibri" w:hAnsi="Calibri" w:cs="Calibri"/>
                  <w:bCs/>
                  <w:i/>
                  <w:iCs/>
                  <w:szCs w:val="24"/>
                  <w:lang w:val="en-US"/>
                </w:rPr>
                <w:t>C19/120</w:t>
              </w:r>
            </w:hyperlink>
            <w:r w:rsidRPr="00B4167E">
              <w:rPr>
                <w:rFonts w:ascii="Calibri" w:hAnsi="Calibri" w:cs="Calibri"/>
              </w:rPr>
              <w:t xml:space="preserve">; </w:t>
            </w:r>
            <w:hyperlink r:id="rId19" w:history="1">
              <w:r w:rsidRPr="00B4167E">
                <w:rPr>
                  <w:rStyle w:val="Hyperlink"/>
                  <w:rFonts w:ascii="Calibri" w:hAnsi="Calibri" w:cs="Calibri"/>
                  <w:i/>
                  <w:iCs/>
                </w:rPr>
                <w:t>C20/47</w:t>
              </w:r>
            </w:hyperlink>
            <w:r w:rsidRPr="00B4167E">
              <w:rPr>
                <w:rFonts w:ascii="Calibri" w:hAnsi="Calibri" w:cs="Calibri"/>
              </w:rPr>
              <w:t xml:space="preserve">; </w:t>
            </w:r>
            <w:hyperlink r:id="rId20" w:history="1">
              <w:r w:rsidRPr="00B4167E">
                <w:rPr>
                  <w:rStyle w:val="Hyperlink"/>
                  <w:rFonts w:ascii="Calibri" w:hAnsi="Calibri" w:cs="Calibri"/>
                  <w:i/>
                  <w:iCs/>
                </w:rPr>
                <w:t>C21/47</w:t>
              </w:r>
            </w:hyperlink>
            <w:r w:rsidRPr="00B4167E">
              <w:rPr>
                <w:rFonts w:ascii="Calibri" w:hAnsi="Calibri" w:cs="Calibri"/>
              </w:rPr>
              <w:t xml:space="preserve">; </w:t>
            </w:r>
            <w:hyperlink r:id="rId21" w:history="1">
              <w:r w:rsidRPr="00B4167E">
                <w:rPr>
                  <w:rStyle w:val="Hyperlink"/>
                  <w:rFonts w:ascii="Calibri" w:hAnsi="Calibri" w:cs="Calibri"/>
                  <w:i/>
                  <w:iCs/>
                </w:rPr>
                <w:t>SG2-TD1146</w:t>
              </w:r>
            </w:hyperlink>
          </w:p>
        </w:tc>
      </w:tr>
    </w:tbl>
    <w:p w14:paraId="5D22B3F2" w14:textId="3AF29331" w:rsidR="00243A47" w:rsidRDefault="00243A47">
      <w:pPr>
        <w:tabs>
          <w:tab w:val="clear" w:pos="794"/>
          <w:tab w:val="clear" w:pos="1191"/>
          <w:tab w:val="clear" w:pos="1588"/>
          <w:tab w:val="clear" w:pos="1985"/>
        </w:tabs>
        <w:overflowPunct/>
        <w:autoSpaceDE/>
        <w:autoSpaceDN/>
        <w:adjustRightInd/>
        <w:spacing w:before="0"/>
        <w:textAlignment w:val="auto"/>
        <w:rPr>
          <w:rFonts w:ascii="Calibri" w:hAnsi="Calibri" w:cs="Calibri"/>
          <w:bCs/>
          <w:sz w:val="28"/>
          <w:szCs w:val="28"/>
        </w:rPr>
      </w:pPr>
      <w:r>
        <w:rPr>
          <w:rFonts w:ascii="Calibri" w:hAnsi="Calibri" w:cs="Calibri"/>
          <w:bCs/>
          <w:sz w:val="28"/>
          <w:szCs w:val="28"/>
        </w:rPr>
        <w:br w:type="page"/>
      </w:r>
    </w:p>
    <w:p w14:paraId="76AA045D" w14:textId="7DE5649E" w:rsidR="00F66C8E" w:rsidRPr="00EA7697"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sz w:val="22"/>
          <w:szCs w:val="22"/>
        </w:rPr>
      </w:pPr>
    </w:p>
    <w:p w14:paraId="7376633C" w14:textId="04DB0810" w:rsidR="00F66C8E" w:rsidRPr="00B56F3A" w:rsidRDefault="00F66C8E" w:rsidP="0072262F">
      <w:pPr>
        <w:pStyle w:val="ListParagraph"/>
        <w:keepNext/>
        <w:keepLines/>
        <w:numPr>
          <w:ilvl w:val="0"/>
          <w:numId w:val="41"/>
        </w:numPr>
        <w:tabs>
          <w:tab w:val="clear" w:pos="794"/>
          <w:tab w:val="clear" w:pos="1191"/>
          <w:tab w:val="clear" w:pos="1588"/>
          <w:tab w:val="clear" w:pos="1985"/>
        </w:tabs>
        <w:spacing w:before="160"/>
        <w:ind w:hanging="720"/>
        <w:outlineLvl w:val="3"/>
        <w:rPr>
          <w:rFonts w:ascii="Calibri" w:hAnsi="Calibri" w:cs="Calibri"/>
          <w:b/>
          <w:color w:val="1F497D" w:themeColor="text2"/>
          <w:sz w:val="26"/>
          <w:szCs w:val="26"/>
        </w:rPr>
      </w:pPr>
      <w:r w:rsidRPr="00B56F3A">
        <w:rPr>
          <w:rFonts w:ascii="Calibri" w:hAnsi="Calibri" w:cs="Calibri"/>
          <w:b/>
          <w:color w:val="1F497D" w:themeColor="text2"/>
          <w:sz w:val="26"/>
          <w:szCs w:val="26"/>
        </w:rPr>
        <w:t>Background</w:t>
      </w:r>
    </w:p>
    <w:p w14:paraId="1FC9F3F4" w14:textId="1B01603F"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eastAsia="ja-JP"/>
        </w:rPr>
      </w:pPr>
      <w:bookmarkStart w:id="1" w:name="_Hlk77616610"/>
      <w:r w:rsidRPr="00C465B1">
        <w:rPr>
          <w:rFonts w:ascii="Calibri" w:hAnsi="Calibri" w:cs="Calibri"/>
          <w:szCs w:val="24"/>
          <w:lang w:eastAsia="ja-JP"/>
        </w:rPr>
        <w:t xml:space="preserve">Council Document </w:t>
      </w:r>
      <w:bookmarkEnd w:id="1"/>
      <w:r w:rsidR="00B247CD" w:rsidRPr="00C465B1">
        <w:rPr>
          <w:rFonts w:ascii="Calibri" w:hAnsi="Calibri" w:cs="Calibri"/>
          <w:szCs w:val="24"/>
        </w:rPr>
        <w:fldChar w:fldCharType="begin"/>
      </w:r>
      <w:r w:rsidR="00B247CD" w:rsidRPr="00C465B1">
        <w:rPr>
          <w:rFonts w:ascii="Calibri" w:hAnsi="Calibri" w:cs="Calibri"/>
          <w:szCs w:val="24"/>
        </w:rPr>
        <w:instrText>HYPERLINK "https://www.itu.int/md/S21-CL-C-0047/en"</w:instrText>
      </w:r>
      <w:r w:rsidR="00B247CD" w:rsidRPr="00C465B1">
        <w:rPr>
          <w:rFonts w:ascii="Calibri" w:hAnsi="Calibri" w:cs="Calibri"/>
          <w:szCs w:val="24"/>
        </w:rPr>
        <w:fldChar w:fldCharType="separate"/>
      </w:r>
      <w:r w:rsidR="00B247CD" w:rsidRPr="00C465B1">
        <w:rPr>
          <w:rFonts w:ascii="Calibri" w:hAnsi="Calibri" w:cs="Calibri"/>
          <w:color w:val="0000FF"/>
          <w:szCs w:val="24"/>
          <w:u w:val="single"/>
          <w:lang w:eastAsia="ja-JP"/>
        </w:rPr>
        <w:t>C21/47</w:t>
      </w:r>
      <w:r w:rsidR="00B247CD" w:rsidRPr="00C465B1">
        <w:rPr>
          <w:rFonts w:ascii="Calibri" w:hAnsi="Calibri" w:cs="Calibri"/>
          <w:color w:val="0000FF"/>
          <w:szCs w:val="24"/>
          <w:u w:val="single"/>
          <w:lang w:eastAsia="ja-JP"/>
        </w:rPr>
        <w:fldChar w:fldCharType="end"/>
      </w:r>
      <w:r w:rsidR="00B247CD" w:rsidRPr="00C465B1">
        <w:rPr>
          <w:rFonts w:ascii="Calibri" w:hAnsi="Calibri" w:cs="Calibri"/>
          <w:szCs w:val="24"/>
          <w:lang w:eastAsia="ja-JP"/>
        </w:rPr>
        <w:t xml:space="preserve"> c</w:t>
      </w:r>
      <w:r w:rsidRPr="00C465B1">
        <w:rPr>
          <w:rFonts w:ascii="Calibri" w:hAnsi="Calibri" w:cs="Calibri"/>
          <w:szCs w:val="24"/>
          <w:lang w:eastAsia="ja-JP"/>
        </w:rPr>
        <w:t>ontains an updated status report on implementation of Council Decisions 600 and 601 (UIFN, IIN).</w:t>
      </w:r>
    </w:p>
    <w:p w14:paraId="286FFF47"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val="en-US" w:eastAsia="ja-JP"/>
        </w:rPr>
      </w:pPr>
      <w:r w:rsidRPr="00C465B1">
        <w:rPr>
          <w:rFonts w:ascii="Calibri" w:hAnsi="Calibri" w:cs="Calibri"/>
          <w:szCs w:val="24"/>
          <w:lang w:val="en-US" w:eastAsia="ja-JP"/>
        </w:rPr>
        <w:t xml:space="preserve">Summary of the fee structure for the numbering resources mentioned in </w:t>
      </w:r>
      <w:r w:rsidRPr="00C465B1">
        <w:rPr>
          <w:rFonts w:ascii="Calibri" w:hAnsi="Calibri" w:cs="Calibri"/>
          <w:szCs w:val="24"/>
          <w:lang w:eastAsia="ja-JP"/>
        </w:rPr>
        <w:t>C21/47</w:t>
      </w:r>
      <w:r w:rsidRPr="00C465B1">
        <w:rPr>
          <w:rFonts w:ascii="Calibri" w:hAnsi="Calibri" w:cs="Calibri"/>
          <w:szCs w:val="24"/>
          <w:lang w:val="en-US" w:eastAsia="ja-JP"/>
        </w:rPr>
        <w:t>:</w:t>
      </w:r>
    </w:p>
    <w:p w14:paraId="6BA10BA6" w14:textId="7519F655" w:rsidR="00F66C8E" w:rsidRPr="00C465B1" w:rsidRDefault="00F66C8E" w:rsidP="00F66C8E">
      <w:pPr>
        <w:spacing w:before="80"/>
        <w:ind w:left="794" w:hanging="794"/>
        <w:rPr>
          <w:rFonts w:ascii="Calibri" w:hAnsi="Calibri" w:cs="Calibri"/>
          <w:szCs w:val="24"/>
        </w:rPr>
      </w:pPr>
      <w:r w:rsidRPr="00C465B1">
        <w:rPr>
          <w:rFonts w:ascii="Calibri" w:hAnsi="Calibri" w:cs="Calibri"/>
          <w:szCs w:val="24"/>
        </w:rPr>
        <w:t>-</w:t>
      </w:r>
      <w:r w:rsidRPr="00C465B1">
        <w:rPr>
          <w:rFonts w:ascii="Calibri" w:hAnsi="Calibri" w:cs="Calibri"/>
          <w:szCs w:val="24"/>
        </w:rPr>
        <w:tab/>
      </w:r>
      <w:r w:rsidRPr="00C465B1">
        <w:rPr>
          <w:rFonts w:ascii="Calibri" w:hAnsi="Calibri" w:cs="Calibri"/>
          <w:b/>
          <w:bCs/>
          <w:szCs w:val="24"/>
        </w:rPr>
        <w:t>UIFN</w:t>
      </w:r>
      <w:r w:rsidRPr="00C465B1">
        <w:rPr>
          <w:rFonts w:ascii="Calibri" w:hAnsi="Calibri" w:cs="Calibri"/>
          <w:szCs w:val="24"/>
        </w:rPr>
        <w:t xml:space="preserve">: From 1 January 2018, the registration application fee is 300 Swiss francs per number. For non ITU-T and ITU-R Sector Members, an annual maintenance fee of 100 Swiss francs per number assigned or reserved is collected since 1 January 2018. </w:t>
      </w:r>
    </w:p>
    <w:p w14:paraId="1C48DCBD" w14:textId="5DC2196D" w:rsidR="00F66C8E" w:rsidRPr="00C465B1" w:rsidRDefault="00F66C8E" w:rsidP="00F66C8E">
      <w:pPr>
        <w:spacing w:before="80"/>
        <w:ind w:left="794" w:hanging="794"/>
        <w:rPr>
          <w:rFonts w:ascii="Calibri" w:hAnsi="Calibri" w:cs="Calibri"/>
          <w:szCs w:val="24"/>
        </w:rPr>
      </w:pPr>
      <w:r w:rsidRPr="00C465B1">
        <w:rPr>
          <w:rFonts w:ascii="Calibri" w:hAnsi="Calibri" w:cs="Calibri"/>
          <w:szCs w:val="24"/>
        </w:rPr>
        <w:t>-</w:t>
      </w:r>
      <w:r w:rsidRPr="00C465B1">
        <w:rPr>
          <w:rFonts w:ascii="Calibri" w:hAnsi="Calibri" w:cs="Calibri"/>
          <w:szCs w:val="24"/>
        </w:rPr>
        <w:tab/>
      </w:r>
      <w:r w:rsidRPr="00C465B1">
        <w:rPr>
          <w:rFonts w:ascii="Calibri" w:hAnsi="Calibri" w:cs="Calibri"/>
          <w:b/>
          <w:bCs/>
          <w:szCs w:val="24"/>
        </w:rPr>
        <w:t>IIN</w:t>
      </w:r>
      <w:r w:rsidRPr="00C465B1">
        <w:rPr>
          <w:rFonts w:ascii="Calibri" w:hAnsi="Calibri" w:cs="Calibri"/>
          <w:szCs w:val="24"/>
        </w:rPr>
        <w:t>: According to Recommendation ITU-T E.118, to complete the registration procedure, ITU charges a registration fee. The registration fee is currently 150 Swiss francs per new IIN. Additionally, for non ITU-T and ITU-R Sector Members, the Applicant is required to pay an annual maintenance fee of 100 Swiss francs per IIN.</w:t>
      </w:r>
    </w:p>
    <w:p w14:paraId="3248F4D6"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val="en-US" w:eastAsia="ja-JP"/>
        </w:rPr>
      </w:pPr>
      <w:r w:rsidRPr="00C465B1">
        <w:rPr>
          <w:rFonts w:ascii="Calibri" w:eastAsia="Calibri" w:hAnsi="Calibri" w:cs="Calibri"/>
          <w:szCs w:val="24"/>
        </w:rPr>
        <w:t xml:space="preserve">In addition, </w:t>
      </w:r>
      <w:r w:rsidRPr="00C465B1">
        <w:rPr>
          <w:rFonts w:ascii="Calibri" w:hAnsi="Calibri" w:cs="Calibri"/>
          <w:szCs w:val="24"/>
          <w:lang w:val="en-US" w:eastAsia="ja-JP"/>
        </w:rPr>
        <w:t xml:space="preserve">the list of ITU-T E.118 IINs for which the assignee contact is still in progress can be found on the following ITU web page: </w:t>
      </w:r>
      <w:r w:rsidRPr="00C465B1">
        <w:rPr>
          <w:rFonts w:ascii="Calibri" w:hAnsi="Calibri" w:cs="Calibri"/>
          <w:szCs w:val="24"/>
          <w:lang w:val="en-US" w:eastAsia="ja-JP"/>
        </w:rPr>
        <w:br/>
      </w:r>
      <w:hyperlink r:id="rId22" w:anchor="assignee-contact-not-reachable" w:history="1">
        <w:r w:rsidRPr="00C465B1">
          <w:rPr>
            <w:rFonts w:ascii="Calibri" w:hAnsi="Calibri" w:cs="Calibri"/>
            <w:color w:val="0563C1"/>
            <w:szCs w:val="24"/>
            <w:u w:val="single"/>
            <w:lang w:val="en-US" w:eastAsia="ja-JP"/>
          </w:rPr>
          <w:t>https://www.itu.int/en/ITU-T/inr/forms/Pages/iin.aspx#assignee-contact-not-reachable</w:t>
        </w:r>
      </w:hyperlink>
    </w:p>
    <w:p w14:paraId="33E575BB"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eastAsia="ja-JP"/>
        </w:rPr>
      </w:pPr>
      <w:r w:rsidRPr="00C465B1">
        <w:rPr>
          <w:rFonts w:ascii="Calibri" w:hAnsi="Calibri" w:cs="Calibri"/>
          <w:szCs w:val="24"/>
          <w:lang w:eastAsia="ja-JP"/>
        </w:rPr>
        <w:t>Annex B to C21/47-E contains a list of UIFN service providers pending payment for 2018, 2019 and 2020. That annex is also attached to this document for completeness.</w:t>
      </w:r>
    </w:p>
    <w:p w14:paraId="04E2656C" w14:textId="79A5746E" w:rsidR="00F66C8E" w:rsidRPr="00B56F3A" w:rsidRDefault="00F66C8E" w:rsidP="0072262F">
      <w:pPr>
        <w:pStyle w:val="ListParagraph"/>
        <w:keepNext/>
        <w:keepLines/>
        <w:numPr>
          <w:ilvl w:val="0"/>
          <w:numId w:val="41"/>
        </w:numPr>
        <w:tabs>
          <w:tab w:val="clear" w:pos="794"/>
          <w:tab w:val="clear" w:pos="1191"/>
          <w:tab w:val="clear" w:pos="1588"/>
          <w:tab w:val="clear" w:pos="1985"/>
        </w:tabs>
        <w:spacing w:before="360"/>
        <w:ind w:hanging="720"/>
        <w:outlineLvl w:val="3"/>
        <w:rPr>
          <w:rFonts w:ascii="Calibri" w:hAnsi="Calibri" w:cs="Calibri"/>
          <w:b/>
          <w:color w:val="1F497D" w:themeColor="text2"/>
          <w:sz w:val="26"/>
          <w:szCs w:val="26"/>
        </w:rPr>
      </w:pPr>
      <w:r w:rsidRPr="00B56F3A">
        <w:rPr>
          <w:rFonts w:ascii="Calibri" w:hAnsi="Calibri" w:cs="Calibri"/>
          <w:b/>
          <w:color w:val="1F497D" w:themeColor="text2"/>
          <w:sz w:val="26"/>
          <w:szCs w:val="26"/>
        </w:rPr>
        <w:t>ITU-T SG2 TD-1446-GEN</w:t>
      </w:r>
    </w:p>
    <w:p w14:paraId="7C599594"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eastAsia="ja-JP"/>
        </w:rPr>
      </w:pPr>
      <w:r w:rsidRPr="00C465B1">
        <w:rPr>
          <w:rFonts w:ascii="Calibri" w:hAnsi="Calibri" w:cs="Calibri"/>
          <w:szCs w:val="24"/>
          <w:lang w:eastAsia="ja-JP"/>
        </w:rPr>
        <w:t xml:space="preserve">During the ITU-T Q1/2 meeting (virtual, May 31 – 11 June 2021) </w:t>
      </w:r>
      <w:hyperlink r:id="rId23" w:history="1">
        <w:r w:rsidRPr="00C465B1">
          <w:rPr>
            <w:rFonts w:ascii="Calibri" w:hAnsi="Calibri" w:cs="Calibri"/>
            <w:color w:val="0000FF"/>
            <w:szCs w:val="24"/>
            <w:u w:val="single"/>
            <w:lang w:eastAsia="ja-JP"/>
          </w:rPr>
          <w:t>SG2-TD1363</w:t>
        </w:r>
      </w:hyperlink>
      <w:r w:rsidRPr="00C465B1">
        <w:rPr>
          <w:rFonts w:ascii="Calibri" w:hAnsi="Calibri" w:cs="Calibri"/>
          <w:szCs w:val="24"/>
          <w:lang w:eastAsia="ja-JP"/>
        </w:rPr>
        <w:t xml:space="preserve"> was discussed. This contains a report of the progress on revenue generation from international numbering resources (INRs), duplicating Council Document C21/47-E. </w:t>
      </w:r>
    </w:p>
    <w:p w14:paraId="13CC5B8F"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eastAsia="MS Mincho" w:hAnsi="Calibri" w:cs="Calibri"/>
          <w:szCs w:val="24"/>
          <w:lang w:eastAsia="ja-JP"/>
        </w:rPr>
      </w:pPr>
      <w:r w:rsidRPr="00C465B1">
        <w:rPr>
          <w:rFonts w:ascii="Calibri" w:eastAsia="MS Mincho" w:hAnsi="Calibri" w:cs="Calibri"/>
          <w:szCs w:val="24"/>
          <w:lang w:eastAsia="ja-JP"/>
        </w:rPr>
        <w:t xml:space="preserve">During the review of the TD, it was noted that the difficulty in identifying contacts within organisations after a change in policy was an issue that Q1/2 had previously identified when the proposed change was reviewed. It was agreed to develop advice to the Director of TSB to provide additional information to Council on INR revenue collection. The advice is contained in </w:t>
      </w:r>
      <w:hyperlink r:id="rId24" w:history="1">
        <w:r w:rsidRPr="00C465B1">
          <w:rPr>
            <w:rFonts w:ascii="Calibri" w:eastAsia="MS Mincho" w:hAnsi="Calibri" w:cs="Calibri"/>
            <w:color w:val="0563C1"/>
            <w:szCs w:val="24"/>
            <w:u w:val="single"/>
            <w:lang w:eastAsia="ja-JP"/>
          </w:rPr>
          <w:t>SG2-TD1446</w:t>
        </w:r>
      </w:hyperlink>
      <w:r w:rsidRPr="00C465B1">
        <w:rPr>
          <w:rFonts w:ascii="Calibri" w:eastAsia="MS Mincho" w:hAnsi="Calibri" w:cs="Calibri"/>
          <w:szCs w:val="24"/>
          <w:lang w:eastAsia="ja-JP"/>
        </w:rPr>
        <w:t xml:space="preserve">. </w:t>
      </w:r>
    </w:p>
    <w:p w14:paraId="21E13C1E"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eastAsia="MS Mincho" w:hAnsi="Calibri" w:cs="Calibri"/>
          <w:szCs w:val="24"/>
          <w:lang w:eastAsia="ja-JP"/>
        </w:rPr>
      </w:pPr>
      <w:r w:rsidRPr="00C465B1">
        <w:rPr>
          <w:rFonts w:ascii="Calibri" w:eastAsia="MS Mincho" w:hAnsi="Calibri" w:cs="Calibri"/>
          <w:szCs w:val="24"/>
          <w:lang w:eastAsia="ja-JP"/>
        </w:rPr>
        <w:t>The advice was understood to be offered for the purpose of the ITU-T SG2 meeting on aspects under the remit of Q1/2, the participants were mindful of the need for the Director to consult with internal ITU departments on other aspects, such as the finance practices.</w:t>
      </w:r>
    </w:p>
    <w:p w14:paraId="58CC0318"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259F9267"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r w:rsidRPr="00C465B1">
        <w:rPr>
          <w:rFonts w:ascii="Calibri" w:eastAsia="MS Mincho" w:hAnsi="Calibri" w:cs="Calibri"/>
          <w:szCs w:val="24"/>
          <w:lang w:eastAsia="ja-JP"/>
        </w:rPr>
        <w:t xml:space="preserve">Sections 1 and 2 of </w:t>
      </w:r>
      <w:hyperlink r:id="rId25" w:history="1">
        <w:r w:rsidRPr="00C465B1">
          <w:rPr>
            <w:rFonts w:ascii="Calibri" w:eastAsia="MS Mincho" w:hAnsi="Calibri" w:cs="Calibri"/>
            <w:color w:val="0563C1"/>
            <w:szCs w:val="24"/>
            <w:u w:val="single"/>
            <w:lang w:eastAsia="ja-JP"/>
          </w:rPr>
          <w:t>SG2-TD1446</w:t>
        </w:r>
      </w:hyperlink>
      <w:r w:rsidRPr="00C465B1">
        <w:rPr>
          <w:rFonts w:ascii="Calibri" w:eastAsia="MS Mincho" w:hAnsi="Calibri" w:cs="Calibri"/>
          <w:szCs w:val="24"/>
          <w:lang w:eastAsia="ja-JP"/>
        </w:rPr>
        <w:t xml:space="preserve"> are duplicated below:</w:t>
      </w:r>
    </w:p>
    <w:p w14:paraId="75C0355C" w14:textId="77777777" w:rsidR="00F66C8E" w:rsidRPr="00C465B1" w:rsidRDefault="00F66C8E" w:rsidP="00F66C8E">
      <w:pPr>
        <w:keepNext/>
        <w:keepLines/>
        <w:numPr>
          <w:ilvl w:val="0"/>
          <w:numId w:val="38"/>
        </w:numPr>
        <w:tabs>
          <w:tab w:val="clear" w:pos="794"/>
          <w:tab w:val="clear" w:pos="1191"/>
          <w:tab w:val="clear" w:pos="1588"/>
          <w:tab w:val="clear" w:pos="1985"/>
          <w:tab w:val="left" w:pos="1021"/>
        </w:tabs>
        <w:overflowPunct/>
        <w:autoSpaceDE/>
        <w:autoSpaceDN/>
        <w:adjustRightInd/>
        <w:spacing w:before="160" w:after="160" w:line="259" w:lineRule="auto"/>
        <w:textAlignment w:val="auto"/>
        <w:outlineLvl w:val="3"/>
        <w:rPr>
          <w:rFonts w:ascii="Calibri" w:hAnsi="Calibri" w:cs="Calibri"/>
          <w:b/>
          <w:szCs w:val="24"/>
        </w:rPr>
      </w:pPr>
      <w:bookmarkStart w:id="2" w:name="_Hlk77586762"/>
      <w:r w:rsidRPr="00C465B1">
        <w:rPr>
          <w:rFonts w:ascii="Calibri" w:hAnsi="Calibri" w:cs="Calibri"/>
          <w:b/>
          <w:szCs w:val="24"/>
        </w:rPr>
        <w:t>Advice to the Director of TSB</w:t>
      </w:r>
    </w:p>
    <w:p w14:paraId="69CBF03F"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r w:rsidRPr="00C465B1">
        <w:rPr>
          <w:rFonts w:ascii="Calibri" w:hAnsi="Calibri" w:cs="Calibri"/>
          <w:szCs w:val="24"/>
        </w:rPr>
        <w:t xml:space="preserve">Pursuant to Recommendation E.169.1 (see section 2 below) assignees have the responsibility to ensure payment of an annual maintenance fee.  Further, pursuant to Recommendation E.190, </w:t>
      </w:r>
      <w:r w:rsidRPr="00C465B1">
        <w:rPr>
          <w:rFonts w:ascii="Calibri" w:hAnsi="Calibri" w:cs="Calibri"/>
          <w:szCs w:val="24"/>
          <w:lang w:eastAsia="ja-JP"/>
        </w:rPr>
        <w:t xml:space="preserve">the applicants must comply with the assignment criteria, which include adherence to all ITU-T Recommendations relative to each service. </w:t>
      </w:r>
    </w:p>
    <w:p w14:paraId="4FCC9B65"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r w:rsidRPr="00C465B1">
        <w:rPr>
          <w:rFonts w:ascii="Calibri" w:hAnsi="Calibri" w:cs="Calibri"/>
          <w:szCs w:val="24"/>
        </w:rPr>
        <w:t xml:space="preserve">SG2 advises the Director of TSB to present to Council, for its information, this document, whose section 2 contains detailed information on clauses applicable to reclamation in case of non-payment of fees. </w:t>
      </w:r>
    </w:p>
    <w:p w14:paraId="77724ADA"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r w:rsidRPr="00C465B1">
        <w:rPr>
          <w:rFonts w:ascii="Calibri" w:hAnsi="Calibri" w:cs="Calibri"/>
          <w:szCs w:val="24"/>
        </w:rPr>
        <w:t>SG2 also advises the Director of TSB to invite Council to instruct him to proceed as follows in case of non-payment of fees for numbering resources:</w:t>
      </w:r>
    </w:p>
    <w:p w14:paraId="76AE933D" w14:textId="77777777" w:rsidR="00F66C8E" w:rsidRPr="00C465B1" w:rsidRDefault="00F66C8E" w:rsidP="00F66C8E">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cs="Calibri"/>
          <w:szCs w:val="24"/>
        </w:rPr>
      </w:pPr>
      <w:r w:rsidRPr="00C465B1">
        <w:rPr>
          <w:rFonts w:ascii="Calibri" w:hAnsi="Calibri" w:cs="Calibri"/>
          <w:szCs w:val="24"/>
        </w:rPr>
        <w:t xml:space="preserve">Send a request for payment within 90 days (if the contact information in the ITU-T database is incorrect, request the relevant Member State to assist in obtaining up-to-date contact information; if no up-to-date contact information can be obtained, send a notice of </w:t>
      </w:r>
      <w:r w:rsidRPr="00C465B1">
        <w:rPr>
          <w:rFonts w:ascii="Calibri" w:hAnsi="Calibri" w:cs="Calibri"/>
          <w:szCs w:val="24"/>
        </w:rPr>
        <w:lastRenderedPageBreak/>
        <w:t>planned reclamation to the address in the database in accordance with step (c) below and proceed in accordance with step (d) below).</w:t>
      </w:r>
    </w:p>
    <w:p w14:paraId="225389B7" w14:textId="77777777" w:rsidR="00F66C8E" w:rsidRPr="00C465B1" w:rsidRDefault="00F66C8E" w:rsidP="00F66C8E">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cs="Calibri"/>
          <w:szCs w:val="24"/>
        </w:rPr>
      </w:pPr>
      <w:r w:rsidRPr="00C465B1">
        <w:rPr>
          <w:rFonts w:ascii="Calibri" w:hAnsi="Calibri" w:cs="Calibri"/>
          <w:szCs w:val="24"/>
        </w:rPr>
        <w:t>If no payment is received within 90 days, send a second request for payment within 60 days.</w:t>
      </w:r>
    </w:p>
    <w:p w14:paraId="79D70360" w14:textId="77777777" w:rsidR="00F66C8E" w:rsidRPr="00C465B1" w:rsidRDefault="00F66C8E" w:rsidP="00F66C8E">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cs="Calibri"/>
          <w:szCs w:val="24"/>
        </w:rPr>
      </w:pPr>
      <w:r w:rsidRPr="00C465B1">
        <w:rPr>
          <w:rFonts w:ascii="Calibri" w:hAnsi="Calibri" w:cs="Calibri"/>
          <w:szCs w:val="24"/>
        </w:rPr>
        <w:t>If no payment is received within 60 days, send a notice of planned reclamation if no payment is received within 30 days.</w:t>
      </w:r>
    </w:p>
    <w:p w14:paraId="48A9682B" w14:textId="77777777" w:rsidR="00F66C8E" w:rsidRPr="00C465B1" w:rsidRDefault="00F66C8E" w:rsidP="00F66C8E">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cs="Calibri"/>
          <w:szCs w:val="24"/>
        </w:rPr>
      </w:pPr>
      <w:r w:rsidRPr="00C465B1">
        <w:rPr>
          <w:rFonts w:ascii="Calibri" w:hAnsi="Calibri" w:cs="Calibri"/>
          <w:szCs w:val="24"/>
        </w:rPr>
        <w:t>If no payment is received within 30 days, reclaim the resource (a notification of reclamation is sent to the assignee and the reclamation is published in the Operational Bulletin).</w:t>
      </w:r>
    </w:p>
    <w:bookmarkEnd w:id="2"/>
    <w:p w14:paraId="260E21D9"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07354EB6" w14:textId="77777777" w:rsidR="00F66C8E" w:rsidRPr="00C465B1" w:rsidRDefault="00F66C8E" w:rsidP="00F66C8E">
      <w:pPr>
        <w:keepNext/>
        <w:keepLines/>
        <w:numPr>
          <w:ilvl w:val="0"/>
          <w:numId w:val="38"/>
        </w:numPr>
        <w:tabs>
          <w:tab w:val="clear" w:pos="794"/>
          <w:tab w:val="clear" w:pos="1191"/>
          <w:tab w:val="clear" w:pos="1588"/>
          <w:tab w:val="clear" w:pos="1985"/>
          <w:tab w:val="left" w:pos="1021"/>
        </w:tabs>
        <w:overflowPunct/>
        <w:autoSpaceDE/>
        <w:autoSpaceDN/>
        <w:adjustRightInd/>
        <w:spacing w:before="160" w:after="160" w:line="259" w:lineRule="auto"/>
        <w:textAlignment w:val="auto"/>
        <w:outlineLvl w:val="3"/>
        <w:rPr>
          <w:rFonts w:ascii="Calibri" w:hAnsi="Calibri" w:cs="Calibri"/>
          <w:b/>
          <w:szCs w:val="24"/>
        </w:rPr>
      </w:pPr>
      <w:r w:rsidRPr="00C465B1">
        <w:rPr>
          <w:rFonts w:ascii="Calibri" w:hAnsi="Calibri" w:cs="Calibri"/>
          <w:b/>
          <w:szCs w:val="24"/>
        </w:rPr>
        <w:t>Detailed information and applicable clauses from relevant Recommendations covering number reclamation</w:t>
      </w:r>
    </w:p>
    <w:p w14:paraId="23195D88"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r w:rsidRPr="00C465B1">
        <w:rPr>
          <w:rFonts w:ascii="Calibri" w:hAnsi="Calibri" w:cs="Calibri"/>
          <w:szCs w:val="24"/>
        </w:rPr>
        <w:t>Relevant provisions related to possible reclamation of resources in case of non-payment of fees are reproduced below.</w:t>
      </w:r>
    </w:p>
    <w:p w14:paraId="1F25F3D7"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eastAsia="ja-JP"/>
        </w:rPr>
      </w:pPr>
      <w:r w:rsidRPr="00C465B1">
        <w:rPr>
          <w:rFonts w:ascii="Calibri" w:hAnsi="Calibri" w:cs="Calibri"/>
          <w:b/>
          <w:bCs/>
          <w:szCs w:val="24"/>
          <w:u w:val="single"/>
        </w:rPr>
        <w:t>Applicable clauses under Recommendation E.169.1</w:t>
      </w:r>
      <w:r w:rsidRPr="00C465B1">
        <w:rPr>
          <w:rFonts w:ascii="Calibri" w:hAnsi="Calibri" w:cs="Calibri"/>
          <w:szCs w:val="24"/>
          <w:u w:val="single"/>
        </w:rPr>
        <w:t xml:space="preserve"> ‘</w:t>
      </w:r>
      <w:r w:rsidRPr="00C465B1">
        <w:rPr>
          <w:rFonts w:ascii="Calibri" w:hAnsi="Calibri" w:cs="Calibri"/>
          <w:szCs w:val="24"/>
          <w:lang w:eastAsia="ja-JP"/>
        </w:rPr>
        <w:t>Application of Recommendation ITU-T E.164 numbering plan for universal international freephone numbers for international freephone service’</w:t>
      </w:r>
    </w:p>
    <w:p w14:paraId="0E0832E2"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lang w:eastAsia="ja-JP"/>
        </w:rPr>
      </w:pPr>
    </w:p>
    <w:p w14:paraId="6B94CF48"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4"/>
          <w:lang w:eastAsia="ja-JP"/>
        </w:rPr>
      </w:pPr>
      <w:r w:rsidRPr="00C465B1">
        <w:rPr>
          <w:rFonts w:ascii="Calibri" w:hAnsi="Calibri" w:cs="Calibri"/>
          <w:b/>
          <w:bCs/>
          <w:szCs w:val="24"/>
          <w:lang w:eastAsia="ja-JP"/>
        </w:rPr>
        <w:t>Annex A: Applicant procedures</w:t>
      </w:r>
    </w:p>
    <w:p w14:paraId="46E0EC6D"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hAnsi="Calibri" w:cs="Calibri"/>
          <w:szCs w:val="24"/>
          <w:lang w:eastAsia="ja-JP"/>
        </w:rPr>
      </w:pPr>
      <w:r w:rsidRPr="00C465B1">
        <w:rPr>
          <w:rFonts w:ascii="Calibri" w:hAnsi="Calibri" w:cs="Calibri"/>
          <w:szCs w:val="24"/>
          <w:lang w:eastAsia="ja-JP"/>
        </w:rPr>
        <w:t>This specifies that the applicant has the responsibility for the following:</w:t>
      </w:r>
    </w:p>
    <w:p w14:paraId="3DDAE166"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hAnsi="Calibri" w:cs="Calibri"/>
          <w:szCs w:val="24"/>
          <w:lang w:eastAsia="ja-JP"/>
        </w:rPr>
      </w:pPr>
    </w:p>
    <w:p w14:paraId="1105CAB1" w14:textId="77777777" w:rsidR="00F66C8E" w:rsidRPr="00C465B1" w:rsidRDefault="00F66C8E" w:rsidP="00F66C8E">
      <w:pPr>
        <w:spacing w:before="0"/>
        <w:ind w:left="1514" w:hanging="794"/>
        <w:rPr>
          <w:rFonts w:ascii="Calibri" w:hAnsi="Calibri" w:cs="Calibri"/>
          <w:szCs w:val="24"/>
        </w:rPr>
      </w:pPr>
      <w:r w:rsidRPr="00C465B1">
        <w:rPr>
          <w:rFonts w:ascii="Calibri" w:hAnsi="Calibri" w:cs="Calibri"/>
          <w:szCs w:val="24"/>
        </w:rPr>
        <w:t>m)</w:t>
      </w:r>
      <w:r w:rsidRPr="00C465B1">
        <w:rPr>
          <w:rFonts w:ascii="Calibri" w:hAnsi="Calibri" w:cs="Calibri"/>
          <w:szCs w:val="24"/>
        </w:rPr>
        <w:tab/>
        <w:t>Ensuring the payment of an annual maintenance fee.</w:t>
      </w:r>
    </w:p>
    <w:p w14:paraId="263DAA77"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p>
    <w:p w14:paraId="26C1599E"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u w:val="single"/>
        </w:rPr>
      </w:pPr>
      <w:r w:rsidRPr="00C465B1">
        <w:rPr>
          <w:rFonts w:ascii="Calibri" w:hAnsi="Calibri" w:cs="Calibri"/>
          <w:b/>
          <w:bCs/>
          <w:szCs w:val="24"/>
          <w:u w:val="single"/>
        </w:rPr>
        <w:t>Applicable clauses under Recommendation E.190</w:t>
      </w:r>
      <w:r w:rsidRPr="00C465B1">
        <w:rPr>
          <w:rFonts w:ascii="Calibri" w:hAnsi="Calibri" w:cs="Calibri"/>
          <w:szCs w:val="24"/>
          <w:u w:val="single"/>
        </w:rPr>
        <w:t xml:space="preserve"> ‘</w:t>
      </w:r>
      <w:r w:rsidRPr="00C465B1">
        <w:rPr>
          <w:rFonts w:ascii="Calibri" w:hAnsi="Calibri" w:cs="Calibri"/>
          <w:szCs w:val="24"/>
          <w:u w:val="single"/>
          <w:lang w:eastAsia="ja-JP"/>
        </w:rPr>
        <w:t>Principles and responsibilities used in the management, assignment and reclamation of E-Series international numbering resources.’</w:t>
      </w:r>
    </w:p>
    <w:p w14:paraId="6297D9B0" w14:textId="77777777" w:rsidR="00F66C8E" w:rsidRPr="00C465B1" w:rsidRDefault="00F66C8E" w:rsidP="00F66C8E">
      <w:pPr>
        <w:tabs>
          <w:tab w:val="clear" w:pos="794"/>
          <w:tab w:val="clear" w:pos="1191"/>
          <w:tab w:val="clear" w:pos="1588"/>
          <w:tab w:val="clear" w:pos="1985"/>
        </w:tabs>
        <w:overflowPunct/>
        <w:autoSpaceDE/>
        <w:autoSpaceDN/>
        <w:adjustRightInd/>
        <w:textAlignment w:val="auto"/>
        <w:rPr>
          <w:rFonts w:ascii="Calibri" w:hAnsi="Calibri" w:cs="Calibri"/>
          <w:szCs w:val="24"/>
        </w:rPr>
      </w:pPr>
      <w:r w:rsidRPr="00C465B1">
        <w:rPr>
          <w:rFonts w:ascii="Calibri" w:hAnsi="Calibri" w:cs="Calibri"/>
          <w:szCs w:val="24"/>
        </w:rPr>
        <w:t>Relevant extracts from clauses within Recommendation E.190 follow.</w:t>
      </w:r>
    </w:p>
    <w:p w14:paraId="7687263A"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39D2717D" w14:textId="77777777" w:rsidR="00F66C8E" w:rsidRPr="00C465B1" w:rsidRDefault="00F66C8E" w:rsidP="00F66C8E">
      <w:pPr>
        <w:keepNext/>
        <w:keepLines/>
        <w:tabs>
          <w:tab w:val="clear" w:pos="794"/>
          <w:tab w:val="clear" w:pos="1191"/>
          <w:tab w:val="clear" w:pos="1588"/>
          <w:tab w:val="clear" w:pos="1985"/>
        </w:tabs>
        <w:overflowPunct/>
        <w:autoSpaceDE/>
        <w:autoSpaceDN/>
        <w:adjustRightInd/>
        <w:spacing w:before="40" w:line="259" w:lineRule="auto"/>
        <w:textAlignment w:val="auto"/>
        <w:outlineLvl w:val="4"/>
        <w:rPr>
          <w:rFonts w:ascii="Calibri" w:hAnsi="Calibri" w:cs="Calibri"/>
          <w:b/>
          <w:color w:val="000000"/>
          <w:szCs w:val="24"/>
          <w:lang w:eastAsia="en-GB"/>
        </w:rPr>
      </w:pPr>
      <w:bookmarkStart w:id="3" w:name="_Toc402757582"/>
      <w:r w:rsidRPr="00C465B1">
        <w:rPr>
          <w:rFonts w:ascii="Calibri" w:hAnsi="Calibri" w:cs="Calibri"/>
          <w:b/>
          <w:color w:val="000000"/>
          <w:szCs w:val="24"/>
        </w:rPr>
        <w:t>7.4</w:t>
      </w:r>
      <w:r w:rsidRPr="00C465B1">
        <w:rPr>
          <w:rFonts w:ascii="Calibri" w:hAnsi="Calibri" w:cs="Calibri"/>
          <w:b/>
          <w:color w:val="000000"/>
          <w:szCs w:val="24"/>
        </w:rPr>
        <w:tab/>
        <w:t>Applicant</w:t>
      </w:r>
      <w:bookmarkEnd w:id="3"/>
    </w:p>
    <w:p w14:paraId="595889F9" w14:textId="77777777" w:rsidR="00F66C8E" w:rsidRPr="00C465B1" w:rsidRDefault="00F66C8E" w:rsidP="00F66C8E">
      <w:pPr>
        <w:tabs>
          <w:tab w:val="clear" w:pos="794"/>
          <w:tab w:val="clear" w:pos="1191"/>
          <w:tab w:val="clear" w:pos="1588"/>
          <w:tab w:val="clear" w:pos="1985"/>
        </w:tabs>
        <w:overflowPunct/>
        <w:autoSpaceDE/>
        <w:autoSpaceDN/>
        <w:adjustRightInd/>
        <w:spacing w:after="120"/>
        <w:ind w:left="720"/>
        <w:textAlignment w:val="auto"/>
        <w:rPr>
          <w:rFonts w:ascii="Calibri" w:hAnsi="Calibri" w:cs="Calibri"/>
          <w:szCs w:val="24"/>
          <w:lang w:eastAsia="ja-JP"/>
        </w:rPr>
      </w:pPr>
      <w:r w:rsidRPr="00C465B1">
        <w:rPr>
          <w:rFonts w:ascii="Calibri" w:hAnsi="Calibri" w:cs="Calibri"/>
          <w:szCs w:val="24"/>
          <w:lang w:eastAsia="ja-JP"/>
        </w:rPr>
        <w:t>The applicant</w:t>
      </w:r>
      <w:r w:rsidRPr="00C465B1">
        <w:rPr>
          <w:rFonts w:ascii="Calibri" w:hAnsi="Calibri" w:cs="Calibri"/>
          <w:b/>
          <w:szCs w:val="24"/>
          <w:lang w:eastAsia="ja-JP"/>
        </w:rPr>
        <w:t xml:space="preserve"> </w:t>
      </w:r>
      <w:r w:rsidRPr="00C465B1">
        <w:rPr>
          <w:rFonts w:ascii="Calibri" w:hAnsi="Calibri" w:cs="Calibri"/>
          <w:szCs w:val="24"/>
          <w:lang w:eastAsia="ja-JP"/>
        </w:rPr>
        <w:t>must comply with the assignment criteria. This includes adherence to all ITU-T Recommendations relative to each service and the specific numbering resource being applied for. The resource administrator shall be notified of any changes in the resource assignment immediately as they occur. The applicant must also ensure they are entitled per the appropriate domestic regulations to operate in the area(s) they intend to provide service.</w:t>
      </w:r>
    </w:p>
    <w:p w14:paraId="34B1ECD3" w14:textId="77777777" w:rsidR="00F66C8E" w:rsidRPr="00C465B1" w:rsidRDefault="00F66C8E" w:rsidP="00F66C8E">
      <w:pPr>
        <w:keepNext/>
        <w:keepLines/>
        <w:tabs>
          <w:tab w:val="clear" w:pos="794"/>
          <w:tab w:val="clear" w:pos="1191"/>
          <w:tab w:val="clear" w:pos="1588"/>
          <w:tab w:val="clear" w:pos="1985"/>
        </w:tabs>
        <w:overflowPunct/>
        <w:autoSpaceDE/>
        <w:autoSpaceDN/>
        <w:adjustRightInd/>
        <w:spacing w:before="40" w:line="259" w:lineRule="auto"/>
        <w:textAlignment w:val="auto"/>
        <w:outlineLvl w:val="4"/>
        <w:rPr>
          <w:rFonts w:ascii="Calibri" w:hAnsi="Calibri" w:cs="Calibri"/>
          <w:b/>
          <w:color w:val="000000"/>
          <w:szCs w:val="24"/>
        </w:rPr>
      </w:pPr>
      <w:bookmarkStart w:id="4" w:name="_Toc402757583"/>
      <w:r w:rsidRPr="00C465B1">
        <w:rPr>
          <w:rFonts w:ascii="Calibri" w:hAnsi="Calibri" w:cs="Calibri"/>
          <w:b/>
          <w:color w:val="000000"/>
          <w:szCs w:val="24"/>
        </w:rPr>
        <w:t>7.5</w:t>
      </w:r>
      <w:r w:rsidRPr="00C465B1">
        <w:rPr>
          <w:rFonts w:ascii="Calibri" w:hAnsi="Calibri" w:cs="Calibri"/>
          <w:b/>
          <w:color w:val="000000"/>
          <w:szCs w:val="24"/>
        </w:rPr>
        <w:tab/>
        <w:t>Assignee</w:t>
      </w:r>
      <w:bookmarkEnd w:id="4"/>
    </w:p>
    <w:p w14:paraId="28D72C8D" w14:textId="77777777" w:rsidR="00F66C8E" w:rsidRPr="00C465B1" w:rsidRDefault="00F66C8E" w:rsidP="00F66C8E">
      <w:pPr>
        <w:tabs>
          <w:tab w:val="clear" w:pos="794"/>
          <w:tab w:val="clear" w:pos="1191"/>
          <w:tab w:val="clear" w:pos="1588"/>
          <w:tab w:val="clear" w:pos="1985"/>
        </w:tabs>
        <w:overflowPunct/>
        <w:autoSpaceDE/>
        <w:autoSpaceDN/>
        <w:adjustRightInd/>
        <w:ind w:left="720"/>
        <w:textAlignment w:val="auto"/>
        <w:rPr>
          <w:rFonts w:ascii="Calibri" w:hAnsi="Calibri" w:cs="Calibri"/>
          <w:szCs w:val="24"/>
          <w:lang w:eastAsia="ja-JP"/>
        </w:rPr>
      </w:pPr>
      <w:r w:rsidRPr="00C465B1">
        <w:rPr>
          <w:rFonts w:ascii="Calibri" w:hAnsi="Calibri" w:cs="Calibri"/>
          <w:szCs w:val="24"/>
          <w:lang w:eastAsia="ja-JP"/>
        </w:rPr>
        <w:t>The assignee is responsible for the effective and efficient management and use of that part of the resource which is under their purview. They must also ensure that the numbering resource they are assigned is only used for the purpose stated. International numbering resource must be returned if there is no longer a recognized need, or the resource is being used in a manner which differs from the stated purpose.</w:t>
      </w:r>
    </w:p>
    <w:p w14:paraId="61D4E527" w14:textId="77777777" w:rsidR="00F66C8E" w:rsidRPr="00C465B1" w:rsidRDefault="00F66C8E" w:rsidP="00F66C8E">
      <w:pPr>
        <w:keepNext/>
        <w:keepLines/>
        <w:tabs>
          <w:tab w:val="clear" w:pos="794"/>
          <w:tab w:val="clear" w:pos="1191"/>
          <w:tab w:val="clear" w:pos="1588"/>
          <w:tab w:val="clear" w:pos="1985"/>
        </w:tabs>
        <w:overflowPunct/>
        <w:autoSpaceDE/>
        <w:autoSpaceDN/>
        <w:adjustRightInd/>
        <w:spacing w:line="259" w:lineRule="auto"/>
        <w:textAlignment w:val="auto"/>
        <w:outlineLvl w:val="4"/>
        <w:rPr>
          <w:rFonts w:ascii="Calibri" w:hAnsi="Calibri" w:cs="Calibri"/>
          <w:b/>
          <w:color w:val="000000"/>
          <w:szCs w:val="24"/>
        </w:rPr>
      </w:pPr>
      <w:bookmarkStart w:id="5" w:name="_Toc402757584"/>
      <w:r w:rsidRPr="00C465B1">
        <w:rPr>
          <w:rFonts w:ascii="Calibri" w:hAnsi="Calibri" w:cs="Calibri"/>
          <w:b/>
          <w:color w:val="000000"/>
          <w:szCs w:val="24"/>
        </w:rPr>
        <w:t>8</w:t>
      </w:r>
      <w:r w:rsidRPr="00C465B1">
        <w:rPr>
          <w:rFonts w:ascii="Calibri" w:hAnsi="Calibri" w:cs="Calibri"/>
          <w:b/>
          <w:color w:val="000000"/>
          <w:szCs w:val="24"/>
        </w:rPr>
        <w:tab/>
        <w:t>Reconsideration process</w:t>
      </w:r>
      <w:bookmarkEnd w:id="5"/>
    </w:p>
    <w:p w14:paraId="3F67F165" w14:textId="77777777" w:rsidR="00F66C8E" w:rsidRPr="00C465B1" w:rsidRDefault="00F66C8E" w:rsidP="00F66C8E">
      <w:pPr>
        <w:tabs>
          <w:tab w:val="clear" w:pos="794"/>
          <w:tab w:val="clear" w:pos="1191"/>
          <w:tab w:val="clear" w:pos="1588"/>
          <w:tab w:val="clear" w:pos="1985"/>
        </w:tabs>
        <w:overflowPunct/>
        <w:autoSpaceDE/>
        <w:autoSpaceDN/>
        <w:adjustRightInd/>
        <w:ind w:left="720"/>
        <w:textAlignment w:val="auto"/>
        <w:rPr>
          <w:rFonts w:ascii="Calibri" w:hAnsi="Calibri" w:cs="Calibri"/>
          <w:szCs w:val="24"/>
          <w:lang w:eastAsia="ja-JP"/>
        </w:rPr>
      </w:pPr>
      <w:r w:rsidRPr="00C465B1">
        <w:rPr>
          <w:rFonts w:ascii="Calibri" w:hAnsi="Calibri" w:cs="Calibri"/>
          <w:b/>
          <w:szCs w:val="24"/>
          <w:lang w:eastAsia="ja-JP"/>
        </w:rPr>
        <w:t>8.1</w:t>
      </w:r>
      <w:r w:rsidRPr="00C465B1">
        <w:rPr>
          <w:rFonts w:ascii="Calibri" w:hAnsi="Calibri" w:cs="Calibri"/>
          <w:szCs w:val="24"/>
          <w:lang w:eastAsia="ja-JP"/>
        </w:rPr>
        <w:tab/>
        <w:t>If a request for a numbering resource assignment is subject to denial or numbering resource is subject to reclamation from an assignee, then a process shall be available for reconsideration of the TSB decision.</w:t>
      </w:r>
    </w:p>
    <w:p w14:paraId="11A47C92" w14:textId="77777777" w:rsidR="00F66C8E" w:rsidRPr="00C465B1" w:rsidRDefault="00F66C8E" w:rsidP="00F66C8E">
      <w:pPr>
        <w:tabs>
          <w:tab w:val="clear" w:pos="794"/>
          <w:tab w:val="clear" w:pos="1191"/>
          <w:tab w:val="clear" w:pos="1588"/>
          <w:tab w:val="clear" w:pos="1985"/>
        </w:tabs>
        <w:overflowPunct/>
        <w:autoSpaceDE/>
        <w:autoSpaceDN/>
        <w:adjustRightInd/>
        <w:ind w:left="720"/>
        <w:textAlignment w:val="auto"/>
        <w:rPr>
          <w:rFonts w:ascii="Calibri" w:hAnsi="Calibri" w:cs="Calibri"/>
          <w:szCs w:val="24"/>
          <w:lang w:eastAsia="ja-JP"/>
        </w:rPr>
      </w:pPr>
      <w:r w:rsidRPr="00C465B1">
        <w:rPr>
          <w:rFonts w:ascii="Calibri" w:hAnsi="Calibri" w:cs="Calibri"/>
          <w:b/>
          <w:szCs w:val="24"/>
          <w:lang w:eastAsia="ja-JP"/>
        </w:rPr>
        <w:lastRenderedPageBreak/>
        <w:t>8.2</w:t>
      </w:r>
      <w:r w:rsidRPr="00C465B1">
        <w:rPr>
          <w:rFonts w:ascii="Calibri" w:hAnsi="Calibri" w:cs="Calibri"/>
          <w:szCs w:val="24"/>
          <w:lang w:eastAsia="ja-JP"/>
        </w:rPr>
        <w:tab/>
        <w:t xml:space="preserve">The applicant shall be afforded the rationale for the request </w:t>
      </w:r>
      <w:proofErr w:type="gramStart"/>
      <w:r w:rsidRPr="00C465B1">
        <w:rPr>
          <w:rFonts w:ascii="Calibri" w:hAnsi="Calibri" w:cs="Calibri"/>
          <w:szCs w:val="24"/>
          <w:lang w:eastAsia="ja-JP"/>
        </w:rPr>
        <w:t>denial, and</w:t>
      </w:r>
      <w:proofErr w:type="gramEnd"/>
      <w:r w:rsidRPr="00C465B1">
        <w:rPr>
          <w:rFonts w:ascii="Calibri" w:hAnsi="Calibri" w:cs="Calibri"/>
          <w:szCs w:val="24"/>
          <w:lang w:eastAsia="ja-JP"/>
        </w:rPr>
        <w:t xml:space="preserve"> shall be given the opportunity to amend and re-submit an application to address the denial or reclamation rationale. </w:t>
      </w:r>
    </w:p>
    <w:p w14:paraId="6E4BAE73" w14:textId="77777777" w:rsidR="00F66C8E" w:rsidRPr="00C465B1" w:rsidRDefault="00F66C8E" w:rsidP="00F66C8E">
      <w:pPr>
        <w:tabs>
          <w:tab w:val="clear" w:pos="794"/>
          <w:tab w:val="clear" w:pos="1191"/>
          <w:tab w:val="clear" w:pos="1588"/>
          <w:tab w:val="clear" w:pos="1985"/>
        </w:tabs>
        <w:overflowPunct/>
        <w:autoSpaceDE/>
        <w:autoSpaceDN/>
        <w:adjustRightInd/>
        <w:ind w:left="720"/>
        <w:textAlignment w:val="auto"/>
        <w:rPr>
          <w:rFonts w:ascii="Calibri" w:hAnsi="Calibri" w:cs="Calibri"/>
          <w:szCs w:val="24"/>
          <w:lang w:eastAsia="ja-JP"/>
        </w:rPr>
      </w:pPr>
      <w:r w:rsidRPr="00C465B1">
        <w:rPr>
          <w:rFonts w:ascii="Calibri" w:hAnsi="Calibri" w:cs="Calibri"/>
          <w:b/>
          <w:szCs w:val="24"/>
          <w:lang w:eastAsia="ja-JP"/>
        </w:rPr>
        <w:t>8.3</w:t>
      </w:r>
      <w:r w:rsidRPr="00C465B1">
        <w:rPr>
          <w:rFonts w:ascii="Calibri" w:hAnsi="Calibri" w:cs="Calibri"/>
          <w:szCs w:val="24"/>
          <w:lang w:eastAsia="ja-JP"/>
        </w:rPr>
        <w:tab/>
        <w:t>If the applicant chooses to initiate the reconsideration process, the steps are:</w:t>
      </w:r>
    </w:p>
    <w:p w14:paraId="68706191" w14:textId="77777777" w:rsidR="00F66C8E" w:rsidRPr="00C465B1" w:rsidRDefault="00F66C8E" w:rsidP="00F66C8E">
      <w:pPr>
        <w:spacing w:before="80"/>
        <w:ind w:left="1514" w:hanging="794"/>
        <w:rPr>
          <w:rFonts w:ascii="Calibri" w:hAnsi="Calibri" w:cs="Calibri"/>
          <w:szCs w:val="24"/>
        </w:rPr>
      </w:pPr>
      <w:r w:rsidRPr="00C465B1">
        <w:rPr>
          <w:rFonts w:ascii="Calibri" w:hAnsi="Calibri" w:cs="Calibri"/>
          <w:szCs w:val="24"/>
        </w:rPr>
        <w:t>–</w:t>
      </w:r>
      <w:r w:rsidRPr="00C465B1">
        <w:rPr>
          <w:rFonts w:ascii="Calibri" w:hAnsi="Calibri" w:cs="Calibri"/>
          <w:szCs w:val="24"/>
        </w:rPr>
        <w:tab/>
        <w:t xml:space="preserve">direct communication between the TSB and the applicant, if unresolved in a reasonable period of </w:t>
      </w:r>
      <w:proofErr w:type="gramStart"/>
      <w:r w:rsidRPr="00C465B1">
        <w:rPr>
          <w:rFonts w:ascii="Calibri" w:hAnsi="Calibri" w:cs="Calibri"/>
          <w:szCs w:val="24"/>
        </w:rPr>
        <w:t>time;</w:t>
      </w:r>
      <w:proofErr w:type="gramEnd"/>
    </w:p>
    <w:p w14:paraId="3A5BF82E" w14:textId="77777777" w:rsidR="00F66C8E" w:rsidRPr="00C465B1" w:rsidRDefault="00F66C8E" w:rsidP="00F66C8E">
      <w:pPr>
        <w:spacing w:before="80"/>
        <w:ind w:left="1514" w:hanging="794"/>
        <w:rPr>
          <w:rFonts w:ascii="Calibri" w:hAnsi="Calibri" w:cs="Calibri"/>
          <w:szCs w:val="24"/>
        </w:rPr>
      </w:pPr>
      <w:r w:rsidRPr="00C465B1">
        <w:rPr>
          <w:rFonts w:ascii="Calibri" w:hAnsi="Calibri" w:cs="Calibri"/>
          <w:szCs w:val="24"/>
        </w:rPr>
        <w:t>–</w:t>
      </w:r>
      <w:r w:rsidRPr="00C465B1">
        <w:rPr>
          <w:rFonts w:ascii="Calibri" w:hAnsi="Calibri" w:cs="Calibri"/>
          <w:szCs w:val="24"/>
        </w:rPr>
        <w:tab/>
        <w:t>consultation between the TSB and the appropriate ITU-T Study Group.</w:t>
      </w:r>
    </w:p>
    <w:p w14:paraId="754CC3E4"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1D03F119" w14:textId="1119F6EF" w:rsidR="00F66C8E" w:rsidRPr="00B56F3A" w:rsidRDefault="002B6A3F" w:rsidP="00717FBC">
      <w:pPr>
        <w:keepNext/>
        <w:keepLines/>
        <w:tabs>
          <w:tab w:val="clear" w:pos="794"/>
          <w:tab w:val="left" w:pos="1021"/>
        </w:tabs>
        <w:spacing w:before="160" w:after="120"/>
        <w:ind w:left="720" w:hanging="720"/>
        <w:outlineLvl w:val="3"/>
        <w:rPr>
          <w:rFonts w:ascii="Calibri" w:hAnsi="Calibri" w:cs="Calibri"/>
          <w:b/>
          <w:color w:val="1F497D" w:themeColor="text2"/>
          <w:sz w:val="26"/>
          <w:szCs w:val="26"/>
        </w:rPr>
      </w:pPr>
      <w:r w:rsidRPr="00B56F3A">
        <w:rPr>
          <w:rFonts w:ascii="Calibri" w:hAnsi="Calibri" w:cs="Calibri"/>
          <w:b/>
          <w:color w:val="1F497D" w:themeColor="text2"/>
          <w:sz w:val="26"/>
          <w:szCs w:val="26"/>
        </w:rPr>
        <w:t xml:space="preserve">3. </w:t>
      </w:r>
      <w:r w:rsidR="00717FBC" w:rsidRPr="00B56F3A">
        <w:rPr>
          <w:rFonts w:ascii="Calibri" w:hAnsi="Calibri" w:cs="Calibri"/>
          <w:b/>
          <w:color w:val="1F497D" w:themeColor="text2"/>
          <w:sz w:val="26"/>
          <w:szCs w:val="26"/>
        </w:rPr>
        <w:tab/>
      </w:r>
      <w:r w:rsidR="00F66C8E" w:rsidRPr="00B56F3A">
        <w:rPr>
          <w:rFonts w:ascii="Calibri" w:hAnsi="Calibri" w:cs="Calibri"/>
          <w:b/>
          <w:color w:val="1F497D" w:themeColor="text2"/>
          <w:sz w:val="26"/>
          <w:szCs w:val="26"/>
        </w:rPr>
        <w:t>Consideration</w:t>
      </w:r>
    </w:p>
    <w:p w14:paraId="3B451BE2"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r w:rsidRPr="00C465B1">
        <w:rPr>
          <w:rFonts w:ascii="Calibri" w:eastAsia="Calibri" w:hAnsi="Calibri" w:cs="Calibri"/>
          <w:szCs w:val="24"/>
        </w:rPr>
        <w:t xml:space="preserve">Further to publication of </w:t>
      </w:r>
      <w:hyperlink r:id="rId26" w:history="1">
        <w:r w:rsidRPr="00C465B1">
          <w:rPr>
            <w:rFonts w:ascii="Calibri" w:eastAsia="Calibri" w:hAnsi="Calibri" w:cs="Calibri"/>
            <w:color w:val="0563C1"/>
            <w:szCs w:val="24"/>
            <w:u w:val="single"/>
          </w:rPr>
          <w:t>SG2-TD1446</w:t>
        </w:r>
      </w:hyperlink>
      <w:r w:rsidRPr="00C465B1">
        <w:rPr>
          <w:rFonts w:ascii="Calibri" w:eastAsia="Calibri" w:hAnsi="Calibri" w:cs="Calibri"/>
          <w:szCs w:val="24"/>
        </w:rPr>
        <w:t xml:space="preserve">, the TSB Director consulted with internal ITU departments, including the finance department. The proposed advice and elements in section 1 of </w:t>
      </w:r>
      <w:hyperlink r:id="rId27" w:history="1">
        <w:r w:rsidRPr="00C465B1">
          <w:rPr>
            <w:rFonts w:ascii="Calibri" w:eastAsia="Calibri" w:hAnsi="Calibri" w:cs="Calibri"/>
            <w:color w:val="0563C1"/>
            <w:szCs w:val="24"/>
            <w:u w:val="single"/>
          </w:rPr>
          <w:t>SG2-TD1446</w:t>
        </w:r>
      </w:hyperlink>
      <w:r w:rsidRPr="00C465B1">
        <w:rPr>
          <w:rFonts w:ascii="Calibri" w:eastAsia="Calibri" w:hAnsi="Calibri" w:cs="Calibri"/>
          <w:szCs w:val="24"/>
        </w:rPr>
        <w:t xml:space="preserve"> were considered useful as they give a clear basis to deal with non-payment issues related to numbering resources.</w:t>
      </w:r>
    </w:p>
    <w:p w14:paraId="654B71BC"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r w:rsidRPr="00C465B1">
        <w:rPr>
          <w:rFonts w:ascii="Calibri" w:eastAsia="Calibri" w:hAnsi="Calibri" w:cs="Calibri"/>
          <w:szCs w:val="24"/>
        </w:rPr>
        <w:t>The finance department would apply the timeframes mentioned above in its billing system when collecting revenue for INRs. This approach helps to ensure consistent and efficient implementation.</w:t>
      </w:r>
    </w:p>
    <w:p w14:paraId="1A5721D3"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1BB95E0B" w14:textId="77777777" w:rsidR="00F66C8E" w:rsidRPr="00C465B1" w:rsidRDefault="00F66C8E" w:rsidP="00F66C8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Cs w:val="24"/>
        </w:rPr>
      </w:pPr>
    </w:p>
    <w:p w14:paraId="31597CED" w14:textId="77777777" w:rsidR="00F66C8E" w:rsidRPr="00C465B1" w:rsidRDefault="00F66C8E" w:rsidP="00F66C8E">
      <w:pPr>
        <w:keepNext/>
        <w:keepLines/>
        <w:tabs>
          <w:tab w:val="clear" w:pos="794"/>
          <w:tab w:val="left" w:pos="1021"/>
        </w:tabs>
        <w:spacing w:before="160"/>
        <w:ind w:left="1021" w:hanging="1021"/>
        <w:outlineLvl w:val="3"/>
        <w:rPr>
          <w:rFonts w:ascii="Calibri" w:eastAsia="DengXian" w:hAnsi="Calibri" w:cs="Calibri"/>
          <w:b/>
          <w:szCs w:val="24"/>
        </w:rPr>
      </w:pPr>
      <w:r w:rsidRPr="00C465B1">
        <w:rPr>
          <w:rFonts w:ascii="Calibri" w:eastAsia="DengXian" w:hAnsi="Calibri" w:cs="Calibri"/>
          <w:b/>
          <w:szCs w:val="24"/>
        </w:rPr>
        <w:t xml:space="preserve">Copy of Annex B of </w:t>
      </w:r>
      <w:r w:rsidRPr="00C465B1">
        <w:rPr>
          <w:rFonts w:ascii="Calibri" w:hAnsi="Calibri" w:cs="Calibri"/>
          <w:b/>
          <w:szCs w:val="24"/>
        </w:rPr>
        <w:t xml:space="preserve">Council Document </w:t>
      </w:r>
      <w:bookmarkStart w:id="6" w:name="_Hlk77607583"/>
      <w:r w:rsidRPr="00C465B1">
        <w:rPr>
          <w:rFonts w:ascii="Calibri" w:hAnsi="Calibri" w:cs="Calibri"/>
          <w:b/>
          <w:szCs w:val="24"/>
        </w:rPr>
        <w:t>C21/47-E</w:t>
      </w:r>
      <w:bookmarkEnd w:id="6"/>
      <w:r w:rsidRPr="00C465B1">
        <w:rPr>
          <w:rFonts w:ascii="Calibri" w:hAnsi="Calibri" w:cs="Calibri"/>
          <w:b/>
          <w:szCs w:val="24"/>
        </w:rPr>
        <w:t xml:space="preserve">. </w:t>
      </w:r>
    </w:p>
    <w:p w14:paraId="511A5B06" w14:textId="50181670" w:rsidR="00F66C8E" w:rsidRPr="00C465B1" w:rsidRDefault="00F66C8E" w:rsidP="00F66C8E">
      <w:pPr>
        <w:keepNext/>
        <w:keepLines/>
        <w:tabs>
          <w:tab w:val="clear" w:pos="794"/>
          <w:tab w:val="clear" w:pos="1191"/>
          <w:tab w:val="clear" w:pos="1588"/>
          <w:tab w:val="clear" w:pos="1985"/>
        </w:tabs>
        <w:overflowPunct/>
        <w:autoSpaceDE/>
        <w:autoSpaceDN/>
        <w:adjustRightInd/>
        <w:spacing w:before="40" w:line="259" w:lineRule="auto"/>
        <w:textAlignment w:val="auto"/>
        <w:outlineLvl w:val="4"/>
        <w:rPr>
          <w:rFonts w:ascii="Calibri" w:eastAsia="DengXian" w:hAnsi="Calibri" w:cs="Calibri"/>
          <w:color w:val="000000"/>
          <w:szCs w:val="24"/>
        </w:rPr>
      </w:pPr>
      <w:r w:rsidRPr="00C465B1">
        <w:rPr>
          <w:rFonts w:ascii="Calibri" w:eastAsia="DengXian" w:hAnsi="Calibri" w:cs="Calibri"/>
          <w:b/>
          <w:color w:val="000000"/>
          <w:szCs w:val="24"/>
        </w:rPr>
        <w:t xml:space="preserve">Annex B - list of UIFN service providers pending payment for 2018, 2019, and 2020 </w:t>
      </w:r>
      <w:r w:rsidRPr="00C465B1">
        <w:rPr>
          <w:rFonts w:ascii="Calibri" w:eastAsia="DengXian" w:hAnsi="Calibri" w:cs="Calibri"/>
          <w:b/>
          <w:color w:val="000000"/>
          <w:szCs w:val="24"/>
        </w:rPr>
        <w:br/>
      </w:r>
      <w:bookmarkStart w:id="7" w:name="_Hlk77615973"/>
      <w:r w:rsidRPr="00C465B1">
        <w:rPr>
          <w:rFonts w:ascii="Calibri" w:eastAsia="DengXian" w:hAnsi="Calibri" w:cs="Calibri"/>
          <w:b/>
          <w:color w:val="000000"/>
          <w:szCs w:val="24"/>
        </w:rPr>
        <w:t>(with payment updates as of 2</w:t>
      </w:r>
      <w:r w:rsidR="00282015" w:rsidRPr="00C465B1">
        <w:rPr>
          <w:rFonts w:ascii="Calibri" w:eastAsia="DengXian" w:hAnsi="Calibri" w:cs="Calibri"/>
          <w:b/>
          <w:color w:val="000000"/>
          <w:szCs w:val="24"/>
        </w:rPr>
        <w:t>6</w:t>
      </w:r>
      <w:r w:rsidRPr="00C465B1">
        <w:rPr>
          <w:rFonts w:ascii="Calibri" w:eastAsia="DengXian" w:hAnsi="Calibri" w:cs="Calibri"/>
          <w:b/>
          <w:color w:val="000000"/>
          <w:szCs w:val="24"/>
        </w:rPr>
        <w:t>.07.2021)</w:t>
      </w:r>
      <w:bookmarkEnd w:id="7"/>
    </w:p>
    <w:p w14:paraId="7B22E79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2"/>
        <w:gridCol w:w="993"/>
        <w:gridCol w:w="2551"/>
        <w:gridCol w:w="2126"/>
        <w:gridCol w:w="1531"/>
      </w:tblGrid>
      <w:tr w:rsidR="00F66C8E" w:rsidRPr="00F66C8E" w14:paraId="7E881C90" w14:textId="77777777" w:rsidTr="00A500CF">
        <w:trPr>
          <w:cantSplit/>
          <w:trHeight w:val="255"/>
          <w:tblHeader/>
        </w:trPr>
        <w:tc>
          <w:tcPr>
            <w:tcW w:w="704" w:type="dxa"/>
            <w:shd w:val="clear" w:color="auto" w:fill="DDDDDD"/>
          </w:tcPr>
          <w:p w14:paraId="051B9A1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b/>
                <w:color w:val="000000"/>
                <w:sz w:val="20"/>
              </w:rPr>
            </w:pPr>
            <w:r w:rsidRPr="00F66C8E">
              <w:rPr>
                <w:rFonts w:ascii="Calibri" w:eastAsia="DengXian" w:hAnsi="Calibri" w:cs="Arial"/>
                <w:b/>
                <w:color w:val="000000"/>
                <w:sz w:val="20"/>
              </w:rPr>
              <w:t>year</w:t>
            </w:r>
          </w:p>
        </w:tc>
        <w:tc>
          <w:tcPr>
            <w:tcW w:w="1134" w:type="dxa"/>
            <w:shd w:val="clear" w:color="auto" w:fill="DDDDDD"/>
            <w:noWrap/>
          </w:tcPr>
          <w:p w14:paraId="0EF2751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b/>
                <w:color w:val="000000"/>
                <w:sz w:val="20"/>
              </w:rPr>
            </w:pPr>
            <w:r w:rsidRPr="00F66C8E">
              <w:rPr>
                <w:rFonts w:ascii="Calibri" w:eastAsia="DengXian" w:hAnsi="Calibri" w:cs="Arial"/>
                <w:b/>
                <w:color w:val="000000"/>
                <w:sz w:val="20"/>
              </w:rPr>
              <w:t>Amount</w:t>
            </w:r>
          </w:p>
        </w:tc>
        <w:tc>
          <w:tcPr>
            <w:tcW w:w="992" w:type="dxa"/>
            <w:shd w:val="clear" w:color="auto" w:fill="DDDDDD"/>
            <w:noWrap/>
          </w:tcPr>
          <w:p w14:paraId="0682B0F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b/>
                <w:color w:val="000000"/>
                <w:sz w:val="20"/>
              </w:rPr>
            </w:pPr>
            <w:r w:rsidRPr="00F66C8E">
              <w:rPr>
                <w:rFonts w:ascii="Calibri" w:eastAsia="DengXian" w:hAnsi="Calibri" w:cs="Arial"/>
                <w:b/>
                <w:color w:val="000000"/>
                <w:sz w:val="20"/>
              </w:rPr>
              <w:t>currency</w:t>
            </w:r>
          </w:p>
        </w:tc>
        <w:tc>
          <w:tcPr>
            <w:tcW w:w="993" w:type="dxa"/>
            <w:shd w:val="clear" w:color="auto" w:fill="DDDDDD"/>
          </w:tcPr>
          <w:p w14:paraId="5ECB199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b/>
                <w:color w:val="000000"/>
                <w:sz w:val="20"/>
              </w:rPr>
            </w:pPr>
            <w:r w:rsidRPr="00F66C8E">
              <w:rPr>
                <w:rFonts w:ascii="Calibri" w:eastAsia="DengXian" w:hAnsi="Calibri" w:cs="Arial"/>
                <w:b/>
                <w:color w:val="000000"/>
                <w:sz w:val="20"/>
              </w:rPr>
              <w:t>UIFN quantity</w:t>
            </w:r>
          </w:p>
        </w:tc>
        <w:tc>
          <w:tcPr>
            <w:tcW w:w="2551" w:type="dxa"/>
            <w:shd w:val="clear" w:color="auto" w:fill="DDDDDD"/>
            <w:noWrap/>
          </w:tcPr>
          <w:p w14:paraId="30A1A25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b/>
                <w:color w:val="000000"/>
                <w:sz w:val="20"/>
              </w:rPr>
            </w:pPr>
            <w:r w:rsidRPr="00F66C8E">
              <w:rPr>
                <w:rFonts w:ascii="Calibri" w:eastAsia="DengXian" w:hAnsi="Calibri" w:cs="Arial"/>
                <w:b/>
                <w:color w:val="000000"/>
                <w:sz w:val="20"/>
              </w:rPr>
              <w:t>Company's name</w:t>
            </w:r>
          </w:p>
        </w:tc>
        <w:tc>
          <w:tcPr>
            <w:tcW w:w="2126" w:type="dxa"/>
            <w:shd w:val="clear" w:color="auto" w:fill="DDDDDD"/>
            <w:noWrap/>
          </w:tcPr>
          <w:p w14:paraId="43DE312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b/>
                <w:color w:val="000000"/>
                <w:sz w:val="20"/>
              </w:rPr>
            </w:pPr>
            <w:r w:rsidRPr="00F66C8E">
              <w:rPr>
                <w:rFonts w:ascii="Calibri" w:eastAsia="DengXian" w:hAnsi="Calibri" w:cs="Arial"/>
                <w:b/>
                <w:color w:val="000000"/>
                <w:sz w:val="20"/>
              </w:rPr>
              <w:t>Country/</w:t>
            </w:r>
            <w:r w:rsidRPr="00F66C8E">
              <w:rPr>
                <w:rFonts w:ascii="Calibri" w:eastAsia="DengXian" w:hAnsi="Calibri" w:cs="Arial"/>
                <w:b/>
                <w:color w:val="000000"/>
                <w:sz w:val="20"/>
              </w:rPr>
              <w:br/>
              <w:t>Geographic Area</w:t>
            </w:r>
          </w:p>
        </w:tc>
        <w:tc>
          <w:tcPr>
            <w:tcW w:w="1531" w:type="dxa"/>
            <w:shd w:val="clear" w:color="auto" w:fill="DDDDDD"/>
          </w:tcPr>
          <w:p w14:paraId="3E0FC86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b/>
                <w:color w:val="000000"/>
                <w:sz w:val="20"/>
              </w:rPr>
            </w:pPr>
            <w:r w:rsidRPr="00F66C8E">
              <w:rPr>
                <w:rFonts w:ascii="Calibri" w:eastAsia="DengXian" w:hAnsi="Calibri" w:cs="Arial"/>
                <w:b/>
                <w:color w:val="000000"/>
                <w:sz w:val="20"/>
              </w:rPr>
              <w:t>note</w:t>
            </w:r>
          </w:p>
        </w:tc>
      </w:tr>
      <w:tr w:rsidR="00F66C8E" w:rsidRPr="00F66C8E" w14:paraId="14CA0614" w14:textId="77777777" w:rsidTr="00A500CF">
        <w:trPr>
          <w:cantSplit/>
          <w:trHeight w:val="255"/>
        </w:trPr>
        <w:tc>
          <w:tcPr>
            <w:tcW w:w="704" w:type="dxa"/>
            <w:shd w:val="clear" w:color="auto" w:fill="auto"/>
          </w:tcPr>
          <w:p w14:paraId="46BCB7E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2020</w:t>
            </w:r>
          </w:p>
        </w:tc>
        <w:tc>
          <w:tcPr>
            <w:tcW w:w="1134" w:type="dxa"/>
            <w:shd w:val="clear" w:color="auto" w:fill="auto"/>
            <w:noWrap/>
          </w:tcPr>
          <w:p w14:paraId="50E7C87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200.00</w:t>
            </w:r>
          </w:p>
        </w:tc>
        <w:tc>
          <w:tcPr>
            <w:tcW w:w="992" w:type="dxa"/>
            <w:shd w:val="clear" w:color="auto" w:fill="auto"/>
            <w:noWrap/>
          </w:tcPr>
          <w:p w14:paraId="6703971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0FC816D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2</w:t>
            </w:r>
          </w:p>
        </w:tc>
        <w:tc>
          <w:tcPr>
            <w:tcW w:w="2551" w:type="dxa"/>
            <w:shd w:val="clear" w:color="auto" w:fill="auto"/>
            <w:noWrap/>
          </w:tcPr>
          <w:p w14:paraId="0A21D70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_tradnl"/>
              </w:rPr>
            </w:pPr>
            <w:r w:rsidRPr="00F66C8E">
              <w:rPr>
                <w:rFonts w:ascii="Calibri" w:eastAsia="DengXian" w:hAnsi="Calibri" w:cs="Arial"/>
                <w:color w:val="000000"/>
                <w:sz w:val="20"/>
                <w:lang w:val="es-ES_tradnl"/>
              </w:rPr>
              <w:t xml:space="preserve">Telefónica de Argentina </w:t>
            </w:r>
            <w:proofErr w:type="gramStart"/>
            <w:r w:rsidRPr="00F66C8E">
              <w:rPr>
                <w:rFonts w:ascii="Calibri" w:eastAsia="DengXian" w:hAnsi="Calibri" w:cs="Arial"/>
                <w:color w:val="000000"/>
                <w:sz w:val="20"/>
                <w:lang w:val="es-ES_tradnl"/>
              </w:rPr>
              <w:t>S.A</w:t>
            </w:r>
            <w:proofErr w:type="gramEnd"/>
          </w:p>
        </w:tc>
        <w:tc>
          <w:tcPr>
            <w:tcW w:w="2126" w:type="dxa"/>
            <w:shd w:val="clear" w:color="auto" w:fill="auto"/>
            <w:noWrap/>
          </w:tcPr>
          <w:p w14:paraId="4F4310F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Argentina</w:t>
            </w:r>
          </w:p>
        </w:tc>
        <w:tc>
          <w:tcPr>
            <w:tcW w:w="1531" w:type="dxa"/>
            <w:shd w:val="clear" w:color="auto" w:fill="auto"/>
          </w:tcPr>
          <w:p w14:paraId="5AEEC35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33573376" w14:textId="77777777" w:rsidTr="00A500CF">
        <w:trPr>
          <w:cantSplit/>
          <w:trHeight w:val="255"/>
        </w:trPr>
        <w:tc>
          <w:tcPr>
            <w:tcW w:w="704" w:type="dxa"/>
            <w:shd w:val="clear" w:color="auto" w:fill="auto"/>
          </w:tcPr>
          <w:p w14:paraId="2557FCB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3B85DA75"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13,900.00</w:t>
            </w:r>
          </w:p>
        </w:tc>
        <w:tc>
          <w:tcPr>
            <w:tcW w:w="992" w:type="dxa"/>
            <w:shd w:val="clear" w:color="auto" w:fill="auto"/>
            <w:noWrap/>
          </w:tcPr>
          <w:p w14:paraId="191A914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2B43EAF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139</w:t>
            </w:r>
          </w:p>
        </w:tc>
        <w:tc>
          <w:tcPr>
            <w:tcW w:w="2551" w:type="dxa"/>
            <w:shd w:val="clear" w:color="auto" w:fill="auto"/>
            <w:noWrap/>
          </w:tcPr>
          <w:p w14:paraId="6799087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BICS SA</w:t>
            </w:r>
          </w:p>
        </w:tc>
        <w:tc>
          <w:tcPr>
            <w:tcW w:w="2126" w:type="dxa"/>
            <w:shd w:val="clear" w:color="auto" w:fill="auto"/>
            <w:noWrap/>
          </w:tcPr>
          <w:p w14:paraId="74E6090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Belgium</w:t>
            </w:r>
          </w:p>
        </w:tc>
        <w:tc>
          <w:tcPr>
            <w:tcW w:w="1531" w:type="dxa"/>
            <w:shd w:val="clear" w:color="auto" w:fill="auto"/>
          </w:tcPr>
          <w:p w14:paraId="37F4546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paid on 10.05.2021</w:t>
            </w:r>
          </w:p>
        </w:tc>
      </w:tr>
      <w:tr w:rsidR="00F66C8E" w:rsidRPr="00F66C8E" w14:paraId="21083F60" w14:textId="77777777" w:rsidTr="00A500CF">
        <w:trPr>
          <w:cantSplit/>
          <w:trHeight w:val="255"/>
        </w:trPr>
        <w:tc>
          <w:tcPr>
            <w:tcW w:w="704" w:type="dxa"/>
            <w:shd w:val="clear" w:color="auto" w:fill="auto"/>
          </w:tcPr>
          <w:p w14:paraId="335DFE4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37EFA28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hideMark/>
          </w:tcPr>
          <w:p w14:paraId="7F3C227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4102F2E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hideMark/>
          </w:tcPr>
          <w:p w14:paraId="292CEF9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_tradnl"/>
              </w:rPr>
            </w:pPr>
            <w:r w:rsidRPr="00F66C8E">
              <w:rPr>
                <w:rFonts w:ascii="Calibri" w:eastAsia="DengXian" w:hAnsi="Calibri" w:cs="Arial"/>
                <w:color w:val="000000"/>
                <w:sz w:val="20"/>
                <w:lang w:val="es-ES_tradnl"/>
              </w:rPr>
              <w:t xml:space="preserve">Telecom </w:t>
            </w:r>
            <w:proofErr w:type="spellStart"/>
            <w:r w:rsidRPr="00F66C8E">
              <w:rPr>
                <w:rFonts w:ascii="Calibri" w:eastAsia="DengXian" w:hAnsi="Calibri" w:cs="Arial"/>
                <w:color w:val="000000"/>
                <w:sz w:val="20"/>
                <w:lang w:val="es-ES_tradnl"/>
              </w:rPr>
              <w:t>Itália</w:t>
            </w:r>
            <w:proofErr w:type="spellEnd"/>
            <w:r w:rsidRPr="00F66C8E">
              <w:rPr>
                <w:rFonts w:ascii="Calibri" w:eastAsia="DengXian" w:hAnsi="Calibri" w:cs="Arial"/>
                <w:color w:val="000000"/>
                <w:sz w:val="20"/>
                <w:lang w:val="es-ES_tradnl"/>
              </w:rPr>
              <w:t xml:space="preserve"> </w:t>
            </w:r>
            <w:proofErr w:type="spellStart"/>
            <w:r w:rsidRPr="00F66C8E">
              <w:rPr>
                <w:rFonts w:ascii="Calibri" w:eastAsia="DengXian" w:hAnsi="Calibri" w:cs="Arial"/>
                <w:color w:val="000000"/>
                <w:sz w:val="20"/>
                <w:lang w:val="es-ES_tradnl"/>
              </w:rPr>
              <w:t>Móbile</w:t>
            </w:r>
            <w:proofErr w:type="spellEnd"/>
            <w:r w:rsidRPr="00F66C8E">
              <w:rPr>
                <w:rFonts w:ascii="Calibri" w:eastAsia="DengXian" w:hAnsi="Calibri" w:cs="Arial"/>
                <w:color w:val="000000"/>
                <w:sz w:val="20"/>
                <w:lang w:val="es-ES_tradnl"/>
              </w:rPr>
              <w:t xml:space="preserve"> </w:t>
            </w:r>
            <w:proofErr w:type="spellStart"/>
            <w:r w:rsidRPr="00F66C8E">
              <w:rPr>
                <w:rFonts w:ascii="Calibri" w:eastAsia="DengXian" w:hAnsi="Calibri" w:cs="Arial"/>
                <w:color w:val="000000"/>
                <w:sz w:val="20"/>
                <w:lang w:val="es-ES_tradnl"/>
              </w:rPr>
              <w:t>S.p.A</w:t>
            </w:r>
            <w:proofErr w:type="spellEnd"/>
            <w:r w:rsidRPr="00F66C8E">
              <w:rPr>
                <w:rFonts w:ascii="Calibri" w:eastAsia="DengXian" w:hAnsi="Calibri" w:cs="Arial"/>
                <w:color w:val="000000"/>
                <w:sz w:val="20"/>
                <w:lang w:val="es-ES_tradnl"/>
              </w:rPr>
              <w:t xml:space="preserve">. (TIM) </w:t>
            </w:r>
            <w:r w:rsidRPr="00F66C8E">
              <w:rPr>
                <w:rFonts w:ascii="Calibri" w:eastAsia="DengXian" w:hAnsi="Calibri" w:cs="Arial"/>
                <w:color w:val="000000"/>
                <w:sz w:val="20"/>
                <w:lang w:val="es-ES_tradnl"/>
              </w:rPr>
              <w:br/>
              <w:t xml:space="preserve">(ex-INTELIG </w:t>
            </w:r>
            <w:proofErr w:type="spellStart"/>
            <w:r w:rsidRPr="00F66C8E">
              <w:rPr>
                <w:rFonts w:ascii="Calibri" w:eastAsia="DengXian" w:hAnsi="Calibri" w:cs="Arial"/>
                <w:color w:val="000000"/>
                <w:sz w:val="20"/>
                <w:lang w:val="es-ES_tradnl"/>
              </w:rPr>
              <w:t>Telecomunicações</w:t>
            </w:r>
            <w:proofErr w:type="spellEnd"/>
            <w:r w:rsidRPr="00F66C8E">
              <w:rPr>
                <w:rFonts w:ascii="Calibri" w:eastAsia="DengXian" w:hAnsi="Calibri" w:cs="Arial"/>
                <w:color w:val="000000"/>
                <w:sz w:val="20"/>
                <w:lang w:val="es-ES_tradnl"/>
              </w:rPr>
              <w:t xml:space="preserve"> Ltda.)</w:t>
            </w:r>
          </w:p>
        </w:tc>
        <w:tc>
          <w:tcPr>
            <w:tcW w:w="2126" w:type="dxa"/>
            <w:shd w:val="clear" w:color="auto" w:fill="auto"/>
            <w:noWrap/>
            <w:hideMark/>
          </w:tcPr>
          <w:p w14:paraId="3BEF663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Brazil</w:t>
            </w:r>
          </w:p>
        </w:tc>
        <w:tc>
          <w:tcPr>
            <w:tcW w:w="1531" w:type="dxa"/>
            <w:shd w:val="clear" w:color="auto" w:fill="auto"/>
          </w:tcPr>
          <w:p w14:paraId="6A3226D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5D92511F" w14:textId="77777777" w:rsidTr="00A500CF">
        <w:trPr>
          <w:cantSplit/>
          <w:trHeight w:val="255"/>
        </w:trPr>
        <w:tc>
          <w:tcPr>
            <w:tcW w:w="704" w:type="dxa"/>
            <w:shd w:val="clear" w:color="auto" w:fill="auto"/>
          </w:tcPr>
          <w:p w14:paraId="54740DB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tcPr>
          <w:p w14:paraId="033FA03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500.00</w:t>
            </w:r>
          </w:p>
        </w:tc>
        <w:tc>
          <w:tcPr>
            <w:tcW w:w="992" w:type="dxa"/>
            <w:shd w:val="clear" w:color="auto" w:fill="auto"/>
            <w:noWrap/>
          </w:tcPr>
          <w:p w14:paraId="3AF148C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5582A18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5</w:t>
            </w:r>
          </w:p>
        </w:tc>
        <w:tc>
          <w:tcPr>
            <w:tcW w:w="2551" w:type="dxa"/>
            <w:shd w:val="clear" w:color="auto" w:fill="auto"/>
            <w:noWrap/>
          </w:tcPr>
          <w:p w14:paraId="0F7B028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
              </w:rPr>
            </w:pPr>
            <w:r w:rsidRPr="00F66C8E">
              <w:rPr>
                <w:rFonts w:ascii="Calibri" w:eastAsia="DengXian" w:hAnsi="Calibri" w:cs="Arial"/>
                <w:color w:val="000000"/>
                <w:sz w:val="20"/>
                <w:lang w:val="es-ES_tradnl"/>
              </w:rPr>
              <w:t>Colombia Telecomunicaciones S.A. ESP - Telecom Colombia</w:t>
            </w:r>
          </w:p>
        </w:tc>
        <w:tc>
          <w:tcPr>
            <w:tcW w:w="2126" w:type="dxa"/>
            <w:shd w:val="clear" w:color="auto" w:fill="auto"/>
            <w:noWrap/>
          </w:tcPr>
          <w:p w14:paraId="7D1D742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Colombia</w:t>
            </w:r>
          </w:p>
        </w:tc>
        <w:tc>
          <w:tcPr>
            <w:tcW w:w="1531" w:type="dxa"/>
            <w:shd w:val="clear" w:color="auto" w:fill="auto"/>
          </w:tcPr>
          <w:p w14:paraId="6DFEA87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r w:rsidR="00F66C8E" w:rsidRPr="00F66C8E" w14:paraId="08310B3F" w14:textId="77777777" w:rsidTr="00A500CF">
        <w:trPr>
          <w:cantSplit/>
          <w:trHeight w:val="255"/>
        </w:trPr>
        <w:tc>
          <w:tcPr>
            <w:tcW w:w="704" w:type="dxa"/>
            <w:shd w:val="clear" w:color="auto" w:fill="auto"/>
          </w:tcPr>
          <w:p w14:paraId="513EF56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7758E31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300.00</w:t>
            </w:r>
          </w:p>
        </w:tc>
        <w:tc>
          <w:tcPr>
            <w:tcW w:w="992" w:type="dxa"/>
            <w:shd w:val="clear" w:color="auto" w:fill="auto"/>
            <w:noWrap/>
          </w:tcPr>
          <w:p w14:paraId="280C69B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7F41015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3</w:t>
            </w:r>
          </w:p>
        </w:tc>
        <w:tc>
          <w:tcPr>
            <w:tcW w:w="2551" w:type="dxa"/>
            <w:shd w:val="clear" w:color="auto" w:fill="auto"/>
            <w:noWrap/>
          </w:tcPr>
          <w:p w14:paraId="7BDCB78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lang w:val="en-US"/>
              </w:rPr>
            </w:pPr>
            <w:r w:rsidRPr="00F66C8E">
              <w:rPr>
                <w:rFonts w:ascii="Calibri" w:eastAsia="DengXian" w:hAnsi="Calibri" w:cs="Arial"/>
                <w:strike/>
                <w:color w:val="000000"/>
                <w:sz w:val="20"/>
              </w:rPr>
              <w:t xml:space="preserve">O2 Czech Republic </w:t>
            </w:r>
            <w:proofErr w:type="spellStart"/>
            <w:r w:rsidRPr="00F66C8E">
              <w:rPr>
                <w:rFonts w:ascii="Calibri" w:eastAsia="DengXian" w:hAnsi="Calibri" w:cs="Arial"/>
                <w:strike/>
                <w:color w:val="000000"/>
                <w:sz w:val="20"/>
              </w:rPr>
              <w:t>a.s.</w:t>
            </w:r>
            <w:proofErr w:type="spellEnd"/>
          </w:p>
        </w:tc>
        <w:tc>
          <w:tcPr>
            <w:tcW w:w="2126" w:type="dxa"/>
            <w:shd w:val="clear" w:color="auto" w:fill="auto"/>
            <w:noWrap/>
          </w:tcPr>
          <w:p w14:paraId="5D7A735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Czech Republic</w:t>
            </w:r>
          </w:p>
        </w:tc>
        <w:tc>
          <w:tcPr>
            <w:tcW w:w="1531" w:type="dxa"/>
            <w:shd w:val="clear" w:color="auto" w:fill="auto"/>
          </w:tcPr>
          <w:p w14:paraId="3DA89A3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r w:rsidRPr="00F66C8E">
              <w:rPr>
                <w:rFonts w:ascii="Calibri" w:eastAsia="DengXian" w:hAnsi="Calibri" w:cs="Arial"/>
                <w:sz w:val="20"/>
              </w:rPr>
              <w:t>paid on 07.07.2021</w:t>
            </w:r>
          </w:p>
        </w:tc>
      </w:tr>
      <w:tr w:rsidR="00F66C8E" w:rsidRPr="00F66C8E" w14:paraId="22AAD010" w14:textId="77777777" w:rsidTr="00A500CF">
        <w:trPr>
          <w:cantSplit/>
          <w:trHeight w:val="255"/>
        </w:trPr>
        <w:tc>
          <w:tcPr>
            <w:tcW w:w="704" w:type="dxa"/>
            <w:shd w:val="clear" w:color="auto" w:fill="auto"/>
          </w:tcPr>
          <w:p w14:paraId="5C892C8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157D28A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200.00</w:t>
            </w:r>
          </w:p>
        </w:tc>
        <w:tc>
          <w:tcPr>
            <w:tcW w:w="992" w:type="dxa"/>
            <w:shd w:val="clear" w:color="auto" w:fill="auto"/>
            <w:noWrap/>
            <w:hideMark/>
          </w:tcPr>
          <w:p w14:paraId="7D8E708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5C80CD2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2</w:t>
            </w:r>
          </w:p>
        </w:tc>
        <w:tc>
          <w:tcPr>
            <w:tcW w:w="2551" w:type="dxa"/>
            <w:shd w:val="clear" w:color="auto" w:fill="auto"/>
            <w:noWrap/>
            <w:hideMark/>
          </w:tcPr>
          <w:p w14:paraId="544B3BC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 xml:space="preserve">Telia </w:t>
            </w:r>
            <w:proofErr w:type="spellStart"/>
            <w:r w:rsidRPr="00F66C8E">
              <w:rPr>
                <w:rFonts w:ascii="Calibri" w:eastAsia="DengXian" w:hAnsi="Calibri" w:cs="Arial"/>
                <w:color w:val="000000"/>
                <w:sz w:val="20"/>
              </w:rPr>
              <w:t>Eesti</w:t>
            </w:r>
            <w:proofErr w:type="spellEnd"/>
            <w:r w:rsidRPr="00F66C8E">
              <w:rPr>
                <w:rFonts w:ascii="Calibri" w:eastAsia="DengXian" w:hAnsi="Calibri" w:cs="Arial"/>
                <w:color w:val="000000"/>
                <w:sz w:val="20"/>
              </w:rPr>
              <w:t xml:space="preserve"> AS (formerly Elion </w:t>
            </w:r>
            <w:proofErr w:type="spellStart"/>
            <w:r w:rsidRPr="00F66C8E">
              <w:rPr>
                <w:rFonts w:ascii="Calibri" w:eastAsia="DengXian" w:hAnsi="Calibri" w:cs="Arial"/>
                <w:color w:val="000000"/>
                <w:sz w:val="20"/>
              </w:rPr>
              <w:t>Ettevõtted</w:t>
            </w:r>
            <w:proofErr w:type="spellEnd"/>
            <w:r w:rsidRPr="00F66C8E">
              <w:rPr>
                <w:rFonts w:ascii="Calibri" w:eastAsia="DengXian" w:hAnsi="Calibri" w:cs="Arial"/>
                <w:color w:val="000000"/>
                <w:sz w:val="20"/>
              </w:rPr>
              <w:t xml:space="preserve"> AS)</w:t>
            </w:r>
          </w:p>
        </w:tc>
        <w:tc>
          <w:tcPr>
            <w:tcW w:w="2126" w:type="dxa"/>
            <w:shd w:val="clear" w:color="auto" w:fill="auto"/>
            <w:noWrap/>
            <w:hideMark/>
          </w:tcPr>
          <w:p w14:paraId="6541A06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Estonia</w:t>
            </w:r>
          </w:p>
        </w:tc>
        <w:tc>
          <w:tcPr>
            <w:tcW w:w="1531" w:type="dxa"/>
            <w:shd w:val="clear" w:color="auto" w:fill="auto"/>
          </w:tcPr>
          <w:p w14:paraId="21B472F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7362A199" w14:textId="77777777" w:rsidTr="00A500CF">
        <w:trPr>
          <w:cantSplit/>
          <w:trHeight w:val="255"/>
        </w:trPr>
        <w:tc>
          <w:tcPr>
            <w:tcW w:w="704" w:type="dxa"/>
            <w:shd w:val="clear" w:color="auto" w:fill="auto"/>
          </w:tcPr>
          <w:p w14:paraId="0DFCABF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315EC8E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200.00</w:t>
            </w:r>
          </w:p>
        </w:tc>
        <w:tc>
          <w:tcPr>
            <w:tcW w:w="992" w:type="dxa"/>
            <w:shd w:val="clear" w:color="auto" w:fill="auto"/>
            <w:noWrap/>
            <w:hideMark/>
          </w:tcPr>
          <w:p w14:paraId="1C4DFE0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7717A15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2</w:t>
            </w:r>
          </w:p>
        </w:tc>
        <w:tc>
          <w:tcPr>
            <w:tcW w:w="2551" w:type="dxa"/>
            <w:shd w:val="clear" w:color="auto" w:fill="auto"/>
            <w:noWrap/>
            <w:hideMark/>
          </w:tcPr>
          <w:p w14:paraId="60959365"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roofErr w:type="spellStart"/>
            <w:r w:rsidRPr="00F66C8E">
              <w:rPr>
                <w:rFonts w:ascii="Calibri" w:eastAsia="DengXian" w:hAnsi="Calibri" w:cs="Arial"/>
                <w:color w:val="000000"/>
                <w:sz w:val="20"/>
              </w:rPr>
              <w:t>Télécom</w:t>
            </w:r>
            <w:proofErr w:type="spellEnd"/>
            <w:r w:rsidRPr="00F66C8E">
              <w:rPr>
                <w:rFonts w:ascii="Calibri" w:eastAsia="DengXian" w:hAnsi="Calibri" w:cs="Arial"/>
                <w:color w:val="000000"/>
                <w:sz w:val="20"/>
              </w:rPr>
              <w:t xml:space="preserve"> </w:t>
            </w:r>
            <w:proofErr w:type="spellStart"/>
            <w:r w:rsidRPr="00F66C8E">
              <w:rPr>
                <w:rFonts w:ascii="Calibri" w:eastAsia="DengXian" w:hAnsi="Calibri" w:cs="Arial"/>
                <w:color w:val="000000"/>
                <w:sz w:val="20"/>
              </w:rPr>
              <w:t>Développement</w:t>
            </w:r>
            <w:proofErr w:type="spellEnd"/>
          </w:p>
        </w:tc>
        <w:tc>
          <w:tcPr>
            <w:tcW w:w="2126" w:type="dxa"/>
            <w:shd w:val="clear" w:color="auto" w:fill="auto"/>
            <w:noWrap/>
            <w:hideMark/>
          </w:tcPr>
          <w:p w14:paraId="65446F3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France</w:t>
            </w:r>
          </w:p>
        </w:tc>
        <w:tc>
          <w:tcPr>
            <w:tcW w:w="1531" w:type="dxa"/>
            <w:shd w:val="clear" w:color="auto" w:fill="auto"/>
          </w:tcPr>
          <w:p w14:paraId="0D6B95E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Altice/SFR</w:t>
            </w:r>
          </w:p>
        </w:tc>
      </w:tr>
      <w:tr w:rsidR="00F66C8E" w:rsidRPr="00F66C8E" w14:paraId="04347294" w14:textId="77777777" w:rsidTr="00A500CF">
        <w:trPr>
          <w:cantSplit/>
          <w:trHeight w:val="255"/>
        </w:trPr>
        <w:tc>
          <w:tcPr>
            <w:tcW w:w="704" w:type="dxa"/>
            <w:shd w:val="clear" w:color="auto" w:fill="auto"/>
          </w:tcPr>
          <w:p w14:paraId="29DE4CE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5038864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hideMark/>
          </w:tcPr>
          <w:p w14:paraId="2384BF5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36AC589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hideMark/>
          </w:tcPr>
          <w:p w14:paraId="0CD0AF9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roofErr w:type="spellStart"/>
            <w:r w:rsidRPr="00F66C8E">
              <w:rPr>
                <w:rFonts w:ascii="Calibri" w:eastAsia="DengXian" w:hAnsi="Calibri" w:cs="Arial"/>
                <w:color w:val="000000"/>
                <w:sz w:val="20"/>
              </w:rPr>
              <w:t>TelePassport</w:t>
            </w:r>
            <w:proofErr w:type="spellEnd"/>
            <w:r w:rsidRPr="00F66C8E">
              <w:rPr>
                <w:rFonts w:ascii="Calibri" w:eastAsia="DengXian" w:hAnsi="Calibri" w:cs="Arial"/>
                <w:color w:val="000000"/>
                <w:sz w:val="20"/>
              </w:rPr>
              <w:t xml:space="preserve"> AG</w:t>
            </w:r>
          </w:p>
        </w:tc>
        <w:tc>
          <w:tcPr>
            <w:tcW w:w="2126" w:type="dxa"/>
            <w:shd w:val="clear" w:color="auto" w:fill="auto"/>
            <w:noWrap/>
            <w:hideMark/>
          </w:tcPr>
          <w:p w14:paraId="3CEC256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Germany</w:t>
            </w:r>
          </w:p>
        </w:tc>
        <w:tc>
          <w:tcPr>
            <w:tcW w:w="1531" w:type="dxa"/>
            <w:shd w:val="clear" w:color="auto" w:fill="auto"/>
          </w:tcPr>
          <w:p w14:paraId="4A64483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sz w:val="20"/>
              </w:rPr>
              <w:t xml:space="preserve">acquisition by </w:t>
            </w:r>
            <w:proofErr w:type="spellStart"/>
            <w:r w:rsidRPr="00F66C8E">
              <w:rPr>
                <w:rFonts w:ascii="Calibri" w:eastAsia="DengXian" w:hAnsi="Calibri" w:cs="Arial"/>
                <w:i/>
                <w:sz w:val="20"/>
              </w:rPr>
              <w:t>mobilcom-debitel</w:t>
            </w:r>
            <w:proofErr w:type="spellEnd"/>
            <w:r w:rsidRPr="00F66C8E">
              <w:rPr>
                <w:rFonts w:ascii="Calibri" w:eastAsia="DengXian" w:hAnsi="Calibri" w:cs="Arial"/>
                <w:i/>
                <w:sz w:val="20"/>
              </w:rPr>
              <w:t xml:space="preserve"> GmbH</w:t>
            </w:r>
          </w:p>
        </w:tc>
      </w:tr>
      <w:tr w:rsidR="00F66C8E" w:rsidRPr="00F66C8E" w14:paraId="542A52B6" w14:textId="77777777" w:rsidTr="00A500CF">
        <w:trPr>
          <w:cantSplit/>
          <w:trHeight w:val="255"/>
        </w:trPr>
        <w:tc>
          <w:tcPr>
            <w:tcW w:w="704" w:type="dxa"/>
            <w:shd w:val="clear" w:color="auto" w:fill="auto"/>
          </w:tcPr>
          <w:p w14:paraId="6B1C5B8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39EF1F2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400.00</w:t>
            </w:r>
          </w:p>
        </w:tc>
        <w:tc>
          <w:tcPr>
            <w:tcW w:w="992" w:type="dxa"/>
            <w:shd w:val="clear" w:color="auto" w:fill="auto"/>
            <w:noWrap/>
          </w:tcPr>
          <w:p w14:paraId="258A28E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404FFFA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4</w:t>
            </w:r>
          </w:p>
        </w:tc>
        <w:tc>
          <w:tcPr>
            <w:tcW w:w="2551" w:type="dxa"/>
            <w:shd w:val="clear" w:color="auto" w:fill="auto"/>
            <w:noWrap/>
          </w:tcPr>
          <w:p w14:paraId="5810A74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proofErr w:type="spellStart"/>
            <w:r w:rsidRPr="00F66C8E">
              <w:rPr>
                <w:rFonts w:ascii="Calibri" w:eastAsia="DengXian" w:hAnsi="Calibri" w:cs="Arial"/>
                <w:strike/>
                <w:color w:val="000000"/>
                <w:sz w:val="20"/>
              </w:rPr>
              <w:t>PLANinterNET</w:t>
            </w:r>
            <w:proofErr w:type="spellEnd"/>
            <w:r w:rsidRPr="00F66C8E">
              <w:rPr>
                <w:rFonts w:ascii="Calibri" w:eastAsia="DengXian" w:hAnsi="Calibri" w:cs="Arial"/>
                <w:strike/>
                <w:color w:val="000000"/>
                <w:sz w:val="20"/>
              </w:rPr>
              <w:t xml:space="preserve"> VoIP-GmbH</w:t>
            </w:r>
          </w:p>
        </w:tc>
        <w:tc>
          <w:tcPr>
            <w:tcW w:w="2126" w:type="dxa"/>
            <w:shd w:val="clear" w:color="auto" w:fill="auto"/>
            <w:noWrap/>
          </w:tcPr>
          <w:p w14:paraId="11EE2C4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Germany</w:t>
            </w:r>
          </w:p>
        </w:tc>
        <w:tc>
          <w:tcPr>
            <w:tcW w:w="1531" w:type="dxa"/>
            <w:shd w:val="clear" w:color="auto" w:fill="auto"/>
          </w:tcPr>
          <w:p w14:paraId="79267A2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r w:rsidRPr="00F66C8E">
              <w:rPr>
                <w:rFonts w:ascii="Calibri" w:eastAsia="DengXian" w:hAnsi="Calibri" w:cs="Arial"/>
                <w:color w:val="000000"/>
                <w:sz w:val="20"/>
              </w:rPr>
              <w:t>paid on 23.04.2021</w:t>
            </w:r>
          </w:p>
        </w:tc>
      </w:tr>
      <w:tr w:rsidR="00F66C8E" w:rsidRPr="00F66C8E" w14:paraId="64747B9C" w14:textId="77777777" w:rsidTr="00A500CF">
        <w:trPr>
          <w:cantSplit/>
          <w:trHeight w:val="255"/>
        </w:trPr>
        <w:tc>
          <w:tcPr>
            <w:tcW w:w="704" w:type="dxa"/>
            <w:shd w:val="clear" w:color="auto" w:fill="auto"/>
          </w:tcPr>
          <w:p w14:paraId="76B3F0D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2019</w:t>
            </w:r>
          </w:p>
        </w:tc>
        <w:tc>
          <w:tcPr>
            <w:tcW w:w="1134" w:type="dxa"/>
            <w:shd w:val="clear" w:color="auto" w:fill="auto"/>
            <w:noWrap/>
          </w:tcPr>
          <w:p w14:paraId="702BA1C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400.00</w:t>
            </w:r>
          </w:p>
        </w:tc>
        <w:tc>
          <w:tcPr>
            <w:tcW w:w="992" w:type="dxa"/>
            <w:shd w:val="clear" w:color="auto" w:fill="auto"/>
            <w:noWrap/>
          </w:tcPr>
          <w:p w14:paraId="54EA2D5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36D9C7D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4</w:t>
            </w:r>
          </w:p>
        </w:tc>
        <w:tc>
          <w:tcPr>
            <w:tcW w:w="2551" w:type="dxa"/>
            <w:shd w:val="clear" w:color="auto" w:fill="auto"/>
            <w:noWrap/>
          </w:tcPr>
          <w:p w14:paraId="5BD4FC5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OTEGLOBE S.A.</w:t>
            </w:r>
          </w:p>
        </w:tc>
        <w:tc>
          <w:tcPr>
            <w:tcW w:w="2126" w:type="dxa"/>
            <w:shd w:val="clear" w:color="auto" w:fill="auto"/>
            <w:noWrap/>
          </w:tcPr>
          <w:p w14:paraId="14E08E8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Greece</w:t>
            </w:r>
          </w:p>
        </w:tc>
        <w:tc>
          <w:tcPr>
            <w:tcW w:w="1531" w:type="dxa"/>
            <w:shd w:val="clear" w:color="auto" w:fill="auto"/>
          </w:tcPr>
          <w:p w14:paraId="05C7FE5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r w:rsidR="00F66C8E" w:rsidRPr="00F66C8E" w14:paraId="66BDCA5C" w14:textId="77777777" w:rsidTr="00A500CF">
        <w:trPr>
          <w:cantSplit/>
          <w:trHeight w:val="255"/>
        </w:trPr>
        <w:tc>
          <w:tcPr>
            <w:tcW w:w="704" w:type="dxa"/>
            <w:shd w:val="clear" w:color="auto" w:fill="auto"/>
          </w:tcPr>
          <w:p w14:paraId="63B6F81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7D599F0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hideMark/>
          </w:tcPr>
          <w:p w14:paraId="7237446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4D483AB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hideMark/>
          </w:tcPr>
          <w:p w14:paraId="6700B4A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_tradnl"/>
              </w:rPr>
            </w:pPr>
            <w:r w:rsidRPr="00F66C8E">
              <w:rPr>
                <w:rFonts w:ascii="Calibri" w:eastAsia="DengXian" w:hAnsi="Calibri" w:cs="Arial"/>
                <w:color w:val="000000"/>
                <w:sz w:val="20"/>
                <w:lang w:val="es-ES_tradnl"/>
              </w:rPr>
              <w:t xml:space="preserve">Empresa Hondureña de </w:t>
            </w:r>
            <w:proofErr w:type="spellStart"/>
            <w:r w:rsidRPr="00F66C8E">
              <w:rPr>
                <w:rFonts w:ascii="Calibri" w:eastAsia="DengXian" w:hAnsi="Calibri" w:cs="Arial"/>
                <w:color w:val="000000"/>
                <w:sz w:val="20"/>
                <w:lang w:val="es-ES_tradnl"/>
              </w:rPr>
              <w:t>Telecommunicaciones</w:t>
            </w:r>
            <w:proofErr w:type="spellEnd"/>
            <w:r w:rsidRPr="00F66C8E">
              <w:rPr>
                <w:rFonts w:ascii="Calibri" w:eastAsia="DengXian" w:hAnsi="Calibri" w:cs="Arial"/>
                <w:color w:val="000000"/>
                <w:sz w:val="20"/>
                <w:lang w:val="es-ES_tradnl"/>
              </w:rPr>
              <w:t xml:space="preserve"> (HONDUTEL)</w:t>
            </w:r>
          </w:p>
        </w:tc>
        <w:tc>
          <w:tcPr>
            <w:tcW w:w="2126" w:type="dxa"/>
            <w:shd w:val="clear" w:color="auto" w:fill="auto"/>
            <w:noWrap/>
            <w:hideMark/>
          </w:tcPr>
          <w:p w14:paraId="21202DE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Honduras</w:t>
            </w:r>
          </w:p>
        </w:tc>
        <w:tc>
          <w:tcPr>
            <w:tcW w:w="1531" w:type="dxa"/>
            <w:shd w:val="clear" w:color="auto" w:fill="auto"/>
          </w:tcPr>
          <w:p w14:paraId="6A8E0E0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3979D04A" w14:textId="77777777" w:rsidTr="00A500CF">
        <w:trPr>
          <w:cantSplit/>
          <w:trHeight w:val="255"/>
        </w:trPr>
        <w:tc>
          <w:tcPr>
            <w:tcW w:w="704" w:type="dxa"/>
            <w:shd w:val="clear" w:color="auto" w:fill="auto"/>
          </w:tcPr>
          <w:p w14:paraId="1A0909C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lastRenderedPageBreak/>
              <w:t>2018</w:t>
            </w:r>
          </w:p>
        </w:tc>
        <w:tc>
          <w:tcPr>
            <w:tcW w:w="1134" w:type="dxa"/>
            <w:shd w:val="clear" w:color="auto" w:fill="auto"/>
            <w:noWrap/>
          </w:tcPr>
          <w:p w14:paraId="67C8254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400.00</w:t>
            </w:r>
          </w:p>
        </w:tc>
        <w:tc>
          <w:tcPr>
            <w:tcW w:w="992" w:type="dxa"/>
            <w:shd w:val="clear" w:color="auto" w:fill="auto"/>
            <w:noWrap/>
          </w:tcPr>
          <w:p w14:paraId="0449F6E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24927A1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4</w:t>
            </w:r>
          </w:p>
        </w:tc>
        <w:tc>
          <w:tcPr>
            <w:tcW w:w="2551" w:type="dxa"/>
            <w:shd w:val="clear" w:color="auto" w:fill="auto"/>
            <w:noWrap/>
          </w:tcPr>
          <w:p w14:paraId="2262098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_tradnl"/>
              </w:rPr>
            </w:pPr>
            <w:r w:rsidRPr="00F66C8E">
              <w:rPr>
                <w:rFonts w:ascii="Calibri" w:eastAsia="DengXian" w:hAnsi="Calibri" w:cs="Arial"/>
                <w:color w:val="000000"/>
                <w:sz w:val="20"/>
                <w:lang w:val="es-ES_tradnl"/>
              </w:rPr>
              <w:t xml:space="preserve">HKBN Enterprise </w:t>
            </w:r>
            <w:proofErr w:type="spellStart"/>
            <w:r w:rsidRPr="00F66C8E">
              <w:rPr>
                <w:rFonts w:ascii="Calibri" w:eastAsia="DengXian" w:hAnsi="Calibri" w:cs="Arial"/>
                <w:color w:val="000000"/>
                <w:sz w:val="20"/>
                <w:lang w:val="es-ES_tradnl"/>
              </w:rPr>
              <w:t>Solutions</w:t>
            </w:r>
            <w:proofErr w:type="spellEnd"/>
            <w:r w:rsidRPr="00F66C8E">
              <w:rPr>
                <w:rFonts w:ascii="Calibri" w:eastAsia="DengXian" w:hAnsi="Calibri" w:cs="Arial"/>
                <w:color w:val="000000"/>
                <w:sz w:val="20"/>
                <w:lang w:val="es-ES_tradnl"/>
              </w:rPr>
              <w:t xml:space="preserve"> HK </w:t>
            </w:r>
            <w:proofErr w:type="spellStart"/>
            <w:r w:rsidRPr="00F66C8E">
              <w:rPr>
                <w:rFonts w:ascii="Calibri" w:eastAsia="DengXian" w:hAnsi="Calibri" w:cs="Arial"/>
                <w:color w:val="000000"/>
                <w:sz w:val="20"/>
                <w:lang w:val="es-ES_tradnl"/>
              </w:rPr>
              <w:t>Limited</w:t>
            </w:r>
            <w:proofErr w:type="spellEnd"/>
            <w:r w:rsidRPr="00F66C8E">
              <w:rPr>
                <w:rFonts w:ascii="Calibri" w:eastAsia="DengXian" w:hAnsi="Calibri" w:cs="Arial"/>
                <w:color w:val="000000"/>
                <w:sz w:val="20"/>
                <w:lang w:val="es-ES_tradnl"/>
              </w:rPr>
              <w:t xml:space="preserve"> (ex-WTT HK </w:t>
            </w:r>
            <w:proofErr w:type="spellStart"/>
            <w:r w:rsidRPr="00F66C8E">
              <w:rPr>
                <w:rFonts w:ascii="Calibri" w:eastAsia="DengXian" w:hAnsi="Calibri" w:cs="Arial"/>
                <w:color w:val="000000"/>
                <w:sz w:val="20"/>
                <w:lang w:val="es-ES_tradnl"/>
              </w:rPr>
              <w:t>Limited</w:t>
            </w:r>
            <w:proofErr w:type="spellEnd"/>
            <w:r w:rsidRPr="00F66C8E">
              <w:rPr>
                <w:rFonts w:ascii="Calibri" w:eastAsia="DengXian" w:hAnsi="Calibri" w:cs="Arial"/>
                <w:color w:val="000000"/>
                <w:sz w:val="20"/>
                <w:lang w:val="es-ES_tradnl"/>
              </w:rPr>
              <w:t>)</w:t>
            </w:r>
          </w:p>
        </w:tc>
        <w:tc>
          <w:tcPr>
            <w:tcW w:w="2126" w:type="dxa"/>
            <w:shd w:val="clear" w:color="auto" w:fill="auto"/>
            <w:noWrap/>
          </w:tcPr>
          <w:p w14:paraId="2614B66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Hong Kong, China</w:t>
            </w:r>
          </w:p>
        </w:tc>
        <w:tc>
          <w:tcPr>
            <w:tcW w:w="1531" w:type="dxa"/>
            <w:shd w:val="clear" w:color="auto" w:fill="auto"/>
          </w:tcPr>
          <w:p w14:paraId="03A7050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r w:rsidR="00F66C8E" w:rsidRPr="00F66C8E" w14:paraId="437A8682" w14:textId="77777777" w:rsidTr="00A500CF">
        <w:trPr>
          <w:cantSplit/>
          <w:trHeight w:val="255"/>
        </w:trPr>
        <w:tc>
          <w:tcPr>
            <w:tcW w:w="704" w:type="dxa"/>
            <w:shd w:val="clear" w:color="auto" w:fill="auto"/>
          </w:tcPr>
          <w:p w14:paraId="1138776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3E4A9AE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16,600.00</w:t>
            </w:r>
          </w:p>
        </w:tc>
        <w:tc>
          <w:tcPr>
            <w:tcW w:w="992" w:type="dxa"/>
            <w:shd w:val="clear" w:color="auto" w:fill="auto"/>
            <w:noWrap/>
          </w:tcPr>
          <w:p w14:paraId="4F25E8A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7C5C6E1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166</w:t>
            </w:r>
          </w:p>
        </w:tc>
        <w:tc>
          <w:tcPr>
            <w:tcW w:w="2551" w:type="dxa"/>
            <w:shd w:val="clear" w:color="auto" w:fill="auto"/>
            <w:noWrap/>
          </w:tcPr>
          <w:p w14:paraId="00F782F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PCCW - HKT</w:t>
            </w:r>
          </w:p>
        </w:tc>
        <w:tc>
          <w:tcPr>
            <w:tcW w:w="2126" w:type="dxa"/>
            <w:shd w:val="clear" w:color="auto" w:fill="auto"/>
            <w:noWrap/>
          </w:tcPr>
          <w:p w14:paraId="326893F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Hong Kong, China</w:t>
            </w:r>
          </w:p>
        </w:tc>
        <w:tc>
          <w:tcPr>
            <w:tcW w:w="1531" w:type="dxa"/>
            <w:shd w:val="clear" w:color="auto" w:fill="auto"/>
          </w:tcPr>
          <w:p w14:paraId="7100B707" w14:textId="4DAAD442"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Pr>
                <w:rFonts w:ascii="Calibri" w:eastAsia="DengXian" w:hAnsi="Calibri" w:cs="Arial"/>
                <w:color w:val="000000"/>
                <w:sz w:val="20"/>
              </w:rPr>
              <w:t>Paid on 21.07.2021</w:t>
            </w:r>
          </w:p>
        </w:tc>
      </w:tr>
      <w:tr w:rsidR="00F66C8E" w:rsidRPr="00F66C8E" w14:paraId="21E1AFCB" w14:textId="77777777" w:rsidTr="00A500CF">
        <w:trPr>
          <w:cantSplit/>
          <w:trHeight w:val="255"/>
        </w:trPr>
        <w:tc>
          <w:tcPr>
            <w:tcW w:w="704" w:type="dxa"/>
            <w:shd w:val="clear" w:color="auto" w:fill="auto"/>
          </w:tcPr>
          <w:p w14:paraId="4E870E4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2E3CA17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rPr>
                <w:rFonts w:ascii="Calibri" w:eastAsia="DengXian" w:hAnsi="Calibri" w:cs="Arial"/>
                <w:color w:val="000000"/>
                <w:sz w:val="20"/>
              </w:rPr>
            </w:pPr>
            <w:r w:rsidRPr="00F66C8E">
              <w:rPr>
                <w:rFonts w:ascii="Calibri" w:eastAsia="DengXian" w:hAnsi="Calibri" w:cs="Arial"/>
                <w:color w:val="000000"/>
                <w:sz w:val="20"/>
              </w:rPr>
              <w:t>14,000.00</w:t>
            </w:r>
          </w:p>
          <w:p w14:paraId="670A8DD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r w:rsidRPr="00F66C8E">
              <w:rPr>
                <w:rFonts w:ascii="Calibri" w:eastAsia="DengXian" w:hAnsi="Calibri" w:cs="Arial"/>
                <w:color w:val="000000"/>
                <w:sz w:val="20"/>
              </w:rPr>
              <w:t>[partial payment:</w:t>
            </w:r>
            <w:r w:rsidRPr="00F66C8E">
              <w:rPr>
                <w:rFonts w:ascii="Calibri" w:eastAsia="DengXian" w:hAnsi="Calibri" w:cs="Arial"/>
                <w:color w:val="000000"/>
                <w:sz w:val="20"/>
              </w:rPr>
              <w:br/>
              <w:t>CHF 2800]</w:t>
            </w:r>
          </w:p>
        </w:tc>
        <w:tc>
          <w:tcPr>
            <w:tcW w:w="992" w:type="dxa"/>
            <w:shd w:val="clear" w:color="auto" w:fill="auto"/>
            <w:noWrap/>
            <w:hideMark/>
          </w:tcPr>
          <w:p w14:paraId="1AEF915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73A7D7E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color w:val="000000"/>
                <w:sz w:val="20"/>
              </w:rPr>
            </w:pPr>
            <w:r w:rsidRPr="00F66C8E">
              <w:rPr>
                <w:rFonts w:ascii="Calibri" w:eastAsia="DengXian" w:hAnsi="Calibri" w:cs="Arial"/>
                <w:color w:val="000000"/>
                <w:sz w:val="20"/>
              </w:rPr>
              <w:t>140</w:t>
            </w:r>
          </w:p>
        </w:tc>
        <w:tc>
          <w:tcPr>
            <w:tcW w:w="2551" w:type="dxa"/>
            <w:shd w:val="clear" w:color="auto" w:fill="auto"/>
            <w:noWrap/>
            <w:hideMark/>
          </w:tcPr>
          <w:p w14:paraId="09137BB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proofErr w:type="spellStart"/>
            <w:r w:rsidRPr="00F66C8E">
              <w:rPr>
                <w:rFonts w:ascii="Calibri" w:eastAsia="DengXian" w:hAnsi="Calibri" w:cs="Arial"/>
                <w:color w:val="000000"/>
                <w:sz w:val="20"/>
              </w:rPr>
              <w:t>Bezeq</w:t>
            </w:r>
            <w:proofErr w:type="spellEnd"/>
            <w:r w:rsidRPr="00F66C8E">
              <w:rPr>
                <w:rFonts w:ascii="Calibri" w:eastAsia="DengXian" w:hAnsi="Calibri" w:cs="Arial"/>
                <w:color w:val="000000"/>
                <w:sz w:val="20"/>
              </w:rPr>
              <w:t xml:space="preserve"> International</w:t>
            </w:r>
          </w:p>
        </w:tc>
        <w:tc>
          <w:tcPr>
            <w:tcW w:w="2126" w:type="dxa"/>
            <w:shd w:val="clear" w:color="auto" w:fill="auto"/>
            <w:noWrap/>
            <w:hideMark/>
          </w:tcPr>
          <w:p w14:paraId="4B7DBC1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r w:rsidRPr="00F66C8E">
              <w:rPr>
                <w:rFonts w:ascii="Calibri" w:eastAsia="DengXian" w:hAnsi="Calibri" w:cs="Arial"/>
                <w:color w:val="000000"/>
                <w:sz w:val="20"/>
              </w:rPr>
              <w:t>Israel</w:t>
            </w:r>
          </w:p>
        </w:tc>
        <w:tc>
          <w:tcPr>
            <w:tcW w:w="1531" w:type="dxa"/>
            <w:shd w:val="clear" w:color="auto" w:fill="auto"/>
          </w:tcPr>
          <w:p w14:paraId="31A4FF4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p>
        </w:tc>
      </w:tr>
      <w:tr w:rsidR="00F66C8E" w:rsidRPr="00F66C8E" w14:paraId="2C9C1EC7" w14:textId="77777777" w:rsidTr="00A500CF">
        <w:trPr>
          <w:cantSplit/>
          <w:trHeight w:val="255"/>
        </w:trPr>
        <w:tc>
          <w:tcPr>
            <w:tcW w:w="704" w:type="dxa"/>
            <w:shd w:val="clear" w:color="auto" w:fill="auto"/>
          </w:tcPr>
          <w:p w14:paraId="6A21BB49"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jc w:val="right"/>
              <w:rPr>
                <w:rFonts w:ascii="Calibri" w:eastAsia="DengXian" w:hAnsi="Calibri" w:cs="Arial"/>
                <w:strike/>
                <w:color w:val="000000"/>
                <w:sz w:val="20"/>
              </w:rPr>
            </w:pPr>
            <w:r w:rsidRPr="00954A97">
              <w:rPr>
                <w:rFonts w:ascii="Calibri" w:eastAsia="DengXian" w:hAnsi="Calibri" w:cs="Arial"/>
                <w:strike/>
                <w:color w:val="000000"/>
                <w:sz w:val="20"/>
              </w:rPr>
              <w:t>2020</w:t>
            </w:r>
          </w:p>
        </w:tc>
        <w:tc>
          <w:tcPr>
            <w:tcW w:w="1134" w:type="dxa"/>
            <w:shd w:val="clear" w:color="auto" w:fill="auto"/>
            <w:noWrap/>
          </w:tcPr>
          <w:p w14:paraId="2B1AD6BB"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jc w:val="right"/>
              <w:rPr>
                <w:rFonts w:ascii="Calibri" w:eastAsia="DengXian" w:hAnsi="Calibri" w:cs="Arial"/>
                <w:strike/>
                <w:color w:val="000000"/>
                <w:sz w:val="20"/>
              </w:rPr>
            </w:pPr>
            <w:r w:rsidRPr="00954A97">
              <w:rPr>
                <w:rFonts w:ascii="Calibri" w:eastAsia="DengXian" w:hAnsi="Calibri" w:cs="Arial"/>
                <w:strike/>
                <w:color w:val="000000"/>
                <w:sz w:val="20"/>
              </w:rPr>
              <w:t>6,800.00</w:t>
            </w:r>
          </w:p>
        </w:tc>
        <w:tc>
          <w:tcPr>
            <w:tcW w:w="992" w:type="dxa"/>
            <w:shd w:val="clear" w:color="auto" w:fill="auto"/>
            <w:noWrap/>
          </w:tcPr>
          <w:p w14:paraId="3FAC9D66"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strike/>
                <w:color w:val="000000"/>
                <w:sz w:val="20"/>
              </w:rPr>
            </w:pPr>
            <w:r w:rsidRPr="00954A97">
              <w:rPr>
                <w:rFonts w:ascii="Calibri" w:eastAsia="DengXian" w:hAnsi="Calibri" w:cs="Arial"/>
                <w:strike/>
                <w:color w:val="000000"/>
                <w:sz w:val="20"/>
              </w:rPr>
              <w:t>CHF</w:t>
            </w:r>
          </w:p>
        </w:tc>
        <w:tc>
          <w:tcPr>
            <w:tcW w:w="993" w:type="dxa"/>
            <w:shd w:val="clear" w:color="auto" w:fill="auto"/>
          </w:tcPr>
          <w:p w14:paraId="5C1F273F"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rPr>
                <w:rFonts w:ascii="Calibri" w:eastAsia="DengXian" w:hAnsi="Calibri" w:cs="Arial"/>
                <w:strike/>
                <w:color w:val="000000"/>
                <w:sz w:val="20"/>
              </w:rPr>
            </w:pPr>
            <w:r w:rsidRPr="00954A97">
              <w:rPr>
                <w:rFonts w:ascii="Calibri" w:eastAsia="DengXian" w:hAnsi="Calibri" w:cs="Arial"/>
                <w:strike/>
                <w:color w:val="000000"/>
                <w:sz w:val="20"/>
              </w:rPr>
              <w:t>68</w:t>
            </w:r>
          </w:p>
        </w:tc>
        <w:tc>
          <w:tcPr>
            <w:tcW w:w="2551" w:type="dxa"/>
            <w:shd w:val="clear" w:color="auto" w:fill="auto"/>
            <w:noWrap/>
          </w:tcPr>
          <w:p w14:paraId="323189E2"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strike/>
                <w:color w:val="000000"/>
                <w:sz w:val="20"/>
              </w:rPr>
            </w:pPr>
            <w:r w:rsidRPr="00954A97">
              <w:rPr>
                <w:rFonts w:ascii="Calibri" w:eastAsia="DengXian" w:hAnsi="Calibri" w:cs="Arial"/>
                <w:strike/>
                <w:color w:val="000000"/>
                <w:sz w:val="20"/>
              </w:rPr>
              <w:t>Partner Land-Line Communications Solutions LP</w:t>
            </w:r>
          </w:p>
        </w:tc>
        <w:tc>
          <w:tcPr>
            <w:tcW w:w="2126" w:type="dxa"/>
            <w:shd w:val="clear" w:color="auto" w:fill="auto"/>
            <w:noWrap/>
          </w:tcPr>
          <w:p w14:paraId="31836F74" w14:textId="77777777" w:rsidR="00F66C8E" w:rsidRPr="00954A97" w:rsidRDefault="00F66C8E"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strike/>
                <w:color w:val="000000"/>
                <w:sz w:val="20"/>
              </w:rPr>
            </w:pPr>
            <w:r w:rsidRPr="00954A97">
              <w:rPr>
                <w:rFonts w:ascii="Calibri" w:eastAsia="DengXian" w:hAnsi="Calibri" w:cs="Arial"/>
                <w:strike/>
                <w:color w:val="000000"/>
                <w:sz w:val="20"/>
              </w:rPr>
              <w:t>Israel</w:t>
            </w:r>
          </w:p>
        </w:tc>
        <w:tc>
          <w:tcPr>
            <w:tcW w:w="1531" w:type="dxa"/>
            <w:shd w:val="clear" w:color="auto" w:fill="auto"/>
          </w:tcPr>
          <w:p w14:paraId="1A579281" w14:textId="1132A8A2" w:rsidR="00F66C8E" w:rsidRPr="00F66C8E" w:rsidRDefault="00954A97" w:rsidP="00F66C8E">
            <w:pPr>
              <w:tabs>
                <w:tab w:val="clear" w:pos="794"/>
                <w:tab w:val="clear" w:pos="1191"/>
                <w:tab w:val="clear" w:pos="1588"/>
                <w:tab w:val="clear" w:pos="1985"/>
                <w:tab w:val="left" w:pos="567"/>
                <w:tab w:val="left" w:pos="1134"/>
                <w:tab w:val="left" w:pos="1701"/>
                <w:tab w:val="left" w:pos="2268"/>
                <w:tab w:val="left" w:pos="2835"/>
              </w:tabs>
              <w:rPr>
                <w:rFonts w:ascii="Calibri" w:eastAsia="DengXian" w:hAnsi="Calibri" w:cs="Arial"/>
                <w:color w:val="000000"/>
                <w:sz w:val="20"/>
              </w:rPr>
            </w:pPr>
            <w:r>
              <w:rPr>
                <w:rFonts w:ascii="Calibri" w:eastAsia="DengXian" w:hAnsi="Calibri" w:cs="Arial"/>
                <w:color w:val="000000"/>
                <w:sz w:val="20"/>
              </w:rPr>
              <w:t>Paid on 26.07.2021</w:t>
            </w:r>
          </w:p>
        </w:tc>
      </w:tr>
      <w:tr w:rsidR="00F66C8E" w:rsidRPr="00F66C8E" w14:paraId="4AD71649" w14:textId="77777777" w:rsidTr="00A500CF">
        <w:trPr>
          <w:cantSplit/>
          <w:trHeight w:val="255"/>
        </w:trPr>
        <w:tc>
          <w:tcPr>
            <w:tcW w:w="704" w:type="dxa"/>
            <w:shd w:val="clear" w:color="auto" w:fill="auto"/>
          </w:tcPr>
          <w:p w14:paraId="7C558FC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797AD80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1,000.00</w:t>
            </w:r>
          </w:p>
        </w:tc>
        <w:tc>
          <w:tcPr>
            <w:tcW w:w="992" w:type="dxa"/>
            <w:shd w:val="clear" w:color="auto" w:fill="auto"/>
            <w:noWrap/>
            <w:hideMark/>
          </w:tcPr>
          <w:p w14:paraId="78BE910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41CECFE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10</w:t>
            </w:r>
          </w:p>
        </w:tc>
        <w:tc>
          <w:tcPr>
            <w:tcW w:w="2551" w:type="dxa"/>
            <w:shd w:val="clear" w:color="auto" w:fill="auto"/>
            <w:noWrap/>
            <w:hideMark/>
          </w:tcPr>
          <w:p w14:paraId="360B7FD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roofErr w:type="spellStart"/>
            <w:r w:rsidRPr="00F66C8E">
              <w:rPr>
                <w:rFonts w:ascii="Calibri" w:eastAsia="DengXian" w:hAnsi="Calibri" w:cs="Arial"/>
                <w:color w:val="000000"/>
                <w:sz w:val="20"/>
              </w:rPr>
              <w:t>Eutelia</w:t>
            </w:r>
            <w:proofErr w:type="spellEnd"/>
            <w:r w:rsidRPr="00F66C8E">
              <w:rPr>
                <w:rFonts w:ascii="Calibri" w:eastAsia="DengXian" w:hAnsi="Calibri" w:cs="Arial"/>
                <w:color w:val="000000"/>
                <w:sz w:val="20"/>
              </w:rPr>
              <w:t xml:space="preserve"> S.p.A.</w:t>
            </w:r>
          </w:p>
        </w:tc>
        <w:tc>
          <w:tcPr>
            <w:tcW w:w="2126" w:type="dxa"/>
            <w:shd w:val="clear" w:color="auto" w:fill="auto"/>
            <w:noWrap/>
            <w:hideMark/>
          </w:tcPr>
          <w:p w14:paraId="7234B65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Italy</w:t>
            </w:r>
          </w:p>
        </w:tc>
        <w:tc>
          <w:tcPr>
            <w:tcW w:w="1531" w:type="dxa"/>
            <w:shd w:val="clear" w:color="auto" w:fill="auto"/>
          </w:tcPr>
          <w:p w14:paraId="6B443A3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 xml:space="preserve">partially purchased by </w:t>
            </w:r>
            <w:proofErr w:type="spellStart"/>
            <w:r w:rsidRPr="00F66C8E">
              <w:rPr>
                <w:rFonts w:ascii="Calibri" w:eastAsia="DengXian" w:hAnsi="Calibri" w:cs="Arial"/>
                <w:color w:val="000000"/>
                <w:sz w:val="20"/>
              </w:rPr>
              <w:t>CloudItalia</w:t>
            </w:r>
            <w:proofErr w:type="spellEnd"/>
            <w:r w:rsidRPr="00F66C8E">
              <w:rPr>
                <w:rFonts w:ascii="Calibri" w:eastAsia="DengXian" w:hAnsi="Calibri" w:cs="Arial"/>
                <w:color w:val="000000"/>
                <w:sz w:val="20"/>
              </w:rPr>
              <w:t xml:space="preserve"> with no UIFN responsibility, however,</w:t>
            </w:r>
          </w:p>
          <w:p w14:paraId="337B222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3 UIFNs are reachable</w:t>
            </w:r>
          </w:p>
          <w:p w14:paraId="15D9427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0356821E" w14:textId="77777777" w:rsidTr="00A500CF">
        <w:trPr>
          <w:cantSplit/>
          <w:trHeight w:val="255"/>
        </w:trPr>
        <w:tc>
          <w:tcPr>
            <w:tcW w:w="704" w:type="dxa"/>
            <w:shd w:val="clear" w:color="auto" w:fill="auto"/>
          </w:tcPr>
          <w:p w14:paraId="387EC69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2020</w:t>
            </w:r>
          </w:p>
        </w:tc>
        <w:tc>
          <w:tcPr>
            <w:tcW w:w="1134" w:type="dxa"/>
            <w:shd w:val="clear" w:color="auto" w:fill="auto"/>
            <w:noWrap/>
          </w:tcPr>
          <w:p w14:paraId="7294463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tcPr>
          <w:p w14:paraId="3D55DBB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21DB809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tcPr>
          <w:p w14:paraId="7CE194D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 xml:space="preserve">JSC </w:t>
            </w:r>
            <w:proofErr w:type="spellStart"/>
            <w:r w:rsidRPr="00F66C8E">
              <w:rPr>
                <w:rFonts w:ascii="Calibri" w:eastAsia="DengXian" w:hAnsi="Calibri" w:cs="Arial"/>
                <w:color w:val="000000"/>
                <w:sz w:val="20"/>
              </w:rPr>
              <w:t>Kazakhtelecom</w:t>
            </w:r>
            <w:proofErr w:type="spellEnd"/>
          </w:p>
        </w:tc>
        <w:tc>
          <w:tcPr>
            <w:tcW w:w="2126" w:type="dxa"/>
            <w:shd w:val="clear" w:color="auto" w:fill="auto"/>
            <w:noWrap/>
          </w:tcPr>
          <w:p w14:paraId="7517264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Kazakhstan</w:t>
            </w:r>
          </w:p>
        </w:tc>
        <w:tc>
          <w:tcPr>
            <w:tcW w:w="1531" w:type="dxa"/>
            <w:shd w:val="clear" w:color="auto" w:fill="auto"/>
          </w:tcPr>
          <w:p w14:paraId="1425A5C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57407CF8" w14:textId="77777777" w:rsidTr="00A500CF">
        <w:trPr>
          <w:cantSplit/>
          <w:trHeight w:val="255"/>
        </w:trPr>
        <w:tc>
          <w:tcPr>
            <w:tcW w:w="704" w:type="dxa"/>
            <w:shd w:val="clear" w:color="auto" w:fill="auto"/>
          </w:tcPr>
          <w:p w14:paraId="28CA67C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77FD186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hideMark/>
          </w:tcPr>
          <w:p w14:paraId="439F48E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50BD3D1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hideMark/>
          </w:tcPr>
          <w:p w14:paraId="06DE179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SIA LATTELEKOM</w:t>
            </w:r>
          </w:p>
        </w:tc>
        <w:tc>
          <w:tcPr>
            <w:tcW w:w="2126" w:type="dxa"/>
            <w:shd w:val="clear" w:color="auto" w:fill="auto"/>
            <w:noWrap/>
            <w:hideMark/>
          </w:tcPr>
          <w:p w14:paraId="113AD89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Latvia</w:t>
            </w:r>
          </w:p>
        </w:tc>
        <w:tc>
          <w:tcPr>
            <w:tcW w:w="1531" w:type="dxa"/>
            <w:shd w:val="clear" w:color="auto" w:fill="auto"/>
          </w:tcPr>
          <w:p w14:paraId="1993D43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1629701A" w14:textId="77777777" w:rsidTr="00A500CF">
        <w:trPr>
          <w:cantSplit/>
          <w:trHeight w:val="255"/>
        </w:trPr>
        <w:tc>
          <w:tcPr>
            <w:tcW w:w="704" w:type="dxa"/>
            <w:shd w:val="clear" w:color="auto" w:fill="auto"/>
          </w:tcPr>
          <w:p w14:paraId="60072B2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0E0E868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400.00</w:t>
            </w:r>
          </w:p>
        </w:tc>
        <w:tc>
          <w:tcPr>
            <w:tcW w:w="992" w:type="dxa"/>
            <w:shd w:val="clear" w:color="auto" w:fill="auto"/>
            <w:noWrap/>
          </w:tcPr>
          <w:p w14:paraId="5E4CA8D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3DF5FCD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4</w:t>
            </w:r>
          </w:p>
        </w:tc>
        <w:tc>
          <w:tcPr>
            <w:tcW w:w="2551" w:type="dxa"/>
            <w:shd w:val="clear" w:color="auto" w:fill="auto"/>
            <w:noWrap/>
          </w:tcPr>
          <w:p w14:paraId="20F2DCC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lang w:val="de-CH"/>
              </w:rPr>
            </w:pPr>
            <w:r w:rsidRPr="00F66C8E">
              <w:rPr>
                <w:rFonts w:ascii="Calibri" w:eastAsia="DengXian" w:hAnsi="Calibri" w:cs="Arial"/>
                <w:strike/>
                <w:color w:val="000000"/>
                <w:sz w:val="20"/>
                <w:lang w:val="de-CH"/>
              </w:rPr>
              <w:t>Telia Lietuva AB / TEO LT, AB</w:t>
            </w:r>
          </w:p>
        </w:tc>
        <w:tc>
          <w:tcPr>
            <w:tcW w:w="2126" w:type="dxa"/>
            <w:shd w:val="clear" w:color="auto" w:fill="auto"/>
            <w:noWrap/>
          </w:tcPr>
          <w:p w14:paraId="200C184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Lithuania</w:t>
            </w:r>
          </w:p>
        </w:tc>
        <w:tc>
          <w:tcPr>
            <w:tcW w:w="1531" w:type="dxa"/>
            <w:shd w:val="clear" w:color="auto" w:fill="auto"/>
          </w:tcPr>
          <w:p w14:paraId="0B0D3EA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paid on 07.07.2021</w:t>
            </w:r>
          </w:p>
        </w:tc>
      </w:tr>
      <w:tr w:rsidR="00F66C8E" w:rsidRPr="00F66C8E" w14:paraId="38C3A616" w14:textId="77777777" w:rsidTr="00A500CF">
        <w:trPr>
          <w:cantSplit/>
          <w:trHeight w:val="256"/>
        </w:trPr>
        <w:tc>
          <w:tcPr>
            <w:tcW w:w="704" w:type="dxa"/>
            <w:shd w:val="clear" w:color="auto" w:fill="auto"/>
          </w:tcPr>
          <w:p w14:paraId="4EBE4A5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2020</w:t>
            </w:r>
          </w:p>
        </w:tc>
        <w:tc>
          <w:tcPr>
            <w:tcW w:w="1134" w:type="dxa"/>
            <w:shd w:val="clear" w:color="auto" w:fill="auto"/>
            <w:noWrap/>
          </w:tcPr>
          <w:p w14:paraId="7536F4F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2,100.00</w:t>
            </w:r>
          </w:p>
        </w:tc>
        <w:tc>
          <w:tcPr>
            <w:tcW w:w="992" w:type="dxa"/>
            <w:shd w:val="clear" w:color="auto" w:fill="auto"/>
            <w:noWrap/>
          </w:tcPr>
          <w:p w14:paraId="585FE61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720AFC0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21</w:t>
            </w:r>
          </w:p>
        </w:tc>
        <w:tc>
          <w:tcPr>
            <w:tcW w:w="2551" w:type="dxa"/>
            <w:shd w:val="clear" w:color="auto" w:fill="auto"/>
            <w:noWrap/>
          </w:tcPr>
          <w:p w14:paraId="2A74C76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 xml:space="preserve">Telekom Malaysia </w:t>
            </w:r>
            <w:proofErr w:type="spellStart"/>
            <w:r w:rsidRPr="00F66C8E">
              <w:rPr>
                <w:rFonts w:ascii="Calibri" w:eastAsia="DengXian" w:hAnsi="Calibri" w:cs="Arial"/>
                <w:color w:val="000000"/>
                <w:sz w:val="20"/>
              </w:rPr>
              <w:t>Berhad</w:t>
            </w:r>
            <w:proofErr w:type="spellEnd"/>
          </w:p>
        </w:tc>
        <w:tc>
          <w:tcPr>
            <w:tcW w:w="2126" w:type="dxa"/>
            <w:shd w:val="clear" w:color="auto" w:fill="auto"/>
            <w:noWrap/>
          </w:tcPr>
          <w:p w14:paraId="5D11BED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Malaysia</w:t>
            </w:r>
          </w:p>
        </w:tc>
        <w:tc>
          <w:tcPr>
            <w:tcW w:w="1531" w:type="dxa"/>
            <w:shd w:val="clear" w:color="auto" w:fill="auto"/>
          </w:tcPr>
          <w:p w14:paraId="0CD3E9F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45EE8E6A" w14:textId="77777777" w:rsidTr="00A500CF">
        <w:trPr>
          <w:cantSplit/>
          <w:trHeight w:val="256"/>
        </w:trPr>
        <w:tc>
          <w:tcPr>
            <w:tcW w:w="704" w:type="dxa"/>
            <w:shd w:val="clear" w:color="auto" w:fill="auto"/>
          </w:tcPr>
          <w:p w14:paraId="44C76F6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tcPr>
          <w:p w14:paraId="3209EBA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tcPr>
          <w:p w14:paraId="41A3589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32896AC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tcPr>
          <w:p w14:paraId="5CD2EFD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Vodafone New Zealand</w:t>
            </w:r>
          </w:p>
        </w:tc>
        <w:tc>
          <w:tcPr>
            <w:tcW w:w="2126" w:type="dxa"/>
            <w:shd w:val="clear" w:color="auto" w:fill="auto"/>
            <w:noWrap/>
          </w:tcPr>
          <w:p w14:paraId="234731B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New Zealand</w:t>
            </w:r>
          </w:p>
        </w:tc>
        <w:tc>
          <w:tcPr>
            <w:tcW w:w="1531" w:type="dxa"/>
            <w:shd w:val="clear" w:color="auto" w:fill="auto"/>
          </w:tcPr>
          <w:p w14:paraId="7D4B1EE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0469EE55" w14:textId="77777777" w:rsidTr="00A500CF">
        <w:trPr>
          <w:cantSplit/>
          <w:trHeight w:val="256"/>
        </w:trPr>
        <w:tc>
          <w:tcPr>
            <w:tcW w:w="704" w:type="dxa"/>
            <w:shd w:val="clear" w:color="auto" w:fill="auto"/>
          </w:tcPr>
          <w:p w14:paraId="6BDA5F6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338A1B8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700.00</w:t>
            </w:r>
          </w:p>
        </w:tc>
        <w:tc>
          <w:tcPr>
            <w:tcW w:w="992" w:type="dxa"/>
            <w:shd w:val="clear" w:color="auto" w:fill="auto"/>
            <w:noWrap/>
          </w:tcPr>
          <w:p w14:paraId="544DE2B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4AFFE29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7</w:t>
            </w:r>
          </w:p>
        </w:tc>
        <w:tc>
          <w:tcPr>
            <w:tcW w:w="2551" w:type="dxa"/>
            <w:shd w:val="clear" w:color="auto" w:fill="auto"/>
            <w:noWrap/>
          </w:tcPr>
          <w:p w14:paraId="55A5BA9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Cable &amp; Wireless Panamá S.A.</w:t>
            </w:r>
          </w:p>
        </w:tc>
        <w:tc>
          <w:tcPr>
            <w:tcW w:w="2126" w:type="dxa"/>
            <w:shd w:val="clear" w:color="auto" w:fill="auto"/>
            <w:noWrap/>
          </w:tcPr>
          <w:p w14:paraId="51F3071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Panama</w:t>
            </w:r>
          </w:p>
        </w:tc>
        <w:tc>
          <w:tcPr>
            <w:tcW w:w="1531" w:type="dxa"/>
            <w:shd w:val="clear" w:color="auto" w:fill="auto"/>
          </w:tcPr>
          <w:p w14:paraId="7364FDC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paid on 23.06.2021</w:t>
            </w:r>
          </w:p>
        </w:tc>
      </w:tr>
      <w:tr w:rsidR="00F66C8E" w:rsidRPr="00F66C8E" w14:paraId="0941E4BC" w14:textId="77777777" w:rsidTr="00A500CF">
        <w:trPr>
          <w:cantSplit/>
          <w:trHeight w:val="255"/>
        </w:trPr>
        <w:tc>
          <w:tcPr>
            <w:tcW w:w="704" w:type="dxa"/>
            <w:shd w:val="clear" w:color="auto" w:fill="auto"/>
          </w:tcPr>
          <w:p w14:paraId="6EE8D75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759B1C9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300.00</w:t>
            </w:r>
          </w:p>
        </w:tc>
        <w:tc>
          <w:tcPr>
            <w:tcW w:w="992" w:type="dxa"/>
            <w:shd w:val="clear" w:color="auto" w:fill="auto"/>
            <w:noWrap/>
            <w:hideMark/>
          </w:tcPr>
          <w:p w14:paraId="5AA4DF5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0218EAA5"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3</w:t>
            </w:r>
          </w:p>
        </w:tc>
        <w:tc>
          <w:tcPr>
            <w:tcW w:w="2551" w:type="dxa"/>
            <w:shd w:val="clear" w:color="auto" w:fill="auto"/>
            <w:noWrap/>
            <w:hideMark/>
          </w:tcPr>
          <w:p w14:paraId="10EE6DD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Telefonica del Peru</w:t>
            </w:r>
          </w:p>
        </w:tc>
        <w:tc>
          <w:tcPr>
            <w:tcW w:w="2126" w:type="dxa"/>
            <w:shd w:val="clear" w:color="auto" w:fill="auto"/>
            <w:noWrap/>
            <w:hideMark/>
          </w:tcPr>
          <w:p w14:paraId="25F8D04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Peru</w:t>
            </w:r>
          </w:p>
        </w:tc>
        <w:tc>
          <w:tcPr>
            <w:tcW w:w="1531" w:type="dxa"/>
            <w:shd w:val="clear" w:color="auto" w:fill="auto"/>
          </w:tcPr>
          <w:p w14:paraId="555A6E2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3A0E791B" w14:textId="77777777" w:rsidTr="00A500CF">
        <w:trPr>
          <w:cantSplit/>
          <w:trHeight w:val="255"/>
        </w:trPr>
        <w:tc>
          <w:tcPr>
            <w:tcW w:w="704" w:type="dxa"/>
            <w:shd w:val="clear" w:color="auto" w:fill="auto"/>
          </w:tcPr>
          <w:p w14:paraId="3FF0A3B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0DC6604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hideMark/>
          </w:tcPr>
          <w:p w14:paraId="0E685CB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54BA631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hideMark/>
          </w:tcPr>
          <w:p w14:paraId="0D77B46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roofErr w:type="spellStart"/>
            <w:r w:rsidRPr="00F66C8E">
              <w:rPr>
                <w:rFonts w:ascii="Calibri" w:eastAsia="DengXian" w:hAnsi="Calibri" w:cs="Arial"/>
                <w:color w:val="000000"/>
                <w:sz w:val="20"/>
              </w:rPr>
              <w:t>Telecable</w:t>
            </w:r>
            <w:proofErr w:type="spellEnd"/>
            <w:r w:rsidRPr="00F66C8E">
              <w:rPr>
                <w:rFonts w:ascii="Calibri" w:eastAsia="DengXian" w:hAnsi="Calibri" w:cs="Arial"/>
                <w:color w:val="000000"/>
                <w:sz w:val="20"/>
              </w:rPr>
              <w:t xml:space="preserve"> de Asturias SA</w:t>
            </w:r>
          </w:p>
        </w:tc>
        <w:tc>
          <w:tcPr>
            <w:tcW w:w="2126" w:type="dxa"/>
            <w:shd w:val="clear" w:color="auto" w:fill="auto"/>
            <w:noWrap/>
            <w:hideMark/>
          </w:tcPr>
          <w:p w14:paraId="444FDD55"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Spain</w:t>
            </w:r>
          </w:p>
        </w:tc>
        <w:tc>
          <w:tcPr>
            <w:tcW w:w="1531" w:type="dxa"/>
            <w:shd w:val="clear" w:color="auto" w:fill="auto"/>
          </w:tcPr>
          <w:p w14:paraId="46EAD58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1C67083C" w14:textId="77777777" w:rsidTr="00A500CF">
        <w:trPr>
          <w:cantSplit/>
          <w:trHeight w:val="255"/>
        </w:trPr>
        <w:tc>
          <w:tcPr>
            <w:tcW w:w="704" w:type="dxa"/>
            <w:shd w:val="clear" w:color="auto" w:fill="auto"/>
          </w:tcPr>
          <w:p w14:paraId="5848CB3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tcPr>
          <w:p w14:paraId="7BA8BE9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900.00</w:t>
            </w:r>
          </w:p>
        </w:tc>
        <w:tc>
          <w:tcPr>
            <w:tcW w:w="992" w:type="dxa"/>
            <w:shd w:val="clear" w:color="auto" w:fill="auto"/>
            <w:noWrap/>
          </w:tcPr>
          <w:p w14:paraId="13A591B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51D4A72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9</w:t>
            </w:r>
          </w:p>
        </w:tc>
        <w:tc>
          <w:tcPr>
            <w:tcW w:w="2551" w:type="dxa"/>
            <w:shd w:val="clear" w:color="auto" w:fill="auto"/>
            <w:noWrap/>
          </w:tcPr>
          <w:p w14:paraId="661D2C1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Tele 2 AB</w:t>
            </w:r>
          </w:p>
        </w:tc>
        <w:tc>
          <w:tcPr>
            <w:tcW w:w="2126" w:type="dxa"/>
            <w:shd w:val="clear" w:color="auto" w:fill="auto"/>
            <w:noWrap/>
          </w:tcPr>
          <w:p w14:paraId="0830DBD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Sweden</w:t>
            </w:r>
          </w:p>
        </w:tc>
        <w:tc>
          <w:tcPr>
            <w:tcW w:w="1531" w:type="dxa"/>
            <w:shd w:val="clear" w:color="auto" w:fill="auto"/>
          </w:tcPr>
          <w:p w14:paraId="556EF2D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r w:rsidR="00F66C8E" w:rsidRPr="00F66C8E" w14:paraId="3354EEAB" w14:textId="77777777" w:rsidTr="00A500CF">
        <w:trPr>
          <w:cantSplit/>
          <w:trHeight w:val="255"/>
        </w:trPr>
        <w:tc>
          <w:tcPr>
            <w:tcW w:w="704" w:type="dxa"/>
            <w:shd w:val="clear" w:color="auto" w:fill="auto"/>
          </w:tcPr>
          <w:p w14:paraId="37B3AF6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2020</w:t>
            </w:r>
          </w:p>
        </w:tc>
        <w:tc>
          <w:tcPr>
            <w:tcW w:w="1134" w:type="dxa"/>
            <w:shd w:val="clear" w:color="auto" w:fill="auto"/>
            <w:noWrap/>
          </w:tcPr>
          <w:p w14:paraId="035BDDF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strike/>
                <w:color w:val="000000"/>
                <w:sz w:val="20"/>
              </w:rPr>
            </w:pPr>
            <w:r w:rsidRPr="00F66C8E">
              <w:rPr>
                <w:rFonts w:ascii="Calibri" w:eastAsia="DengXian" w:hAnsi="Calibri" w:cs="Arial"/>
                <w:strike/>
                <w:color w:val="000000"/>
                <w:sz w:val="20"/>
              </w:rPr>
              <w:t>2,700.00</w:t>
            </w:r>
          </w:p>
        </w:tc>
        <w:tc>
          <w:tcPr>
            <w:tcW w:w="992" w:type="dxa"/>
            <w:shd w:val="clear" w:color="auto" w:fill="auto"/>
            <w:noWrap/>
          </w:tcPr>
          <w:p w14:paraId="765E989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CHF</w:t>
            </w:r>
          </w:p>
        </w:tc>
        <w:tc>
          <w:tcPr>
            <w:tcW w:w="993" w:type="dxa"/>
            <w:shd w:val="clear" w:color="auto" w:fill="auto"/>
          </w:tcPr>
          <w:p w14:paraId="261055C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strike/>
                <w:color w:val="000000"/>
                <w:sz w:val="20"/>
              </w:rPr>
            </w:pPr>
            <w:r w:rsidRPr="00F66C8E">
              <w:rPr>
                <w:rFonts w:ascii="Calibri" w:eastAsia="DengXian" w:hAnsi="Calibri" w:cs="Arial"/>
                <w:strike/>
                <w:color w:val="000000"/>
                <w:sz w:val="20"/>
              </w:rPr>
              <w:t>27</w:t>
            </w:r>
          </w:p>
        </w:tc>
        <w:tc>
          <w:tcPr>
            <w:tcW w:w="2551" w:type="dxa"/>
            <w:shd w:val="clear" w:color="auto" w:fill="auto"/>
            <w:noWrap/>
          </w:tcPr>
          <w:p w14:paraId="5BB7C8C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CAT Telecom</w:t>
            </w:r>
          </w:p>
        </w:tc>
        <w:tc>
          <w:tcPr>
            <w:tcW w:w="2126" w:type="dxa"/>
            <w:shd w:val="clear" w:color="auto" w:fill="auto"/>
            <w:noWrap/>
          </w:tcPr>
          <w:p w14:paraId="349E3C15"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trike/>
                <w:color w:val="000000"/>
                <w:sz w:val="20"/>
              </w:rPr>
            </w:pPr>
            <w:r w:rsidRPr="00F66C8E">
              <w:rPr>
                <w:rFonts w:ascii="Calibri" w:eastAsia="DengXian" w:hAnsi="Calibri" w:cs="Arial"/>
                <w:strike/>
                <w:color w:val="000000"/>
                <w:sz w:val="20"/>
              </w:rPr>
              <w:t>Thailand</w:t>
            </w:r>
          </w:p>
        </w:tc>
        <w:tc>
          <w:tcPr>
            <w:tcW w:w="1531" w:type="dxa"/>
            <w:shd w:val="clear" w:color="auto" w:fill="auto"/>
          </w:tcPr>
          <w:p w14:paraId="3573B78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r w:rsidRPr="00F66C8E">
              <w:rPr>
                <w:rFonts w:ascii="Calibri" w:eastAsia="DengXian" w:hAnsi="Calibri" w:cs="Arial"/>
                <w:sz w:val="20"/>
              </w:rPr>
              <w:t>paid on 14.05.2021</w:t>
            </w:r>
          </w:p>
        </w:tc>
      </w:tr>
      <w:tr w:rsidR="00F66C8E" w:rsidRPr="00F66C8E" w14:paraId="4486C1A6" w14:textId="77777777" w:rsidTr="00A500CF">
        <w:trPr>
          <w:cantSplit/>
          <w:trHeight w:val="255"/>
        </w:trPr>
        <w:tc>
          <w:tcPr>
            <w:tcW w:w="704" w:type="dxa"/>
            <w:shd w:val="clear" w:color="auto" w:fill="auto"/>
          </w:tcPr>
          <w:p w14:paraId="5C54DF2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3F029F0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500.00</w:t>
            </w:r>
          </w:p>
        </w:tc>
        <w:tc>
          <w:tcPr>
            <w:tcW w:w="992" w:type="dxa"/>
            <w:shd w:val="clear" w:color="auto" w:fill="auto"/>
            <w:noWrap/>
            <w:hideMark/>
          </w:tcPr>
          <w:p w14:paraId="629AEB8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6C49EDFC"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5</w:t>
            </w:r>
          </w:p>
        </w:tc>
        <w:tc>
          <w:tcPr>
            <w:tcW w:w="2551" w:type="dxa"/>
            <w:shd w:val="clear" w:color="auto" w:fill="auto"/>
            <w:noWrap/>
            <w:hideMark/>
          </w:tcPr>
          <w:p w14:paraId="6B3BBDE0"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Kingston communications/</w:t>
            </w:r>
            <w:proofErr w:type="spellStart"/>
            <w:r w:rsidRPr="00F66C8E">
              <w:rPr>
                <w:rFonts w:ascii="Calibri" w:eastAsia="DengXian" w:hAnsi="Calibri" w:cs="Arial"/>
                <w:color w:val="000000"/>
                <w:sz w:val="20"/>
              </w:rPr>
              <w:t>Affiniti</w:t>
            </w:r>
            <w:proofErr w:type="spellEnd"/>
          </w:p>
        </w:tc>
        <w:tc>
          <w:tcPr>
            <w:tcW w:w="2126" w:type="dxa"/>
            <w:shd w:val="clear" w:color="auto" w:fill="auto"/>
            <w:noWrap/>
            <w:hideMark/>
          </w:tcPr>
          <w:p w14:paraId="6DF038C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United Kingdom</w:t>
            </w:r>
          </w:p>
        </w:tc>
        <w:tc>
          <w:tcPr>
            <w:tcW w:w="1531" w:type="dxa"/>
            <w:shd w:val="clear" w:color="auto" w:fill="auto"/>
          </w:tcPr>
          <w:p w14:paraId="33BF149E"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r w:rsidR="00F66C8E" w:rsidRPr="00F66C8E" w14:paraId="152EDF33" w14:textId="77777777" w:rsidTr="00A500CF">
        <w:trPr>
          <w:cantSplit/>
          <w:trHeight w:val="255"/>
        </w:trPr>
        <w:tc>
          <w:tcPr>
            <w:tcW w:w="704" w:type="dxa"/>
            <w:shd w:val="clear" w:color="auto" w:fill="auto"/>
          </w:tcPr>
          <w:p w14:paraId="00BFC564"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hideMark/>
          </w:tcPr>
          <w:p w14:paraId="580436C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300.00</w:t>
            </w:r>
          </w:p>
        </w:tc>
        <w:tc>
          <w:tcPr>
            <w:tcW w:w="992" w:type="dxa"/>
            <w:shd w:val="clear" w:color="auto" w:fill="auto"/>
            <w:noWrap/>
            <w:hideMark/>
          </w:tcPr>
          <w:p w14:paraId="34B5C1D7"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3BDA22B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3</w:t>
            </w:r>
          </w:p>
        </w:tc>
        <w:tc>
          <w:tcPr>
            <w:tcW w:w="2551" w:type="dxa"/>
            <w:shd w:val="clear" w:color="auto" w:fill="auto"/>
            <w:noWrap/>
            <w:hideMark/>
          </w:tcPr>
          <w:p w14:paraId="3A7340A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PRIMUS Telecommunications Ltd.</w:t>
            </w:r>
          </w:p>
        </w:tc>
        <w:tc>
          <w:tcPr>
            <w:tcW w:w="2126" w:type="dxa"/>
            <w:shd w:val="clear" w:color="auto" w:fill="auto"/>
            <w:noWrap/>
            <w:hideMark/>
          </w:tcPr>
          <w:p w14:paraId="7284A6B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United Kingdom</w:t>
            </w:r>
          </w:p>
        </w:tc>
        <w:tc>
          <w:tcPr>
            <w:tcW w:w="1531" w:type="dxa"/>
            <w:shd w:val="clear" w:color="auto" w:fill="auto"/>
          </w:tcPr>
          <w:p w14:paraId="65FC254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p>
        </w:tc>
      </w:tr>
      <w:tr w:rsidR="00F66C8E" w:rsidRPr="00F66C8E" w14:paraId="5378B4F5" w14:textId="77777777" w:rsidTr="00A500CF">
        <w:trPr>
          <w:cantSplit/>
          <w:trHeight w:val="255"/>
        </w:trPr>
        <w:tc>
          <w:tcPr>
            <w:tcW w:w="704" w:type="dxa"/>
            <w:shd w:val="clear" w:color="auto" w:fill="auto"/>
          </w:tcPr>
          <w:p w14:paraId="4235692A"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2019</w:t>
            </w:r>
          </w:p>
        </w:tc>
        <w:tc>
          <w:tcPr>
            <w:tcW w:w="1134" w:type="dxa"/>
            <w:shd w:val="clear" w:color="auto" w:fill="auto"/>
            <w:noWrap/>
          </w:tcPr>
          <w:p w14:paraId="16104E9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100.00</w:t>
            </w:r>
          </w:p>
        </w:tc>
        <w:tc>
          <w:tcPr>
            <w:tcW w:w="992" w:type="dxa"/>
            <w:shd w:val="clear" w:color="auto" w:fill="auto"/>
            <w:noWrap/>
          </w:tcPr>
          <w:p w14:paraId="0AA3EAF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4D7B00F1"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1</w:t>
            </w:r>
          </w:p>
        </w:tc>
        <w:tc>
          <w:tcPr>
            <w:tcW w:w="2551" w:type="dxa"/>
            <w:shd w:val="clear" w:color="auto" w:fill="auto"/>
            <w:noWrap/>
          </w:tcPr>
          <w:p w14:paraId="02E00242"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
              </w:rPr>
            </w:pPr>
            <w:proofErr w:type="spellStart"/>
            <w:r w:rsidRPr="00F66C8E">
              <w:rPr>
                <w:rFonts w:ascii="Calibri" w:eastAsia="DengXian" w:hAnsi="Calibri" w:cs="Arial"/>
                <w:color w:val="000000"/>
                <w:sz w:val="20"/>
                <w:lang w:val="es-ES"/>
              </w:rPr>
              <w:t>ComoreTel</w:t>
            </w:r>
            <w:proofErr w:type="spellEnd"/>
            <w:r w:rsidRPr="00F66C8E">
              <w:rPr>
                <w:rFonts w:ascii="Calibri" w:eastAsia="DengXian" w:hAnsi="Calibri" w:cs="Arial"/>
                <w:color w:val="000000"/>
                <w:sz w:val="20"/>
                <w:lang w:val="es-ES"/>
              </w:rPr>
              <w:t xml:space="preserve"> </w:t>
            </w:r>
            <w:proofErr w:type="spellStart"/>
            <w:r w:rsidRPr="00F66C8E">
              <w:rPr>
                <w:rFonts w:ascii="Calibri" w:eastAsia="DengXian" w:hAnsi="Calibri" w:cs="Arial"/>
                <w:color w:val="000000"/>
                <w:sz w:val="20"/>
                <w:lang w:val="es-ES"/>
              </w:rPr>
              <w:t>Limited</w:t>
            </w:r>
            <w:proofErr w:type="spellEnd"/>
          </w:p>
        </w:tc>
        <w:tc>
          <w:tcPr>
            <w:tcW w:w="2126" w:type="dxa"/>
            <w:shd w:val="clear" w:color="auto" w:fill="auto"/>
            <w:noWrap/>
          </w:tcPr>
          <w:p w14:paraId="66C3563F"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lang w:val="es-ES"/>
              </w:rPr>
            </w:pPr>
            <w:proofErr w:type="spellStart"/>
            <w:r w:rsidRPr="00F66C8E">
              <w:rPr>
                <w:rFonts w:ascii="Calibri" w:eastAsia="DengXian" w:hAnsi="Calibri" w:cs="Arial"/>
                <w:color w:val="000000"/>
                <w:sz w:val="20"/>
                <w:lang w:val="es-ES"/>
              </w:rPr>
              <w:t>United</w:t>
            </w:r>
            <w:proofErr w:type="spellEnd"/>
            <w:r w:rsidRPr="00F66C8E">
              <w:rPr>
                <w:rFonts w:ascii="Calibri" w:eastAsia="DengXian" w:hAnsi="Calibri" w:cs="Arial"/>
                <w:color w:val="000000"/>
                <w:sz w:val="20"/>
                <w:lang w:val="es-ES"/>
              </w:rPr>
              <w:t xml:space="preserve"> </w:t>
            </w:r>
            <w:proofErr w:type="spellStart"/>
            <w:r w:rsidRPr="00F66C8E">
              <w:rPr>
                <w:rFonts w:ascii="Calibri" w:eastAsia="DengXian" w:hAnsi="Calibri" w:cs="Arial"/>
                <w:color w:val="000000"/>
                <w:sz w:val="20"/>
                <w:lang w:val="es-ES"/>
              </w:rPr>
              <w:t>Kingdom</w:t>
            </w:r>
            <w:proofErr w:type="spellEnd"/>
          </w:p>
        </w:tc>
        <w:tc>
          <w:tcPr>
            <w:tcW w:w="1531" w:type="dxa"/>
            <w:shd w:val="clear" w:color="auto" w:fill="auto"/>
          </w:tcPr>
          <w:p w14:paraId="6ED0988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lang w:val="es-ES"/>
              </w:rPr>
            </w:pPr>
          </w:p>
        </w:tc>
      </w:tr>
      <w:tr w:rsidR="00F66C8E" w:rsidRPr="00F66C8E" w14:paraId="3634637C" w14:textId="77777777" w:rsidTr="00A500CF">
        <w:trPr>
          <w:cantSplit/>
          <w:trHeight w:val="255"/>
        </w:trPr>
        <w:tc>
          <w:tcPr>
            <w:tcW w:w="704" w:type="dxa"/>
            <w:shd w:val="clear" w:color="auto" w:fill="auto"/>
          </w:tcPr>
          <w:p w14:paraId="58C2F82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2018</w:t>
            </w:r>
          </w:p>
        </w:tc>
        <w:tc>
          <w:tcPr>
            <w:tcW w:w="1134" w:type="dxa"/>
            <w:shd w:val="clear" w:color="auto" w:fill="auto"/>
            <w:noWrap/>
          </w:tcPr>
          <w:p w14:paraId="4AB64E73"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right"/>
              <w:outlineLvl w:val="2"/>
              <w:rPr>
                <w:rFonts w:ascii="Calibri" w:eastAsia="DengXian" w:hAnsi="Calibri" w:cs="Arial"/>
                <w:color w:val="000000"/>
                <w:sz w:val="20"/>
              </w:rPr>
            </w:pPr>
            <w:r w:rsidRPr="00F66C8E">
              <w:rPr>
                <w:rFonts w:ascii="Calibri" w:eastAsia="DengXian" w:hAnsi="Calibri" w:cs="Arial"/>
                <w:color w:val="000000"/>
                <w:sz w:val="20"/>
              </w:rPr>
              <w:t>5,600.00</w:t>
            </w:r>
          </w:p>
        </w:tc>
        <w:tc>
          <w:tcPr>
            <w:tcW w:w="992" w:type="dxa"/>
            <w:shd w:val="clear" w:color="auto" w:fill="auto"/>
            <w:noWrap/>
          </w:tcPr>
          <w:p w14:paraId="4EEC75A8"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CHF</w:t>
            </w:r>
          </w:p>
        </w:tc>
        <w:tc>
          <w:tcPr>
            <w:tcW w:w="993" w:type="dxa"/>
            <w:shd w:val="clear" w:color="auto" w:fill="auto"/>
          </w:tcPr>
          <w:p w14:paraId="606A8CBD"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jc w:val="center"/>
              <w:outlineLvl w:val="2"/>
              <w:rPr>
                <w:rFonts w:ascii="Calibri" w:eastAsia="DengXian" w:hAnsi="Calibri" w:cs="Arial"/>
                <w:color w:val="000000"/>
                <w:sz w:val="20"/>
              </w:rPr>
            </w:pPr>
            <w:r w:rsidRPr="00F66C8E">
              <w:rPr>
                <w:rFonts w:ascii="Calibri" w:eastAsia="DengXian" w:hAnsi="Calibri" w:cs="Arial"/>
                <w:color w:val="000000"/>
                <w:sz w:val="20"/>
              </w:rPr>
              <w:t>56</w:t>
            </w:r>
          </w:p>
        </w:tc>
        <w:tc>
          <w:tcPr>
            <w:tcW w:w="2551" w:type="dxa"/>
            <w:shd w:val="clear" w:color="auto" w:fill="auto"/>
            <w:noWrap/>
          </w:tcPr>
          <w:p w14:paraId="72A61F46"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International Telcom Ltd.</w:t>
            </w:r>
          </w:p>
        </w:tc>
        <w:tc>
          <w:tcPr>
            <w:tcW w:w="2126" w:type="dxa"/>
            <w:shd w:val="clear" w:color="auto" w:fill="auto"/>
            <w:noWrap/>
          </w:tcPr>
          <w:p w14:paraId="6A0AC0DB"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color w:val="000000"/>
                <w:sz w:val="20"/>
              </w:rPr>
            </w:pPr>
            <w:r w:rsidRPr="00F66C8E">
              <w:rPr>
                <w:rFonts w:ascii="Calibri" w:eastAsia="DengXian" w:hAnsi="Calibri" w:cs="Arial"/>
                <w:color w:val="000000"/>
                <w:sz w:val="20"/>
              </w:rPr>
              <w:t>United States</w:t>
            </w:r>
          </w:p>
        </w:tc>
        <w:tc>
          <w:tcPr>
            <w:tcW w:w="1531" w:type="dxa"/>
            <w:shd w:val="clear" w:color="auto" w:fill="auto"/>
          </w:tcPr>
          <w:p w14:paraId="39957849" w14:textId="77777777" w:rsidR="00F66C8E" w:rsidRPr="00F66C8E" w:rsidRDefault="00F66C8E" w:rsidP="00F66C8E">
            <w:pPr>
              <w:tabs>
                <w:tab w:val="clear" w:pos="794"/>
                <w:tab w:val="clear" w:pos="1191"/>
                <w:tab w:val="clear" w:pos="1588"/>
                <w:tab w:val="clear" w:pos="1985"/>
                <w:tab w:val="left" w:pos="567"/>
                <w:tab w:val="left" w:pos="1134"/>
                <w:tab w:val="left" w:pos="1701"/>
                <w:tab w:val="left" w:pos="2268"/>
                <w:tab w:val="left" w:pos="2835"/>
              </w:tabs>
              <w:outlineLvl w:val="2"/>
              <w:rPr>
                <w:rFonts w:ascii="Calibri" w:eastAsia="DengXian" w:hAnsi="Calibri" w:cs="Arial"/>
                <w:sz w:val="20"/>
              </w:rPr>
            </w:pPr>
          </w:p>
        </w:tc>
      </w:tr>
    </w:tbl>
    <w:p w14:paraId="12D95328" w14:textId="77777777" w:rsidR="00F66C8E" w:rsidRPr="00F66C8E" w:rsidRDefault="00F66C8E" w:rsidP="0072262F">
      <w:pPr>
        <w:tabs>
          <w:tab w:val="clear" w:pos="794"/>
          <w:tab w:val="clear" w:pos="1191"/>
          <w:tab w:val="clear" w:pos="1588"/>
          <w:tab w:val="clear" w:pos="1985"/>
        </w:tabs>
        <w:overflowPunct/>
        <w:autoSpaceDE/>
        <w:autoSpaceDN/>
        <w:adjustRightInd/>
        <w:spacing w:before="600"/>
        <w:jc w:val="center"/>
        <w:textAlignment w:val="auto"/>
        <w:rPr>
          <w:rFonts w:ascii="Calibri" w:eastAsia="DengXian" w:hAnsi="Calibri"/>
          <w:lang w:val="es-ES"/>
        </w:rPr>
      </w:pPr>
      <w:r w:rsidRPr="00F66C8E">
        <w:rPr>
          <w:rFonts w:ascii="Calibri" w:eastAsia="DengXian" w:hAnsi="Calibri"/>
          <w:lang w:val="es-ES"/>
        </w:rPr>
        <w:t>___________</w:t>
      </w:r>
    </w:p>
    <w:sectPr w:rsidR="00F66C8E" w:rsidRPr="00F66C8E" w:rsidSect="00636203">
      <w:headerReference w:type="default" r:id="rId28"/>
      <w:footerReference w:type="first" r:id="rId29"/>
      <w:pgSz w:w="11907" w:h="16834" w:code="9"/>
      <w:pgMar w:top="1134" w:right="1134" w:bottom="284" w:left="1134" w:header="567" w:footer="1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AB3B" w14:textId="77777777" w:rsidR="007E4ED4" w:rsidRDefault="007E4ED4">
      <w:r>
        <w:separator/>
      </w:r>
    </w:p>
  </w:endnote>
  <w:endnote w:type="continuationSeparator" w:id="0">
    <w:p w14:paraId="28C6723E" w14:textId="77777777" w:rsidR="007E4ED4" w:rsidRDefault="007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5591" w14:textId="77777777" w:rsidR="00227A63" w:rsidRPr="001F59DB" w:rsidRDefault="00227A63"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7F74" w14:textId="77777777" w:rsidR="007E4ED4" w:rsidRDefault="007E4ED4">
      <w:r>
        <w:t>____________________</w:t>
      </w:r>
    </w:p>
    <w:p w14:paraId="39BA7815" w14:textId="77777777" w:rsidR="007E4ED4" w:rsidRDefault="007E4ED4"/>
  </w:footnote>
  <w:footnote w:type="continuationSeparator" w:id="0">
    <w:p w14:paraId="53B20052" w14:textId="77777777" w:rsidR="007E4ED4" w:rsidRDefault="007E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22D2" w14:textId="3BFCF4C8" w:rsidR="00227A63" w:rsidRPr="00BF4B40" w:rsidRDefault="00227A63">
    <w:pPr>
      <w:pStyle w:val="Header"/>
      <w:rPr>
        <w:rFonts w:ascii="Calibri" w:hAnsi="Calibri"/>
        <w:sz w:val="22"/>
        <w:szCs w:val="22"/>
      </w:rPr>
    </w:pPr>
    <w:r w:rsidRPr="00BF4B40">
      <w:rPr>
        <w:rFonts w:ascii="Calibri" w:hAnsi="Calibri"/>
        <w:sz w:val="22"/>
        <w:szCs w:val="22"/>
      </w:rPr>
      <w:t xml:space="preserve">- </w:t>
    </w:r>
    <w:r w:rsidRPr="00BF4B40">
      <w:rPr>
        <w:rFonts w:ascii="Calibri" w:hAnsi="Calibri"/>
        <w:sz w:val="22"/>
        <w:szCs w:val="22"/>
      </w:rPr>
      <w:fldChar w:fldCharType="begin"/>
    </w:r>
    <w:r w:rsidRPr="00BF4B40">
      <w:rPr>
        <w:rFonts w:ascii="Calibri" w:hAnsi="Calibri"/>
        <w:sz w:val="22"/>
        <w:szCs w:val="22"/>
      </w:rPr>
      <w:instrText>PAGE</w:instrText>
    </w:r>
    <w:r w:rsidRPr="00BF4B40">
      <w:rPr>
        <w:rFonts w:ascii="Calibri" w:hAnsi="Calibri"/>
        <w:sz w:val="22"/>
        <w:szCs w:val="22"/>
      </w:rPr>
      <w:fldChar w:fldCharType="separate"/>
    </w:r>
    <w:r w:rsidR="004D2299">
      <w:rPr>
        <w:rFonts w:ascii="Calibri" w:hAnsi="Calibri"/>
        <w:noProof/>
        <w:sz w:val="22"/>
        <w:szCs w:val="22"/>
      </w:rPr>
      <w:t>2</w:t>
    </w:r>
    <w:r w:rsidRPr="00BF4B40">
      <w:rPr>
        <w:rFonts w:ascii="Calibri" w:hAnsi="Calibri"/>
        <w:sz w:val="22"/>
        <w:szCs w:val="22"/>
      </w:rPr>
      <w:fldChar w:fldCharType="end"/>
    </w:r>
    <w:r w:rsidRPr="00BF4B40">
      <w:rPr>
        <w:rFonts w:ascii="Calibri" w:hAnsi="Calibri"/>
        <w:sz w:val="22"/>
        <w:szCs w:val="22"/>
      </w:rPr>
      <w:t xml:space="preserve"> -</w:t>
    </w:r>
  </w:p>
  <w:p w14:paraId="3C598FA0" w14:textId="77777777" w:rsidR="00227A63" w:rsidRDefault="00227A63" w:rsidP="00C3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376"/>
    <w:multiLevelType w:val="hybridMultilevel"/>
    <w:tmpl w:val="29C23A2A"/>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63A9"/>
    <w:multiLevelType w:val="hybridMultilevel"/>
    <w:tmpl w:val="5ABE82DE"/>
    <w:lvl w:ilvl="0" w:tplc="A5B22B9C">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85015C9"/>
    <w:multiLevelType w:val="hybridMultilevel"/>
    <w:tmpl w:val="39980BCA"/>
    <w:lvl w:ilvl="0" w:tplc="CB9CC708">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4" w15:restartNumberingAfterBreak="0">
    <w:nsid w:val="10512D2C"/>
    <w:multiLevelType w:val="hybridMultilevel"/>
    <w:tmpl w:val="6052C91E"/>
    <w:lvl w:ilvl="0" w:tplc="ADC038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01E"/>
    <w:multiLevelType w:val="hybridMultilevel"/>
    <w:tmpl w:val="08087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10103"/>
    <w:multiLevelType w:val="hybridMultilevel"/>
    <w:tmpl w:val="EB047C1E"/>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47BE7"/>
    <w:multiLevelType w:val="hybridMultilevel"/>
    <w:tmpl w:val="59A0CB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46F68"/>
    <w:multiLevelType w:val="hybridMultilevel"/>
    <w:tmpl w:val="E2E639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7F7986"/>
    <w:multiLevelType w:val="hybridMultilevel"/>
    <w:tmpl w:val="FBACC072"/>
    <w:lvl w:ilvl="0" w:tplc="FE628CE6">
      <w:numFmt w:val="bullet"/>
      <w:lvlText w:val="-"/>
      <w:lvlJc w:val="left"/>
      <w:pPr>
        <w:ind w:left="78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F5A88"/>
    <w:multiLevelType w:val="hybridMultilevel"/>
    <w:tmpl w:val="D30ABC74"/>
    <w:lvl w:ilvl="0" w:tplc="D34A710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038F3"/>
    <w:multiLevelType w:val="hybridMultilevel"/>
    <w:tmpl w:val="786A10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652D33"/>
    <w:multiLevelType w:val="hybridMultilevel"/>
    <w:tmpl w:val="565A4AB0"/>
    <w:lvl w:ilvl="0" w:tplc="627208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8" w15:restartNumberingAfterBreak="0">
    <w:nsid w:val="51F32970"/>
    <w:multiLevelType w:val="hybridMultilevel"/>
    <w:tmpl w:val="F0D24A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686FEE"/>
    <w:multiLevelType w:val="hybridMultilevel"/>
    <w:tmpl w:val="350A4F46"/>
    <w:lvl w:ilvl="0" w:tplc="363281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05B19"/>
    <w:multiLevelType w:val="hybridMultilevel"/>
    <w:tmpl w:val="6F545EEA"/>
    <w:lvl w:ilvl="0" w:tplc="8F52B3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B3B4C"/>
    <w:multiLevelType w:val="hybridMultilevel"/>
    <w:tmpl w:val="3958365C"/>
    <w:lvl w:ilvl="0" w:tplc="ADC03810">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90534"/>
    <w:multiLevelType w:val="hybridMultilevel"/>
    <w:tmpl w:val="A0823D2C"/>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F1831"/>
    <w:multiLevelType w:val="hybridMultilevel"/>
    <w:tmpl w:val="22BA91BA"/>
    <w:lvl w:ilvl="0" w:tplc="5B8432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257DDF"/>
    <w:multiLevelType w:val="hybridMultilevel"/>
    <w:tmpl w:val="A51240F2"/>
    <w:lvl w:ilvl="0" w:tplc="BD04C1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028CC"/>
    <w:multiLevelType w:val="hybridMultilevel"/>
    <w:tmpl w:val="52282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F6F15"/>
    <w:multiLevelType w:val="hybridMultilevel"/>
    <w:tmpl w:val="9C8E6B5C"/>
    <w:lvl w:ilvl="0" w:tplc="913650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D6371"/>
    <w:multiLevelType w:val="hybridMultilevel"/>
    <w:tmpl w:val="420E87BE"/>
    <w:lvl w:ilvl="0" w:tplc="ADC03810">
      <w:start w:val="7"/>
      <w:numFmt w:val="bullet"/>
      <w:lvlText w:val="-"/>
      <w:lvlJc w:val="left"/>
      <w:pPr>
        <w:ind w:left="436"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6F1B2BF1"/>
    <w:multiLevelType w:val="hybridMultilevel"/>
    <w:tmpl w:val="02AA8694"/>
    <w:lvl w:ilvl="0" w:tplc="9B1CE71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71E0E"/>
    <w:multiLevelType w:val="hybridMultilevel"/>
    <w:tmpl w:val="E79CE954"/>
    <w:lvl w:ilvl="0" w:tplc="C406C86C">
      <w:start w:val="7"/>
      <w:numFmt w:val="decimal"/>
      <w:lvlText w:val="%1"/>
      <w:lvlJc w:val="left"/>
      <w:pPr>
        <w:ind w:left="76"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3" w15:restartNumberingAfterBreak="0">
    <w:nsid w:val="721B3DEE"/>
    <w:multiLevelType w:val="hybridMultilevel"/>
    <w:tmpl w:val="6B424D7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818F5"/>
    <w:multiLevelType w:val="hybridMultilevel"/>
    <w:tmpl w:val="E34A4B46"/>
    <w:lvl w:ilvl="0" w:tplc="322E73A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91F1C"/>
    <w:multiLevelType w:val="hybridMultilevel"/>
    <w:tmpl w:val="334EBC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E2350BE"/>
    <w:multiLevelType w:val="hybridMultilevel"/>
    <w:tmpl w:val="294A425A"/>
    <w:lvl w:ilvl="0" w:tplc="0C848E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97556"/>
    <w:multiLevelType w:val="hybridMultilevel"/>
    <w:tmpl w:val="E7C895BE"/>
    <w:lvl w:ilvl="0" w:tplc="6D70C7BA">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7"/>
  </w:num>
  <w:num w:numId="4">
    <w:abstractNumId w:val="34"/>
  </w:num>
  <w:num w:numId="5">
    <w:abstractNumId w:val="11"/>
  </w:num>
  <w:num w:numId="6">
    <w:abstractNumId w:val="31"/>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6"/>
  </w:num>
  <w:num w:numId="9">
    <w:abstractNumId w:val="20"/>
  </w:num>
  <w:num w:numId="10">
    <w:abstractNumId w:val="28"/>
  </w:num>
  <w:num w:numId="11">
    <w:abstractNumId w:val="9"/>
  </w:num>
  <w:num w:numId="12">
    <w:abstractNumId w:val="36"/>
  </w:num>
  <w:num w:numId="13">
    <w:abstractNumId w:val="30"/>
  </w:num>
  <w:num w:numId="14">
    <w:abstractNumId w:val="35"/>
  </w:num>
  <w:num w:numId="15">
    <w:abstractNumId w:val="16"/>
  </w:num>
  <w:num w:numId="16">
    <w:abstractNumId w:val="12"/>
  </w:num>
  <w:num w:numId="17">
    <w:abstractNumId w:val="37"/>
  </w:num>
  <w:num w:numId="18">
    <w:abstractNumId w:val="38"/>
  </w:num>
  <w:num w:numId="19">
    <w:abstractNumId w:val="32"/>
  </w:num>
  <w:num w:numId="20">
    <w:abstractNumId w:val="29"/>
  </w:num>
  <w:num w:numId="21">
    <w:abstractNumId w:val="22"/>
  </w:num>
  <w:num w:numId="22">
    <w:abstractNumId w:val="13"/>
  </w:num>
  <w:num w:numId="23">
    <w:abstractNumId w:val="1"/>
  </w:num>
  <w:num w:numId="24">
    <w:abstractNumId w:val="22"/>
  </w:num>
  <w:num w:numId="25">
    <w:abstractNumId w:val="2"/>
  </w:num>
  <w:num w:numId="26">
    <w:abstractNumId w:val="14"/>
  </w:num>
  <w:num w:numId="27">
    <w:abstractNumId w:val="6"/>
  </w:num>
  <w:num w:numId="28">
    <w:abstractNumId w:val="4"/>
  </w:num>
  <w:num w:numId="29">
    <w:abstractNumId w:val="23"/>
  </w:num>
  <w:num w:numId="30">
    <w:abstractNumId w:val="0"/>
  </w:num>
  <w:num w:numId="31">
    <w:abstractNumId w:val="24"/>
  </w:num>
  <w:num w:numId="32">
    <w:abstractNumId w:val="31"/>
  </w:num>
  <w:num w:numId="33">
    <w:abstractNumId w:val="33"/>
  </w:num>
  <w:num w:numId="34">
    <w:abstractNumId w:val="7"/>
  </w:num>
  <w:num w:numId="35">
    <w:abstractNumId w:val="15"/>
  </w:num>
  <w:num w:numId="36">
    <w:abstractNumId w:val="18"/>
  </w:num>
  <w:num w:numId="37">
    <w:abstractNumId w:val="8"/>
  </w:num>
  <w:num w:numId="38">
    <w:abstractNumId w:val="21"/>
  </w:num>
  <w:num w:numId="39">
    <w:abstractNumId w:val="5"/>
  </w:num>
  <w:num w:numId="40">
    <w:abstractNumId w:val="25"/>
  </w:num>
  <w:num w:numId="4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326"/>
    <w:rsid w:val="00004438"/>
    <w:rsid w:val="00006803"/>
    <w:rsid w:val="000125C8"/>
    <w:rsid w:val="000150D8"/>
    <w:rsid w:val="00015DBE"/>
    <w:rsid w:val="00016A7D"/>
    <w:rsid w:val="00017D5F"/>
    <w:rsid w:val="00022BBD"/>
    <w:rsid w:val="0002300A"/>
    <w:rsid w:val="00023E69"/>
    <w:rsid w:val="000242F3"/>
    <w:rsid w:val="00025E8E"/>
    <w:rsid w:val="000322F2"/>
    <w:rsid w:val="0003355D"/>
    <w:rsid w:val="0003367B"/>
    <w:rsid w:val="00033C1E"/>
    <w:rsid w:val="000363F6"/>
    <w:rsid w:val="000406CF"/>
    <w:rsid w:val="000406DA"/>
    <w:rsid w:val="0004224A"/>
    <w:rsid w:val="00044742"/>
    <w:rsid w:val="0004570D"/>
    <w:rsid w:val="00050D0A"/>
    <w:rsid w:val="000526F2"/>
    <w:rsid w:val="000531BC"/>
    <w:rsid w:val="0005330D"/>
    <w:rsid w:val="00053360"/>
    <w:rsid w:val="000539B6"/>
    <w:rsid w:val="00053A1A"/>
    <w:rsid w:val="00054E34"/>
    <w:rsid w:val="0005586D"/>
    <w:rsid w:val="00056CE0"/>
    <w:rsid w:val="0005729A"/>
    <w:rsid w:val="00057718"/>
    <w:rsid w:val="00057994"/>
    <w:rsid w:val="0006006C"/>
    <w:rsid w:val="00060490"/>
    <w:rsid w:val="00060642"/>
    <w:rsid w:val="0006080D"/>
    <w:rsid w:val="00060A00"/>
    <w:rsid w:val="000625EC"/>
    <w:rsid w:val="00065380"/>
    <w:rsid w:val="000659CB"/>
    <w:rsid w:val="000723D6"/>
    <w:rsid w:val="00074C4B"/>
    <w:rsid w:val="00076EFD"/>
    <w:rsid w:val="00080759"/>
    <w:rsid w:val="00080890"/>
    <w:rsid w:val="00081F9C"/>
    <w:rsid w:val="00082487"/>
    <w:rsid w:val="000846FF"/>
    <w:rsid w:val="00085CF2"/>
    <w:rsid w:val="00087BB2"/>
    <w:rsid w:val="00090DB1"/>
    <w:rsid w:val="00090FA5"/>
    <w:rsid w:val="000914EE"/>
    <w:rsid w:val="00092BB4"/>
    <w:rsid w:val="000958FB"/>
    <w:rsid w:val="00096678"/>
    <w:rsid w:val="00096A51"/>
    <w:rsid w:val="000A1678"/>
    <w:rsid w:val="000A23A0"/>
    <w:rsid w:val="000A523E"/>
    <w:rsid w:val="000A5C30"/>
    <w:rsid w:val="000A5E3D"/>
    <w:rsid w:val="000A6C3C"/>
    <w:rsid w:val="000A7E8C"/>
    <w:rsid w:val="000B1385"/>
    <w:rsid w:val="000B1705"/>
    <w:rsid w:val="000B1804"/>
    <w:rsid w:val="000B1C8B"/>
    <w:rsid w:val="000B2C0D"/>
    <w:rsid w:val="000B32FB"/>
    <w:rsid w:val="000B71F1"/>
    <w:rsid w:val="000B7E63"/>
    <w:rsid w:val="000C0550"/>
    <w:rsid w:val="000C44C9"/>
    <w:rsid w:val="000C4DE9"/>
    <w:rsid w:val="000C5D14"/>
    <w:rsid w:val="000D034D"/>
    <w:rsid w:val="000D1B19"/>
    <w:rsid w:val="000D2571"/>
    <w:rsid w:val="000D2DF7"/>
    <w:rsid w:val="000D35F9"/>
    <w:rsid w:val="000D711B"/>
    <w:rsid w:val="000E2272"/>
    <w:rsid w:val="000E3B90"/>
    <w:rsid w:val="000E42A7"/>
    <w:rsid w:val="000E53E0"/>
    <w:rsid w:val="000F4A1A"/>
    <w:rsid w:val="000F4CF0"/>
    <w:rsid w:val="000F5580"/>
    <w:rsid w:val="000F62D0"/>
    <w:rsid w:val="000F6646"/>
    <w:rsid w:val="000F67D3"/>
    <w:rsid w:val="000F67F0"/>
    <w:rsid w:val="000F78DD"/>
    <w:rsid w:val="001007B7"/>
    <w:rsid w:val="00102D20"/>
    <w:rsid w:val="0010302C"/>
    <w:rsid w:val="001050F5"/>
    <w:rsid w:val="001057E5"/>
    <w:rsid w:val="00106CEA"/>
    <w:rsid w:val="001121F5"/>
    <w:rsid w:val="001124D5"/>
    <w:rsid w:val="00112934"/>
    <w:rsid w:val="00112A2E"/>
    <w:rsid w:val="00113196"/>
    <w:rsid w:val="00113423"/>
    <w:rsid w:val="00114F53"/>
    <w:rsid w:val="00115BC4"/>
    <w:rsid w:val="00120111"/>
    <w:rsid w:val="00121262"/>
    <w:rsid w:val="00122508"/>
    <w:rsid w:val="00126AF0"/>
    <w:rsid w:val="00126B92"/>
    <w:rsid w:val="00126E5D"/>
    <w:rsid w:val="001306A4"/>
    <w:rsid w:val="00130B7C"/>
    <w:rsid w:val="00132D99"/>
    <w:rsid w:val="00132DD7"/>
    <w:rsid w:val="001336C4"/>
    <w:rsid w:val="00133A76"/>
    <w:rsid w:val="001341B3"/>
    <w:rsid w:val="00134F5D"/>
    <w:rsid w:val="001373B3"/>
    <w:rsid w:val="001413FF"/>
    <w:rsid w:val="00141B6D"/>
    <w:rsid w:val="00143A98"/>
    <w:rsid w:val="00143B9D"/>
    <w:rsid w:val="00143CC0"/>
    <w:rsid w:val="001451CB"/>
    <w:rsid w:val="0014539F"/>
    <w:rsid w:val="00145AE9"/>
    <w:rsid w:val="001472B0"/>
    <w:rsid w:val="00151C09"/>
    <w:rsid w:val="001522D1"/>
    <w:rsid w:val="00153F9D"/>
    <w:rsid w:val="00154B98"/>
    <w:rsid w:val="00155C57"/>
    <w:rsid w:val="00155EF2"/>
    <w:rsid w:val="0015615B"/>
    <w:rsid w:val="00156D87"/>
    <w:rsid w:val="00157923"/>
    <w:rsid w:val="00157E22"/>
    <w:rsid w:val="00160825"/>
    <w:rsid w:val="00161E2F"/>
    <w:rsid w:val="001642B3"/>
    <w:rsid w:val="00164E99"/>
    <w:rsid w:val="00164F90"/>
    <w:rsid w:val="00167DF3"/>
    <w:rsid w:val="00171B5B"/>
    <w:rsid w:val="00171FB0"/>
    <w:rsid w:val="00173589"/>
    <w:rsid w:val="0017539C"/>
    <w:rsid w:val="0017609F"/>
    <w:rsid w:val="00177C2D"/>
    <w:rsid w:val="0018324B"/>
    <w:rsid w:val="00183F90"/>
    <w:rsid w:val="00186C0B"/>
    <w:rsid w:val="00186ED4"/>
    <w:rsid w:val="00187B59"/>
    <w:rsid w:val="0019164E"/>
    <w:rsid w:val="00191F72"/>
    <w:rsid w:val="00194769"/>
    <w:rsid w:val="001947CC"/>
    <w:rsid w:val="001971A1"/>
    <w:rsid w:val="00197BEB"/>
    <w:rsid w:val="001A258D"/>
    <w:rsid w:val="001A2A05"/>
    <w:rsid w:val="001A44BC"/>
    <w:rsid w:val="001A48FB"/>
    <w:rsid w:val="001A4B58"/>
    <w:rsid w:val="001A4F5D"/>
    <w:rsid w:val="001A5A86"/>
    <w:rsid w:val="001B1348"/>
    <w:rsid w:val="001B1B12"/>
    <w:rsid w:val="001B2CC7"/>
    <w:rsid w:val="001B404B"/>
    <w:rsid w:val="001B4BE5"/>
    <w:rsid w:val="001B4C39"/>
    <w:rsid w:val="001B57D7"/>
    <w:rsid w:val="001B5E4A"/>
    <w:rsid w:val="001B643D"/>
    <w:rsid w:val="001B6C96"/>
    <w:rsid w:val="001B731C"/>
    <w:rsid w:val="001B7BFC"/>
    <w:rsid w:val="001C1A6C"/>
    <w:rsid w:val="001C20D1"/>
    <w:rsid w:val="001C2533"/>
    <w:rsid w:val="001C33BB"/>
    <w:rsid w:val="001C344D"/>
    <w:rsid w:val="001C628E"/>
    <w:rsid w:val="001C7544"/>
    <w:rsid w:val="001D0282"/>
    <w:rsid w:val="001D311E"/>
    <w:rsid w:val="001D4840"/>
    <w:rsid w:val="001E0873"/>
    <w:rsid w:val="001E08DF"/>
    <w:rsid w:val="001E0F7B"/>
    <w:rsid w:val="001E3D67"/>
    <w:rsid w:val="001E52EA"/>
    <w:rsid w:val="001E5A96"/>
    <w:rsid w:val="001E5BEE"/>
    <w:rsid w:val="001F212B"/>
    <w:rsid w:val="001F4859"/>
    <w:rsid w:val="001F565C"/>
    <w:rsid w:val="001F59DB"/>
    <w:rsid w:val="00200577"/>
    <w:rsid w:val="002009E4"/>
    <w:rsid w:val="002012A0"/>
    <w:rsid w:val="00201382"/>
    <w:rsid w:val="00202088"/>
    <w:rsid w:val="002034FE"/>
    <w:rsid w:val="0020390E"/>
    <w:rsid w:val="00205CCB"/>
    <w:rsid w:val="0020628E"/>
    <w:rsid w:val="00207892"/>
    <w:rsid w:val="00207B40"/>
    <w:rsid w:val="00211C39"/>
    <w:rsid w:val="0021218A"/>
    <w:rsid w:val="0021241D"/>
    <w:rsid w:val="00213E72"/>
    <w:rsid w:val="0021632C"/>
    <w:rsid w:val="00216859"/>
    <w:rsid w:val="00216BF4"/>
    <w:rsid w:val="00216C9B"/>
    <w:rsid w:val="002178B8"/>
    <w:rsid w:val="00223D03"/>
    <w:rsid w:val="00224812"/>
    <w:rsid w:val="00224F52"/>
    <w:rsid w:val="002257D6"/>
    <w:rsid w:val="00227A63"/>
    <w:rsid w:val="00230122"/>
    <w:rsid w:val="00230C98"/>
    <w:rsid w:val="00231450"/>
    <w:rsid w:val="002323A7"/>
    <w:rsid w:val="0023345C"/>
    <w:rsid w:val="00233546"/>
    <w:rsid w:val="00234B0E"/>
    <w:rsid w:val="002372ED"/>
    <w:rsid w:val="00237E4A"/>
    <w:rsid w:val="00240923"/>
    <w:rsid w:val="00241C31"/>
    <w:rsid w:val="00243233"/>
    <w:rsid w:val="00243A47"/>
    <w:rsid w:val="00243D8B"/>
    <w:rsid w:val="0024515F"/>
    <w:rsid w:val="002461BA"/>
    <w:rsid w:val="00246C25"/>
    <w:rsid w:val="002509C9"/>
    <w:rsid w:val="00252CDA"/>
    <w:rsid w:val="00254B8F"/>
    <w:rsid w:val="002637BC"/>
    <w:rsid w:val="00265875"/>
    <w:rsid w:val="00266183"/>
    <w:rsid w:val="002664D2"/>
    <w:rsid w:val="00266544"/>
    <w:rsid w:val="00266A38"/>
    <w:rsid w:val="0026797B"/>
    <w:rsid w:val="00271117"/>
    <w:rsid w:val="00272E2F"/>
    <w:rsid w:val="0027303B"/>
    <w:rsid w:val="00274D51"/>
    <w:rsid w:val="00275642"/>
    <w:rsid w:val="0027737C"/>
    <w:rsid w:val="00277E31"/>
    <w:rsid w:val="00280289"/>
    <w:rsid w:val="0028109B"/>
    <w:rsid w:val="00282015"/>
    <w:rsid w:val="00283723"/>
    <w:rsid w:val="002866D2"/>
    <w:rsid w:val="0028728A"/>
    <w:rsid w:val="00287489"/>
    <w:rsid w:val="00287A69"/>
    <w:rsid w:val="00290E00"/>
    <w:rsid w:val="00292600"/>
    <w:rsid w:val="0029263E"/>
    <w:rsid w:val="00295A18"/>
    <w:rsid w:val="0029642F"/>
    <w:rsid w:val="00296819"/>
    <w:rsid w:val="002975E0"/>
    <w:rsid w:val="002A04DD"/>
    <w:rsid w:val="002A170F"/>
    <w:rsid w:val="002A1F81"/>
    <w:rsid w:val="002A2B0C"/>
    <w:rsid w:val="002A370A"/>
    <w:rsid w:val="002A3A0A"/>
    <w:rsid w:val="002A47D6"/>
    <w:rsid w:val="002A5798"/>
    <w:rsid w:val="002B09AE"/>
    <w:rsid w:val="002B3049"/>
    <w:rsid w:val="002B315B"/>
    <w:rsid w:val="002B3A97"/>
    <w:rsid w:val="002B42B9"/>
    <w:rsid w:val="002B52E0"/>
    <w:rsid w:val="002B5571"/>
    <w:rsid w:val="002B6A3F"/>
    <w:rsid w:val="002C060D"/>
    <w:rsid w:val="002C1C7A"/>
    <w:rsid w:val="002C59CB"/>
    <w:rsid w:val="002C5F1A"/>
    <w:rsid w:val="002D2867"/>
    <w:rsid w:val="002D35BD"/>
    <w:rsid w:val="002D3CA6"/>
    <w:rsid w:val="002D448E"/>
    <w:rsid w:val="002D47F7"/>
    <w:rsid w:val="002D4BB1"/>
    <w:rsid w:val="002D5239"/>
    <w:rsid w:val="002D7FCC"/>
    <w:rsid w:val="002E0872"/>
    <w:rsid w:val="002E160C"/>
    <w:rsid w:val="002E3F45"/>
    <w:rsid w:val="002E48FD"/>
    <w:rsid w:val="002E5A5D"/>
    <w:rsid w:val="002E5AC3"/>
    <w:rsid w:val="002E6E23"/>
    <w:rsid w:val="002E75D9"/>
    <w:rsid w:val="002E7D77"/>
    <w:rsid w:val="002F17BD"/>
    <w:rsid w:val="002F2B76"/>
    <w:rsid w:val="002F40B6"/>
    <w:rsid w:val="002F527E"/>
    <w:rsid w:val="002F5502"/>
    <w:rsid w:val="002F5E9A"/>
    <w:rsid w:val="003002E7"/>
    <w:rsid w:val="00301C98"/>
    <w:rsid w:val="0030202A"/>
    <w:rsid w:val="00302CB0"/>
    <w:rsid w:val="00302EB0"/>
    <w:rsid w:val="003104AE"/>
    <w:rsid w:val="003106EF"/>
    <w:rsid w:val="00310BD1"/>
    <w:rsid w:val="00311C3B"/>
    <w:rsid w:val="00311DA1"/>
    <w:rsid w:val="00312650"/>
    <w:rsid w:val="0031367D"/>
    <w:rsid w:val="003137E7"/>
    <w:rsid w:val="00314401"/>
    <w:rsid w:val="00314813"/>
    <w:rsid w:val="00314D4F"/>
    <w:rsid w:val="00317A5E"/>
    <w:rsid w:val="0032203B"/>
    <w:rsid w:val="003221B7"/>
    <w:rsid w:val="00323299"/>
    <w:rsid w:val="0032346D"/>
    <w:rsid w:val="00323E8C"/>
    <w:rsid w:val="00323F8A"/>
    <w:rsid w:val="003240DF"/>
    <w:rsid w:val="0032442B"/>
    <w:rsid w:val="003244BC"/>
    <w:rsid w:val="003259C3"/>
    <w:rsid w:val="00325F02"/>
    <w:rsid w:val="003265BF"/>
    <w:rsid w:val="00326F10"/>
    <w:rsid w:val="0032792B"/>
    <w:rsid w:val="0033378B"/>
    <w:rsid w:val="0033535B"/>
    <w:rsid w:val="003378AC"/>
    <w:rsid w:val="00342E17"/>
    <w:rsid w:val="0034320B"/>
    <w:rsid w:val="0034515A"/>
    <w:rsid w:val="00346A46"/>
    <w:rsid w:val="003475D4"/>
    <w:rsid w:val="00351067"/>
    <w:rsid w:val="003535EC"/>
    <w:rsid w:val="0035535B"/>
    <w:rsid w:val="0035583D"/>
    <w:rsid w:val="00356551"/>
    <w:rsid w:val="00357224"/>
    <w:rsid w:val="0036205D"/>
    <w:rsid w:val="00362ABA"/>
    <w:rsid w:val="00362FE9"/>
    <w:rsid w:val="003642D8"/>
    <w:rsid w:val="003651B5"/>
    <w:rsid w:val="00370861"/>
    <w:rsid w:val="003727FD"/>
    <w:rsid w:val="0037296E"/>
    <w:rsid w:val="00374392"/>
    <w:rsid w:val="00374449"/>
    <w:rsid w:val="00375038"/>
    <w:rsid w:val="00375336"/>
    <w:rsid w:val="00375CE5"/>
    <w:rsid w:val="00376CE8"/>
    <w:rsid w:val="0037738F"/>
    <w:rsid w:val="00381395"/>
    <w:rsid w:val="0038246E"/>
    <w:rsid w:val="00384EED"/>
    <w:rsid w:val="0038516C"/>
    <w:rsid w:val="00390C61"/>
    <w:rsid w:val="00392985"/>
    <w:rsid w:val="00392E35"/>
    <w:rsid w:val="003942D4"/>
    <w:rsid w:val="003958A8"/>
    <w:rsid w:val="0039606B"/>
    <w:rsid w:val="003969A8"/>
    <w:rsid w:val="0039752E"/>
    <w:rsid w:val="003A0D4B"/>
    <w:rsid w:val="003A2CD9"/>
    <w:rsid w:val="003A3E3A"/>
    <w:rsid w:val="003A4E18"/>
    <w:rsid w:val="003A6515"/>
    <w:rsid w:val="003A77D9"/>
    <w:rsid w:val="003A7BA2"/>
    <w:rsid w:val="003C009F"/>
    <w:rsid w:val="003C1736"/>
    <w:rsid w:val="003C3D8D"/>
    <w:rsid w:val="003C5406"/>
    <w:rsid w:val="003C6E74"/>
    <w:rsid w:val="003C7E0C"/>
    <w:rsid w:val="003D25A3"/>
    <w:rsid w:val="003D2CC7"/>
    <w:rsid w:val="003D3135"/>
    <w:rsid w:val="003D34FB"/>
    <w:rsid w:val="003D34FF"/>
    <w:rsid w:val="003D46A6"/>
    <w:rsid w:val="003D5EE4"/>
    <w:rsid w:val="003E0947"/>
    <w:rsid w:val="003E103B"/>
    <w:rsid w:val="003E3B32"/>
    <w:rsid w:val="003E417E"/>
    <w:rsid w:val="003E442A"/>
    <w:rsid w:val="003E632C"/>
    <w:rsid w:val="003E66B0"/>
    <w:rsid w:val="003E67F9"/>
    <w:rsid w:val="003E6D41"/>
    <w:rsid w:val="003E786A"/>
    <w:rsid w:val="003F0EC2"/>
    <w:rsid w:val="003F18A6"/>
    <w:rsid w:val="003F1F7F"/>
    <w:rsid w:val="003F5F61"/>
    <w:rsid w:val="003F6736"/>
    <w:rsid w:val="003F7CD3"/>
    <w:rsid w:val="004002BF"/>
    <w:rsid w:val="004007D4"/>
    <w:rsid w:val="0040150B"/>
    <w:rsid w:val="004018EB"/>
    <w:rsid w:val="00401C9E"/>
    <w:rsid w:val="00403075"/>
    <w:rsid w:val="00403392"/>
    <w:rsid w:val="00403B22"/>
    <w:rsid w:val="0040450C"/>
    <w:rsid w:val="00415966"/>
    <w:rsid w:val="0041739B"/>
    <w:rsid w:val="004210A4"/>
    <w:rsid w:val="00422264"/>
    <w:rsid w:val="00422F6E"/>
    <w:rsid w:val="00423CF3"/>
    <w:rsid w:val="0042461B"/>
    <w:rsid w:val="0042520B"/>
    <w:rsid w:val="004254CF"/>
    <w:rsid w:val="00426FD7"/>
    <w:rsid w:val="00431946"/>
    <w:rsid w:val="00431EC5"/>
    <w:rsid w:val="00433CE8"/>
    <w:rsid w:val="00434BEE"/>
    <w:rsid w:val="004353D6"/>
    <w:rsid w:val="00436CB4"/>
    <w:rsid w:val="0044020B"/>
    <w:rsid w:val="00440A2A"/>
    <w:rsid w:val="00440FC6"/>
    <w:rsid w:val="004414EF"/>
    <w:rsid w:val="004428D2"/>
    <w:rsid w:val="00446612"/>
    <w:rsid w:val="00446CD5"/>
    <w:rsid w:val="00447830"/>
    <w:rsid w:val="004522A4"/>
    <w:rsid w:val="004524CB"/>
    <w:rsid w:val="00452CE7"/>
    <w:rsid w:val="004544D9"/>
    <w:rsid w:val="00454720"/>
    <w:rsid w:val="00454CE8"/>
    <w:rsid w:val="00461FFB"/>
    <w:rsid w:val="004621C3"/>
    <w:rsid w:val="00462702"/>
    <w:rsid w:val="0046399B"/>
    <w:rsid w:val="004642A7"/>
    <w:rsid w:val="00465A77"/>
    <w:rsid w:val="00466356"/>
    <w:rsid w:val="0046792A"/>
    <w:rsid w:val="00471202"/>
    <w:rsid w:val="00474091"/>
    <w:rsid w:val="00476452"/>
    <w:rsid w:val="00476619"/>
    <w:rsid w:val="00476CBB"/>
    <w:rsid w:val="00476EAD"/>
    <w:rsid w:val="00477099"/>
    <w:rsid w:val="004804F3"/>
    <w:rsid w:val="004824B2"/>
    <w:rsid w:val="00485DE2"/>
    <w:rsid w:val="00486B69"/>
    <w:rsid w:val="00486F0D"/>
    <w:rsid w:val="00486F7D"/>
    <w:rsid w:val="0049195B"/>
    <w:rsid w:val="004921C8"/>
    <w:rsid w:val="00492710"/>
    <w:rsid w:val="00494122"/>
    <w:rsid w:val="004941F1"/>
    <w:rsid w:val="00494F0E"/>
    <w:rsid w:val="00495F1D"/>
    <w:rsid w:val="00497457"/>
    <w:rsid w:val="004A0168"/>
    <w:rsid w:val="004A0295"/>
    <w:rsid w:val="004A2D22"/>
    <w:rsid w:val="004A4164"/>
    <w:rsid w:val="004A4D2F"/>
    <w:rsid w:val="004A5B36"/>
    <w:rsid w:val="004A6415"/>
    <w:rsid w:val="004A7476"/>
    <w:rsid w:val="004B135A"/>
    <w:rsid w:val="004B34BD"/>
    <w:rsid w:val="004B6270"/>
    <w:rsid w:val="004B7CF2"/>
    <w:rsid w:val="004C07A1"/>
    <w:rsid w:val="004C0978"/>
    <w:rsid w:val="004C1374"/>
    <w:rsid w:val="004C2D8F"/>
    <w:rsid w:val="004C4CD5"/>
    <w:rsid w:val="004C5027"/>
    <w:rsid w:val="004C52EE"/>
    <w:rsid w:val="004C581A"/>
    <w:rsid w:val="004C5F8D"/>
    <w:rsid w:val="004C72B8"/>
    <w:rsid w:val="004D2299"/>
    <w:rsid w:val="004D3236"/>
    <w:rsid w:val="004E1229"/>
    <w:rsid w:val="004E1AA9"/>
    <w:rsid w:val="004E1AEE"/>
    <w:rsid w:val="004E1E91"/>
    <w:rsid w:val="004E1FEC"/>
    <w:rsid w:val="004E276F"/>
    <w:rsid w:val="004E2EA5"/>
    <w:rsid w:val="004E3A5D"/>
    <w:rsid w:val="004E3FD2"/>
    <w:rsid w:val="004E417D"/>
    <w:rsid w:val="004E54B9"/>
    <w:rsid w:val="004E6496"/>
    <w:rsid w:val="004E7D16"/>
    <w:rsid w:val="004F2F79"/>
    <w:rsid w:val="004F3682"/>
    <w:rsid w:val="004F371B"/>
    <w:rsid w:val="004F3A6E"/>
    <w:rsid w:val="004F5BF5"/>
    <w:rsid w:val="004F7883"/>
    <w:rsid w:val="005009F9"/>
    <w:rsid w:val="00501F0F"/>
    <w:rsid w:val="0050223C"/>
    <w:rsid w:val="005030F2"/>
    <w:rsid w:val="0050393D"/>
    <w:rsid w:val="00503A00"/>
    <w:rsid w:val="00506FB7"/>
    <w:rsid w:val="0051396C"/>
    <w:rsid w:val="005165F4"/>
    <w:rsid w:val="005166BA"/>
    <w:rsid w:val="0051674C"/>
    <w:rsid w:val="00516BE8"/>
    <w:rsid w:val="005174F3"/>
    <w:rsid w:val="00522E33"/>
    <w:rsid w:val="0052305D"/>
    <w:rsid w:val="005231A0"/>
    <w:rsid w:val="005236D6"/>
    <w:rsid w:val="0052515E"/>
    <w:rsid w:val="00525421"/>
    <w:rsid w:val="005259E6"/>
    <w:rsid w:val="005260C1"/>
    <w:rsid w:val="0052695B"/>
    <w:rsid w:val="0052758B"/>
    <w:rsid w:val="0053022C"/>
    <w:rsid w:val="00530934"/>
    <w:rsid w:val="005309AF"/>
    <w:rsid w:val="005312FC"/>
    <w:rsid w:val="00533136"/>
    <w:rsid w:val="00534E85"/>
    <w:rsid w:val="005352F1"/>
    <w:rsid w:val="005407DC"/>
    <w:rsid w:val="00542420"/>
    <w:rsid w:val="005431C5"/>
    <w:rsid w:val="00546781"/>
    <w:rsid w:val="00546E2C"/>
    <w:rsid w:val="00550482"/>
    <w:rsid w:val="005518A3"/>
    <w:rsid w:val="00551DB0"/>
    <w:rsid w:val="00552337"/>
    <w:rsid w:val="005546E9"/>
    <w:rsid w:val="00554B57"/>
    <w:rsid w:val="00555654"/>
    <w:rsid w:val="00555B75"/>
    <w:rsid w:val="00557E06"/>
    <w:rsid w:val="005606FB"/>
    <w:rsid w:val="0056108F"/>
    <w:rsid w:val="0056199E"/>
    <w:rsid w:val="00563D37"/>
    <w:rsid w:val="00564FBC"/>
    <w:rsid w:val="00565E5A"/>
    <w:rsid w:val="0056604F"/>
    <w:rsid w:val="005703B3"/>
    <w:rsid w:val="00571163"/>
    <w:rsid w:val="00571358"/>
    <w:rsid w:val="0057486A"/>
    <w:rsid w:val="005748A8"/>
    <w:rsid w:val="00574C3C"/>
    <w:rsid w:val="00577EE5"/>
    <w:rsid w:val="00581794"/>
    <w:rsid w:val="00582442"/>
    <w:rsid w:val="00582F35"/>
    <w:rsid w:val="00586A2F"/>
    <w:rsid w:val="005924E0"/>
    <w:rsid w:val="00593995"/>
    <w:rsid w:val="00593B26"/>
    <w:rsid w:val="00593E01"/>
    <w:rsid w:val="005940A7"/>
    <w:rsid w:val="00594700"/>
    <w:rsid w:val="005A07F8"/>
    <w:rsid w:val="005A0D53"/>
    <w:rsid w:val="005A1CA3"/>
    <w:rsid w:val="005A24A7"/>
    <w:rsid w:val="005A30D0"/>
    <w:rsid w:val="005A473B"/>
    <w:rsid w:val="005A5631"/>
    <w:rsid w:val="005A56BD"/>
    <w:rsid w:val="005A573A"/>
    <w:rsid w:val="005A5763"/>
    <w:rsid w:val="005A58A8"/>
    <w:rsid w:val="005A6927"/>
    <w:rsid w:val="005A6AA8"/>
    <w:rsid w:val="005B0C7B"/>
    <w:rsid w:val="005B1DDC"/>
    <w:rsid w:val="005B3E16"/>
    <w:rsid w:val="005B5BAC"/>
    <w:rsid w:val="005C0D34"/>
    <w:rsid w:val="005C11F1"/>
    <w:rsid w:val="005C1E0F"/>
    <w:rsid w:val="005C5C35"/>
    <w:rsid w:val="005C68C8"/>
    <w:rsid w:val="005C6F24"/>
    <w:rsid w:val="005C7EFB"/>
    <w:rsid w:val="005D0BA2"/>
    <w:rsid w:val="005D2735"/>
    <w:rsid w:val="005D539F"/>
    <w:rsid w:val="005D7471"/>
    <w:rsid w:val="005E0FEA"/>
    <w:rsid w:val="005E1D6F"/>
    <w:rsid w:val="005E2754"/>
    <w:rsid w:val="005E29F8"/>
    <w:rsid w:val="005E67DF"/>
    <w:rsid w:val="005F05AE"/>
    <w:rsid w:val="005F0BF9"/>
    <w:rsid w:val="005F1DE7"/>
    <w:rsid w:val="005F44FC"/>
    <w:rsid w:val="005F7B37"/>
    <w:rsid w:val="00600F63"/>
    <w:rsid w:val="0060217F"/>
    <w:rsid w:val="006025D3"/>
    <w:rsid w:val="00603000"/>
    <w:rsid w:val="0060318E"/>
    <w:rsid w:val="006036D2"/>
    <w:rsid w:val="00605375"/>
    <w:rsid w:val="0060563A"/>
    <w:rsid w:val="006061F6"/>
    <w:rsid w:val="0060738E"/>
    <w:rsid w:val="00607A8F"/>
    <w:rsid w:val="00611121"/>
    <w:rsid w:val="006117A1"/>
    <w:rsid w:val="00612F09"/>
    <w:rsid w:val="006130FF"/>
    <w:rsid w:val="00614857"/>
    <w:rsid w:val="00614F9A"/>
    <w:rsid w:val="0061529A"/>
    <w:rsid w:val="006169D2"/>
    <w:rsid w:val="00623F95"/>
    <w:rsid w:val="006245BD"/>
    <w:rsid w:val="00625110"/>
    <w:rsid w:val="00631445"/>
    <w:rsid w:val="00631A63"/>
    <w:rsid w:val="00632246"/>
    <w:rsid w:val="00633682"/>
    <w:rsid w:val="00633CEF"/>
    <w:rsid w:val="006353F4"/>
    <w:rsid w:val="00636158"/>
    <w:rsid w:val="00636203"/>
    <w:rsid w:val="00640350"/>
    <w:rsid w:val="0064098D"/>
    <w:rsid w:val="00641642"/>
    <w:rsid w:val="00642818"/>
    <w:rsid w:val="0064295E"/>
    <w:rsid w:val="00644257"/>
    <w:rsid w:val="00644588"/>
    <w:rsid w:val="0064521E"/>
    <w:rsid w:val="006467EB"/>
    <w:rsid w:val="00651182"/>
    <w:rsid w:val="00653483"/>
    <w:rsid w:val="00653992"/>
    <w:rsid w:val="006548EB"/>
    <w:rsid w:val="00654E72"/>
    <w:rsid w:val="00655071"/>
    <w:rsid w:val="006560E2"/>
    <w:rsid w:val="00660115"/>
    <w:rsid w:val="00662984"/>
    <w:rsid w:val="00662EA5"/>
    <w:rsid w:val="006638BB"/>
    <w:rsid w:val="0066614A"/>
    <w:rsid w:val="006664D0"/>
    <w:rsid w:val="00667AD7"/>
    <w:rsid w:val="00667B0C"/>
    <w:rsid w:val="00667C2F"/>
    <w:rsid w:val="00670161"/>
    <w:rsid w:val="00671ED0"/>
    <w:rsid w:val="00674208"/>
    <w:rsid w:val="0067515C"/>
    <w:rsid w:val="0067523C"/>
    <w:rsid w:val="006765A3"/>
    <w:rsid w:val="00676AC3"/>
    <w:rsid w:val="00676CDE"/>
    <w:rsid w:val="006808CF"/>
    <w:rsid w:val="00680E2C"/>
    <w:rsid w:val="0068173E"/>
    <w:rsid w:val="00685352"/>
    <w:rsid w:val="006869C0"/>
    <w:rsid w:val="00687324"/>
    <w:rsid w:val="00691D65"/>
    <w:rsid w:val="00693F85"/>
    <w:rsid w:val="00694C81"/>
    <w:rsid w:val="006A0AED"/>
    <w:rsid w:val="006A0E9D"/>
    <w:rsid w:val="006A1507"/>
    <w:rsid w:val="006A24C3"/>
    <w:rsid w:val="006A5907"/>
    <w:rsid w:val="006B131C"/>
    <w:rsid w:val="006B4103"/>
    <w:rsid w:val="006B4A4B"/>
    <w:rsid w:val="006B57EF"/>
    <w:rsid w:val="006B6DCC"/>
    <w:rsid w:val="006B6FF0"/>
    <w:rsid w:val="006C1FE5"/>
    <w:rsid w:val="006C233C"/>
    <w:rsid w:val="006C28BF"/>
    <w:rsid w:val="006C4D1A"/>
    <w:rsid w:val="006C669B"/>
    <w:rsid w:val="006C6ECC"/>
    <w:rsid w:val="006C7C0C"/>
    <w:rsid w:val="006D014F"/>
    <w:rsid w:val="006D0A22"/>
    <w:rsid w:val="006D0D77"/>
    <w:rsid w:val="006D0E76"/>
    <w:rsid w:val="006D13AA"/>
    <w:rsid w:val="006D1FC0"/>
    <w:rsid w:val="006D3DF1"/>
    <w:rsid w:val="006D4DBA"/>
    <w:rsid w:val="006D5192"/>
    <w:rsid w:val="006D55D4"/>
    <w:rsid w:val="006D5D1A"/>
    <w:rsid w:val="006D741B"/>
    <w:rsid w:val="006D7D94"/>
    <w:rsid w:val="006E0495"/>
    <w:rsid w:val="006E05BC"/>
    <w:rsid w:val="006E1542"/>
    <w:rsid w:val="006E2A67"/>
    <w:rsid w:val="006E32FA"/>
    <w:rsid w:val="006E6810"/>
    <w:rsid w:val="006E6F7F"/>
    <w:rsid w:val="006F014D"/>
    <w:rsid w:val="006F0CA3"/>
    <w:rsid w:val="006F1998"/>
    <w:rsid w:val="006F1D39"/>
    <w:rsid w:val="006F2894"/>
    <w:rsid w:val="006F4AD3"/>
    <w:rsid w:val="006F4C1A"/>
    <w:rsid w:val="006F637C"/>
    <w:rsid w:val="006F7570"/>
    <w:rsid w:val="006F7A2B"/>
    <w:rsid w:val="00700088"/>
    <w:rsid w:val="007010ED"/>
    <w:rsid w:val="007038D7"/>
    <w:rsid w:val="00703A3D"/>
    <w:rsid w:val="00703C13"/>
    <w:rsid w:val="00704ED1"/>
    <w:rsid w:val="00705239"/>
    <w:rsid w:val="007062E9"/>
    <w:rsid w:val="00706E25"/>
    <w:rsid w:val="00710347"/>
    <w:rsid w:val="00717FBC"/>
    <w:rsid w:val="00720059"/>
    <w:rsid w:val="0072262F"/>
    <w:rsid w:val="0072282E"/>
    <w:rsid w:val="00723E17"/>
    <w:rsid w:val="00724E31"/>
    <w:rsid w:val="00726AEB"/>
    <w:rsid w:val="00726DB4"/>
    <w:rsid w:val="00730711"/>
    <w:rsid w:val="007316F5"/>
    <w:rsid w:val="00732F01"/>
    <w:rsid w:val="00733006"/>
    <w:rsid w:val="007339F8"/>
    <w:rsid w:val="00733E52"/>
    <w:rsid w:val="00733F5A"/>
    <w:rsid w:val="007346FD"/>
    <w:rsid w:val="0073494A"/>
    <w:rsid w:val="0073528C"/>
    <w:rsid w:val="00735E79"/>
    <w:rsid w:val="00735ECA"/>
    <w:rsid w:val="00736A33"/>
    <w:rsid w:val="00736B61"/>
    <w:rsid w:val="0074173F"/>
    <w:rsid w:val="00743B89"/>
    <w:rsid w:val="00743E6C"/>
    <w:rsid w:val="00744F50"/>
    <w:rsid w:val="0074521D"/>
    <w:rsid w:val="00745C73"/>
    <w:rsid w:val="0075057F"/>
    <w:rsid w:val="00753137"/>
    <w:rsid w:val="0075359A"/>
    <w:rsid w:val="0075359B"/>
    <w:rsid w:val="00753C27"/>
    <w:rsid w:val="007550DF"/>
    <w:rsid w:val="00756AD7"/>
    <w:rsid w:val="00756C35"/>
    <w:rsid w:val="007576DB"/>
    <w:rsid w:val="007577CC"/>
    <w:rsid w:val="007579C3"/>
    <w:rsid w:val="00760484"/>
    <w:rsid w:val="00761159"/>
    <w:rsid w:val="00763AC3"/>
    <w:rsid w:val="00764F41"/>
    <w:rsid w:val="0076793A"/>
    <w:rsid w:val="0077403B"/>
    <w:rsid w:val="00776BD3"/>
    <w:rsid w:val="0077710D"/>
    <w:rsid w:val="0077759E"/>
    <w:rsid w:val="00782469"/>
    <w:rsid w:val="00782AF6"/>
    <w:rsid w:val="00782CE2"/>
    <w:rsid w:val="00783A12"/>
    <w:rsid w:val="007900FA"/>
    <w:rsid w:val="007904DA"/>
    <w:rsid w:val="00790908"/>
    <w:rsid w:val="00791088"/>
    <w:rsid w:val="00793AB0"/>
    <w:rsid w:val="00794BEC"/>
    <w:rsid w:val="0079687E"/>
    <w:rsid w:val="007969E9"/>
    <w:rsid w:val="00796FA5"/>
    <w:rsid w:val="007972A9"/>
    <w:rsid w:val="007978E3"/>
    <w:rsid w:val="007A05E1"/>
    <w:rsid w:val="007A0AA4"/>
    <w:rsid w:val="007A3DA8"/>
    <w:rsid w:val="007A4F74"/>
    <w:rsid w:val="007A7154"/>
    <w:rsid w:val="007B0746"/>
    <w:rsid w:val="007B1556"/>
    <w:rsid w:val="007B48FF"/>
    <w:rsid w:val="007B6A8D"/>
    <w:rsid w:val="007B6F33"/>
    <w:rsid w:val="007C2F99"/>
    <w:rsid w:val="007C33FA"/>
    <w:rsid w:val="007C3538"/>
    <w:rsid w:val="007C5489"/>
    <w:rsid w:val="007C5E06"/>
    <w:rsid w:val="007C6E96"/>
    <w:rsid w:val="007C7CD9"/>
    <w:rsid w:val="007C7D3F"/>
    <w:rsid w:val="007D0C22"/>
    <w:rsid w:val="007D173C"/>
    <w:rsid w:val="007D1B5F"/>
    <w:rsid w:val="007D4CD4"/>
    <w:rsid w:val="007D5084"/>
    <w:rsid w:val="007D5356"/>
    <w:rsid w:val="007D55AD"/>
    <w:rsid w:val="007E1756"/>
    <w:rsid w:val="007E37A2"/>
    <w:rsid w:val="007E419B"/>
    <w:rsid w:val="007E4ED4"/>
    <w:rsid w:val="007E5CC6"/>
    <w:rsid w:val="007E73DD"/>
    <w:rsid w:val="007F0840"/>
    <w:rsid w:val="007F2124"/>
    <w:rsid w:val="007F22EF"/>
    <w:rsid w:val="007F25C7"/>
    <w:rsid w:val="007F3CE4"/>
    <w:rsid w:val="007F3F26"/>
    <w:rsid w:val="007F4C15"/>
    <w:rsid w:val="007F7EE4"/>
    <w:rsid w:val="00803B8C"/>
    <w:rsid w:val="008049ED"/>
    <w:rsid w:val="00804CBF"/>
    <w:rsid w:val="00805138"/>
    <w:rsid w:val="008061E1"/>
    <w:rsid w:val="00811C37"/>
    <w:rsid w:val="008133BD"/>
    <w:rsid w:val="008134FB"/>
    <w:rsid w:val="00825ADF"/>
    <w:rsid w:val="00826692"/>
    <w:rsid w:val="00826774"/>
    <w:rsid w:val="00827F53"/>
    <w:rsid w:val="00831957"/>
    <w:rsid w:val="00832465"/>
    <w:rsid w:val="00833550"/>
    <w:rsid w:val="00835301"/>
    <w:rsid w:val="0083581B"/>
    <w:rsid w:val="00836AFE"/>
    <w:rsid w:val="00840993"/>
    <w:rsid w:val="0084140B"/>
    <w:rsid w:val="00841698"/>
    <w:rsid w:val="008416F2"/>
    <w:rsid w:val="008420F8"/>
    <w:rsid w:val="0084318B"/>
    <w:rsid w:val="008431B1"/>
    <w:rsid w:val="00843FFC"/>
    <w:rsid w:val="00844A08"/>
    <w:rsid w:val="00844C42"/>
    <w:rsid w:val="008460EE"/>
    <w:rsid w:val="00850CD5"/>
    <w:rsid w:val="00850CE9"/>
    <w:rsid w:val="00852657"/>
    <w:rsid w:val="008544DD"/>
    <w:rsid w:val="00854F64"/>
    <w:rsid w:val="00857F7A"/>
    <w:rsid w:val="0086214B"/>
    <w:rsid w:val="00862A59"/>
    <w:rsid w:val="00864022"/>
    <w:rsid w:val="00864821"/>
    <w:rsid w:val="008648B9"/>
    <w:rsid w:val="00864BBC"/>
    <w:rsid w:val="00866DC3"/>
    <w:rsid w:val="00870B34"/>
    <w:rsid w:val="0087145E"/>
    <w:rsid w:val="00872BF0"/>
    <w:rsid w:val="008733E8"/>
    <w:rsid w:val="0087340E"/>
    <w:rsid w:val="0087477D"/>
    <w:rsid w:val="008769EC"/>
    <w:rsid w:val="008802BD"/>
    <w:rsid w:val="00880C96"/>
    <w:rsid w:val="00880F43"/>
    <w:rsid w:val="00882198"/>
    <w:rsid w:val="008831DC"/>
    <w:rsid w:val="008832E8"/>
    <w:rsid w:val="00883F2C"/>
    <w:rsid w:val="00884265"/>
    <w:rsid w:val="00884D1B"/>
    <w:rsid w:val="00885F5A"/>
    <w:rsid w:val="008910A6"/>
    <w:rsid w:val="00892903"/>
    <w:rsid w:val="00893913"/>
    <w:rsid w:val="00894A8D"/>
    <w:rsid w:val="0089781C"/>
    <w:rsid w:val="008A15D6"/>
    <w:rsid w:val="008A22C5"/>
    <w:rsid w:val="008A3232"/>
    <w:rsid w:val="008A453D"/>
    <w:rsid w:val="008A4A4A"/>
    <w:rsid w:val="008A4E06"/>
    <w:rsid w:val="008A5FDD"/>
    <w:rsid w:val="008A7494"/>
    <w:rsid w:val="008B16A3"/>
    <w:rsid w:val="008B1F57"/>
    <w:rsid w:val="008B1F62"/>
    <w:rsid w:val="008B2F6E"/>
    <w:rsid w:val="008B5462"/>
    <w:rsid w:val="008B58CA"/>
    <w:rsid w:val="008B5E00"/>
    <w:rsid w:val="008B72C9"/>
    <w:rsid w:val="008C1452"/>
    <w:rsid w:val="008C30F7"/>
    <w:rsid w:val="008C3112"/>
    <w:rsid w:val="008C3517"/>
    <w:rsid w:val="008C5328"/>
    <w:rsid w:val="008C561E"/>
    <w:rsid w:val="008C60AB"/>
    <w:rsid w:val="008C6A5C"/>
    <w:rsid w:val="008D0140"/>
    <w:rsid w:val="008D1518"/>
    <w:rsid w:val="008D1D02"/>
    <w:rsid w:val="008D26A1"/>
    <w:rsid w:val="008D2D0A"/>
    <w:rsid w:val="008D43E7"/>
    <w:rsid w:val="008D494D"/>
    <w:rsid w:val="008D4BF7"/>
    <w:rsid w:val="008D79A8"/>
    <w:rsid w:val="008E1906"/>
    <w:rsid w:val="008E3393"/>
    <w:rsid w:val="008E5474"/>
    <w:rsid w:val="008E5A16"/>
    <w:rsid w:val="008E6086"/>
    <w:rsid w:val="008E66A4"/>
    <w:rsid w:val="008E724F"/>
    <w:rsid w:val="008F0717"/>
    <w:rsid w:val="008F100A"/>
    <w:rsid w:val="008F149B"/>
    <w:rsid w:val="008F27B6"/>
    <w:rsid w:val="008F3EA7"/>
    <w:rsid w:val="008F4989"/>
    <w:rsid w:val="008F702E"/>
    <w:rsid w:val="00901586"/>
    <w:rsid w:val="00901939"/>
    <w:rsid w:val="00902374"/>
    <w:rsid w:val="0090483B"/>
    <w:rsid w:val="0090693C"/>
    <w:rsid w:val="0090705F"/>
    <w:rsid w:val="009108A1"/>
    <w:rsid w:val="00911F7D"/>
    <w:rsid w:val="00912C48"/>
    <w:rsid w:val="00912E33"/>
    <w:rsid w:val="00914D71"/>
    <w:rsid w:val="009159A1"/>
    <w:rsid w:val="00916DCD"/>
    <w:rsid w:val="00916E39"/>
    <w:rsid w:val="009173EF"/>
    <w:rsid w:val="00917ABA"/>
    <w:rsid w:val="0092174A"/>
    <w:rsid w:val="009228D1"/>
    <w:rsid w:val="00922FDA"/>
    <w:rsid w:val="00923CAD"/>
    <w:rsid w:val="00925131"/>
    <w:rsid w:val="009254DB"/>
    <w:rsid w:val="00932906"/>
    <w:rsid w:val="00935331"/>
    <w:rsid w:val="00935B22"/>
    <w:rsid w:val="00935BFA"/>
    <w:rsid w:val="0094130F"/>
    <w:rsid w:val="009419D1"/>
    <w:rsid w:val="0094489D"/>
    <w:rsid w:val="00945415"/>
    <w:rsid w:val="00945D18"/>
    <w:rsid w:val="00947100"/>
    <w:rsid w:val="00947D2A"/>
    <w:rsid w:val="00950F5C"/>
    <w:rsid w:val="009539B3"/>
    <w:rsid w:val="00953A75"/>
    <w:rsid w:val="00954187"/>
    <w:rsid w:val="00954A97"/>
    <w:rsid w:val="00955D2A"/>
    <w:rsid w:val="00960467"/>
    <w:rsid w:val="009611DC"/>
    <w:rsid w:val="00961B0B"/>
    <w:rsid w:val="00962938"/>
    <w:rsid w:val="00963226"/>
    <w:rsid w:val="009659F0"/>
    <w:rsid w:val="009669DF"/>
    <w:rsid w:val="00966A1B"/>
    <w:rsid w:val="0096731A"/>
    <w:rsid w:val="00975AE6"/>
    <w:rsid w:val="0097664F"/>
    <w:rsid w:val="00976F04"/>
    <w:rsid w:val="009807C5"/>
    <w:rsid w:val="0098121D"/>
    <w:rsid w:val="00981F5D"/>
    <w:rsid w:val="009821AE"/>
    <w:rsid w:val="0098421E"/>
    <w:rsid w:val="00984458"/>
    <w:rsid w:val="0098501C"/>
    <w:rsid w:val="00986F8E"/>
    <w:rsid w:val="009918BB"/>
    <w:rsid w:val="00991996"/>
    <w:rsid w:val="0099251A"/>
    <w:rsid w:val="00992622"/>
    <w:rsid w:val="00993C22"/>
    <w:rsid w:val="00995376"/>
    <w:rsid w:val="0099754F"/>
    <w:rsid w:val="00997952"/>
    <w:rsid w:val="009A03E6"/>
    <w:rsid w:val="009A069F"/>
    <w:rsid w:val="009A495F"/>
    <w:rsid w:val="009A5C44"/>
    <w:rsid w:val="009A6F1D"/>
    <w:rsid w:val="009B00BD"/>
    <w:rsid w:val="009B048E"/>
    <w:rsid w:val="009B11A1"/>
    <w:rsid w:val="009B1540"/>
    <w:rsid w:val="009B58F1"/>
    <w:rsid w:val="009B637E"/>
    <w:rsid w:val="009B6C58"/>
    <w:rsid w:val="009C168A"/>
    <w:rsid w:val="009C2FCE"/>
    <w:rsid w:val="009C6101"/>
    <w:rsid w:val="009C6C3C"/>
    <w:rsid w:val="009C7276"/>
    <w:rsid w:val="009D1E01"/>
    <w:rsid w:val="009D3B98"/>
    <w:rsid w:val="009D537E"/>
    <w:rsid w:val="009D6EA5"/>
    <w:rsid w:val="009E17BD"/>
    <w:rsid w:val="009E2292"/>
    <w:rsid w:val="009E2564"/>
    <w:rsid w:val="009E335D"/>
    <w:rsid w:val="009E3CD1"/>
    <w:rsid w:val="009E3EED"/>
    <w:rsid w:val="009E56F8"/>
    <w:rsid w:val="009E6868"/>
    <w:rsid w:val="009E7651"/>
    <w:rsid w:val="009E7DE0"/>
    <w:rsid w:val="009F03DB"/>
    <w:rsid w:val="009F14EF"/>
    <w:rsid w:val="009F15C5"/>
    <w:rsid w:val="009F1D4D"/>
    <w:rsid w:val="009F4DF7"/>
    <w:rsid w:val="009F5BC3"/>
    <w:rsid w:val="009F77BB"/>
    <w:rsid w:val="00A02D2D"/>
    <w:rsid w:val="00A04CEC"/>
    <w:rsid w:val="00A0577B"/>
    <w:rsid w:val="00A066D8"/>
    <w:rsid w:val="00A110EB"/>
    <w:rsid w:val="00A12C68"/>
    <w:rsid w:val="00A17281"/>
    <w:rsid w:val="00A17BEA"/>
    <w:rsid w:val="00A17C31"/>
    <w:rsid w:val="00A17CB1"/>
    <w:rsid w:val="00A20884"/>
    <w:rsid w:val="00A21D32"/>
    <w:rsid w:val="00A22633"/>
    <w:rsid w:val="00A22FBF"/>
    <w:rsid w:val="00A26297"/>
    <w:rsid w:val="00A27F92"/>
    <w:rsid w:val="00A305AA"/>
    <w:rsid w:val="00A321B6"/>
    <w:rsid w:val="00A32654"/>
    <w:rsid w:val="00A32F81"/>
    <w:rsid w:val="00A33971"/>
    <w:rsid w:val="00A35E16"/>
    <w:rsid w:val="00A433EA"/>
    <w:rsid w:val="00A44101"/>
    <w:rsid w:val="00A45AB3"/>
    <w:rsid w:val="00A46E15"/>
    <w:rsid w:val="00A47217"/>
    <w:rsid w:val="00A50676"/>
    <w:rsid w:val="00A535FC"/>
    <w:rsid w:val="00A5383B"/>
    <w:rsid w:val="00A53C6D"/>
    <w:rsid w:val="00A54A16"/>
    <w:rsid w:val="00A55622"/>
    <w:rsid w:val="00A556C2"/>
    <w:rsid w:val="00A55D7C"/>
    <w:rsid w:val="00A56128"/>
    <w:rsid w:val="00A56597"/>
    <w:rsid w:val="00A602CD"/>
    <w:rsid w:val="00A6049E"/>
    <w:rsid w:val="00A61C3B"/>
    <w:rsid w:val="00A61FA6"/>
    <w:rsid w:val="00A63031"/>
    <w:rsid w:val="00A67E81"/>
    <w:rsid w:val="00A71E8E"/>
    <w:rsid w:val="00A74A8B"/>
    <w:rsid w:val="00A75C7D"/>
    <w:rsid w:val="00A77EA6"/>
    <w:rsid w:val="00A806F2"/>
    <w:rsid w:val="00A8261D"/>
    <w:rsid w:val="00A82D0D"/>
    <w:rsid w:val="00A84870"/>
    <w:rsid w:val="00A85104"/>
    <w:rsid w:val="00A8651A"/>
    <w:rsid w:val="00A86F3B"/>
    <w:rsid w:val="00A87B50"/>
    <w:rsid w:val="00A906AB"/>
    <w:rsid w:val="00A91DE4"/>
    <w:rsid w:val="00A93F8D"/>
    <w:rsid w:val="00A94AD4"/>
    <w:rsid w:val="00A95603"/>
    <w:rsid w:val="00A9612D"/>
    <w:rsid w:val="00A9706E"/>
    <w:rsid w:val="00A97D37"/>
    <w:rsid w:val="00AA24D1"/>
    <w:rsid w:val="00AA2E5E"/>
    <w:rsid w:val="00AA5496"/>
    <w:rsid w:val="00AA5B14"/>
    <w:rsid w:val="00AB0340"/>
    <w:rsid w:val="00AB42F6"/>
    <w:rsid w:val="00AB4B3B"/>
    <w:rsid w:val="00AB75B9"/>
    <w:rsid w:val="00AC1E55"/>
    <w:rsid w:val="00AC2051"/>
    <w:rsid w:val="00AC2591"/>
    <w:rsid w:val="00AC45F6"/>
    <w:rsid w:val="00AC6F74"/>
    <w:rsid w:val="00AD0AE5"/>
    <w:rsid w:val="00AD382A"/>
    <w:rsid w:val="00AD3E23"/>
    <w:rsid w:val="00AD4699"/>
    <w:rsid w:val="00AD5D3C"/>
    <w:rsid w:val="00AD7201"/>
    <w:rsid w:val="00AD7909"/>
    <w:rsid w:val="00AD7BBC"/>
    <w:rsid w:val="00AE26D6"/>
    <w:rsid w:val="00AE2BB6"/>
    <w:rsid w:val="00AE2D99"/>
    <w:rsid w:val="00AE64D4"/>
    <w:rsid w:val="00AE6D7E"/>
    <w:rsid w:val="00AE793F"/>
    <w:rsid w:val="00AF2963"/>
    <w:rsid w:val="00AF484C"/>
    <w:rsid w:val="00AF5F5E"/>
    <w:rsid w:val="00AF5FEB"/>
    <w:rsid w:val="00AF6183"/>
    <w:rsid w:val="00B024D2"/>
    <w:rsid w:val="00B02A3F"/>
    <w:rsid w:val="00B03467"/>
    <w:rsid w:val="00B0456A"/>
    <w:rsid w:val="00B06425"/>
    <w:rsid w:val="00B07E5B"/>
    <w:rsid w:val="00B122DF"/>
    <w:rsid w:val="00B12D79"/>
    <w:rsid w:val="00B13315"/>
    <w:rsid w:val="00B14B5A"/>
    <w:rsid w:val="00B1644C"/>
    <w:rsid w:val="00B17316"/>
    <w:rsid w:val="00B203F4"/>
    <w:rsid w:val="00B21462"/>
    <w:rsid w:val="00B21CB5"/>
    <w:rsid w:val="00B21F34"/>
    <w:rsid w:val="00B2270F"/>
    <w:rsid w:val="00B23E7E"/>
    <w:rsid w:val="00B247CD"/>
    <w:rsid w:val="00B25B41"/>
    <w:rsid w:val="00B25FAB"/>
    <w:rsid w:val="00B27123"/>
    <w:rsid w:val="00B27A9E"/>
    <w:rsid w:val="00B27ED0"/>
    <w:rsid w:val="00B31DCF"/>
    <w:rsid w:val="00B331AC"/>
    <w:rsid w:val="00B343E7"/>
    <w:rsid w:val="00B36EA1"/>
    <w:rsid w:val="00B371AF"/>
    <w:rsid w:val="00B37CDC"/>
    <w:rsid w:val="00B40538"/>
    <w:rsid w:val="00B40A81"/>
    <w:rsid w:val="00B4167E"/>
    <w:rsid w:val="00B4374F"/>
    <w:rsid w:val="00B444B9"/>
    <w:rsid w:val="00B44910"/>
    <w:rsid w:val="00B44E12"/>
    <w:rsid w:val="00B50ED3"/>
    <w:rsid w:val="00B54B8F"/>
    <w:rsid w:val="00B56F3A"/>
    <w:rsid w:val="00B576FA"/>
    <w:rsid w:val="00B60840"/>
    <w:rsid w:val="00B60CC2"/>
    <w:rsid w:val="00B635D7"/>
    <w:rsid w:val="00B63B35"/>
    <w:rsid w:val="00B64213"/>
    <w:rsid w:val="00B671EF"/>
    <w:rsid w:val="00B67C24"/>
    <w:rsid w:val="00B7000E"/>
    <w:rsid w:val="00B72023"/>
    <w:rsid w:val="00B72267"/>
    <w:rsid w:val="00B746D4"/>
    <w:rsid w:val="00B7480D"/>
    <w:rsid w:val="00B750EB"/>
    <w:rsid w:val="00B760AF"/>
    <w:rsid w:val="00B76EB6"/>
    <w:rsid w:val="00B77B71"/>
    <w:rsid w:val="00B817C7"/>
    <w:rsid w:val="00B81D34"/>
    <w:rsid w:val="00B824C8"/>
    <w:rsid w:val="00B8255C"/>
    <w:rsid w:val="00B82A28"/>
    <w:rsid w:val="00B8318C"/>
    <w:rsid w:val="00B84652"/>
    <w:rsid w:val="00B8578D"/>
    <w:rsid w:val="00B8714F"/>
    <w:rsid w:val="00B902F2"/>
    <w:rsid w:val="00B9315A"/>
    <w:rsid w:val="00B944BB"/>
    <w:rsid w:val="00BA05F7"/>
    <w:rsid w:val="00BA0E8D"/>
    <w:rsid w:val="00BA118F"/>
    <w:rsid w:val="00BA1CA1"/>
    <w:rsid w:val="00BA1CAA"/>
    <w:rsid w:val="00BA1D2F"/>
    <w:rsid w:val="00BA3504"/>
    <w:rsid w:val="00BA3A82"/>
    <w:rsid w:val="00BA688D"/>
    <w:rsid w:val="00BA6B34"/>
    <w:rsid w:val="00BA6FFB"/>
    <w:rsid w:val="00BA7087"/>
    <w:rsid w:val="00BB0863"/>
    <w:rsid w:val="00BB0C99"/>
    <w:rsid w:val="00BB0D50"/>
    <w:rsid w:val="00BB0E88"/>
    <w:rsid w:val="00BB311C"/>
    <w:rsid w:val="00BB3C2B"/>
    <w:rsid w:val="00BB5BDA"/>
    <w:rsid w:val="00BC2110"/>
    <w:rsid w:val="00BC25C4"/>
    <w:rsid w:val="00BC2C12"/>
    <w:rsid w:val="00BC465C"/>
    <w:rsid w:val="00BC4F1F"/>
    <w:rsid w:val="00BC5A8A"/>
    <w:rsid w:val="00BD032B"/>
    <w:rsid w:val="00BD19CD"/>
    <w:rsid w:val="00BD3808"/>
    <w:rsid w:val="00BD4B38"/>
    <w:rsid w:val="00BE012E"/>
    <w:rsid w:val="00BE02D1"/>
    <w:rsid w:val="00BE12ED"/>
    <w:rsid w:val="00BE1922"/>
    <w:rsid w:val="00BE1E7D"/>
    <w:rsid w:val="00BE235B"/>
    <w:rsid w:val="00BE2640"/>
    <w:rsid w:val="00BE31D3"/>
    <w:rsid w:val="00BE355F"/>
    <w:rsid w:val="00BE47E2"/>
    <w:rsid w:val="00BE5AD5"/>
    <w:rsid w:val="00BE6C66"/>
    <w:rsid w:val="00BF0EA1"/>
    <w:rsid w:val="00BF1F4D"/>
    <w:rsid w:val="00BF1FFF"/>
    <w:rsid w:val="00BF2BF9"/>
    <w:rsid w:val="00BF370B"/>
    <w:rsid w:val="00BF43D6"/>
    <w:rsid w:val="00BF4B40"/>
    <w:rsid w:val="00BF546E"/>
    <w:rsid w:val="00C01189"/>
    <w:rsid w:val="00C011F6"/>
    <w:rsid w:val="00C01C8A"/>
    <w:rsid w:val="00C03AD5"/>
    <w:rsid w:val="00C104DD"/>
    <w:rsid w:val="00C108D2"/>
    <w:rsid w:val="00C15588"/>
    <w:rsid w:val="00C17270"/>
    <w:rsid w:val="00C17609"/>
    <w:rsid w:val="00C178F8"/>
    <w:rsid w:val="00C17975"/>
    <w:rsid w:val="00C17AF8"/>
    <w:rsid w:val="00C20EF9"/>
    <w:rsid w:val="00C21250"/>
    <w:rsid w:val="00C24FCA"/>
    <w:rsid w:val="00C250F7"/>
    <w:rsid w:val="00C301A8"/>
    <w:rsid w:val="00C31E98"/>
    <w:rsid w:val="00C33313"/>
    <w:rsid w:val="00C34339"/>
    <w:rsid w:val="00C34615"/>
    <w:rsid w:val="00C36453"/>
    <w:rsid w:val="00C36D0F"/>
    <w:rsid w:val="00C37244"/>
    <w:rsid w:val="00C374DE"/>
    <w:rsid w:val="00C37600"/>
    <w:rsid w:val="00C40580"/>
    <w:rsid w:val="00C4152B"/>
    <w:rsid w:val="00C417CF"/>
    <w:rsid w:val="00C427BE"/>
    <w:rsid w:val="00C44DA7"/>
    <w:rsid w:val="00C453EC"/>
    <w:rsid w:val="00C45F49"/>
    <w:rsid w:val="00C465B1"/>
    <w:rsid w:val="00C46A8F"/>
    <w:rsid w:val="00C46C26"/>
    <w:rsid w:val="00C50344"/>
    <w:rsid w:val="00C512A0"/>
    <w:rsid w:val="00C51DD9"/>
    <w:rsid w:val="00C51F07"/>
    <w:rsid w:val="00C53A28"/>
    <w:rsid w:val="00C53DE2"/>
    <w:rsid w:val="00C61ED2"/>
    <w:rsid w:val="00C62C05"/>
    <w:rsid w:val="00C66146"/>
    <w:rsid w:val="00C667DB"/>
    <w:rsid w:val="00C66E21"/>
    <w:rsid w:val="00C7146D"/>
    <w:rsid w:val="00C7294F"/>
    <w:rsid w:val="00C7397E"/>
    <w:rsid w:val="00C73A8D"/>
    <w:rsid w:val="00C74F0B"/>
    <w:rsid w:val="00C83C49"/>
    <w:rsid w:val="00C86954"/>
    <w:rsid w:val="00C87B58"/>
    <w:rsid w:val="00C90506"/>
    <w:rsid w:val="00C90911"/>
    <w:rsid w:val="00C92320"/>
    <w:rsid w:val="00C94145"/>
    <w:rsid w:val="00C9560A"/>
    <w:rsid w:val="00C9601A"/>
    <w:rsid w:val="00C96FA1"/>
    <w:rsid w:val="00CA024A"/>
    <w:rsid w:val="00CA1BFF"/>
    <w:rsid w:val="00CA2A00"/>
    <w:rsid w:val="00CA2BD1"/>
    <w:rsid w:val="00CA3375"/>
    <w:rsid w:val="00CA3ED5"/>
    <w:rsid w:val="00CA4EB5"/>
    <w:rsid w:val="00CA56BB"/>
    <w:rsid w:val="00CA5D34"/>
    <w:rsid w:val="00CA6393"/>
    <w:rsid w:val="00CB0165"/>
    <w:rsid w:val="00CB1BB5"/>
    <w:rsid w:val="00CB2A41"/>
    <w:rsid w:val="00CB3901"/>
    <w:rsid w:val="00CB3A26"/>
    <w:rsid w:val="00CB45D7"/>
    <w:rsid w:val="00CB5846"/>
    <w:rsid w:val="00CB688A"/>
    <w:rsid w:val="00CB6D76"/>
    <w:rsid w:val="00CB7880"/>
    <w:rsid w:val="00CC02B8"/>
    <w:rsid w:val="00CC1226"/>
    <w:rsid w:val="00CC2057"/>
    <w:rsid w:val="00CC3D66"/>
    <w:rsid w:val="00CC55C1"/>
    <w:rsid w:val="00CC5FF7"/>
    <w:rsid w:val="00CC7503"/>
    <w:rsid w:val="00CD0C08"/>
    <w:rsid w:val="00CD5BBD"/>
    <w:rsid w:val="00CD66E3"/>
    <w:rsid w:val="00CE1D1C"/>
    <w:rsid w:val="00CE2140"/>
    <w:rsid w:val="00CE222A"/>
    <w:rsid w:val="00CE554A"/>
    <w:rsid w:val="00CE6C35"/>
    <w:rsid w:val="00CE766F"/>
    <w:rsid w:val="00CF0D9F"/>
    <w:rsid w:val="00CF203C"/>
    <w:rsid w:val="00CF24ED"/>
    <w:rsid w:val="00CF33F3"/>
    <w:rsid w:val="00CF341B"/>
    <w:rsid w:val="00CF3EC3"/>
    <w:rsid w:val="00CF4B80"/>
    <w:rsid w:val="00CF574E"/>
    <w:rsid w:val="00CF6AD5"/>
    <w:rsid w:val="00CF72FF"/>
    <w:rsid w:val="00D0093E"/>
    <w:rsid w:val="00D01238"/>
    <w:rsid w:val="00D01634"/>
    <w:rsid w:val="00D04FD6"/>
    <w:rsid w:val="00D06183"/>
    <w:rsid w:val="00D10710"/>
    <w:rsid w:val="00D10EA5"/>
    <w:rsid w:val="00D114E2"/>
    <w:rsid w:val="00D12D29"/>
    <w:rsid w:val="00D14B57"/>
    <w:rsid w:val="00D15841"/>
    <w:rsid w:val="00D158DD"/>
    <w:rsid w:val="00D163CA"/>
    <w:rsid w:val="00D1640A"/>
    <w:rsid w:val="00D175B3"/>
    <w:rsid w:val="00D208E0"/>
    <w:rsid w:val="00D20B37"/>
    <w:rsid w:val="00D2236C"/>
    <w:rsid w:val="00D2294D"/>
    <w:rsid w:val="00D22C42"/>
    <w:rsid w:val="00D2455D"/>
    <w:rsid w:val="00D24FC9"/>
    <w:rsid w:val="00D27B70"/>
    <w:rsid w:val="00D309CF"/>
    <w:rsid w:val="00D30A39"/>
    <w:rsid w:val="00D32FEA"/>
    <w:rsid w:val="00D336EE"/>
    <w:rsid w:val="00D348AB"/>
    <w:rsid w:val="00D350B4"/>
    <w:rsid w:val="00D36532"/>
    <w:rsid w:val="00D3705A"/>
    <w:rsid w:val="00D40EEA"/>
    <w:rsid w:val="00D41CB0"/>
    <w:rsid w:val="00D438B9"/>
    <w:rsid w:val="00D43B52"/>
    <w:rsid w:val="00D44B5C"/>
    <w:rsid w:val="00D45DC4"/>
    <w:rsid w:val="00D46CEF"/>
    <w:rsid w:val="00D4769E"/>
    <w:rsid w:val="00D47818"/>
    <w:rsid w:val="00D5014A"/>
    <w:rsid w:val="00D51331"/>
    <w:rsid w:val="00D534B0"/>
    <w:rsid w:val="00D54D60"/>
    <w:rsid w:val="00D56493"/>
    <w:rsid w:val="00D57CFE"/>
    <w:rsid w:val="00D57E69"/>
    <w:rsid w:val="00D617BD"/>
    <w:rsid w:val="00D626F5"/>
    <w:rsid w:val="00D62955"/>
    <w:rsid w:val="00D6406D"/>
    <w:rsid w:val="00D67DBF"/>
    <w:rsid w:val="00D7144D"/>
    <w:rsid w:val="00D7225A"/>
    <w:rsid w:val="00D745D9"/>
    <w:rsid w:val="00D74A3F"/>
    <w:rsid w:val="00D7501A"/>
    <w:rsid w:val="00D76A33"/>
    <w:rsid w:val="00D77167"/>
    <w:rsid w:val="00D77D6D"/>
    <w:rsid w:val="00D80F38"/>
    <w:rsid w:val="00D81D92"/>
    <w:rsid w:val="00D827EC"/>
    <w:rsid w:val="00D841E6"/>
    <w:rsid w:val="00D86145"/>
    <w:rsid w:val="00D869C1"/>
    <w:rsid w:val="00D86F8E"/>
    <w:rsid w:val="00D9217C"/>
    <w:rsid w:val="00D9363B"/>
    <w:rsid w:val="00D940E7"/>
    <w:rsid w:val="00D96755"/>
    <w:rsid w:val="00DA0EBA"/>
    <w:rsid w:val="00DA191E"/>
    <w:rsid w:val="00DA1A79"/>
    <w:rsid w:val="00DA20EA"/>
    <w:rsid w:val="00DA22C9"/>
    <w:rsid w:val="00DA313D"/>
    <w:rsid w:val="00DA3E70"/>
    <w:rsid w:val="00DA5B1F"/>
    <w:rsid w:val="00DA76C1"/>
    <w:rsid w:val="00DB088B"/>
    <w:rsid w:val="00DB11EA"/>
    <w:rsid w:val="00DB48BC"/>
    <w:rsid w:val="00DB5AF7"/>
    <w:rsid w:val="00DB6388"/>
    <w:rsid w:val="00DB63F5"/>
    <w:rsid w:val="00DB79F1"/>
    <w:rsid w:val="00DC0E33"/>
    <w:rsid w:val="00DC0E45"/>
    <w:rsid w:val="00DC2865"/>
    <w:rsid w:val="00DC429C"/>
    <w:rsid w:val="00DC44E4"/>
    <w:rsid w:val="00DC4A08"/>
    <w:rsid w:val="00DC621B"/>
    <w:rsid w:val="00DC6A0F"/>
    <w:rsid w:val="00DC7F3A"/>
    <w:rsid w:val="00DD06C6"/>
    <w:rsid w:val="00DD12AA"/>
    <w:rsid w:val="00DD3AE6"/>
    <w:rsid w:val="00DD746B"/>
    <w:rsid w:val="00DE06EB"/>
    <w:rsid w:val="00DE3859"/>
    <w:rsid w:val="00DE3B68"/>
    <w:rsid w:val="00DE52DC"/>
    <w:rsid w:val="00DE7A29"/>
    <w:rsid w:val="00DF3936"/>
    <w:rsid w:val="00DF39F2"/>
    <w:rsid w:val="00DF6618"/>
    <w:rsid w:val="00E001D5"/>
    <w:rsid w:val="00E02365"/>
    <w:rsid w:val="00E049E7"/>
    <w:rsid w:val="00E05A8B"/>
    <w:rsid w:val="00E05AE3"/>
    <w:rsid w:val="00E07153"/>
    <w:rsid w:val="00E07718"/>
    <w:rsid w:val="00E1056D"/>
    <w:rsid w:val="00E10744"/>
    <w:rsid w:val="00E10E80"/>
    <w:rsid w:val="00E113AF"/>
    <w:rsid w:val="00E124F0"/>
    <w:rsid w:val="00E137BC"/>
    <w:rsid w:val="00E138DF"/>
    <w:rsid w:val="00E15E30"/>
    <w:rsid w:val="00E16096"/>
    <w:rsid w:val="00E17990"/>
    <w:rsid w:val="00E17CE7"/>
    <w:rsid w:val="00E237EC"/>
    <w:rsid w:val="00E2526B"/>
    <w:rsid w:val="00E25EAD"/>
    <w:rsid w:val="00E25FCF"/>
    <w:rsid w:val="00E342CF"/>
    <w:rsid w:val="00E3640B"/>
    <w:rsid w:val="00E372DB"/>
    <w:rsid w:val="00E374E4"/>
    <w:rsid w:val="00E40B6E"/>
    <w:rsid w:val="00E40E07"/>
    <w:rsid w:val="00E4141B"/>
    <w:rsid w:val="00E43020"/>
    <w:rsid w:val="00E4442D"/>
    <w:rsid w:val="00E4495E"/>
    <w:rsid w:val="00E51C7E"/>
    <w:rsid w:val="00E5275C"/>
    <w:rsid w:val="00E544AC"/>
    <w:rsid w:val="00E54FDE"/>
    <w:rsid w:val="00E55559"/>
    <w:rsid w:val="00E574CE"/>
    <w:rsid w:val="00E60D03"/>
    <w:rsid w:val="00E6246E"/>
    <w:rsid w:val="00E70AF0"/>
    <w:rsid w:val="00E73AED"/>
    <w:rsid w:val="00E76962"/>
    <w:rsid w:val="00E77551"/>
    <w:rsid w:val="00E80335"/>
    <w:rsid w:val="00E80B90"/>
    <w:rsid w:val="00E8113A"/>
    <w:rsid w:val="00E816EC"/>
    <w:rsid w:val="00E828D5"/>
    <w:rsid w:val="00E83B4E"/>
    <w:rsid w:val="00E8417D"/>
    <w:rsid w:val="00E8472C"/>
    <w:rsid w:val="00E849B4"/>
    <w:rsid w:val="00E84C30"/>
    <w:rsid w:val="00E93233"/>
    <w:rsid w:val="00E9789D"/>
    <w:rsid w:val="00EA2152"/>
    <w:rsid w:val="00EA2217"/>
    <w:rsid w:val="00EA2BE9"/>
    <w:rsid w:val="00EA7697"/>
    <w:rsid w:val="00EB0FE1"/>
    <w:rsid w:val="00EB2232"/>
    <w:rsid w:val="00EB2264"/>
    <w:rsid w:val="00EB2ED4"/>
    <w:rsid w:val="00EB43C8"/>
    <w:rsid w:val="00EB4849"/>
    <w:rsid w:val="00EB58D3"/>
    <w:rsid w:val="00EB66CD"/>
    <w:rsid w:val="00EB73A9"/>
    <w:rsid w:val="00EB7DBC"/>
    <w:rsid w:val="00EC3551"/>
    <w:rsid w:val="00EC5551"/>
    <w:rsid w:val="00EC6E88"/>
    <w:rsid w:val="00ED029B"/>
    <w:rsid w:val="00ED0430"/>
    <w:rsid w:val="00ED063D"/>
    <w:rsid w:val="00ED14AB"/>
    <w:rsid w:val="00ED1BE1"/>
    <w:rsid w:val="00ED1CD5"/>
    <w:rsid w:val="00ED2A51"/>
    <w:rsid w:val="00ED2D17"/>
    <w:rsid w:val="00ED308F"/>
    <w:rsid w:val="00ED3C5C"/>
    <w:rsid w:val="00ED44BE"/>
    <w:rsid w:val="00ED50E7"/>
    <w:rsid w:val="00ED5D23"/>
    <w:rsid w:val="00ED6491"/>
    <w:rsid w:val="00ED6E70"/>
    <w:rsid w:val="00EE0185"/>
    <w:rsid w:val="00EE116C"/>
    <w:rsid w:val="00EE532A"/>
    <w:rsid w:val="00EE620A"/>
    <w:rsid w:val="00EF00BD"/>
    <w:rsid w:val="00EF0ADB"/>
    <w:rsid w:val="00EF34E0"/>
    <w:rsid w:val="00EF48AD"/>
    <w:rsid w:val="00EF7B11"/>
    <w:rsid w:val="00EF7D55"/>
    <w:rsid w:val="00F01963"/>
    <w:rsid w:val="00F01FC4"/>
    <w:rsid w:val="00F02CE5"/>
    <w:rsid w:val="00F03FB0"/>
    <w:rsid w:val="00F046BB"/>
    <w:rsid w:val="00F054DD"/>
    <w:rsid w:val="00F06FBE"/>
    <w:rsid w:val="00F07765"/>
    <w:rsid w:val="00F11E7E"/>
    <w:rsid w:val="00F1489D"/>
    <w:rsid w:val="00F15957"/>
    <w:rsid w:val="00F17005"/>
    <w:rsid w:val="00F17718"/>
    <w:rsid w:val="00F1773C"/>
    <w:rsid w:val="00F1776B"/>
    <w:rsid w:val="00F21324"/>
    <w:rsid w:val="00F2150A"/>
    <w:rsid w:val="00F23CA9"/>
    <w:rsid w:val="00F31307"/>
    <w:rsid w:val="00F32A57"/>
    <w:rsid w:val="00F32ACA"/>
    <w:rsid w:val="00F32DB9"/>
    <w:rsid w:val="00F331FA"/>
    <w:rsid w:val="00F33243"/>
    <w:rsid w:val="00F3574F"/>
    <w:rsid w:val="00F3600D"/>
    <w:rsid w:val="00F36276"/>
    <w:rsid w:val="00F3783E"/>
    <w:rsid w:val="00F37B77"/>
    <w:rsid w:val="00F43265"/>
    <w:rsid w:val="00F47B60"/>
    <w:rsid w:val="00F5131A"/>
    <w:rsid w:val="00F5168B"/>
    <w:rsid w:val="00F52102"/>
    <w:rsid w:val="00F523CD"/>
    <w:rsid w:val="00F524E4"/>
    <w:rsid w:val="00F54A24"/>
    <w:rsid w:val="00F54D35"/>
    <w:rsid w:val="00F55BF1"/>
    <w:rsid w:val="00F56D2A"/>
    <w:rsid w:val="00F60740"/>
    <w:rsid w:val="00F651DE"/>
    <w:rsid w:val="00F6550B"/>
    <w:rsid w:val="00F66139"/>
    <w:rsid w:val="00F6647A"/>
    <w:rsid w:val="00F66C8E"/>
    <w:rsid w:val="00F66E1E"/>
    <w:rsid w:val="00F67944"/>
    <w:rsid w:val="00F67EE3"/>
    <w:rsid w:val="00F70C1F"/>
    <w:rsid w:val="00F71EF8"/>
    <w:rsid w:val="00F72D21"/>
    <w:rsid w:val="00F73C0A"/>
    <w:rsid w:val="00F73F0D"/>
    <w:rsid w:val="00F746B3"/>
    <w:rsid w:val="00F74A4F"/>
    <w:rsid w:val="00F74F86"/>
    <w:rsid w:val="00F77CB0"/>
    <w:rsid w:val="00F8028A"/>
    <w:rsid w:val="00F82FBF"/>
    <w:rsid w:val="00F83017"/>
    <w:rsid w:val="00F8303F"/>
    <w:rsid w:val="00F83B99"/>
    <w:rsid w:val="00F84005"/>
    <w:rsid w:val="00F84337"/>
    <w:rsid w:val="00F86B10"/>
    <w:rsid w:val="00F910A2"/>
    <w:rsid w:val="00F915D8"/>
    <w:rsid w:val="00F91AF2"/>
    <w:rsid w:val="00F92EEA"/>
    <w:rsid w:val="00F92F08"/>
    <w:rsid w:val="00F94A10"/>
    <w:rsid w:val="00F95C4B"/>
    <w:rsid w:val="00F96900"/>
    <w:rsid w:val="00F96C38"/>
    <w:rsid w:val="00FA1DD6"/>
    <w:rsid w:val="00FA4265"/>
    <w:rsid w:val="00FA51C4"/>
    <w:rsid w:val="00FB19EF"/>
    <w:rsid w:val="00FB3CFA"/>
    <w:rsid w:val="00FB4929"/>
    <w:rsid w:val="00FB4F5B"/>
    <w:rsid w:val="00FB656B"/>
    <w:rsid w:val="00FB69D7"/>
    <w:rsid w:val="00FC0983"/>
    <w:rsid w:val="00FC1B24"/>
    <w:rsid w:val="00FC298E"/>
    <w:rsid w:val="00FC2B0F"/>
    <w:rsid w:val="00FC4153"/>
    <w:rsid w:val="00FC46F1"/>
    <w:rsid w:val="00FC4B12"/>
    <w:rsid w:val="00FC5DCF"/>
    <w:rsid w:val="00FC667D"/>
    <w:rsid w:val="00FD0557"/>
    <w:rsid w:val="00FD0563"/>
    <w:rsid w:val="00FD0BB9"/>
    <w:rsid w:val="00FD0E17"/>
    <w:rsid w:val="00FD3677"/>
    <w:rsid w:val="00FD5482"/>
    <w:rsid w:val="00FD5B38"/>
    <w:rsid w:val="00FD681C"/>
    <w:rsid w:val="00FE12EA"/>
    <w:rsid w:val="00FE2E6C"/>
    <w:rsid w:val="00FE38D0"/>
    <w:rsid w:val="00FE6AD0"/>
    <w:rsid w:val="00FE7501"/>
    <w:rsid w:val="00FE77D2"/>
    <w:rsid w:val="00FF071A"/>
    <w:rsid w:val="00FF117D"/>
    <w:rsid w:val="00FF1BDB"/>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C82D1"/>
  <w15:docId w15:val="{C0E1B353-0F40-4CB9-A291-BBA67568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6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styleId="Revision">
    <w:name w:val="Revision"/>
    <w:hidden/>
    <w:uiPriority w:val="99"/>
    <w:semiHidden/>
    <w:rsid w:val="004018EB"/>
    <w:rPr>
      <w:rFonts w:ascii="Times New Roman" w:hAnsi="Times New Roman"/>
      <w:sz w:val="24"/>
      <w:lang w:val="en-GB" w:eastAsia="en-US"/>
    </w:rPr>
  </w:style>
  <w:style w:type="character" w:customStyle="1" w:styleId="hps">
    <w:name w:val="hps"/>
    <w:basedOn w:val="DefaultParagraphFont"/>
    <w:rsid w:val="002637BC"/>
  </w:style>
  <w:style w:type="paragraph" w:styleId="PlainText">
    <w:name w:val="Plain Text"/>
    <w:basedOn w:val="Normal"/>
    <w:link w:val="PlainTextChar"/>
    <w:uiPriority w:val="99"/>
    <w:unhideWhenUsed/>
    <w:rsid w:val="00F37B7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rPr>
  </w:style>
  <w:style w:type="character" w:customStyle="1" w:styleId="PlainTextChar">
    <w:name w:val="Plain Text Char"/>
    <w:basedOn w:val="DefaultParagraphFont"/>
    <w:link w:val="PlainText"/>
    <w:uiPriority w:val="99"/>
    <w:rsid w:val="00F37B77"/>
    <w:rPr>
      <w:rFonts w:ascii="Calibri" w:eastAsiaTheme="minorEastAsia" w:hAnsi="Calibri"/>
      <w:sz w:val="22"/>
      <w:szCs w:val="22"/>
      <w:lang w:eastAsia="en-US"/>
    </w:rPr>
  </w:style>
  <w:style w:type="character" w:styleId="CommentReference">
    <w:name w:val="annotation reference"/>
    <w:basedOn w:val="DefaultParagraphFont"/>
    <w:semiHidden/>
    <w:unhideWhenUsed/>
    <w:rsid w:val="00744F50"/>
    <w:rPr>
      <w:sz w:val="16"/>
      <w:szCs w:val="16"/>
    </w:rPr>
  </w:style>
  <w:style w:type="paragraph" w:styleId="CommentText">
    <w:name w:val="annotation text"/>
    <w:basedOn w:val="Normal"/>
    <w:link w:val="CommentTextChar"/>
    <w:semiHidden/>
    <w:unhideWhenUsed/>
    <w:rsid w:val="00744F50"/>
    <w:rPr>
      <w:sz w:val="20"/>
    </w:rPr>
  </w:style>
  <w:style w:type="character" w:customStyle="1" w:styleId="CommentTextChar">
    <w:name w:val="Comment Text Char"/>
    <w:basedOn w:val="DefaultParagraphFont"/>
    <w:link w:val="CommentText"/>
    <w:semiHidden/>
    <w:rsid w:val="00744F5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44F50"/>
    <w:rPr>
      <w:b/>
      <w:bCs/>
    </w:rPr>
  </w:style>
  <w:style w:type="character" w:customStyle="1" w:styleId="CommentSubjectChar">
    <w:name w:val="Comment Subject Char"/>
    <w:basedOn w:val="CommentTextChar"/>
    <w:link w:val="CommentSubject"/>
    <w:semiHidden/>
    <w:rsid w:val="00744F50"/>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171FB0"/>
    <w:rPr>
      <w:color w:val="605E5C"/>
      <w:shd w:val="clear" w:color="auto" w:fill="E1DFDD"/>
    </w:rPr>
  </w:style>
  <w:style w:type="character" w:customStyle="1" w:styleId="UnresolvedMention2">
    <w:name w:val="Unresolved Mention2"/>
    <w:basedOn w:val="DefaultParagraphFont"/>
    <w:uiPriority w:val="99"/>
    <w:semiHidden/>
    <w:unhideWhenUsed/>
    <w:rsid w:val="00D24FC9"/>
    <w:rPr>
      <w:color w:val="605E5C"/>
      <w:shd w:val="clear" w:color="auto" w:fill="E1DFDD"/>
    </w:rPr>
  </w:style>
  <w:style w:type="character" w:styleId="UnresolvedMention">
    <w:name w:val="Unresolved Mention"/>
    <w:basedOn w:val="DefaultParagraphFont"/>
    <w:uiPriority w:val="99"/>
    <w:semiHidden/>
    <w:unhideWhenUsed/>
    <w:rsid w:val="00E7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4986">
      <w:bodyDiv w:val="1"/>
      <w:marLeft w:val="0"/>
      <w:marRight w:val="0"/>
      <w:marTop w:val="0"/>
      <w:marBottom w:val="0"/>
      <w:divBdr>
        <w:top w:val="none" w:sz="0" w:space="0" w:color="auto"/>
        <w:left w:val="none" w:sz="0" w:space="0" w:color="auto"/>
        <w:bottom w:val="none" w:sz="0" w:space="0" w:color="auto"/>
        <w:right w:val="none" w:sz="0" w:space="0" w:color="auto"/>
      </w:divBdr>
    </w:div>
    <w:div w:id="615873086">
      <w:bodyDiv w:val="1"/>
      <w:marLeft w:val="0"/>
      <w:marRight w:val="0"/>
      <w:marTop w:val="0"/>
      <w:marBottom w:val="0"/>
      <w:divBdr>
        <w:top w:val="none" w:sz="0" w:space="0" w:color="auto"/>
        <w:left w:val="none" w:sz="0" w:space="0" w:color="auto"/>
        <w:bottom w:val="none" w:sz="0" w:space="0" w:color="auto"/>
        <w:right w:val="none" w:sz="0" w:space="0" w:color="auto"/>
      </w:divBdr>
    </w:div>
    <w:div w:id="1045255082">
      <w:bodyDiv w:val="1"/>
      <w:marLeft w:val="0"/>
      <w:marRight w:val="0"/>
      <w:marTop w:val="0"/>
      <w:marBottom w:val="0"/>
      <w:divBdr>
        <w:top w:val="none" w:sz="0" w:space="0" w:color="auto"/>
        <w:left w:val="none" w:sz="0" w:space="0" w:color="auto"/>
        <w:bottom w:val="none" w:sz="0" w:space="0" w:color="auto"/>
        <w:right w:val="none" w:sz="0" w:space="0" w:color="auto"/>
      </w:divBdr>
    </w:div>
    <w:div w:id="1401098970">
      <w:bodyDiv w:val="1"/>
      <w:marLeft w:val="0"/>
      <w:marRight w:val="0"/>
      <w:marTop w:val="0"/>
      <w:marBottom w:val="0"/>
      <w:divBdr>
        <w:top w:val="none" w:sz="0" w:space="0" w:color="auto"/>
        <w:left w:val="none" w:sz="0" w:space="0" w:color="auto"/>
        <w:bottom w:val="none" w:sz="0" w:space="0" w:color="auto"/>
        <w:right w:val="none" w:sz="0" w:space="0" w:color="auto"/>
      </w:divBdr>
    </w:div>
    <w:div w:id="1420054754">
      <w:bodyDiv w:val="1"/>
      <w:marLeft w:val="0"/>
      <w:marRight w:val="0"/>
      <w:marTop w:val="0"/>
      <w:marBottom w:val="0"/>
      <w:divBdr>
        <w:top w:val="none" w:sz="0" w:space="0" w:color="auto"/>
        <w:left w:val="none" w:sz="0" w:space="0" w:color="auto"/>
        <w:bottom w:val="none" w:sz="0" w:space="0" w:color="auto"/>
        <w:right w:val="none" w:sz="0" w:space="0" w:color="auto"/>
      </w:divBdr>
    </w:div>
    <w:div w:id="1481314146">
      <w:bodyDiv w:val="1"/>
      <w:marLeft w:val="0"/>
      <w:marRight w:val="0"/>
      <w:marTop w:val="0"/>
      <w:marBottom w:val="0"/>
      <w:divBdr>
        <w:top w:val="none" w:sz="0" w:space="0" w:color="auto"/>
        <w:left w:val="none" w:sz="0" w:space="0" w:color="auto"/>
        <w:bottom w:val="none" w:sz="0" w:space="0" w:color="auto"/>
        <w:right w:val="none" w:sz="0" w:space="0" w:color="auto"/>
      </w:divBdr>
    </w:div>
    <w:div w:id="1578512655">
      <w:bodyDiv w:val="1"/>
      <w:marLeft w:val="0"/>
      <w:marRight w:val="0"/>
      <w:marTop w:val="0"/>
      <w:marBottom w:val="0"/>
      <w:divBdr>
        <w:top w:val="none" w:sz="0" w:space="0" w:color="auto"/>
        <w:left w:val="none" w:sz="0" w:space="0" w:color="auto"/>
        <w:bottom w:val="none" w:sz="0" w:space="0" w:color="auto"/>
        <w:right w:val="none" w:sz="0" w:space="0" w:color="auto"/>
      </w:divBdr>
    </w:div>
    <w:div w:id="1626279201">
      <w:bodyDiv w:val="1"/>
      <w:marLeft w:val="0"/>
      <w:marRight w:val="0"/>
      <w:marTop w:val="0"/>
      <w:marBottom w:val="0"/>
      <w:divBdr>
        <w:top w:val="none" w:sz="0" w:space="0" w:color="auto"/>
        <w:left w:val="none" w:sz="0" w:space="0" w:color="auto"/>
        <w:bottom w:val="none" w:sz="0" w:space="0" w:color="auto"/>
        <w:right w:val="none" w:sz="0" w:space="0" w:color="auto"/>
      </w:divBdr>
    </w:div>
    <w:div w:id="2049989845">
      <w:bodyDiv w:val="1"/>
      <w:marLeft w:val="0"/>
      <w:marRight w:val="0"/>
      <w:marTop w:val="0"/>
      <w:marBottom w:val="0"/>
      <w:divBdr>
        <w:top w:val="none" w:sz="0" w:space="0" w:color="auto"/>
        <w:left w:val="none" w:sz="0" w:space="0" w:color="auto"/>
        <w:bottom w:val="none" w:sz="0" w:space="0" w:color="auto"/>
        <w:right w:val="none" w:sz="0" w:space="0" w:color="auto"/>
      </w:divBdr>
    </w:div>
    <w:div w:id="2096316436">
      <w:bodyDiv w:val="1"/>
      <w:marLeft w:val="0"/>
      <w:marRight w:val="0"/>
      <w:marTop w:val="0"/>
      <w:marBottom w:val="0"/>
      <w:divBdr>
        <w:top w:val="none" w:sz="0" w:space="0" w:color="auto"/>
        <w:left w:val="none" w:sz="0" w:space="0" w:color="auto"/>
        <w:bottom w:val="none" w:sz="0" w:space="0" w:color="auto"/>
        <w:right w:val="none" w:sz="0" w:space="0" w:color="auto"/>
      </w:divBdr>
    </w:div>
    <w:div w:id="20979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134/en" TargetMode="External"/><Relationship Id="rId18" Type="http://schemas.openxmlformats.org/officeDocument/2006/relationships/hyperlink" Target="https://www.itu.int/md/S19-CL-C-0120/en" TargetMode="External"/><Relationship Id="rId26" Type="http://schemas.openxmlformats.org/officeDocument/2006/relationships/hyperlink" Target="https://www.itu.int/md/T17-SG02-210531-TD-GEN-1446" TargetMode="External"/><Relationship Id="rId3" Type="http://schemas.openxmlformats.org/officeDocument/2006/relationships/customXml" Target="../customXml/item3.xml"/><Relationship Id="rId21" Type="http://schemas.openxmlformats.org/officeDocument/2006/relationships/hyperlink" Target="https://www.itu.int/md/T17-SG02-210531-TD-GEN-1446" TargetMode="External"/><Relationship Id="rId7" Type="http://schemas.openxmlformats.org/officeDocument/2006/relationships/settings" Target="settings.xml"/><Relationship Id="rId12" Type="http://schemas.openxmlformats.org/officeDocument/2006/relationships/hyperlink" Target="https://www.itu.int/md/S17-CL-C-0133/en" TargetMode="External"/><Relationship Id="rId17" Type="http://schemas.openxmlformats.org/officeDocument/2006/relationships/hyperlink" Target="https://www.itu.int/md/S19-CL-C-0047/en" TargetMode="External"/><Relationship Id="rId25" Type="http://schemas.openxmlformats.org/officeDocument/2006/relationships/hyperlink" Target="https://www.itu.int/md/T17-SG02-210531-TD-GEN-1446" TargetMode="External"/><Relationship Id="rId2" Type="http://schemas.openxmlformats.org/officeDocument/2006/relationships/customXml" Target="../customXml/item2.xml"/><Relationship Id="rId16" Type="http://schemas.openxmlformats.org/officeDocument/2006/relationships/hyperlink" Target="https://www.itu.int/md/S19-CLCWGFHR09-C-0015/en" TargetMode="External"/><Relationship Id="rId20" Type="http://schemas.openxmlformats.org/officeDocument/2006/relationships/hyperlink" Target="https://www.itu.int/md/S21-CL-C-0047/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T17-SG02-210531-TD-GEN-1446" TargetMode="External"/><Relationship Id="rId5" Type="http://schemas.openxmlformats.org/officeDocument/2006/relationships/numbering" Target="numbering.xml"/><Relationship Id="rId15" Type="http://schemas.openxmlformats.org/officeDocument/2006/relationships/hyperlink" Target="https://www.itu.int/md/S19-CLCWGFHR09-C-0014/en" TargetMode="External"/><Relationship Id="rId23" Type="http://schemas.openxmlformats.org/officeDocument/2006/relationships/hyperlink" Target="https://www.itu.int/md/T17-SG02-210531-TD-GEN-1363/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0-CL-C-0047/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8-CL-C-0100/en" TargetMode="External"/><Relationship Id="rId22" Type="http://schemas.openxmlformats.org/officeDocument/2006/relationships/hyperlink" Target="https://www.itu.int/en/ITU-T/inr/forms/Pages/iin.aspx" TargetMode="External"/><Relationship Id="rId27" Type="http://schemas.openxmlformats.org/officeDocument/2006/relationships/hyperlink" Target="https://www.itu.int/md/T17-SG02-210531-TD-GEN-144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486DB-D34D-4E4D-A5F8-9693FEDBF3FA}">
  <ds:schemaRefs>
    <ds:schemaRef ds:uri="http://schemas.openxmlformats.org/officeDocument/2006/bibliography"/>
  </ds:schemaRefs>
</ds:datastoreItem>
</file>

<file path=customXml/itemProps4.xml><?xml version="1.0" encoding="utf-8"?>
<ds:datastoreItem xmlns:ds="http://schemas.openxmlformats.org/officeDocument/2006/customXml" ds:itemID="{FE57B879-BAF4-4E2A-A8E4-5D46110D7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5</Pages>
  <Words>1484</Words>
  <Characters>9390</Characters>
  <Application>Microsoft Office Word</Application>
  <DocSecurity>4</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CWG-FHR Agenda</vt:lpstr>
      <vt:lpstr>CWG-FHR Agenda</vt:lpstr>
    </vt:vector>
  </TitlesOfParts>
  <Manager>General Secretariat - Pool</Manager>
  <Company>International Telecommunication Union (ITU)</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Agenda</dc:title>
  <dc:subject>Council Working Group</dc:subject>
  <dc:creator>Brouard, Ricarda</dc:creator>
  <cp:keywords>C2015, C15</cp:keywords>
  <cp:lastModifiedBy>Brouard, Ricarda</cp:lastModifiedBy>
  <cp:revision>2</cp:revision>
  <cp:lastPrinted>2019-12-10T11:09:00Z</cp:lastPrinted>
  <dcterms:created xsi:type="dcterms:W3CDTF">2021-07-28T09:57:00Z</dcterms:created>
  <dcterms:modified xsi:type="dcterms:W3CDTF">2021-07-28T09:57:00Z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