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D24B45" w:rsidRPr="00D1337B" w14:paraId="6FD9D40F" w14:textId="77777777" w:rsidTr="00040C56">
        <w:trPr>
          <w:cantSplit/>
        </w:trPr>
        <w:tc>
          <w:tcPr>
            <w:tcW w:w="6521" w:type="dxa"/>
          </w:tcPr>
          <w:p w14:paraId="1F617D9F" w14:textId="77777777" w:rsidR="00D24B45" w:rsidRPr="00D1337B" w:rsidRDefault="00D24B45" w:rsidP="006328A3">
            <w:pPr>
              <w:tabs>
                <w:tab w:val="left" w:pos="5222"/>
              </w:tabs>
              <w:spacing w:before="240" w:after="48"/>
              <w:rPr>
                <w:b/>
                <w:position w:val="6"/>
                <w:sz w:val="30"/>
                <w:szCs w:val="30"/>
              </w:rPr>
            </w:pPr>
            <w:r w:rsidRPr="00D1337B">
              <w:rPr>
                <w:b/>
                <w:position w:val="6"/>
                <w:sz w:val="30"/>
                <w:szCs w:val="30"/>
              </w:rPr>
              <w:t xml:space="preserve">Council Working Group on </w:t>
            </w:r>
            <w:r w:rsidRPr="00D1337B">
              <w:rPr>
                <w:b/>
                <w:position w:val="6"/>
                <w:sz w:val="30"/>
                <w:szCs w:val="30"/>
              </w:rPr>
              <w:br/>
              <w:t>Financial and Human Resources</w:t>
            </w:r>
          </w:p>
          <w:p w14:paraId="7A1D1267" w14:textId="77777777" w:rsidR="00D24B45" w:rsidRPr="00D1337B" w:rsidRDefault="00D24B45" w:rsidP="00040C56">
            <w:pPr>
              <w:spacing w:after="120"/>
              <w:rPr>
                <w:b/>
                <w:position w:val="6"/>
                <w:sz w:val="26"/>
                <w:szCs w:val="26"/>
              </w:rPr>
            </w:pPr>
            <w:r w:rsidRPr="00D1337B">
              <w:rPr>
                <w:rFonts w:cs="Times New Roman Bold"/>
                <w:b/>
              </w:rPr>
              <w:t>T</w:t>
            </w:r>
            <w:r>
              <w:rPr>
                <w:rFonts w:cs="Times New Roman Bold"/>
                <w:b/>
              </w:rPr>
              <w:t xml:space="preserve">hirteenth </w:t>
            </w:r>
            <w:r w:rsidRPr="00D1337B">
              <w:rPr>
                <w:rFonts w:cs="Times New Roman Bold"/>
                <w:b/>
              </w:rPr>
              <w:t xml:space="preserve">meeting </w:t>
            </w:r>
            <w:r w:rsidRPr="00D1337B">
              <w:rPr>
                <w:rFonts w:eastAsia="Calibri" w:cs="Calibri"/>
                <w:b/>
                <w:color w:val="000000"/>
              </w:rPr>
              <w:t>–</w:t>
            </w:r>
            <w:r w:rsidRPr="00D1337B">
              <w:rPr>
                <w:rFonts w:cs="Times New Roman Bold"/>
                <w:b/>
              </w:rPr>
              <w:t xml:space="preserve"> Virtual, </w:t>
            </w:r>
            <w:r>
              <w:rPr>
                <w:rFonts w:cs="Times New Roman Bold"/>
                <w:b/>
              </w:rPr>
              <w:t>3 June 2021</w:t>
            </w:r>
          </w:p>
        </w:tc>
        <w:tc>
          <w:tcPr>
            <w:tcW w:w="3793" w:type="dxa"/>
          </w:tcPr>
          <w:p w14:paraId="4857EADC" w14:textId="77777777" w:rsidR="00D24B45" w:rsidRPr="00D1337B" w:rsidRDefault="00D24B45" w:rsidP="00040C56">
            <w:pPr>
              <w:spacing w:line="240" w:lineRule="atLeast"/>
            </w:pPr>
            <w:bookmarkStart w:id="0" w:name="ditulogo"/>
            <w:bookmarkEnd w:id="0"/>
            <w:r w:rsidRPr="00D1337B">
              <w:rPr>
                <w:rFonts w:ascii="Times New Roman" w:hAnsi="Times New Roman"/>
                <w:noProof/>
                <w:lang w:val="de-DE" w:eastAsia="de-DE"/>
              </w:rPr>
              <w:drawing>
                <wp:inline distT="0" distB="0" distL="0" distR="0" wp14:anchorId="594EAAF9" wp14:editId="3A01FA88">
                  <wp:extent cx="682417" cy="720000"/>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D24B45" w:rsidRPr="00D1337B" w14:paraId="6DCEB6F5" w14:textId="77777777" w:rsidTr="00040C56">
        <w:trPr>
          <w:cantSplit/>
        </w:trPr>
        <w:tc>
          <w:tcPr>
            <w:tcW w:w="6521" w:type="dxa"/>
            <w:tcBorders>
              <w:top w:val="single" w:sz="12" w:space="0" w:color="auto"/>
            </w:tcBorders>
          </w:tcPr>
          <w:p w14:paraId="12A930FF" w14:textId="77777777" w:rsidR="00D24B45" w:rsidRPr="00D1337B" w:rsidRDefault="00D24B45" w:rsidP="00040C56">
            <w:pPr>
              <w:snapToGrid w:val="0"/>
              <w:rPr>
                <w:b/>
                <w:smallCaps/>
              </w:rPr>
            </w:pPr>
          </w:p>
        </w:tc>
        <w:tc>
          <w:tcPr>
            <w:tcW w:w="3793" w:type="dxa"/>
            <w:tcBorders>
              <w:top w:val="single" w:sz="12" w:space="0" w:color="auto"/>
            </w:tcBorders>
          </w:tcPr>
          <w:p w14:paraId="7FC96FB0" w14:textId="77777777" w:rsidR="00D24B45" w:rsidRPr="00D1337B" w:rsidRDefault="00D24B45" w:rsidP="00040C56">
            <w:pPr>
              <w:snapToGrid w:val="0"/>
              <w:ind w:left="209"/>
              <w:rPr>
                <w:rFonts w:ascii="Verdana" w:hAnsi="Verdana"/>
              </w:rPr>
            </w:pPr>
          </w:p>
        </w:tc>
      </w:tr>
      <w:tr w:rsidR="00D24B45" w:rsidRPr="00D1337B" w14:paraId="529A894C" w14:textId="77777777" w:rsidTr="00040C56">
        <w:trPr>
          <w:cantSplit/>
          <w:trHeight w:val="23"/>
        </w:trPr>
        <w:tc>
          <w:tcPr>
            <w:tcW w:w="6521" w:type="dxa"/>
            <w:vMerge w:val="restart"/>
          </w:tcPr>
          <w:p w14:paraId="2E4DD74E" w14:textId="77777777" w:rsidR="00D24B45" w:rsidRPr="00D1337B" w:rsidRDefault="00D24B45" w:rsidP="00040C56">
            <w:pPr>
              <w:snapToGrid w:val="0"/>
              <w:spacing w:before="0"/>
              <w:rPr>
                <w:b/>
              </w:rPr>
            </w:pPr>
            <w:bookmarkStart w:id="1" w:name="dmeeting" w:colFirst="0" w:colLast="0"/>
            <w:bookmarkStart w:id="2" w:name="dnum" w:colFirst="1" w:colLast="1"/>
          </w:p>
        </w:tc>
        <w:tc>
          <w:tcPr>
            <w:tcW w:w="3793" w:type="dxa"/>
          </w:tcPr>
          <w:p w14:paraId="0EDAAD00" w14:textId="306CBF17" w:rsidR="00E81E05" w:rsidRDefault="00E81E05" w:rsidP="00040C56">
            <w:pPr>
              <w:snapToGrid w:val="0"/>
              <w:spacing w:before="0"/>
              <w:ind w:left="57"/>
              <w:rPr>
                <w:rFonts w:cs="Times New Roman Bold"/>
                <w:b/>
                <w:spacing w:val="-4"/>
              </w:rPr>
            </w:pPr>
            <w:r>
              <w:rPr>
                <w:rFonts w:cs="Times New Roman Bold"/>
                <w:b/>
                <w:spacing w:val="-4"/>
              </w:rPr>
              <w:t xml:space="preserve">Annex 1 to </w:t>
            </w:r>
          </w:p>
          <w:p w14:paraId="7B49A060" w14:textId="293A1385" w:rsidR="00D24B45" w:rsidRPr="00D1337B" w:rsidRDefault="00D24B45" w:rsidP="00040C56">
            <w:pPr>
              <w:snapToGrid w:val="0"/>
              <w:spacing w:before="0"/>
              <w:ind w:left="57"/>
              <w:rPr>
                <w:rFonts w:cs="Times New Roman Bold"/>
                <w:b/>
                <w:spacing w:val="-4"/>
              </w:rPr>
            </w:pPr>
            <w:r w:rsidRPr="00D1337B">
              <w:rPr>
                <w:rFonts w:cs="Times New Roman Bold"/>
                <w:b/>
                <w:spacing w:val="-4"/>
              </w:rPr>
              <w:t>Document CWG-FHR 1</w:t>
            </w:r>
            <w:r>
              <w:rPr>
                <w:rFonts w:cs="Times New Roman Bold"/>
                <w:b/>
                <w:spacing w:val="-4"/>
              </w:rPr>
              <w:t>3</w:t>
            </w:r>
            <w:r w:rsidRPr="00D1337B">
              <w:rPr>
                <w:rFonts w:cs="Times New Roman Bold"/>
                <w:b/>
                <w:spacing w:val="-4"/>
              </w:rPr>
              <w:t>/</w:t>
            </w:r>
            <w:r w:rsidR="00E81E05">
              <w:rPr>
                <w:rFonts w:cs="Times New Roman Bold"/>
                <w:b/>
                <w:spacing w:val="-4"/>
              </w:rPr>
              <w:t>2</w:t>
            </w:r>
          </w:p>
        </w:tc>
      </w:tr>
      <w:tr w:rsidR="00D24B45" w:rsidRPr="00D1337B" w14:paraId="11603F9B" w14:textId="77777777" w:rsidTr="00040C56">
        <w:trPr>
          <w:cantSplit/>
          <w:trHeight w:val="23"/>
        </w:trPr>
        <w:tc>
          <w:tcPr>
            <w:tcW w:w="6521" w:type="dxa"/>
            <w:vMerge/>
          </w:tcPr>
          <w:p w14:paraId="0D91FD5B" w14:textId="77777777" w:rsidR="00D24B45" w:rsidRPr="00D1337B" w:rsidRDefault="00D24B45" w:rsidP="00040C56">
            <w:pPr>
              <w:snapToGrid w:val="0"/>
              <w:spacing w:before="0"/>
              <w:rPr>
                <w:b/>
              </w:rPr>
            </w:pPr>
            <w:bookmarkStart w:id="3" w:name="ddate" w:colFirst="1" w:colLast="1"/>
            <w:bookmarkEnd w:id="1"/>
            <w:bookmarkEnd w:id="2"/>
          </w:p>
        </w:tc>
        <w:tc>
          <w:tcPr>
            <w:tcW w:w="3793" w:type="dxa"/>
          </w:tcPr>
          <w:p w14:paraId="34B1503F" w14:textId="3E684D6C" w:rsidR="00D24B45" w:rsidRPr="00D1337B" w:rsidRDefault="00D24B45" w:rsidP="00040C56">
            <w:pPr>
              <w:snapToGrid w:val="0"/>
              <w:spacing w:before="0"/>
              <w:ind w:left="57"/>
              <w:rPr>
                <w:b/>
              </w:rPr>
            </w:pPr>
            <w:r>
              <w:rPr>
                <w:b/>
              </w:rPr>
              <w:t>2</w:t>
            </w:r>
            <w:r w:rsidR="00E81E05">
              <w:rPr>
                <w:b/>
              </w:rPr>
              <w:t>6</w:t>
            </w:r>
            <w:r>
              <w:rPr>
                <w:b/>
              </w:rPr>
              <w:t xml:space="preserve"> May 2021</w:t>
            </w:r>
          </w:p>
        </w:tc>
      </w:tr>
      <w:tr w:rsidR="00D24B45" w:rsidRPr="00D1337B" w14:paraId="4954E7D5" w14:textId="77777777" w:rsidTr="00040C56">
        <w:trPr>
          <w:cantSplit/>
          <w:trHeight w:val="80"/>
        </w:trPr>
        <w:tc>
          <w:tcPr>
            <w:tcW w:w="6521" w:type="dxa"/>
            <w:vMerge/>
          </w:tcPr>
          <w:p w14:paraId="3474D20F" w14:textId="77777777" w:rsidR="00D24B45" w:rsidRPr="00D1337B" w:rsidRDefault="00D24B45" w:rsidP="00040C56">
            <w:pPr>
              <w:snapToGrid w:val="0"/>
              <w:spacing w:before="0"/>
              <w:rPr>
                <w:b/>
              </w:rPr>
            </w:pPr>
            <w:bookmarkStart w:id="4" w:name="dorlang" w:colFirst="1" w:colLast="1"/>
            <w:bookmarkEnd w:id="3"/>
          </w:p>
        </w:tc>
        <w:tc>
          <w:tcPr>
            <w:tcW w:w="3793" w:type="dxa"/>
          </w:tcPr>
          <w:p w14:paraId="00AB5E7F" w14:textId="77777777" w:rsidR="00D24B45" w:rsidRPr="00D1337B" w:rsidRDefault="00D24B45" w:rsidP="00040C56">
            <w:pPr>
              <w:snapToGrid w:val="0"/>
              <w:spacing w:before="0"/>
              <w:ind w:left="57"/>
              <w:rPr>
                <w:b/>
              </w:rPr>
            </w:pPr>
            <w:r w:rsidRPr="00D1337B">
              <w:rPr>
                <w:b/>
              </w:rPr>
              <w:t>English only</w:t>
            </w:r>
          </w:p>
        </w:tc>
      </w:tr>
      <w:bookmarkEnd w:id="4"/>
    </w:tbl>
    <w:p w14:paraId="20E0D014" w14:textId="77777777" w:rsidR="00D24B45" w:rsidRDefault="00D24B45" w:rsidP="00D24B45">
      <w:pPr>
        <w:spacing w:before="0"/>
      </w:pPr>
    </w:p>
    <w:p w14:paraId="6D26F3DD" w14:textId="271DA300" w:rsidR="00D24B45" w:rsidRPr="006328A3" w:rsidRDefault="00D24B45" w:rsidP="00D24B45">
      <w:pPr>
        <w:jc w:val="center"/>
        <w:rPr>
          <w:b/>
          <w:bCs/>
          <w:sz w:val="28"/>
          <w:szCs w:val="28"/>
        </w:rPr>
      </w:pPr>
      <w:r w:rsidRPr="006328A3">
        <w:rPr>
          <w:b/>
          <w:bCs/>
          <w:sz w:val="28"/>
          <w:szCs w:val="28"/>
        </w:rPr>
        <w:t>Report of the Ad Hoc Group of CWG-FHR on ITU Regional Presence</w:t>
      </w:r>
    </w:p>
    <w:p w14:paraId="31609D23" w14:textId="346779D2" w:rsidR="00D24B45" w:rsidRPr="006328A3" w:rsidRDefault="00D24B45" w:rsidP="00D24B45">
      <w:pPr>
        <w:jc w:val="center"/>
        <w:rPr>
          <w:caps/>
          <w:sz w:val="28"/>
          <w:szCs w:val="28"/>
        </w:rPr>
      </w:pPr>
      <w:r w:rsidRPr="006328A3">
        <w:rPr>
          <w:caps/>
          <w:sz w:val="28"/>
          <w:szCs w:val="28"/>
        </w:rPr>
        <w:t>ANNEX 1 – secretariat reponses to member contributions</w:t>
      </w:r>
    </w:p>
    <w:p w14:paraId="58FE194E" w14:textId="77777777" w:rsidR="00D24B45" w:rsidRPr="00813E5E" w:rsidRDefault="00D24B45"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813E5E" w:rsidRDefault="002A2188" w:rsidP="00464B6C">
            <w:pPr>
              <w:pStyle w:val="Headingb"/>
            </w:pPr>
            <w:r w:rsidRPr="00813E5E">
              <w:t>Summary</w:t>
            </w:r>
          </w:p>
          <w:p w14:paraId="7B67BAF0" w14:textId="6DD1B777" w:rsidR="00957CEF" w:rsidRDefault="00957CEF" w:rsidP="00852C43">
            <w:pPr>
              <w:spacing w:before="240"/>
              <w:jc w:val="both"/>
              <w:rPr>
                <w:rFonts w:asciiTheme="minorHAnsi" w:hAnsiTheme="minorHAnsi" w:cstheme="minorHAnsi"/>
              </w:rPr>
            </w:pPr>
            <w:r>
              <w:rPr>
                <w:rFonts w:asciiTheme="minorHAnsi" w:hAnsiTheme="minorHAnsi" w:cstheme="minorHAnsi"/>
                <w:color w:val="000000"/>
              </w:rPr>
              <w:t>In</w:t>
            </w:r>
            <w:r w:rsidR="00F2418A">
              <w:rPr>
                <w:rFonts w:asciiTheme="minorHAnsi" w:hAnsiTheme="minorHAnsi" w:cstheme="minorHAnsi"/>
                <w:color w:val="000000"/>
              </w:rPr>
              <w:t xml:space="preserve"> the Report of the Ad Hoc Group </w:t>
            </w:r>
            <w:r w:rsidR="0017760A">
              <w:rPr>
                <w:rFonts w:asciiTheme="minorHAnsi" w:hAnsiTheme="minorHAnsi" w:cstheme="minorHAnsi"/>
                <w:color w:val="000000"/>
              </w:rPr>
              <w:t>on ITU Regional Presence</w:t>
            </w:r>
            <w:r>
              <w:rPr>
                <w:rFonts w:asciiTheme="minorHAnsi" w:hAnsiTheme="minorHAnsi" w:cstheme="minorHAnsi"/>
                <w:color w:val="000000"/>
              </w:rPr>
              <w:t>, the Ad Hoc Group requested that the Secretariat provide r</w:t>
            </w:r>
            <w:r w:rsidRPr="00957CEF">
              <w:rPr>
                <w:rFonts w:asciiTheme="minorHAnsi" w:hAnsiTheme="minorHAnsi" w:cstheme="minorHAnsi"/>
              </w:rPr>
              <w:t>esponses by the Secretariat to the specific requests contained in the contributions by Switzerland and Australia</w:t>
            </w:r>
            <w:r>
              <w:rPr>
                <w:rFonts w:asciiTheme="minorHAnsi" w:hAnsiTheme="minorHAnsi" w:cstheme="minorHAnsi"/>
              </w:rPr>
              <w:t>.</w:t>
            </w:r>
          </w:p>
          <w:p w14:paraId="145DFE4B" w14:textId="77777777" w:rsidR="002A2188" w:rsidRPr="00813E5E" w:rsidRDefault="002A2188" w:rsidP="00852C43">
            <w:pPr>
              <w:pStyle w:val="Headingb"/>
              <w:jc w:val="both"/>
            </w:pPr>
            <w:r w:rsidRPr="00813E5E">
              <w:t xml:space="preserve">Action </w:t>
            </w:r>
            <w:proofErr w:type="gramStart"/>
            <w:r w:rsidRPr="00813E5E">
              <w:t>required</w:t>
            </w:r>
            <w:proofErr w:type="gramEnd"/>
          </w:p>
          <w:p w14:paraId="74F1525E" w14:textId="644410C9" w:rsidR="002A2188" w:rsidRPr="00813E5E" w:rsidRDefault="00F2418A" w:rsidP="00852C43">
            <w:pPr>
              <w:jc w:val="both"/>
            </w:pPr>
            <w:r w:rsidRPr="007A217D">
              <w:t xml:space="preserve">CWG-FHR is invited to </w:t>
            </w:r>
            <w:r w:rsidR="00957CEF" w:rsidRPr="007A217D">
              <w:t>note</w:t>
            </w:r>
            <w:r w:rsidRPr="007A217D">
              <w:t xml:space="preserve"> this </w:t>
            </w:r>
            <w:r w:rsidR="00CF0154" w:rsidRPr="007A217D">
              <w:t xml:space="preserve">Annex 1 to the </w:t>
            </w:r>
            <w:r w:rsidRPr="007A217D">
              <w:t>Report</w:t>
            </w:r>
            <w:r w:rsidR="009677B4" w:rsidRPr="007A217D">
              <w:t>.</w:t>
            </w:r>
          </w:p>
          <w:p w14:paraId="68F1D928"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2124BADC" w14:textId="77777777" w:rsidR="002A2188" w:rsidRPr="00813E5E" w:rsidRDefault="002A2188" w:rsidP="00464B6C">
            <w:pPr>
              <w:pStyle w:val="Headingb"/>
            </w:pPr>
            <w:r w:rsidRPr="00813E5E">
              <w:t>References</w:t>
            </w:r>
          </w:p>
          <w:p w14:paraId="2E0343C9" w14:textId="77777777" w:rsidR="002A2188" w:rsidRPr="00813E5E" w:rsidRDefault="002A2188" w:rsidP="00CF0154">
            <w:pPr>
              <w:rPr>
                <w:i/>
                <w:iCs/>
              </w:rPr>
            </w:pPr>
          </w:p>
        </w:tc>
      </w:tr>
    </w:tbl>
    <w:p w14:paraId="5D7E80AD" w14:textId="77777777" w:rsidR="00264425" w:rsidRDefault="00264425" w:rsidP="00DB384B">
      <w:pPr>
        <w:rPr>
          <w:lang w:val="en-US"/>
        </w:rPr>
      </w:pPr>
      <w:bookmarkStart w:id="5" w:name="dstart"/>
      <w:bookmarkStart w:id="6" w:name="dbreak"/>
      <w:bookmarkEnd w:id="5"/>
      <w:bookmarkEnd w:id="6"/>
    </w:p>
    <w:p w14:paraId="591B451D"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BFD1BD3" w14:textId="30FF93ED" w:rsidR="00C733C6" w:rsidRDefault="00386B70" w:rsidP="0011572C">
      <w:pPr>
        <w:pStyle w:val="Heading1"/>
        <w:numPr>
          <w:ilvl w:val="0"/>
          <w:numId w:val="2"/>
        </w:numPr>
        <w:spacing w:line="360" w:lineRule="auto"/>
        <w:rPr>
          <w:lang w:val="en-US"/>
        </w:rPr>
      </w:pPr>
      <w:r>
        <w:rPr>
          <w:lang w:val="en-US"/>
        </w:rPr>
        <w:lastRenderedPageBreak/>
        <w:t>Contribution by Switzerland</w:t>
      </w:r>
    </w:p>
    <w:p w14:paraId="19030734" w14:textId="17D5B99E" w:rsidR="00096518" w:rsidRPr="00EB6896" w:rsidRDefault="00096518" w:rsidP="0011572C">
      <w:pPr>
        <w:spacing w:after="120" w:line="360" w:lineRule="auto"/>
        <w:jc w:val="both"/>
        <w:rPr>
          <w:rFonts w:asciiTheme="minorHAnsi" w:hAnsiTheme="minorHAnsi" w:cstheme="minorHAnsi"/>
          <w:szCs w:val="24"/>
        </w:rPr>
      </w:pPr>
      <w:r w:rsidRPr="00EB6896">
        <w:rPr>
          <w:rFonts w:asciiTheme="minorHAnsi" w:hAnsiTheme="minorHAnsi" w:cstheme="minorHAnsi"/>
          <w:szCs w:val="24"/>
        </w:rPr>
        <w:t>Switzerland</w:t>
      </w:r>
      <w:r w:rsidR="002A710A" w:rsidRPr="00EB6896">
        <w:rPr>
          <w:rFonts w:asciiTheme="minorHAnsi" w:hAnsiTheme="minorHAnsi" w:cstheme="minorHAnsi"/>
          <w:szCs w:val="24"/>
        </w:rPr>
        <w:t xml:space="preserve">’s contribution </w:t>
      </w:r>
      <w:r w:rsidR="003E1FFC">
        <w:rPr>
          <w:rFonts w:asciiTheme="minorHAnsi" w:hAnsiTheme="minorHAnsi" w:cstheme="minorHAnsi"/>
          <w:szCs w:val="24"/>
        </w:rPr>
        <w:t>(</w:t>
      </w:r>
      <w:r w:rsidR="003E1FFC" w:rsidRPr="00B339D9">
        <w:rPr>
          <w:rFonts w:asciiTheme="minorHAnsi" w:hAnsiTheme="minorHAnsi" w:cstheme="minorHAnsi"/>
          <w:szCs w:val="24"/>
        </w:rPr>
        <w:t xml:space="preserve">document </w:t>
      </w:r>
      <w:hyperlink r:id="rId9" w:history="1">
        <w:r w:rsidR="003E1FFC" w:rsidRPr="00E333E7">
          <w:rPr>
            <w:rStyle w:val="Hyperlink"/>
            <w:rFonts w:eastAsia="Calibri" w:cs="Times New Roman Bold"/>
            <w:spacing w:val="-4"/>
            <w:szCs w:val="22"/>
            <w:lang w:val="de-CH"/>
          </w:rPr>
          <w:t>CWG-FHR-AH-RegPres-2/5</w:t>
        </w:r>
      </w:hyperlink>
      <w:r w:rsidR="003E1FFC">
        <w:rPr>
          <w:rFonts w:asciiTheme="minorHAnsi" w:hAnsiTheme="minorHAnsi" w:cstheme="minorHAnsi"/>
          <w:szCs w:val="24"/>
        </w:rPr>
        <w:t xml:space="preserve">) </w:t>
      </w:r>
      <w:r w:rsidR="002A710A" w:rsidRPr="00EB6896">
        <w:rPr>
          <w:rFonts w:asciiTheme="minorHAnsi" w:hAnsiTheme="minorHAnsi" w:cstheme="minorHAnsi"/>
          <w:szCs w:val="24"/>
        </w:rPr>
        <w:t>highlighted the following matters:</w:t>
      </w:r>
    </w:p>
    <w:p w14:paraId="101B066E" w14:textId="77777777" w:rsidR="000D3E78" w:rsidRPr="00B177AA" w:rsidRDefault="00096518" w:rsidP="0011572C">
      <w:pPr>
        <w:spacing w:after="120" w:line="360" w:lineRule="auto"/>
        <w:jc w:val="both"/>
        <w:rPr>
          <w:rFonts w:asciiTheme="minorHAnsi" w:hAnsiTheme="minorHAnsi" w:cstheme="minorHAnsi"/>
          <w:b/>
          <w:bCs/>
          <w:szCs w:val="24"/>
          <w:u w:val="single"/>
        </w:rPr>
      </w:pPr>
      <w:r w:rsidRPr="00B177AA">
        <w:rPr>
          <w:rFonts w:asciiTheme="minorHAnsi" w:hAnsiTheme="minorHAnsi" w:cstheme="minorHAnsi"/>
          <w:b/>
          <w:bCs/>
          <w:szCs w:val="24"/>
          <w:u w:val="single"/>
        </w:rPr>
        <w:t>Strategic Planning</w:t>
      </w:r>
    </w:p>
    <w:p w14:paraId="6C28DCF4" w14:textId="20126678" w:rsidR="00096518" w:rsidRPr="00B177AA" w:rsidRDefault="00E6565A" w:rsidP="0011572C">
      <w:pPr>
        <w:spacing w:after="120" w:line="360" w:lineRule="auto"/>
        <w:jc w:val="both"/>
        <w:rPr>
          <w:rFonts w:asciiTheme="minorHAnsi" w:hAnsiTheme="minorHAnsi" w:cstheme="minorHAnsi"/>
          <w:b/>
          <w:bCs/>
          <w:color w:val="1F497D" w:themeColor="text2"/>
          <w:spacing w:val="-4"/>
          <w:szCs w:val="24"/>
        </w:rPr>
      </w:pPr>
      <w:r w:rsidRPr="00B177AA">
        <w:rPr>
          <w:rFonts w:asciiTheme="minorHAnsi" w:hAnsiTheme="minorHAnsi" w:cstheme="minorHAnsi"/>
          <w:b/>
          <w:bCs/>
          <w:color w:val="1F497D" w:themeColor="text2"/>
          <w:szCs w:val="24"/>
        </w:rPr>
        <w:t>Switzerland</w:t>
      </w:r>
      <w:r w:rsidR="00B177AA" w:rsidRPr="00B177AA">
        <w:rPr>
          <w:rFonts w:asciiTheme="minorHAnsi" w:hAnsiTheme="minorHAnsi" w:cstheme="minorHAnsi"/>
          <w:b/>
          <w:bCs/>
          <w:color w:val="1F497D" w:themeColor="text2"/>
          <w:szCs w:val="24"/>
        </w:rPr>
        <w:t>: Switzerland</w:t>
      </w:r>
      <w:r w:rsidRPr="00B177AA">
        <w:rPr>
          <w:rFonts w:asciiTheme="minorHAnsi" w:hAnsiTheme="minorHAnsi" w:cstheme="minorHAnsi"/>
          <w:b/>
          <w:bCs/>
          <w:color w:val="1F497D" w:themeColor="text2"/>
          <w:szCs w:val="24"/>
        </w:rPr>
        <w:t xml:space="preserve"> notes that i</w:t>
      </w:r>
      <w:r w:rsidR="00096518" w:rsidRPr="00B177AA">
        <w:rPr>
          <w:rFonts w:asciiTheme="minorHAnsi" w:hAnsiTheme="minorHAnsi" w:cstheme="minorHAnsi"/>
          <w:b/>
          <w:bCs/>
          <w:color w:val="1F497D" w:themeColor="text2"/>
          <w:szCs w:val="24"/>
        </w:rPr>
        <w:t xml:space="preserve">n its comment in </w:t>
      </w:r>
      <w:r w:rsidR="00096518" w:rsidRPr="00B177AA">
        <w:rPr>
          <w:rFonts w:asciiTheme="minorHAnsi" w:hAnsiTheme="minorHAnsi" w:cstheme="minorHAnsi"/>
          <w:b/>
          <w:bCs/>
          <w:i/>
          <w:color w:val="1F497D" w:themeColor="text2"/>
          <w:szCs w:val="24"/>
        </w:rPr>
        <w:t>Annex 3</w:t>
      </w:r>
      <w:r w:rsidR="00096518" w:rsidRPr="00B177AA">
        <w:rPr>
          <w:rFonts w:asciiTheme="minorHAnsi" w:hAnsiTheme="minorHAnsi" w:cstheme="minorHAnsi"/>
          <w:b/>
          <w:bCs/>
          <w:color w:val="1F497D" w:themeColor="text2"/>
          <w:szCs w:val="24"/>
        </w:rPr>
        <w:t xml:space="preserve"> of Document </w:t>
      </w:r>
      <w:r w:rsidR="00096518" w:rsidRPr="00B177AA">
        <w:rPr>
          <w:rFonts w:asciiTheme="minorHAnsi" w:hAnsiTheme="minorHAnsi" w:cstheme="minorHAnsi"/>
          <w:b/>
          <w:bCs/>
          <w:i/>
          <w:color w:val="1F497D" w:themeColor="text2"/>
          <w:spacing w:val="-4"/>
          <w:szCs w:val="24"/>
        </w:rPr>
        <w:t xml:space="preserve">CWG-FHR-AH-RegPres-1/4, the Secretariat </w:t>
      </w:r>
      <w:r w:rsidR="00096518" w:rsidRPr="00B177AA">
        <w:rPr>
          <w:rFonts w:asciiTheme="minorHAnsi" w:hAnsiTheme="minorHAnsi" w:cstheme="minorHAnsi"/>
          <w:b/>
          <w:bCs/>
          <w:color w:val="1F497D" w:themeColor="text2"/>
          <w:szCs w:val="24"/>
        </w:rPr>
        <w:t>lays out “</w:t>
      </w:r>
      <w:r w:rsidR="00096518" w:rsidRPr="00B177AA">
        <w:rPr>
          <w:rFonts w:asciiTheme="minorHAnsi" w:hAnsiTheme="minorHAnsi" w:cstheme="minorHAnsi"/>
          <w:b/>
          <w:bCs/>
          <w:i/>
          <w:color w:val="1F497D" w:themeColor="text2"/>
          <w:spacing w:val="-4"/>
          <w:szCs w:val="24"/>
        </w:rPr>
        <w:t xml:space="preserve">that these matters would require significant revision of Council working methods related to the ITU Strategic and Operational Plans”. </w:t>
      </w:r>
      <w:r w:rsidR="00096518" w:rsidRPr="00B177AA">
        <w:rPr>
          <w:rFonts w:asciiTheme="minorHAnsi" w:hAnsiTheme="minorHAnsi" w:cstheme="minorHAnsi"/>
          <w:b/>
          <w:bCs/>
          <w:color w:val="1F497D" w:themeColor="text2"/>
          <w:spacing w:val="-4"/>
          <w:szCs w:val="24"/>
        </w:rPr>
        <w:t xml:space="preserve">Switzerland </w:t>
      </w:r>
      <w:r w:rsidRPr="00B177AA">
        <w:rPr>
          <w:rFonts w:asciiTheme="minorHAnsi" w:hAnsiTheme="minorHAnsi" w:cstheme="minorHAnsi"/>
          <w:b/>
          <w:bCs/>
          <w:color w:val="1F497D" w:themeColor="text2"/>
          <w:spacing w:val="-4"/>
          <w:szCs w:val="24"/>
        </w:rPr>
        <w:t>sought</w:t>
      </w:r>
      <w:r w:rsidR="00096518" w:rsidRPr="00B177AA">
        <w:rPr>
          <w:rFonts w:asciiTheme="minorHAnsi" w:hAnsiTheme="minorHAnsi" w:cstheme="minorHAnsi"/>
          <w:b/>
          <w:bCs/>
          <w:color w:val="1F497D" w:themeColor="text2"/>
          <w:spacing w:val="-4"/>
          <w:szCs w:val="24"/>
        </w:rPr>
        <w:t xml:space="preserve"> more information from the Secretariat on how the interplay of strategic and operational planning processes at all levels could be improved, with the aim of supporting a coherent programmatic focus in the Union’s mandate delivery through its regional presence.</w:t>
      </w:r>
    </w:p>
    <w:p w14:paraId="3789C0C2" w14:textId="77777777" w:rsidR="0011572C" w:rsidRDefault="0011572C" w:rsidP="0011572C">
      <w:pPr>
        <w:tabs>
          <w:tab w:val="clear" w:pos="567"/>
          <w:tab w:val="clear" w:pos="1134"/>
          <w:tab w:val="clear" w:pos="1701"/>
          <w:tab w:val="clear" w:pos="2268"/>
          <w:tab w:val="clear" w:pos="2835"/>
        </w:tabs>
        <w:spacing w:before="80" w:after="80" w:line="360" w:lineRule="auto"/>
        <w:rPr>
          <w:rFonts w:asciiTheme="minorHAnsi" w:hAnsiTheme="minorHAnsi" w:cstheme="minorHAnsi"/>
          <w:szCs w:val="24"/>
        </w:rPr>
      </w:pPr>
      <w:r w:rsidRPr="00EB6896">
        <w:rPr>
          <w:rFonts w:asciiTheme="minorHAnsi" w:hAnsiTheme="minorHAnsi" w:cstheme="minorHAnsi"/>
          <w:spacing w:val="-4"/>
          <w:szCs w:val="24"/>
        </w:rPr>
        <w:t xml:space="preserve">ITU is committed to further integrate and enhance the mandate, </w:t>
      </w:r>
      <w:proofErr w:type="gramStart"/>
      <w:r w:rsidRPr="00EB6896">
        <w:rPr>
          <w:rFonts w:asciiTheme="minorHAnsi" w:hAnsiTheme="minorHAnsi" w:cstheme="minorHAnsi"/>
          <w:spacing w:val="-4"/>
          <w:szCs w:val="24"/>
        </w:rPr>
        <w:t>role</w:t>
      </w:r>
      <w:proofErr w:type="gramEnd"/>
      <w:r w:rsidRPr="00EB6896">
        <w:rPr>
          <w:rFonts w:asciiTheme="minorHAnsi" w:hAnsiTheme="minorHAnsi" w:cstheme="minorHAnsi"/>
          <w:spacing w:val="-4"/>
          <w:szCs w:val="24"/>
        </w:rPr>
        <w:t xml:space="preserve"> and objectives for the regional presence in the development of the new Strategic Plan. The Secretariat has </w:t>
      </w:r>
      <w:r>
        <w:rPr>
          <w:rFonts w:asciiTheme="minorHAnsi" w:hAnsiTheme="minorHAnsi" w:cstheme="minorHAnsi"/>
          <w:spacing w:val="-4"/>
          <w:szCs w:val="24"/>
        </w:rPr>
        <w:t xml:space="preserve">already </w:t>
      </w:r>
      <w:r w:rsidRPr="00EB6896">
        <w:rPr>
          <w:rFonts w:asciiTheme="minorHAnsi" w:hAnsiTheme="minorHAnsi" w:cstheme="minorHAnsi"/>
          <w:spacing w:val="-4"/>
          <w:szCs w:val="24"/>
        </w:rPr>
        <w:t>begun assessing how the overall strategic and operational planning process can be improved at all levels and will provide this input to Member States within the Council Working Group on Strategic and Financial Plans (CWG-SFP).</w:t>
      </w:r>
    </w:p>
    <w:p w14:paraId="62DA8842" w14:textId="55A4F91B" w:rsidR="00B177AA" w:rsidRDefault="00982642" w:rsidP="0011572C">
      <w:pPr>
        <w:tabs>
          <w:tab w:val="clear" w:pos="567"/>
          <w:tab w:val="clear" w:pos="1134"/>
          <w:tab w:val="clear" w:pos="1701"/>
          <w:tab w:val="clear" w:pos="2268"/>
          <w:tab w:val="clear" w:pos="2835"/>
        </w:tabs>
        <w:spacing w:before="240" w:after="80" w:line="360" w:lineRule="auto"/>
        <w:rPr>
          <w:rFonts w:asciiTheme="minorHAnsi" w:hAnsiTheme="minorHAnsi" w:cstheme="minorHAnsi"/>
          <w:szCs w:val="24"/>
        </w:rPr>
      </w:pPr>
      <w:r w:rsidRPr="00B177AA">
        <w:rPr>
          <w:rFonts w:asciiTheme="minorHAnsi" w:hAnsiTheme="minorHAnsi" w:cstheme="minorHAnsi"/>
          <w:szCs w:val="24"/>
        </w:rPr>
        <w:t xml:space="preserve">The Secretariat agrees that a review of the Strategic and Planning Framework would result in better alignment with the RBM approach already being implemented by BDT, and would make for more effective, </w:t>
      </w:r>
      <w:proofErr w:type="gramStart"/>
      <w:r w:rsidRPr="00B177AA">
        <w:rPr>
          <w:rFonts w:asciiTheme="minorHAnsi" w:hAnsiTheme="minorHAnsi" w:cstheme="minorHAnsi"/>
          <w:szCs w:val="24"/>
        </w:rPr>
        <w:t>focussed</w:t>
      </w:r>
      <w:proofErr w:type="gramEnd"/>
      <w:r w:rsidRPr="00B177AA">
        <w:rPr>
          <w:rFonts w:asciiTheme="minorHAnsi" w:hAnsiTheme="minorHAnsi" w:cstheme="minorHAnsi"/>
          <w:szCs w:val="24"/>
        </w:rPr>
        <w:t xml:space="preserve"> and achievable targets for the ROs. From a BDT perspective, the discussions underway by membership in the TDAG Working Group on the ITU-D Contributions to the ITU Strategic and Operational Plans, could help in achieving these reforms. Strategic Planning is conducted ITU wide, and the PwC recommendations propose effective alignment of Strategy not only for the BDT, but for the whole of the ITU. </w:t>
      </w:r>
    </w:p>
    <w:p w14:paraId="124F627B" w14:textId="0A6FCBD9" w:rsidR="00982642" w:rsidRPr="00B177AA" w:rsidRDefault="00982642" w:rsidP="0011572C">
      <w:pPr>
        <w:tabs>
          <w:tab w:val="clear" w:pos="567"/>
          <w:tab w:val="clear" w:pos="1134"/>
          <w:tab w:val="clear" w:pos="1701"/>
          <w:tab w:val="clear" w:pos="2268"/>
          <w:tab w:val="clear" w:pos="2835"/>
        </w:tabs>
        <w:spacing w:before="240" w:after="80" w:line="360" w:lineRule="auto"/>
        <w:jc w:val="both"/>
        <w:rPr>
          <w:sz w:val="22"/>
          <w:lang w:eastAsia="en-GB"/>
        </w:rPr>
      </w:pPr>
      <w:r w:rsidRPr="00B177AA">
        <w:rPr>
          <w:lang w:val="en-US"/>
        </w:rPr>
        <w:t>The process for the development of the new strategic plan -and the framework, will officially be initiated by the 2021 Session of Council (</w:t>
      </w:r>
      <w:r w:rsidR="00B177AA">
        <w:rPr>
          <w:lang w:val="en-US"/>
        </w:rPr>
        <w:t>see</w:t>
      </w:r>
      <w:r w:rsidRPr="00B177AA">
        <w:rPr>
          <w:lang w:val="en-US"/>
        </w:rPr>
        <w:t xml:space="preserve"> doc</w:t>
      </w:r>
      <w:r w:rsidR="00B177AA">
        <w:rPr>
          <w:lang w:val="en-US"/>
        </w:rPr>
        <w:t>ument</w:t>
      </w:r>
      <w:r w:rsidRPr="00B177AA">
        <w:rPr>
          <w:lang w:val="en-US"/>
        </w:rPr>
        <w:t xml:space="preserve"> C21/64 on the proposal for the establishment of </w:t>
      </w:r>
      <w:r w:rsidR="0011572C">
        <w:rPr>
          <w:lang w:val="en-US"/>
        </w:rPr>
        <w:t>CWG-SFP</w:t>
      </w:r>
      <w:r w:rsidRPr="00B177AA">
        <w:rPr>
          <w:lang w:val="en-US"/>
        </w:rPr>
        <w:t>)</w:t>
      </w:r>
      <w:r w:rsidR="00B177AA">
        <w:rPr>
          <w:lang w:val="en-US"/>
        </w:rPr>
        <w:t>.</w:t>
      </w:r>
      <w:r w:rsidR="00B177AA">
        <w:rPr>
          <w:sz w:val="22"/>
          <w:lang w:eastAsia="en-GB"/>
        </w:rPr>
        <w:t xml:space="preserve"> </w:t>
      </w:r>
      <w:r w:rsidRPr="00B177AA">
        <w:rPr>
          <w:lang w:val="en-US"/>
        </w:rPr>
        <w:t xml:space="preserve">Regarding the new strategic framework, indeed the aim of the </w:t>
      </w:r>
      <w:r w:rsidR="002F43D4">
        <w:rPr>
          <w:lang w:val="en-US"/>
        </w:rPr>
        <w:t>Secretariat</w:t>
      </w:r>
      <w:r w:rsidRPr="00B177AA">
        <w:rPr>
          <w:lang w:val="en-US"/>
        </w:rPr>
        <w:t xml:space="preserve"> is to review the RBM implementation and lessons learned, and accordingly adjust the components of the overall framework (i.e. review the mission statement, redesign the “architecture” of the framework and the different levels -strategic goals/objectives/targets, including the consideration of any related proposals from the PWC Report -e.g. attaching effective/focused/achievable targets at the RO level), while following best practice and experience from other UN/development agencies as well.</w:t>
      </w:r>
    </w:p>
    <w:p w14:paraId="40F5C130" w14:textId="69EE9123" w:rsidR="00271D08" w:rsidRPr="00EB6896" w:rsidRDefault="0011572C" w:rsidP="0011572C">
      <w:pPr>
        <w:spacing w:after="120" w:line="360" w:lineRule="auto"/>
        <w:jc w:val="both"/>
        <w:rPr>
          <w:rFonts w:asciiTheme="minorHAnsi" w:hAnsiTheme="minorHAnsi" w:cstheme="minorHAnsi"/>
          <w:spacing w:val="-4"/>
          <w:szCs w:val="24"/>
        </w:rPr>
      </w:pPr>
      <w:r>
        <w:rPr>
          <w:rFonts w:asciiTheme="minorHAnsi" w:hAnsiTheme="minorHAnsi" w:cstheme="minorHAnsi"/>
          <w:spacing w:val="-4"/>
          <w:szCs w:val="24"/>
        </w:rPr>
        <w:lastRenderedPageBreak/>
        <w:t>At the BDT level, i</w:t>
      </w:r>
      <w:r w:rsidR="00271D08" w:rsidRPr="00EB6896">
        <w:rPr>
          <w:rFonts w:asciiTheme="minorHAnsi" w:hAnsiTheme="minorHAnsi" w:cstheme="minorHAnsi"/>
          <w:spacing w:val="-4"/>
          <w:szCs w:val="24"/>
        </w:rPr>
        <w:t>n line with the strategic priorities recommended by the TDAG Working Groups, BDT has initiated a refinement of its Theory of Change (</w:t>
      </w:r>
      <w:proofErr w:type="spellStart"/>
      <w:r w:rsidR="00271D08" w:rsidRPr="00EB6896">
        <w:rPr>
          <w:rFonts w:asciiTheme="minorHAnsi" w:hAnsiTheme="minorHAnsi" w:cstheme="minorHAnsi"/>
          <w:spacing w:val="-4"/>
          <w:szCs w:val="24"/>
        </w:rPr>
        <w:t>ToC</w:t>
      </w:r>
      <w:proofErr w:type="spellEnd"/>
      <w:r w:rsidR="00271D08" w:rsidRPr="00EB6896">
        <w:rPr>
          <w:rFonts w:asciiTheme="minorHAnsi" w:hAnsiTheme="minorHAnsi" w:cstheme="minorHAnsi"/>
          <w:spacing w:val="-4"/>
          <w:szCs w:val="24"/>
        </w:rPr>
        <w:t xml:space="preserve">) model to begin conceptualizing how its results-based management (RBM) framework and service-delivery model will need to reposition for the future. This </w:t>
      </w:r>
      <w:proofErr w:type="spellStart"/>
      <w:r w:rsidR="00271D08" w:rsidRPr="00EB6896">
        <w:rPr>
          <w:rFonts w:asciiTheme="minorHAnsi" w:hAnsiTheme="minorHAnsi" w:cstheme="minorHAnsi"/>
          <w:spacing w:val="-4"/>
          <w:szCs w:val="24"/>
        </w:rPr>
        <w:t>ToC</w:t>
      </w:r>
      <w:proofErr w:type="spellEnd"/>
      <w:r w:rsidR="00271D08" w:rsidRPr="00EB6896">
        <w:rPr>
          <w:rFonts w:asciiTheme="minorHAnsi" w:hAnsiTheme="minorHAnsi" w:cstheme="minorHAnsi"/>
          <w:spacing w:val="-4"/>
          <w:szCs w:val="24"/>
        </w:rPr>
        <w:t xml:space="preserve"> design will continue adjusting as needed to align with the direction of the CWG-SFP as the future priorities are finalized during the drafting of the new ITU Strategy. </w:t>
      </w:r>
    </w:p>
    <w:p w14:paraId="2F0118C5" w14:textId="77777777" w:rsidR="00271D08" w:rsidRPr="00EB6896" w:rsidRDefault="00271D08" w:rsidP="0011572C">
      <w:pPr>
        <w:tabs>
          <w:tab w:val="left" w:pos="7550"/>
        </w:tabs>
        <w:spacing w:after="120" w:line="360" w:lineRule="auto"/>
        <w:jc w:val="both"/>
        <w:rPr>
          <w:rFonts w:asciiTheme="minorHAnsi" w:hAnsiTheme="minorHAnsi" w:cstheme="minorHAnsi"/>
          <w:spacing w:val="-4"/>
          <w:szCs w:val="24"/>
        </w:rPr>
      </w:pPr>
      <w:r w:rsidRPr="00EB6896">
        <w:rPr>
          <w:rFonts w:asciiTheme="minorHAnsi" w:hAnsiTheme="minorHAnsi" w:cstheme="minorHAnsi"/>
          <w:spacing w:val="-4"/>
          <w:szCs w:val="24"/>
        </w:rPr>
        <w:t xml:space="preserve">This </w:t>
      </w:r>
      <w:proofErr w:type="spellStart"/>
      <w:r w:rsidRPr="00EB6896">
        <w:rPr>
          <w:rFonts w:asciiTheme="minorHAnsi" w:hAnsiTheme="minorHAnsi" w:cstheme="minorHAnsi"/>
          <w:spacing w:val="-4"/>
          <w:szCs w:val="24"/>
        </w:rPr>
        <w:t>ToC</w:t>
      </w:r>
      <w:proofErr w:type="spellEnd"/>
      <w:r w:rsidRPr="00EB6896">
        <w:rPr>
          <w:rFonts w:asciiTheme="minorHAnsi" w:hAnsiTheme="minorHAnsi" w:cstheme="minorHAnsi"/>
          <w:spacing w:val="-4"/>
          <w:szCs w:val="24"/>
        </w:rPr>
        <w:t xml:space="preserve"> model is applying an increased client-driven approach to the Thematic Priorities defined by Membership to enhance BDT’s efficiency in focusing products, support and results along these strategic pathways towards the longer-term goals of the </w:t>
      </w:r>
      <w:hyperlink r:id="rId10" w:history="1">
        <w:r w:rsidRPr="00EB6896">
          <w:rPr>
            <w:rStyle w:val="Hyperlink"/>
            <w:rFonts w:asciiTheme="minorHAnsi" w:hAnsiTheme="minorHAnsi" w:cstheme="minorHAnsi"/>
            <w:spacing w:val="-4"/>
            <w:szCs w:val="24"/>
          </w:rPr>
          <w:t>Connect 2030 Agenda</w:t>
        </w:r>
      </w:hyperlink>
      <w:r w:rsidRPr="00EB6896">
        <w:rPr>
          <w:rFonts w:asciiTheme="minorHAnsi" w:hAnsiTheme="minorHAnsi" w:cstheme="minorHAnsi"/>
          <w:spacing w:val="-4"/>
          <w:szCs w:val="24"/>
        </w:rPr>
        <w:t xml:space="preserve">. This </w:t>
      </w:r>
      <w:proofErr w:type="spellStart"/>
      <w:r w:rsidRPr="00EB6896">
        <w:rPr>
          <w:rFonts w:asciiTheme="minorHAnsi" w:hAnsiTheme="minorHAnsi" w:cstheme="minorHAnsi"/>
          <w:spacing w:val="-4"/>
          <w:szCs w:val="24"/>
        </w:rPr>
        <w:t>ToC</w:t>
      </w:r>
      <w:proofErr w:type="spellEnd"/>
      <w:r w:rsidRPr="00EB6896">
        <w:rPr>
          <w:rFonts w:asciiTheme="minorHAnsi" w:hAnsiTheme="minorHAnsi" w:cstheme="minorHAnsi"/>
          <w:spacing w:val="-4"/>
          <w:szCs w:val="24"/>
        </w:rPr>
        <w:t xml:space="preserve"> model for the new Thematic Priorities will serve as the framework for future planning and evaluation, enforcing a common structure between Strategic and Operational Plans. </w:t>
      </w:r>
    </w:p>
    <w:p w14:paraId="581FF83C" w14:textId="77777777" w:rsidR="00271D08" w:rsidRDefault="00271D08" w:rsidP="00EB6896">
      <w:pPr>
        <w:tabs>
          <w:tab w:val="left" w:pos="7550"/>
        </w:tabs>
        <w:spacing w:after="120" w:line="276" w:lineRule="auto"/>
        <w:jc w:val="both"/>
        <w:rPr>
          <w:rFonts w:asciiTheme="minorHAnsi" w:hAnsiTheme="minorHAnsi" w:cstheme="minorHAnsi"/>
          <w:spacing w:val="-4"/>
          <w:szCs w:val="22"/>
        </w:rPr>
      </w:pPr>
    </w:p>
    <w:p w14:paraId="5D82F840" w14:textId="77777777" w:rsidR="00271D08" w:rsidRDefault="00271D08" w:rsidP="00010E29">
      <w:pPr>
        <w:keepNext/>
        <w:tabs>
          <w:tab w:val="left" w:pos="7550"/>
        </w:tabs>
        <w:spacing w:after="120" w:line="276" w:lineRule="auto"/>
        <w:jc w:val="both"/>
        <w:rPr>
          <w:rFonts w:asciiTheme="minorHAnsi" w:hAnsiTheme="minorHAnsi" w:cstheme="minorHAnsi"/>
          <w:spacing w:val="-4"/>
          <w:szCs w:val="22"/>
        </w:rPr>
      </w:pPr>
      <w:r>
        <w:rPr>
          <w:rFonts w:asciiTheme="minorHAnsi" w:hAnsiTheme="minorHAnsi" w:cstheme="minorHAnsi"/>
          <w:b/>
          <w:bCs/>
          <w:spacing w:val="-4"/>
          <w:szCs w:val="22"/>
        </w:rPr>
        <w:t xml:space="preserve">Figure 1: TDAG recommendations on Thematic Priorities and corresponding </w:t>
      </w:r>
      <w:proofErr w:type="spellStart"/>
      <w:r>
        <w:rPr>
          <w:rFonts w:asciiTheme="minorHAnsi" w:hAnsiTheme="minorHAnsi" w:cstheme="minorHAnsi"/>
          <w:b/>
          <w:bCs/>
          <w:spacing w:val="-4"/>
          <w:szCs w:val="22"/>
        </w:rPr>
        <w:t>ToC</w:t>
      </w:r>
      <w:proofErr w:type="spellEnd"/>
      <w:r>
        <w:rPr>
          <w:rFonts w:asciiTheme="minorHAnsi" w:hAnsiTheme="minorHAnsi" w:cstheme="minorHAnsi"/>
          <w:b/>
          <w:bCs/>
          <w:spacing w:val="-4"/>
          <w:szCs w:val="22"/>
        </w:rPr>
        <w:t xml:space="preserve"> for BDT RBM</w:t>
      </w:r>
    </w:p>
    <w:p w14:paraId="047AA305" w14:textId="77777777" w:rsidR="00271D08" w:rsidRDefault="00271D08" w:rsidP="00271D08">
      <w:pPr>
        <w:tabs>
          <w:tab w:val="left" w:pos="7550"/>
        </w:tabs>
        <w:spacing w:after="120"/>
        <w:jc w:val="both"/>
        <w:rPr>
          <w:rFonts w:asciiTheme="minorHAnsi" w:hAnsiTheme="minorHAnsi" w:cstheme="minorHAnsi"/>
          <w:spacing w:val="-4"/>
          <w:szCs w:val="22"/>
        </w:rPr>
      </w:pPr>
      <w:r>
        <w:rPr>
          <w:rFonts w:asciiTheme="minorHAnsi" w:hAnsiTheme="minorHAnsi" w:cstheme="minorHAnsi"/>
          <w:noProof/>
          <w:spacing w:val="-4"/>
          <w:szCs w:val="22"/>
        </w:rPr>
        <w:drawing>
          <wp:inline distT="0" distB="0" distL="0" distR="0" wp14:anchorId="20245352" wp14:editId="2C9D3640">
            <wp:extent cx="5842000" cy="1544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9746" cy="1554712"/>
                    </a:xfrm>
                    <a:prstGeom prst="rect">
                      <a:avLst/>
                    </a:prstGeom>
                    <a:noFill/>
                  </pic:spPr>
                </pic:pic>
              </a:graphicData>
            </a:graphic>
          </wp:inline>
        </w:drawing>
      </w:r>
    </w:p>
    <w:p w14:paraId="1794491B" w14:textId="77777777" w:rsidR="00271D08" w:rsidRDefault="00271D08" w:rsidP="0011572C">
      <w:pPr>
        <w:spacing w:before="240" w:after="120" w:line="360" w:lineRule="auto"/>
        <w:jc w:val="both"/>
        <w:rPr>
          <w:rFonts w:asciiTheme="minorHAnsi" w:hAnsiTheme="minorHAnsi" w:cstheme="minorHAnsi"/>
          <w:szCs w:val="22"/>
        </w:rPr>
      </w:pPr>
      <w:r>
        <w:rPr>
          <w:rFonts w:asciiTheme="minorHAnsi" w:hAnsiTheme="minorHAnsi" w:cstheme="minorHAnsi"/>
          <w:szCs w:val="22"/>
        </w:rPr>
        <w:t xml:space="preserve">As part of this effort BDT is also refining the sequencing and integration of its products and services, mapping the most logical order for technical support and conditions for success along the new Thematic Priority </w:t>
      </w:r>
      <w:proofErr w:type="spellStart"/>
      <w:r>
        <w:rPr>
          <w:rFonts w:asciiTheme="minorHAnsi" w:hAnsiTheme="minorHAnsi" w:cstheme="minorHAnsi"/>
          <w:szCs w:val="22"/>
        </w:rPr>
        <w:t>ToC</w:t>
      </w:r>
      <w:proofErr w:type="spellEnd"/>
      <w:r>
        <w:rPr>
          <w:rFonts w:asciiTheme="minorHAnsi" w:hAnsiTheme="minorHAnsi" w:cstheme="minorHAnsi"/>
          <w:szCs w:val="22"/>
        </w:rPr>
        <w:t xml:space="preserve"> pathways for more evidence-driven matching of services with need. </w:t>
      </w:r>
    </w:p>
    <w:p w14:paraId="2EC54748" w14:textId="77777777" w:rsidR="00271D08" w:rsidRDefault="00271D08" w:rsidP="0011572C">
      <w:pPr>
        <w:spacing w:after="120" w:line="360" w:lineRule="auto"/>
        <w:jc w:val="both"/>
        <w:rPr>
          <w:rFonts w:asciiTheme="minorHAnsi" w:hAnsiTheme="minorHAnsi" w:cstheme="minorHAnsi"/>
          <w:szCs w:val="22"/>
        </w:rPr>
      </w:pPr>
      <w:r>
        <w:rPr>
          <w:rFonts w:asciiTheme="minorHAnsi" w:hAnsiTheme="minorHAnsi" w:cstheme="minorHAnsi"/>
          <w:szCs w:val="22"/>
        </w:rPr>
        <w:t xml:space="preserve">Additionally, to strengthen the client-driven focus of BDT’s operational planning, the </w:t>
      </w:r>
      <w:proofErr w:type="spellStart"/>
      <w:r>
        <w:rPr>
          <w:rFonts w:asciiTheme="minorHAnsi" w:hAnsiTheme="minorHAnsi" w:cstheme="minorHAnsi"/>
          <w:szCs w:val="22"/>
        </w:rPr>
        <w:t>ToC</w:t>
      </w:r>
      <w:proofErr w:type="spellEnd"/>
      <w:r>
        <w:rPr>
          <w:rFonts w:asciiTheme="minorHAnsi" w:hAnsiTheme="minorHAnsi" w:cstheme="minorHAnsi"/>
          <w:szCs w:val="22"/>
        </w:rPr>
        <w:t xml:space="preserve"> data model includes more dynamic integration of the country statistics and survey data provided by Members. This innovation will improve BDT’s operational planning through automated data feeds of key trends at regional and country level, as well as by LDC, LLDC and SIDS groups. Through this overlay of data feeds onto the new </w:t>
      </w:r>
      <w:proofErr w:type="spellStart"/>
      <w:r>
        <w:rPr>
          <w:rFonts w:asciiTheme="minorHAnsi" w:hAnsiTheme="minorHAnsi" w:cstheme="minorHAnsi"/>
          <w:szCs w:val="22"/>
        </w:rPr>
        <w:t>ToC</w:t>
      </w:r>
      <w:proofErr w:type="spellEnd"/>
      <w:r>
        <w:rPr>
          <w:rFonts w:asciiTheme="minorHAnsi" w:hAnsiTheme="minorHAnsi" w:cstheme="minorHAnsi"/>
          <w:szCs w:val="22"/>
        </w:rPr>
        <w:t xml:space="preserve"> model’s Thematic Priority pathways, BDT aims to be more agile in adapting our support and service offering to evolving trends and changing needs of our </w:t>
      </w:r>
      <w:proofErr w:type="gramStart"/>
      <w:r>
        <w:rPr>
          <w:rFonts w:asciiTheme="minorHAnsi" w:hAnsiTheme="minorHAnsi" w:cstheme="minorHAnsi"/>
          <w:szCs w:val="22"/>
        </w:rPr>
        <w:t>Members</w:t>
      </w:r>
      <w:proofErr w:type="gramEnd"/>
      <w:r>
        <w:rPr>
          <w:rFonts w:asciiTheme="minorHAnsi" w:hAnsiTheme="minorHAnsi" w:cstheme="minorHAnsi"/>
          <w:szCs w:val="22"/>
        </w:rPr>
        <w:t>.</w:t>
      </w:r>
    </w:p>
    <w:p w14:paraId="614C7104" w14:textId="77777777" w:rsidR="00271D08" w:rsidRDefault="00271D08" w:rsidP="0011572C">
      <w:pPr>
        <w:spacing w:after="120" w:line="360" w:lineRule="auto"/>
        <w:jc w:val="both"/>
        <w:rPr>
          <w:rFonts w:asciiTheme="minorHAnsi" w:hAnsiTheme="minorHAnsi" w:cstheme="minorHAnsi"/>
          <w:szCs w:val="22"/>
        </w:rPr>
      </w:pPr>
      <w:r>
        <w:rPr>
          <w:rFonts w:asciiTheme="minorHAnsi" w:hAnsiTheme="minorHAnsi" w:cstheme="minorHAnsi"/>
          <w:szCs w:val="22"/>
        </w:rPr>
        <w:t xml:space="preserve">To further guide coherent programmatic focus in the mandate delivery at all levels and through ITU’s regional presence, the BDT </w:t>
      </w:r>
      <w:proofErr w:type="spellStart"/>
      <w:r>
        <w:rPr>
          <w:rFonts w:asciiTheme="minorHAnsi" w:hAnsiTheme="minorHAnsi" w:cstheme="minorHAnsi"/>
          <w:szCs w:val="22"/>
        </w:rPr>
        <w:t>ToC</w:t>
      </w:r>
      <w:proofErr w:type="spellEnd"/>
      <w:r>
        <w:rPr>
          <w:rFonts w:asciiTheme="minorHAnsi" w:hAnsiTheme="minorHAnsi" w:cstheme="minorHAnsi"/>
          <w:szCs w:val="22"/>
        </w:rPr>
        <w:t xml:space="preserve"> framework is designed for full regional-level synchronization of RBM, Thematic Priority pathways, operational planning, sequenced technical support offerings and portfolio performance assessments. This regional </w:t>
      </w:r>
      <w:proofErr w:type="spellStart"/>
      <w:r>
        <w:rPr>
          <w:rFonts w:asciiTheme="minorHAnsi" w:hAnsiTheme="minorHAnsi" w:cstheme="minorHAnsi"/>
          <w:szCs w:val="22"/>
        </w:rPr>
        <w:t>ToC</w:t>
      </w:r>
      <w:proofErr w:type="spellEnd"/>
      <w:r>
        <w:rPr>
          <w:rFonts w:asciiTheme="minorHAnsi" w:hAnsiTheme="minorHAnsi" w:cstheme="minorHAnsi"/>
          <w:szCs w:val="22"/>
        </w:rPr>
        <w:t xml:space="preserve"> synchronization will help regions to </w:t>
      </w:r>
      <w:r>
        <w:rPr>
          <w:rFonts w:asciiTheme="minorHAnsi" w:hAnsiTheme="minorHAnsi" w:cstheme="minorHAnsi"/>
          <w:szCs w:val="22"/>
        </w:rPr>
        <w:lastRenderedPageBreak/>
        <w:t>strategically match BDT technical support according to their Regional Initiatives and specific local trends, while also maintaining alignment with the global vision and mission defined in the ITU Strategic Plan.</w:t>
      </w:r>
    </w:p>
    <w:p w14:paraId="4C989AD1" w14:textId="77777777" w:rsidR="00271D08" w:rsidRDefault="00271D08" w:rsidP="00EB6896">
      <w:pPr>
        <w:spacing w:after="120" w:line="276" w:lineRule="auto"/>
        <w:jc w:val="both"/>
        <w:rPr>
          <w:rFonts w:asciiTheme="minorHAnsi" w:hAnsiTheme="minorHAnsi" w:cstheme="minorHAnsi"/>
          <w:szCs w:val="22"/>
        </w:rPr>
      </w:pPr>
    </w:p>
    <w:p w14:paraId="15782124" w14:textId="77777777" w:rsidR="00271D08" w:rsidRDefault="00271D08" w:rsidP="00463365">
      <w:pPr>
        <w:keepNext/>
        <w:spacing w:after="120"/>
        <w:jc w:val="both"/>
        <w:rPr>
          <w:rFonts w:asciiTheme="minorHAnsi" w:hAnsiTheme="minorHAnsi" w:cstheme="minorHAnsi"/>
          <w:b/>
          <w:bCs/>
          <w:szCs w:val="22"/>
        </w:rPr>
      </w:pPr>
      <w:r>
        <w:rPr>
          <w:rFonts w:asciiTheme="minorHAnsi" w:hAnsiTheme="minorHAnsi" w:cstheme="minorHAnsi"/>
          <w:b/>
          <w:bCs/>
          <w:szCs w:val="22"/>
        </w:rPr>
        <w:t xml:space="preserve">Figure 2: Regional </w:t>
      </w:r>
      <w:proofErr w:type="spellStart"/>
      <w:r>
        <w:rPr>
          <w:rFonts w:asciiTheme="minorHAnsi" w:hAnsiTheme="minorHAnsi" w:cstheme="minorHAnsi"/>
          <w:b/>
          <w:bCs/>
          <w:szCs w:val="22"/>
        </w:rPr>
        <w:t>ToC</w:t>
      </w:r>
      <w:proofErr w:type="spellEnd"/>
      <w:r>
        <w:rPr>
          <w:rFonts w:asciiTheme="minorHAnsi" w:hAnsiTheme="minorHAnsi" w:cstheme="minorHAnsi"/>
          <w:b/>
          <w:bCs/>
          <w:szCs w:val="22"/>
        </w:rPr>
        <w:t xml:space="preserve"> synchronization with global vision and mandate</w:t>
      </w:r>
    </w:p>
    <w:p w14:paraId="4ABA3CD8" w14:textId="77777777" w:rsidR="00271D08" w:rsidRDefault="00271D08" w:rsidP="00271D08">
      <w:pPr>
        <w:spacing w:after="120"/>
        <w:jc w:val="both"/>
        <w:rPr>
          <w:rFonts w:asciiTheme="minorHAnsi" w:hAnsiTheme="minorHAnsi" w:cstheme="minorHAnsi"/>
          <w:szCs w:val="22"/>
        </w:rPr>
      </w:pPr>
      <w:r>
        <w:rPr>
          <w:rFonts w:asciiTheme="minorHAnsi" w:hAnsiTheme="minorHAnsi" w:cstheme="minorHAnsi"/>
          <w:noProof/>
          <w:szCs w:val="22"/>
        </w:rPr>
        <w:drawing>
          <wp:inline distT="0" distB="0" distL="0" distR="0" wp14:anchorId="2636F757" wp14:editId="25BB8007">
            <wp:extent cx="5941060" cy="2261187"/>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0673" cy="2272458"/>
                    </a:xfrm>
                    <a:prstGeom prst="rect">
                      <a:avLst/>
                    </a:prstGeom>
                    <a:noFill/>
                  </pic:spPr>
                </pic:pic>
              </a:graphicData>
            </a:graphic>
          </wp:inline>
        </w:drawing>
      </w:r>
    </w:p>
    <w:p w14:paraId="65BD098D" w14:textId="77777777" w:rsidR="00271D08" w:rsidRDefault="00271D08" w:rsidP="00271D08">
      <w:pPr>
        <w:spacing w:after="120"/>
        <w:jc w:val="both"/>
        <w:rPr>
          <w:rFonts w:asciiTheme="minorHAnsi" w:hAnsiTheme="minorHAnsi" w:cstheme="minorHAnsi"/>
          <w:szCs w:val="22"/>
        </w:rPr>
      </w:pPr>
    </w:p>
    <w:p w14:paraId="6336B753" w14:textId="77777777" w:rsidR="00E6565A" w:rsidRPr="00472018" w:rsidRDefault="00E6565A" w:rsidP="00573DCA">
      <w:pPr>
        <w:spacing w:after="120" w:line="276" w:lineRule="auto"/>
        <w:jc w:val="both"/>
        <w:rPr>
          <w:rFonts w:asciiTheme="minorHAnsi" w:hAnsiTheme="minorHAnsi" w:cstheme="minorHAnsi"/>
          <w:szCs w:val="22"/>
        </w:rPr>
      </w:pPr>
    </w:p>
    <w:p w14:paraId="31F200A8" w14:textId="77777777" w:rsidR="00573DCA" w:rsidRPr="00B177AA" w:rsidRDefault="00096518" w:rsidP="0011572C">
      <w:pPr>
        <w:spacing w:after="120" w:line="360" w:lineRule="auto"/>
        <w:jc w:val="both"/>
        <w:rPr>
          <w:rFonts w:asciiTheme="minorHAnsi" w:hAnsiTheme="minorHAnsi" w:cstheme="minorHAnsi"/>
          <w:b/>
          <w:bCs/>
          <w:spacing w:val="-4"/>
          <w:szCs w:val="22"/>
        </w:rPr>
      </w:pPr>
      <w:r w:rsidRPr="00B177AA">
        <w:rPr>
          <w:rFonts w:asciiTheme="minorHAnsi" w:hAnsiTheme="minorHAnsi" w:cstheme="minorHAnsi"/>
          <w:b/>
          <w:bCs/>
          <w:szCs w:val="22"/>
          <w:u w:val="single"/>
        </w:rPr>
        <w:t>Opportunities in context of UN processes</w:t>
      </w:r>
      <w:r w:rsidRPr="00B177AA">
        <w:rPr>
          <w:rFonts w:asciiTheme="minorHAnsi" w:hAnsiTheme="minorHAnsi" w:cstheme="minorHAnsi"/>
          <w:b/>
          <w:bCs/>
          <w:spacing w:val="-4"/>
          <w:szCs w:val="22"/>
        </w:rPr>
        <w:t xml:space="preserve"> </w:t>
      </w:r>
    </w:p>
    <w:p w14:paraId="76B16D08" w14:textId="08C11D4F" w:rsidR="00096518" w:rsidRPr="00B177AA" w:rsidRDefault="00B177AA" w:rsidP="0011572C">
      <w:pPr>
        <w:spacing w:after="120" w:line="360" w:lineRule="auto"/>
        <w:jc w:val="both"/>
        <w:rPr>
          <w:rFonts w:asciiTheme="minorHAnsi" w:hAnsiTheme="minorHAnsi" w:cstheme="minorHAnsi"/>
          <w:b/>
          <w:bCs/>
          <w:color w:val="1F497D" w:themeColor="text2"/>
          <w:spacing w:val="-4"/>
          <w:szCs w:val="22"/>
        </w:rPr>
      </w:pPr>
      <w:r w:rsidRPr="00B177AA">
        <w:rPr>
          <w:rFonts w:asciiTheme="minorHAnsi" w:hAnsiTheme="minorHAnsi" w:cstheme="minorHAnsi"/>
          <w:b/>
          <w:bCs/>
          <w:color w:val="1F497D" w:themeColor="text2"/>
          <w:spacing w:val="-4"/>
          <w:szCs w:val="22"/>
        </w:rPr>
        <w:t xml:space="preserve">Switzerland: </w:t>
      </w:r>
      <w:r w:rsidR="00096518" w:rsidRPr="00B177AA">
        <w:rPr>
          <w:rFonts w:asciiTheme="minorHAnsi" w:hAnsiTheme="minorHAnsi" w:cstheme="minorHAnsi"/>
          <w:b/>
          <w:bCs/>
          <w:color w:val="1F497D" w:themeColor="text2"/>
          <w:spacing w:val="-4"/>
          <w:szCs w:val="22"/>
        </w:rPr>
        <w:t xml:space="preserve">It is Switzerland’s view that collaboration within the multilateral system and the reform of the UN Development system (UNDS) offers opportunities for increased impact, </w:t>
      </w:r>
      <w:proofErr w:type="gramStart"/>
      <w:r w:rsidR="00096518" w:rsidRPr="00B177AA">
        <w:rPr>
          <w:rFonts w:asciiTheme="minorHAnsi" w:hAnsiTheme="minorHAnsi" w:cstheme="minorHAnsi"/>
          <w:b/>
          <w:bCs/>
          <w:color w:val="1F497D" w:themeColor="text2"/>
          <w:spacing w:val="-4"/>
          <w:szCs w:val="22"/>
        </w:rPr>
        <w:t>effectiveness</w:t>
      </w:r>
      <w:proofErr w:type="gramEnd"/>
      <w:r w:rsidR="00096518" w:rsidRPr="00B177AA">
        <w:rPr>
          <w:rFonts w:asciiTheme="minorHAnsi" w:hAnsiTheme="minorHAnsi" w:cstheme="minorHAnsi"/>
          <w:b/>
          <w:bCs/>
          <w:color w:val="1F497D" w:themeColor="text2"/>
          <w:spacing w:val="-4"/>
          <w:szCs w:val="22"/>
        </w:rPr>
        <w:t xml:space="preserve"> and efficiency. Switzerland would welcome the Secretariat’s views on potential avenues for collaboration as well as opportunities the Secretariat sees in the current UNDS reform for the ITU’s mandate delivery in the regions.</w:t>
      </w:r>
    </w:p>
    <w:p w14:paraId="52E1A612" w14:textId="77777777" w:rsidR="006B128E" w:rsidRDefault="006B128E" w:rsidP="0011572C">
      <w:pPr>
        <w:tabs>
          <w:tab w:val="clear" w:pos="567"/>
          <w:tab w:val="clear" w:pos="1134"/>
          <w:tab w:val="clear" w:pos="1701"/>
          <w:tab w:val="clear" w:pos="2268"/>
          <w:tab w:val="clear" w:pos="2835"/>
        </w:tabs>
        <w:spacing w:before="80" w:after="80" w:line="360" w:lineRule="auto"/>
        <w:jc w:val="both"/>
        <w:rPr>
          <w:rFonts w:cs="Calibri"/>
        </w:rPr>
      </w:pPr>
      <w:r>
        <w:rPr>
          <w:rFonts w:cs="Calibri"/>
        </w:rPr>
        <w:t xml:space="preserve">ITU, through the </w:t>
      </w:r>
      <w:r w:rsidR="00436523" w:rsidRPr="006B128E">
        <w:rPr>
          <w:rFonts w:cs="Calibri"/>
        </w:rPr>
        <w:t>BDT</w:t>
      </w:r>
      <w:r>
        <w:rPr>
          <w:rFonts w:cs="Calibri"/>
        </w:rPr>
        <w:t>,</w:t>
      </w:r>
      <w:r w:rsidR="00436523" w:rsidRPr="006B128E">
        <w:rPr>
          <w:rFonts w:cs="Calibri"/>
        </w:rPr>
        <w:t xml:space="preserve"> has already embarked upon enhanced engagement with the UN Development System. </w:t>
      </w:r>
    </w:p>
    <w:p w14:paraId="7E8260C3" w14:textId="236C1E15" w:rsidR="00436523" w:rsidRPr="006B128E" w:rsidRDefault="006B128E" w:rsidP="0011572C">
      <w:pPr>
        <w:tabs>
          <w:tab w:val="clear" w:pos="567"/>
          <w:tab w:val="clear" w:pos="1134"/>
          <w:tab w:val="clear" w:pos="1701"/>
          <w:tab w:val="clear" w:pos="2268"/>
          <w:tab w:val="clear" w:pos="2835"/>
        </w:tabs>
        <w:spacing w:before="240" w:after="80" w:line="360" w:lineRule="auto"/>
        <w:jc w:val="both"/>
        <w:rPr>
          <w:rFonts w:cs="Calibri"/>
        </w:rPr>
      </w:pPr>
      <w:r>
        <w:rPr>
          <w:rFonts w:cs="Calibri"/>
        </w:rPr>
        <w:t>ITU has d</w:t>
      </w:r>
      <w:r w:rsidR="00436523" w:rsidRPr="006B128E">
        <w:rPr>
          <w:rFonts w:cs="Calibri"/>
        </w:rPr>
        <w:t xml:space="preserve">eveloped a phased approach to engagement with UNDCO in which ITU has identified and agreed with UNDCO the ITU offerings by region, shared a joint commitment (between ITU and UNDCO) with all RCs globally, and agreed on a list </w:t>
      </w:r>
      <w:r>
        <w:rPr>
          <w:rFonts w:cs="Calibri"/>
        </w:rPr>
        <w:t xml:space="preserve">of </w:t>
      </w:r>
      <w:r w:rsidR="00436523" w:rsidRPr="006B128E">
        <w:rPr>
          <w:rFonts w:cs="Calibri"/>
        </w:rPr>
        <w:t xml:space="preserve">focal countries for initial engagement. Awareness of ITU’s work is being raised through webinars with RCs in each region, and we have already begun our engagement through CCAs and Country Frameworks in many of the focal countries. </w:t>
      </w:r>
    </w:p>
    <w:p w14:paraId="67CA3707" w14:textId="77777777" w:rsidR="00B177AA" w:rsidRDefault="00436523" w:rsidP="0011572C">
      <w:pPr>
        <w:tabs>
          <w:tab w:val="clear" w:pos="567"/>
          <w:tab w:val="clear" w:pos="1134"/>
          <w:tab w:val="clear" w:pos="1701"/>
          <w:tab w:val="clear" w:pos="2268"/>
          <w:tab w:val="clear" w:pos="2835"/>
        </w:tabs>
        <w:spacing w:before="240" w:after="80" w:line="360" w:lineRule="auto"/>
        <w:jc w:val="both"/>
        <w:rPr>
          <w:rFonts w:cs="Calibri"/>
        </w:rPr>
      </w:pPr>
      <w:r w:rsidRPr="006B128E">
        <w:rPr>
          <w:rFonts w:cs="Calibri"/>
        </w:rPr>
        <w:t xml:space="preserve">We have </w:t>
      </w:r>
      <w:r w:rsidR="006B128E">
        <w:rPr>
          <w:rFonts w:cs="Calibri"/>
        </w:rPr>
        <w:t xml:space="preserve">also </w:t>
      </w:r>
      <w:r w:rsidRPr="006B128E">
        <w:rPr>
          <w:rFonts w:cs="Calibri"/>
        </w:rPr>
        <w:t xml:space="preserve">engaged in the </w:t>
      </w:r>
      <w:r w:rsidR="006B128E">
        <w:rPr>
          <w:rFonts w:cs="Calibri"/>
        </w:rPr>
        <w:t>UN</w:t>
      </w:r>
      <w:r w:rsidRPr="006B128E">
        <w:rPr>
          <w:rFonts w:cs="Calibri"/>
        </w:rPr>
        <w:t xml:space="preserve">SG’s Digital Cooperation </w:t>
      </w:r>
      <w:proofErr w:type="gramStart"/>
      <w:r w:rsidRPr="006B128E">
        <w:rPr>
          <w:rFonts w:cs="Calibri"/>
        </w:rPr>
        <w:t>Roadmap</w:t>
      </w:r>
      <w:proofErr w:type="gramEnd"/>
      <w:r w:rsidRPr="006B128E">
        <w:rPr>
          <w:rFonts w:cs="Calibri"/>
        </w:rPr>
        <w:t xml:space="preserve"> and we are actively involved in the Roadmap Response Team. Currently BDT is working, through our statistics department to assist </w:t>
      </w:r>
      <w:r w:rsidRPr="006B128E">
        <w:rPr>
          <w:rFonts w:cs="Calibri"/>
        </w:rPr>
        <w:lastRenderedPageBreak/>
        <w:t xml:space="preserve">the UN in defining the KPIs which will underpin the achievement and measurement of the </w:t>
      </w:r>
      <w:proofErr w:type="gramStart"/>
      <w:r w:rsidRPr="006B128E">
        <w:rPr>
          <w:rFonts w:cs="Calibri"/>
        </w:rPr>
        <w:t>Roadmap’s</w:t>
      </w:r>
      <w:proofErr w:type="gramEnd"/>
      <w:r w:rsidRPr="006B128E">
        <w:rPr>
          <w:rFonts w:cs="Calibri"/>
        </w:rPr>
        <w:t xml:space="preserve"> targets</w:t>
      </w:r>
      <w:r w:rsidR="00B177AA">
        <w:rPr>
          <w:rFonts w:cs="Calibri"/>
        </w:rPr>
        <w:t>, and ITU leads two of the focus areas for the roadmap in implementation efforts with UNDCO.</w:t>
      </w:r>
    </w:p>
    <w:p w14:paraId="283C1FA0" w14:textId="77777777" w:rsidR="00B177AA" w:rsidRDefault="00436523" w:rsidP="0011572C">
      <w:pPr>
        <w:tabs>
          <w:tab w:val="clear" w:pos="567"/>
          <w:tab w:val="clear" w:pos="1134"/>
          <w:tab w:val="clear" w:pos="1701"/>
          <w:tab w:val="clear" w:pos="2268"/>
          <w:tab w:val="clear" w:pos="2835"/>
        </w:tabs>
        <w:spacing w:before="240" w:after="80" w:line="360" w:lineRule="auto"/>
        <w:jc w:val="both"/>
        <w:rPr>
          <w:rFonts w:cs="Calibri"/>
        </w:rPr>
      </w:pPr>
      <w:r w:rsidRPr="00B177AA">
        <w:rPr>
          <w:rFonts w:cs="Calibri"/>
        </w:rPr>
        <w:t>ITU engages on an increasing bas</w:t>
      </w:r>
      <w:r w:rsidR="00B177AA">
        <w:rPr>
          <w:rFonts w:cs="Calibri"/>
        </w:rPr>
        <w:t>i</w:t>
      </w:r>
      <w:r w:rsidRPr="00B177AA">
        <w:rPr>
          <w:rFonts w:cs="Calibri"/>
        </w:rPr>
        <w:t>s in the various UN level assessments, including the Quadrennial review, but perhaps more importantly</w:t>
      </w:r>
      <w:r w:rsidR="00B177AA">
        <w:rPr>
          <w:rFonts w:cs="Calibri"/>
        </w:rPr>
        <w:t>, BDT has increasingly begun to use the findings of these reviews</w:t>
      </w:r>
      <w:r w:rsidRPr="00B177AA">
        <w:rPr>
          <w:rFonts w:cs="Calibri"/>
        </w:rPr>
        <w:t xml:space="preserve"> as criteria for improved performance through internal monitoring and evaluation.</w:t>
      </w:r>
    </w:p>
    <w:p w14:paraId="40FFD550" w14:textId="523E9AC4" w:rsidR="00436523" w:rsidRPr="00B177AA" w:rsidRDefault="00B177AA" w:rsidP="0011572C">
      <w:pPr>
        <w:tabs>
          <w:tab w:val="clear" w:pos="567"/>
          <w:tab w:val="clear" w:pos="1134"/>
          <w:tab w:val="clear" w:pos="1701"/>
          <w:tab w:val="clear" w:pos="2268"/>
          <w:tab w:val="clear" w:pos="2835"/>
        </w:tabs>
        <w:spacing w:before="240" w:after="80" w:line="360" w:lineRule="auto"/>
        <w:jc w:val="both"/>
        <w:rPr>
          <w:rFonts w:cs="Calibri"/>
        </w:rPr>
      </w:pPr>
      <w:r>
        <w:rPr>
          <w:rFonts w:cs="Calibri"/>
        </w:rPr>
        <w:t>Finally, t</w:t>
      </w:r>
      <w:r w:rsidR="00436523" w:rsidRPr="00B177AA">
        <w:rPr>
          <w:rFonts w:cs="Calibri"/>
        </w:rPr>
        <w:t xml:space="preserve">he </w:t>
      </w:r>
      <w:r>
        <w:rPr>
          <w:rFonts w:cs="Calibri"/>
        </w:rPr>
        <w:t xml:space="preserve">BDT </w:t>
      </w:r>
      <w:r w:rsidR="00436523" w:rsidRPr="00B177AA">
        <w:rPr>
          <w:rFonts w:cs="Calibri"/>
        </w:rPr>
        <w:t>Liaison Office</w:t>
      </w:r>
      <w:r>
        <w:rPr>
          <w:rFonts w:cs="Calibri"/>
        </w:rPr>
        <w:t xml:space="preserve"> was established</w:t>
      </w:r>
      <w:r w:rsidR="00436523" w:rsidRPr="00B177AA">
        <w:rPr>
          <w:rFonts w:cs="Calibri"/>
        </w:rPr>
        <w:t xml:space="preserve"> in the ITU’s office in New York</w:t>
      </w:r>
      <w:r>
        <w:rPr>
          <w:rFonts w:cs="Calibri"/>
        </w:rPr>
        <w:t xml:space="preserve"> from 1 May 2021</w:t>
      </w:r>
      <w:r w:rsidR="00436523" w:rsidRPr="00B177AA">
        <w:rPr>
          <w:rFonts w:cs="Calibri"/>
        </w:rPr>
        <w:t xml:space="preserve">, which will provide an additional layer of coordination and engagement with the UN </w:t>
      </w:r>
      <w:r>
        <w:rPr>
          <w:rFonts w:cs="Calibri"/>
        </w:rPr>
        <w:t>and</w:t>
      </w:r>
      <w:r w:rsidR="00436523" w:rsidRPr="00B177AA">
        <w:rPr>
          <w:rFonts w:cs="Calibri"/>
        </w:rPr>
        <w:t xml:space="preserve"> significantly strengthen our ability to participate fully in the UNDS globally and will fully connect the web of our regional offices, with the UN system.</w:t>
      </w:r>
      <w:r>
        <w:rPr>
          <w:rFonts w:cs="Calibri"/>
        </w:rPr>
        <w:t xml:space="preserve"> This office has been specifically focussed on engagement within LDCs, LLDCs, and SIDS, so will also enhance ITU’s effectiveness in providing support to those countries most in need, through better engagement with the UN system.</w:t>
      </w:r>
    </w:p>
    <w:p w14:paraId="3A5C551D" w14:textId="77777777" w:rsidR="00BE24AE" w:rsidRPr="00B177AA" w:rsidRDefault="00096518" w:rsidP="007A217D">
      <w:pPr>
        <w:spacing w:before="240" w:after="120" w:line="360" w:lineRule="auto"/>
        <w:jc w:val="both"/>
        <w:rPr>
          <w:rFonts w:asciiTheme="minorHAnsi" w:hAnsiTheme="minorHAnsi" w:cstheme="minorHAnsi"/>
          <w:b/>
          <w:bCs/>
          <w:szCs w:val="22"/>
        </w:rPr>
      </w:pPr>
      <w:r w:rsidRPr="00B177AA">
        <w:rPr>
          <w:rFonts w:asciiTheme="minorHAnsi" w:hAnsiTheme="minorHAnsi" w:cstheme="minorHAnsi"/>
          <w:b/>
          <w:bCs/>
          <w:szCs w:val="22"/>
          <w:u w:val="single"/>
        </w:rPr>
        <w:t>Coordination, Coherence and Oversight</w:t>
      </w:r>
      <w:r w:rsidRPr="00B177AA">
        <w:rPr>
          <w:rFonts w:asciiTheme="minorHAnsi" w:hAnsiTheme="minorHAnsi" w:cstheme="minorHAnsi"/>
          <w:b/>
          <w:bCs/>
          <w:szCs w:val="22"/>
        </w:rPr>
        <w:t xml:space="preserve">: </w:t>
      </w:r>
    </w:p>
    <w:p w14:paraId="0FB0B76E" w14:textId="2BEB67EA" w:rsidR="00096518" w:rsidRPr="00B177AA" w:rsidRDefault="00B177AA" w:rsidP="0011572C">
      <w:pPr>
        <w:spacing w:before="240" w:after="120" w:line="360" w:lineRule="auto"/>
        <w:jc w:val="both"/>
        <w:rPr>
          <w:rFonts w:asciiTheme="minorHAnsi" w:hAnsiTheme="minorHAnsi" w:cstheme="minorHAnsi"/>
          <w:b/>
          <w:bCs/>
          <w:color w:val="1F497D" w:themeColor="text2"/>
          <w:szCs w:val="22"/>
        </w:rPr>
      </w:pPr>
      <w:r w:rsidRPr="00B177AA">
        <w:rPr>
          <w:rFonts w:asciiTheme="minorHAnsi" w:hAnsiTheme="minorHAnsi" w:cstheme="minorHAnsi"/>
          <w:b/>
          <w:bCs/>
          <w:color w:val="1F497D" w:themeColor="text2"/>
          <w:szCs w:val="22"/>
        </w:rPr>
        <w:t xml:space="preserve">Switzerland: </w:t>
      </w:r>
      <w:r w:rsidR="00096518" w:rsidRPr="00B177AA">
        <w:rPr>
          <w:rFonts w:asciiTheme="minorHAnsi" w:hAnsiTheme="minorHAnsi" w:cstheme="minorHAnsi"/>
          <w:b/>
          <w:bCs/>
          <w:color w:val="1F497D" w:themeColor="text2"/>
          <w:szCs w:val="22"/>
        </w:rPr>
        <w:t xml:space="preserve">While it does not seem advisable to redeploy TSB and BR staff to regional offices, Switzerland is of the view that </w:t>
      </w:r>
      <w:r w:rsidR="00096518" w:rsidRPr="00B177AA">
        <w:rPr>
          <w:rFonts w:asciiTheme="minorHAnsi" w:hAnsiTheme="minorHAnsi" w:cstheme="minorHAnsi"/>
          <w:b/>
          <w:bCs/>
          <w:color w:val="1F497D" w:themeColor="text2"/>
          <w:spacing w:val="-4"/>
          <w:szCs w:val="22"/>
        </w:rPr>
        <w:t>it is important that field offices can benefit as much as possible from the specific technical expertise at headquarters. Direct contact and communication between staff at regional offices and headquarters should be supported best possibly. A small coordination team could support mandate delivery also in the long-term.</w:t>
      </w:r>
    </w:p>
    <w:p w14:paraId="715CA821" w14:textId="05F8F4B8" w:rsidR="002D6D53" w:rsidRPr="00BE24AE" w:rsidRDefault="002D6D53" w:rsidP="0011572C">
      <w:pPr>
        <w:tabs>
          <w:tab w:val="clear" w:pos="567"/>
          <w:tab w:val="clear" w:pos="1134"/>
          <w:tab w:val="clear" w:pos="1701"/>
          <w:tab w:val="clear" w:pos="2268"/>
          <w:tab w:val="clear" w:pos="2835"/>
        </w:tabs>
        <w:spacing w:before="80" w:after="80" w:line="360" w:lineRule="auto"/>
        <w:jc w:val="both"/>
        <w:rPr>
          <w:rFonts w:cs="Calibri"/>
        </w:rPr>
      </w:pPr>
      <w:r w:rsidRPr="00BE24AE">
        <w:rPr>
          <w:rFonts w:cs="Calibri"/>
        </w:rPr>
        <w:t xml:space="preserve">The issue of more effective collaboration with the BR and TSB within the regional presence is one part of the ongoing efforts to coordinate between the Bureaux across ITU. The suggestions made in the PWC report are noted in this regard and the Secretariat </w:t>
      </w:r>
      <w:r w:rsidR="00BE24AE">
        <w:rPr>
          <w:rFonts w:cs="Calibri"/>
        </w:rPr>
        <w:t>continues</w:t>
      </w:r>
      <w:r w:rsidRPr="00BE24AE">
        <w:rPr>
          <w:rFonts w:cs="Calibri"/>
        </w:rPr>
        <w:t xml:space="preserve"> to review these options. </w:t>
      </w:r>
    </w:p>
    <w:p w14:paraId="6AF72B72" w14:textId="209DAD03" w:rsidR="00BE24AE" w:rsidRPr="00BE24AE" w:rsidRDefault="00BE24AE" w:rsidP="007A217D">
      <w:pPr>
        <w:spacing w:before="240" w:line="360" w:lineRule="auto"/>
        <w:jc w:val="both"/>
        <w:rPr>
          <w:rFonts w:cs="Calibri"/>
          <w:spacing w:val="-4"/>
          <w:szCs w:val="24"/>
          <w:lang w:val="en-US" w:eastAsia="zh-CN"/>
        </w:rPr>
      </w:pPr>
      <w:r w:rsidRPr="00BE24AE">
        <w:rPr>
          <w:rFonts w:cs="Calibri"/>
          <w:spacing w:val="-4"/>
          <w:szCs w:val="24"/>
          <w:lang w:val="en-US"/>
        </w:rPr>
        <w:t xml:space="preserve">The Secretariat notes the comments submitted by Switzerland on the implementation of a One ITU approach to the regional presence. It is noted that the PwC recommendations (1.1-1.3) propose </w:t>
      </w:r>
      <w:r w:rsidR="00CC6072">
        <w:rPr>
          <w:rFonts w:cs="Calibri"/>
          <w:spacing w:val="-4"/>
          <w:szCs w:val="24"/>
          <w:lang w:val="en-US"/>
        </w:rPr>
        <w:t xml:space="preserve">a </w:t>
      </w:r>
      <w:r w:rsidRPr="00BE24AE">
        <w:rPr>
          <w:rFonts w:cs="Calibri"/>
          <w:spacing w:val="-4"/>
          <w:szCs w:val="24"/>
          <w:lang w:val="en-US"/>
        </w:rPr>
        <w:t xml:space="preserve">significant increase in the presence of BR and TSB in regional and area offices, including proposals for the reassignment of members of staff from BR and TSB (a total of 8 staff) to regional offices. The </w:t>
      </w:r>
      <w:r w:rsidR="001C0B4D">
        <w:rPr>
          <w:rFonts w:cs="Calibri"/>
          <w:spacing w:val="-4"/>
          <w:szCs w:val="24"/>
          <w:lang w:val="en-US"/>
        </w:rPr>
        <w:t xml:space="preserve">Secretariat has reviewed this proposal, and the </w:t>
      </w:r>
      <w:r w:rsidRPr="00BE24AE">
        <w:rPr>
          <w:rFonts w:cs="Calibri"/>
          <w:spacing w:val="-4"/>
          <w:szCs w:val="24"/>
          <w:lang w:val="en-US"/>
        </w:rPr>
        <w:t xml:space="preserve">BR and TSB </w:t>
      </w:r>
      <w:r w:rsidR="00CC6072">
        <w:rPr>
          <w:rFonts w:cs="Calibri"/>
          <w:spacing w:val="-4"/>
          <w:szCs w:val="24"/>
          <w:lang w:val="en-US"/>
        </w:rPr>
        <w:t>consider that</w:t>
      </w:r>
      <w:r w:rsidRPr="00BE24AE">
        <w:rPr>
          <w:rFonts w:cs="Calibri"/>
          <w:spacing w:val="-4"/>
          <w:szCs w:val="24"/>
          <w:lang w:val="en-US"/>
        </w:rPr>
        <w:t xml:space="preserve"> </w:t>
      </w:r>
      <w:r w:rsidR="005B76CF">
        <w:rPr>
          <w:rFonts w:cs="Calibri"/>
          <w:spacing w:val="-4"/>
          <w:szCs w:val="24"/>
          <w:lang w:val="en-US"/>
        </w:rPr>
        <w:t>the</w:t>
      </w:r>
      <w:r w:rsidRPr="00BE24AE">
        <w:rPr>
          <w:rFonts w:cs="Calibri"/>
          <w:spacing w:val="-4"/>
          <w:szCs w:val="24"/>
          <w:lang w:val="en-US"/>
        </w:rPr>
        <w:t xml:space="preserve"> approach </w:t>
      </w:r>
      <w:r>
        <w:rPr>
          <w:rFonts w:cs="Calibri"/>
          <w:spacing w:val="-4"/>
          <w:szCs w:val="24"/>
          <w:lang w:val="en-US"/>
        </w:rPr>
        <w:t>would</w:t>
      </w:r>
      <w:r w:rsidRPr="00BE24AE">
        <w:rPr>
          <w:rFonts w:cs="Calibri"/>
          <w:spacing w:val="-4"/>
          <w:szCs w:val="24"/>
          <w:lang w:val="en-US"/>
        </w:rPr>
        <w:t xml:space="preserve"> </w:t>
      </w:r>
      <w:r w:rsidR="005B76CF">
        <w:rPr>
          <w:rFonts w:cs="Calibri"/>
          <w:spacing w:val="-4"/>
          <w:szCs w:val="24"/>
          <w:lang w:val="en-US"/>
        </w:rPr>
        <w:t xml:space="preserve">not </w:t>
      </w:r>
      <w:r w:rsidRPr="00BE24AE">
        <w:rPr>
          <w:rFonts w:cs="Calibri"/>
          <w:spacing w:val="-4"/>
          <w:szCs w:val="24"/>
          <w:lang w:val="en-US"/>
        </w:rPr>
        <w:t>be practical</w:t>
      </w:r>
      <w:r>
        <w:rPr>
          <w:rFonts w:cs="Calibri"/>
          <w:spacing w:val="-4"/>
          <w:szCs w:val="24"/>
          <w:lang w:val="en-US"/>
        </w:rPr>
        <w:t>. There are concerns that</w:t>
      </w:r>
      <w:r w:rsidRPr="00BE24AE">
        <w:rPr>
          <w:rFonts w:cs="Calibri"/>
          <w:spacing w:val="-4"/>
          <w:szCs w:val="24"/>
          <w:lang w:val="en-US"/>
        </w:rPr>
        <w:t xml:space="preserve"> it would detract from the highly specialized technical nature of the </w:t>
      </w:r>
      <w:r w:rsidR="00F03E08">
        <w:rPr>
          <w:rFonts w:cs="Calibri"/>
          <w:spacing w:val="-4"/>
          <w:szCs w:val="24"/>
          <w:lang w:val="en-US"/>
        </w:rPr>
        <w:t xml:space="preserve">work and </w:t>
      </w:r>
      <w:r w:rsidRPr="00BE24AE">
        <w:rPr>
          <w:rFonts w:cs="Calibri"/>
          <w:spacing w:val="-4"/>
          <w:szCs w:val="24"/>
          <w:lang w:val="en-US"/>
        </w:rPr>
        <w:t>staff of the BR and TSB and would (particularly over-time) result in reduc</w:t>
      </w:r>
      <w:r w:rsidR="00F03E08">
        <w:rPr>
          <w:rFonts w:cs="Calibri"/>
          <w:spacing w:val="-4"/>
          <w:szCs w:val="24"/>
          <w:lang w:val="en-US"/>
        </w:rPr>
        <w:t>ing the</w:t>
      </w:r>
      <w:r w:rsidRPr="00BE24AE">
        <w:rPr>
          <w:rFonts w:cs="Calibri"/>
          <w:spacing w:val="-4"/>
          <w:szCs w:val="24"/>
          <w:lang w:val="en-US"/>
        </w:rPr>
        <w:t xml:space="preserve"> effectiveness </w:t>
      </w:r>
      <w:r w:rsidR="001C0B4D">
        <w:rPr>
          <w:rFonts w:cs="Calibri"/>
          <w:spacing w:val="-4"/>
          <w:szCs w:val="24"/>
          <w:lang w:val="en-US"/>
        </w:rPr>
        <w:t>and</w:t>
      </w:r>
      <w:r w:rsidRPr="00BE24AE">
        <w:rPr>
          <w:rFonts w:cs="Calibri"/>
          <w:spacing w:val="-4"/>
          <w:szCs w:val="24"/>
          <w:lang w:val="en-US"/>
        </w:rPr>
        <w:t xml:space="preserve"> added technical value of such assignments to the regions. </w:t>
      </w:r>
    </w:p>
    <w:p w14:paraId="274AA269" w14:textId="136F2B74" w:rsidR="00BE24AE" w:rsidRPr="00BE24AE" w:rsidRDefault="00BE24AE" w:rsidP="0011572C">
      <w:pPr>
        <w:spacing w:before="240" w:line="360" w:lineRule="auto"/>
        <w:jc w:val="both"/>
        <w:rPr>
          <w:rFonts w:cs="Calibri"/>
          <w:spacing w:val="-4"/>
          <w:szCs w:val="24"/>
          <w:lang w:val="en-US"/>
        </w:rPr>
      </w:pPr>
      <w:r w:rsidRPr="00BE24AE">
        <w:rPr>
          <w:rFonts w:cs="Calibri"/>
          <w:spacing w:val="-4"/>
          <w:szCs w:val="24"/>
          <w:lang w:val="en-US"/>
        </w:rPr>
        <w:lastRenderedPageBreak/>
        <w:t xml:space="preserve">The Secretariat considers the form of arrangement proposed by Switzerland of a coordination team being responsible for optimal provision of BR and TSB support to regional offices, </w:t>
      </w:r>
      <w:r>
        <w:rPr>
          <w:rFonts w:cs="Calibri"/>
          <w:spacing w:val="-4"/>
          <w:szCs w:val="24"/>
          <w:lang w:val="en-US"/>
        </w:rPr>
        <w:t>may be an</w:t>
      </w:r>
      <w:r w:rsidRPr="00BE24AE">
        <w:rPr>
          <w:rFonts w:cs="Calibri"/>
          <w:spacing w:val="-4"/>
          <w:szCs w:val="24"/>
          <w:lang w:val="en-US"/>
        </w:rPr>
        <w:t xml:space="preserve"> appropriate way forward. It is noted that this would essentially be an enhancement of the current methods of working which comprises regular coordination between BDT regional staff, and BR and TSB, and which has been improved over the last year. The Secretariat proposes to develop this concept and fully implement it over the next 12 months, as reflected in the workplan submitted to the Ad Hoc Group.</w:t>
      </w:r>
    </w:p>
    <w:p w14:paraId="7545627E" w14:textId="4CA2412D" w:rsidR="00BE24AE" w:rsidRPr="00BE24AE" w:rsidRDefault="00BE24AE" w:rsidP="0011572C">
      <w:pPr>
        <w:spacing w:before="240" w:line="360" w:lineRule="auto"/>
        <w:jc w:val="both"/>
        <w:rPr>
          <w:rFonts w:cs="Calibri"/>
          <w:spacing w:val="-4"/>
          <w:szCs w:val="24"/>
          <w:lang w:val="en-US"/>
        </w:rPr>
      </w:pPr>
      <w:r w:rsidRPr="00BE24AE">
        <w:rPr>
          <w:rFonts w:cs="Calibri"/>
          <w:spacing w:val="-4"/>
          <w:szCs w:val="24"/>
          <w:lang w:val="en-US"/>
        </w:rPr>
        <w:t xml:space="preserve">The </w:t>
      </w:r>
      <w:r w:rsidR="002F43D4">
        <w:rPr>
          <w:rFonts w:cs="Calibri"/>
          <w:spacing w:val="-4"/>
          <w:szCs w:val="24"/>
          <w:lang w:val="en-US"/>
        </w:rPr>
        <w:t>Secretariat</w:t>
      </w:r>
      <w:r w:rsidRPr="00BE24AE">
        <w:rPr>
          <w:rFonts w:cs="Calibri"/>
          <w:spacing w:val="-4"/>
          <w:szCs w:val="24"/>
          <w:lang w:val="en-US"/>
        </w:rPr>
        <w:t xml:space="preserve"> </w:t>
      </w:r>
      <w:r>
        <w:rPr>
          <w:rFonts w:cs="Calibri"/>
          <w:spacing w:val="-4"/>
          <w:szCs w:val="24"/>
          <w:lang w:val="en-US"/>
        </w:rPr>
        <w:t>will consider</w:t>
      </w:r>
      <w:r w:rsidRPr="00BE24AE">
        <w:rPr>
          <w:rFonts w:cs="Calibri"/>
          <w:spacing w:val="-4"/>
          <w:szCs w:val="24"/>
          <w:lang w:val="en-US"/>
        </w:rPr>
        <w:t xml:space="preserve"> the following issues in </w:t>
      </w:r>
      <w:r>
        <w:rPr>
          <w:rFonts w:cs="Calibri"/>
          <w:spacing w:val="-4"/>
          <w:szCs w:val="24"/>
          <w:lang w:val="en-US"/>
        </w:rPr>
        <w:t xml:space="preserve">determining the optimal way to </w:t>
      </w:r>
      <w:r w:rsidRPr="00BE24AE">
        <w:rPr>
          <w:rFonts w:cs="Calibri"/>
          <w:spacing w:val="-4"/>
          <w:szCs w:val="24"/>
          <w:lang w:val="en-US"/>
        </w:rPr>
        <w:t>implement</w:t>
      </w:r>
      <w:r>
        <w:rPr>
          <w:rFonts w:cs="Calibri"/>
          <w:spacing w:val="-4"/>
          <w:szCs w:val="24"/>
          <w:lang w:val="en-US"/>
        </w:rPr>
        <w:t xml:space="preserve"> improvements in this critical area</w:t>
      </w:r>
      <w:r w:rsidRPr="00BE24AE">
        <w:rPr>
          <w:rFonts w:cs="Calibri"/>
          <w:spacing w:val="-4"/>
          <w:szCs w:val="24"/>
          <w:lang w:val="en-US"/>
        </w:rPr>
        <w:t>:</w:t>
      </w:r>
    </w:p>
    <w:p w14:paraId="01E07F80" w14:textId="77777777" w:rsidR="00BE24AE" w:rsidRPr="00BE24AE" w:rsidRDefault="00BE24AE" w:rsidP="0011572C">
      <w:pPr>
        <w:pStyle w:val="ListParagraph"/>
        <w:numPr>
          <w:ilvl w:val="0"/>
          <w:numId w:val="24"/>
        </w:numPr>
        <w:tabs>
          <w:tab w:val="clear" w:pos="567"/>
          <w:tab w:val="clear" w:pos="1134"/>
          <w:tab w:val="clear" w:pos="1701"/>
          <w:tab w:val="clear" w:pos="2268"/>
          <w:tab w:val="clear" w:pos="2835"/>
        </w:tabs>
        <w:overflowPunct/>
        <w:autoSpaceDE/>
        <w:autoSpaceDN/>
        <w:adjustRightInd/>
        <w:spacing w:before="240" w:line="360" w:lineRule="auto"/>
        <w:ind w:left="567" w:hanging="283"/>
        <w:contextualSpacing w:val="0"/>
        <w:jc w:val="both"/>
        <w:textAlignment w:val="auto"/>
        <w:rPr>
          <w:rFonts w:cs="Calibri"/>
          <w:sz w:val="22"/>
          <w:szCs w:val="22"/>
          <w:lang w:val="en-US"/>
        </w:rPr>
      </w:pPr>
      <w:r w:rsidRPr="00BE24AE">
        <w:rPr>
          <w:rFonts w:cs="Calibri"/>
          <w:spacing w:val="-4"/>
          <w:szCs w:val="24"/>
          <w:lang w:val="en-US"/>
        </w:rPr>
        <w:t xml:space="preserve">Convening of a coordinating committee, with clear Terms of Reference, an appropriate periodic meeting schedule, and effective electronic monitoring and evaluation </w:t>
      </w:r>
      <w:proofErr w:type="gramStart"/>
      <w:r w:rsidRPr="00BE24AE">
        <w:rPr>
          <w:rFonts w:cs="Calibri"/>
          <w:spacing w:val="-4"/>
          <w:szCs w:val="24"/>
          <w:lang w:val="en-US"/>
        </w:rPr>
        <w:t>methods;</w:t>
      </w:r>
      <w:proofErr w:type="gramEnd"/>
    </w:p>
    <w:p w14:paraId="1C881191" w14:textId="77777777" w:rsidR="00BE24AE" w:rsidRPr="00BE24AE" w:rsidRDefault="00BE24AE" w:rsidP="0011572C">
      <w:pPr>
        <w:pStyle w:val="ListParagraph"/>
        <w:numPr>
          <w:ilvl w:val="0"/>
          <w:numId w:val="24"/>
        </w:numPr>
        <w:tabs>
          <w:tab w:val="clear" w:pos="567"/>
          <w:tab w:val="clear" w:pos="1134"/>
          <w:tab w:val="clear" w:pos="1701"/>
          <w:tab w:val="clear" w:pos="2268"/>
          <w:tab w:val="clear" w:pos="2835"/>
        </w:tabs>
        <w:overflowPunct/>
        <w:autoSpaceDE/>
        <w:autoSpaceDN/>
        <w:adjustRightInd/>
        <w:spacing w:before="240" w:line="360" w:lineRule="auto"/>
        <w:ind w:left="567" w:hanging="283"/>
        <w:contextualSpacing w:val="0"/>
        <w:jc w:val="both"/>
        <w:textAlignment w:val="auto"/>
        <w:rPr>
          <w:rFonts w:cs="Calibri"/>
          <w:lang w:val="en-US"/>
        </w:rPr>
      </w:pPr>
      <w:r w:rsidRPr="00BE24AE">
        <w:rPr>
          <w:rFonts w:cs="Calibri"/>
          <w:spacing w:val="-4"/>
          <w:szCs w:val="24"/>
          <w:lang w:val="en-US"/>
        </w:rPr>
        <w:t xml:space="preserve">Ensuring engagement by Regional and Area Offices with member states on needs for assistance on matters pertaining to BR, TSB and the General </w:t>
      </w:r>
      <w:proofErr w:type="gramStart"/>
      <w:r w:rsidRPr="00BE24AE">
        <w:rPr>
          <w:rFonts w:cs="Calibri"/>
          <w:spacing w:val="-4"/>
          <w:szCs w:val="24"/>
          <w:lang w:val="en-US"/>
        </w:rPr>
        <w:t>Secretariat;</w:t>
      </w:r>
      <w:proofErr w:type="gramEnd"/>
    </w:p>
    <w:p w14:paraId="6B54951E" w14:textId="1CB84CEC" w:rsidR="00BE24AE" w:rsidRPr="006B128E" w:rsidRDefault="00BE24AE" w:rsidP="0011572C">
      <w:pPr>
        <w:pStyle w:val="ListParagraph"/>
        <w:numPr>
          <w:ilvl w:val="0"/>
          <w:numId w:val="24"/>
        </w:numPr>
        <w:tabs>
          <w:tab w:val="clear" w:pos="567"/>
          <w:tab w:val="clear" w:pos="1134"/>
          <w:tab w:val="clear" w:pos="1701"/>
          <w:tab w:val="clear" w:pos="2268"/>
          <w:tab w:val="clear" w:pos="2835"/>
        </w:tabs>
        <w:overflowPunct/>
        <w:autoSpaceDE/>
        <w:autoSpaceDN/>
        <w:adjustRightInd/>
        <w:spacing w:before="240" w:line="360" w:lineRule="auto"/>
        <w:ind w:left="567" w:hanging="283"/>
        <w:contextualSpacing w:val="0"/>
        <w:jc w:val="both"/>
        <w:textAlignment w:val="auto"/>
        <w:rPr>
          <w:rFonts w:cs="Calibri"/>
          <w:lang w:val="en-US"/>
        </w:rPr>
      </w:pPr>
      <w:r w:rsidRPr="00BE24AE">
        <w:rPr>
          <w:rFonts w:cs="Calibri"/>
          <w:spacing w:val="-4"/>
          <w:szCs w:val="24"/>
          <w:lang w:val="en-US"/>
        </w:rPr>
        <w:t>Providing a clear framework for provision of assistance from all Bureaux and the General Secretariat to meet member needs.</w:t>
      </w:r>
    </w:p>
    <w:p w14:paraId="656BB41A" w14:textId="4D834B5A" w:rsidR="006B128E" w:rsidRPr="006B128E" w:rsidRDefault="006B128E" w:rsidP="0011572C">
      <w:pPr>
        <w:tabs>
          <w:tab w:val="clear" w:pos="567"/>
          <w:tab w:val="clear" w:pos="1134"/>
          <w:tab w:val="clear" w:pos="1701"/>
          <w:tab w:val="clear" w:pos="2268"/>
          <w:tab w:val="clear" w:pos="2835"/>
        </w:tabs>
        <w:overflowPunct/>
        <w:autoSpaceDE/>
        <w:autoSpaceDN/>
        <w:adjustRightInd/>
        <w:spacing w:before="240" w:line="360" w:lineRule="auto"/>
        <w:jc w:val="both"/>
        <w:textAlignment w:val="auto"/>
        <w:rPr>
          <w:rFonts w:cs="Calibri"/>
          <w:lang w:val="en-US"/>
        </w:rPr>
      </w:pPr>
      <w:r>
        <w:rPr>
          <w:rFonts w:cs="Calibri"/>
          <w:lang w:val="en-US"/>
        </w:rPr>
        <w:t xml:space="preserve">The </w:t>
      </w:r>
      <w:r w:rsidR="002F43D4">
        <w:rPr>
          <w:rFonts w:cs="Calibri"/>
          <w:lang w:val="en-US"/>
        </w:rPr>
        <w:t>Secretariat</w:t>
      </w:r>
      <w:r>
        <w:rPr>
          <w:rFonts w:cs="Calibri"/>
          <w:lang w:val="en-US"/>
        </w:rPr>
        <w:t xml:space="preserve"> will continue to report on progress in this area, together with the other recommendations made by PWC.</w:t>
      </w:r>
    </w:p>
    <w:p w14:paraId="6577C9E8" w14:textId="23C13105" w:rsidR="009850E0" w:rsidRDefault="009850E0" w:rsidP="009850E0">
      <w:pPr>
        <w:pStyle w:val="Heading1"/>
        <w:numPr>
          <w:ilvl w:val="0"/>
          <w:numId w:val="2"/>
        </w:numPr>
        <w:rPr>
          <w:lang w:val="en-US"/>
        </w:rPr>
      </w:pPr>
      <w:r>
        <w:rPr>
          <w:lang w:val="en-US"/>
        </w:rPr>
        <w:t>Contribution by Australia</w:t>
      </w:r>
    </w:p>
    <w:p w14:paraId="3F89A8D1" w14:textId="718F999C" w:rsidR="009850E0" w:rsidRPr="0097023D" w:rsidRDefault="003E1FFC" w:rsidP="009850E0">
      <w:pPr>
        <w:snapToGrid w:val="0"/>
        <w:spacing w:before="240" w:line="360" w:lineRule="auto"/>
        <w:jc w:val="both"/>
        <w:rPr>
          <w:rFonts w:cs="Calibri"/>
          <w:b/>
          <w:bCs/>
          <w:color w:val="1F497D" w:themeColor="text2"/>
        </w:rPr>
      </w:pPr>
      <w:r w:rsidRPr="0097023D">
        <w:rPr>
          <w:rFonts w:cs="Calibri"/>
          <w:b/>
          <w:bCs/>
          <w:color w:val="1F497D" w:themeColor="text2"/>
        </w:rPr>
        <w:t xml:space="preserve">In its </w:t>
      </w:r>
      <w:r w:rsidR="00231EFD" w:rsidRPr="0097023D">
        <w:rPr>
          <w:rFonts w:cs="Calibri"/>
          <w:b/>
          <w:bCs/>
          <w:color w:val="1F497D" w:themeColor="text2"/>
        </w:rPr>
        <w:t>contribution</w:t>
      </w:r>
      <w:r w:rsidRPr="0097023D">
        <w:rPr>
          <w:rFonts w:cs="Calibri"/>
          <w:b/>
          <w:bCs/>
          <w:color w:val="1F497D" w:themeColor="text2"/>
        </w:rPr>
        <w:t xml:space="preserve"> (</w:t>
      </w:r>
      <w:r w:rsidR="00231EFD" w:rsidRPr="0097023D">
        <w:rPr>
          <w:rFonts w:asciiTheme="minorHAnsi" w:hAnsiTheme="minorHAnsi" w:cstheme="minorHAnsi"/>
          <w:b/>
          <w:bCs/>
          <w:color w:val="1F497D" w:themeColor="text2"/>
          <w:szCs w:val="24"/>
        </w:rPr>
        <w:t xml:space="preserve">document </w:t>
      </w:r>
      <w:hyperlink r:id="rId13" w:history="1">
        <w:r w:rsidR="00231EFD" w:rsidRPr="0097023D">
          <w:rPr>
            <w:rStyle w:val="Hyperlink"/>
            <w:rFonts w:eastAsia="Calibri" w:cs="Times New Roman Bold"/>
            <w:b/>
            <w:bCs/>
            <w:color w:val="1F497D" w:themeColor="text2"/>
            <w:spacing w:val="-4"/>
            <w:szCs w:val="22"/>
            <w:lang w:val="de-CH"/>
          </w:rPr>
          <w:t>CWG-FHR-AH-RegPres-2/4</w:t>
        </w:r>
      </w:hyperlink>
      <w:r w:rsidRPr="0097023D">
        <w:rPr>
          <w:rFonts w:cs="Calibri"/>
          <w:b/>
          <w:bCs/>
          <w:color w:val="1F497D" w:themeColor="text2"/>
        </w:rPr>
        <w:t>)</w:t>
      </w:r>
      <w:r w:rsidR="00231EFD" w:rsidRPr="0097023D">
        <w:rPr>
          <w:rFonts w:cs="Calibri"/>
          <w:b/>
          <w:bCs/>
          <w:color w:val="1F497D" w:themeColor="text2"/>
        </w:rPr>
        <w:t xml:space="preserve"> Australia requested</w:t>
      </w:r>
      <w:r w:rsidR="009850E0" w:rsidRPr="0097023D">
        <w:rPr>
          <w:rFonts w:cs="Calibri"/>
          <w:b/>
          <w:bCs/>
          <w:color w:val="1F497D" w:themeColor="text2"/>
        </w:rPr>
        <w:t xml:space="preserve"> </w:t>
      </w:r>
      <w:r w:rsidR="00231EFD" w:rsidRPr="0097023D">
        <w:rPr>
          <w:rFonts w:cs="Calibri"/>
          <w:b/>
          <w:bCs/>
          <w:color w:val="1F497D" w:themeColor="text2"/>
        </w:rPr>
        <w:t xml:space="preserve">that the Secretariat outline its </w:t>
      </w:r>
      <w:r w:rsidR="009850E0" w:rsidRPr="0097023D">
        <w:rPr>
          <w:rFonts w:cs="Calibri"/>
          <w:b/>
          <w:bCs/>
          <w:color w:val="1F497D" w:themeColor="text2"/>
        </w:rPr>
        <w:t>further reflections on how the regional presence can best support mandate delivery in a coherent and coordinated manner.</w:t>
      </w:r>
    </w:p>
    <w:p w14:paraId="75B63AC2" w14:textId="02CB4A7B" w:rsidR="0097023D" w:rsidRDefault="00BD0F50" w:rsidP="009850E0">
      <w:pPr>
        <w:snapToGrid w:val="0"/>
        <w:spacing w:before="240" w:line="360" w:lineRule="auto"/>
        <w:jc w:val="both"/>
        <w:rPr>
          <w:rFonts w:cs="Calibri"/>
          <w:lang w:val="en-AU"/>
        </w:rPr>
      </w:pPr>
      <w:r>
        <w:rPr>
          <w:rFonts w:cs="Calibri"/>
          <w:lang w:val="en-AU"/>
        </w:rPr>
        <w:t xml:space="preserve">The Secretariat </w:t>
      </w:r>
      <w:r w:rsidR="00B31411">
        <w:rPr>
          <w:rFonts w:cs="Calibri"/>
          <w:lang w:val="en-AU"/>
        </w:rPr>
        <w:t xml:space="preserve">considers that the PWC report provides valuable insights on methods for improving mandate delivery by the ITU regional </w:t>
      </w:r>
      <w:r w:rsidR="00934D77">
        <w:rPr>
          <w:rFonts w:cs="Calibri"/>
          <w:lang w:val="en-AU"/>
        </w:rPr>
        <w:t>presence and</w:t>
      </w:r>
      <w:r w:rsidR="00B31411">
        <w:rPr>
          <w:rFonts w:cs="Calibri"/>
          <w:lang w:val="en-AU"/>
        </w:rPr>
        <w:t xml:space="preserve"> considers that the significant extent to which the recommendations made by PWC had already been commenced by the Secretariat, underscores the Secretariat’s </w:t>
      </w:r>
      <w:r w:rsidR="00934D77">
        <w:rPr>
          <w:rFonts w:cs="Calibri"/>
          <w:lang w:val="en-AU"/>
        </w:rPr>
        <w:t xml:space="preserve">effective </w:t>
      </w:r>
      <w:r w:rsidR="00B31411">
        <w:rPr>
          <w:rFonts w:cs="Calibri"/>
          <w:lang w:val="en-AU"/>
        </w:rPr>
        <w:t xml:space="preserve">positioning to assess and improve delivery of ITU’s mandate. The Secretariat repeats the points made above in the context of the </w:t>
      </w:r>
      <w:r w:rsidR="00D6062E">
        <w:rPr>
          <w:rFonts w:cs="Calibri"/>
          <w:lang w:val="en-AU"/>
        </w:rPr>
        <w:t xml:space="preserve">questions from </w:t>
      </w:r>
      <w:r w:rsidR="00B31411">
        <w:rPr>
          <w:rFonts w:cs="Calibri"/>
          <w:lang w:val="en-AU"/>
        </w:rPr>
        <w:t xml:space="preserve">Switzerland </w:t>
      </w:r>
      <w:r w:rsidR="00D6062E">
        <w:rPr>
          <w:rFonts w:cs="Calibri"/>
          <w:lang w:val="en-AU"/>
        </w:rPr>
        <w:t xml:space="preserve">and notes that the overall approach by the Ad Hoc Group, to establish the core strategic principles against which implementation should be </w:t>
      </w:r>
      <w:r w:rsidR="0084432E">
        <w:rPr>
          <w:rFonts w:cs="Calibri"/>
          <w:lang w:val="en-AU"/>
        </w:rPr>
        <w:t>taken</w:t>
      </w:r>
      <w:r w:rsidR="0083208E">
        <w:rPr>
          <w:rFonts w:cs="Calibri"/>
          <w:lang w:val="en-AU"/>
        </w:rPr>
        <w:t xml:space="preserve">, and to have the </w:t>
      </w:r>
      <w:r w:rsidR="00934D77">
        <w:rPr>
          <w:rFonts w:cs="Calibri"/>
          <w:lang w:val="en-AU"/>
        </w:rPr>
        <w:t>S</w:t>
      </w:r>
      <w:r w:rsidR="0083208E">
        <w:rPr>
          <w:rFonts w:cs="Calibri"/>
          <w:lang w:val="en-AU"/>
        </w:rPr>
        <w:t xml:space="preserve">ecretariat embark on a </w:t>
      </w:r>
      <w:r w:rsidR="005C1795">
        <w:rPr>
          <w:rFonts w:cs="Calibri"/>
          <w:lang w:val="en-AU"/>
        </w:rPr>
        <w:t xml:space="preserve">process of implementation of the PWC recommendations with frequent reporting </w:t>
      </w:r>
      <w:r w:rsidR="00934D77">
        <w:rPr>
          <w:rFonts w:cs="Calibri"/>
          <w:lang w:val="en-AU"/>
        </w:rPr>
        <w:t xml:space="preserve">to council for </w:t>
      </w:r>
      <w:proofErr w:type="gramStart"/>
      <w:r w:rsidR="005C1795">
        <w:rPr>
          <w:rFonts w:cs="Calibri"/>
          <w:lang w:val="en-AU"/>
        </w:rPr>
        <w:t xml:space="preserve">advice </w:t>
      </w:r>
      <w:r w:rsidR="00934D77">
        <w:rPr>
          <w:rFonts w:cs="Calibri"/>
          <w:lang w:val="en-AU"/>
        </w:rPr>
        <w:t xml:space="preserve"> and</w:t>
      </w:r>
      <w:proofErr w:type="gramEnd"/>
      <w:r w:rsidR="00934D77">
        <w:rPr>
          <w:rFonts w:cs="Calibri"/>
          <w:lang w:val="en-AU"/>
        </w:rPr>
        <w:t xml:space="preserve"> </w:t>
      </w:r>
      <w:r w:rsidR="00934D77">
        <w:rPr>
          <w:rFonts w:cs="Calibri"/>
          <w:lang w:val="en-AU"/>
        </w:rPr>
        <w:lastRenderedPageBreak/>
        <w:t>review</w:t>
      </w:r>
      <w:r w:rsidR="005C1795">
        <w:rPr>
          <w:rFonts w:cs="Calibri"/>
          <w:lang w:val="en-AU"/>
        </w:rPr>
        <w:t xml:space="preserve">, is </w:t>
      </w:r>
      <w:r w:rsidR="00934D77">
        <w:rPr>
          <w:rFonts w:cs="Calibri"/>
          <w:lang w:val="en-AU"/>
        </w:rPr>
        <w:t>perhaps most effective</w:t>
      </w:r>
      <w:r w:rsidR="005C1795">
        <w:rPr>
          <w:rFonts w:cs="Calibri"/>
          <w:lang w:val="en-AU"/>
        </w:rPr>
        <w:t xml:space="preserve">. </w:t>
      </w:r>
      <w:r w:rsidR="00DE0956">
        <w:rPr>
          <w:rFonts w:cs="Calibri"/>
          <w:lang w:val="en-AU"/>
        </w:rPr>
        <w:t xml:space="preserve">In that framework, the Secretariat would address implementation of each PWC recommendation </w:t>
      </w:r>
      <w:r w:rsidR="00934D77">
        <w:rPr>
          <w:rFonts w:cs="Calibri"/>
          <w:lang w:val="en-AU"/>
        </w:rPr>
        <w:t>considering</w:t>
      </w:r>
      <w:r w:rsidR="00DE0956">
        <w:rPr>
          <w:rFonts w:cs="Calibri"/>
          <w:lang w:val="en-AU"/>
        </w:rPr>
        <w:t xml:space="preserve"> the relevant strategic criteria</w:t>
      </w:r>
      <w:r w:rsidR="00934D77">
        <w:rPr>
          <w:rFonts w:cs="Calibri"/>
          <w:lang w:val="en-AU"/>
        </w:rPr>
        <w:t xml:space="preserve"> based on current and relevant information. </w:t>
      </w:r>
    </w:p>
    <w:p w14:paraId="0C999284" w14:textId="767CA57C" w:rsidR="00934D77" w:rsidRDefault="00934D77" w:rsidP="009850E0">
      <w:pPr>
        <w:snapToGrid w:val="0"/>
        <w:spacing w:before="240" w:line="360" w:lineRule="auto"/>
        <w:jc w:val="both"/>
        <w:rPr>
          <w:rFonts w:cs="Calibri"/>
          <w:lang w:val="en-AU"/>
        </w:rPr>
      </w:pPr>
      <w:r>
        <w:rPr>
          <w:rFonts w:cs="Calibri"/>
          <w:lang w:val="en-AU"/>
        </w:rPr>
        <w:t>In this regard, the Secretariat notes that where necessary recommendations could be presented for Council and member state consideration on a case-by-case basis where they are outside the Secretariat’s competency or mandate. This would apply, as currently, to matters such as the opening or closure of offices and significant changes in structure or operation of offices.</w:t>
      </w:r>
    </w:p>
    <w:p w14:paraId="26E5717F" w14:textId="1405BC3E" w:rsidR="00A4402B" w:rsidRPr="00386B70" w:rsidRDefault="00A4402B" w:rsidP="009850E0">
      <w:pPr>
        <w:snapToGrid w:val="0"/>
        <w:spacing w:before="240" w:line="360" w:lineRule="auto"/>
        <w:jc w:val="both"/>
        <w:rPr>
          <w:rFonts w:cs="Calibri"/>
          <w:lang w:val="en-AU"/>
        </w:rPr>
      </w:pPr>
      <w:r>
        <w:rPr>
          <w:rFonts w:cs="Calibri"/>
          <w:lang w:val="en-AU"/>
        </w:rPr>
        <w:t xml:space="preserve">The implementation plan being developed by the Secretariat (see Annex 2 of the Report of the Ad Hoc Group) </w:t>
      </w:r>
      <w:r w:rsidR="00A633F9">
        <w:rPr>
          <w:rFonts w:cs="Calibri"/>
          <w:lang w:val="en-AU"/>
        </w:rPr>
        <w:t>provides a clear framework for oversight for Council regarding the recommendations and the efforts to strengthen the regional presence.</w:t>
      </w:r>
    </w:p>
    <w:p w14:paraId="4D3AC798" w14:textId="6B9B5DF0" w:rsidR="008366B2" w:rsidRDefault="008366B2" w:rsidP="0011572C">
      <w:pPr>
        <w:spacing w:line="360" w:lineRule="auto"/>
        <w:rPr>
          <w:lang w:val="en-AU"/>
        </w:rPr>
      </w:pPr>
    </w:p>
    <w:p w14:paraId="426FB5C0" w14:textId="5F9E87AA" w:rsidR="00D24B45" w:rsidRPr="009850E0" w:rsidRDefault="00D24B45" w:rsidP="00D24B45">
      <w:pPr>
        <w:spacing w:line="360" w:lineRule="auto"/>
        <w:jc w:val="center"/>
        <w:rPr>
          <w:lang w:val="en-AU"/>
        </w:rPr>
      </w:pPr>
      <w:r>
        <w:rPr>
          <w:lang w:val="en-AU"/>
        </w:rPr>
        <w:t>__________________</w:t>
      </w:r>
    </w:p>
    <w:sectPr w:rsidR="00D24B45" w:rsidRPr="009850E0" w:rsidSect="00D24B45">
      <w:headerReference w:type="default" r:id="rId14"/>
      <w:footerReference w:type="first" r:id="rId15"/>
      <w:pgSz w:w="11907"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F47B" w14:textId="77777777" w:rsidR="008A1656" w:rsidRDefault="008A1656">
      <w:r>
        <w:separator/>
      </w:r>
    </w:p>
  </w:endnote>
  <w:endnote w:type="continuationSeparator" w:id="0">
    <w:p w14:paraId="3DF9EBDE" w14:textId="77777777" w:rsidR="008A1656" w:rsidRDefault="008A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C540"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21B8" w14:textId="77777777" w:rsidR="008A1656" w:rsidRDefault="008A1656">
      <w:r>
        <w:t>____________________</w:t>
      </w:r>
    </w:p>
  </w:footnote>
  <w:footnote w:type="continuationSeparator" w:id="0">
    <w:p w14:paraId="22C32198" w14:textId="77777777" w:rsidR="008A1656" w:rsidRDefault="008A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6BA92BC2" w:rsidR="00322D0D" w:rsidRDefault="00D24B45" w:rsidP="00CE433C">
    <w:pPr>
      <w:pStyle w:val="Header"/>
    </w:pPr>
    <w:r>
      <w:t>- </w:t>
    </w:r>
    <w:r w:rsidR="006535F1">
      <w:fldChar w:fldCharType="begin"/>
    </w:r>
    <w:r w:rsidR="006535F1">
      <w:instrText>PAGE</w:instrText>
    </w:r>
    <w:r w:rsidR="006535F1">
      <w:fldChar w:fldCharType="separate"/>
    </w:r>
    <w:r w:rsidR="00D338E0">
      <w:rPr>
        <w:noProof/>
      </w:rPr>
      <w:t>2</w:t>
    </w:r>
    <w:r w:rsidR="006535F1">
      <w:rPr>
        <w:noProof/>
      </w:rPr>
      <w:fldChar w:fldCharType="end"/>
    </w:r>
    <w:r>
      <w:rPr>
        <w:noProof/>
      </w:rPr>
      <w:t> -</w:t>
    </w:r>
  </w:p>
  <w:p w14:paraId="34EC98F4" w14:textId="74F32B43" w:rsidR="00322D0D" w:rsidRPr="00623AE3" w:rsidRDefault="00322D0D" w:rsidP="00D338E0">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502F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884435"/>
    <w:multiLevelType w:val="hybridMultilevel"/>
    <w:tmpl w:val="BFB0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3B78"/>
    <w:multiLevelType w:val="hybridMultilevel"/>
    <w:tmpl w:val="614CF962"/>
    <w:lvl w:ilvl="0" w:tplc="08090001">
      <w:start w:val="1"/>
      <w:numFmt w:val="bullet"/>
      <w:lvlText w:val=""/>
      <w:lvlJc w:val="left"/>
      <w:pPr>
        <w:ind w:left="1595" w:hanging="360"/>
      </w:pPr>
      <w:rPr>
        <w:rFonts w:ascii="Symbol" w:hAnsi="Symbol" w:hint="default"/>
      </w:rPr>
    </w:lvl>
    <w:lvl w:ilvl="1" w:tplc="08090003">
      <w:start w:val="1"/>
      <w:numFmt w:val="bullet"/>
      <w:lvlText w:val="o"/>
      <w:lvlJc w:val="left"/>
      <w:pPr>
        <w:ind w:left="2315" w:hanging="360"/>
      </w:pPr>
      <w:rPr>
        <w:rFonts w:ascii="Courier New" w:hAnsi="Courier New" w:cs="Courier New" w:hint="default"/>
      </w:rPr>
    </w:lvl>
    <w:lvl w:ilvl="2" w:tplc="08090005" w:tentative="1">
      <w:start w:val="1"/>
      <w:numFmt w:val="bullet"/>
      <w:lvlText w:val=""/>
      <w:lvlJc w:val="left"/>
      <w:pPr>
        <w:ind w:left="3035" w:hanging="360"/>
      </w:pPr>
      <w:rPr>
        <w:rFonts w:ascii="Wingdings" w:hAnsi="Wingdings" w:hint="default"/>
      </w:rPr>
    </w:lvl>
    <w:lvl w:ilvl="3" w:tplc="08090001" w:tentative="1">
      <w:start w:val="1"/>
      <w:numFmt w:val="bullet"/>
      <w:lvlText w:val=""/>
      <w:lvlJc w:val="left"/>
      <w:pPr>
        <w:ind w:left="3755" w:hanging="360"/>
      </w:pPr>
      <w:rPr>
        <w:rFonts w:ascii="Symbol" w:hAnsi="Symbol" w:hint="default"/>
      </w:rPr>
    </w:lvl>
    <w:lvl w:ilvl="4" w:tplc="08090003" w:tentative="1">
      <w:start w:val="1"/>
      <w:numFmt w:val="bullet"/>
      <w:lvlText w:val="o"/>
      <w:lvlJc w:val="left"/>
      <w:pPr>
        <w:ind w:left="4475" w:hanging="360"/>
      </w:pPr>
      <w:rPr>
        <w:rFonts w:ascii="Courier New" w:hAnsi="Courier New" w:cs="Courier New" w:hint="default"/>
      </w:rPr>
    </w:lvl>
    <w:lvl w:ilvl="5" w:tplc="08090005" w:tentative="1">
      <w:start w:val="1"/>
      <w:numFmt w:val="bullet"/>
      <w:lvlText w:val=""/>
      <w:lvlJc w:val="left"/>
      <w:pPr>
        <w:ind w:left="5195" w:hanging="360"/>
      </w:pPr>
      <w:rPr>
        <w:rFonts w:ascii="Wingdings" w:hAnsi="Wingdings" w:hint="default"/>
      </w:rPr>
    </w:lvl>
    <w:lvl w:ilvl="6" w:tplc="08090001" w:tentative="1">
      <w:start w:val="1"/>
      <w:numFmt w:val="bullet"/>
      <w:lvlText w:val=""/>
      <w:lvlJc w:val="left"/>
      <w:pPr>
        <w:ind w:left="5915" w:hanging="360"/>
      </w:pPr>
      <w:rPr>
        <w:rFonts w:ascii="Symbol" w:hAnsi="Symbol" w:hint="default"/>
      </w:rPr>
    </w:lvl>
    <w:lvl w:ilvl="7" w:tplc="08090003" w:tentative="1">
      <w:start w:val="1"/>
      <w:numFmt w:val="bullet"/>
      <w:lvlText w:val="o"/>
      <w:lvlJc w:val="left"/>
      <w:pPr>
        <w:ind w:left="6635" w:hanging="360"/>
      </w:pPr>
      <w:rPr>
        <w:rFonts w:ascii="Courier New" w:hAnsi="Courier New" w:cs="Courier New" w:hint="default"/>
      </w:rPr>
    </w:lvl>
    <w:lvl w:ilvl="8" w:tplc="08090005" w:tentative="1">
      <w:start w:val="1"/>
      <w:numFmt w:val="bullet"/>
      <w:lvlText w:val=""/>
      <w:lvlJc w:val="left"/>
      <w:pPr>
        <w:ind w:left="7355" w:hanging="360"/>
      </w:pPr>
      <w:rPr>
        <w:rFonts w:ascii="Wingdings" w:hAnsi="Wingdings" w:hint="default"/>
      </w:rPr>
    </w:lvl>
  </w:abstractNum>
  <w:abstractNum w:abstractNumId="4" w15:restartNumberingAfterBreak="0">
    <w:nsid w:val="1BFB24B7"/>
    <w:multiLevelType w:val="hybridMultilevel"/>
    <w:tmpl w:val="6D4EE3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D625B"/>
    <w:multiLevelType w:val="hybridMultilevel"/>
    <w:tmpl w:val="CBB0D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85F83"/>
    <w:multiLevelType w:val="hybridMultilevel"/>
    <w:tmpl w:val="EF24F686"/>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205B0D4D"/>
    <w:multiLevelType w:val="hybridMultilevel"/>
    <w:tmpl w:val="EFE4A71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4659"/>
    <w:multiLevelType w:val="hybridMultilevel"/>
    <w:tmpl w:val="0BFE5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5045C"/>
    <w:multiLevelType w:val="hybridMultilevel"/>
    <w:tmpl w:val="F5541E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37D23EB"/>
    <w:multiLevelType w:val="hybridMultilevel"/>
    <w:tmpl w:val="2AB6D782"/>
    <w:lvl w:ilvl="0" w:tplc="9BD6FF4A">
      <w:start w:val="3"/>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67FD1"/>
    <w:multiLevelType w:val="hybridMultilevel"/>
    <w:tmpl w:val="6D0CC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621C6"/>
    <w:multiLevelType w:val="hybridMultilevel"/>
    <w:tmpl w:val="63EA635C"/>
    <w:lvl w:ilvl="0" w:tplc="4F1E8A76">
      <w:start w:val="1"/>
      <w:numFmt w:val="decimal"/>
      <w:pStyle w:val="Listnum"/>
      <w:lvlText w:val="%1."/>
      <w:lvlJc w:val="left"/>
      <w:pPr>
        <w:ind w:left="284" w:hanging="284"/>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2F1A3936"/>
    <w:multiLevelType w:val="hybridMultilevel"/>
    <w:tmpl w:val="04220100"/>
    <w:lvl w:ilvl="0" w:tplc="DA661612">
      <w:start w:val="1"/>
      <w:numFmt w:val="bullet"/>
      <w:lvlText w:val=""/>
      <w:lvlJc w:val="left"/>
      <w:pPr>
        <w:tabs>
          <w:tab w:val="num" w:pos="720"/>
        </w:tabs>
        <w:ind w:left="720" w:hanging="360"/>
      </w:pPr>
      <w:rPr>
        <w:rFonts w:ascii="Wingdings" w:hAnsi="Wingdings" w:hint="default"/>
      </w:rPr>
    </w:lvl>
    <w:lvl w:ilvl="1" w:tplc="2020C174" w:tentative="1">
      <w:start w:val="1"/>
      <w:numFmt w:val="bullet"/>
      <w:lvlText w:val=""/>
      <w:lvlJc w:val="left"/>
      <w:pPr>
        <w:tabs>
          <w:tab w:val="num" w:pos="1440"/>
        </w:tabs>
        <w:ind w:left="1440" w:hanging="360"/>
      </w:pPr>
      <w:rPr>
        <w:rFonts w:ascii="Wingdings" w:hAnsi="Wingdings" w:hint="default"/>
      </w:rPr>
    </w:lvl>
    <w:lvl w:ilvl="2" w:tplc="2A4635D4" w:tentative="1">
      <w:start w:val="1"/>
      <w:numFmt w:val="bullet"/>
      <w:lvlText w:val=""/>
      <w:lvlJc w:val="left"/>
      <w:pPr>
        <w:tabs>
          <w:tab w:val="num" w:pos="2160"/>
        </w:tabs>
        <w:ind w:left="2160" w:hanging="360"/>
      </w:pPr>
      <w:rPr>
        <w:rFonts w:ascii="Wingdings" w:hAnsi="Wingdings" w:hint="default"/>
      </w:rPr>
    </w:lvl>
    <w:lvl w:ilvl="3" w:tplc="89561C6E" w:tentative="1">
      <w:start w:val="1"/>
      <w:numFmt w:val="bullet"/>
      <w:lvlText w:val=""/>
      <w:lvlJc w:val="left"/>
      <w:pPr>
        <w:tabs>
          <w:tab w:val="num" w:pos="2880"/>
        </w:tabs>
        <w:ind w:left="2880" w:hanging="360"/>
      </w:pPr>
      <w:rPr>
        <w:rFonts w:ascii="Wingdings" w:hAnsi="Wingdings" w:hint="default"/>
      </w:rPr>
    </w:lvl>
    <w:lvl w:ilvl="4" w:tplc="02C49672" w:tentative="1">
      <w:start w:val="1"/>
      <w:numFmt w:val="bullet"/>
      <w:lvlText w:val=""/>
      <w:lvlJc w:val="left"/>
      <w:pPr>
        <w:tabs>
          <w:tab w:val="num" w:pos="3600"/>
        </w:tabs>
        <w:ind w:left="3600" w:hanging="360"/>
      </w:pPr>
      <w:rPr>
        <w:rFonts w:ascii="Wingdings" w:hAnsi="Wingdings" w:hint="default"/>
      </w:rPr>
    </w:lvl>
    <w:lvl w:ilvl="5" w:tplc="190893EC" w:tentative="1">
      <w:start w:val="1"/>
      <w:numFmt w:val="bullet"/>
      <w:lvlText w:val=""/>
      <w:lvlJc w:val="left"/>
      <w:pPr>
        <w:tabs>
          <w:tab w:val="num" w:pos="4320"/>
        </w:tabs>
        <w:ind w:left="4320" w:hanging="360"/>
      </w:pPr>
      <w:rPr>
        <w:rFonts w:ascii="Wingdings" w:hAnsi="Wingdings" w:hint="default"/>
      </w:rPr>
    </w:lvl>
    <w:lvl w:ilvl="6" w:tplc="6CB49C2A" w:tentative="1">
      <w:start w:val="1"/>
      <w:numFmt w:val="bullet"/>
      <w:lvlText w:val=""/>
      <w:lvlJc w:val="left"/>
      <w:pPr>
        <w:tabs>
          <w:tab w:val="num" w:pos="5040"/>
        </w:tabs>
        <w:ind w:left="5040" w:hanging="360"/>
      </w:pPr>
      <w:rPr>
        <w:rFonts w:ascii="Wingdings" w:hAnsi="Wingdings" w:hint="default"/>
      </w:rPr>
    </w:lvl>
    <w:lvl w:ilvl="7" w:tplc="67C0BB1E" w:tentative="1">
      <w:start w:val="1"/>
      <w:numFmt w:val="bullet"/>
      <w:lvlText w:val=""/>
      <w:lvlJc w:val="left"/>
      <w:pPr>
        <w:tabs>
          <w:tab w:val="num" w:pos="5760"/>
        </w:tabs>
        <w:ind w:left="5760" w:hanging="360"/>
      </w:pPr>
      <w:rPr>
        <w:rFonts w:ascii="Wingdings" w:hAnsi="Wingdings" w:hint="default"/>
      </w:rPr>
    </w:lvl>
    <w:lvl w:ilvl="8" w:tplc="F0F480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D3EE7"/>
    <w:multiLevelType w:val="multilevel"/>
    <w:tmpl w:val="5224A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76910"/>
    <w:multiLevelType w:val="hybridMultilevel"/>
    <w:tmpl w:val="AE56C8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5635F"/>
    <w:multiLevelType w:val="hybridMultilevel"/>
    <w:tmpl w:val="0BE0F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47ABD"/>
    <w:multiLevelType w:val="hybridMultilevel"/>
    <w:tmpl w:val="EAC4F3F8"/>
    <w:lvl w:ilvl="0" w:tplc="0809001B">
      <w:start w:val="1"/>
      <w:numFmt w:val="lowerRoman"/>
      <w:lvlText w:val="%1."/>
      <w:lvlJc w:val="righ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459063D2"/>
    <w:multiLevelType w:val="hybridMultilevel"/>
    <w:tmpl w:val="65141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C4CDB"/>
    <w:multiLevelType w:val="hybridMultilevel"/>
    <w:tmpl w:val="8828D7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70830"/>
    <w:multiLevelType w:val="hybridMultilevel"/>
    <w:tmpl w:val="7F86D016"/>
    <w:lvl w:ilvl="0" w:tplc="92E49C22">
      <w:start w:val="1"/>
      <w:numFmt w:val="bullet"/>
      <w:lvlText w:val=""/>
      <w:lvlJc w:val="left"/>
      <w:pPr>
        <w:tabs>
          <w:tab w:val="num" w:pos="720"/>
        </w:tabs>
        <w:ind w:left="720" w:hanging="360"/>
      </w:pPr>
      <w:rPr>
        <w:rFonts w:ascii="Wingdings" w:hAnsi="Wingdings" w:hint="default"/>
      </w:rPr>
    </w:lvl>
    <w:lvl w:ilvl="1" w:tplc="46F45724">
      <w:numFmt w:val="bullet"/>
      <w:lvlText w:val=""/>
      <w:lvlJc w:val="left"/>
      <w:pPr>
        <w:tabs>
          <w:tab w:val="num" w:pos="1440"/>
        </w:tabs>
        <w:ind w:left="1440" w:hanging="360"/>
      </w:pPr>
      <w:rPr>
        <w:rFonts w:ascii="Wingdings" w:hAnsi="Wingdings" w:hint="default"/>
      </w:rPr>
    </w:lvl>
    <w:lvl w:ilvl="2" w:tplc="7AACA602" w:tentative="1">
      <w:start w:val="1"/>
      <w:numFmt w:val="bullet"/>
      <w:lvlText w:val=""/>
      <w:lvlJc w:val="left"/>
      <w:pPr>
        <w:tabs>
          <w:tab w:val="num" w:pos="2160"/>
        </w:tabs>
        <w:ind w:left="2160" w:hanging="360"/>
      </w:pPr>
      <w:rPr>
        <w:rFonts w:ascii="Wingdings" w:hAnsi="Wingdings" w:hint="default"/>
      </w:rPr>
    </w:lvl>
    <w:lvl w:ilvl="3" w:tplc="4B36A75A" w:tentative="1">
      <w:start w:val="1"/>
      <w:numFmt w:val="bullet"/>
      <w:lvlText w:val=""/>
      <w:lvlJc w:val="left"/>
      <w:pPr>
        <w:tabs>
          <w:tab w:val="num" w:pos="2880"/>
        </w:tabs>
        <w:ind w:left="2880" w:hanging="360"/>
      </w:pPr>
      <w:rPr>
        <w:rFonts w:ascii="Wingdings" w:hAnsi="Wingdings" w:hint="default"/>
      </w:rPr>
    </w:lvl>
    <w:lvl w:ilvl="4" w:tplc="9AF08E18" w:tentative="1">
      <w:start w:val="1"/>
      <w:numFmt w:val="bullet"/>
      <w:lvlText w:val=""/>
      <w:lvlJc w:val="left"/>
      <w:pPr>
        <w:tabs>
          <w:tab w:val="num" w:pos="3600"/>
        </w:tabs>
        <w:ind w:left="3600" w:hanging="360"/>
      </w:pPr>
      <w:rPr>
        <w:rFonts w:ascii="Wingdings" w:hAnsi="Wingdings" w:hint="default"/>
      </w:rPr>
    </w:lvl>
    <w:lvl w:ilvl="5" w:tplc="9CE22E4C" w:tentative="1">
      <w:start w:val="1"/>
      <w:numFmt w:val="bullet"/>
      <w:lvlText w:val=""/>
      <w:lvlJc w:val="left"/>
      <w:pPr>
        <w:tabs>
          <w:tab w:val="num" w:pos="4320"/>
        </w:tabs>
        <w:ind w:left="4320" w:hanging="360"/>
      </w:pPr>
      <w:rPr>
        <w:rFonts w:ascii="Wingdings" w:hAnsi="Wingdings" w:hint="default"/>
      </w:rPr>
    </w:lvl>
    <w:lvl w:ilvl="6" w:tplc="6DEC6CAE" w:tentative="1">
      <w:start w:val="1"/>
      <w:numFmt w:val="bullet"/>
      <w:lvlText w:val=""/>
      <w:lvlJc w:val="left"/>
      <w:pPr>
        <w:tabs>
          <w:tab w:val="num" w:pos="5040"/>
        </w:tabs>
        <w:ind w:left="5040" w:hanging="360"/>
      </w:pPr>
      <w:rPr>
        <w:rFonts w:ascii="Wingdings" w:hAnsi="Wingdings" w:hint="default"/>
      </w:rPr>
    </w:lvl>
    <w:lvl w:ilvl="7" w:tplc="ABE0492E" w:tentative="1">
      <w:start w:val="1"/>
      <w:numFmt w:val="bullet"/>
      <w:lvlText w:val=""/>
      <w:lvlJc w:val="left"/>
      <w:pPr>
        <w:tabs>
          <w:tab w:val="num" w:pos="5760"/>
        </w:tabs>
        <w:ind w:left="5760" w:hanging="360"/>
      </w:pPr>
      <w:rPr>
        <w:rFonts w:ascii="Wingdings" w:hAnsi="Wingdings" w:hint="default"/>
      </w:rPr>
    </w:lvl>
    <w:lvl w:ilvl="8" w:tplc="BCEE6E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33EB8"/>
    <w:multiLevelType w:val="hybridMultilevel"/>
    <w:tmpl w:val="D042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8635F"/>
    <w:multiLevelType w:val="hybridMultilevel"/>
    <w:tmpl w:val="05B690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83EBB"/>
    <w:multiLevelType w:val="hybridMultilevel"/>
    <w:tmpl w:val="2A3CB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6F5A88"/>
    <w:multiLevelType w:val="hybridMultilevel"/>
    <w:tmpl w:val="D2907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D4C31"/>
    <w:multiLevelType w:val="hybridMultilevel"/>
    <w:tmpl w:val="C94A91C8"/>
    <w:lvl w:ilvl="0" w:tplc="1730DBA4">
      <w:start w:val="1"/>
      <w:numFmt w:val="bullet"/>
      <w:lvlText w:val="-"/>
      <w:lvlJc w:val="left"/>
      <w:pPr>
        <w:ind w:left="720" w:hanging="360"/>
      </w:pPr>
      <w:rPr>
        <w:rFonts w:ascii="Calibri" w:eastAsia="SimSu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7"/>
  </w:num>
  <w:num w:numId="4">
    <w:abstractNumId w:val="12"/>
  </w:num>
  <w:num w:numId="5">
    <w:abstractNumId w:val="1"/>
  </w:num>
  <w:num w:numId="6">
    <w:abstractNumId w:val="16"/>
  </w:num>
  <w:num w:numId="7">
    <w:abstractNumId w:val="10"/>
  </w:num>
  <w:num w:numId="8">
    <w:abstractNumId w:val="24"/>
  </w:num>
  <w:num w:numId="9">
    <w:abstractNumId w:val="4"/>
  </w:num>
  <w:num w:numId="10">
    <w:abstractNumId w:val="22"/>
  </w:num>
  <w:num w:numId="11">
    <w:abstractNumId w:val="8"/>
  </w:num>
  <w:num w:numId="12">
    <w:abstractNumId w:val="2"/>
  </w:num>
  <w:num w:numId="13">
    <w:abstractNumId w:val="21"/>
  </w:num>
  <w:num w:numId="14">
    <w:abstractNumId w:val="14"/>
  </w:num>
  <w:num w:numId="15">
    <w:abstractNumId w:val="7"/>
  </w:num>
  <w:num w:numId="16">
    <w:abstractNumId w:val="6"/>
  </w:num>
  <w:num w:numId="17">
    <w:abstractNumId w:val="13"/>
  </w:num>
  <w:num w:numId="18">
    <w:abstractNumId w:val="20"/>
  </w:num>
  <w:num w:numId="19">
    <w:abstractNumId w:val="15"/>
  </w:num>
  <w:num w:numId="20">
    <w:abstractNumId w:val="19"/>
  </w:num>
  <w:num w:numId="21">
    <w:abstractNumId w:val="11"/>
  </w:num>
  <w:num w:numId="22">
    <w:abstractNumId w:val="25"/>
  </w:num>
  <w:num w:numId="23">
    <w:abstractNumId w:val="18"/>
  </w:num>
  <w:num w:numId="24">
    <w:abstractNumId w:val="3"/>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4080"/>
    <w:rsid w:val="00010E29"/>
    <w:rsid w:val="000129E7"/>
    <w:rsid w:val="000210D4"/>
    <w:rsid w:val="000223F7"/>
    <w:rsid w:val="000362ED"/>
    <w:rsid w:val="00063016"/>
    <w:rsid w:val="00063C5B"/>
    <w:rsid w:val="00065FE6"/>
    <w:rsid w:val="00066795"/>
    <w:rsid w:val="00076AF6"/>
    <w:rsid w:val="00085BA5"/>
    <w:rsid w:val="00085CF2"/>
    <w:rsid w:val="00086E27"/>
    <w:rsid w:val="00096518"/>
    <w:rsid w:val="00097670"/>
    <w:rsid w:val="000A7373"/>
    <w:rsid w:val="000B1705"/>
    <w:rsid w:val="000D3E78"/>
    <w:rsid w:val="000D75B2"/>
    <w:rsid w:val="000E25AD"/>
    <w:rsid w:val="000E2E8B"/>
    <w:rsid w:val="000E322E"/>
    <w:rsid w:val="000F365A"/>
    <w:rsid w:val="00106E78"/>
    <w:rsid w:val="001115A7"/>
    <w:rsid w:val="001121F5"/>
    <w:rsid w:val="0011572C"/>
    <w:rsid w:val="001400DC"/>
    <w:rsid w:val="00140CE1"/>
    <w:rsid w:val="00144499"/>
    <w:rsid w:val="0016240C"/>
    <w:rsid w:val="0017539C"/>
    <w:rsid w:val="00175AC2"/>
    <w:rsid w:val="0017609F"/>
    <w:rsid w:val="0017760A"/>
    <w:rsid w:val="0018631B"/>
    <w:rsid w:val="0019343C"/>
    <w:rsid w:val="001B14A3"/>
    <w:rsid w:val="001B6AA9"/>
    <w:rsid w:val="001B7EC3"/>
    <w:rsid w:val="001C0B4D"/>
    <w:rsid w:val="001C5B1F"/>
    <w:rsid w:val="001C628E"/>
    <w:rsid w:val="001E0F7B"/>
    <w:rsid w:val="002119FD"/>
    <w:rsid w:val="002130E0"/>
    <w:rsid w:val="00217F16"/>
    <w:rsid w:val="00221384"/>
    <w:rsid w:val="00221C5E"/>
    <w:rsid w:val="00231EFD"/>
    <w:rsid w:val="0023439A"/>
    <w:rsid w:val="00254DBA"/>
    <w:rsid w:val="00264425"/>
    <w:rsid w:val="00265875"/>
    <w:rsid w:val="00271D08"/>
    <w:rsid w:val="0027303B"/>
    <w:rsid w:val="0027559F"/>
    <w:rsid w:val="0027757D"/>
    <w:rsid w:val="0028109B"/>
    <w:rsid w:val="002975FA"/>
    <w:rsid w:val="002A1F61"/>
    <w:rsid w:val="002A2188"/>
    <w:rsid w:val="002A710A"/>
    <w:rsid w:val="002B1F58"/>
    <w:rsid w:val="002B581A"/>
    <w:rsid w:val="002C1C7A"/>
    <w:rsid w:val="002D6D53"/>
    <w:rsid w:val="002F246F"/>
    <w:rsid w:val="002F43D4"/>
    <w:rsid w:val="002F5E0B"/>
    <w:rsid w:val="0030160F"/>
    <w:rsid w:val="003222BC"/>
    <w:rsid w:val="00322D0D"/>
    <w:rsid w:val="00323128"/>
    <w:rsid w:val="003235E9"/>
    <w:rsid w:val="003275A9"/>
    <w:rsid w:val="0033275D"/>
    <w:rsid w:val="0034390D"/>
    <w:rsid w:val="003536D5"/>
    <w:rsid w:val="00365BA0"/>
    <w:rsid w:val="00380B46"/>
    <w:rsid w:val="00386B70"/>
    <w:rsid w:val="0038741B"/>
    <w:rsid w:val="003942D4"/>
    <w:rsid w:val="003958A8"/>
    <w:rsid w:val="003A2A22"/>
    <w:rsid w:val="003C2533"/>
    <w:rsid w:val="003E1FFC"/>
    <w:rsid w:val="003E4297"/>
    <w:rsid w:val="003E6369"/>
    <w:rsid w:val="003E7BC9"/>
    <w:rsid w:val="003F025D"/>
    <w:rsid w:val="003F2546"/>
    <w:rsid w:val="003F6024"/>
    <w:rsid w:val="0040435A"/>
    <w:rsid w:val="00416A24"/>
    <w:rsid w:val="00424840"/>
    <w:rsid w:val="00431D9E"/>
    <w:rsid w:val="00433CE8"/>
    <w:rsid w:val="00434A5C"/>
    <w:rsid w:val="00436523"/>
    <w:rsid w:val="004544D9"/>
    <w:rsid w:val="0046013D"/>
    <w:rsid w:val="00460C62"/>
    <w:rsid w:val="00463365"/>
    <w:rsid w:val="0046535C"/>
    <w:rsid w:val="00486FE1"/>
    <w:rsid w:val="00490E72"/>
    <w:rsid w:val="00491157"/>
    <w:rsid w:val="004921C8"/>
    <w:rsid w:val="004A7F02"/>
    <w:rsid w:val="004C6B7F"/>
    <w:rsid w:val="004D1851"/>
    <w:rsid w:val="004D599D"/>
    <w:rsid w:val="004E2EA5"/>
    <w:rsid w:val="004E3AEB"/>
    <w:rsid w:val="0050223C"/>
    <w:rsid w:val="00517858"/>
    <w:rsid w:val="00522EBD"/>
    <w:rsid w:val="005243FF"/>
    <w:rsid w:val="00525B5E"/>
    <w:rsid w:val="005350A9"/>
    <w:rsid w:val="00535CA2"/>
    <w:rsid w:val="00550448"/>
    <w:rsid w:val="0055619B"/>
    <w:rsid w:val="00556459"/>
    <w:rsid w:val="00557EC1"/>
    <w:rsid w:val="00564FBC"/>
    <w:rsid w:val="00570077"/>
    <w:rsid w:val="00573DCA"/>
    <w:rsid w:val="00582442"/>
    <w:rsid w:val="005827EA"/>
    <w:rsid w:val="00595381"/>
    <w:rsid w:val="005B0BCB"/>
    <w:rsid w:val="005B2B62"/>
    <w:rsid w:val="005B76CF"/>
    <w:rsid w:val="005C1795"/>
    <w:rsid w:val="005C4EE0"/>
    <w:rsid w:val="005C6D08"/>
    <w:rsid w:val="005D489E"/>
    <w:rsid w:val="005E4922"/>
    <w:rsid w:val="005E5D63"/>
    <w:rsid w:val="005E7953"/>
    <w:rsid w:val="005F3269"/>
    <w:rsid w:val="005F3D3C"/>
    <w:rsid w:val="006025C8"/>
    <w:rsid w:val="00615A40"/>
    <w:rsid w:val="00623AE3"/>
    <w:rsid w:val="006328A3"/>
    <w:rsid w:val="0064737F"/>
    <w:rsid w:val="006535F1"/>
    <w:rsid w:val="0065557D"/>
    <w:rsid w:val="00662984"/>
    <w:rsid w:val="00665F4E"/>
    <w:rsid w:val="00671065"/>
    <w:rsid w:val="006716BB"/>
    <w:rsid w:val="00696781"/>
    <w:rsid w:val="006A7506"/>
    <w:rsid w:val="006B0292"/>
    <w:rsid w:val="006B0CCE"/>
    <w:rsid w:val="006B128E"/>
    <w:rsid w:val="006B5A7B"/>
    <w:rsid w:val="006B6680"/>
    <w:rsid w:val="006B6DCC"/>
    <w:rsid w:val="006C00DC"/>
    <w:rsid w:val="006C5922"/>
    <w:rsid w:val="006F5CA5"/>
    <w:rsid w:val="00702DEF"/>
    <w:rsid w:val="007034BC"/>
    <w:rsid w:val="00706861"/>
    <w:rsid w:val="007151AB"/>
    <w:rsid w:val="00727EC2"/>
    <w:rsid w:val="007304D8"/>
    <w:rsid w:val="00732B64"/>
    <w:rsid w:val="00732DA4"/>
    <w:rsid w:val="00740FE3"/>
    <w:rsid w:val="0075051B"/>
    <w:rsid w:val="0077350D"/>
    <w:rsid w:val="00784D2D"/>
    <w:rsid w:val="007919DF"/>
    <w:rsid w:val="00793188"/>
    <w:rsid w:val="00794D34"/>
    <w:rsid w:val="007A2096"/>
    <w:rsid w:val="007A217D"/>
    <w:rsid w:val="007A48A2"/>
    <w:rsid w:val="007A498F"/>
    <w:rsid w:val="007C26CB"/>
    <w:rsid w:val="007C53EA"/>
    <w:rsid w:val="007D768B"/>
    <w:rsid w:val="0080377E"/>
    <w:rsid w:val="00810A6F"/>
    <w:rsid w:val="00813E5E"/>
    <w:rsid w:val="00814496"/>
    <w:rsid w:val="00825780"/>
    <w:rsid w:val="0083208E"/>
    <w:rsid w:val="0083581B"/>
    <w:rsid w:val="008366B2"/>
    <w:rsid w:val="00836A5B"/>
    <w:rsid w:val="0084432E"/>
    <w:rsid w:val="00845BC9"/>
    <w:rsid w:val="00852C43"/>
    <w:rsid w:val="008550EA"/>
    <w:rsid w:val="00856AEE"/>
    <w:rsid w:val="00863D76"/>
    <w:rsid w:val="00864AFF"/>
    <w:rsid w:val="00865D19"/>
    <w:rsid w:val="00886FDB"/>
    <w:rsid w:val="008A1656"/>
    <w:rsid w:val="008A3AF1"/>
    <w:rsid w:val="008B44B5"/>
    <w:rsid w:val="008B4A6A"/>
    <w:rsid w:val="008B6D11"/>
    <w:rsid w:val="008C6286"/>
    <w:rsid w:val="008C7E27"/>
    <w:rsid w:val="008C7EBB"/>
    <w:rsid w:val="008E0788"/>
    <w:rsid w:val="009055AF"/>
    <w:rsid w:val="0090589C"/>
    <w:rsid w:val="009173EF"/>
    <w:rsid w:val="00931F65"/>
    <w:rsid w:val="00932906"/>
    <w:rsid w:val="00932FA5"/>
    <w:rsid w:val="00934D77"/>
    <w:rsid w:val="00957CEF"/>
    <w:rsid w:val="00961B0B"/>
    <w:rsid w:val="009677B4"/>
    <w:rsid w:val="00967DEA"/>
    <w:rsid w:val="0097023D"/>
    <w:rsid w:val="00982642"/>
    <w:rsid w:val="009850E0"/>
    <w:rsid w:val="00997082"/>
    <w:rsid w:val="009A672F"/>
    <w:rsid w:val="009B38C3"/>
    <w:rsid w:val="009C5B7E"/>
    <w:rsid w:val="009D58BA"/>
    <w:rsid w:val="009E17BD"/>
    <w:rsid w:val="009E485A"/>
    <w:rsid w:val="009F3359"/>
    <w:rsid w:val="009F66A3"/>
    <w:rsid w:val="00A04CEC"/>
    <w:rsid w:val="00A05E80"/>
    <w:rsid w:val="00A06C6C"/>
    <w:rsid w:val="00A06DD9"/>
    <w:rsid w:val="00A20930"/>
    <w:rsid w:val="00A222DC"/>
    <w:rsid w:val="00A26D8C"/>
    <w:rsid w:val="00A27F92"/>
    <w:rsid w:val="00A32257"/>
    <w:rsid w:val="00A32710"/>
    <w:rsid w:val="00A36D20"/>
    <w:rsid w:val="00A4402B"/>
    <w:rsid w:val="00A50266"/>
    <w:rsid w:val="00A55622"/>
    <w:rsid w:val="00A633F9"/>
    <w:rsid w:val="00A64BF6"/>
    <w:rsid w:val="00A64D76"/>
    <w:rsid w:val="00A770F8"/>
    <w:rsid w:val="00A80E3A"/>
    <w:rsid w:val="00A83502"/>
    <w:rsid w:val="00A8382F"/>
    <w:rsid w:val="00A93619"/>
    <w:rsid w:val="00AA0657"/>
    <w:rsid w:val="00AA3D5F"/>
    <w:rsid w:val="00AB51C7"/>
    <w:rsid w:val="00AB6853"/>
    <w:rsid w:val="00AC297D"/>
    <w:rsid w:val="00AC47C8"/>
    <w:rsid w:val="00AC7662"/>
    <w:rsid w:val="00AD15B3"/>
    <w:rsid w:val="00AD3C26"/>
    <w:rsid w:val="00AE4ABD"/>
    <w:rsid w:val="00AE53B5"/>
    <w:rsid w:val="00AE70BF"/>
    <w:rsid w:val="00AF5F10"/>
    <w:rsid w:val="00AF6E49"/>
    <w:rsid w:val="00B00AFE"/>
    <w:rsid w:val="00B04A67"/>
    <w:rsid w:val="00B04BA9"/>
    <w:rsid w:val="00B0583C"/>
    <w:rsid w:val="00B177AA"/>
    <w:rsid w:val="00B21929"/>
    <w:rsid w:val="00B21EE8"/>
    <w:rsid w:val="00B23A1C"/>
    <w:rsid w:val="00B26845"/>
    <w:rsid w:val="00B31411"/>
    <w:rsid w:val="00B339D9"/>
    <w:rsid w:val="00B33C35"/>
    <w:rsid w:val="00B37E6E"/>
    <w:rsid w:val="00B40472"/>
    <w:rsid w:val="00B40A81"/>
    <w:rsid w:val="00B44910"/>
    <w:rsid w:val="00B64E75"/>
    <w:rsid w:val="00B72267"/>
    <w:rsid w:val="00B729BD"/>
    <w:rsid w:val="00B75C0B"/>
    <w:rsid w:val="00B76EB6"/>
    <w:rsid w:val="00B7737B"/>
    <w:rsid w:val="00B824C8"/>
    <w:rsid w:val="00B86B70"/>
    <w:rsid w:val="00B968D4"/>
    <w:rsid w:val="00B9771E"/>
    <w:rsid w:val="00BA58FD"/>
    <w:rsid w:val="00BA61C0"/>
    <w:rsid w:val="00BB6FAD"/>
    <w:rsid w:val="00BC251A"/>
    <w:rsid w:val="00BC6DA2"/>
    <w:rsid w:val="00BD032B"/>
    <w:rsid w:val="00BD0D4B"/>
    <w:rsid w:val="00BD0F50"/>
    <w:rsid w:val="00BD3FB7"/>
    <w:rsid w:val="00BD661E"/>
    <w:rsid w:val="00BE24AE"/>
    <w:rsid w:val="00BE2640"/>
    <w:rsid w:val="00BE733A"/>
    <w:rsid w:val="00C01189"/>
    <w:rsid w:val="00C12DBE"/>
    <w:rsid w:val="00C374DE"/>
    <w:rsid w:val="00C45C49"/>
    <w:rsid w:val="00C47AD4"/>
    <w:rsid w:val="00C52D81"/>
    <w:rsid w:val="00C55198"/>
    <w:rsid w:val="00C61363"/>
    <w:rsid w:val="00C733C6"/>
    <w:rsid w:val="00C82908"/>
    <w:rsid w:val="00C83CC6"/>
    <w:rsid w:val="00C86A89"/>
    <w:rsid w:val="00C97A85"/>
    <w:rsid w:val="00CA5AD3"/>
    <w:rsid w:val="00CA6393"/>
    <w:rsid w:val="00CB18FF"/>
    <w:rsid w:val="00CC6072"/>
    <w:rsid w:val="00CC650C"/>
    <w:rsid w:val="00CD0C08"/>
    <w:rsid w:val="00CE03FB"/>
    <w:rsid w:val="00CE433C"/>
    <w:rsid w:val="00CF0154"/>
    <w:rsid w:val="00CF0C97"/>
    <w:rsid w:val="00CF204F"/>
    <w:rsid w:val="00CF33F3"/>
    <w:rsid w:val="00CF721F"/>
    <w:rsid w:val="00D06183"/>
    <w:rsid w:val="00D22C42"/>
    <w:rsid w:val="00D241E7"/>
    <w:rsid w:val="00D24B45"/>
    <w:rsid w:val="00D3022B"/>
    <w:rsid w:val="00D338E0"/>
    <w:rsid w:val="00D34C36"/>
    <w:rsid w:val="00D6062E"/>
    <w:rsid w:val="00D62B67"/>
    <w:rsid w:val="00D65041"/>
    <w:rsid w:val="00D70724"/>
    <w:rsid w:val="00D97E3C"/>
    <w:rsid w:val="00DA4BA6"/>
    <w:rsid w:val="00DB384B"/>
    <w:rsid w:val="00DC0DA4"/>
    <w:rsid w:val="00DC2B78"/>
    <w:rsid w:val="00DC4B17"/>
    <w:rsid w:val="00DC4F91"/>
    <w:rsid w:val="00DE0956"/>
    <w:rsid w:val="00E031CD"/>
    <w:rsid w:val="00E0748E"/>
    <w:rsid w:val="00E10E80"/>
    <w:rsid w:val="00E124F0"/>
    <w:rsid w:val="00E16155"/>
    <w:rsid w:val="00E162EE"/>
    <w:rsid w:val="00E333E7"/>
    <w:rsid w:val="00E43814"/>
    <w:rsid w:val="00E50675"/>
    <w:rsid w:val="00E51B00"/>
    <w:rsid w:val="00E60424"/>
    <w:rsid w:val="00E60F04"/>
    <w:rsid w:val="00E6565A"/>
    <w:rsid w:val="00E67658"/>
    <w:rsid w:val="00E81E05"/>
    <w:rsid w:val="00E854E4"/>
    <w:rsid w:val="00EA586F"/>
    <w:rsid w:val="00EB0D6F"/>
    <w:rsid w:val="00EB2232"/>
    <w:rsid w:val="00EB429A"/>
    <w:rsid w:val="00EB6896"/>
    <w:rsid w:val="00EC5337"/>
    <w:rsid w:val="00EC7221"/>
    <w:rsid w:val="00ED52CB"/>
    <w:rsid w:val="00EE3D15"/>
    <w:rsid w:val="00F03E08"/>
    <w:rsid w:val="00F2150A"/>
    <w:rsid w:val="00F231D8"/>
    <w:rsid w:val="00F2418A"/>
    <w:rsid w:val="00F37F23"/>
    <w:rsid w:val="00F424F1"/>
    <w:rsid w:val="00F46C5F"/>
    <w:rsid w:val="00F64AC6"/>
    <w:rsid w:val="00F74BB0"/>
    <w:rsid w:val="00F80644"/>
    <w:rsid w:val="00F94A63"/>
    <w:rsid w:val="00FA1C28"/>
    <w:rsid w:val="00FB1279"/>
    <w:rsid w:val="00FB7596"/>
    <w:rsid w:val="00FC043A"/>
    <w:rsid w:val="00FC628C"/>
    <w:rsid w:val="00FC7E1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24B45"/>
    <w:pPr>
      <w:framePr w:hSpace="180" w:wrap="around" w:hAnchor="margin" w:y="-675"/>
      <w:spacing w:before="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Recommendation,List Paragraph11,List Paragraph 1,List Paragraph1"/>
    <w:basedOn w:val="Normal"/>
    <w:link w:val="ListParagraphChar"/>
    <w:uiPriority w:val="34"/>
    <w:qFormat/>
    <w:rsid w:val="000E322E"/>
    <w:pPr>
      <w:ind w:left="720"/>
      <w:contextualSpacing/>
    </w:pPr>
  </w:style>
  <w:style w:type="paragraph" w:styleId="ListBullet">
    <w:name w:val="List Bullet"/>
    <w:basedOn w:val="Normal"/>
    <w:uiPriority w:val="99"/>
    <w:unhideWhenUsed/>
    <w:rsid w:val="00696781"/>
    <w:pPr>
      <w:numPr>
        <w:numId w:val="5"/>
      </w:numPr>
      <w:tabs>
        <w:tab w:val="clear" w:pos="567"/>
        <w:tab w:val="clear" w:pos="1134"/>
        <w:tab w:val="clear" w:pos="1701"/>
        <w:tab w:val="clear" w:pos="2268"/>
        <w:tab w:val="clear" w:pos="2835"/>
      </w:tabs>
      <w:overflowPunct/>
      <w:autoSpaceDE/>
      <w:autoSpaceDN/>
      <w:adjustRightInd/>
      <w:spacing w:before="0" w:after="60" w:line="281" w:lineRule="auto"/>
      <w:textAlignment w:val="auto"/>
    </w:pPr>
    <w:rPr>
      <w:rFonts w:asciiTheme="minorHAnsi" w:eastAsiaTheme="minorHAnsi" w:hAnsiTheme="minorHAnsi" w:cstheme="minorBidi"/>
      <w:sz w:val="17"/>
      <w:szCs w:val="17"/>
    </w:rPr>
  </w:style>
  <w:style w:type="paragraph" w:customStyle="1" w:styleId="Listnum">
    <w:name w:val="List num"/>
    <w:basedOn w:val="ListBullet"/>
    <w:qFormat/>
    <w:rsid w:val="00696781"/>
    <w:pPr>
      <w:numPr>
        <w:numId w:val="4"/>
      </w:numPr>
    </w:pPr>
    <w:rPr>
      <w:rFonts w:cstheme="minorHAnsi"/>
      <w:bCs/>
      <w:lang w:eastAsia="fr-CH"/>
    </w:rPr>
  </w:style>
  <w:style w:type="paragraph" w:styleId="BalloonText">
    <w:name w:val="Balloon Text"/>
    <w:basedOn w:val="Normal"/>
    <w:link w:val="BalloonTextChar"/>
    <w:semiHidden/>
    <w:unhideWhenUsed/>
    <w:rsid w:val="00460C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60C62"/>
    <w:rPr>
      <w:rFonts w:ascii="Segoe UI" w:hAnsi="Segoe UI" w:cs="Segoe UI"/>
      <w:sz w:val="18"/>
      <w:szCs w:val="18"/>
      <w:lang w:val="en-GB" w:eastAsia="en-US"/>
    </w:rPr>
  </w:style>
  <w:style w:type="table" w:styleId="ListTable3-Accent1">
    <w:name w:val="List Table 3 Accent 1"/>
    <w:basedOn w:val="TableNormal"/>
    <w:uiPriority w:val="48"/>
    <w:rsid w:val="00C45C49"/>
    <w:rPr>
      <w:rFonts w:ascii="Georgia" w:eastAsiaTheme="minorHAnsi" w:hAnsi="Georgia" w:cstheme="minorBidi"/>
      <w:szCs w:val="22"/>
      <w:lang w:eastAsia="en-US"/>
    </w:rPr>
    <w:tblPr>
      <w:tblStyleRowBandSize w:val="1"/>
      <w:tblStyleColBandSize w:val="1"/>
      <w:tblBorders>
        <w:top w:val="single" w:sz="4" w:space="0" w:color="4F81BD" w:themeColor="accent1"/>
        <w:bottom w:val="single" w:sz="4" w:space="0" w:color="4F81BD" w:themeColor="accent1"/>
      </w:tblBorders>
      <w:tblCellMar>
        <w:top w:w="28" w:type="dxa"/>
        <w:bottom w:w="28" w:type="dxa"/>
      </w:tblCellMar>
    </w:tblPr>
    <w:tblStylePr w:type="firstRow">
      <w:pPr>
        <w:wordWrap/>
        <w:spacing w:beforeLines="0" w:before="60" w:beforeAutospacing="0" w:afterLines="0" w:after="60" w:afterAutospacing="0" w:line="281" w:lineRule="auto"/>
        <w:contextualSpacing w:val="0"/>
      </w:pPr>
      <w:rPr>
        <w:b/>
        <w:bCs/>
        <w:color w:val="FFFFFF" w:themeColor="background1"/>
      </w:rPr>
      <w:tblPr/>
      <w:tcPr>
        <w:shd w:val="clear" w:color="auto" w:fill="4F81BD" w:themeFill="accent1"/>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semiHidden/>
    <w:unhideWhenUsed/>
    <w:rsid w:val="00845BC9"/>
    <w:rPr>
      <w:sz w:val="16"/>
      <w:szCs w:val="16"/>
    </w:rPr>
  </w:style>
  <w:style w:type="paragraph" w:styleId="CommentText">
    <w:name w:val="annotation text"/>
    <w:basedOn w:val="Normal"/>
    <w:link w:val="CommentTextChar"/>
    <w:semiHidden/>
    <w:unhideWhenUsed/>
    <w:rsid w:val="00845BC9"/>
    <w:rPr>
      <w:sz w:val="20"/>
    </w:rPr>
  </w:style>
  <w:style w:type="character" w:customStyle="1" w:styleId="CommentTextChar">
    <w:name w:val="Comment Text Char"/>
    <w:basedOn w:val="DefaultParagraphFont"/>
    <w:link w:val="CommentText"/>
    <w:semiHidden/>
    <w:rsid w:val="00845BC9"/>
    <w:rPr>
      <w:rFonts w:ascii="Calibri" w:hAnsi="Calibri"/>
      <w:lang w:val="en-GB" w:eastAsia="en-US"/>
    </w:rPr>
  </w:style>
  <w:style w:type="paragraph" w:styleId="CommentSubject">
    <w:name w:val="annotation subject"/>
    <w:basedOn w:val="CommentText"/>
    <w:next w:val="CommentText"/>
    <w:link w:val="CommentSubjectChar"/>
    <w:semiHidden/>
    <w:unhideWhenUsed/>
    <w:rsid w:val="00845BC9"/>
    <w:rPr>
      <w:b/>
      <w:bCs/>
    </w:rPr>
  </w:style>
  <w:style w:type="character" w:customStyle="1" w:styleId="CommentSubjectChar">
    <w:name w:val="Comment Subject Char"/>
    <w:basedOn w:val="CommentTextChar"/>
    <w:link w:val="CommentSubject"/>
    <w:semiHidden/>
    <w:rsid w:val="00845BC9"/>
    <w:rPr>
      <w:rFonts w:ascii="Calibri" w:hAnsi="Calibri"/>
      <w:b/>
      <w:bCs/>
      <w:lang w:val="en-GB" w:eastAsia="en-US"/>
    </w:rPr>
  </w:style>
  <w:style w:type="paragraph" w:styleId="Revision">
    <w:name w:val="Revision"/>
    <w:hidden/>
    <w:uiPriority w:val="99"/>
    <w:semiHidden/>
    <w:rsid w:val="00D97E3C"/>
    <w:rPr>
      <w:rFonts w:ascii="Calibri" w:hAnsi="Calibri"/>
      <w:sz w:val="24"/>
      <w:lang w:val="en-GB" w:eastAsia="en-US"/>
    </w:rPr>
  </w:style>
  <w:style w:type="character" w:styleId="UnresolvedMention">
    <w:name w:val="Unresolved Mention"/>
    <w:basedOn w:val="DefaultParagraphFont"/>
    <w:uiPriority w:val="99"/>
    <w:semiHidden/>
    <w:unhideWhenUsed/>
    <w:rsid w:val="00852C43"/>
    <w:rPr>
      <w:color w:val="605E5C"/>
      <w:shd w:val="clear" w:color="auto" w:fill="E1DFDD"/>
    </w:rPr>
  </w:style>
  <w:style w:type="paragraph" w:customStyle="1" w:styleId="Fixed">
    <w:name w:val="Fixed"/>
    <w:rsid w:val="005C4EE0"/>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ListParagraphChar">
    <w:name w:val="List Paragraph Char"/>
    <w:aliases w:val="Recommendation Char,List Paragraph11 Char,List Paragraph 1 Char,List Paragraph1 Char"/>
    <w:link w:val="ListParagraph"/>
    <w:uiPriority w:val="34"/>
    <w:locked/>
    <w:rsid w:val="00085BA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755">
      <w:bodyDiv w:val="1"/>
      <w:marLeft w:val="0"/>
      <w:marRight w:val="0"/>
      <w:marTop w:val="0"/>
      <w:marBottom w:val="0"/>
      <w:divBdr>
        <w:top w:val="none" w:sz="0" w:space="0" w:color="auto"/>
        <w:left w:val="none" w:sz="0" w:space="0" w:color="auto"/>
        <w:bottom w:val="none" w:sz="0" w:space="0" w:color="auto"/>
        <w:right w:val="none" w:sz="0" w:space="0" w:color="auto"/>
      </w:divBdr>
      <w:divsChild>
        <w:div w:id="1741056298">
          <w:marLeft w:val="1123"/>
          <w:marRight w:val="0"/>
          <w:marTop w:val="200"/>
          <w:marBottom w:val="0"/>
          <w:divBdr>
            <w:top w:val="none" w:sz="0" w:space="0" w:color="auto"/>
            <w:left w:val="none" w:sz="0" w:space="0" w:color="auto"/>
            <w:bottom w:val="none" w:sz="0" w:space="0" w:color="auto"/>
            <w:right w:val="none" w:sz="0" w:space="0" w:color="auto"/>
          </w:divBdr>
        </w:div>
        <w:div w:id="1722552027">
          <w:marLeft w:val="1123"/>
          <w:marRight w:val="0"/>
          <w:marTop w:val="200"/>
          <w:marBottom w:val="0"/>
          <w:divBdr>
            <w:top w:val="none" w:sz="0" w:space="0" w:color="auto"/>
            <w:left w:val="none" w:sz="0" w:space="0" w:color="auto"/>
            <w:bottom w:val="none" w:sz="0" w:space="0" w:color="auto"/>
            <w:right w:val="none" w:sz="0" w:space="0" w:color="auto"/>
          </w:divBdr>
        </w:div>
        <w:div w:id="474687371">
          <w:marLeft w:val="1123"/>
          <w:marRight w:val="0"/>
          <w:marTop w:val="200"/>
          <w:marBottom w:val="0"/>
          <w:divBdr>
            <w:top w:val="none" w:sz="0" w:space="0" w:color="auto"/>
            <w:left w:val="none" w:sz="0" w:space="0" w:color="auto"/>
            <w:bottom w:val="none" w:sz="0" w:space="0" w:color="auto"/>
            <w:right w:val="none" w:sz="0" w:space="0" w:color="auto"/>
          </w:divBdr>
        </w:div>
      </w:divsChild>
    </w:div>
    <w:div w:id="662778606">
      <w:bodyDiv w:val="1"/>
      <w:marLeft w:val="0"/>
      <w:marRight w:val="0"/>
      <w:marTop w:val="0"/>
      <w:marBottom w:val="0"/>
      <w:divBdr>
        <w:top w:val="none" w:sz="0" w:space="0" w:color="auto"/>
        <w:left w:val="none" w:sz="0" w:space="0" w:color="auto"/>
        <w:bottom w:val="none" w:sz="0" w:space="0" w:color="auto"/>
        <w:right w:val="none" w:sz="0" w:space="0" w:color="auto"/>
      </w:divBdr>
    </w:div>
    <w:div w:id="1375736402">
      <w:bodyDiv w:val="1"/>
      <w:marLeft w:val="0"/>
      <w:marRight w:val="0"/>
      <w:marTop w:val="0"/>
      <w:marBottom w:val="0"/>
      <w:divBdr>
        <w:top w:val="none" w:sz="0" w:space="0" w:color="auto"/>
        <w:left w:val="none" w:sz="0" w:space="0" w:color="auto"/>
        <w:bottom w:val="none" w:sz="0" w:space="0" w:color="auto"/>
        <w:right w:val="none" w:sz="0" w:space="0" w:color="auto"/>
      </w:divBdr>
      <w:divsChild>
        <w:div w:id="1464034340">
          <w:marLeft w:val="1123"/>
          <w:marRight w:val="0"/>
          <w:marTop w:val="200"/>
          <w:marBottom w:val="0"/>
          <w:divBdr>
            <w:top w:val="none" w:sz="0" w:space="0" w:color="auto"/>
            <w:left w:val="none" w:sz="0" w:space="0" w:color="auto"/>
            <w:bottom w:val="none" w:sz="0" w:space="0" w:color="auto"/>
            <w:right w:val="none" w:sz="0" w:space="0" w:color="auto"/>
          </w:divBdr>
        </w:div>
        <w:div w:id="2096171301">
          <w:marLeft w:val="1123"/>
          <w:marRight w:val="0"/>
          <w:marTop w:val="200"/>
          <w:marBottom w:val="0"/>
          <w:divBdr>
            <w:top w:val="none" w:sz="0" w:space="0" w:color="auto"/>
            <w:left w:val="none" w:sz="0" w:space="0" w:color="auto"/>
            <w:bottom w:val="none" w:sz="0" w:space="0" w:color="auto"/>
            <w:right w:val="none" w:sz="0" w:space="0" w:color="auto"/>
          </w:divBdr>
        </w:div>
        <w:div w:id="2077320792">
          <w:marLeft w:val="1123"/>
          <w:marRight w:val="0"/>
          <w:marTop w:val="200"/>
          <w:marBottom w:val="0"/>
          <w:divBdr>
            <w:top w:val="none" w:sz="0" w:space="0" w:color="auto"/>
            <w:left w:val="none" w:sz="0" w:space="0" w:color="auto"/>
            <w:bottom w:val="none" w:sz="0" w:space="0" w:color="auto"/>
            <w:right w:val="none" w:sz="0" w:space="0" w:color="auto"/>
          </w:divBdr>
        </w:div>
      </w:divsChild>
    </w:div>
    <w:div w:id="1419981416">
      <w:bodyDiv w:val="1"/>
      <w:marLeft w:val="0"/>
      <w:marRight w:val="0"/>
      <w:marTop w:val="0"/>
      <w:marBottom w:val="0"/>
      <w:divBdr>
        <w:top w:val="none" w:sz="0" w:space="0" w:color="auto"/>
        <w:left w:val="none" w:sz="0" w:space="0" w:color="auto"/>
        <w:bottom w:val="none" w:sz="0" w:space="0" w:color="auto"/>
        <w:right w:val="none" w:sz="0" w:space="0" w:color="auto"/>
      </w:divBdr>
      <w:divsChild>
        <w:div w:id="1003822503">
          <w:marLeft w:val="1123"/>
          <w:marRight w:val="0"/>
          <w:marTop w:val="0"/>
          <w:marBottom w:val="0"/>
          <w:divBdr>
            <w:top w:val="none" w:sz="0" w:space="0" w:color="auto"/>
            <w:left w:val="none" w:sz="0" w:space="0" w:color="auto"/>
            <w:bottom w:val="none" w:sz="0" w:space="0" w:color="auto"/>
            <w:right w:val="none" w:sz="0" w:space="0" w:color="auto"/>
          </w:divBdr>
        </w:div>
        <w:div w:id="1793399835">
          <w:marLeft w:val="1843"/>
          <w:marRight w:val="0"/>
          <w:marTop w:val="0"/>
          <w:marBottom w:val="0"/>
          <w:divBdr>
            <w:top w:val="none" w:sz="0" w:space="0" w:color="auto"/>
            <w:left w:val="none" w:sz="0" w:space="0" w:color="auto"/>
            <w:bottom w:val="none" w:sz="0" w:space="0" w:color="auto"/>
            <w:right w:val="none" w:sz="0" w:space="0" w:color="auto"/>
          </w:divBdr>
        </w:div>
        <w:div w:id="1671447864">
          <w:marLeft w:val="1843"/>
          <w:marRight w:val="0"/>
          <w:marTop w:val="0"/>
          <w:marBottom w:val="0"/>
          <w:divBdr>
            <w:top w:val="none" w:sz="0" w:space="0" w:color="auto"/>
            <w:left w:val="none" w:sz="0" w:space="0" w:color="auto"/>
            <w:bottom w:val="none" w:sz="0" w:space="0" w:color="auto"/>
            <w:right w:val="none" w:sz="0" w:space="0" w:color="auto"/>
          </w:divBdr>
        </w:div>
        <w:div w:id="1613052791">
          <w:marLeft w:val="18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AHGFHR2-C-0004/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u.foleon.com/itu/connect-2030-agenda/home/" TargetMode="External"/><Relationship Id="rId4" Type="http://schemas.openxmlformats.org/officeDocument/2006/relationships/settings" Target="settings.xml"/><Relationship Id="rId9" Type="http://schemas.openxmlformats.org/officeDocument/2006/relationships/hyperlink" Target="https://www.itu.int/md/S21-AHGFHR2-C-0005/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1919</Words>
  <Characters>10916</Characters>
  <Application>Microsoft Office Word</Application>
  <DocSecurity>4</DocSecurity>
  <Lines>90</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C20 template</vt:lpstr>
      <vt:lpstr>Introduction</vt:lpstr>
      <vt:lpstr>Preliminary Secretariat Comments</vt:lpstr>
    </vt:vector>
  </TitlesOfParts>
  <Manager>General Secretariat - Pool</Manager>
  <Company>International Telecommunication Union (ITU)</Company>
  <LinksUpToDate>false</LinksUpToDate>
  <CharactersWithSpaces>12810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 template</dc:title>
  <dc:subject>Council 2018</dc:subject>
  <dc:creator>Brouard, Ricarda</dc:creator>
  <cp:keywords>C2020, C20</cp:keywords>
  <dc:description/>
  <cp:lastModifiedBy>Brouard, Ricarda</cp:lastModifiedBy>
  <cp:revision>2</cp:revision>
  <cp:lastPrinted>2000-07-18T13:30:00Z</cp:lastPrinted>
  <dcterms:created xsi:type="dcterms:W3CDTF">2021-05-27T12:47:00Z</dcterms:created>
  <dcterms:modified xsi:type="dcterms:W3CDTF">2021-05-27T12:47:00Z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