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7B30" w14:textId="77777777" w:rsidR="00AD0A0B" w:rsidRDefault="00AD0A0B" w:rsidP="00AD0A0B">
      <w:pPr>
        <w:spacing w:before="0"/>
        <w:rPr>
          <w:b/>
        </w:rPr>
      </w:pPr>
      <w:bookmarkStart w:id="0" w:name="dsource" w:colFirst="0" w:colLast="0"/>
    </w:p>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AD0A0B" w:rsidRPr="00D1337B" w14:paraId="4953DCB6" w14:textId="77777777" w:rsidTr="00A8600D">
        <w:trPr>
          <w:cantSplit/>
        </w:trPr>
        <w:tc>
          <w:tcPr>
            <w:tcW w:w="6521" w:type="dxa"/>
          </w:tcPr>
          <w:p w14:paraId="09A0CA0F" w14:textId="77777777" w:rsidR="00AD0A0B" w:rsidRPr="00D1337B" w:rsidRDefault="00AD0A0B" w:rsidP="00A8600D">
            <w:pPr>
              <w:spacing w:before="240" w:after="48"/>
              <w:rPr>
                <w:b/>
                <w:position w:val="6"/>
                <w:sz w:val="30"/>
                <w:szCs w:val="30"/>
              </w:rPr>
            </w:pPr>
            <w:r w:rsidRPr="00D1337B">
              <w:rPr>
                <w:b/>
                <w:position w:val="6"/>
                <w:sz w:val="30"/>
                <w:szCs w:val="30"/>
              </w:rPr>
              <w:t xml:space="preserve">Council Working Group on </w:t>
            </w:r>
            <w:r w:rsidRPr="00D1337B">
              <w:rPr>
                <w:b/>
                <w:position w:val="6"/>
                <w:sz w:val="30"/>
                <w:szCs w:val="30"/>
              </w:rPr>
              <w:br/>
              <w:t>Financial and Human Resources</w:t>
            </w:r>
          </w:p>
          <w:p w14:paraId="78746388" w14:textId="32038F2F" w:rsidR="00AD0A0B" w:rsidRPr="00D1337B" w:rsidRDefault="00AD0A0B" w:rsidP="00A8600D">
            <w:pPr>
              <w:spacing w:after="120"/>
              <w:rPr>
                <w:b/>
                <w:position w:val="6"/>
                <w:sz w:val="26"/>
                <w:szCs w:val="26"/>
              </w:rPr>
            </w:pPr>
            <w:r w:rsidRPr="00D1337B">
              <w:rPr>
                <w:rFonts w:cs="Times New Roman Bold"/>
                <w:b/>
              </w:rPr>
              <w:t>T</w:t>
            </w:r>
            <w:r>
              <w:rPr>
                <w:rFonts w:cs="Times New Roman Bold"/>
                <w:b/>
              </w:rPr>
              <w:t xml:space="preserve">hirteenth </w:t>
            </w:r>
            <w:r w:rsidRPr="00D1337B">
              <w:rPr>
                <w:rFonts w:cs="Times New Roman Bold"/>
                <w:b/>
              </w:rPr>
              <w:t xml:space="preserve">meeting </w:t>
            </w:r>
            <w:r w:rsidRPr="00D1337B">
              <w:rPr>
                <w:rFonts w:eastAsia="Calibri" w:cs="Calibri"/>
                <w:b/>
                <w:color w:val="000000"/>
              </w:rPr>
              <w:t>–</w:t>
            </w:r>
            <w:r w:rsidRPr="00D1337B">
              <w:rPr>
                <w:rFonts w:cs="Times New Roman Bold"/>
                <w:b/>
              </w:rPr>
              <w:t xml:space="preserve"> Virtual, </w:t>
            </w:r>
            <w:r>
              <w:rPr>
                <w:rFonts w:cs="Times New Roman Bold"/>
                <w:b/>
              </w:rPr>
              <w:t>3 June 2021</w:t>
            </w:r>
          </w:p>
        </w:tc>
        <w:tc>
          <w:tcPr>
            <w:tcW w:w="3793" w:type="dxa"/>
          </w:tcPr>
          <w:p w14:paraId="241B608E" w14:textId="77777777" w:rsidR="00AD0A0B" w:rsidRPr="00D1337B" w:rsidRDefault="00AD0A0B" w:rsidP="00A8600D">
            <w:pPr>
              <w:spacing w:line="240" w:lineRule="atLeast"/>
            </w:pPr>
            <w:bookmarkStart w:id="1" w:name="ditulogo"/>
            <w:bookmarkEnd w:id="1"/>
            <w:r w:rsidRPr="00D1337B">
              <w:rPr>
                <w:rFonts w:ascii="Times New Roman" w:hAnsi="Times New Roman"/>
                <w:noProof/>
                <w:lang w:val="de-DE" w:eastAsia="de-DE"/>
              </w:rPr>
              <w:drawing>
                <wp:inline distT="0" distB="0" distL="0" distR="0" wp14:anchorId="5891C761" wp14:editId="6B9AB977">
                  <wp:extent cx="682417" cy="720000"/>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17" cy="720000"/>
                          </a:xfrm>
                          <a:prstGeom prst="rect">
                            <a:avLst/>
                          </a:prstGeom>
                        </pic:spPr>
                      </pic:pic>
                    </a:graphicData>
                  </a:graphic>
                </wp:inline>
              </w:drawing>
            </w:r>
          </w:p>
        </w:tc>
      </w:tr>
      <w:tr w:rsidR="00AD0A0B" w:rsidRPr="00D1337B" w14:paraId="5EB3E75F" w14:textId="77777777" w:rsidTr="00A8600D">
        <w:trPr>
          <w:cantSplit/>
        </w:trPr>
        <w:tc>
          <w:tcPr>
            <w:tcW w:w="6521" w:type="dxa"/>
            <w:tcBorders>
              <w:top w:val="single" w:sz="12" w:space="0" w:color="auto"/>
            </w:tcBorders>
          </w:tcPr>
          <w:p w14:paraId="314703A4" w14:textId="77777777" w:rsidR="00AD0A0B" w:rsidRPr="00D1337B" w:rsidRDefault="00AD0A0B" w:rsidP="009D56E0">
            <w:pPr>
              <w:snapToGrid w:val="0"/>
              <w:spacing w:before="0"/>
              <w:rPr>
                <w:b/>
                <w:smallCaps/>
              </w:rPr>
            </w:pPr>
          </w:p>
        </w:tc>
        <w:tc>
          <w:tcPr>
            <w:tcW w:w="3793" w:type="dxa"/>
            <w:tcBorders>
              <w:top w:val="single" w:sz="12" w:space="0" w:color="auto"/>
            </w:tcBorders>
          </w:tcPr>
          <w:p w14:paraId="0C637609" w14:textId="77777777" w:rsidR="00AD0A0B" w:rsidRPr="00D1337B" w:rsidRDefault="00AD0A0B" w:rsidP="009D56E0">
            <w:pPr>
              <w:snapToGrid w:val="0"/>
              <w:spacing w:before="0"/>
              <w:ind w:left="209"/>
              <w:rPr>
                <w:rFonts w:ascii="Verdana" w:hAnsi="Verdana"/>
              </w:rPr>
            </w:pPr>
          </w:p>
        </w:tc>
      </w:tr>
      <w:tr w:rsidR="00AD0A0B" w:rsidRPr="00D1337B" w14:paraId="1A18F035" w14:textId="77777777" w:rsidTr="00A8600D">
        <w:trPr>
          <w:cantSplit/>
          <w:trHeight w:val="23"/>
        </w:trPr>
        <w:tc>
          <w:tcPr>
            <w:tcW w:w="6521" w:type="dxa"/>
            <w:vMerge w:val="restart"/>
          </w:tcPr>
          <w:p w14:paraId="36C018E1" w14:textId="77777777" w:rsidR="00AD0A0B" w:rsidRPr="00D1337B" w:rsidRDefault="00AD0A0B" w:rsidP="009D56E0">
            <w:pPr>
              <w:snapToGrid w:val="0"/>
              <w:spacing w:before="0"/>
              <w:rPr>
                <w:b/>
              </w:rPr>
            </w:pPr>
            <w:bookmarkStart w:id="2" w:name="dmeeting" w:colFirst="0" w:colLast="0"/>
            <w:bookmarkStart w:id="3" w:name="dnum" w:colFirst="1" w:colLast="1"/>
          </w:p>
        </w:tc>
        <w:tc>
          <w:tcPr>
            <w:tcW w:w="3793" w:type="dxa"/>
          </w:tcPr>
          <w:p w14:paraId="028742C3" w14:textId="6FB6A859" w:rsidR="00AD0A0B" w:rsidRPr="00D1337B" w:rsidRDefault="00AD0A0B" w:rsidP="009D56E0">
            <w:pPr>
              <w:snapToGrid w:val="0"/>
              <w:spacing w:before="0"/>
              <w:ind w:left="57"/>
              <w:rPr>
                <w:rFonts w:cs="Times New Roman Bold"/>
                <w:b/>
                <w:spacing w:val="-4"/>
              </w:rPr>
            </w:pPr>
            <w:r w:rsidRPr="00D1337B">
              <w:rPr>
                <w:rFonts w:cs="Times New Roman Bold"/>
                <w:b/>
                <w:spacing w:val="-4"/>
              </w:rPr>
              <w:t>Document CWG-FHR 1</w:t>
            </w:r>
            <w:r>
              <w:rPr>
                <w:rFonts w:cs="Times New Roman Bold"/>
                <w:b/>
                <w:spacing w:val="-4"/>
              </w:rPr>
              <w:t>3</w:t>
            </w:r>
            <w:r w:rsidRPr="00D1337B">
              <w:rPr>
                <w:rFonts w:cs="Times New Roman Bold"/>
                <w:b/>
                <w:spacing w:val="-4"/>
              </w:rPr>
              <w:t>/</w:t>
            </w:r>
            <w:r>
              <w:rPr>
                <w:rFonts w:cs="Times New Roman Bold"/>
                <w:b/>
                <w:spacing w:val="-4"/>
              </w:rPr>
              <w:t>2</w:t>
            </w:r>
          </w:p>
        </w:tc>
      </w:tr>
      <w:tr w:rsidR="00AD0A0B" w:rsidRPr="00D1337B" w14:paraId="2427D63F" w14:textId="77777777" w:rsidTr="00A8600D">
        <w:trPr>
          <w:cantSplit/>
          <w:trHeight w:val="23"/>
        </w:trPr>
        <w:tc>
          <w:tcPr>
            <w:tcW w:w="6521" w:type="dxa"/>
            <w:vMerge/>
          </w:tcPr>
          <w:p w14:paraId="49C3F207" w14:textId="77777777" w:rsidR="00AD0A0B" w:rsidRPr="00D1337B" w:rsidRDefault="00AD0A0B" w:rsidP="00AD0A0B">
            <w:pPr>
              <w:snapToGrid w:val="0"/>
              <w:spacing w:before="0"/>
              <w:rPr>
                <w:b/>
              </w:rPr>
            </w:pPr>
            <w:bookmarkStart w:id="4" w:name="ddate" w:colFirst="1" w:colLast="1"/>
            <w:bookmarkEnd w:id="2"/>
            <w:bookmarkEnd w:id="3"/>
          </w:p>
        </w:tc>
        <w:tc>
          <w:tcPr>
            <w:tcW w:w="3793" w:type="dxa"/>
          </w:tcPr>
          <w:p w14:paraId="7D28E00A" w14:textId="54416B35" w:rsidR="00AD0A0B" w:rsidRPr="00D1337B" w:rsidRDefault="00AD0A0B" w:rsidP="00AD0A0B">
            <w:pPr>
              <w:snapToGrid w:val="0"/>
              <w:spacing w:before="0"/>
              <w:ind w:left="57"/>
              <w:rPr>
                <w:b/>
              </w:rPr>
            </w:pPr>
            <w:r>
              <w:rPr>
                <w:b/>
              </w:rPr>
              <w:t>20 May 2021</w:t>
            </w:r>
          </w:p>
        </w:tc>
      </w:tr>
      <w:tr w:rsidR="00AD0A0B" w:rsidRPr="00D1337B" w14:paraId="7F541AB6" w14:textId="77777777" w:rsidTr="00A8600D">
        <w:trPr>
          <w:cantSplit/>
          <w:trHeight w:val="80"/>
        </w:trPr>
        <w:tc>
          <w:tcPr>
            <w:tcW w:w="6521" w:type="dxa"/>
            <w:vMerge/>
          </w:tcPr>
          <w:p w14:paraId="2752F70B" w14:textId="77777777" w:rsidR="00AD0A0B" w:rsidRPr="00D1337B" w:rsidRDefault="00AD0A0B" w:rsidP="00AD0A0B">
            <w:pPr>
              <w:snapToGrid w:val="0"/>
              <w:spacing w:before="0"/>
              <w:rPr>
                <w:b/>
              </w:rPr>
            </w:pPr>
            <w:bookmarkStart w:id="5" w:name="dorlang" w:colFirst="1" w:colLast="1"/>
            <w:bookmarkEnd w:id="4"/>
          </w:p>
        </w:tc>
        <w:tc>
          <w:tcPr>
            <w:tcW w:w="3793" w:type="dxa"/>
          </w:tcPr>
          <w:p w14:paraId="34DC37C4" w14:textId="77777777" w:rsidR="00AD0A0B" w:rsidRPr="00D1337B" w:rsidRDefault="00AD0A0B" w:rsidP="00AD0A0B">
            <w:pPr>
              <w:snapToGrid w:val="0"/>
              <w:spacing w:before="0"/>
              <w:ind w:left="57"/>
              <w:rPr>
                <w:b/>
              </w:rPr>
            </w:pPr>
            <w:r w:rsidRPr="00D1337B">
              <w:rPr>
                <w:b/>
              </w:rPr>
              <w:t>English only</w:t>
            </w:r>
          </w:p>
        </w:tc>
      </w:tr>
    </w:tbl>
    <w:bookmarkEnd w:id="5"/>
    <w:p w14:paraId="38CA1D31" w14:textId="618C4353" w:rsidR="00AD0A0B" w:rsidRDefault="00F17825" w:rsidP="00976816">
      <w:pPr>
        <w:spacing w:before="0" w:after="240"/>
        <w:jc w:val="center"/>
        <w:rPr>
          <w:b/>
          <w:bCs/>
          <w:sz w:val="28"/>
          <w:szCs w:val="28"/>
        </w:rPr>
      </w:pPr>
      <w:r w:rsidRPr="00F17825">
        <w:rPr>
          <w:b/>
          <w:bCs/>
          <w:sz w:val="28"/>
          <w:szCs w:val="28"/>
        </w:rPr>
        <w:t>Ad Hoc Group of CWG-FHR on ITU Regional Presence</w:t>
      </w:r>
    </w:p>
    <w:p w14:paraId="5CFFA14A" w14:textId="48A8B7B6" w:rsidR="00E55523" w:rsidRPr="00320A49" w:rsidRDefault="00E55523" w:rsidP="00976816">
      <w:pPr>
        <w:spacing w:before="0" w:after="240"/>
        <w:jc w:val="center"/>
        <w:rPr>
          <w:sz w:val="28"/>
          <w:szCs w:val="28"/>
        </w:rPr>
      </w:pPr>
      <w:r w:rsidRPr="00320A49">
        <w:rPr>
          <w:sz w:val="28"/>
          <w:szCs w:val="28"/>
        </w:rPr>
        <w:t>REPORT</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4E4C3AF4"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bookmarkEnd w:id="0"/>
          <w:p w14:paraId="1A0DE11E" w14:textId="77777777" w:rsidR="002A2188" w:rsidRPr="00813E5E" w:rsidRDefault="002A2188" w:rsidP="009D56E0">
            <w:pPr>
              <w:pStyle w:val="Headingb"/>
              <w:spacing w:before="120" w:after="120"/>
            </w:pPr>
            <w:r w:rsidRPr="00813E5E">
              <w:t>Summary</w:t>
            </w:r>
          </w:p>
          <w:p w14:paraId="0BB9CA92" w14:textId="7EEDDEAC" w:rsidR="000E322E" w:rsidRDefault="000E322E" w:rsidP="009D56E0">
            <w:pPr>
              <w:tabs>
                <w:tab w:val="clear" w:pos="567"/>
                <w:tab w:val="clear" w:pos="1134"/>
                <w:tab w:val="clear" w:pos="1701"/>
                <w:tab w:val="clear" w:pos="2268"/>
                <w:tab w:val="clear" w:pos="2835"/>
              </w:tabs>
              <w:snapToGrid w:val="0"/>
              <w:spacing w:after="120"/>
              <w:jc w:val="both"/>
              <w:rPr>
                <w:rFonts w:cs="Calibri"/>
                <w:szCs w:val="24"/>
              </w:rPr>
            </w:pPr>
            <w:r>
              <w:rPr>
                <w:lang w:val="en-US"/>
              </w:rPr>
              <w:t xml:space="preserve">Council </w:t>
            </w:r>
            <w:r w:rsidR="00852C43">
              <w:rPr>
                <w:lang w:val="en-US"/>
              </w:rPr>
              <w:t>D</w:t>
            </w:r>
            <w:r>
              <w:rPr>
                <w:lang w:val="en-US"/>
              </w:rPr>
              <w:t xml:space="preserve">ecision 616, adopted at </w:t>
            </w:r>
            <w:r w:rsidR="00144499">
              <w:rPr>
                <w:lang w:val="en-US"/>
              </w:rPr>
              <w:t>the 2019 session</w:t>
            </w:r>
            <w:r>
              <w:rPr>
                <w:lang w:val="en-US"/>
              </w:rPr>
              <w:t xml:space="preserve"> instructed the Secretary</w:t>
            </w:r>
            <w:r w:rsidR="00144499">
              <w:rPr>
                <w:lang w:val="en-US"/>
              </w:rPr>
              <w:t>-</w:t>
            </w:r>
            <w:r>
              <w:rPr>
                <w:lang w:val="en-US"/>
              </w:rPr>
              <w:t xml:space="preserve">General </w:t>
            </w:r>
            <w:r w:rsidRPr="00D52ED9">
              <w:rPr>
                <w:rFonts w:cs="Calibri"/>
                <w:szCs w:val="24"/>
              </w:rPr>
              <w:t xml:space="preserve">to recruit and hire an independent external management consultancy to perform a comprehensive programmatic, </w:t>
            </w:r>
            <w:proofErr w:type="gramStart"/>
            <w:r w:rsidRPr="00D52ED9">
              <w:rPr>
                <w:rFonts w:cs="Calibri"/>
                <w:szCs w:val="24"/>
              </w:rPr>
              <w:t>strategic</w:t>
            </w:r>
            <w:proofErr w:type="gramEnd"/>
            <w:r w:rsidRPr="00D52ED9">
              <w:rPr>
                <w:rFonts w:cs="Calibri"/>
                <w:szCs w:val="24"/>
              </w:rPr>
              <w:t xml:space="preserve"> and financial assessment and review of ITU’s </w:t>
            </w:r>
            <w:r w:rsidR="002A1F61">
              <w:rPr>
                <w:rFonts w:cs="Calibri"/>
                <w:szCs w:val="24"/>
              </w:rPr>
              <w:t>r</w:t>
            </w:r>
            <w:r w:rsidRPr="00D52ED9">
              <w:rPr>
                <w:rFonts w:cs="Calibri"/>
                <w:szCs w:val="24"/>
              </w:rPr>
              <w:t xml:space="preserve">egional </w:t>
            </w:r>
            <w:r w:rsidR="002A1F61">
              <w:rPr>
                <w:rFonts w:cs="Calibri"/>
                <w:szCs w:val="24"/>
              </w:rPr>
              <w:t>p</w:t>
            </w:r>
            <w:r w:rsidRPr="00D52ED9">
              <w:rPr>
                <w:rFonts w:cs="Calibri"/>
                <w:szCs w:val="24"/>
              </w:rPr>
              <w:t>resence program</w:t>
            </w:r>
            <w:r w:rsidR="00E43814">
              <w:rPr>
                <w:rFonts w:cs="Calibri"/>
                <w:szCs w:val="24"/>
              </w:rPr>
              <w:t>me</w:t>
            </w:r>
            <w:r w:rsidRPr="00D52ED9">
              <w:rPr>
                <w:rFonts w:cs="Calibri"/>
                <w:szCs w:val="24"/>
              </w:rPr>
              <w:t xml:space="preserve"> in accordance with the terms of reference set forth in the Annex, taking into consideration contributions from the ITU membership, and submit a report with recommendations to the 2021 session of the Council for action</w:t>
            </w:r>
            <w:r>
              <w:rPr>
                <w:rFonts w:cs="Calibri"/>
                <w:szCs w:val="24"/>
              </w:rPr>
              <w:t xml:space="preserve">. </w:t>
            </w:r>
          </w:p>
          <w:p w14:paraId="21820747" w14:textId="102C25BF" w:rsidR="002A2188" w:rsidRDefault="000E322E" w:rsidP="009D56E0">
            <w:pPr>
              <w:spacing w:after="120"/>
              <w:jc w:val="both"/>
              <w:rPr>
                <w:rFonts w:asciiTheme="minorHAnsi" w:hAnsiTheme="minorHAnsi" w:cstheme="minorHAnsi"/>
                <w:color w:val="000000"/>
              </w:rPr>
            </w:pPr>
            <w:r w:rsidRPr="003476A5">
              <w:rPr>
                <w:lang w:eastAsia="fr-CH"/>
              </w:rPr>
              <w:t xml:space="preserve">Following a competitive bidding process, </w:t>
            </w:r>
            <w:r w:rsidR="007304D8">
              <w:rPr>
                <w:lang w:eastAsia="fr-CH"/>
              </w:rPr>
              <w:t>PWC</w:t>
            </w:r>
            <w:r w:rsidRPr="003476A5">
              <w:rPr>
                <w:lang w:eastAsia="fr-CH"/>
              </w:rPr>
              <w:t xml:space="preserve"> was selected to perform this </w:t>
            </w:r>
            <w:r w:rsidRPr="00DC4B17">
              <w:rPr>
                <w:rFonts w:asciiTheme="minorHAnsi" w:hAnsiTheme="minorHAnsi" w:cstheme="minorHAnsi"/>
                <w:lang w:eastAsia="fr-CH"/>
              </w:rPr>
              <w:t xml:space="preserve">independent study. </w:t>
            </w:r>
            <w:r w:rsidR="007304D8">
              <w:rPr>
                <w:rFonts w:asciiTheme="minorHAnsi" w:hAnsiTheme="minorHAnsi" w:cstheme="minorHAnsi"/>
                <w:lang w:eastAsia="fr-CH"/>
              </w:rPr>
              <w:t>PWC</w:t>
            </w:r>
            <w:r w:rsidRPr="00DC4B17">
              <w:rPr>
                <w:rFonts w:asciiTheme="minorHAnsi" w:hAnsiTheme="minorHAnsi" w:cstheme="minorHAnsi"/>
                <w:lang w:eastAsia="fr-CH"/>
              </w:rPr>
              <w:t xml:space="preserve">’s review </w:t>
            </w:r>
            <w:r w:rsidR="00DC4B17">
              <w:rPr>
                <w:rFonts w:asciiTheme="minorHAnsi" w:hAnsiTheme="minorHAnsi" w:cstheme="minorHAnsi"/>
                <w:lang w:eastAsia="fr-CH"/>
              </w:rPr>
              <w:t xml:space="preserve">included </w:t>
            </w:r>
            <w:r w:rsidR="00DC4B17" w:rsidRPr="00DC4B17">
              <w:rPr>
                <w:rFonts w:asciiTheme="minorHAnsi" w:hAnsiTheme="minorHAnsi" w:cstheme="minorHAnsi"/>
                <w:color w:val="000000"/>
              </w:rPr>
              <w:t xml:space="preserve">qualitative and quantitative data collection, stakeholder consultation </w:t>
            </w:r>
            <w:r w:rsidR="00DC4B17">
              <w:rPr>
                <w:rFonts w:asciiTheme="minorHAnsi" w:hAnsiTheme="minorHAnsi" w:cstheme="minorHAnsi"/>
                <w:color w:val="000000"/>
              </w:rPr>
              <w:t xml:space="preserve">(over 100 internal and external stakeholder interviews) </w:t>
            </w:r>
            <w:r w:rsidR="00DC4B17" w:rsidRPr="00DC4B17">
              <w:rPr>
                <w:rFonts w:asciiTheme="minorHAnsi" w:hAnsiTheme="minorHAnsi" w:cstheme="minorHAnsi"/>
                <w:color w:val="000000"/>
              </w:rPr>
              <w:t xml:space="preserve">and </w:t>
            </w:r>
            <w:r w:rsidR="00DC4B17">
              <w:rPr>
                <w:rFonts w:asciiTheme="minorHAnsi" w:hAnsiTheme="minorHAnsi" w:cstheme="minorHAnsi"/>
                <w:color w:val="000000"/>
              </w:rPr>
              <w:t xml:space="preserve">a combination of </w:t>
            </w:r>
            <w:r w:rsidR="00DC4B17" w:rsidRPr="00DC4B17">
              <w:rPr>
                <w:rFonts w:asciiTheme="minorHAnsi" w:hAnsiTheme="minorHAnsi" w:cstheme="minorHAnsi"/>
                <w:color w:val="000000"/>
              </w:rPr>
              <w:t>analytical methods</w:t>
            </w:r>
            <w:r w:rsidR="00DC4B17">
              <w:rPr>
                <w:rFonts w:asciiTheme="minorHAnsi" w:hAnsiTheme="minorHAnsi" w:cstheme="minorHAnsi"/>
                <w:color w:val="000000"/>
              </w:rPr>
              <w:t>.</w:t>
            </w:r>
            <w:r w:rsidR="001B14A3">
              <w:rPr>
                <w:rFonts w:asciiTheme="minorHAnsi" w:hAnsiTheme="minorHAnsi" w:cstheme="minorHAnsi"/>
                <w:color w:val="000000"/>
              </w:rPr>
              <w:t xml:space="preserve"> </w:t>
            </w:r>
            <w:r w:rsidR="007304D8">
              <w:rPr>
                <w:rFonts w:asciiTheme="minorHAnsi" w:hAnsiTheme="minorHAnsi" w:cstheme="minorHAnsi"/>
                <w:color w:val="000000"/>
              </w:rPr>
              <w:t>PWC</w:t>
            </w:r>
            <w:r w:rsidR="00DC4B17">
              <w:rPr>
                <w:rFonts w:asciiTheme="minorHAnsi" w:hAnsiTheme="minorHAnsi" w:cstheme="minorHAnsi"/>
                <w:color w:val="000000"/>
              </w:rPr>
              <w:t xml:space="preserve">’s Report was submitted </w:t>
            </w:r>
            <w:r w:rsidR="00144499">
              <w:rPr>
                <w:rFonts w:asciiTheme="minorHAnsi" w:hAnsiTheme="minorHAnsi" w:cstheme="minorHAnsi"/>
                <w:color w:val="000000"/>
              </w:rPr>
              <w:t xml:space="preserve">to </w:t>
            </w:r>
            <w:r w:rsidR="00852C43">
              <w:rPr>
                <w:rFonts w:asciiTheme="minorHAnsi" w:hAnsiTheme="minorHAnsi" w:cstheme="minorHAnsi"/>
                <w:color w:val="000000"/>
              </w:rPr>
              <w:t xml:space="preserve">the </w:t>
            </w:r>
            <w:r w:rsidR="00144499">
              <w:rPr>
                <w:rFonts w:asciiTheme="minorHAnsi" w:hAnsiTheme="minorHAnsi" w:cstheme="minorHAnsi"/>
                <w:color w:val="000000"/>
              </w:rPr>
              <w:t xml:space="preserve">ITU Secretary-General </w:t>
            </w:r>
            <w:r w:rsidR="00DC4B17">
              <w:rPr>
                <w:rFonts w:asciiTheme="minorHAnsi" w:hAnsiTheme="minorHAnsi" w:cstheme="minorHAnsi"/>
                <w:color w:val="000000"/>
              </w:rPr>
              <w:t>in July 2020</w:t>
            </w:r>
            <w:r w:rsidR="00CF0C97">
              <w:rPr>
                <w:rFonts w:asciiTheme="minorHAnsi" w:hAnsiTheme="minorHAnsi" w:cstheme="minorHAnsi"/>
                <w:color w:val="000000"/>
              </w:rPr>
              <w:t xml:space="preserve"> and presented to the Council at the </w:t>
            </w:r>
            <w:r w:rsidR="00D241E7">
              <w:rPr>
                <w:rFonts w:asciiTheme="minorHAnsi" w:hAnsiTheme="minorHAnsi" w:cstheme="minorHAnsi"/>
                <w:color w:val="000000"/>
              </w:rPr>
              <w:t xml:space="preserve">Second </w:t>
            </w:r>
            <w:r w:rsidR="00CF0C97">
              <w:rPr>
                <w:rFonts w:asciiTheme="minorHAnsi" w:hAnsiTheme="minorHAnsi" w:cstheme="minorHAnsi"/>
                <w:color w:val="000000"/>
              </w:rPr>
              <w:t xml:space="preserve">Virtual Consultation </w:t>
            </w:r>
            <w:r w:rsidR="00D241E7">
              <w:rPr>
                <w:rFonts w:asciiTheme="minorHAnsi" w:hAnsiTheme="minorHAnsi" w:cstheme="minorHAnsi"/>
                <w:color w:val="000000"/>
              </w:rPr>
              <w:t>in November 2020.</w:t>
            </w:r>
            <w:r w:rsidR="00AA3D5F">
              <w:rPr>
                <w:rFonts w:asciiTheme="minorHAnsi" w:hAnsiTheme="minorHAnsi" w:cstheme="minorHAnsi"/>
                <w:color w:val="000000"/>
              </w:rPr>
              <w:t xml:space="preserve"> Council referred consideration of the report to the Council Working Group on Financ</w:t>
            </w:r>
            <w:r w:rsidR="009D56E0">
              <w:rPr>
                <w:rFonts w:asciiTheme="minorHAnsi" w:hAnsiTheme="minorHAnsi" w:cstheme="minorHAnsi"/>
                <w:color w:val="000000"/>
              </w:rPr>
              <w:t>ial</w:t>
            </w:r>
            <w:r w:rsidR="00AA3D5F">
              <w:rPr>
                <w:rFonts w:asciiTheme="minorHAnsi" w:hAnsiTheme="minorHAnsi" w:cstheme="minorHAnsi"/>
                <w:color w:val="000000"/>
              </w:rPr>
              <w:t xml:space="preserve"> and Human Resources</w:t>
            </w:r>
            <w:r w:rsidR="00426E5E">
              <w:rPr>
                <w:rFonts w:asciiTheme="minorHAnsi" w:hAnsiTheme="minorHAnsi" w:cstheme="minorHAnsi"/>
                <w:color w:val="000000"/>
              </w:rPr>
              <w:t xml:space="preserve"> (CWG-FHR)</w:t>
            </w:r>
            <w:r w:rsidR="00AA3D5F">
              <w:rPr>
                <w:rFonts w:asciiTheme="minorHAnsi" w:hAnsiTheme="minorHAnsi" w:cstheme="minorHAnsi"/>
                <w:color w:val="000000"/>
              </w:rPr>
              <w:t xml:space="preserve">, which </w:t>
            </w:r>
            <w:r w:rsidR="0017760A">
              <w:rPr>
                <w:rFonts w:asciiTheme="minorHAnsi" w:hAnsiTheme="minorHAnsi" w:cstheme="minorHAnsi"/>
                <w:color w:val="000000"/>
              </w:rPr>
              <w:t xml:space="preserve">at its meeting on 25/26 January 2021, created </w:t>
            </w:r>
            <w:r w:rsidR="00AA3D5F">
              <w:rPr>
                <w:rFonts w:asciiTheme="minorHAnsi" w:hAnsiTheme="minorHAnsi" w:cstheme="minorHAnsi"/>
                <w:color w:val="000000"/>
              </w:rPr>
              <w:t>an Ad Hoc Group on the ITU Regional Presence</w:t>
            </w:r>
            <w:r w:rsidR="0017760A">
              <w:rPr>
                <w:rFonts w:asciiTheme="minorHAnsi" w:hAnsiTheme="minorHAnsi" w:cstheme="minorHAnsi"/>
                <w:color w:val="000000"/>
              </w:rPr>
              <w:t xml:space="preserve"> to consider the matter.</w:t>
            </w:r>
          </w:p>
          <w:p w14:paraId="1D737061" w14:textId="0DAD1EBE" w:rsidR="00F2418A" w:rsidRDefault="00F2418A" w:rsidP="009D56E0">
            <w:pPr>
              <w:spacing w:after="120"/>
              <w:jc w:val="both"/>
              <w:rPr>
                <w:rFonts w:asciiTheme="minorHAnsi" w:hAnsiTheme="minorHAnsi" w:cstheme="minorHAnsi"/>
                <w:color w:val="000000"/>
              </w:rPr>
            </w:pPr>
            <w:r>
              <w:rPr>
                <w:rFonts w:asciiTheme="minorHAnsi" w:hAnsiTheme="minorHAnsi" w:cstheme="minorHAnsi"/>
                <w:color w:val="000000"/>
              </w:rPr>
              <w:t xml:space="preserve">This document comprises the Report of the Ad Hoc Group </w:t>
            </w:r>
            <w:r w:rsidR="0017760A">
              <w:rPr>
                <w:rFonts w:asciiTheme="minorHAnsi" w:hAnsiTheme="minorHAnsi" w:cstheme="minorHAnsi"/>
                <w:color w:val="000000"/>
              </w:rPr>
              <w:t>on ITU Regional Presence</w:t>
            </w:r>
            <w:r w:rsidR="00426E5E">
              <w:rPr>
                <w:rFonts w:asciiTheme="minorHAnsi" w:hAnsiTheme="minorHAnsi" w:cstheme="minorHAnsi"/>
                <w:color w:val="000000"/>
              </w:rPr>
              <w:t>, submitted to CWG-FHR for consideration</w:t>
            </w:r>
            <w:r w:rsidR="0017760A">
              <w:rPr>
                <w:rFonts w:asciiTheme="minorHAnsi" w:hAnsiTheme="minorHAnsi" w:cstheme="minorHAnsi"/>
                <w:color w:val="000000"/>
              </w:rPr>
              <w:t>.</w:t>
            </w:r>
          </w:p>
          <w:p w14:paraId="145DFE4B" w14:textId="77777777" w:rsidR="002A2188" w:rsidRPr="00813E5E" w:rsidRDefault="002A2188" w:rsidP="009D56E0">
            <w:pPr>
              <w:pStyle w:val="Headingb"/>
              <w:spacing w:before="120" w:after="120"/>
              <w:jc w:val="both"/>
            </w:pPr>
            <w:r w:rsidRPr="00813E5E">
              <w:t>Action required</w:t>
            </w:r>
          </w:p>
          <w:p w14:paraId="74F1525E" w14:textId="3EAD9F3E" w:rsidR="002A2188" w:rsidRPr="00813E5E" w:rsidRDefault="009D56E0" w:rsidP="009D56E0">
            <w:pPr>
              <w:spacing w:after="120"/>
              <w:jc w:val="both"/>
            </w:pPr>
            <w:r w:rsidRPr="009D56E0">
              <w:t>The Council Working Group on Financial and Human Resources</w:t>
            </w:r>
            <w:r w:rsidR="00F2418A" w:rsidRPr="009D56E0">
              <w:t xml:space="preserve"> is invited to </w:t>
            </w:r>
            <w:r w:rsidR="00F2418A" w:rsidRPr="009D56E0">
              <w:rPr>
                <w:b/>
                <w:bCs/>
              </w:rPr>
              <w:t>review</w:t>
            </w:r>
            <w:r w:rsidR="00F2418A" w:rsidRPr="009D56E0">
              <w:t xml:space="preserve"> this Report and </w:t>
            </w:r>
            <w:r w:rsidR="00F2418A" w:rsidRPr="009D56E0">
              <w:rPr>
                <w:b/>
                <w:bCs/>
              </w:rPr>
              <w:t xml:space="preserve">make further decisions </w:t>
            </w:r>
            <w:r w:rsidR="00F2418A" w:rsidRPr="009D56E0">
              <w:t>as required before</w:t>
            </w:r>
            <w:r w:rsidR="006B0292" w:rsidRPr="009D56E0">
              <w:t xml:space="preserve"> submit</w:t>
            </w:r>
            <w:r w:rsidR="00F2418A" w:rsidRPr="009D56E0">
              <w:t xml:space="preserve">ting its </w:t>
            </w:r>
            <w:r w:rsidR="006B0292" w:rsidRPr="009D56E0">
              <w:t>report to Council</w:t>
            </w:r>
            <w:r w:rsidR="009677B4" w:rsidRPr="009D56E0">
              <w:t>.</w:t>
            </w:r>
          </w:p>
          <w:p w14:paraId="68F1D928" w14:textId="77777777" w:rsidR="002A2188" w:rsidRPr="00813E5E" w:rsidRDefault="002A2188" w:rsidP="009D56E0">
            <w:pPr>
              <w:pStyle w:val="Table"/>
              <w:keepNext w:val="0"/>
              <w:spacing w:before="120"/>
              <w:rPr>
                <w:rFonts w:ascii="Calibri" w:hAnsi="Calibri"/>
                <w:caps w:val="0"/>
                <w:sz w:val="22"/>
              </w:rPr>
            </w:pPr>
            <w:r w:rsidRPr="00813E5E">
              <w:rPr>
                <w:rFonts w:ascii="Calibri" w:hAnsi="Calibri"/>
                <w:caps w:val="0"/>
                <w:sz w:val="22"/>
              </w:rPr>
              <w:t>____________</w:t>
            </w:r>
          </w:p>
          <w:p w14:paraId="2124BADC" w14:textId="77777777" w:rsidR="002A2188" w:rsidRPr="00813E5E" w:rsidRDefault="002A2188" w:rsidP="009D56E0">
            <w:pPr>
              <w:pStyle w:val="Headingb"/>
              <w:spacing w:before="120" w:after="120"/>
            </w:pPr>
            <w:r w:rsidRPr="00813E5E">
              <w:t>References</w:t>
            </w:r>
          </w:p>
          <w:p w14:paraId="33B3CC0B" w14:textId="129CF7F6" w:rsidR="009D56E0" w:rsidRDefault="009D56E0" w:rsidP="009D56E0">
            <w:pPr>
              <w:spacing w:after="120"/>
              <w:rPr>
                <w:i/>
                <w:iCs/>
              </w:rPr>
            </w:pPr>
            <w:hyperlink r:id="rId9" w:history="1">
              <w:r w:rsidRPr="009D56E0">
                <w:rPr>
                  <w:rStyle w:val="Hyperlink"/>
                  <w:i/>
                  <w:iCs/>
                </w:rPr>
                <w:t>PP Res. 25 (Rev. Dubai, 2018)</w:t>
              </w:r>
            </w:hyperlink>
          </w:p>
          <w:p w14:paraId="19214FE8" w14:textId="672D6193" w:rsidR="002A2188" w:rsidRDefault="00A241B5" w:rsidP="009D56E0">
            <w:pPr>
              <w:spacing w:after="120"/>
              <w:rPr>
                <w:i/>
                <w:iCs/>
              </w:rPr>
            </w:pPr>
            <w:hyperlink r:id="rId10" w:history="1">
              <w:r w:rsidR="00DC4B17" w:rsidRPr="00852C43">
                <w:rPr>
                  <w:rStyle w:val="Hyperlink"/>
                  <w:i/>
                  <w:iCs/>
                </w:rPr>
                <w:t>C19/133</w:t>
              </w:r>
            </w:hyperlink>
            <w:r w:rsidR="00DC4B17">
              <w:rPr>
                <w:i/>
                <w:iCs/>
              </w:rPr>
              <w:t xml:space="preserve"> – Council Decision 616 on Regional Presence</w:t>
            </w:r>
          </w:p>
          <w:p w14:paraId="2E0343C9" w14:textId="103AE457" w:rsidR="002A2188" w:rsidRPr="00813E5E" w:rsidRDefault="00732DA4" w:rsidP="009D56E0">
            <w:pPr>
              <w:spacing w:after="120"/>
              <w:rPr>
                <w:i/>
                <w:iCs/>
              </w:rPr>
            </w:pPr>
            <w:r>
              <w:rPr>
                <w:i/>
                <w:iCs/>
              </w:rPr>
              <w:t xml:space="preserve">Document </w:t>
            </w:r>
            <w:hyperlink r:id="rId11" w:history="1">
              <w:r w:rsidRPr="00852C43">
                <w:rPr>
                  <w:rStyle w:val="Hyperlink"/>
                  <w:i/>
                  <w:iCs/>
                </w:rPr>
                <w:t>C19/25(Rev.2)</w:t>
              </w:r>
            </w:hyperlink>
            <w:r w:rsidR="00852C43">
              <w:rPr>
                <w:i/>
                <w:iCs/>
              </w:rPr>
              <w:t xml:space="preserve"> –</w:t>
            </w:r>
            <w:r>
              <w:rPr>
                <w:i/>
                <w:iCs/>
              </w:rPr>
              <w:t xml:space="preserve"> </w:t>
            </w:r>
            <w:r w:rsidR="00852C43">
              <w:rPr>
                <w:i/>
                <w:iCs/>
              </w:rPr>
              <w:t>R</w:t>
            </w:r>
            <w:r>
              <w:rPr>
                <w:i/>
                <w:iCs/>
              </w:rPr>
              <w:t>eport on the implementation of Resolution 25</w:t>
            </w:r>
            <w:r w:rsidR="00852C43">
              <w:rPr>
                <w:i/>
                <w:iCs/>
              </w:rPr>
              <w:t xml:space="preserve"> </w:t>
            </w:r>
            <w:r>
              <w:rPr>
                <w:i/>
                <w:iCs/>
              </w:rPr>
              <w:t>(Rev. Dubai, 2018)</w:t>
            </w:r>
          </w:p>
        </w:tc>
      </w:tr>
    </w:tbl>
    <w:p w14:paraId="591B451D" w14:textId="77777777" w:rsidR="00D338E0" w:rsidRDefault="00D338E0">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6" w:name="dstart"/>
      <w:bookmarkStart w:id="7" w:name="dbreak"/>
      <w:bookmarkEnd w:id="6"/>
      <w:bookmarkEnd w:id="7"/>
      <w:r>
        <w:rPr>
          <w:lang w:val="en-US"/>
        </w:rPr>
        <w:br w:type="page"/>
      </w:r>
    </w:p>
    <w:p w14:paraId="06374254" w14:textId="35601587" w:rsidR="00D338E0" w:rsidRDefault="008E0788" w:rsidP="008E0788">
      <w:pPr>
        <w:pStyle w:val="Heading1"/>
        <w:numPr>
          <w:ilvl w:val="0"/>
          <w:numId w:val="2"/>
        </w:numPr>
        <w:rPr>
          <w:lang w:val="en-US"/>
        </w:rPr>
      </w:pPr>
      <w:r>
        <w:rPr>
          <w:lang w:val="en-US"/>
        </w:rPr>
        <w:lastRenderedPageBreak/>
        <w:t>Introduction</w:t>
      </w:r>
    </w:p>
    <w:p w14:paraId="712C2303" w14:textId="3F96D457" w:rsidR="008E0788" w:rsidRPr="00852C43" w:rsidRDefault="008E0788" w:rsidP="002B581A">
      <w:pPr>
        <w:tabs>
          <w:tab w:val="clear" w:pos="567"/>
          <w:tab w:val="clear" w:pos="1134"/>
          <w:tab w:val="clear" w:pos="1701"/>
          <w:tab w:val="clear" w:pos="2268"/>
          <w:tab w:val="clear" w:pos="2835"/>
        </w:tabs>
        <w:snapToGrid w:val="0"/>
        <w:spacing w:before="240" w:line="276" w:lineRule="auto"/>
        <w:jc w:val="both"/>
        <w:rPr>
          <w:rFonts w:cs="Calibri"/>
          <w:szCs w:val="24"/>
        </w:rPr>
      </w:pPr>
      <w:r w:rsidRPr="00852C43">
        <w:rPr>
          <w:lang w:val="en-US"/>
        </w:rPr>
        <w:t xml:space="preserve">Council </w:t>
      </w:r>
      <w:r w:rsidR="00852C43">
        <w:rPr>
          <w:lang w:val="en-US"/>
        </w:rPr>
        <w:t>D</w:t>
      </w:r>
      <w:r w:rsidRPr="00852C43">
        <w:rPr>
          <w:lang w:val="en-US"/>
        </w:rPr>
        <w:t>ecision 616, adopted at the ninth Plenary Meeting of Council 2019, instructed the Secretary</w:t>
      </w:r>
      <w:r w:rsidR="00065FE6" w:rsidRPr="00852C43">
        <w:rPr>
          <w:lang w:val="en-US"/>
        </w:rPr>
        <w:t>-</w:t>
      </w:r>
      <w:r w:rsidRPr="00852C43">
        <w:rPr>
          <w:lang w:val="en-US"/>
        </w:rPr>
        <w:t xml:space="preserve">General </w:t>
      </w:r>
      <w:r w:rsidRPr="00852C43">
        <w:rPr>
          <w:rFonts w:cs="Calibri"/>
          <w:szCs w:val="24"/>
        </w:rPr>
        <w:t>to recruit and hire an independent external management consultancy to perform a comprehensive programmatic, strategic</w:t>
      </w:r>
      <w:r w:rsidR="00E43814">
        <w:rPr>
          <w:rFonts w:cs="Calibri"/>
          <w:szCs w:val="24"/>
        </w:rPr>
        <w:t>,</w:t>
      </w:r>
      <w:r w:rsidRPr="00852C43">
        <w:rPr>
          <w:rFonts w:cs="Calibri"/>
          <w:szCs w:val="24"/>
        </w:rPr>
        <w:t xml:space="preserve"> and financial assessment and review of ITU’s </w:t>
      </w:r>
      <w:r w:rsidR="002A1F61">
        <w:rPr>
          <w:rFonts w:cs="Calibri"/>
          <w:szCs w:val="24"/>
        </w:rPr>
        <w:t>r</w:t>
      </w:r>
      <w:r w:rsidRPr="00852C43">
        <w:rPr>
          <w:rFonts w:cs="Calibri"/>
          <w:szCs w:val="24"/>
        </w:rPr>
        <w:t xml:space="preserve">egional </w:t>
      </w:r>
      <w:r w:rsidR="002A1F61">
        <w:rPr>
          <w:rFonts w:cs="Calibri"/>
          <w:szCs w:val="24"/>
        </w:rPr>
        <w:t>p</w:t>
      </w:r>
      <w:r w:rsidRPr="00852C43">
        <w:rPr>
          <w:rFonts w:cs="Calibri"/>
          <w:szCs w:val="24"/>
        </w:rPr>
        <w:t>resence program</w:t>
      </w:r>
      <w:r w:rsidR="00E43814">
        <w:rPr>
          <w:rFonts w:cs="Calibri"/>
          <w:szCs w:val="24"/>
        </w:rPr>
        <w:t>me</w:t>
      </w:r>
      <w:r w:rsidRPr="00852C43">
        <w:rPr>
          <w:rFonts w:cs="Calibri"/>
          <w:szCs w:val="24"/>
        </w:rPr>
        <w:t xml:space="preserve"> in accordance with the terms of reference set forth in the Annex, taking into consideration contributions from the ITU membership, and submit a report with recommendations to the 2021 session of the Council for action. In its decision, the Council provided detailed Terms of Reference for guidance of the consultancy.</w:t>
      </w:r>
    </w:p>
    <w:p w14:paraId="08AF8A9E" w14:textId="66063DB3" w:rsidR="00525B5E" w:rsidRDefault="008E0788" w:rsidP="00525B5E">
      <w:pPr>
        <w:spacing w:line="276" w:lineRule="auto"/>
        <w:jc w:val="both"/>
        <w:rPr>
          <w:rFonts w:asciiTheme="minorHAnsi" w:hAnsiTheme="minorHAnsi" w:cstheme="minorHAnsi"/>
          <w:lang w:eastAsia="fr-CH"/>
        </w:rPr>
      </w:pPr>
      <w:r w:rsidRPr="00852C43">
        <w:rPr>
          <w:lang w:eastAsia="fr-CH"/>
        </w:rPr>
        <w:t xml:space="preserve">Following a competitive bidding process, </w:t>
      </w:r>
      <w:r w:rsidR="007304D8">
        <w:rPr>
          <w:lang w:eastAsia="fr-CH"/>
        </w:rPr>
        <w:t>PWC</w:t>
      </w:r>
      <w:r w:rsidRPr="00852C43">
        <w:rPr>
          <w:lang w:eastAsia="fr-CH"/>
        </w:rPr>
        <w:t xml:space="preserve"> was selected to perform this independent study</w:t>
      </w:r>
      <w:r w:rsidR="00F2418A">
        <w:rPr>
          <w:lang w:eastAsia="fr-CH"/>
        </w:rPr>
        <w:t xml:space="preserve">. </w:t>
      </w:r>
      <w:r w:rsidR="007304D8">
        <w:rPr>
          <w:lang w:eastAsia="fr-CH"/>
        </w:rPr>
        <w:t>PWC</w:t>
      </w:r>
      <w:r w:rsidR="00F2418A">
        <w:rPr>
          <w:lang w:eastAsia="fr-CH"/>
        </w:rPr>
        <w:t xml:space="preserve"> conducted its </w:t>
      </w:r>
      <w:proofErr w:type="gramStart"/>
      <w:r w:rsidR="00F2418A">
        <w:rPr>
          <w:lang w:eastAsia="fr-CH"/>
        </w:rPr>
        <w:t>work</w:t>
      </w:r>
      <w:proofErr w:type="gramEnd"/>
      <w:r w:rsidRPr="00852C43">
        <w:rPr>
          <w:lang w:eastAsia="fr-CH"/>
        </w:rPr>
        <w:t xml:space="preserve"> </w:t>
      </w:r>
      <w:r w:rsidR="007C53EA" w:rsidRPr="00852C43">
        <w:rPr>
          <w:lang w:eastAsia="fr-CH"/>
        </w:rPr>
        <w:t xml:space="preserve">and </w:t>
      </w:r>
      <w:r w:rsidR="00F2418A">
        <w:rPr>
          <w:lang w:eastAsia="fr-CH"/>
        </w:rPr>
        <w:t>its</w:t>
      </w:r>
      <w:r w:rsidR="007C53EA" w:rsidRPr="00852C43">
        <w:rPr>
          <w:lang w:eastAsia="fr-CH"/>
        </w:rPr>
        <w:t xml:space="preserve"> final report was delivered to the Secretariat in July 2020</w:t>
      </w:r>
      <w:r w:rsidRPr="00852C43">
        <w:rPr>
          <w:lang w:eastAsia="fr-CH"/>
        </w:rPr>
        <w:t>.</w:t>
      </w:r>
      <w:r w:rsidR="00525B5E" w:rsidRPr="00852C43">
        <w:rPr>
          <w:rFonts w:asciiTheme="minorHAnsi" w:hAnsiTheme="minorHAnsi" w:cstheme="minorHAnsi"/>
          <w:lang w:eastAsia="fr-CH"/>
        </w:rPr>
        <w:t xml:space="preserve"> </w:t>
      </w:r>
    </w:p>
    <w:p w14:paraId="3CBAE614" w14:textId="43DB2A44" w:rsidR="005827EA" w:rsidRPr="005827EA" w:rsidRDefault="007304D8" w:rsidP="007304D8">
      <w:pPr>
        <w:tabs>
          <w:tab w:val="num" w:pos="720"/>
        </w:tabs>
        <w:spacing w:line="276" w:lineRule="auto"/>
        <w:jc w:val="both"/>
        <w:rPr>
          <w:rFonts w:asciiTheme="minorHAnsi" w:hAnsiTheme="minorHAnsi" w:cstheme="minorHAnsi"/>
          <w:lang w:eastAsia="fr-CH"/>
        </w:rPr>
      </w:pPr>
      <w:r>
        <w:rPr>
          <w:rFonts w:asciiTheme="minorHAnsi" w:hAnsiTheme="minorHAnsi" w:cstheme="minorHAnsi"/>
          <w:lang w:val="en-US" w:eastAsia="fr-CH"/>
        </w:rPr>
        <w:t>The PWC</w:t>
      </w:r>
      <w:r w:rsidR="005827EA" w:rsidRPr="005827EA">
        <w:rPr>
          <w:rFonts w:asciiTheme="minorHAnsi" w:hAnsiTheme="minorHAnsi" w:cstheme="minorHAnsi"/>
          <w:lang w:val="en-US" w:eastAsia="fr-CH"/>
        </w:rPr>
        <w:t xml:space="preserve"> report </w:t>
      </w:r>
      <w:r>
        <w:rPr>
          <w:rFonts w:asciiTheme="minorHAnsi" w:hAnsiTheme="minorHAnsi" w:cstheme="minorHAnsi"/>
          <w:lang w:val="en-US" w:eastAsia="fr-CH"/>
        </w:rPr>
        <w:t xml:space="preserve">was </w:t>
      </w:r>
      <w:r w:rsidR="005827EA" w:rsidRPr="005827EA">
        <w:rPr>
          <w:rFonts w:asciiTheme="minorHAnsi" w:hAnsiTheme="minorHAnsi" w:cstheme="minorHAnsi"/>
          <w:lang w:val="en-US" w:eastAsia="fr-CH"/>
        </w:rPr>
        <w:t xml:space="preserve">presented to the Second Virtual Consultation of Council (VCC2) in November 2020 in </w:t>
      </w:r>
      <w:hyperlink r:id="rId12" w:history="1">
        <w:r w:rsidR="005827EA" w:rsidRPr="005827EA">
          <w:rPr>
            <w:rStyle w:val="Hyperlink"/>
            <w:rFonts w:asciiTheme="minorHAnsi" w:hAnsiTheme="minorHAnsi" w:cstheme="minorHAnsi"/>
            <w:lang w:val="en-US" w:eastAsia="fr-CH"/>
          </w:rPr>
          <w:t>Document C20/74</w:t>
        </w:r>
      </w:hyperlink>
      <w:r>
        <w:rPr>
          <w:rFonts w:asciiTheme="minorHAnsi" w:hAnsiTheme="minorHAnsi" w:cstheme="minorHAnsi"/>
          <w:lang w:eastAsia="fr-CH"/>
        </w:rPr>
        <w:t xml:space="preserve">, together with a </w:t>
      </w:r>
      <w:r w:rsidR="005827EA" w:rsidRPr="005827EA">
        <w:rPr>
          <w:rFonts w:asciiTheme="minorHAnsi" w:hAnsiTheme="minorHAnsi" w:cstheme="minorHAnsi"/>
          <w:lang w:val="en-US" w:eastAsia="fr-CH"/>
        </w:rPr>
        <w:t xml:space="preserve">Secretariat Note on </w:t>
      </w:r>
      <w:r>
        <w:rPr>
          <w:rFonts w:asciiTheme="minorHAnsi" w:hAnsiTheme="minorHAnsi" w:cstheme="minorHAnsi"/>
          <w:lang w:val="en-US" w:eastAsia="fr-CH"/>
        </w:rPr>
        <w:t>the PWC</w:t>
      </w:r>
      <w:r w:rsidR="005827EA" w:rsidRPr="005827EA">
        <w:rPr>
          <w:rFonts w:asciiTheme="minorHAnsi" w:hAnsiTheme="minorHAnsi" w:cstheme="minorHAnsi"/>
          <w:lang w:val="en-US" w:eastAsia="fr-CH"/>
        </w:rPr>
        <w:t xml:space="preserve"> Report </w:t>
      </w:r>
      <w:r>
        <w:rPr>
          <w:rFonts w:asciiTheme="minorHAnsi" w:hAnsiTheme="minorHAnsi" w:cstheme="minorHAnsi"/>
          <w:lang w:val="en-US" w:eastAsia="fr-CH"/>
        </w:rPr>
        <w:t xml:space="preserve">providing initial view </w:t>
      </w:r>
      <w:r w:rsidR="0038741B">
        <w:rPr>
          <w:rFonts w:asciiTheme="minorHAnsi" w:hAnsiTheme="minorHAnsi" w:cstheme="minorHAnsi"/>
          <w:lang w:val="en-US" w:eastAsia="fr-CH"/>
        </w:rPr>
        <w:t>on PWC’s report and the recommendations made (</w:t>
      </w:r>
      <w:hyperlink r:id="rId13" w:history="1">
        <w:r w:rsidR="005827EA" w:rsidRPr="005827EA">
          <w:rPr>
            <w:rStyle w:val="Hyperlink"/>
            <w:rFonts w:asciiTheme="minorHAnsi" w:hAnsiTheme="minorHAnsi" w:cstheme="minorHAnsi"/>
            <w:lang w:val="en-US" w:eastAsia="fr-CH"/>
          </w:rPr>
          <w:t>Document C20/75</w:t>
        </w:r>
      </w:hyperlink>
      <w:r w:rsidR="0038741B">
        <w:rPr>
          <w:rFonts w:asciiTheme="minorHAnsi" w:hAnsiTheme="minorHAnsi" w:cstheme="minorHAnsi"/>
          <w:lang w:eastAsia="fr-CH"/>
        </w:rPr>
        <w:t>).</w:t>
      </w:r>
    </w:p>
    <w:p w14:paraId="06FB788E" w14:textId="77777777" w:rsidR="0038741B" w:rsidRDefault="005827EA" w:rsidP="0038741B">
      <w:pPr>
        <w:spacing w:line="276" w:lineRule="auto"/>
        <w:jc w:val="both"/>
        <w:rPr>
          <w:rFonts w:asciiTheme="minorHAnsi" w:hAnsiTheme="minorHAnsi" w:cstheme="minorHAnsi"/>
          <w:lang w:val="en-US" w:eastAsia="fr-CH"/>
        </w:rPr>
      </w:pPr>
      <w:r w:rsidRPr="005827EA">
        <w:rPr>
          <w:rFonts w:asciiTheme="minorHAnsi" w:hAnsiTheme="minorHAnsi" w:cstheme="minorHAnsi"/>
          <w:lang w:val="en-US" w:eastAsia="fr-CH"/>
        </w:rPr>
        <w:t xml:space="preserve">Council referred the consideration of the </w:t>
      </w:r>
      <w:r w:rsidR="007304D8">
        <w:rPr>
          <w:rFonts w:asciiTheme="minorHAnsi" w:hAnsiTheme="minorHAnsi" w:cstheme="minorHAnsi"/>
          <w:lang w:val="en-US" w:eastAsia="fr-CH"/>
        </w:rPr>
        <w:t>PWC</w:t>
      </w:r>
      <w:r w:rsidRPr="005827EA">
        <w:rPr>
          <w:rFonts w:asciiTheme="minorHAnsi" w:hAnsiTheme="minorHAnsi" w:cstheme="minorHAnsi"/>
          <w:lang w:val="en-US" w:eastAsia="fr-CH"/>
        </w:rPr>
        <w:t xml:space="preserve"> review to CWG-FHR</w:t>
      </w:r>
      <w:r w:rsidR="0038741B">
        <w:rPr>
          <w:rFonts w:asciiTheme="minorHAnsi" w:hAnsiTheme="minorHAnsi" w:cstheme="minorHAnsi"/>
          <w:lang w:val="en-US" w:eastAsia="fr-CH"/>
        </w:rPr>
        <w:t>.</w:t>
      </w:r>
    </w:p>
    <w:p w14:paraId="5203AB91" w14:textId="1D13FB1B" w:rsidR="004A7F02" w:rsidRPr="004A7F02" w:rsidRDefault="000E25AD" w:rsidP="004A7F02">
      <w:pPr>
        <w:snapToGrid w:val="0"/>
        <w:spacing w:before="240" w:line="276" w:lineRule="auto"/>
        <w:jc w:val="both"/>
        <w:rPr>
          <w:rFonts w:cs="Calibri"/>
        </w:rPr>
      </w:pPr>
      <w:r>
        <w:rPr>
          <w:rFonts w:cs="Calibri"/>
        </w:rPr>
        <w:t xml:space="preserve">At its meeting on 26 January 2021 </w:t>
      </w:r>
      <w:r w:rsidR="005827EA">
        <w:rPr>
          <w:rFonts w:cs="Calibri"/>
        </w:rPr>
        <w:t xml:space="preserve">(see document </w:t>
      </w:r>
      <w:hyperlink r:id="rId14" w:history="1">
        <w:r w:rsidR="00AB6853">
          <w:rPr>
            <w:rStyle w:val="Hyperlink"/>
            <w:rFonts w:asciiTheme="minorHAnsi" w:hAnsiTheme="minorHAnsi" w:cstheme="minorHAnsi"/>
            <w:lang w:eastAsia="fr-CH"/>
          </w:rPr>
          <w:t>CWG-FHR-12/17</w:t>
        </w:r>
      </w:hyperlink>
      <w:r w:rsidR="005827EA">
        <w:rPr>
          <w:rFonts w:asciiTheme="minorHAnsi" w:hAnsiTheme="minorHAnsi" w:cstheme="minorHAnsi"/>
          <w:lang w:eastAsia="fr-CH"/>
        </w:rPr>
        <w:t>)</w:t>
      </w:r>
      <w:r>
        <w:rPr>
          <w:rFonts w:cs="Calibri"/>
        </w:rPr>
        <w:t xml:space="preserve">, </w:t>
      </w:r>
      <w:r w:rsidR="004A7F02">
        <w:rPr>
          <w:rFonts w:cs="Calibri"/>
        </w:rPr>
        <w:t>CWG-FHR decided to convene an</w:t>
      </w:r>
      <w:r w:rsidR="004A7F02" w:rsidRPr="004A7F02">
        <w:rPr>
          <w:rFonts w:cs="Calibri"/>
        </w:rPr>
        <w:t xml:space="preserve"> Ad Hoc Group to Review and analyse the recommendations of the PWC Report presented by the Secretary-General in Document C20/74, taking into account proposals of the ITU Member States and the comments of the secretariat, to analyse the possible financial implications of various options for optimizing the structure of the ITU regional presence, and to prepare and submit recommendations to the next CWG-FHR</w:t>
      </w:r>
      <w:r w:rsidR="00A26D8C">
        <w:rPr>
          <w:rFonts w:cs="Calibri"/>
        </w:rPr>
        <w:t xml:space="preserve">. </w:t>
      </w:r>
    </w:p>
    <w:p w14:paraId="71D9B5FC" w14:textId="229503F1" w:rsidR="004A7F02" w:rsidRPr="004A7F02" w:rsidRDefault="004A7F02" w:rsidP="004A7F02">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cs="Calibri"/>
        </w:rPr>
      </w:pPr>
      <w:r>
        <w:rPr>
          <w:rFonts w:cs="Calibri"/>
        </w:rPr>
        <w:t xml:space="preserve">Ms. </w:t>
      </w:r>
      <w:r w:rsidRPr="004A7F02">
        <w:rPr>
          <w:rFonts w:cs="Calibri"/>
        </w:rPr>
        <w:t>Stella Erebor</w:t>
      </w:r>
      <w:r>
        <w:rPr>
          <w:rFonts w:cs="Calibri"/>
        </w:rPr>
        <w:t xml:space="preserve"> of</w:t>
      </w:r>
      <w:r w:rsidRPr="004A7F02">
        <w:rPr>
          <w:rFonts w:cs="Calibri"/>
        </w:rPr>
        <w:t xml:space="preserve"> Nigeria </w:t>
      </w:r>
      <w:r>
        <w:rPr>
          <w:rFonts w:cs="Calibri"/>
        </w:rPr>
        <w:t xml:space="preserve">was appointed as Chairwoman of the Ad Hoc Group, </w:t>
      </w:r>
      <w:r w:rsidRPr="004A7F02">
        <w:rPr>
          <w:rFonts w:cs="Calibri"/>
        </w:rPr>
        <w:t xml:space="preserve">with </w:t>
      </w:r>
      <w:r>
        <w:rPr>
          <w:rFonts w:cs="Calibri"/>
        </w:rPr>
        <w:t xml:space="preserve">the </w:t>
      </w:r>
      <w:r w:rsidRPr="004A7F02">
        <w:rPr>
          <w:rFonts w:cs="Calibri"/>
        </w:rPr>
        <w:t>six (6) Vice Chairs of CWG-FHR</w:t>
      </w:r>
      <w:r>
        <w:rPr>
          <w:rFonts w:cs="Calibri"/>
        </w:rPr>
        <w:t xml:space="preserve"> as Vice-Chairs of the Ad Hoc Group. Participation in the Group </w:t>
      </w:r>
      <w:r w:rsidRPr="004A7F02">
        <w:rPr>
          <w:rFonts w:cs="Calibri"/>
        </w:rPr>
        <w:t xml:space="preserve">is open to all Members States and Sector Members. </w:t>
      </w:r>
      <w:r w:rsidR="00AB6853">
        <w:rPr>
          <w:rFonts w:cs="Calibri"/>
        </w:rPr>
        <w:t xml:space="preserve">The Terms of Reference of the Ad Hoc Group are contained in document </w:t>
      </w:r>
      <w:hyperlink r:id="rId15" w:history="1">
        <w:r w:rsidR="00AB6853">
          <w:rPr>
            <w:rStyle w:val="Hyperlink"/>
          </w:rPr>
          <w:t>CWG-FHR-AH-RegPres-1/3</w:t>
        </w:r>
      </w:hyperlink>
      <w:r w:rsidR="00AB6853" w:rsidRPr="004A7F02">
        <w:rPr>
          <w:rFonts w:cs="Calibri"/>
        </w:rPr>
        <w:t>.</w:t>
      </w:r>
    </w:p>
    <w:p w14:paraId="6BFD1BD3" w14:textId="2E0D6519" w:rsidR="00C733C6" w:rsidRDefault="00FC7E1A" w:rsidP="00C733C6">
      <w:pPr>
        <w:pStyle w:val="Heading1"/>
        <w:numPr>
          <w:ilvl w:val="0"/>
          <w:numId w:val="2"/>
        </w:numPr>
        <w:rPr>
          <w:lang w:val="en-US"/>
        </w:rPr>
      </w:pPr>
      <w:r>
        <w:rPr>
          <w:lang w:val="en-US"/>
        </w:rPr>
        <w:t>Deliberations</w:t>
      </w:r>
      <w:r w:rsidR="00F2418A">
        <w:rPr>
          <w:lang w:val="en-US"/>
        </w:rPr>
        <w:t xml:space="preserve"> of the Ad Hoc Group</w:t>
      </w:r>
    </w:p>
    <w:p w14:paraId="587247B6" w14:textId="77777777" w:rsidR="007A2096" w:rsidRPr="00EC7221" w:rsidRDefault="007A2096" w:rsidP="001C5B1F">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cs="Calibri"/>
          <w:u w:val="single"/>
        </w:rPr>
      </w:pPr>
      <w:r w:rsidRPr="00EC7221">
        <w:rPr>
          <w:rFonts w:cs="Calibri"/>
          <w:u w:val="single"/>
        </w:rPr>
        <w:t>First Meeting</w:t>
      </w:r>
    </w:p>
    <w:p w14:paraId="7DD1B9E5" w14:textId="77777777" w:rsidR="00814496" w:rsidRDefault="001C5B1F" w:rsidP="001C5B1F">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rPr>
      </w:pPr>
      <w:r w:rsidRPr="001C5B1F">
        <w:rPr>
          <w:rFonts w:cs="Calibri"/>
        </w:rPr>
        <w:t xml:space="preserve">The first meeting of the Ad Hoc Group was convened on 23 March 2021 and </w:t>
      </w:r>
      <w:r w:rsidRPr="001C5B1F">
        <w:rPr>
          <w:rFonts w:asciiTheme="minorHAnsi" w:hAnsiTheme="minorHAnsi" w:cstheme="minorHAnsi"/>
        </w:rPr>
        <w:t xml:space="preserve">considered </w:t>
      </w:r>
      <w:r w:rsidR="00814496">
        <w:rPr>
          <w:rFonts w:asciiTheme="minorHAnsi" w:hAnsiTheme="minorHAnsi" w:cstheme="minorHAnsi"/>
        </w:rPr>
        <w:t xml:space="preserve">the following </w:t>
      </w:r>
      <w:r w:rsidRPr="001C5B1F">
        <w:rPr>
          <w:rFonts w:asciiTheme="minorHAnsi" w:hAnsiTheme="minorHAnsi" w:cstheme="minorHAnsi"/>
        </w:rPr>
        <w:t>contributions</w:t>
      </w:r>
      <w:r w:rsidR="00814496">
        <w:rPr>
          <w:rFonts w:asciiTheme="minorHAnsi" w:hAnsiTheme="minorHAnsi" w:cstheme="minorHAnsi"/>
        </w:rPr>
        <w:t>:</w:t>
      </w:r>
    </w:p>
    <w:p w14:paraId="5BEE86DF" w14:textId="1336EF44" w:rsidR="007151AB" w:rsidRPr="00AA0657" w:rsidRDefault="007151AB" w:rsidP="007151AB">
      <w:pPr>
        <w:pStyle w:val="ListParagraph"/>
        <w:numPr>
          <w:ilvl w:val="0"/>
          <w:numId w:val="20"/>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Contribution </w:t>
      </w:r>
      <w:r w:rsidRPr="00AA0657">
        <w:rPr>
          <w:rFonts w:asciiTheme="minorHAnsi" w:hAnsiTheme="minorHAnsi" w:cstheme="minorHAnsi"/>
          <w:szCs w:val="24"/>
        </w:rPr>
        <w:t xml:space="preserve">from </w:t>
      </w:r>
      <w:r w:rsidR="009A672F" w:rsidRPr="00AA0657">
        <w:rPr>
          <w:rFonts w:asciiTheme="minorHAnsi" w:hAnsiTheme="minorHAnsi" w:cstheme="minorHAnsi"/>
          <w:color w:val="000000"/>
          <w:szCs w:val="24"/>
          <w:shd w:val="clear" w:color="auto" w:fill="FFFFFF"/>
        </w:rPr>
        <w:t xml:space="preserve">Russian Federation on the assessment of the possible financial implications of various options for optimizing the structure of the ITU regional presence by PWC, </w:t>
      </w:r>
      <w:r w:rsidRPr="00AA0657">
        <w:rPr>
          <w:rFonts w:asciiTheme="minorHAnsi" w:hAnsiTheme="minorHAnsi" w:cstheme="minorHAnsi"/>
          <w:szCs w:val="24"/>
        </w:rPr>
        <w:t xml:space="preserve">contained in document </w:t>
      </w:r>
      <w:hyperlink r:id="rId16" w:history="1">
        <w:r w:rsidRPr="00C61363">
          <w:rPr>
            <w:rStyle w:val="Hyperlink"/>
            <w:rFonts w:asciiTheme="minorHAnsi" w:eastAsia="Calibri" w:hAnsiTheme="minorHAnsi" w:cstheme="minorHAnsi"/>
            <w:spacing w:val="-4"/>
            <w:szCs w:val="24"/>
            <w:lang w:val="de-CH"/>
          </w:rPr>
          <w:t>CWG-FHR-AH-RegPres-</w:t>
        </w:r>
        <w:r w:rsidR="009A672F" w:rsidRPr="00C61363">
          <w:rPr>
            <w:rStyle w:val="Hyperlink"/>
            <w:rFonts w:asciiTheme="minorHAnsi" w:eastAsia="Calibri" w:hAnsiTheme="minorHAnsi" w:cstheme="minorHAnsi"/>
            <w:spacing w:val="-4"/>
            <w:szCs w:val="24"/>
            <w:lang w:val="de-CH"/>
          </w:rPr>
          <w:t>1</w:t>
        </w:r>
        <w:r w:rsidRPr="00C61363">
          <w:rPr>
            <w:rStyle w:val="Hyperlink"/>
            <w:rFonts w:asciiTheme="minorHAnsi" w:eastAsia="Calibri" w:hAnsiTheme="minorHAnsi" w:cstheme="minorHAnsi"/>
            <w:spacing w:val="-4"/>
            <w:szCs w:val="24"/>
            <w:lang w:val="de-CH"/>
          </w:rPr>
          <w:t>/</w:t>
        </w:r>
        <w:r w:rsidR="00AA0657" w:rsidRPr="00C61363">
          <w:rPr>
            <w:rStyle w:val="Hyperlink"/>
            <w:rFonts w:asciiTheme="minorHAnsi" w:eastAsia="Calibri" w:hAnsiTheme="minorHAnsi" w:cstheme="minorHAnsi"/>
            <w:spacing w:val="-4"/>
            <w:szCs w:val="24"/>
            <w:lang w:val="de-CH"/>
          </w:rPr>
          <w:t>2</w:t>
        </w:r>
      </w:hyperlink>
      <w:r w:rsidRPr="00AA0657">
        <w:rPr>
          <w:rFonts w:asciiTheme="minorHAnsi" w:hAnsiTheme="minorHAnsi" w:cstheme="minorHAnsi"/>
          <w:szCs w:val="24"/>
        </w:rPr>
        <w:t>;</w:t>
      </w:r>
    </w:p>
    <w:p w14:paraId="68B8F758" w14:textId="4B24B982" w:rsidR="007151AB" w:rsidRDefault="007151AB" w:rsidP="007151AB">
      <w:pPr>
        <w:pStyle w:val="ListParagraph"/>
        <w:numPr>
          <w:ilvl w:val="0"/>
          <w:numId w:val="20"/>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Contribution </w:t>
      </w:r>
      <w:r w:rsidR="00AA0657" w:rsidRPr="00AA0657">
        <w:rPr>
          <w:rFonts w:asciiTheme="minorHAnsi" w:hAnsiTheme="minorHAnsi" w:cstheme="minorHAnsi"/>
          <w:szCs w:val="24"/>
        </w:rPr>
        <w:t>Egypt on ITU Regional Presence</w:t>
      </w:r>
      <w:r w:rsidR="00AA0657">
        <w:rPr>
          <w:rFonts w:asciiTheme="minorHAnsi" w:hAnsiTheme="minorHAnsi" w:cstheme="minorHAnsi"/>
          <w:szCs w:val="24"/>
        </w:rPr>
        <w:t xml:space="preserve"> </w:t>
      </w:r>
      <w:hyperlink r:id="rId17" w:history="1">
        <w:r w:rsidRPr="008B6D11">
          <w:rPr>
            <w:rStyle w:val="Hyperlink"/>
            <w:rFonts w:eastAsia="Calibri" w:cs="Times New Roman Bold"/>
            <w:spacing w:val="-4"/>
            <w:szCs w:val="22"/>
            <w:lang w:val="de-CH"/>
          </w:rPr>
          <w:t>CWG-FHR-AH-RegPres-</w:t>
        </w:r>
        <w:r w:rsidR="007304D8" w:rsidRPr="008B6D11">
          <w:rPr>
            <w:rStyle w:val="Hyperlink"/>
            <w:rFonts w:eastAsia="Calibri" w:cs="Times New Roman Bold"/>
            <w:spacing w:val="-4"/>
            <w:szCs w:val="22"/>
            <w:lang w:val="de-CH"/>
          </w:rPr>
          <w:t>1/5</w:t>
        </w:r>
      </w:hyperlink>
      <w:r w:rsidRPr="00B339D9">
        <w:rPr>
          <w:rFonts w:asciiTheme="minorHAnsi" w:hAnsiTheme="minorHAnsi" w:cstheme="minorHAnsi"/>
          <w:szCs w:val="24"/>
        </w:rPr>
        <w:t>;</w:t>
      </w:r>
    </w:p>
    <w:p w14:paraId="4183751D" w14:textId="37B4F9D0" w:rsidR="00D62B67" w:rsidRPr="00B339D9" w:rsidRDefault="00D62B67" w:rsidP="007151AB">
      <w:pPr>
        <w:pStyle w:val="ListParagraph"/>
        <w:numPr>
          <w:ilvl w:val="0"/>
          <w:numId w:val="20"/>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Submission by the Secretariat on </w:t>
      </w:r>
      <w:r w:rsidRPr="00D62B67">
        <w:rPr>
          <w:rFonts w:asciiTheme="minorHAnsi" w:hAnsiTheme="minorHAnsi" w:cstheme="minorHAnsi"/>
          <w:szCs w:val="24"/>
        </w:rPr>
        <w:t>Summary of PWC recommendations on ITU regional presence</w:t>
      </w:r>
      <w:r w:rsidR="007304D8">
        <w:rPr>
          <w:rFonts w:asciiTheme="minorHAnsi" w:hAnsiTheme="minorHAnsi" w:cstheme="minorHAnsi"/>
          <w:szCs w:val="24"/>
        </w:rPr>
        <w:t xml:space="preserve"> contained in document </w:t>
      </w:r>
      <w:hyperlink r:id="rId18" w:history="1">
        <w:r w:rsidR="007304D8" w:rsidRPr="008B6D11">
          <w:rPr>
            <w:rStyle w:val="Hyperlink"/>
            <w:rFonts w:asciiTheme="minorHAnsi" w:eastAsia="Calibri" w:hAnsiTheme="minorHAnsi" w:cstheme="minorHAnsi"/>
            <w:spacing w:val="-4"/>
            <w:szCs w:val="24"/>
            <w:lang w:val="de-CH"/>
          </w:rPr>
          <w:t>CWG-FHR-AH-RegPres-1/4</w:t>
        </w:r>
      </w:hyperlink>
      <w:r w:rsidR="007304D8">
        <w:rPr>
          <w:rFonts w:asciiTheme="minorHAnsi" w:eastAsia="Calibri" w:hAnsiTheme="minorHAnsi" w:cstheme="minorHAnsi"/>
          <w:spacing w:val="-4"/>
          <w:szCs w:val="24"/>
          <w:lang w:val="de-CH"/>
        </w:rPr>
        <w:t>.</w:t>
      </w:r>
    </w:p>
    <w:p w14:paraId="52DC86E9" w14:textId="7C03E2A0" w:rsidR="001C5B1F" w:rsidRDefault="00AE4ABD" w:rsidP="001C5B1F">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szCs w:val="24"/>
          <w:lang w:val="en-US"/>
        </w:rPr>
      </w:pPr>
      <w:r>
        <w:rPr>
          <w:rFonts w:asciiTheme="minorHAnsi" w:hAnsiTheme="minorHAnsi" w:cstheme="minorHAnsi"/>
        </w:rPr>
        <w:lastRenderedPageBreak/>
        <w:t xml:space="preserve">The Group discussed the documents presented, and it was </w:t>
      </w:r>
      <w:r w:rsidRPr="008B0FDE">
        <w:rPr>
          <w:szCs w:val="24"/>
          <w:lang w:val="en-US"/>
        </w:rPr>
        <w:t xml:space="preserve">agreed </w:t>
      </w:r>
      <w:r w:rsidR="00814496">
        <w:rPr>
          <w:szCs w:val="24"/>
          <w:lang w:val="en-US"/>
        </w:rPr>
        <w:t xml:space="preserve">that </w:t>
      </w:r>
      <w:r>
        <w:rPr>
          <w:szCs w:val="24"/>
          <w:lang w:val="en-US"/>
        </w:rPr>
        <w:t xml:space="preserve">before considering the detailed recommendations made by </w:t>
      </w:r>
      <w:r w:rsidR="007304D8">
        <w:rPr>
          <w:szCs w:val="24"/>
          <w:lang w:val="en-US"/>
        </w:rPr>
        <w:t>PWC</w:t>
      </w:r>
      <w:r w:rsidR="0033275D">
        <w:rPr>
          <w:szCs w:val="24"/>
          <w:lang w:val="en-US"/>
        </w:rPr>
        <w:t xml:space="preserve">, the Group would consider and decide on </w:t>
      </w:r>
      <w:r w:rsidRPr="008B0FDE">
        <w:rPr>
          <w:szCs w:val="24"/>
          <w:lang w:val="en-US"/>
        </w:rPr>
        <w:t xml:space="preserve">the Strategic </w:t>
      </w:r>
      <w:r w:rsidR="00814496">
        <w:rPr>
          <w:szCs w:val="24"/>
          <w:lang w:val="en-US"/>
        </w:rPr>
        <w:t>V</w:t>
      </w:r>
      <w:r w:rsidRPr="008B0FDE">
        <w:rPr>
          <w:szCs w:val="24"/>
          <w:lang w:val="en-US"/>
        </w:rPr>
        <w:t xml:space="preserve">ision </w:t>
      </w:r>
      <w:r w:rsidR="00814496">
        <w:rPr>
          <w:szCs w:val="24"/>
          <w:lang w:val="en-US"/>
        </w:rPr>
        <w:t>for</w:t>
      </w:r>
      <w:r w:rsidRPr="008B0FDE">
        <w:rPr>
          <w:szCs w:val="24"/>
          <w:lang w:val="en-US"/>
        </w:rPr>
        <w:t xml:space="preserve"> </w:t>
      </w:r>
      <w:r w:rsidR="0033275D">
        <w:rPr>
          <w:szCs w:val="24"/>
          <w:lang w:val="en-US"/>
        </w:rPr>
        <w:t>the Regional Presence</w:t>
      </w:r>
      <w:r w:rsidRPr="008B0FDE">
        <w:rPr>
          <w:szCs w:val="24"/>
          <w:lang w:val="en-US"/>
        </w:rPr>
        <w:t>. The Chair</w:t>
      </w:r>
      <w:r w:rsidR="0033275D">
        <w:rPr>
          <w:szCs w:val="24"/>
          <w:lang w:val="en-US"/>
        </w:rPr>
        <w:t>woman</w:t>
      </w:r>
      <w:r w:rsidRPr="008B0FDE">
        <w:rPr>
          <w:szCs w:val="24"/>
          <w:lang w:val="en-US"/>
        </w:rPr>
        <w:t xml:space="preserve"> </w:t>
      </w:r>
      <w:r w:rsidR="00D3022B">
        <w:rPr>
          <w:szCs w:val="24"/>
          <w:lang w:val="en-US"/>
        </w:rPr>
        <w:t xml:space="preserve">requested and recommended that </w:t>
      </w:r>
      <w:r w:rsidRPr="008B0FDE">
        <w:rPr>
          <w:szCs w:val="24"/>
          <w:lang w:val="en-US"/>
        </w:rPr>
        <w:t>members present contributions based on Paragraph 6 of the PWC report which deals with the Strategic Implications</w:t>
      </w:r>
      <w:r w:rsidR="00D3022B">
        <w:rPr>
          <w:szCs w:val="24"/>
          <w:lang w:val="en-US"/>
        </w:rPr>
        <w:t xml:space="preserve"> of the ITU Regional Presence</w:t>
      </w:r>
      <w:r w:rsidRPr="008B0FDE">
        <w:rPr>
          <w:szCs w:val="24"/>
          <w:lang w:val="en-US"/>
        </w:rPr>
        <w:t>, in preparation for the next meeting.</w:t>
      </w:r>
      <w:r w:rsidR="000E25AD">
        <w:rPr>
          <w:szCs w:val="24"/>
          <w:lang w:val="en-US"/>
        </w:rPr>
        <w:t xml:space="preserve"> </w:t>
      </w:r>
      <w:r w:rsidR="007C26CB">
        <w:rPr>
          <w:szCs w:val="24"/>
          <w:lang w:val="en-US"/>
        </w:rPr>
        <w:t xml:space="preserve">The Summary Record of the first meeting of the Ad Hoc Group is contained in document </w:t>
      </w:r>
      <w:hyperlink r:id="rId19" w:history="1">
        <w:hyperlink r:id="rId20" w:history="1">
          <w:r w:rsidR="005B2B62">
            <w:rPr>
              <w:rStyle w:val="Hyperlink"/>
            </w:rPr>
            <w:t>CWG-FHR-AH-RegPres-1/6</w:t>
          </w:r>
        </w:hyperlink>
      </w:hyperlink>
      <w:r w:rsidR="005B2B62">
        <w:rPr>
          <w:szCs w:val="24"/>
          <w:lang w:val="en-US"/>
        </w:rPr>
        <w:t>.</w:t>
      </w:r>
    </w:p>
    <w:p w14:paraId="7B92BA5B" w14:textId="7DC913D9" w:rsidR="007A2096" w:rsidRPr="00EC7221" w:rsidRDefault="007A2096" w:rsidP="001C5B1F">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szCs w:val="24"/>
          <w:u w:val="single"/>
          <w:lang w:val="en-US"/>
        </w:rPr>
      </w:pPr>
      <w:r w:rsidRPr="00EC7221">
        <w:rPr>
          <w:szCs w:val="24"/>
          <w:u w:val="single"/>
          <w:lang w:val="en-US"/>
        </w:rPr>
        <w:t>Second Meeting</w:t>
      </w:r>
    </w:p>
    <w:p w14:paraId="3291B3C6" w14:textId="6BD7C344" w:rsidR="001B6AA9" w:rsidRDefault="006A7506" w:rsidP="006A7506">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sidRPr="00D26BB0">
        <w:rPr>
          <w:rFonts w:asciiTheme="minorHAnsi" w:hAnsiTheme="minorHAnsi" w:cstheme="minorHAnsi"/>
          <w:szCs w:val="24"/>
        </w:rPr>
        <w:t>The second meeting of the Ad Hoc Group was convened on 20 April 2021</w:t>
      </w:r>
      <w:r w:rsidR="008C7EBB">
        <w:rPr>
          <w:rFonts w:asciiTheme="minorHAnsi" w:hAnsiTheme="minorHAnsi" w:cstheme="minorHAnsi"/>
          <w:szCs w:val="24"/>
        </w:rPr>
        <w:t xml:space="preserve">. The </w:t>
      </w:r>
      <w:r w:rsidR="001B6AA9">
        <w:rPr>
          <w:rFonts w:asciiTheme="minorHAnsi" w:hAnsiTheme="minorHAnsi" w:cstheme="minorHAnsi"/>
          <w:szCs w:val="24"/>
        </w:rPr>
        <w:t>following</w:t>
      </w:r>
      <w:r w:rsidRPr="00D26BB0">
        <w:rPr>
          <w:rFonts w:asciiTheme="minorHAnsi" w:hAnsiTheme="minorHAnsi" w:cstheme="minorHAnsi"/>
          <w:szCs w:val="24"/>
        </w:rPr>
        <w:t xml:space="preserve"> contributions</w:t>
      </w:r>
      <w:r w:rsidR="00B23A1C">
        <w:rPr>
          <w:rFonts w:asciiTheme="minorHAnsi" w:hAnsiTheme="minorHAnsi" w:cstheme="minorHAnsi"/>
          <w:szCs w:val="24"/>
        </w:rPr>
        <w:t xml:space="preserve"> </w:t>
      </w:r>
      <w:r w:rsidR="008C7EBB">
        <w:rPr>
          <w:rFonts w:asciiTheme="minorHAnsi" w:hAnsiTheme="minorHAnsi" w:cstheme="minorHAnsi"/>
          <w:szCs w:val="24"/>
        </w:rPr>
        <w:t xml:space="preserve">were received </w:t>
      </w:r>
      <w:r w:rsidR="00B23A1C">
        <w:rPr>
          <w:rFonts w:asciiTheme="minorHAnsi" w:hAnsiTheme="minorHAnsi" w:cstheme="minorHAnsi"/>
          <w:szCs w:val="24"/>
        </w:rPr>
        <w:t>from member states</w:t>
      </w:r>
      <w:r w:rsidR="001B6AA9">
        <w:rPr>
          <w:rFonts w:asciiTheme="minorHAnsi" w:hAnsiTheme="minorHAnsi" w:cstheme="minorHAnsi"/>
          <w:szCs w:val="24"/>
        </w:rPr>
        <w:t>:</w:t>
      </w:r>
    </w:p>
    <w:p w14:paraId="5D5A1049" w14:textId="70947640" w:rsidR="005B2B62" w:rsidRPr="00B339D9" w:rsidRDefault="00B339D9" w:rsidP="005B2B62">
      <w:pPr>
        <w:pStyle w:val="ListParagraph"/>
        <w:numPr>
          <w:ilvl w:val="0"/>
          <w:numId w:val="19"/>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Contribution from </w:t>
      </w:r>
      <w:r w:rsidR="006A7506" w:rsidRPr="00B339D9">
        <w:rPr>
          <w:rFonts w:asciiTheme="minorHAnsi" w:hAnsiTheme="minorHAnsi" w:cstheme="minorHAnsi"/>
          <w:szCs w:val="24"/>
        </w:rPr>
        <w:t>United States</w:t>
      </w:r>
      <w:r w:rsidR="00B23A1C" w:rsidRPr="00B339D9">
        <w:rPr>
          <w:rFonts w:asciiTheme="minorHAnsi" w:hAnsiTheme="minorHAnsi" w:cstheme="minorHAnsi"/>
          <w:szCs w:val="24"/>
        </w:rPr>
        <w:t xml:space="preserve"> </w:t>
      </w:r>
      <w:r>
        <w:rPr>
          <w:rFonts w:asciiTheme="minorHAnsi" w:hAnsiTheme="minorHAnsi" w:cstheme="minorHAnsi"/>
          <w:szCs w:val="24"/>
        </w:rPr>
        <w:t>contained in</w:t>
      </w:r>
      <w:r w:rsidR="00B23A1C" w:rsidRPr="00B339D9">
        <w:rPr>
          <w:rFonts w:asciiTheme="minorHAnsi" w:hAnsiTheme="minorHAnsi" w:cstheme="minorHAnsi"/>
          <w:szCs w:val="24"/>
        </w:rPr>
        <w:t xml:space="preserve"> document </w:t>
      </w:r>
      <w:hyperlink r:id="rId21" w:history="1">
        <w:r w:rsidRPr="00B26845">
          <w:rPr>
            <w:rStyle w:val="Hyperlink"/>
            <w:rFonts w:eastAsia="Calibri" w:cs="Times New Roman Bold"/>
            <w:spacing w:val="-4"/>
            <w:szCs w:val="22"/>
            <w:lang w:val="de-CH"/>
          </w:rPr>
          <w:t>CWG-FHR-AH-RegPres-2/3</w:t>
        </w:r>
      </w:hyperlink>
      <w:r w:rsidR="005B2B62" w:rsidRPr="00B339D9">
        <w:rPr>
          <w:rFonts w:asciiTheme="minorHAnsi" w:hAnsiTheme="minorHAnsi" w:cstheme="minorHAnsi"/>
          <w:szCs w:val="24"/>
        </w:rPr>
        <w:t>;</w:t>
      </w:r>
    </w:p>
    <w:p w14:paraId="2B42FD07" w14:textId="064C40B3" w:rsidR="005B2B62" w:rsidRPr="00B339D9" w:rsidRDefault="00B339D9" w:rsidP="005B2B62">
      <w:pPr>
        <w:pStyle w:val="ListParagraph"/>
        <w:numPr>
          <w:ilvl w:val="0"/>
          <w:numId w:val="19"/>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Contribution from </w:t>
      </w:r>
      <w:r w:rsidR="006A7506" w:rsidRPr="00B339D9">
        <w:rPr>
          <w:rFonts w:asciiTheme="minorHAnsi" w:hAnsiTheme="minorHAnsi" w:cstheme="minorHAnsi"/>
          <w:szCs w:val="24"/>
        </w:rPr>
        <w:t>Australia</w:t>
      </w:r>
      <w:r w:rsidR="00B23A1C" w:rsidRPr="00B339D9">
        <w:rPr>
          <w:rFonts w:asciiTheme="minorHAnsi" w:hAnsiTheme="minorHAnsi" w:cstheme="minorHAnsi"/>
          <w:szCs w:val="24"/>
        </w:rPr>
        <w:t xml:space="preserve"> </w:t>
      </w:r>
      <w:r>
        <w:rPr>
          <w:rFonts w:asciiTheme="minorHAnsi" w:hAnsiTheme="minorHAnsi" w:cstheme="minorHAnsi"/>
          <w:szCs w:val="24"/>
        </w:rPr>
        <w:t>contained in</w:t>
      </w:r>
      <w:r w:rsidR="00B23A1C" w:rsidRPr="00B339D9">
        <w:rPr>
          <w:rFonts w:asciiTheme="minorHAnsi" w:hAnsiTheme="minorHAnsi" w:cstheme="minorHAnsi"/>
          <w:szCs w:val="24"/>
        </w:rPr>
        <w:t xml:space="preserve"> document </w:t>
      </w:r>
      <w:hyperlink r:id="rId22" w:history="1">
        <w:r w:rsidRPr="00E333E7">
          <w:rPr>
            <w:rStyle w:val="Hyperlink"/>
            <w:rFonts w:eastAsia="Calibri" w:cs="Times New Roman Bold"/>
            <w:spacing w:val="-4"/>
            <w:szCs w:val="22"/>
            <w:lang w:val="de-CH"/>
          </w:rPr>
          <w:t>CWG-FHR-AH-RegPres-2/4</w:t>
        </w:r>
      </w:hyperlink>
      <w:r w:rsidR="00B23A1C" w:rsidRPr="00B339D9">
        <w:rPr>
          <w:rFonts w:asciiTheme="minorHAnsi" w:hAnsiTheme="minorHAnsi" w:cstheme="minorHAnsi"/>
          <w:szCs w:val="24"/>
        </w:rPr>
        <w:t>;</w:t>
      </w:r>
    </w:p>
    <w:p w14:paraId="04C941EA" w14:textId="6BA678AC" w:rsidR="005B2B62" w:rsidRPr="00B339D9" w:rsidRDefault="00B339D9" w:rsidP="005B2B62">
      <w:pPr>
        <w:pStyle w:val="ListParagraph"/>
        <w:numPr>
          <w:ilvl w:val="0"/>
          <w:numId w:val="19"/>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Contribution from </w:t>
      </w:r>
      <w:r w:rsidR="006A7506" w:rsidRPr="00B339D9">
        <w:rPr>
          <w:rFonts w:asciiTheme="minorHAnsi" w:hAnsiTheme="minorHAnsi" w:cstheme="minorHAnsi"/>
          <w:szCs w:val="24"/>
        </w:rPr>
        <w:t>Switzerland</w:t>
      </w:r>
      <w:r w:rsidR="00B23A1C" w:rsidRPr="00B339D9">
        <w:rPr>
          <w:rFonts w:asciiTheme="minorHAnsi" w:hAnsiTheme="minorHAnsi" w:cstheme="minorHAnsi"/>
          <w:szCs w:val="24"/>
        </w:rPr>
        <w:t xml:space="preserve"> </w:t>
      </w:r>
      <w:r>
        <w:rPr>
          <w:rFonts w:asciiTheme="minorHAnsi" w:hAnsiTheme="minorHAnsi" w:cstheme="minorHAnsi"/>
          <w:szCs w:val="24"/>
        </w:rPr>
        <w:t>contained in</w:t>
      </w:r>
      <w:r w:rsidR="00B23A1C" w:rsidRPr="00B339D9">
        <w:rPr>
          <w:rFonts w:asciiTheme="minorHAnsi" w:hAnsiTheme="minorHAnsi" w:cstheme="minorHAnsi"/>
          <w:szCs w:val="24"/>
        </w:rPr>
        <w:t xml:space="preserve"> document </w:t>
      </w:r>
      <w:hyperlink r:id="rId23" w:history="1">
        <w:r w:rsidRPr="00E333E7">
          <w:rPr>
            <w:rStyle w:val="Hyperlink"/>
            <w:rFonts w:eastAsia="Calibri" w:cs="Times New Roman Bold"/>
            <w:spacing w:val="-4"/>
            <w:szCs w:val="22"/>
            <w:lang w:val="de-CH"/>
          </w:rPr>
          <w:t>CWG-FHR-AH-RegPres-2/5</w:t>
        </w:r>
      </w:hyperlink>
      <w:r w:rsidR="005B2B62" w:rsidRPr="00B339D9">
        <w:rPr>
          <w:rFonts w:asciiTheme="minorHAnsi" w:hAnsiTheme="minorHAnsi" w:cstheme="minorHAnsi"/>
          <w:szCs w:val="24"/>
        </w:rPr>
        <w:t>;</w:t>
      </w:r>
    </w:p>
    <w:p w14:paraId="150C95A0" w14:textId="2E866B16" w:rsidR="005B2B62" w:rsidRPr="00B339D9" w:rsidRDefault="00B339D9" w:rsidP="005B2B62">
      <w:pPr>
        <w:pStyle w:val="ListParagraph"/>
        <w:numPr>
          <w:ilvl w:val="0"/>
          <w:numId w:val="19"/>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rFonts w:asciiTheme="minorHAnsi" w:hAnsiTheme="minorHAnsi" w:cstheme="minorHAnsi"/>
          <w:szCs w:val="24"/>
        </w:rPr>
      </w:pPr>
      <w:r>
        <w:rPr>
          <w:rFonts w:asciiTheme="minorHAnsi" w:hAnsiTheme="minorHAnsi" w:cstheme="minorHAnsi"/>
          <w:szCs w:val="24"/>
        </w:rPr>
        <w:t xml:space="preserve">Multi-country contribution from the </w:t>
      </w:r>
      <w:r w:rsidR="006A7506" w:rsidRPr="00B339D9">
        <w:rPr>
          <w:rFonts w:asciiTheme="minorHAnsi" w:hAnsiTheme="minorHAnsi" w:cstheme="minorHAnsi"/>
          <w:szCs w:val="24"/>
        </w:rPr>
        <w:t>Arab Republic of Egypt, Kuwait and South Africa</w:t>
      </w:r>
      <w:r w:rsidR="00B23A1C" w:rsidRPr="00B339D9">
        <w:rPr>
          <w:rFonts w:asciiTheme="minorHAnsi" w:hAnsiTheme="minorHAnsi" w:cstheme="minorHAnsi"/>
          <w:szCs w:val="24"/>
        </w:rPr>
        <w:t xml:space="preserve"> </w:t>
      </w:r>
      <w:r>
        <w:rPr>
          <w:rFonts w:asciiTheme="minorHAnsi" w:hAnsiTheme="minorHAnsi" w:cstheme="minorHAnsi"/>
          <w:szCs w:val="24"/>
        </w:rPr>
        <w:t>contained in</w:t>
      </w:r>
      <w:r w:rsidR="00B23A1C" w:rsidRPr="00B339D9">
        <w:rPr>
          <w:rFonts w:asciiTheme="minorHAnsi" w:hAnsiTheme="minorHAnsi" w:cstheme="minorHAnsi"/>
          <w:szCs w:val="24"/>
        </w:rPr>
        <w:t xml:space="preserve"> document </w:t>
      </w:r>
      <w:hyperlink r:id="rId24" w:history="1">
        <w:r w:rsidRPr="005F3D3C">
          <w:rPr>
            <w:rStyle w:val="Hyperlink"/>
            <w:rFonts w:eastAsia="Calibri" w:cs="Times New Roman Bold"/>
            <w:spacing w:val="-4"/>
            <w:szCs w:val="22"/>
            <w:lang w:val="de-CH"/>
          </w:rPr>
          <w:t>CWG-FHR-AH-RegPres-2/6</w:t>
        </w:r>
      </w:hyperlink>
      <w:r w:rsidR="008C7EBB">
        <w:rPr>
          <w:rFonts w:eastAsia="Calibri" w:cs="Times New Roman Bold"/>
          <w:spacing w:val="-4"/>
          <w:szCs w:val="22"/>
          <w:lang w:val="de-CH"/>
        </w:rPr>
        <w:t>.</w:t>
      </w:r>
    </w:p>
    <w:p w14:paraId="4AED2AA5" w14:textId="3DEA0963" w:rsidR="00B86B70" w:rsidRDefault="00B86B70" w:rsidP="005C4EE0">
      <w:pPr>
        <w:pStyle w:val="Fixed"/>
        <w:spacing w:before="240" w:after="120" w:line="276" w:lineRule="auto"/>
        <w:ind w:right="0"/>
        <w:rPr>
          <w:rFonts w:asciiTheme="minorHAnsi" w:hAnsiTheme="minorHAnsi" w:cstheme="minorHAnsi"/>
        </w:rPr>
      </w:pPr>
      <w:r>
        <w:rPr>
          <w:rFonts w:asciiTheme="minorHAnsi" w:hAnsiTheme="minorHAnsi" w:cstheme="minorHAnsi"/>
        </w:rPr>
        <w:t xml:space="preserve">A submission was also made by the Secretariat on the Financial Implications of the </w:t>
      </w:r>
      <w:r w:rsidR="007304D8">
        <w:rPr>
          <w:rFonts w:asciiTheme="minorHAnsi" w:hAnsiTheme="minorHAnsi" w:cstheme="minorHAnsi"/>
        </w:rPr>
        <w:t>PWC</w:t>
      </w:r>
      <w:r>
        <w:rPr>
          <w:rFonts w:asciiTheme="minorHAnsi" w:hAnsiTheme="minorHAnsi" w:cstheme="minorHAnsi"/>
        </w:rPr>
        <w:t xml:space="preserve"> recommendations</w:t>
      </w:r>
      <w:r w:rsidR="008C7EBB">
        <w:rPr>
          <w:rFonts w:asciiTheme="minorHAnsi" w:hAnsiTheme="minorHAnsi" w:cstheme="minorHAnsi"/>
        </w:rPr>
        <w:t xml:space="preserve"> (see document </w:t>
      </w:r>
      <w:hyperlink r:id="rId25" w:history="1">
        <w:r w:rsidR="008C7EBB" w:rsidRPr="00B26845">
          <w:rPr>
            <w:rStyle w:val="Hyperlink"/>
            <w:rFonts w:ascii="Calibri" w:eastAsia="Calibri" w:hAnsi="Calibri" w:cs="Times New Roman Bold"/>
            <w:spacing w:val="-4"/>
            <w:szCs w:val="22"/>
            <w:lang w:val="de-CH"/>
          </w:rPr>
          <w:t>CWG</w:t>
        </w:r>
        <w:r w:rsidR="008C7EBB" w:rsidRPr="00B26845">
          <w:rPr>
            <w:rStyle w:val="Hyperlink"/>
            <w:rFonts w:asciiTheme="minorHAnsi" w:eastAsia="Calibri" w:hAnsiTheme="minorHAnsi" w:cstheme="minorHAnsi"/>
            <w:spacing w:val="-4"/>
            <w:szCs w:val="22"/>
            <w:lang w:val="de-CH"/>
          </w:rPr>
          <w:t>-FHR-AH-RegPres-2/2</w:t>
        </w:r>
      </w:hyperlink>
      <w:r w:rsidR="008C7EBB" w:rsidRPr="008C7EBB">
        <w:rPr>
          <w:rFonts w:asciiTheme="minorHAnsi" w:eastAsia="Calibri" w:hAnsiTheme="minorHAnsi" w:cstheme="minorHAnsi"/>
          <w:spacing w:val="-4"/>
          <w:szCs w:val="22"/>
          <w:lang w:val="de-CH"/>
        </w:rPr>
        <w:t>)</w:t>
      </w:r>
      <w:r>
        <w:rPr>
          <w:rFonts w:asciiTheme="minorHAnsi" w:hAnsiTheme="minorHAnsi" w:cstheme="minorHAnsi"/>
        </w:rPr>
        <w:t xml:space="preserve">. </w:t>
      </w:r>
    </w:p>
    <w:p w14:paraId="3BD40370" w14:textId="7A5B28D4" w:rsidR="005C4EE0" w:rsidRDefault="005C4EE0" w:rsidP="005C4EE0">
      <w:pPr>
        <w:pStyle w:val="Fixed"/>
        <w:spacing w:before="240" w:after="120" w:line="276" w:lineRule="auto"/>
        <w:ind w:right="0"/>
        <w:rPr>
          <w:rFonts w:asciiTheme="minorHAnsi" w:hAnsiTheme="minorHAnsi" w:cstheme="minorHAnsi"/>
        </w:rPr>
      </w:pPr>
      <w:r w:rsidRPr="00D26BB0">
        <w:rPr>
          <w:rFonts w:asciiTheme="minorHAnsi" w:hAnsiTheme="minorHAnsi" w:cstheme="minorHAnsi"/>
        </w:rPr>
        <w:t xml:space="preserve">The Chair provided comments seeking to frame the discussion. </w:t>
      </w:r>
      <w:r w:rsidR="00424840">
        <w:rPr>
          <w:rFonts w:asciiTheme="minorHAnsi" w:hAnsiTheme="minorHAnsi" w:cstheme="minorHAnsi"/>
        </w:rPr>
        <w:t>T</w:t>
      </w:r>
      <w:r w:rsidRPr="00D26BB0">
        <w:rPr>
          <w:rFonts w:asciiTheme="minorHAnsi" w:hAnsiTheme="minorHAnsi" w:cstheme="minorHAnsi"/>
        </w:rPr>
        <w:t xml:space="preserve">he Chair outlined the three Annexes provided by the Secretariat with </w:t>
      </w:r>
      <w:r w:rsidR="007304D8">
        <w:rPr>
          <w:rFonts w:asciiTheme="minorHAnsi" w:hAnsiTheme="minorHAnsi" w:cstheme="minorHAnsi"/>
        </w:rPr>
        <w:t>PWC</w:t>
      </w:r>
      <w:r w:rsidRPr="00D26BB0">
        <w:rPr>
          <w:rFonts w:asciiTheme="minorHAnsi" w:hAnsiTheme="minorHAnsi" w:cstheme="minorHAnsi"/>
        </w:rPr>
        <w:t>’s recommendations</w:t>
      </w:r>
      <w:r w:rsidR="00424840">
        <w:rPr>
          <w:rFonts w:asciiTheme="minorHAnsi" w:hAnsiTheme="minorHAnsi" w:cstheme="minorHAnsi"/>
        </w:rPr>
        <w:t xml:space="preserve"> which divided the recommendations into categories based on the level of decision making required. </w:t>
      </w:r>
      <w:r w:rsidRPr="00D26BB0">
        <w:rPr>
          <w:rFonts w:asciiTheme="minorHAnsi" w:hAnsiTheme="minorHAnsi" w:cstheme="minorHAnsi"/>
        </w:rPr>
        <w:t xml:space="preserve"> </w:t>
      </w:r>
      <w:r w:rsidR="00424840">
        <w:rPr>
          <w:rFonts w:asciiTheme="minorHAnsi" w:hAnsiTheme="minorHAnsi" w:cstheme="minorHAnsi"/>
        </w:rPr>
        <w:t xml:space="preserve">The Chair noted that </w:t>
      </w:r>
      <w:r w:rsidRPr="00D26BB0">
        <w:rPr>
          <w:rFonts w:asciiTheme="minorHAnsi" w:hAnsiTheme="minorHAnsi" w:cstheme="minorHAnsi"/>
        </w:rPr>
        <w:t>at the first meeting it had been agreed to focus on overall strategic directions for regional presence guided by Chapter 6 of PWC’s report, and to restrict discussions on structure to Option 1 (</w:t>
      </w:r>
      <w:r w:rsidR="005F3D3C">
        <w:rPr>
          <w:rFonts w:asciiTheme="minorHAnsi" w:hAnsiTheme="minorHAnsi" w:cstheme="minorHAnsi"/>
        </w:rPr>
        <w:t>referred to by the group as the “</w:t>
      </w:r>
      <w:r w:rsidRPr="00D26BB0">
        <w:rPr>
          <w:rFonts w:asciiTheme="minorHAnsi" w:hAnsiTheme="minorHAnsi" w:cstheme="minorHAnsi"/>
        </w:rPr>
        <w:t>Status Quo</w:t>
      </w:r>
      <w:r w:rsidR="005F3D3C">
        <w:rPr>
          <w:rFonts w:asciiTheme="minorHAnsi" w:hAnsiTheme="minorHAnsi" w:cstheme="minorHAnsi"/>
        </w:rPr>
        <w:t>” option</w:t>
      </w:r>
      <w:r w:rsidR="006025C8">
        <w:rPr>
          <w:rFonts w:asciiTheme="minorHAnsi" w:hAnsiTheme="minorHAnsi" w:cstheme="minorHAnsi"/>
        </w:rPr>
        <w:t xml:space="preserve"> comprising both Regional Offices </w:t>
      </w:r>
      <w:r w:rsidR="0046013D">
        <w:rPr>
          <w:rFonts w:asciiTheme="minorHAnsi" w:hAnsiTheme="minorHAnsi" w:cstheme="minorHAnsi"/>
        </w:rPr>
        <w:t xml:space="preserve">and </w:t>
      </w:r>
      <w:r w:rsidR="006025C8">
        <w:rPr>
          <w:rFonts w:asciiTheme="minorHAnsi" w:hAnsiTheme="minorHAnsi" w:cstheme="minorHAnsi"/>
        </w:rPr>
        <w:t>Area Offices</w:t>
      </w:r>
      <w:r w:rsidRPr="00D26BB0">
        <w:rPr>
          <w:rFonts w:asciiTheme="minorHAnsi" w:hAnsiTheme="minorHAnsi" w:cstheme="minorHAnsi"/>
        </w:rPr>
        <w:t>)</w:t>
      </w:r>
      <w:r w:rsidR="00C445B8">
        <w:rPr>
          <w:rStyle w:val="FootnoteReference"/>
          <w:rFonts w:cstheme="minorHAnsi"/>
        </w:rPr>
        <w:footnoteReference w:id="1"/>
      </w:r>
      <w:r w:rsidRPr="00D26BB0">
        <w:rPr>
          <w:rFonts w:asciiTheme="minorHAnsi" w:hAnsiTheme="minorHAnsi" w:cstheme="minorHAnsi"/>
        </w:rPr>
        <w:t xml:space="preserve"> and Option 2, which </w:t>
      </w:r>
      <w:r w:rsidR="006025C8">
        <w:rPr>
          <w:rFonts w:asciiTheme="minorHAnsi" w:hAnsiTheme="minorHAnsi" w:cstheme="minorHAnsi"/>
        </w:rPr>
        <w:t>comprises</w:t>
      </w:r>
      <w:r w:rsidRPr="00D26BB0">
        <w:rPr>
          <w:rFonts w:asciiTheme="minorHAnsi" w:hAnsiTheme="minorHAnsi" w:cstheme="minorHAnsi"/>
        </w:rPr>
        <w:t xml:space="preserve"> </w:t>
      </w:r>
      <w:r w:rsidR="007304D8">
        <w:rPr>
          <w:rFonts w:asciiTheme="minorHAnsi" w:hAnsiTheme="minorHAnsi" w:cstheme="minorHAnsi"/>
        </w:rPr>
        <w:t>PWC</w:t>
      </w:r>
      <w:r w:rsidRPr="00D26BB0">
        <w:rPr>
          <w:rFonts w:asciiTheme="minorHAnsi" w:hAnsiTheme="minorHAnsi" w:cstheme="minorHAnsi"/>
        </w:rPr>
        <w:t xml:space="preserve">’s preferred </w:t>
      </w:r>
      <w:r w:rsidR="006025C8">
        <w:rPr>
          <w:rFonts w:asciiTheme="minorHAnsi" w:hAnsiTheme="minorHAnsi" w:cstheme="minorHAnsi"/>
        </w:rPr>
        <w:t>recommended configuration</w:t>
      </w:r>
      <w:r w:rsidRPr="00D26BB0">
        <w:rPr>
          <w:rFonts w:asciiTheme="minorHAnsi" w:hAnsiTheme="minorHAnsi" w:cstheme="minorHAnsi"/>
        </w:rPr>
        <w:t xml:space="preserve"> of </w:t>
      </w:r>
      <w:r w:rsidR="006025C8">
        <w:rPr>
          <w:rFonts w:asciiTheme="minorHAnsi" w:hAnsiTheme="minorHAnsi" w:cstheme="minorHAnsi"/>
        </w:rPr>
        <w:t>“</w:t>
      </w:r>
      <w:r w:rsidRPr="00D26BB0">
        <w:rPr>
          <w:rFonts w:asciiTheme="minorHAnsi" w:hAnsiTheme="minorHAnsi" w:cstheme="minorHAnsi"/>
        </w:rPr>
        <w:t>Area Offices only</w:t>
      </w:r>
      <w:r w:rsidR="006025C8">
        <w:rPr>
          <w:rFonts w:asciiTheme="minorHAnsi" w:hAnsiTheme="minorHAnsi" w:cstheme="minorHAnsi"/>
        </w:rPr>
        <w:t>”</w:t>
      </w:r>
      <w:r w:rsidRPr="00D26BB0">
        <w:rPr>
          <w:rFonts w:asciiTheme="minorHAnsi" w:hAnsiTheme="minorHAnsi" w:cstheme="minorHAnsi"/>
        </w:rPr>
        <w:t xml:space="preserve">. </w:t>
      </w:r>
    </w:p>
    <w:p w14:paraId="3EC7132E" w14:textId="6A50F3C1" w:rsidR="00A50266" w:rsidRPr="00A50266" w:rsidRDefault="001B6AA9" w:rsidP="00A50266">
      <w:pPr>
        <w:pStyle w:val="Fixed"/>
        <w:spacing w:before="240" w:after="120" w:line="276" w:lineRule="auto"/>
        <w:ind w:right="0"/>
        <w:rPr>
          <w:rFonts w:asciiTheme="minorHAnsi" w:hAnsiTheme="minorHAnsi" w:cstheme="minorHAnsi"/>
          <w:lang w:val="en-GB" w:eastAsia="ko-KR"/>
        </w:rPr>
      </w:pPr>
      <w:r>
        <w:rPr>
          <w:rFonts w:asciiTheme="minorHAnsi" w:hAnsiTheme="minorHAnsi" w:cstheme="minorHAnsi"/>
        </w:rPr>
        <w:t xml:space="preserve">Each of the </w:t>
      </w:r>
      <w:r w:rsidR="00A50266">
        <w:rPr>
          <w:rFonts w:asciiTheme="minorHAnsi" w:hAnsiTheme="minorHAnsi" w:cstheme="minorHAnsi"/>
        </w:rPr>
        <w:t>member state contributions was presented to the Group, and the options were discussed in detail.</w:t>
      </w:r>
    </w:p>
    <w:p w14:paraId="3DBA929C" w14:textId="607699B2" w:rsidR="007A2096" w:rsidRPr="0046013D" w:rsidRDefault="008C7EBB" w:rsidP="0046013D">
      <w:pPr>
        <w:pStyle w:val="ListParagraph"/>
        <w:keepNext/>
        <w:numPr>
          <w:ilvl w:val="0"/>
          <w:numId w:val="2"/>
        </w:num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rPr>
          <w:b/>
          <w:bCs/>
          <w:sz w:val="28"/>
          <w:szCs w:val="28"/>
          <w:lang w:val="en-US"/>
        </w:rPr>
      </w:pPr>
      <w:r w:rsidRPr="0046013D">
        <w:rPr>
          <w:b/>
          <w:bCs/>
          <w:sz w:val="28"/>
          <w:szCs w:val="28"/>
          <w:lang w:val="en-US"/>
        </w:rPr>
        <w:t>Outcomes of the Ad Hoc Group on ITU Regional Presence</w:t>
      </w:r>
    </w:p>
    <w:p w14:paraId="0770D5AE" w14:textId="6B51133F" w:rsidR="00C12DBE" w:rsidRDefault="00C12DBE" w:rsidP="00085BA5">
      <w:pPr>
        <w:tabs>
          <w:tab w:val="clear" w:pos="567"/>
          <w:tab w:val="clear" w:pos="1134"/>
          <w:tab w:val="clear" w:pos="1701"/>
          <w:tab w:val="clear" w:pos="2268"/>
          <w:tab w:val="clear" w:pos="2835"/>
        </w:tabs>
        <w:spacing w:before="240" w:after="80" w:line="276" w:lineRule="auto"/>
        <w:rPr>
          <w:rFonts w:asciiTheme="minorHAnsi" w:hAnsiTheme="minorHAnsi" w:cstheme="minorHAnsi"/>
          <w:szCs w:val="24"/>
        </w:rPr>
      </w:pPr>
      <w:r>
        <w:rPr>
          <w:rFonts w:asciiTheme="minorHAnsi" w:hAnsiTheme="minorHAnsi" w:cstheme="minorHAnsi"/>
          <w:szCs w:val="24"/>
        </w:rPr>
        <w:t>Based on the contributions made (written and oral) to the meetings of the Ad Hoc Group, the following decisions were reached:</w:t>
      </w:r>
    </w:p>
    <w:p w14:paraId="2CCA9F61" w14:textId="2BF3AC4B" w:rsidR="009D58BA" w:rsidRDefault="00C12DBE" w:rsidP="008550EA">
      <w:pPr>
        <w:pStyle w:val="ListParagraph"/>
        <w:numPr>
          <w:ilvl w:val="0"/>
          <w:numId w:val="15"/>
        </w:numPr>
        <w:tabs>
          <w:tab w:val="clear" w:pos="567"/>
          <w:tab w:val="clear" w:pos="1134"/>
          <w:tab w:val="clear" w:pos="1701"/>
          <w:tab w:val="clear" w:pos="2268"/>
          <w:tab w:val="clear" w:pos="2835"/>
        </w:tabs>
        <w:spacing w:before="240" w:after="80" w:line="276" w:lineRule="auto"/>
        <w:ind w:hanging="357"/>
        <w:contextualSpacing w:val="0"/>
        <w:rPr>
          <w:rFonts w:asciiTheme="minorHAnsi" w:hAnsiTheme="minorHAnsi" w:cstheme="minorHAnsi"/>
          <w:szCs w:val="24"/>
        </w:rPr>
      </w:pPr>
      <w:r>
        <w:rPr>
          <w:rFonts w:asciiTheme="minorHAnsi" w:hAnsiTheme="minorHAnsi" w:cstheme="minorHAnsi"/>
          <w:szCs w:val="24"/>
        </w:rPr>
        <w:lastRenderedPageBreak/>
        <w:t>T</w:t>
      </w:r>
      <w:r w:rsidR="00085BA5" w:rsidRPr="00C12DBE">
        <w:rPr>
          <w:rFonts w:asciiTheme="minorHAnsi" w:hAnsiTheme="minorHAnsi" w:cstheme="minorHAnsi"/>
          <w:szCs w:val="24"/>
        </w:rPr>
        <w:t xml:space="preserve">he high-level </w:t>
      </w:r>
      <w:r w:rsidR="009D58BA">
        <w:rPr>
          <w:rFonts w:asciiTheme="minorHAnsi" w:hAnsiTheme="minorHAnsi" w:cstheme="minorHAnsi"/>
          <w:szCs w:val="24"/>
        </w:rPr>
        <w:t xml:space="preserve">strategic </w:t>
      </w:r>
      <w:r w:rsidR="00085BA5" w:rsidRPr="00C12DBE">
        <w:rPr>
          <w:rFonts w:asciiTheme="minorHAnsi" w:hAnsiTheme="minorHAnsi" w:cstheme="minorHAnsi"/>
          <w:szCs w:val="24"/>
        </w:rPr>
        <w:t xml:space="preserve">principles for the regional presence </w:t>
      </w:r>
      <w:r>
        <w:rPr>
          <w:rFonts w:asciiTheme="minorHAnsi" w:hAnsiTheme="minorHAnsi" w:cstheme="minorHAnsi"/>
          <w:szCs w:val="24"/>
        </w:rPr>
        <w:t xml:space="preserve">proposed in the </w:t>
      </w:r>
      <w:r w:rsidR="007304D8">
        <w:rPr>
          <w:rFonts w:asciiTheme="minorHAnsi" w:hAnsiTheme="minorHAnsi" w:cstheme="minorHAnsi"/>
          <w:szCs w:val="24"/>
        </w:rPr>
        <w:t>PWC</w:t>
      </w:r>
      <w:r>
        <w:rPr>
          <w:rFonts w:asciiTheme="minorHAnsi" w:hAnsiTheme="minorHAnsi" w:cstheme="minorHAnsi"/>
          <w:szCs w:val="24"/>
        </w:rPr>
        <w:t xml:space="preserve"> Report </w:t>
      </w:r>
      <w:r w:rsidR="009D58BA">
        <w:rPr>
          <w:rFonts w:asciiTheme="minorHAnsi" w:hAnsiTheme="minorHAnsi" w:cstheme="minorHAnsi"/>
          <w:szCs w:val="24"/>
        </w:rPr>
        <w:t>were agreed, subject to the need to also consider the views and needs of ITU membership, as follows:</w:t>
      </w:r>
    </w:p>
    <w:p w14:paraId="3714EDAA" w14:textId="54CC9230" w:rsidR="000223F7" w:rsidRPr="000223F7" w:rsidRDefault="000223F7" w:rsidP="008550EA">
      <w:pPr>
        <w:pStyle w:val="ListParagraph"/>
        <w:numPr>
          <w:ilvl w:val="1"/>
          <w:numId w:val="15"/>
        </w:numPr>
        <w:tabs>
          <w:tab w:val="clear" w:pos="567"/>
          <w:tab w:val="clear" w:pos="1134"/>
          <w:tab w:val="clear" w:pos="1701"/>
          <w:tab w:val="clear" w:pos="2268"/>
          <w:tab w:val="clear" w:pos="2835"/>
        </w:tabs>
        <w:spacing w:before="0" w:after="80" w:line="276" w:lineRule="auto"/>
        <w:ind w:hanging="357"/>
        <w:contextualSpacing w:val="0"/>
        <w:rPr>
          <w:rFonts w:asciiTheme="minorHAnsi" w:hAnsiTheme="minorHAnsi" w:cstheme="minorHAnsi"/>
          <w:szCs w:val="24"/>
        </w:rPr>
      </w:pPr>
      <w:r w:rsidRPr="00D26BB0">
        <w:rPr>
          <w:rFonts w:asciiTheme="minorHAnsi" w:hAnsiTheme="minorHAnsi" w:cstheme="minorHAnsi"/>
        </w:rPr>
        <w:t xml:space="preserve">clarity of </w:t>
      </w:r>
      <w:proofErr w:type="gramStart"/>
      <w:r w:rsidRPr="00D26BB0">
        <w:rPr>
          <w:rFonts w:asciiTheme="minorHAnsi" w:hAnsiTheme="minorHAnsi" w:cstheme="minorHAnsi"/>
        </w:rPr>
        <w:t>purpose</w:t>
      </w:r>
      <w:r w:rsidR="00E031CD">
        <w:rPr>
          <w:rFonts w:asciiTheme="minorHAnsi" w:hAnsiTheme="minorHAnsi" w:cstheme="minorHAnsi"/>
        </w:rPr>
        <w:t>;</w:t>
      </w:r>
      <w:proofErr w:type="gramEnd"/>
    </w:p>
    <w:p w14:paraId="2E56C70D" w14:textId="47110CA9" w:rsidR="000223F7" w:rsidRPr="000223F7" w:rsidRDefault="000223F7" w:rsidP="008550EA">
      <w:pPr>
        <w:pStyle w:val="ListParagraph"/>
        <w:numPr>
          <w:ilvl w:val="1"/>
          <w:numId w:val="15"/>
        </w:numPr>
        <w:tabs>
          <w:tab w:val="clear" w:pos="567"/>
          <w:tab w:val="clear" w:pos="1134"/>
          <w:tab w:val="clear" w:pos="1701"/>
          <w:tab w:val="clear" w:pos="2268"/>
          <w:tab w:val="clear" w:pos="2835"/>
        </w:tabs>
        <w:spacing w:before="0" w:after="80" w:line="276" w:lineRule="auto"/>
        <w:ind w:hanging="357"/>
        <w:contextualSpacing w:val="0"/>
        <w:rPr>
          <w:rFonts w:asciiTheme="minorHAnsi" w:hAnsiTheme="minorHAnsi" w:cstheme="minorHAnsi"/>
          <w:szCs w:val="24"/>
        </w:rPr>
      </w:pPr>
      <w:r w:rsidRPr="00D26BB0">
        <w:rPr>
          <w:rFonts w:asciiTheme="minorHAnsi" w:hAnsiTheme="minorHAnsi" w:cstheme="minorHAnsi"/>
        </w:rPr>
        <w:t xml:space="preserve">drive for </w:t>
      </w:r>
      <w:proofErr w:type="gramStart"/>
      <w:r w:rsidRPr="00D26BB0">
        <w:rPr>
          <w:rFonts w:asciiTheme="minorHAnsi" w:hAnsiTheme="minorHAnsi" w:cstheme="minorHAnsi"/>
        </w:rPr>
        <w:t>impact</w:t>
      </w:r>
      <w:r w:rsidR="00E031CD">
        <w:rPr>
          <w:rFonts w:asciiTheme="minorHAnsi" w:hAnsiTheme="minorHAnsi" w:cstheme="minorHAnsi"/>
        </w:rPr>
        <w:t>;</w:t>
      </w:r>
      <w:proofErr w:type="gramEnd"/>
    </w:p>
    <w:p w14:paraId="59DB2943" w14:textId="741F8556" w:rsidR="000223F7" w:rsidRPr="000223F7" w:rsidRDefault="000223F7" w:rsidP="008550EA">
      <w:pPr>
        <w:pStyle w:val="ListParagraph"/>
        <w:numPr>
          <w:ilvl w:val="1"/>
          <w:numId w:val="15"/>
        </w:numPr>
        <w:tabs>
          <w:tab w:val="clear" w:pos="567"/>
          <w:tab w:val="clear" w:pos="1134"/>
          <w:tab w:val="clear" w:pos="1701"/>
          <w:tab w:val="clear" w:pos="2268"/>
          <w:tab w:val="clear" w:pos="2835"/>
        </w:tabs>
        <w:spacing w:before="0" w:after="80" w:line="276" w:lineRule="auto"/>
        <w:ind w:hanging="357"/>
        <w:contextualSpacing w:val="0"/>
        <w:rPr>
          <w:rFonts w:asciiTheme="minorHAnsi" w:hAnsiTheme="minorHAnsi" w:cstheme="minorHAnsi"/>
          <w:szCs w:val="24"/>
        </w:rPr>
      </w:pPr>
      <w:proofErr w:type="gramStart"/>
      <w:r w:rsidRPr="00D26BB0">
        <w:rPr>
          <w:rFonts w:asciiTheme="minorHAnsi" w:hAnsiTheme="minorHAnsi" w:cstheme="minorHAnsi"/>
        </w:rPr>
        <w:t>accountability</w:t>
      </w:r>
      <w:r w:rsidR="00E031CD">
        <w:rPr>
          <w:rFonts w:asciiTheme="minorHAnsi" w:hAnsiTheme="minorHAnsi" w:cstheme="minorHAnsi"/>
        </w:rPr>
        <w:t>;</w:t>
      </w:r>
      <w:proofErr w:type="gramEnd"/>
    </w:p>
    <w:p w14:paraId="78A2CD71" w14:textId="784B1B31" w:rsidR="000223F7" w:rsidRPr="000223F7" w:rsidRDefault="000223F7" w:rsidP="008550EA">
      <w:pPr>
        <w:pStyle w:val="ListParagraph"/>
        <w:numPr>
          <w:ilvl w:val="1"/>
          <w:numId w:val="15"/>
        </w:numPr>
        <w:tabs>
          <w:tab w:val="clear" w:pos="567"/>
          <w:tab w:val="clear" w:pos="1134"/>
          <w:tab w:val="clear" w:pos="1701"/>
          <w:tab w:val="clear" w:pos="2268"/>
          <w:tab w:val="clear" w:pos="2835"/>
        </w:tabs>
        <w:spacing w:before="0" w:after="80" w:line="276" w:lineRule="auto"/>
        <w:ind w:hanging="357"/>
        <w:contextualSpacing w:val="0"/>
        <w:rPr>
          <w:rFonts w:asciiTheme="minorHAnsi" w:hAnsiTheme="minorHAnsi" w:cstheme="minorHAnsi"/>
          <w:szCs w:val="24"/>
        </w:rPr>
      </w:pPr>
      <w:r w:rsidRPr="00D26BB0">
        <w:rPr>
          <w:rFonts w:asciiTheme="minorHAnsi" w:hAnsiTheme="minorHAnsi" w:cstheme="minorHAnsi"/>
        </w:rPr>
        <w:t xml:space="preserve">One </w:t>
      </w:r>
      <w:proofErr w:type="gramStart"/>
      <w:r w:rsidRPr="00D26BB0">
        <w:rPr>
          <w:rFonts w:asciiTheme="minorHAnsi" w:hAnsiTheme="minorHAnsi" w:cstheme="minorHAnsi"/>
        </w:rPr>
        <w:t>ITU</w:t>
      </w:r>
      <w:r w:rsidR="00E031CD">
        <w:rPr>
          <w:rFonts w:asciiTheme="minorHAnsi" w:hAnsiTheme="minorHAnsi" w:cstheme="minorHAnsi"/>
        </w:rPr>
        <w:t>;</w:t>
      </w:r>
      <w:proofErr w:type="gramEnd"/>
    </w:p>
    <w:p w14:paraId="1AD80ADC" w14:textId="77777777" w:rsidR="000223F7" w:rsidRPr="000223F7" w:rsidRDefault="000223F7" w:rsidP="008550EA">
      <w:pPr>
        <w:pStyle w:val="ListParagraph"/>
        <w:numPr>
          <w:ilvl w:val="1"/>
          <w:numId w:val="15"/>
        </w:numPr>
        <w:tabs>
          <w:tab w:val="clear" w:pos="567"/>
          <w:tab w:val="clear" w:pos="1134"/>
          <w:tab w:val="clear" w:pos="1701"/>
          <w:tab w:val="clear" w:pos="2268"/>
          <w:tab w:val="clear" w:pos="2835"/>
        </w:tabs>
        <w:spacing w:before="0" w:after="80" w:line="276" w:lineRule="auto"/>
        <w:ind w:hanging="357"/>
        <w:contextualSpacing w:val="0"/>
        <w:rPr>
          <w:rFonts w:asciiTheme="minorHAnsi" w:hAnsiTheme="minorHAnsi" w:cstheme="minorHAnsi"/>
          <w:szCs w:val="24"/>
        </w:rPr>
      </w:pPr>
      <w:r w:rsidRPr="00D26BB0">
        <w:rPr>
          <w:rFonts w:asciiTheme="minorHAnsi" w:hAnsiTheme="minorHAnsi" w:cstheme="minorHAnsi"/>
        </w:rPr>
        <w:t>part and parcel of the UN family</w:t>
      </w:r>
      <w:r>
        <w:rPr>
          <w:rFonts w:asciiTheme="minorHAnsi" w:hAnsiTheme="minorHAnsi" w:cstheme="minorHAnsi"/>
        </w:rPr>
        <w:t>;</w:t>
      </w:r>
      <w:r w:rsidRPr="00D26BB0">
        <w:rPr>
          <w:rFonts w:asciiTheme="minorHAnsi" w:hAnsiTheme="minorHAnsi" w:cstheme="minorHAnsi"/>
        </w:rPr>
        <w:t xml:space="preserve"> and</w:t>
      </w:r>
      <w:r>
        <w:rPr>
          <w:rFonts w:asciiTheme="minorHAnsi" w:hAnsiTheme="minorHAnsi" w:cstheme="minorHAnsi"/>
        </w:rPr>
        <w:t>,</w:t>
      </w:r>
      <w:r w:rsidRPr="00D26BB0">
        <w:rPr>
          <w:rFonts w:asciiTheme="minorHAnsi" w:hAnsiTheme="minorHAnsi" w:cstheme="minorHAnsi"/>
        </w:rPr>
        <w:t xml:space="preserve"> </w:t>
      </w:r>
    </w:p>
    <w:p w14:paraId="503071A4" w14:textId="54DD9C93" w:rsidR="009D58BA" w:rsidRDefault="000223F7" w:rsidP="008550EA">
      <w:pPr>
        <w:pStyle w:val="ListParagraph"/>
        <w:numPr>
          <w:ilvl w:val="1"/>
          <w:numId w:val="15"/>
        </w:numPr>
        <w:tabs>
          <w:tab w:val="clear" w:pos="567"/>
          <w:tab w:val="clear" w:pos="1134"/>
          <w:tab w:val="clear" w:pos="1701"/>
          <w:tab w:val="clear" w:pos="2268"/>
          <w:tab w:val="clear" w:pos="2835"/>
        </w:tabs>
        <w:spacing w:before="0" w:after="80" w:line="276" w:lineRule="auto"/>
        <w:ind w:hanging="357"/>
        <w:contextualSpacing w:val="0"/>
        <w:rPr>
          <w:rFonts w:asciiTheme="minorHAnsi" w:hAnsiTheme="minorHAnsi" w:cstheme="minorHAnsi"/>
          <w:szCs w:val="24"/>
        </w:rPr>
      </w:pPr>
      <w:r w:rsidRPr="00D26BB0">
        <w:rPr>
          <w:rFonts w:asciiTheme="minorHAnsi" w:hAnsiTheme="minorHAnsi" w:cstheme="minorHAnsi"/>
        </w:rPr>
        <w:t>managed transition</w:t>
      </w:r>
      <w:r w:rsidR="00E031CD">
        <w:rPr>
          <w:rFonts w:asciiTheme="minorHAnsi" w:hAnsiTheme="minorHAnsi" w:cstheme="minorHAnsi"/>
        </w:rPr>
        <w:t>.</w:t>
      </w:r>
    </w:p>
    <w:p w14:paraId="6D110F49" w14:textId="0EC6E88F" w:rsidR="003536D5" w:rsidRDefault="002975FA" w:rsidP="008550EA">
      <w:pPr>
        <w:pStyle w:val="ListParagraph"/>
        <w:numPr>
          <w:ilvl w:val="0"/>
          <w:numId w:val="15"/>
        </w:numPr>
        <w:tabs>
          <w:tab w:val="clear" w:pos="567"/>
          <w:tab w:val="clear" w:pos="1134"/>
          <w:tab w:val="clear" w:pos="1701"/>
          <w:tab w:val="clear" w:pos="2268"/>
          <w:tab w:val="clear" w:pos="2835"/>
        </w:tabs>
        <w:spacing w:before="240" w:after="80" w:line="276" w:lineRule="auto"/>
        <w:ind w:hanging="357"/>
        <w:contextualSpacing w:val="0"/>
        <w:rPr>
          <w:rFonts w:asciiTheme="minorHAnsi" w:hAnsiTheme="minorHAnsi" w:cstheme="minorHAnsi"/>
          <w:szCs w:val="24"/>
        </w:rPr>
      </w:pPr>
      <w:r>
        <w:rPr>
          <w:rFonts w:asciiTheme="minorHAnsi" w:hAnsiTheme="minorHAnsi" w:cstheme="minorHAnsi"/>
          <w:szCs w:val="24"/>
        </w:rPr>
        <w:t>The Ad Hoc Group supported</w:t>
      </w:r>
      <w:r w:rsidR="00085BA5" w:rsidRPr="00C12DBE">
        <w:rPr>
          <w:rFonts w:asciiTheme="minorHAnsi" w:hAnsiTheme="minorHAnsi" w:cstheme="minorHAnsi"/>
          <w:szCs w:val="24"/>
        </w:rPr>
        <w:t xml:space="preserve"> maintaining the current structure </w:t>
      </w:r>
      <w:r>
        <w:rPr>
          <w:rFonts w:asciiTheme="minorHAnsi" w:hAnsiTheme="minorHAnsi" w:cstheme="minorHAnsi"/>
          <w:szCs w:val="24"/>
        </w:rPr>
        <w:t xml:space="preserve">of ITU’s Regional Presence which would include both Regional and Area Offices, </w:t>
      </w:r>
      <w:r w:rsidR="00D818E4">
        <w:rPr>
          <w:rFonts w:asciiTheme="minorHAnsi" w:hAnsiTheme="minorHAnsi" w:cstheme="minorHAnsi"/>
          <w:szCs w:val="24"/>
        </w:rPr>
        <w:t>noting</w:t>
      </w:r>
      <w:r>
        <w:rPr>
          <w:rFonts w:asciiTheme="minorHAnsi" w:hAnsiTheme="minorHAnsi" w:cstheme="minorHAnsi"/>
          <w:szCs w:val="24"/>
        </w:rPr>
        <w:t xml:space="preserve"> that the </w:t>
      </w:r>
      <w:r w:rsidR="003536D5">
        <w:rPr>
          <w:rFonts w:asciiTheme="minorHAnsi" w:hAnsiTheme="minorHAnsi" w:cstheme="minorHAnsi"/>
          <w:szCs w:val="24"/>
        </w:rPr>
        <w:t xml:space="preserve">details of the </w:t>
      </w:r>
      <w:r w:rsidR="00C07DE7">
        <w:rPr>
          <w:rFonts w:asciiTheme="minorHAnsi" w:hAnsiTheme="minorHAnsi" w:cstheme="minorHAnsi"/>
          <w:szCs w:val="24"/>
        </w:rPr>
        <w:t>configuration</w:t>
      </w:r>
      <w:r w:rsidR="003536D5">
        <w:rPr>
          <w:rFonts w:asciiTheme="minorHAnsi" w:hAnsiTheme="minorHAnsi" w:cstheme="minorHAnsi"/>
          <w:szCs w:val="24"/>
        </w:rPr>
        <w:t xml:space="preserve"> should </w:t>
      </w:r>
      <w:r>
        <w:rPr>
          <w:rFonts w:asciiTheme="minorHAnsi" w:hAnsiTheme="minorHAnsi" w:cstheme="minorHAnsi"/>
          <w:szCs w:val="24"/>
        </w:rPr>
        <w:t xml:space="preserve">be consistent </w:t>
      </w:r>
      <w:r w:rsidR="003536D5">
        <w:rPr>
          <w:rFonts w:asciiTheme="minorHAnsi" w:hAnsiTheme="minorHAnsi" w:cstheme="minorHAnsi"/>
          <w:szCs w:val="24"/>
        </w:rPr>
        <w:t>with the strategic principles, and it was noted that any changes would need further detailed consideration</w:t>
      </w:r>
      <w:r w:rsidR="00A32710">
        <w:rPr>
          <w:rFonts w:asciiTheme="minorHAnsi" w:hAnsiTheme="minorHAnsi" w:cstheme="minorHAnsi"/>
          <w:szCs w:val="24"/>
        </w:rPr>
        <w:t>.</w:t>
      </w:r>
      <w:r w:rsidR="003536D5">
        <w:rPr>
          <w:rFonts w:asciiTheme="minorHAnsi" w:hAnsiTheme="minorHAnsi" w:cstheme="minorHAnsi"/>
          <w:szCs w:val="24"/>
        </w:rPr>
        <w:t xml:space="preserve"> </w:t>
      </w:r>
    </w:p>
    <w:p w14:paraId="2C3FFC2E" w14:textId="77777777" w:rsidR="00C07DE7" w:rsidRDefault="00A32710" w:rsidP="008550EA">
      <w:pPr>
        <w:pStyle w:val="ListParagraph"/>
        <w:numPr>
          <w:ilvl w:val="0"/>
          <w:numId w:val="15"/>
        </w:numPr>
        <w:tabs>
          <w:tab w:val="clear" w:pos="567"/>
          <w:tab w:val="clear" w:pos="1134"/>
          <w:tab w:val="clear" w:pos="1701"/>
          <w:tab w:val="clear" w:pos="2268"/>
          <w:tab w:val="clear" w:pos="2835"/>
        </w:tabs>
        <w:spacing w:before="240" w:after="80" w:line="276" w:lineRule="auto"/>
        <w:ind w:hanging="357"/>
        <w:contextualSpacing w:val="0"/>
        <w:rPr>
          <w:rFonts w:asciiTheme="minorHAnsi" w:hAnsiTheme="minorHAnsi" w:cstheme="minorHAnsi"/>
          <w:szCs w:val="24"/>
        </w:rPr>
      </w:pPr>
      <w:r>
        <w:rPr>
          <w:rFonts w:asciiTheme="minorHAnsi" w:hAnsiTheme="minorHAnsi" w:cstheme="minorHAnsi"/>
          <w:szCs w:val="24"/>
        </w:rPr>
        <w:t xml:space="preserve">The Ad Hoc Group noted and endorsed the work </w:t>
      </w:r>
      <w:r w:rsidR="00C07DE7">
        <w:rPr>
          <w:rFonts w:asciiTheme="minorHAnsi" w:hAnsiTheme="minorHAnsi" w:cstheme="minorHAnsi"/>
          <w:szCs w:val="24"/>
        </w:rPr>
        <w:t xml:space="preserve">in progress and </w:t>
      </w:r>
      <w:r>
        <w:rPr>
          <w:rFonts w:asciiTheme="minorHAnsi" w:hAnsiTheme="minorHAnsi" w:cstheme="minorHAnsi"/>
          <w:szCs w:val="24"/>
        </w:rPr>
        <w:t xml:space="preserve">already completed by the Secretariat, </w:t>
      </w:r>
      <w:r w:rsidR="00DC0DA4">
        <w:rPr>
          <w:rFonts w:asciiTheme="minorHAnsi" w:hAnsiTheme="minorHAnsi" w:cstheme="minorHAnsi"/>
          <w:szCs w:val="24"/>
        </w:rPr>
        <w:t>and</w:t>
      </w:r>
      <w:r>
        <w:rPr>
          <w:rFonts w:asciiTheme="minorHAnsi" w:hAnsiTheme="minorHAnsi" w:cstheme="minorHAnsi"/>
          <w:szCs w:val="24"/>
        </w:rPr>
        <w:t xml:space="preserve"> supported th</w:t>
      </w:r>
      <w:r w:rsidR="00085BA5" w:rsidRPr="00C12DBE">
        <w:rPr>
          <w:rFonts w:asciiTheme="minorHAnsi" w:hAnsiTheme="minorHAnsi" w:cstheme="minorHAnsi"/>
          <w:szCs w:val="24"/>
        </w:rPr>
        <w:t xml:space="preserve">e </w:t>
      </w:r>
      <w:r w:rsidR="00DC0DA4">
        <w:rPr>
          <w:rFonts w:asciiTheme="minorHAnsi" w:hAnsiTheme="minorHAnsi" w:cstheme="minorHAnsi"/>
          <w:szCs w:val="24"/>
        </w:rPr>
        <w:t>S</w:t>
      </w:r>
      <w:r w:rsidR="00085BA5" w:rsidRPr="00C12DBE">
        <w:rPr>
          <w:rFonts w:asciiTheme="minorHAnsi" w:hAnsiTheme="minorHAnsi" w:cstheme="minorHAnsi"/>
          <w:szCs w:val="24"/>
        </w:rPr>
        <w:t xml:space="preserve">ecretariat continuing to implement those recommendations that </w:t>
      </w:r>
      <w:r w:rsidR="00DC0DA4">
        <w:rPr>
          <w:rFonts w:asciiTheme="minorHAnsi" w:hAnsiTheme="minorHAnsi" w:cstheme="minorHAnsi"/>
          <w:szCs w:val="24"/>
        </w:rPr>
        <w:t xml:space="preserve">can be implemented </w:t>
      </w:r>
      <w:r w:rsidR="00CA5AD3">
        <w:rPr>
          <w:rFonts w:asciiTheme="minorHAnsi" w:hAnsiTheme="minorHAnsi" w:cstheme="minorHAnsi"/>
          <w:szCs w:val="24"/>
        </w:rPr>
        <w:t xml:space="preserve">based on the previous decisions and that </w:t>
      </w:r>
      <w:r w:rsidR="00085BA5" w:rsidRPr="00C12DBE">
        <w:rPr>
          <w:rFonts w:asciiTheme="minorHAnsi" w:hAnsiTheme="minorHAnsi" w:cstheme="minorHAnsi"/>
          <w:szCs w:val="24"/>
        </w:rPr>
        <w:t>will enhance and strengthen the regional presence</w:t>
      </w:r>
      <w:r w:rsidR="00CA5AD3">
        <w:rPr>
          <w:rFonts w:asciiTheme="minorHAnsi" w:hAnsiTheme="minorHAnsi" w:cstheme="minorHAnsi"/>
          <w:szCs w:val="24"/>
        </w:rPr>
        <w:t xml:space="preserve">. </w:t>
      </w:r>
    </w:p>
    <w:p w14:paraId="0C621E88" w14:textId="448E903B" w:rsidR="008550EA" w:rsidRDefault="00CA5AD3" w:rsidP="008550EA">
      <w:pPr>
        <w:pStyle w:val="ListParagraph"/>
        <w:numPr>
          <w:ilvl w:val="0"/>
          <w:numId w:val="15"/>
        </w:numPr>
        <w:tabs>
          <w:tab w:val="clear" w:pos="567"/>
          <w:tab w:val="clear" w:pos="1134"/>
          <w:tab w:val="clear" w:pos="1701"/>
          <w:tab w:val="clear" w:pos="2268"/>
          <w:tab w:val="clear" w:pos="2835"/>
        </w:tabs>
        <w:spacing w:before="240" w:after="80" w:line="276" w:lineRule="auto"/>
        <w:ind w:hanging="357"/>
        <w:contextualSpacing w:val="0"/>
        <w:rPr>
          <w:rFonts w:asciiTheme="minorHAnsi" w:hAnsiTheme="minorHAnsi" w:cstheme="minorHAnsi"/>
          <w:szCs w:val="24"/>
        </w:rPr>
      </w:pPr>
      <w:r>
        <w:rPr>
          <w:rFonts w:asciiTheme="minorHAnsi" w:hAnsiTheme="minorHAnsi" w:cstheme="minorHAnsi"/>
          <w:szCs w:val="24"/>
        </w:rPr>
        <w:t>The Secretariat should</w:t>
      </w:r>
      <w:r w:rsidR="00085BA5" w:rsidRPr="00C12DBE">
        <w:rPr>
          <w:rFonts w:asciiTheme="minorHAnsi" w:hAnsiTheme="minorHAnsi" w:cstheme="minorHAnsi"/>
          <w:szCs w:val="24"/>
        </w:rPr>
        <w:t xml:space="preserve"> continue to report </w:t>
      </w:r>
      <w:r>
        <w:rPr>
          <w:rFonts w:asciiTheme="minorHAnsi" w:hAnsiTheme="minorHAnsi" w:cstheme="minorHAnsi"/>
          <w:szCs w:val="24"/>
        </w:rPr>
        <w:t xml:space="preserve">regularly </w:t>
      </w:r>
      <w:r w:rsidR="00085BA5" w:rsidRPr="00C12DBE">
        <w:rPr>
          <w:rFonts w:asciiTheme="minorHAnsi" w:hAnsiTheme="minorHAnsi" w:cstheme="minorHAnsi"/>
          <w:szCs w:val="24"/>
        </w:rPr>
        <w:t>to CWG-FHR</w:t>
      </w:r>
      <w:r>
        <w:rPr>
          <w:rFonts w:asciiTheme="minorHAnsi" w:hAnsiTheme="minorHAnsi" w:cstheme="minorHAnsi"/>
          <w:szCs w:val="24"/>
        </w:rPr>
        <w:t xml:space="preserve"> and </w:t>
      </w:r>
      <w:r w:rsidR="00085BA5" w:rsidRPr="00C12DBE">
        <w:rPr>
          <w:rFonts w:asciiTheme="minorHAnsi" w:hAnsiTheme="minorHAnsi" w:cstheme="minorHAnsi"/>
          <w:szCs w:val="24"/>
        </w:rPr>
        <w:t xml:space="preserve">Council on </w:t>
      </w:r>
      <w:r w:rsidR="00DC0DA4">
        <w:rPr>
          <w:rFonts w:asciiTheme="minorHAnsi" w:hAnsiTheme="minorHAnsi" w:cstheme="minorHAnsi"/>
          <w:szCs w:val="24"/>
        </w:rPr>
        <w:t xml:space="preserve">its </w:t>
      </w:r>
      <w:r w:rsidR="00085BA5" w:rsidRPr="00C12DBE">
        <w:rPr>
          <w:rFonts w:asciiTheme="minorHAnsi" w:hAnsiTheme="minorHAnsi" w:cstheme="minorHAnsi"/>
          <w:szCs w:val="24"/>
        </w:rPr>
        <w:t>progress</w:t>
      </w:r>
      <w:r>
        <w:rPr>
          <w:rFonts w:asciiTheme="minorHAnsi" w:hAnsiTheme="minorHAnsi" w:cstheme="minorHAnsi"/>
          <w:szCs w:val="24"/>
        </w:rPr>
        <w:t xml:space="preserve"> (including the status of </w:t>
      </w:r>
      <w:r w:rsidR="007151AB">
        <w:rPr>
          <w:rFonts w:asciiTheme="minorHAnsi" w:hAnsiTheme="minorHAnsi" w:cstheme="minorHAnsi"/>
          <w:szCs w:val="24"/>
        </w:rPr>
        <w:t>all</w:t>
      </w:r>
      <w:r>
        <w:rPr>
          <w:rFonts w:asciiTheme="minorHAnsi" w:hAnsiTheme="minorHAnsi" w:cstheme="minorHAnsi"/>
          <w:szCs w:val="24"/>
        </w:rPr>
        <w:t xml:space="preserve"> </w:t>
      </w:r>
      <w:r w:rsidR="007304D8">
        <w:rPr>
          <w:rFonts w:asciiTheme="minorHAnsi" w:hAnsiTheme="minorHAnsi" w:cstheme="minorHAnsi"/>
          <w:szCs w:val="24"/>
        </w:rPr>
        <w:t>PWC</w:t>
      </w:r>
      <w:r>
        <w:rPr>
          <w:rFonts w:asciiTheme="minorHAnsi" w:hAnsiTheme="minorHAnsi" w:cstheme="minorHAnsi"/>
          <w:szCs w:val="24"/>
        </w:rPr>
        <w:t xml:space="preserve"> recommendations)</w:t>
      </w:r>
      <w:r w:rsidR="00085BA5" w:rsidRPr="00C12DBE">
        <w:rPr>
          <w:rFonts w:asciiTheme="minorHAnsi" w:hAnsiTheme="minorHAnsi" w:cstheme="minorHAnsi"/>
          <w:szCs w:val="24"/>
        </w:rPr>
        <w:t xml:space="preserve">. </w:t>
      </w:r>
    </w:p>
    <w:p w14:paraId="1258E2CC" w14:textId="39E7CAF6" w:rsidR="000A7373" w:rsidRPr="008550EA" w:rsidRDefault="00DA4BA6" w:rsidP="008550EA">
      <w:pPr>
        <w:pStyle w:val="ListParagraph"/>
        <w:numPr>
          <w:ilvl w:val="0"/>
          <w:numId w:val="15"/>
        </w:numPr>
        <w:tabs>
          <w:tab w:val="clear" w:pos="567"/>
          <w:tab w:val="clear" w:pos="1134"/>
          <w:tab w:val="clear" w:pos="1701"/>
          <w:tab w:val="clear" w:pos="2268"/>
          <w:tab w:val="clear" w:pos="2835"/>
        </w:tabs>
        <w:spacing w:before="240" w:after="80" w:line="276" w:lineRule="auto"/>
        <w:ind w:hanging="357"/>
        <w:contextualSpacing w:val="0"/>
        <w:rPr>
          <w:rFonts w:asciiTheme="minorHAnsi" w:hAnsiTheme="minorHAnsi" w:cstheme="minorHAnsi"/>
          <w:szCs w:val="24"/>
        </w:rPr>
      </w:pPr>
      <w:r w:rsidRPr="008550EA">
        <w:rPr>
          <w:rFonts w:asciiTheme="minorHAnsi" w:hAnsiTheme="minorHAnsi" w:cstheme="minorHAnsi"/>
          <w:szCs w:val="24"/>
        </w:rPr>
        <w:t>The Secretariat was asked to provide the following further inputs as part of the report of the Ad Hoc Group to CWG-FHR:</w:t>
      </w:r>
    </w:p>
    <w:p w14:paraId="02843B35" w14:textId="398B211B" w:rsidR="00254DBA" w:rsidRDefault="00DA4BA6" w:rsidP="008550EA">
      <w:pPr>
        <w:pStyle w:val="ListParagraph"/>
        <w:numPr>
          <w:ilvl w:val="0"/>
          <w:numId w:val="16"/>
        </w:numPr>
        <w:tabs>
          <w:tab w:val="clear" w:pos="567"/>
          <w:tab w:val="clear" w:pos="1134"/>
          <w:tab w:val="clear" w:pos="1701"/>
          <w:tab w:val="clear" w:pos="2268"/>
          <w:tab w:val="clear" w:pos="2835"/>
        </w:tabs>
        <w:overflowPunct/>
        <w:autoSpaceDE/>
        <w:autoSpaceDN/>
        <w:adjustRightInd/>
        <w:snapToGrid w:val="0"/>
        <w:spacing w:before="240" w:after="60" w:line="276" w:lineRule="auto"/>
        <w:jc w:val="both"/>
        <w:textAlignment w:val="auto"/>
        <w:rPr>
          <w:rFonts w:asciiTheme="minorHAnsi" w:hAnsiTheme="minorHAnsi" w:cstheme="minorHAnsi"/>
        </w:rPr>
      </w:pPr>
      <w:r>
        <w:rPr>
          <w:rFonts w:asciiTheme="minorHAnsi" w:hAnsiTheme="minorHAnsi" w:cstheme="minorHAnsi"/>
        </w:rPr>
        <w:t>R</w:t>
      </w:r>
      <w:r w:rsidR="00825780" w:rsidRPr="00DA4BA6">
        <w:rPr>
          <w:rFonts w:asciiTheme="minorHAnsi" w:hAnsiTheme="minorHAnsi" w:cstheme="minorHAnsi"/>
        </w:rPr>
        <w:t xml:space="preserve">esponses by the Secretariat to </w:t>
      </w:r>
      <w:r>
        <w:rPr>
          <w:rFonts w:asciiTheme="minorHAnsi" w:hAnsiTheme="minorHAnsi" w:cstheme="minorHAnsi"/>
        </w:rPr>
        <w:t xml:space="preserve">the specific requests contained in the </w:t>
      </w:r>
      <w:r w:rsidR="00825780" w:rsidRPr="00DA4BA6">
        <w:rPr>
          <w:rFonts w:asciiTheme="minorHAnsi" w:hAnsiTheme="minorHAnsi" w:cstheme="minorHAnsi"/>
        </w:rPr>
        <w:t>contributions by Switzerland</w:t>
      </w:r>
      <w:r>
        <w:rPr>
          <w:rFonts w:asciiTheme="minorHAnsi" w:hAnsiTheme="minorHAnsi" w:cstheme="minorHAnsi"/>
        </w:rPr>
        <w:t xml:space="preserve"> and</w:t>
      </w:r>
      <w:r w:rsidR="00825780" w:rsidRPr="00DA4BA6">
        <w:rPr>
          <w:rFonts w:asciiTheme="minorHAnsi" w:hAnsiTheme="minorHAnsi" w:cstheme="minorHAnsi"/>
        </w:rPr>
        <w:t xml:space="preserve"> Australia. </w:t>
      </w:r>
    </w:p>
    <w:p w14:paraId="1EADCEFA" w14:textId="060CA0E5" w:rsidR="00825780" w:rsidRDefault="00254DBA" w:rsidP="008550EA">
      <w:pPr>
        <w:pStyle w:val="ListParagraph"/>
        <w:numPr>
          <w:ilvl w:val="0"/>
          <w:numId w:val="16"/>
        </w:numPr>
        <w:tabs>
          <w:tab w:val="clear" w:pos="567"/>
          <w:tab w:val="clear" w:pos="1134"/>
          <w:tab w:val="clear" w:pos="1701"/>
          <w:tab w:val="clear" w:pos="2268"/>
          <w:tab w:val="clear" w:pos="2835"/>
        </w:tabs>
        <w:overflowPunct/>
        <w:autoSpaceDE/>
        <w:autoSpaceDN/>
        <w:adjustRightInd/>
        <w:snapToGrid w:val="0"/>
        <w:spacing w:before="240" w:after="60" w:line="276" w:lineRule="auto"/>
        <w:jc w:val="both"/>
        <w:textAlignment w:val="auto"/>
        <w:rPr>
          <w:rFonts w:asciiTheme="minorHAnsi" w:hAnsiTheme="minorHAnsi" w:cstheme="minorHAnsi"/>
        </w:rPr>
      </w:pPr>
      <w:r>
        <w:rPr>
          <w:rFonts w:asciiTheme="minorHAnsi" w:hAnsiTheme="minorHAnsi" w:cstheme="minorHAnsi"/>
        </w:rPr>
        <w:t>A</w:t>
      </w:r>
      <w:r w:rsidR="00825780" w:rsidRPr="00254DBA">
        <w:rPr>
          <w:rFonts w:asciiTheme="minorHAnsi" w:hAnsiTheme="minorHAnsi" w:cstheme="minorHAnsi"/>
        </w:rPr>
        <w:t xml:space="preserve">n updated status report and workplan for the </w:t>
      </w:r>
      <w:r w:rsidR="007304D8">
        <w:rPr>
          <w:rFonts w:asciiTheme="minorHAnsi" w:hAnsiTheme="minorHAnsi" w:cstheme="minorHAnsi"/>
        </w:rPr>
        <w:t>PWC</w:t>
      </w:r>
      <w:r w:rsidR="00825780" w:rsidRPr="00254DBA">
        <w:rPr>
          <w:rFonts w:asciiTheme="minorHAnsi" w:hAnsiTheme="minorHAnsi" w:cstheme="minorHAnsi"/>
        </w:rPr>
        <w:t xml:space="preserve"> recommendations</w:t>
      </w:r>
      <w:r>
        <w:rPr>
          <w:rFonts w:asciiTheme="minorHAnsi" w:hAnsiTheme="minorHAnsi" w:cstheme="minorHAnsi"/>
        </w:rPr>
        <w:t>, based on the decisions of the Ad Hoc Group</w:t>
      </w:r>
      <w:r w:rsidR="00DC2B78" w:rsidRPr="00254DBA">
        <w:rPr>
          <w:rFonts w:asciiTheme="minorHAnsi" w:hAnsiTheme="minorHAnsi" w:cstheme="minorHAnsi"/>
        </w:rPr>
        <w:t>.</w:t>
      </w:r>
    </w:p>
    <w:p w14:paraId="637888AD" w14:textId="01983659" w:rsidR="008366B2" w:rsidRPr="00254DBA" w:rsidRDefault="00254DBA" w:rsidP="009D56E0">
      <w:pPr>
        <w:tabs>
          <w:tab w:val="clear" w:pos="567"/>
          <w:tab w:val="clear" w:pos="1134"/>
          <w:tab w:val="clear" w:pos="1701"/>
          <w:tab w:val="clear" w:pos="2268"/>
          <w:tab w:val="clear" w:pos="2835"/>
          <w:tab w:val="left" w:pos="993"/>
          <w:tab w:val="left" w:pos="1276"/>
        </w:tabs>
        <w:overflowPunct/>
        <w:autoSpaceDE/>
        <w:autoSpaceDN/>
        <w:adjustRightInd/>
        <w:snapToGrid w:val="0"/>
        <w:spacing w:before="240" w:after="60" w:line="276" w:lineRule="auto"/>
        <w:jc w:val="both"/>
        <w:textAlignment w:val="auto"/>
      </w:pPr>
      <w:r>
        <w:rPr>
          <w:rFonts w:asciiTheme="minorHAnsi" w:hAnsiTheme="minorHAnsi" w:cstheme="minorHAnsi"/>
        </w:rPr>
        <w:t>The above documents have been prepared by the Secretariat and are provided as Annexes 1 and 2, respectively.</w:t>
      </w:r>
    </w:p>
    <w:p w14:paraId="4D3AC798" w14:textId="33406B14" w:rsidR="008366B2" w:rsidRPr="008366B2" w:rsidRDefault="00976816" w:rsidP="00452031">
      <w:pPr>
        <w:spacing w:before="840"/>
        <w:jc w:val="center"/>
        <w:rPr>
          <w:lang w:val="en-US"/>
        </w:rPr>
      </w:pPr>
      <w:r>
        <w:rPr>
          <w:lang w:val="en-US"/>
        </w:rPr>
        <w:t>_____________________</w:t>
      </w:r>
    </w:p>
    <w:sectPr w:rsidR="008366B2" w:rsidRPr="008366B2" w:rsidSect="00976816">
      <w:headerReference w:type="default" r:id="rId26"/>
      <w:headerReference w:type="first" r:id="rId27"/>
      <w:footerReference w:type="first" r:id="rId28"/>
      <w:pgSz w:w="11907" w:h="16834"/>
      <w:pgMar w:top="1134" w:right="1134" w:bottom="1134"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276A" w14:textId="77777777" w:rsidR="00702EC3" w:rsidRDefault="00702EC3">
      <w:r>
        <w:separator/>
      </w:r>
    </w:p>
  </w:endnote>
  <w:endnote w:type="continuationSeparator" w:id="0">
    <w:p w14:paraId="6D32392C" w14:textId="77777777" w:rsidR="00702EC3" w:rsidRDefault="0070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C540"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F697" w14:textId="77777777" w:rsidR="00702EC3" w:rsidRDefault="00702EC3">
      <w:r>
        <w:t>____________________</w:t>
      </w:r>
    </w:p>
  </w:footnote>
  <w:footnote w:type="continuationSeparator" w:id="0">
    <w:p w14:paraId="58CC5EF1" w14:textId="77777777" w:rsidR="00702EC3" w:rsidRDefault="00702EC3">
      <w:r>
        <w:continuationSeparator/>
      </w:r>
    </w:p>
  </w:footnote>
  <w:footnote w:id="1">
    <w:p w14:paraId="163A5430" w14:textId="26E6DE80" w:rsidR="00C445B8" w:rsidRPr="00C445B8" w:rsidRDefault="00C445B8" w:rsidP="00263E47">
      <w:pPr>
        <w:pStyle w:val="FootnoteText"/>
        <w:tabs>
          <w:tab w:val="clear" w:pos="256"/>
        </w:tabs>
        <w:ind w:left="284" w:hanging="284"/>
        <w:rPr>
          <w:lang w:val="en-US"/>
        </w:rPr>
      </w:pPr>
      <w:r>
        <w:rPr>
          <w:rStyle w:val="FootnoteReference"/>
        </w:rPr>
        <w:footnoteRef/>
      </w:r>
      <w:r>
        <w:t xml:space="preserve"> </w:t>
      </w:r>
      <w:r w:rsidR="00263E47">
        <w:tab/>
      </w:r>
      <w:r w:rsidR="00AB315B" w:rsidRPr="00452031">
        <w:rPr>
          <w:sz w:val="20"/>
          <w:lang w:val="en-US"/>
        </w:rPr>
        <w:t xml:space="preserve">It is noted that the </w:t>
      </w:r>
      <w:r w:rsidR="00E409D7" w:rsidRPr="00452031">
        <w:rPr>
          <w:sz w:val="20"/>
          <w:lang w:val="en-US"/>
        </w:rPr>
        <w:t xml:space="preserve">Option 1 </w:t>
      </w:r>
      <w:r w:rsidR="00263E47" w:rsidRPr="00452031">
        <w:rPr>
          <w:sz w:val="20"/>
          <w:lang w:val="en-US"/>
        </w:rPr>
        <w:t xml:space="preserve">in the PWC Report includes new offices and closure of some offices. The </w:t>
      </w:r>
      <w:r w:rsidR="00F974E7" w:rsidRPr="00452031">
        <w:rPr>
          <w:sz w:val="20"/>
          <w:lang w:val="en-US"/>
        </w:rPr>
        <w:t xml:space="preserve">Ad Hoc </w:t>
      </w:r>
      <w:r w:rsidR="00AB315B" w:rsidRPr="00452031">
        <w:rPr>
          <w:sz w:val="20"/>
          <w:lang w:val="en-US"/>
        </w:rPr>
        <w:t>Group neither support</w:t>
      </w:r>
      <w:r w:rsidR="00F974E7" w:rsidRPr="00452031">
        <w:rPr>
          <w:sz w:val="20"/>
          <w:lang w:val="en-US"/>
        </w:rPr>
        <w:t>s</w:t>
      </w:r>
      <w:r w:rsidR="00AB315B" w:rsidRPr="00452031">
        <w:rPr>
          <w:sz w:val="20"/>
          <w:lang w:val="en-US"/>
        </w:rPr>
        <w:t xml:space="preserve"> nor oppose</w:t>
      </w:r>
      <w:r w:rsidR="00F974E7" w:rsidRPr="00452031">
        <w:rPr>
          <w:sz w:val="20"/>
          <w:lang w:val="en-US"/>
        </w:rPr>
        <w:t>s</w:t>
      </w:r>
      <w:r w:rsidR="00AB315B" w:rsidRPr="00452031">
        <w:rPr>
          <w:sz w:val="20"/>
          <w:lang w:val="en-US"/>
        </w:rPr>
        <w:t xml:space="preserve"> the addition of new offices</w:t>
      </w:r>
      <w:r w:rsidR="00F974E7" w:rsidRPr="00452031">
        <w:rPr>
          <w:sz w:val="20"/>
          <w:lang w:val="en-US"/>
        </w:rPr>
        <w:t>, and there were</w:t>
      </w:r>
      <w:r w:rsidR="00E409D7" w:rsidRPr="00452031">
        <w:rPr>
          <w:sz w:val="20"/>
          <w:lang w:val="en-US"/>
        </w:rPr>
        <w:t xml:space="preserve"> strong</w:t>
      </w:r>
      <w:r w:rsidR="00F974E7" w:rsidRPr="00452031">
        <w:rPr>
          <w:sz w:val="20"/>
          <w:lang w:val="en-US"/>
        </w:rPr>
        <w:t xml:space="preserve"> objections </w:t>
      </w:r>
      <w:r w:rsidR="00E409D7" w:rsidRPr="00452031">
        <w:rPr>
          <w:sz w:val="20"/>
          <w:lang w:val="en-US"/>
        </w:rPr>
        <w:t xml:space="preserve">by some member states </w:t>
      </w:r>
      <w:r w:rsidR="00F974E7" w:rsidRPr="00452031">
        <w:rPr>
          <w:sz w:val="20"/>
          <w:lang w:val="en-US"/>
        </w:rPr>
        <w:t>to the closure of specific offices. Therefore, no decision was made on any closure, consolidation or opening</w:t>
      </w:r>
      <w:r w:rsidR="006458E4" w:rsidRPr="00452031">
        <w:rPr>
          <w:sz w:val="20"/>
          <w:lang w:val="en-US"/>
        </w:rPr>
        <w:t xml:space="preserve"> of offices</w:t>
      </w:r>
      <w:r w:rsidR="00F974E7" w:rsidRPr="00452031">
        <w:rPr>
          <w:sz w:val="20"/>
          <w:lang w:val="en-US"/>
        </w:rPr>
        <w:t>.</w:t>
      </w:r>
      <w:r w:rsidR="00E409D7" w:rsidRPr="00452031">
        <w:rPr>
          <w:sz w:val="20"/>
          <w:lang w:val="en-US"/>
        </w:rPr>
        <w:t xml:space="preserve"> The Ad Hoc Group decision relates only to maintenance of</w:t>
      </w:r>
      <w:r w:rsidR="00263E47" w:rsidRPr="00452031">
        <w:rPr>
          <w:sz w:val="20"/>
          <w:lang w:val="en-US"/>
        </w:rPr>
        <w:t xml:space="preserve"> </w:t>
      </w:r>
      <w:r w:rsidR="00E409D7" w:rsidRPr="00452031">
        <w:rPr>
          <w:sz w:val="20"/>
          <w:lang w:val="en-US"/>
        </w:rPr>
        <w:t xml:space="preserve">both </w:t>
      </w:r>
      <w:r w:rsidR="00263E47" w:rsidRPr="00452031">
        <w:rPr>
          <w:sz w:val="20"/>
          <w:lang w:val="en-US"/>
        </w:rPr>
        <w:t xml:space="preserve">categories of office (Regional and Area) </w:t>
      </w:r>
      <w:r w:rsidR="00E409D7" w:rsidRPr="00452031">
        <w:rPr>
          <w:sz w:val="20"/>
          <w:lang w:val="en-US"/>
        </w:rPr>
        <w:t>as in the current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101133"/>
      <w:docPartObj>
        <w:docPartGallery w:val="Page Numbers (Top of Page)"/>
        <w:docPartUnique/>
      </w:docPartObj>
    </w:sdtPr>
    <w:sdtEndPr>
      <w:rPr>
        <w:noProof/>
        <w:sz w:val="22"/>
        <w:szCs w:val="22"/>
      </w:rPr>
    </w:sdtEndPr>
    <w:sdtContent>
      <w:p w14:paraId="0665B385" w14:textId="39E0EEDA" w:rsidR="00976816" w:rsidRPr="00E55523" w:rsidRDefault="009D56E0">
        <w:pPr>
          <w:pStyle w:val="Header"/>
          <w:rPr>
            <w:sz w:val="22"/>
            <w:szCs w:val="22"/>
          </w:rPr>
        </w:pPr>
        <w:r>
          <w:t>CWG-FHR-13/2</w:t>
        </w:r>
        <w:r>
          <w:br/>
        </w:r>
        <w:r w:rsidR="00976816" w:rsidRPr="009D56E0">
          <w:rPr>
            <w:szCs w:val="18"/>
          </w:rPr>
          <w:t>- </w:t>
        </w:r>
        <w:r w:rsidR="00976816" w:rsidRPr="009D56E0">
          <w:rPr>
            <w:szCs w:val="18"/>
          </w:rPr>
          <w:fldChar w:fldCharType="begin"/>
        </w:r>
        <w:r w:rsidR="00976816" w:rsidRPr="009D56E0">
          <w:rPr>
            <w:szCs w:val="18"/>
          </w:rPr>
          <w:instrText xml:space="preserve"> PAGE   \* MERGEFORMAT </w:instrText>
        </w:r>
        <w:r w:rsidR="00976816" w:rsidRPr="009D56E0">
          <w:rPr>
            <w:szCs w:val="18"/>
          </w:rPr>
          <w:fldChar w:fldCharType="separate"/>
        </w:r>
        <w:r w:rsidR="00976816" w:rsidRPr="009D56E0">
          <w:rPr>
            <w:noProof/>
            <w:szCs w:val="18"/>
          </w:rPr>
          <w:t>2</w:t>
        </w:r>
        <w:r w:rsidR="00976816" w:rsidRPr="009D56E0">
          <w:rPr>
            <w:noProof/>
            <w:szCs w:val="18"/>
          </w:rPr>
          <w:fldChar w:fldCharType="end"/>
        </w:r>
        <w:r w:rsidR="00976816" w:rsidRPr="009D56E0">
          <w:rPr>
            <w:noProof/>
            <w:szCs w:val="18"/>
          </w:rPr>
          <w:t> -</w:t>
        </w:r>
      </w:p>
    </w:sdtContent>
  </w:sdt>
  <w:p w14:paraId="0C8B8DFA" w14:textId="007E3FE4" w:rsidR="00F17825" w:rsidRPr="00F17825" w:rsidRDefault="00F17825" w:rsidP="00F17825">
    <w:pPr>
      <w:pStyle w:val="Header"/>
      <w:tabs>
        <w:tab w:val="left" w:pos="210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0C42" w14:textId="2F9A7459" w:rsidR="00976816" w:rsidRDefault="00976816">
    <w:pPr>
      <w:pStyle w:val="Header"/>
    </w:pPr>
  </w:p>
  <w:p w14:paraId="49E0471A" w14:textId="77777777" w:rsidR="00F17825" w:rsidRDefault="00F17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502F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66297"/>
    <w:multiLevelType w:val="hybridMultilevel"/>
    <w:tmpl w:val="040A57E0"/>
    <w:lvl w:ilvl="0" w:tplc="2E12B988">
      <w:start w:val="1"/>
      <w:numFmt w:val="bullet"/>
      <w:pStyle w:val="ListBullet"/>
      <w:lvlText w:val=""/>
      <w:lvlJc w:val="left"/>
      <w:pPr>
        <w:ind w:left="198" w:hanging="198"/>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884435"/>
    <w:multiLevelType w:val="hybridMultilevel"/>
    <w:tmpl w:val="BFB0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B24B7"/>
    <w:multiLevelType w:val="hybridMultilevel"/>
    <w:tmpl w:val="6D4EE3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85F83"/>
    <w:multiLevelType w:val="hybridMultilevel"/>
    <w:tmpl w:val="EF24F686"/>
    <w:lvl w:ilvl="0" w:tplc="0809001B">
      <w:start w:val="1"/>
      <w:numFmt w:val="lowerRoman"/>
      <w:lvlText w:val="%1."/>
      <w:lvlJc w:val="righ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205B0D4D"/>
    <w:multiLevelType w:val="hybridMultilevel"/>
    <w:tmpl w:val="EFE4A71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34659"/>
    <w:multiLevelType w:val="hybridMultilevel"/>
    <w:tmpl w:val="0BFE5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D23EB"/>
    <w:multiLevelType w:val="hybridMultilevel"/>
    <w:tmpl w:val="2AB6D782"/>
    <w:lvl w:ilvl="0" w:tplc="9BD6FF4A">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67FD1"/>
    <w:multiLevelType w:val="hybridMultilevel"/>
    <w:tmpl w:val="6D0CC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621C6"/>
    <w:multiLevelType w:val="hybridMultilevel"/>
    <w:tmpl w:val="63EA635C"/>
    <w:lvl w:ilvl="0" w:tplc="4F1E8A76">
      <w:start w:val="1"/>
      <w:numFmt w:val="decimal"/>
      <w:pStyle w:val="Listnum"/>
      <w:lvlText w:val="%1."/>
      <w:lvlJc w:val="left"/>
      <w:pPr>
        <w:ind w:left="284" w:hanging="284"/>
      </w:pPr>
      <w:rPr>
        <w:rFonts w:hint="default"/>
        <w:b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F1A3936"/>
    <w:multiLevelType w:val="hybridMultilevel"/>
    <w:tmpl w:val="04220100"/>
    <w:lvl w:ilvl="0" w:tplc="DA661612">
      <w:start w:val="1"/>
      <w:numFmt w:val="bullet"/>
      <w:lvlText w:val=""/>
      <w:lvlJc w:val="left"/>
      <w:pPr>
        <w:tabs>
          <w:tab w:val="num" w:pos="720"/>
        </w:tabs>
        <w:ind w:left="720" w:hanging="360"/>
      </w:pPr>
      <w:rPr>
        <w:rFonts w:ascii="Wingdings" w:hAnsi="Wingdings" w:hint="default"/>
      </w:rPr>
    </w:lvl>
    <w:lvl w:ilvl="1" w:tplc="2020C174" w:tentative="1">
      <w:start w:val="1"/>
      <w:numFmt w:val="bullet"/>
      <w:lvlText w:val=""/>
      <w:lvlJc w:val="left"/>
      <w:pPr>
        <w:tabs>
          <w:tab w:val="num" w:pos="1440"/>
        </w:tabs>
        <w:ind w:left="1440" w:hanging="360"/>
      </w:pPr>
      <w:rPr>
        <w:rFonts w:ascii="Wingdings" w:hAnsi="Wingdings" w:hint="default"/>
      </w:rPr>
    </w:lvl>
    <w:lvl w:ilvl="2" w:tplc="2A4635D4" w:tentative="1">
      <w:start w:val="1"/>
      <w:numFmt w:val="bullet"/>
      <w:lvlText w:val=""/>
      <w:lvlJc w:val="left"/>
      <w:pPr>
        <w:tabs>
          <w:tab w:val="num" w:pos="2160"/>
        </w:tabs>
        <w:ind w:left="2160" w:hanging="360"/>
      </w:pPr>
      <w:rPr>
        <w:rFonts w:ascii="Wingdings" w:hAnsi="Wingdings" w:hint="default"/>
      </w:rPr>
    </w:lvl>
    <w:lvl w:ilvl="3" w:tplc="89561C6E" w:tentative="1">
      <w:start w:val="1"/>
      <w:numFmt w:val="bullet"/>
      <w:lvlText w:val=""/>
      <w:lvlJc w:val="left"/>
      <w:pPr>
        <w:tabs>
          <w:tab w:val="num" w:pos="2880"/>
        </w:tabs>
        <w:ind w:left="2880" w:hanging="360"/>
      </w:pPr>
      <w:rPr>
        <w:rFonts w:ascii="Wingdings" w:hAnsi="Wingdings" w:hint="default"/>
      </w:rPr>
    </w:lvl>
    <w:lvl w:ilvl="4" w:tplc="02C49672" w:tentative="1">
      <w:start w:val="1"/>
      <w:numFmt w:val="bullet"/>
      <w:lvlText w:val=""/>
      <w:lvlJc w:val="left"/>
      <w:pPr>
        <w:tabs>
          <w:tab w:val="num" w:pos="3600"/>
        </w:tabs>
        <w:ind w:left="3600" w:hanging="360"/>
      </w:pPr>
      <w:rPr>
        <w:rFonts w:ascii="Wingdings" w:hAnsi="Wingdings" w:hint="default"/>
      </w:rPr>
    </w:lvl>
    <w:lvl w:ilvl="5" w:tplc="190893EC" w:tentative="1">
      <w:start w:val="1"/>
      <w:numFmt w:val="bullet"/>
      <w:lvlText w:val=""/>
      <w:lvlJc w:val="left"/>
      <w:pPr>
        <w:tabs>
          <w:tab w:val="num" w:pos="4320"/>
        </w:tabs>
        <w:ind w:left="4320" w:hanging="360"/>
      </w:pPr>
      <w:rPr>
        <w:rFonts w:ascii="Wingdings" w:hAnsi="Wingdings" w:hint="default"/>
      </w:rPr>
    </w:lvl>
    <w:lvl w:ilvl="6" w:tplc="6CB49C2A" w:tentative="1">
      <w:start w:val="1"/>
      <w:numFmt w:val="bullet"/>
      <w:lvlText w:val=""/>
      <w:lvlJc w:val="left"/>
      <w:pPr>
        <w:tabs>
          <w:tab w:val="num" w:pos="5040"/>
        </w:tabs>
        <w:ind w:left="5040" w:hanging="360"/>
      </w:pPr>
      <w:rPr>
        <w:rFonts w:ascii="Wingdings" w:hAnsi="Wingdings" w:hint="default"/>
      </w:rPr>
    </w:lvl>
    <w:lvl w:ilvl="7" w:tplc="67C0BB1E" w:tentative="1">
      <w:start w:val="1"/>
      <w:numFmt w:val="bullet"/>
      <w:lvlText w:val=""/>
      <w:lvlJc w:val="left"/>
      <w:pPr>
        <w:tabs>
          <w:tab w:val="num" w:pos="5760"/>
        </w:tabs>
        <w:ind w:left="5760" w:hanging="360"/>
      </w:pPr>
      <w:rPr>
        <w:rFonts w:ascii="Wingdings" w:hAnsi="Wingdings" w:hint="default"/>
      </w:rPr>
    </w:lvl>
    <w:lvl w:ilvl="8" w:tplc="F0F480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D3EE7"/>
    <w:multiLevelType w:val="multilevel"/>
    <w:tmpl w:val="5224A5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76910"/>
    <w:multiLevelType w:val="hybridMultilevel"/>
    <w:tmpl w:val="AE56C8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5635F"/>
    <w:multiLevelType w:val="hybridMultilevel"/>
    <w:tmpl w:val="0BE0F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47ABD"/>
    <w:multiLevelType w:val="hybridMultilevel"/>
    <w:tmpl w:val="EAC4F3F8"/>
    <w:lvl w:ilvl="0" w:tplc="0809001B">
      <w:start w:val="1"/>
      <w:numFmt w:val="lowerRoman"/>
      <w:lvlText w:val="%1."/>
      <w:lvlJc w:val="righ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5" w15:restartNumberingAfterBreak="0">
    <w:nsid w:val="4ABC4CDB"/>
    <w:multiLevelType w:val="hybridMultilevel"/>
    <w:tmpl w:val="8828D7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370830"/>
    <w:multiLevelType w:val="hybridMultilevel"/>
    <w:tmpl w:val="7F86D016"/>
    <w:lvl w:ilvl="0" w:tplc="92E49C22">
      <w:start w:val="1"/>
      <w:numFmt w:val="bullet"/>
      <w:lvlText w:val=""/>
      <w:lvlJc w:val="left"/>
      <w:pPr>
        <w:tabs>
          <w:tab w:val="num" w:pos="720"/>
        </w:tabs>
        <w:ind w:left="720" w:hanging="360"/>
      </w:pPr>
      <w:rPr>
        <w:rFonts w:ascii="Wingdings" w:hAnsi="Wingdings" w:hint="default"/>
      </w:rPr>
    </w:lvl>
    <w:lvl w:ilvl="1" w:tplc="46F45724">
      <w:numFmt w:val="bullet"/>
      <w:lvlText w:val=""/>
      <w:lvlJc w:val="left"/>
      <w:pPr>
        <w:tabs>
          <w:tab w:val="num" w:pos="1440"/>
        </w:tabs>
        <w:ind w:left="1440" w:hanging="360"/>
      </w:pPr>
      <w:rPr>
        <w:rFonts w:ascii="Wingdings" w:hAnsi="Wingdings" w:hint="default"/>
      </w:rPr>
    </w:lvl>
    <w:lvl w:ilvl="2" w:tplc="7AACA602" w:tentative="1">
      <w:start w:val="1"/>
      <w:numFmt w:val="bullet"/>
      <w:lvlText w:val=""/>
      <w:lvlJc w:val="left"/>
      <w:pPr>
        <w:tabs>
          <w:tab w:val="num" w:pos="2160"/>
        </w:tabs>
        <w:ind w:left="2160" w:hanging="360"/>
      </w:pPr>
      <w:rPr>
        <w:rFonts w:ascii="Wingdings" w:hAnsi="Wingdings" w:hint="default"/>
      </w:rPr>
    </w:lvl>
    <w:lvl w:ilvl="3" w:tplc="4B36A75A" w:tentative="1">
      <w:start w:val="1"/>
      <w:numFmt w:val="bullet"/>
      <w:lvlText w:val=""/>
      <w:lvlJc w:val="left"/>
      <w:pPr>
        <w:tabs>
          <w:tab w:val="num" w:pos="2880"/>
        </w:tabs>
        <w:ind w:left="2880" w:hanging="360"/>
      </w:pPr>
      <w:rPr>
        <w:rFonts w:ascii="Wingdings" w:hAnsi="Wingdings" w:hint="default"/>
      </w:rPr>
    </w:lvl>
    <w:lvl w:ilvl="4" w:tplc="9AF08E18" w:tentative="1">
      <w:start w:val="1"/>
      <w:numFmt w:val="bullet"/>
      <w:lvlText w:val=""/>
      <w:lvlJc w:val="left"/>
      <w:pPr>
        <w:tabs>
          <w:tab w:val="num" w:pos="3600"/>
        </w:tabs>
        <w:ind w:left="3600" w:hanging="360"/>
      </w:pPr>
      <w:rPr>
        <w:rFonts w:ascii="Wingdings" w:hAnsi="Wingdings" w:hint="default"/>
      </w:rPr>
    </w:lvl>
    <w:lvl w:ilvl="5" w:tplc="9CE22E4C" w:tentative="1">
      <w:start w:val="1"/>
      <w:numFmt w:val="bullet"/>
      <w:lvlText w:val=""/>
      <w:lvlJc w:val="left"/>
      <w:pPr>
        <w:tabs>
          <w:tab w:val="num" w:pos="4320"/>
        </w:tabs>
        <w:ind w:left="4320" w:hanging="360"/>
      </w:pPr>
      <w:rPr>
        <w:rFonts w:ascii="Wingdings" w:hAnsi="Wingdings" w:hint="default"/>
      </w:rPr>
    </w:lvl>
    <w:lvl w:ilvl="6" w:tplc="6DEC6CAE" w:tentative="1">
      <w:start w:val="1"/>
      <w:numFmt w:val="bullet"/>
      <w:lvlText w:val=""/>
      <w:lvlJc w:val="left"/>
      <w:pPr>
        <w:tabs>
          <w:tab w:val="num" w:pos="5040"/>
        </w:tabs>
        <w:ind w:left="5040" w:hanging="360"/>
      </w:pPr>
      <w:rPr>
        <w:rFonts w:ascii="Wingdings" w:hAnsi="Wingdings" w:hint="default"/>
      </w:rPr>
    </w:lvl>
    <w:lvl w:ilvl="7" w:tplc="ABE0492E" w:tentative="1">
      <w:start w:val="1"/>
      <w:numFmt w:val="bullet"/>
      <w:lvlText w:val=""/>
      <w:lvlJc w:val="left"/>
      <w:pPr>
        <w:tabs>
          <w:tab w:val="num" w:pos="5760"/>
        </w:tabs>
        <w:ind w:left="5760" w:hanging="360"/>
      </w:pPr>
      <w:rPr>
        <w:rFonts w:ascii="Wingdings" w:hAnsi="Wingdings" w:hint="default"/>
      </w:rPr>
    </w:lvl>
    <w:lvl w:ilvl="8" w:tplc="BCEE6E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33EB8"/>
    <w:multiLevelType w:val="hybridMultilevel"/>
    <w:tmpl w:val="D042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8635F"/>
    <w:multiLevelType w:val="hybridMultilevel"/>
    <w:tmpl w:val="05B690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83EBB"/>
    <w:multiLevelType w:val="hybridMultilevel"/>
    <w:tmpl w:val="CBB0D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F5A88"/>
    <w:multiLevelType w:val="hybridMultilevel"/>
    <w:tmpl w:val="D29070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9"/>
  </w:num>
  <w:num w:numId="5">
    <w:abstractNumId w:val="1"/>
  </w:num>
  <w:num w:numId="6">
    <w:abstractNumId w:val="13"/>
  </w:num>
  <w:num w:numId="7">
    <w:abstractNumId w:val="7"/>
  </w:num>
  <w:num w:numId="8">
    <w:abstractNumId w:val="20"/>
  </w:num>
  <w:num w:numId="9">
    <w:abstractNumId w:val="3"/>
  </w:num>
  <w:num w:numId="10">
    <w:abstractNumId w:val="18"/>
  </w:num>
  <w:num w:numId="11">
    <w:abstractNumId w:val="6"/>
  </w:num>
  <w:num w:numId="12">
    <w:abstractNumId w:val="2"/>
  </w:num>
  <w:num w:numId="13">
    <w:abstractNumId w:val="17"/>
  </w:num>
  <w:num w:numId="14">
    <w:abstractNumId w:val="11"/>
  </w:num>
  <w:num w:numId="15">
    <w:abstractNumId w:val="5"/>
  </w:num>
  <w:num w:numId="16">
    <w:abstractNumId w:val="4"/>
  </w:num>
  <w:num w:numId="17">
    <w:abstractNumId w:val="10"/>
  </w:num>
  <w:num w:numId="18">
    <w:abstractNumId w:val="16"/>
  </w:num>
  <w:num w:numId="19">
    <w:abstractNumId w:val="12"/>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04080"/>
    <w:rsid w:val="000129E7"/>
    <w:rsid w:val="000210D4"/>
    <w:rsid w:val="000223F7"/>
    <w:rsid w:val="000362ED"/>
    <w:rsid w:val="00063016"/>
    <w:rsid w:val="00063C5B"/>
    <w:rsid w:val="00065FE6"/>
    <w:rsid w:val="00066795"/>
    <w:rsid w:val="00076AF6"/>
    <w:rsid w:val="00085BA5"/>
    <w:rsid w:val="00085CF2"/>
    <w:rsid w:val="00097670"/>
    <w:rsid w:val="000A7373"/>
    <w:rsid w:val="000B1705"/>
    <w:rsid w:val="000D75B2"/>
    <w:rsid w:val="000E25AD"/>
    <w:rsid w:val="000E2E8B"/>
    <w:rsid w:val="000E322E"/>
    <w:rsid w:val="000F365A"/>
    <w:rsid w:val="00106E78"/>
    <w:rsid w:val="001115A7"/>
    <w:rsid w:val="001121F5"/>
    <w:rsid w:val="001400DC"/>
    <w:rsid w:val="00140CE1"/>
    <w:rsid w:val="00144499"/>
    <w:rsid w:val="0015052F"/>
    <w:rsid w:val="0016240C"/>
    <w:rsid w:val="0017539C"/>
    <w:rsid w:val="00175AC2"/>
    <w:rsid w:val="0017609F"/>
    <w:rsid w:val="0017760A"/>
    <w:rsid w:val="0018631B"/>
    <w:rsid w:val="0019343C"/>
    <w:rsid w:val="001B14A3"/>
    <w:rsid w:val="001B6AA9"/>
    <w:rsid w:val="001B7EC3"/>
    <w:rsid w:val="001C5B1F"/>
    <w:rsid w:val="001C628E"/>
    <w:rsid w:val="001E0F7B"/>
    <w:rsid w:val="002119FD"/>
    <w:rsid w:val="002130E0"/>
    <w:rsid w:val="00217F16"/>
    <w:rsid w:val="00221384"/>
    <w:rsid w:val="00221C5E"/>
    <w:rsid w:val="0023439A"/>
    <w:rsid w:val="00254DBA"/>
    <w:rsid w:val="00263E47"/>
    <w:rsid w:val="00264425"/>
    <w:rsid w:val="00265875"/>
    <w:rsid w:val="0027303B"/>
    <w:rsid w:val="0027559F"/>
    <w:rsid w:val="0027757D"/>
    <w:rsid w:val="0028109B"/>
    <w:rsid w:val="002975FA"/>
    <w:rsid w:val="002A1F61"/>
    <w:rsid w:val="002A2188"/>
    <w:rsid w:val="002B1F58"/>
    <w:rsid w:val="002B581A"/>
    <w:rsid w:val="002C1C7A"/>
    <w:rsid w:val="002F246F"/>
    <w:rsid w:val="002F5E0B"/>
    <w:rsid w:val="0030160F"/>
    <w:rsid w:val="00320A49"/>
    <w:rsid w:val="003222BC"/>
    <w:rsid w:val="00322D0D"/>
    <w:rsid w:val="00323128"/>
    <w:rsid w:val="003235E9"/>
    <w:rsid w:val="003275A9"/>
    <w:rsid w:val="0033275D"/>
    <w:rsid w:val="003536D5"/>
    <w:rsid w:val="003627B7"/>
    <w:rsid w:val="00365BA0"/>
    <w:rsid w:val="00380B46"/>
    <w:rsid w:val="0038741B"/>
    <w:rsid w:val="003942D4"/>
    <w:rsid w:val="003958A8"/>
    <w:rsid w:val="003A2A22"/>
    <w:rsid w:val="003C2533"/>
    <w:rsid w:val="003E4297"/>
    <w:rsid w:val="003E6369"/>
    <w:rsid w:val="003E7BC9"/>
    <w:rsid w:val="003F025D"/>
    <w:rsid w:val="003F2546"/>
    <w:rsid w:val="003F6024"/>
    <w:rsid w:val="0040435A"/>
    <w:rsid w:val="00416A24"/>
    <w:rsid w:val="00424840"/>
    <w:rsid w:val="00426E5E"/>
    <w:rsid w:val="00431D9E"/>
    <w:rsid w:val="00433CE8"/>
    <w:rsid w:val="00434A5C"/>
    <w:rsid w:val="00452031"/>
    <w:rsid w:val="004544D9"/>
    <w:rsid w:val="0046013D"/>
    <w:rsid w:val="00460C62"/>
    <w:rsid w:val="0046535C"/>
    <w:rsid w:val="00486FE1"/>
    <w:rsid w:val="00490E72"/>
    <w:rsid w:val="00491157"/>
    <w:rsid w:val="004921C8"/>
    <w:rsid w:val="004A7F02"/>
    <w:rsid w:val="004C6B7F"/>
    <w:rsid w:val="004D1851"/>
    <w:rsid w:val="004D599D"/>
    <w:rsid w:val="004E2EA5"/>
    <w:rsid w:val="004E3AEB"/>
    <w:rsid w:val="0050223C"/>
    <w:rsid w:val="00517858"/>
    <w:rsid w:val="00522EBD"/>
    <w:rsid w:val="005243FF"/>
    <w:rsid w:val="00525B5E"/>
    <w:rsid w:val="005350A9"/>
    <w:rsid w:val="00535CA2"/>
    <w:rsid w:val="00550448"/>
    <w:rsid w:val="0055619B"/>
    <w:rsid w:val="00556459"/>
    <w:rsid w:val="00557EC1"/>
    <w:rsid w:val="00564FBC"/>
    <w:rsid w:val="00570077"/>
    <w:rsid w:val="00582442"/>
    <w:rsid w:val="005827EA"/>
    <w:rsid w:val="00595381"/>
    <w:rsid w:val="005B0BCB"/>
    <w:rsid w:val="005B2B62"/>
    <w:rsid w:val="005C4EE0"/>
    <w:rsid w:val="005C6D08"/>
    <w:rsid w:val="005D489E"/>
    <w:rsid w:val="005E5D63"/>
    <w:rsid w:val="005E7953"/>
    <w:rsid w:val="005F3269"/>
    <w:rsid w:val="005F3D3C"/>
    <w:rsid w:val="006025C8"/>
    <w:rsid w:val="00615A40"/>
    <w:rsid w:val="00623AE3"/>
    <w:rsid w:val="006458E4"/>
    <w:rsid w:val="0064737F"/>
    <w:rsid w:val="006535F1"/>
    <w:rsid w:val="0065557D"/>
    <w:rsid w:val="00662984"/>
    <w:rsid w:val="00665F4E"/>
    <w:rsid w:val="00671065"/>
    <w:rsid w:val="006716BB"/>
    <w:rsid w:val="00696781"/>
    <w:rsid w:val="006A7506"/>
    <w:rsid w:val="006B0292"/>
    <w:rsid w:val="006B0CCE"/>
    <w:rsid w:val="006B5A7B"/>
    <w:rsid w:val="006B6680"/>
    <w:rsid w:val="006B6DCC"/>
    <w:rsid w:val="006C00DC"/>
    <w:rsid w:val="006C5922"/>
    <w:rsid w:val="006F5CA5"/>
    <w:rsid w:val="00702DEF"/>
    <w:rsid w:val="00702EC3"/>
    <w:rsid w:val="007034BC"/>
    <w:rsid w:val="00706861"/>
    <w:rsid w:val="007151AB"/>
    <w:rsid w:val="00727EC2"/>
    <w:rsid w:val="007304D8"/>
    <w:rsid w:val="00732DA4"/>
    <w:rsid w:val="00740FE3"/>
    <w:rsid w:val="0075051B"/>
    <w:rsid w:val="0077350D"/>
    <w:rsid w:val="00784D2D"/>
    <w:rsid w:val="007919DF"/>
    <w:rsid w:val="00793188"/>
    <w:rsid w:val="00794D34"/>
    <w:rsid w:val="007A2096"/>
    <w:rsid w:val="007A48A2"/>
    <w:rsid w:val="007A498F"/>
    <w:rsid w:val="007C26CB"/>
    <w:rsid w:val="007C53EA"/>
    <w:rsid w:val="007D768B"/>
    <w:rsid w:val="0080377E"/>
    <w:rsid w:val="00810A6F"/>
    <w:rsid w:val="00813E5E"/>
    <w:rsid w:val="00814496"/>
    <w:rsid w:val="00825780"/>
    <w:rsid w:val="0083581B"/>
    <w:rsid w:val="008366B2"/>
    <w:rsid w:val="00836A5B"/>
    <w:rsid w:val="00845BC9"/>
    <w:rsid w:val="00852C43"/>
    <w:rsid w:val="008550EA"/>
    <w:rsid w:val="00863D76"/>
    <w:rsid w:val="00864AFF"/>
    <w:rsid w:val="00865D19"/>
    <w:rsid w:val="00886FDB"/>
    <w:rsid w:val="008A1656"/>
    <w:rsid w:val="008A3AF1"/>
    <w:rsid w:val="008B44B5"/>
    <w:rsid w:val="008B4A6A"/>
    <w:rsid w:val="008B6D11"/>
    <w:rsid w:val="008C6286"/>
    <w:rsid w:val="008C7E27"/>
    <w:rsid w:val="008C7EBB"/>
    <w:rsid w:val="008E0788"/>
    <w:rsid w:val="009055AF"/>
    <w:rsid w:val="0090589C"/>
    <w:rsid w:val="009173EF"/>
    <w:rsid w:val="00931F65"/>
    <w:rsid w:val="00932906"/>
    <w:rsid w:val="00932FA5"/>
    <w:rsid w:val="00961B0B"/>
    <w:rsid w:val="009677B4"/>
    <w:rsid w:val="00967DEA"/>
    <w:rsid w:val="00976816"/>
    <w:rsid w:val="00997082"/>
    <w:rsid w:val="009A672F"/>
    <w:rsid w:val="009B38C3"/>
    <w:rsid w:val="009C5B7E"/>
    <w:rsid w:val="009D56E0"/>
    <w:rsid w:val="009D58BA"/>
    <w:rsid w:val="009E17BD"/>
    <w:rsid w:val="009E485A"/>
    <w:rsid w:val="009F3359"/>
    <w:rsid w:val="009F66A3"/>
    <w:rsid w:val="00A04CEC"/>
    <w:rsid w:val="00A05E80"/>
    <w:rsid w:val="00A06C6C"/>
    <w:rsid w:val="00A06DD9"/>
    <w:rsid w:val="00A20930"/>
    <w:rsid w:val="00A222DC"/>
    <w:rsid w:val="00A241B5"/>
    <w:rsid w:val="00A26D8C"/>
    <w:rsid w:val="00A27F92"/>
    <w:rsid w:val="00A32257"/>
    <w:rsid w:val="00A32710"/>
    <w:rsid w:val="00A36D20"/>
    <w:rsid w:val="00A50266"/>
    <w:rsid w:val="00A55622"/>
    <w:rsid w:val="00A64BF6"/>
    <w:rsid w:val="00A64D76"/>
    <w:rsid w:val="00A770F8"/>
    <w:rsid w:val="00A80E3A"/>
    <w:rsid w:val="00A83502"/>
    <w:rsid w:val="00A8382F"/>
    <w:rsid w:val="00A93619"/>
    <w:rsid w:val="00AA0657"/>
    <w:rsid w:val="00AA3D5F"/>
    <w:rsid w:val="00AB315B"/>
    <w:rsid w:val="00AB51C7"/>
    <w:rsid w:val="00AB6853"/>
    <w:rsid w:val="00AC297D"/>
    <w:rsid w:val="00AC47C8"/>
    <w:rsid w:val="00AC7662"/>
    <w:rsid w:val="00AD0A0B"/>
    <w:rsid w:val="00AD15B3"/>
    <w:rsid w:val="00AD3C26"/>
    <w:rsid w:val="00AE4ABD"/>
    <w:rsid w:val="00AE53B5"/>
    <w:rsid w:val="00AE70BF"/>
    <w:rsid w:val="00AF5F10"/>
    <w:rsid w:val="00AF6E49"/>
    <w:rsid w:val="00B00AFE"/>
    <w:rsid w:val="00B04A67"/>
    <w:rsid w:val="00B04BA9"/>
    <w:rsid w:val="00B0583C"/>
    <w:rsid w:val="00B21929"/>
    <w:rsid w:val="00B21EE8"/>
    <w:rsid w:val="00B23A1C"/>
    <w:rsid w:val="00B26845"/>
    <w:rsid w:val="00B339D9"/>
    <w:rsid w:val="00B33C35"/>
    <w:rsid w:val="00B40472"/>
    <w:rsid w:val="00B40A81"/>
    <w:rsid w:val="00B44910"/>
    <w:rsid w:val="00B64E75"/>
    <w:rsid w:val="00B72267"/>
    <w:rsid w:val="00B729BD"/>
    <w:rsid w:val="00B75C0B"/>
    <w:rsid w:val="00B76EB6"/>
    <w:rsid w:val="00B7737B"/>
    <w:rsid w:val="00B824C8"/>
    <w:rsid w:val="00B86B70"/>
    <w:rsid w:val="00B900A4"/>
    <w:rsid w:val="00B968D4"/>
    <w:rsid w:val="00B9771E"/>
    <w:rsid w:val="00BA58FD"/>
    <w:rsid w:val="00BA61C0"/>
    <w:rsid w:val="00BB6FAD"/>
    <w:rsid w:val="00BC251A"/>
    <w:rsid w:val="00BC6DA2"/>
    <w:rsid w:val="00BD032B"/>
    <w:rsid w:val="00BD0D4B"/>
    <w:rsid w:val="00BD3FB7"/>
    <w:rsid w:val="00BD661E"/>
    <w:rsid w:val="00BE2640"/>
    <w:rsid w:val="00BE733A"/>
    <w:rsid w:val="00C01189"/>
    <w:rsid w:val="00C07DE7"/>
    <w:rsid w:val="00C12DBE"/>
    <w:rsid w:val="00C374DE"/>
    <w:rsid w:val="00C445B8"/>
    <w:rsid w:val="00C45C49"/>
    <w:rsid w:val="00C47AD4"/>
    <w:rsid w:val="00C52D81"/>
    <w:rsid w:val="00C55198"/>
    <w:rsid w:val="00C61363"/>
    <w:rsid w:val="00C733C6"/>
    <w:rsid w:val="00C82908"/>
    <w:rsid w:val="00C83CC6"/>
    <w:rsid w:val="00C86A89"/>
    <w:rsid w:val="00CA5AD3"/>
    <w:rsid w:val="00CA6393"/>
    <w:rsid w:val="00CB18FF"/>
    <w:rsid w:val="00CC650C"/>
    <w:rsid w:val="00CD0C08"/>
    <w:rsid w:val="00CE03FB"/>
    <w:rsid w:val="00CE433C"/>
    <w:rsid w:val="00CF0C97"/>
    <w:rsid w:val="00CF204F"/>
    <w:rsid w:val="00CF33F3"/>
    <w:rsid w:val="00CF721F"/>
    <w:rsid w:val="00D06183"/>
    <w:rsid w:val="00D22C42"/>
    <w:rsid w:val="00D241E7"/>
    <w:rsid w:val="00D3022B"/>
    <w:rsid w:val="00D338E0"/>
    <w:rsid w:val="00D34C36"/>
    <w:rsid w:val="00D62B67"/>
    <w:rsid w:val="00D65041"/>
    <w:rsid w:val="00D70724"/>
    <w:rsid w:val="00D818E4"/>
    <w:rsid w:val="00D97E3C"/>
    <w:rsid w:val="00DA4BA6"/>
    <w:rsid w:val="00DB384B"/>
    <w:rsid w:val="00DC0DA4"/>
    <w:rsid w:val="00DC2B78"/>
    <w:rsid w:val="00DC4B17"/>
    <w:rsid w:val="00E031CD"/>
    <w:rsid w:val="00E0748E"/>
    <w:rsid w:val="00E10E80"/>
    <w:rsid w:val="00E124F0"/>
    <w:rsid w:val="00E16155"/>
    <w:rsid w:val="00E162EE"/>
    <w:rsid w:val="00E333E7"/>
    <w:rsid w:val="00E409D7"/>
    <w:rsid w:val="00E43814"/>
    <w:rsid w:val="00E50675"/>
    <w:rsid w:val="00E51B00"/>
    <w:rsid w:val="00E55523"/>
    <w:rsid w:val="00E60424"/>
    <w:rsid w:val="00E60F04"/>
    <w:rsid w:val="00E67658"/>
    <w:rsid w:val="00E854E4"/>
    <w:rsid w:val="00EA586F"/>
    <w:rsid w:val="00EB0D6F"/>
    <w:rsid w:val="00EB2232"/>
    <w:rsid w:val="00EB429A"/>
    <w:rsid w:val="00EC5337"/>
    <w:rsid w:val="00EC7221"/>
    <w:rsid w:val="00ED52CB"/>
    <w:rsid w:val="00EE3D15"/>
    <w:rsid w:val="00F17825"/>
    <w:rsid w:val="00F2150A"/>
    <w:rsid w:val="00F231D8"/>
    <w:rsid w:val="00F2418A"/>
    <w:rsid w:val="00F37F23"/>
    <w:rsid w:val="00F424F1"/>
    <w:rsid w:val="00F46C5F"/>
    <w:rsid w:val="00F64AC6"/>
    <w:rsid w:val="00F74BB0"/>
    <w:rsid w:val="00F80644"/>
    <w:rsid w:val="00F94A63"/>
    <w:rsid w:val="00F974E7"/>
    <w:rsid w:val="00FA1C28"/>
    <w:rsid w:val="00FB1279"/>
    <w:rsid w:val="00FB7596"/>
    <w:rsid w:val="00FC628C"/>
    <w:rsid w:val="00FC7E1A"/>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AD0A0B"/>
    <w:pPr>
      <w:framePr w:hSpace="180" w:wrap="around" w:hAnchor="margin" w:y="-675"/>
      <w:spacing w:before="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aliases w:val="Recommendation,List Paragraph11"/>
    <w:basedOn w:val="Normal"/>
    <w:link w:val="ListParagraphChar"/>
    <w:uiPriority w:val="34"/>
    <w:qFormat/>
    <w:rsid w:val="000E322E"/>
    <w:pPr>
      <w:ind w:left="720"/>
      <w:contextualSpacing/>
    </w:pPr>
  </w:style>
  <w:style w:type="paragraph" w:styleId="ListBullet">
    <w:name w:val="List Bullet"/>
    <w:basedOn w:val="Normal"/>
    <w:uiPriority w:val="99"/>
    <w:unhideWhenUsed/>
    <w:rsid w:val="00696781"/>
    <w:pPr>
      <w:numPr>
        <w:numId w:val="5"/>
      </w:numPr>
      <w:tabs>
        <w:tab w:val="clear" w:pos="567"/>
        <w:tab w:val="clear" w:pos="1134"/>
        <w:tab w:val="clear" w:pos="1701"/>
        <w:tab w:val="clear" w:pos="2268"/>
        <w:tab w:val="clear" w:pos="2835"/>
      </w:tabs>
      <w:overflowPunct/>
      <w:autoSpaceDE/>
      <w:autoSpaceDN/>
      <w:adjustRightInd/>
      <w:spacing w:before="0" w:after="60" w:line="281" w:lineRule="auto"/>
      <w:textAlignment w:val="auto"/>
    </w:pPr>
    <w:rPr>
      <w:rFonts w:asciiTheme="minorHAnsi" w:eastAsiaTheme="minorHAnsi" w:hAnsiTheme="minorHAnsi" w:cstheme="minorBidi"/>
      <w:sz w:val="17"/>
      <w:szCs w:val="17"/>
    </w:rPr>
  </w:style>
  <w:style w:type="paragraph" w:customStyle="1" w:styleId="Listnum">
    <w:name w:val="List num"/>
    <w:basedOn w:val="ListBullet"/>
    <w:qFormat/>
    <w:rsid w:val="00696781"/>
    <w:pPr>
      <w:numPr>
        <w:numId w:val="4"/>
      </w:numPr>
    </w:pPr>
    <w:rPr>
      <w:rFonts w:cstheme="minorHAnsi"/>
      <w:bCs/>
      <w:lang w:eastAsia="fr-CH"/>
    </w:rPr>
  </w:style>
  <w:style w:type="paragraph" w:styleId="BalloonText">
    <w:name w:val="Balloon Text"/>
    <w:basedOn w:val="Normal"/>
    <w:link w:val="BalloonTextChar"/>
    <w:semiHidden/>
    <w:unhideWhenUsed/>
    <w:rsid w:val="00460C6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60C62"/>
    <w:rPr>
      <w:rFonts w:ascii="Segoe UI" w:hAnsi="Segoe UI" w:cs="Segoe UI"/>
      <w:sz w:val="18"/>
      <w:szCs w:val="18"/>
      <w:lang w:val="en-GB" w:eastAsia="en-US"/>
    </w:rPr>
  </w:style>
  <w:style w:type="table" w:styleId="ListTable3-Accent1">
    <w:name w:val="List Table 3 Accent 1"/>
    <w:basedOn w:val="TableNormal"/>
    <w:uiPriority w:val="48"/>
    <w:rsid w:val="00C45C49"/>
    <w:rPr>
      <w:rFonts w:ascii="Georgia" w:eastAsiaTheme="minorHAnsi" w:hAnsi="Georgia" w:cstheme="minorBidi"/>
      <w:szCs w:val="22"/>
      <w:lang w:eastAsia="en-US"/>
    </w:rPr>
    <w:tblPr>
      <w:tblStyleRowBandSize w:val="1"/>
      <w:tblStyleColBandSize w:val="1"/>
      <w:tblBorders>
        <w:top w:val="single" w:sz="4" w:space="0" w:color="4F81BD" w:themeColor="accent1"/>
        <w:bottom w:val="single" w:sz="4" w:space="0" w:color="4F81BD" w:themeColor="accent1"/>
      </w:tblBorders>
      <w:tblCellMar>
        <w:top w:w="28" w:type="dxa"/>
        <w:bottom w:w="28" w:type="dxa"/>
      </w:tblCellMar>
    </w:tblPr>
    <w:tblStylePr w:type="firstRow">
      <w:pPr>
        <w:wordWrap/>
        <w:spacing w:beforeLines="0" w:before="60" w:beforeAutospacing="0" w:afterLines="0" w:after="60" w:afterAutospacing="0" w:line="281" w:lineRule="auto"/>
        <w:contextualSpacing w:val="0"/>
      </w:pPr>
      <w:rPr>
        <w:b/>
        <w:bCs/>
        <w:color w:val="FFFFFF" w:themeColor="background1"/>
      </w:rPr>
      <w:tblPr/>
      <w:tcPr>
        <w:shd w:val="clear" w:color="auto" w:fill="4F81BD" w:themeFill="accent1"/>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semiHidden/>
    <w:unhideWhenUsed/>
    <w:rsid w:val="00845BC9"/>
    <w:rPr>
      <w:sz w:val="16"/>
      <w:szCs w:val="16"/>
    </w:rPr>
  </w:style>
  <w:style w:type="paragraph" w:styleId="CommentText">
    <w:name w:val="annotation text"/>
    <w:basedOn w:val="Normal"/>
    <w:link w:val="CommentTextChar"/>
    <w:semiHidden/>
    <w:unhideWhenUsed/>
    <w:rsid w:val="00845BC9"/>
    <w:rPr>
      <w:sz w:val="20"/>
    </w:rPr>
  </w:style>
  <w:style w:type="character" w:customStyle="1" w:styleId="CommentTextChar">
    <w:name w:val="Comment Text Char"/>
    <w:basedOn w:val="DefaultParagraphFont"/>
    <w:link w:val="CommentText"/>
    <w:semiHidden/>
    <w:rsid w:val="00845BC9"/>
    <w:rPr>
      <w:rFonts w:ascii="Calibri" w:hAnsi="Calibri"/>
      <w:lang w:val="en-GB" w:eastAsia="en-US"/>
    </w:rPr>
  </w:style>
  <w:style w:type="paragraph" w:styleId="CommentSubject">
    <w:name w:val="annotation subject"/>
    <w:basedOn w:val="CommentText"/>
    <w:next w:val="CommentText"/>
    <w:link w:val="CommentSubjectChar"/>
    <w:semiHidden/>
    <w:unhideWhenUsed/>
    <w:rsid w:val="00845BC9"/>
    <w:rPr>
      <w:b/>
      <w:bCs/>
    </w:rPr>
  </w:style>
  <w:style w:type="character" w:customStyle="1" w:styleId="CommentSubjectChar">
    <w:name w:val="Comment Subject Char"/>
    <w:basedOn w:val="CommentTextChar"/>
    <w:link w:val="CommentSubject"/>
    <w:semiHidden/>
    <w:rsid w:val="00845BC9"/>
    <w:rPr>
      <w:rFonts w:ascii="Calibri" w:hAnsi="Calibri"/>
      <w:b/>
      <w:bCs/>
      <w:lang w:val="en-GB" w:eastAsia="en-US"/>
    </w:rPr>
  </w:style>
  <w:style w:type="paragraph" w:styleId="Revision">
    <w:name w:val="Revision"/>
    <w:hidden/>
    <w:uiPriority w:val="99"/>
    <w:semiHidden/>
    <w:rsid w:val="00D97E3C"/>
    <w:rPr>
      <w:rFonts w:ascii="Calibri" w:hAnsi="Calibri"/>
      <w:sz w:val="24"/>
      <w:lang w:val="en-GB" w:eastAsia="en-US"/>
    </w:rPr>
  </w:style>
  <w:style w:type="character" w:styleId="UnresolvedMention">
    <w:name w:val="Unresolved Mention"/>
    <w:basedOn w:val="DefaultParagraphFont"/>
    <w:uiPriority w:val="99"/>
    <w:semiHidden/>
    <w:unhideWhenUsed/>
    <w:rsid w:val="00852C43"/>
    <w:rPr>
      <w:color w:val="605E5C"/>
      <w:shd w:val="clear" w:color="auto" w:fill="E1DFDD"/>
    </w:rPr>
  </w:style>
  <w:style w:type="paragraph" w:customStyle="1" w:styleId="Fixed">
    <w:name w:val="Fixed"/>
    <w:rsid w:val="005C4EE0"/>
    <w:pPr>
      <w:widowControl w:val="0"/>
      <w:autoSpaceDE w:val="0"/>
      <w:autoSpaceDN w:val="0"/>
      <w:adjustRightInd w:val="0"/>
      <w:spacing w:line="285" w:lineRule="atLeast"/>
      <w:ind w:right="676"/>
    </w:pPr>
    <w:rPr>
      <w:rFonts w:ascii="Courier New" w:hAnsi="Courier New" w:cs="Courier New"/>
      <w:sz w:val="24"/>
      <w:szCs w:val="24"/>
      <w:lang w:eastAsia="en-US"/>
    </w:rPr>
  </w:style>
  <w:style w:type="character" w:customStyle="1" w:styleId="ListParagraphChar">
    <w:name w:val="List Paragraph Char"/>
    <w:aliases w:val="Recommendation Char,List Paragraph11 Char"/>
    <w:link w:val="ListParagraph"/>
    <w:uiPriority w:val="34"/>
    <w:locked/>
    <w:rsid w:val="00085BA5"/>
    <w:rPr>
      <w:rFonts w:ascii="Calibri" w:hAnsi="Calibri"/>
      <w:sz w:val="24"/>
      <w:lang w:val="en-GB" w:eastAsia="en-US"/>
    </w:rPr>
  </w:style>
  <w:style w:type="character" w:customStyle="1" w:styleId="HeaderChar">
    <w:name w:val="Header Char"/>
    <w:basedOn w:val="DefaultParagraphFont"/>
    <w:link w:val="Header"/>
    <w:uiPriority w:val="99"/>
    <w:rsid w:val="00F17825"/>
    <w:rPr>
      <w:rFonts w:ascii="Calibri" w:hAnsi="Calibr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755">
      <w:bodyDiv w:val="1"/>
      <w:marLeft w:val="0"/>
      <w:marRight w:val="0"/>
      <w:marTop w:val="0"/>
      <w:marBottom w:val="0"/>
      <w:divBdr>
        <w:top w:val="none" w:sz="0" w:space="0" w:color="auto"/>
        <w:left w:val="none" w:sz="0" w:space="0" w:color="auto"/>
        <w:bottom w:val="none" w:sz="0" w:space="0" w:color="auto"/>
        <w:right w:val="none" w:sz="0" w:space="0" w:color="auto"/>
      </w:divBdr>
      <w:divsChild>
        <w:div w:id="1741056298">
          <w:marLeft w:val="1123"/>
          <w:marRight w:val="0"/>
          <w:marTop w:val="200"/>
          <w:marBottom w:val="0"/>
          <w:divBdr>
            <w:top w:val="none" w:sz="0" w:space="0" w:color="auto"/>
            <w:left w:val="none" w:sz="0" w:space="0" w:color="auto"/>
            <w:bottom w:val="none" w:sz="0" w:space="0" w:color="auto"/>
            <w:right w:val="none" w:sz="0" w:space="0" w:color="auto"/>
          </w:divBdr>
        </w:div>
        <w:div w:id="1722552027">
          <w:marLeft w:val="1123"/>
          <w:marRight w:val="0"/>
          <w:marTop w:val="200"/>
          <w:marBottom w:val="0"/>
          <w:divBdr>
            <w:top w:val="none" w:sz="0" w:space="0" w:color="auto"/>
            <w:left w:val="none" w:sz="0" w:space="0" w:color="auto"/>
            <w:bottom w:val="none" w:sz="0" w:space="0" w:color="auto"/>
            <w:right w:val="none" w:sz="0" w:space="0" w:color="auto"/>
          </w:divBdr>
        </w:div>
        <w:div w:id="474687371">
          <w:marLeft w:val="1123"/>
          <w:marRight w:val="0"/>
          <w:marTop w:val="200"/>
          <w:marBottom w:val="0"/>
          <w:divBdr>
            <w:top w:val="none" w:sz="0" w:space="0" w:color="auto"/>
            <w:left w:val="none" w:sz="0" w:space="0" w:color="auto"/>
            <w:bottom w:val="none" w:sz="0" w:space="0" w:color="auto"/>
            <w:right w:val="none" w:sz="0" w:space="0" w:color="auto"/>
          </w:divBdr>
        </w:div>
      </w:divsChild>
    </w:div>
    <w:div w:id="1375736402">
      <w:bodyDiv w:val="1"/>
      <w:marLeft w:val="0"/>
      <w:marRight w:val="0"/>
      <w:marTop w:val="0"/>
      <w:marBottom w:val="0"/>
      <w:divBdr>
        <w:top w:val="none" w:sz="0" w:space="0" w:color="auto"/>
        <w:left w:val="none" w:sz="0" w:space="0" w:color="auto"/>
        <w:bottom w:val="none" w:sz="0" w:space="0" w:color="auto"/>
        <w:right w:val="none" w:sz="0" w:space="0" w:color="auto"/>
      </w:divBdr>
      <w:divsChild>
        <w:div w:id="1464034340">
          <w:marLeft w:val="1123"/>
          <w:marRight w:val="0"/>
          <w:marTop w:val="200"/>
          <w:marBottom w:val="0"/>
          <w:divBdr>
            <w:top w:val="none" w:sz="0" w:space="0" w:color="auto"/>
            <w:left w:val="none" w:sz="0" w:space="0" w:color="auto"/>
            <w:bottom w:val="none" w:sz="0" w:space="0" w:color="auto"/>
            <w:right w:val="none" w:sz="0" w:space="0" w:color="auto"/>
          </w:divBdr>
        </w:div>
        <w:div w:id="2096171301">
          <w:marLeft w:val="1123"/>
          <w:marRight w:val="0"/>
          <w:marTop w:val="200"/>
          <w:marBottom w:val="0"/>
          <w:divBdr>
            <w:top w:val="none" w:sz="0" w:space="0" w:color="auto"/>
            <w:left w:val="none" w:sz="0" w:space="0" w:color="auto"/>
            <w:bottom w:val="none" w:sz="0" w:space="0" w:color="auto"/>
            <w:right w:val="none" w:sz="0" w:space="0" w:color="auto"/>
          </w:divBdr>
        </w:div>
        <w:div w:id="2077320792">
          <w:marLeft w:val="1123"/>
          <w:marRight w:val="0"/>
          <w:marTop w:val="200"/>
          <w:marBottom w:val="0"/>
          <w:divBdr>
            <w:top w:val="none" w:sz="0" w:space="0" w:color="auto"/>
            <w:left w:val="none" w:sz="0" w:space="0" w:color="auto"/>
            <w:bottom w:val="none" w:sz="0" w:space="0" w:color="auto"/>
            <w:right w:val="none" w:sz="0" w:space="0" w:color="auto"/>
          </w:divBdr>
        </w:div>
      </w:divsChild>
    </w:div>
    <w:div w:id="1419981416">
      <w:bodyDiv w:val="1"/>
      <w:marLeft w:val="0"/>
      <w:marRight w:val="0"/>
      <w:marTop w:val="0"/>
      <w:marBottom w:val="0"/>
      <w:divBdr>
        <w:top w:val="none" w:sz="0" w:space="0" w:color="auto"/>
        <w:left w:val="none" w:sz="0" w:space="0" w:color="auto"/>
        <w:bottom w:val="none" w:sz="0" w:space="0" w:color="auto"/>
        <w:right w:val="none" w:sz="0" w:space="0" w:color="auto"/>
      </w:divBdr>
      <w:divsChild>
        <w:div w:id="1003822503">
          <w:marLeft w:val="1123"/>
          <w:marRight w:val="0"/>
          <w:marTop w:val="0"/>
          <w:marBottom w:val="0"/>
          <w:divBdr>
            <w:top w:val="none" w:sz="0" w:space="0" w:color="auto"/>
            <w:left w:val="none" w:sz="0" w:space="0" w:color="auto"/>
            <w:bottom w:val="none" w:sz="0" w:space="0" w:color="auto"/>
            <w:right w:val="none" w:sz="0" w:space="0" w:color="auto"/>
          </w:divBdr>
        </w:div>
        <w:div w:id="1793399835">
          <w:marLeft w:val="1843"/>
          <w:marRight w:val="0"/>
          <w:marTop w:val="0"/>
          <w:marBottom w:val="0"/>
          <w:divBdr>
            <w:top w:val="none" w:sz="0" w:space="0" w:color="auto"/>
            <w:left w:val="none" w:sz="0" w:space="0" w:color="auto"/>
            <w:bottom w:val="none" w:sz="0" w:space="0" w:color="auto"/>
            <w:right w:val="none" w:sz="0" w:space="0" w:color="auto"/>
          </w:divBdr>
        </w:div>
        <w:div w:id="1671447864">
          <w:marLeft w:val="1843"/>
          <w:marRight w:val="0"/>
          <w:marTop w:val="0"/>
          <w:marBottom w:val="0"/>
          <w:divBdr>
            <w:top w:val="none" w:sz="0" w:space="0" w:color="auto"/>
            <w:left w:val="none" w:sz="0" w:space="0" w:color="auto"/>
            <w:bottom w:val="none" w:sz="0" w:space="0" w:color="auto"/>
            <w:right w:val="none" w:sz="0" w:space="0" w:color="auto"/>
          </w:divBdr>
        </w:div>
        <w:div w:id="1613052791">
          <w:marLeft w:val="184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0-CL-C-0075/en" TargetMode="External"/><Relationship Id="rId18" Type="http://schemas.openxmlformats.org/officeDocument/2006/relationships/hyperlink" Target="https://www.itu.int/md/S21-AHGFHR1-C-0004/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S21-AHGFHR2-C-0003/en" TargetMode="External"/><Relationship Id="rId7" Type="http://schemas.openxmlformats.org/officeDocument/2006/relationships/endnotes" Target="endnotes.xml"/><Relationship Id="rId12" Type="http://schemas.openxmlformats.org/officeDocument/2006/relationships/hyperlink" Target="https://www.itu.int/md/S20-CL-C-0074/en" TargetMode="External"/><Relationship Id="rId17" Type="http://schemas.openxmlformats.org/officeDocument/2006/relationships/hyperlink" Target="https://www.itu.int/md/S21-AHGFHR1-C-0005/en" TargetMode="External"/><Relationship Id="rId25" Type="http://schemas.openxmlformats.org/officeDocument/2006/relationships/hyperlink" Target="https://www.itu.int/md/S21-AHGFHR2-C-0002/en" TargetMode="External"/><Relationship Id="rId2" Type="http://schemas.openxmlformats.org/officeDocument/2006/relationships/numbering" Target="numbering.xml"/><Relationship Id="rId16" Type="http://schemas.openxmlformats.org/officeDocument/2006/relationships/hyperlink" Target="https://www.itu.int/md/S21-AHGFHR1-C-0002/en" TargetMode="External"/><Relationship Id="rId20" Type="http://schemas.openxmlformats.org/officeDocument/2006/relationships/hyperlink" Target="https://www.itu.int/md/S21-AHGFHR1-C-0006/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025/en" TargetMode="External"/><Relationship Id="rId24" Type="http://schemas.openxmlformats.org/officeDocument/2006/relationships/hyperlink" Target="https://www.itu.int/md/S21-AHGFHR2-C-0006/en" TargetMode="External"/><Relationship Id="rId5" Type="http://schemas.openxmlformats.org/officeDocument/2006/relationships/webSettings" Target="webSettings.xml"/><Relationship Id="rId15" Type="http://schemas.openxmlformats.org/officeDocument/2006/relationships/hyperlink" Target="https://www.itu.int/md/S21-AHGFHR1-C-0003/en" TargetMode="External"/><Relationship Id="rId23" Type="http://schemas.openxmlformats.org/officeDocument/2006/relationships/hyperlink" Target="https://www.itu.int/md/S21-AHGFHR2-C-0005/en" TargetMode="External"/><Relationship Id="rId28" Type="http://schemas.openxmlformats.org/officeDocument/2006/relationships/footer" Target="footer1.xml"/><Relationship Id="rId10" Type="http://schemas.openxmlformats.org/officeDocument/2006/relationships/hyperlink" Target="https://www.itu.int/md/S19-CL-C-0133/en" TargetMode="External"/><Relationship Id="rId19" Type="http://schemas.openxmlformats.org/officeDocument/2006/relationships/hyperlink" Target="https://www.itu.int/md/S21-AHGFHR1-C-0006/en" TargetMode="External"/><Relationship Id="rId4" Type="http://schemas.openxmlformats.org/officeDocument/2006/relationships/settings" Target="settings.xml"/><Relationship Id="rId9" Type="http://schemas.openxmlformats.org/officeDocument/2006/relationships/hyperlink" Target="https://www.itu.int/en/council/Documents/basic-texts/RES-025-E.pdf" TargetMode="External"/><Relationship Id="rId14" Type="http://schemas.openxmlformats.org/officeDocument/2006/relationships/hyperlink" Target="https://www.itu.int/md/S21-CWGFHR12-C-0017/en" TargetMode="External"/><Relationship Id="rId22" Type="http://schemas.openxmlformats.org/officeDocument/2006/relationships/hyperlink" Target="https://www.itu.int/md/S21-AHGFHR2-C-0004/en"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63E-0BE0-44B2-8BB2-30F5427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7948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C20 template</vt:lpstr>
    </vt:vector>
  </TitlesOfParts>
  <Manager>General Secretariat - Pool</Manager>
  <Company>International Telecommunication Union (ITU)</Company>
  <LinksUpToDate>false</LinksUpToDate>
  <CharactersWithSpaces>9171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AHG to the CWG-FHR</dc:title>
  <dc:subject>Council working Group on Financial and Human Resources</dc:subject>
  <dc:creator>Brouard, Ricarda</dc:creator>
  <cp:keywords>CWG-FHR</cp:keywords>
  <dc:description/>
  <cp:lastModifiedBy>Brouard, Ricarda</cp:lastModifiedBy>
  <cp:revision>2</cp:revision>
  <cp:lastPrinted>2000-07-18T13:30:00Z</cp:lastPrinted>
  <dcterms:created xsi:type="dcterms:W3CDTF">2021-05-21T06:38:00Z</dcterms:created>
  <dcterms:modified xsi:type="dcterms:W3CDTF">2021-05-21T06:38:00Z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