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3EB98" w14:textId="29897425" w:rsidR="00B915C1" w:rsidRPr="00BD0203" w:rsidRDefault="00B915C1" w:rsidP="005A232E">
      <w:pPr>
        <w:jc w:val="center"/>
        <w:rPr>
          <w:rFonts w:asciiTheme="minorHAnsi" w:hAnsiTheme="minorHAnsi" w:cstheme="minorHAnsi"/>
          <w:sz w:val="32"/>
          <w:szCs w:val="32"/>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RPr="00BD0203" w14:paraId="418E5B0C" w14:textId="77777777" w:rsidTr="000F2E67">
        <w:trPr>
          <w:cantSplit/>
        </w:trPr>
        <w:tc>
          <w:tcPr>
            <w:tcW w:w="6521" w:type="dxa"/>
          </w:tcPr>
          <w:p w14:paraId="7231E528" w14:textId="77777777" w:rsidR="004E5922" w:rsidRPr="00BD0203" w:rsidRDefault="000F2E67" w:rsidP="00815174">
            <w:pPr>
              <w:spacing w:before="240" w:after="48"/>
              <w:rPr>
                <w:rFonts w:asciiTheme="minorHAnsi" w:hAnsiTheme="minorHAnsi" w:cstheme="minorHAnsi"/>
                <w:b/>
                <w:position w:val="6"/>
                <w:sz w:val="30"/>
                <w:szCs w:val="30"/>
              </w:rPr>
            </w:pPr>
            <w:bookmarkStart w:id="0" w:name="dc06"/>
            <w:bookmarkEnd w:id="0"/>
            <w:r w:rsidRPr="00BD0203">
              <w:rPr>
                <w:rFonts w:asciiTheme="minorHAnsi" w:hAnsiTheme="minorHAnsi" w:cstheme="minorHAnsi"/>
                <w:b/>
                <w:position w:val="6"/>
                <w:sz w:val="30"/>
                <w:szCs w:val="30"/>
              </w:rPr>
              <w:t xml:space="preserve">Council Working Group on </w:t>
            </w:r>
            <w:r w:rsidR="00815174" w:rsidRPr="00BD0203">
              <w:rPr>
                <w:rFonts w:asciiTheme="minorHAnsi" w:hAnsiTheme="minorHAnsi" w:cstheme="minorHAnsi"/>
                <w:b/>
                <w:position w:val="6"/>
                <w:sz w:val="30"/>
                <w:szCs w:val="30"/>
              </w:rPr>
              <w:br/>
              <w:t>Financial and Human Resources</w:t>
            </w:r>
          </w:p>
          <w:p w14:paraId="7F311F8C" w14:textId="260F5B30" w:rsidR="005F153A" w:rsidRPr="00BD0203" w:rsidRDefault="00C01971" w:rsidP="00B72B57">
            <w:pPr>
              <w:spacing w:after="120"/>
              <w:rPr>
                <w:rFonts w:asciiTheme="minorHAnsi" w:hAnsiTheme="minorHAnsi" w:cstheme="minorHAnsi"/>
                <w:b/>
                <w:position w:val="6"/>
                <w:szCs w:val="22"/>
              </w:rPr>
            </w:pPr>
            <w:r w:rsidRPr="00BD0203">
              <w:rPr>
                <w:rFonts w:asciiTheme="minorHAnsi" w:hAnsiTheme="minorHAnsi" w:cstheme="minorHAnsi"/>
                <w:b/>
                <w:szCs w:val="22"/>
              </w:rPr>
              <w:t xml:space="preserve">Twelfth </w:t>
            </w:r>
            <w:r w:rsidR="001B506B" w:rsidRPr="00BD0203">
              <w:rPr>
                <w:rFonts w:asciiTheme="minorHAnsi" w:hAnsiTheme="minorHAnsi" w:cstheme="minorHAnsi"/>
                <w:b/>
                <w:szCs w:val="22"/>
              </w:rPr>
              <w:t xml:space="preserve">meeting </w:t>
            </w:r>
            <w:r w:rsidR="001B506B" w:rsidRPr="00BD0203">
              <w:rPr>
                <w:rFonts w:asciiTheme="minorHAnsi" w:eastAsia="Calibri" w:hAnsiTheme="minorHAnsi" w:cstheme="minorHAnsi"/>
                <w:b/>
                <w:color w:val="000000"/>
                <w:szCs w:val="22"/>
              </w:rPr>
              <w:t>–</w:t>
            </w:r>
            <w:r w:rsidR="005F153A" w:rsidRPr="00BD0203">
              <w:rPr>
                <w:rFonts w:asciiTheme="minorHAnsi" w:hAnsiTheme="minorHAnsi" w:cstheme="minorHAnsi"/>
                <w:b/>
                <w:szCs w:val="22"/>
              </w:rPr>
              <w:t xml:space="preserve"> </w:t>
            </w:r>
            <w:r w:rsidRPr="00BD0203">
              <w:rPr>
                <w:rFonts w:asciiTheme="minorHAnsi" w:hAnsiTheme="minorHAnsi" w:cstheme="minorHAnsi"/>
                <w:b/>
                <w:szCs w:val="22"/>
              </w:rPr>
              <w:t>Virtual</w:t>
            </w:r>
            <w:r w:rsidR="005F153A" w:rsidRPr="00BD0203">
              <w:rPr>
                <w:rFonts w:asciiTheme="minorHAnsi" w:hAnsiTheme="minorHAnsi" w:cstheme="minorHAnsi"/>
                <w:b/>
                <w:szCs w:val="22"/>
              </w:rPr>
              <w:t xml:space="preserve">, </w:t>
            </w:r>
            <w:r w:rsidRPr="00BD0203">
              <w:rPr>
                <w:rFonts w:asciiTheme="minorHAnsi" w:hAnsiTheme="minorHAnsi" w:cstheme="minorHAnsi"/>
                <w:b/>
                <w:szCs w:val="22"/>
              </w:rPr>
              <w:t>25-26 January 2021</w:t>
            </w:r>
          </w:p>
        </w:tc>
        <w:tc>
          <w:tcPr>
            <w:tcW w:w="3793" w:type="dxa"/>
          </w:tcPr>
          <w:p w14:paraId="1A942CFB" w14:textId="77777777" w:rsidR="005F153A" w:rsidRPr="00BD0203" w:rsidRDefault="002A1458" w:rsidP="001B506B">
            <w:pPr>
              <w:spacing w:before="120" w:line="240" w:lineRule="atLeast"/>
              <w:rPr>
                <w:rFonts w:asciiTheme="minorHAnsi" w:hAnsiTheme="minorHAnsi" w:cstheme="minorHAnsi"/>
              </w:rPr>
            </w:pPr>
            <w:bookmarkStart w:id="1" w:name="ditulogo"/>
            <w:bookmarkEnd w:id="1"/>
            <w:r w:rsidRPr="00BD0203">
              <w:rPr>
                <w:rFonts w:asciiTheme="minorHAnsi" w:hAnsiTheme="minorHAnsi" w:cstheme="minorHAnsi"/>
                <w:noProof/>
                <w:lang w:eastAsia="en-US"/>
              </w:rPr>
              <w:drawing>
                <wp:inline distT="0" distB="0" distL="0" distR="0" wp14:anchorId="7AF60DED" wp14:editId="4C813A14">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BD0203" w14:paraId="5E5FE9D5" w14:textId="77777777" w:rsidTr="000F2E67">
        <w:trPr>
          <w:cantSplit/>
        </w:trPr>
        <w:tc>
          <w:tcPr>
            <w:tcW w:w="6521" w:type="dxa"/>
            <w:tcBorders>
              <w:top w:val="single" w:sz="12" w:space="0" w:color="auto"/>
            </w:tcBorders>
          </w:tcPr>
          <w:p w14:paraId="0D47A83D" w14:textId="77777777" w:rsidR="005F153A" w:rsidRPr="00BD0203" w:rsidRDefault="005F153A" w:rsidP="000F2E67">
            <w:pPr>
              <w:snapToGrid w:val="0"/>
              <w:rPr>
                <w:rFonts w:asciiTheme="minorHAnsi" w:hAnsiTheme="minorHAnsi" w:cstheme="minorHAnsi"/>
                <w:b/>
                <w:smallCaps/>
              </w:rPr>
            </w:pPr>
          </w:p>
        </w:tc>
        <w:tc>
          <w:tcPr>
            <w:tcW w:w="3793" w:type="dxa"/>
            <w:tcBorders>
              <w:top w:val="single" w:sz="12" w:space="0" w:color="auto"/>
            </w:tcBorders>
          </w:tcPr>
          <w:p w14:paraId="110DED93" w14:textId="77777777" w:rsidR="005F153A" w:rsidRPr="00BD0203" w:rsidRDefault="005F153A" w:rsidP="000F2E67">
            <w:pPr>
              <w:snapToGrid w:val="0"/>
              <w:ind w:left="209"/>
              <w:rPr>
                <w:rFonts w:asciiTheme="minorHAnsi" w:hAnsiTheme="minorHAnsi" w:cstheme="minorHAnsi"/>
              </w:rPr>
            </w:pPr>
          </w:p>
        </w:tc>
      </w:tr>
      <w:tr w:rsidR="005F153A" w:rsidRPr="00BD0203" w14:paraId="005EF269" w14:textId="77777777" w:rsidTr="000F2E67">
        <w:trPr>
          <w:cantSplit/>
          <w:trHeight w:val="23"/>
        </w:trPr>
        <w:tc>
          <w:tcPr>
            <w:tcW w:w="6521" w:type="dxa"/>
            <w:vMerge w:val="restart"/>
          </w:tcPr>
          <w:p w14:paraId="209A6A85" w14:textId="77777777" w:rsidR="005F153A" w:rsidRPr="00BD0203" w:rsidRDefault="005F153A" w:rsidP="000F2E67">
            <w:pPr>
              <w:snapToGrid w:val="0"/>
              <w:rPr>
                <w:rFonts w:asciiTheme="minorHAnsi" w:hAnsiTheme="minorHAnsi" w:cstheme="minorHAnsi"/>
                <w:b/>
              </w:rPr>
            </w:pPr>
            <w:bookmarkStart w:id="2" w:name="dmeeting" w:colFirst="0" w:colLast="0"/>
            <w:bookmarkStart w:id="3" w:name="dnum" w:colFirst="1" w:colLast="1"/>
          </w:p>
        </w:tc>
        <w:tc>
          <w:tcPr>
            <w:tcW w:w="3793" w:type="dxa"/>
          </w:tcPr>
          <w:p w14:paraId="5EF5377F" w14:textId="675B650C" w:rsidR="005F153A" w:rsidRPr="00BD0203" w:rsidRDefault="00D05C32" w:rsidP="002A1458">
            <w:pPr>
              <w:snapToGrid w:val="0"/>
              <w:ind w:left="57"/>
              <w:rPr>
                <w:rFonts w:asciiTheme="minorHAnsi" w:hAnsiTheme="minorHAnsi" w:cstheme="minorHAnsi"/>
                <w:b/>
                <w:sz w:val="24"/>
              </w:rPr>
            </w:pPr>
            <w:r w:rsidRPr="00BD0203">
              <w:rPr>
                <w:rFonts w:asciiTheme="minorHAnsi" w:hAnsiTheme="minorHAnsi" w:cstheme="minorHAnsi"/>
                <w:b/>
                <w:sz w:val="24"/>
              </w:rPr>
              <w:t>Document CWG-FHR-</w:t>
            </w:r>
            <w:r w:rsidR="002B54EC" w:rsidRPr="00BD0203">
              <w:rPr>
                <w:rFonts w:asciiTheme="minorHAnsi" w:hAnsiTheme="minorHAnsi" w:cstheme="minorHAnsi"/>
                <w:b/>
                <w:sz w:val="24"/>
              </w:rPr>
              <w:t>1</w:t>
            </w:r>
            <w:r w:rsidR="00C0350F" w:rsidRPr="00BD0203">
              <w:rPr>
                <w:rFonts w:asciiTheme="minorHAnsi" w:hAnsiTheme="minorHAnsi" w:cstheme="minorHAnsi"/>
                <w:b/>
                <w:sz w:val="24"/>
              </w:rPr>
              <w:t>2</w:t>
            </w:r>
            <w:r w:rsidRPr="00BD0203">
              <w:rPr>
                <w:rFonts w:asciiTheme="minorHAnsi" w:hAnsiTheme="minorHAnsi" w:cstheme="minorHAnsi"/>
                <w:b/>
                <w:sz w:val="24"/>
              </w:rPr>
              <w:t>/</w:t>
            </w:r>
            <w:r w:rsidR="00C0350F" w:rsidRPr="00BD0203">
              <w:rPr>
                <w:rFonts w:asciiTheme="minorHAnsi" w:hAnsiTheme="minorHAnsi" w:cstheme="minorHAnsi"/>
                <w:b/>
                <w:sz w:val="24"/>
              </w:rPr>
              <w:t>17</w:t>
            </w:r>
          </w:p>
        </w:tc>
      </w:tr>
      <w:tr w:rsidR="005F153A" w:rsidRPr="00BD0203" w14:paraId="7DFA84DB" w14:textId="77777777" w:rsidTr="000F2E67">
        <w:trPr>
          <w:cantSplit/>
          <w:trHeight w:val="23"/>
        </w:trPr>
        <w:tc>
          <w:tcPr>
            <w:tcW w:w="6521" w:type="dxa"/>
            <w:vMerge/>
          </w:tcPr>
          <w:p w14:paraId="55864F81" w14:textId="77777777" w:rsidR="005F153A" w:rsidRPr="00BD0203" w:rsidRDefault="005F153A" w:rsidP="000F2E67">
            <w:pPr>
              <w:snapToGrid w:val="0"/>
              <w:rPr>
                <w:rFonts w:asciiTheme="minorHAnsi" w:hAnsiTheme="minorHAnsi" w:cstheme="minorHAnsi"/>
                <w:b/>
                <w:lang w:val="de-CH"/>
              </w:rPr>
            </w:pPr>
            <w:bookmarkStart w:id="4" w:name="ddate" w:colFirst="1" w:colLast="1"/>
            <w:bookmarkEnd w:id="2"/>
            <w:bookmarkEnd w:id="3"/>
          </w:p>
        </w:tc>
        <w:tc>
          <w:tcPr>
            <w:tcW w:w="3793" w:type="dxa"/>
          </w:tcPr>
          <w:p w14:paraId="1CA4EBE6" w14:textId="3CF3A254" w:rsidR="005F153A" w:rsidRPr="00BD0203" w:rsidRDefault="00D548B3" w:rsidP="00496E19">
            <w:pPr>
              <w:snapToGrid w:val="0"/>
              <w:ind w:left="57"/>
              <w:rPr>
                <w:rFonts w:asciiTheme="minorHAnsi" w:hAnsiTheme="minorHAnsi" w:cstheme="minorHAnsi"/>
                <w:b/>
                <w:sz w:val="24"/>
              </w:rPr>
            </w:pPr>
            <w:r w:rsidRPr="00BD0203">
              <w:rPr>
                <w:rFonts w:asciiTheme="minorHAnsi" w:hAnsiTheme="minorHAnsi" w:cstheme="minorHAnsi"/>
                <w:b/>
                <w:sz w:val="24"/>
              </w:rPr>
              <w:t>10</w:t>
            </w:r>
            <w:r w:rsidR="00C01971" w:rsidRPr="00BD0203">
              <w:rPr>
                <w:rFonts w:asciiTheme="minorHAnsi" w:hAnsiTheme="minorHAnsi" w:cstheme="minorHAnsi"/>
                <w:b/>
                <w:sz w:val="24"/>
              </w:rPr>
              <w:t xml:space="preserve"> </w:t>
            </w:r>
            <w:r w:rsidR="00DE0493" w:rsidRPr="00BD0203">
              <w:rPr>
                <w:rFonts w:asciiTheme="minorHAnsi" w:hAnsiTheme="minorHAnsi" w:cstheme="minorHAnsi"/>
                <w:b/>
                <w:sz w:val="24"/>
              </w:rPr>
              <w:t xml:space="preserve">February </w:t>
            </w:r>
            <w:r w:rsidR="00756E92" w:rsidRPr="00BD0203">
              <w:rPr>
                <w:rFonts w:asciiTheme="minorHAnsi" w:hAnsiTheme="minorHAnsi" w:cstheme="minorHAnsi"/>
                <w:b/>
                <w:sz w:val="24"/>
              </w:rPr>
              <w:t>20</w:t>
            </w:r>
            <w:r w:rsidR="00B72B57" w:rsidRPr="00BD0203">
              <w:rPr>
                <w:rFonts w:asciiTheme="minorHAnsi" w:hAnsiTheme="minorHAnsi" w:cstheme="minorHAnsi"/>
                <w:b/>
                <w:sz w:val="24"/>
              </w:rPr>
              <w:t>2</w:t>
            </w:r>
            <w:r w:rsidR="00C01971" w:rsidRPr="00BD0203">
              <w:rPr>
                <w:rFonts w:asciiTheme="minorHAnsi" w:hAnsiTheme="minorHAnsi" w:cstheme="minorHAnsi"/>
                <w:b/>
                <w:sz w:val="24"/>
              </w:rPr>
              <w:t>1</w:t>
            </w:r>
          </w:p>
        </w:tc>
      </w:tr>
      <w:tr w:rsidR="005F153A" w:rsidRPr="00BD0203" w14:paraId="48F16FA3" w14:textId="77777777" w:rsidTr="000F2E67">
        <w:trPr>
          <w:cantSplit/>
          <w:trHeight w:val="80"/>
        </w:trPr>
        <w:tc>
          <w:tcPr>
            <w:tcW w:w="6521" w:type="dxa"/>
            <w:vMerge/>
          </w:tcPr>
          <w:p w14:paraId="0EC7CF81" w14:textId="77777777" w:rsidR="005F153A" w:rsidRPr="00BD0203" w:rsidRDefault="005F153A" w:rsidP="000F2E67">
            <w:pPr>
              <w:snapToGrid w:val="0"/>
              <w:rPr>
                <w:rFonts w:asciiTheme="minorHAnsi" w:hAnsiTheme="minorHAnsi" w:cstheme="minorHAnsi"/>
                <w:b/>
              </w:rPr>
            </w:pPr>
            <w:bookmarkStart w:id="5" w:name="dorlang" w:colFirst="1" w:colLast="1"/>
            <w:bookmarkEnd w:id="4"/>
          </w:p>
        </w:tc>
        <w:tc>
          <w:tcPr>
            <w:tcW w:w="3793" w:type="dxa"/>
          </w:tcPr>
          <w:p w14:paraId="22704AC7" w14:textId="77777777" w:rsidR="005F153A" w:rsidRPr="00BD0203" w:rsidRDefault="005F153A" w:rsidP="000F2E67">
            <w:pPr>
              <w:snapToGrid w:val="0"/>
              <w:ind w:left="57"/>
              <w:rPr>
                <w:rFonts w:asciiTheme="minorHAnsi" w:hAnsiTheme="minorHAnsi" w:cstheme="minorHAnsi"/>
                <w:b/>
                <w:sz w:val="24"/>
              </w:rPr>
            </w:pPr>
            <w:r w:rsidRPr="00BD0203">
              <w:rPr>
                <w:rFonts w:asciiTheme="minorHAnsi" w:hAnsiTheme="minorHAnsi" w:cstheme="minorHAnsi"/>
                <w:b/>
                <w:sz w:val="24"/>
              </w:rPr>
              <w:t>English only</w:t>
            </w:r>
          </w:p>
        </w:tc>
      </w:tr>
    </w:tbl>
    <w:bookmarkEnd w:id="5"/>
    <w:p w14:paraId="11AA9BCF" w14:textId="3F2259BE" w:rsidR="00FE12AF" w:rsidRPr="00BD0203" w:rsidRDefault="00FE12AF" w:rsidP="00FE12AF">
      <w:pPr>
        <w:spacing w:before="720"/>
        <w:jc w:val="center"/>
        <w:rPr>
          <w:rFonts w:asciiTheme="minorHAnsi" w:hAnsiTheme="minorHAnsi" w:cstheme="minorHAnsi"/>
          <w:b/>
          <w:bCs/>
          <w:caps/>
          <w:sz w:val="28"/>
          <w:szCs w:val="28"/>
          <w:lang w:val="en-AU" w:eastAsia="en-AU"/>
        </w:rPr>
      </w:pPr>
      <w:r w:rsidRPr="00BD0203">
        <w:rPr>
          <w:rFonts w:asciiTheme="minorHAnsi" w:hAnsiTheme="minorHAnsi" w:cstheme="minorHAnsi"/>
          <w:b/>
          <w:bCs/>
          <w:caps/>
          <w:sz w:val="28"/>
          <w:szCs w:val="28"/>
          <w:lang w:val="en-AU" w:eastAsia="en-AU"/>
        </w:rPr>
        <w:t>Chair</w:t>
      </w:r>
      <w:r w:rsidR="00057853" w:rsidRPr="00BD0203">
        <w:rPr>
          <w:rFonts w:asciiTheme="minorHAnsi" w:hAnsiTheme="minorHAnsi" w:cstheme="minorHAnsi"/>
          <w:b/>
          <w:bCs/>
          <w:caps/>
          <w:sz w:val="28"/>
          <w:szCs w:val="28"/>
          <w:lang w:val="en-AU" w:eastAsia="en-AU"/>
        </w:rPr>
        <w:t>person</w:t>
      </w:r>
      <w:r w:rsidRPr="00BD0203">
        <w:rPr>
          <w:rFonts w:asciiTheme="minorHAnsi" w:hAnsiTheme="minorHAnsi" w:cstheme="minorHAnsi"/>
          <w:b/>
          <w:bCs/>
          <w:caps/>
          <w:sz w:val="28"/>
          <w:szCs w:val="28"/>
          <w:lang w:val="en-AU" w:eastAsia="en-AU"/>
        </w:rPr>
        <w:t xml:space="preserve"> of the Council Working Group on Financial</w:t>
      </w:r>
      <w:r w:rsidRPr="00BD0203">
        <w:rPr>
          <w:rFonts w:asciiTheme="minorHAnsi" w:hAnsiTheme="minorHAnsi" w:cstheme="minorHAnsi"/>
          <w:b/>
          <w:bCs/>
          <w:caps/>
          <w:sz w:val="28"/>
          <w:szCs w:val="28"/>
          <w:lang w:val="en-AU" w:eastAsia="en-AU"/>
        </w:rPr>
        <w:br/>
        <w:t>and Human Resources</w:t>
      </w:r>
    </w:p>
    <w:p w14:paraId="59280DBE" w14:textId="6FB8466F" w:rsidR="00FE12AF" w:rsidRPr="00BD0203" w:rsidRDefault="00FE12AF" w:rsidP="00FE12AF">
      <w:pPr>
        <w:spacing w:before="120"/>
        <w:jc w:val="center"/>
        <w:outlineLvl w:val="0"/>
        <w:rPr>
          <w:rFonts w:asciiTheme="minorHAnsi" w:hAnsiTheme="minorHAnsi" w:cstheme="minorHAnsi"/>
          <w:b/>
          <w:bCs/>
          <w:sz w:val="28"/>
          <w:szCs w:val="28"/>
          <w:lang w:val="en-AU"/>
        </w:rPr>
      </w:pPr>
      <w:r w:rsidRPr="00BD0203">
        <w:rPr>
          <w:rFonts w:asciiTheme="minorHAnsi" w:hAnsiTheme="minorHAnsi" w:cstheme="minorHAnsi"/>
          <w:b/>
          <w:bCs/>
          <w:sz w:val="28"/>
          <w:szCs w:val="28"/>
          <w:lang w:val="en-AU"/>
        </w:rPr>
        <w:t xml:space="preserve">Summary report of the </w:t>
      </w:r>
      <w:r w:rsidR="00C01971" w:rsidRPr="00BD0203">
        <w:rPr>
          <w:rFonts w:asciiTheme="minorHAnsi" w:hAnsiTheme="minorHAnsi" w:cstheme="minorHAnsi"/>
          <w:b/>
          <w:bCs/>
          <w:sz w:val="28"/>
          <w:szCs w:val="28"/>
          <w:lang w:val="en-AU"/>
        </w:rPr>
        <w:t xml:space="preserve">twelfth </w:t>
      </w:r>
      <w:r w:rsidRPr="00BD0203">
        <w:rPr>
          <w:rFonts w:asciiTheme="minorHAnsi" w:hAnsiTheme="minorHAnsi" w:cstheme="minorHAnsi"/>
          <w:b/>
          <w:bCs/>
          <w:sz w:val="28"/>
          <w:szCs w:val="28"/>
          <w:lang w:val="en-AU"/>
        </w:rPr>
        <w:t>meeting</w:t>
      </w:r>
    </w:p>
    <w:p w14:paraId="70A41F0B" w14:textId="57F5C1E8" w:rsidR="00FE12AF" w:rsidRPr="00BD0203" w:rsidRDefault="00FE12AF" w:rsidP="00FE12AF">
      <w:pPr>
        <w:tabs>
          <w:tab w:val="left" w:pos="709"/>
        </w:tabs>
        <w:adjustRightInd w:val="0"/>
        <w:snapToGrid w:val="0"/>
        <w:spacing w:before="480" w:after="240"/>
        <w:rPr>
          <w:rFonts w:asciiTheme="minorHAnsi" w:eastAsia="Times New Roman" w:hAnsiTheme="minorHAnsi" w:cstheme="minorHAnsi"/>
          <w:sz w:val="24"/>
          <w:lang w:val="en-GB" w:eastAsia="en-US"/>
        </w:rPr>
      </w:pPr>
      <w:r w:rsidRPr="00BD0203">
        <w:rPr>
          <w:rFonts w:asciiTheme="minorHAnsi" w:hAnsiTheme="minorHAnsi" w:cstheme="minorHAnsi"/>
          <w:bCs/>
          <w:sz w:val="24"/>
          <w:lang w:val="en-CA" w:eastAsia="en-AU"/>
        </w:rPr>
        <w:t xml:space="preserve">The Council Working Group on Financial and Human Resources is chaired by </w:t>
      </w:r>
      <w:r w:rsidRPr="00BD0203">
        <w:rPr>
          <w:rFonts w:asciiTheme="minorHAnsi" w:eastAsia="Times New Roman" w:hAnsiTheme="minorHAnsi" w:cstheme="minorHAnsi"/>
          <w:sz w:val="24"/>
          <w:lang w:val="en-GB" w:eastAsia="en-US"/>
        </w:rPr>
        <w:t>M</w:t>
      </w:r>
      <w:r w:rsidR="00C01971" w:rsidRPr="00BD0203">
        <w:rPr>
          <w:rFonts w:asciiTheme="minorHAnsi" w:eastAsia="Times New Roman" w:hAnsiTheme="minorHAnsi" w:cstheme="minorHAnsi"/>
          <w:sz w:val="24"/>
          <w:lang w:val="en-GB" w:eastAsia="en-US"/>
        </w:rPr>
        <w:t>s</w:t>
      </w:r>
      <w:r w:rsidRPr="00BD0203">
        <w:rPr>
          <w:rFonts w:asciiTheme="minorHAnsi" w:eastAsia="Times New Roman" w:hAnsiTheme="minorHAnsi" w:cstheme="minorHAnsi"/>
          <w:sz w:val="24"/>
          <w:lang w:val="en-GB" w:eastAsia="en-US"/>
        </w:rPr>
        <w:t xml:space="preserve">. </w:t>
      </w:r>
      <w:r w:rsidR="00C01971" w:rsidRPr="00BD0203">
        <w:rPr>
          <w:rFonts w:asciiTheme="minorHAnsi" w:eastAsia="Times New Roman" w:hAnsiTheme="minorHAnsi" w:cstheme="minorHAnsi"/>
          <w:sz w:val="24"/>
          <w:lang w:val="en-GB" w:eastAsia="en-US"/>
        </w:rPr>
        <w:t>Vernita Harris, (USA)</w:t>
      </w:r>
      <w:r w:rsidRPr="00BD0203">
        <w:rPr>
          <w:rFonts w:asciiTheme="minorHAnsi" w:eastAsia="Times New Roman" w:hAnsiTheme="minorHAnsi" w:cstheme="minorHAnsi"/>
          <w:sz w:val="24"/>
          <w:lang w:val="en-GB" w:eastAsia="en-US"/>
        </w:rPr>
        <w:t xml:space="preserve"> assisted by six Vice-Chairs as follows:</w:t>
      </w:r>
    </w:p>
    <w:p w14:paraId="6B30611E" w14:textId="328071CA" w:rsidR="00C01971" w:rsidRPr="00BD0203" w:rsidRDefault="00C01971" w:rsidP="00C01971">
      <w:pPr>
        <w:pStyle w:val="PlainText"/>
        <w:spacing w:after="60"/>
        <w:rPr>
          <w:rFonts w:asciiTheme="minorHAnsi" w:hAnsiTheme="minorHAnsi" w:cstheme="minorHAnsi"/>
          <w:sz w:val="24"/>
          <w:szCs w:val="24"/>
        </w:rPr>
      </w:pPr>
      <w:r w:rsidRPr="00BD0203">
        <w:rPr>
          <w:rFonts w:asciiTheme="minorHAnsi" w:hAnsiTheme="minorHAnsi" w:cstheme="minorHAnsi"/>
          <w:sz w:val="24"/>
          <w:szCs w:val="24"/>
        </w:rPr>
        <w:t>Ms Seynabou Seck Cisse</w:t>
      </w:r>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(Senegal)</w:t>
      </w:r>
    </w:p>
    <w:p w14:paraId="3A0AA4A6" w14:textId="2705E652" w:rsidR="00C01971" w:rsidRPr="00BD0203" w:rsidRDefault="00C01971" w:rsidP="00C01971">
      <w:pPr>
        <w:pStyle w:val="PlainText"/>
        <w:spacing w:after="60"/>
        <w:rPr>
          <w:rFonts w:asciiTheme="minorHAnsi" w:hAnsiTheme="minorHAnsi" w:cstheme="minorHAnsi"/>
          <w:sz w:val="24"/>
          <w:szCs w:val="24"/>
        </w:rPr>
      </w:pPr>
      <w:r w:rsidRPr="00BD0203">
        <w:rPr>
          <w:rFonts w:asciiTheme="minorHAnsi" w:hAnsiTheme="minorHAnsi" w:cstheme="minorHAnsi"/>
          <w:sz w:val="24"/>
          <w:szCs w:val="24"/>
        </w:rPr>
        <w:t>Ms Xian Persaud</w:t>
      </w:r>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(Bahamas)</w:t>
      </w:r>
    </w:p>
    <w:p w14:paraId="455B4BBF" w14:textId="711D4620" w:rsidR="00C01971" w:rsidRPr="00BD0203" w:rsidRDefault="00C01971" w:rsidP="00C01971">
      <w:pPr>
        <w:pStyle w:val="PlainText"/>
        <w:spacing w:after="60"/>
        <w:rPr>
          <w:rFonts w:asciiTheme="minorHAnsi" w:hAnsiTheme="minorHAnsi" w:cstheme="minorHAnsi"/>
          <w:sz w:val="24"/>
          <w:szCs w:val="24"/>
        </w:rPr>
      </w:pPr>
      <w:r w:rsidRPr="00BD0203">
        <w:rPr>
          <w:rFonts w:asciiTheme="minorHAnsi" w:hAnsiTheme="minorHAnsi" w:cstheme="minorHAnsi"/>
          <w:sz w:val="24"/>
          <w:szCs w:val="24"/>
        </w:rPr>
        <w:t>Mr Mohamed S. Ali Al Muathen Al Mazroei</w:t>
      </w:r>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(United Arab Emirates)</w:t>
      </w:r>
    </w:p>
    <w:p w14:paraId="5A75B740" w14:textId="36C9414E" w:rsidR="00C01971" w:rsidRPr="00BD0203" w:rsidRDefault="00C01971" w:rsidP="00C01971">
      <w:pPr>
        <w:pStyle w:val="PlainText"/>
        <w:spacing w:after="60"/>
        <w:rPr>
          <w:rFonts w:asciiTheme="minorHAnsi" w:hAnsiTheme="minorHAnsi" w:cstheme="minorHAnsi"/>
          <w:sz w:val="24"/>
          <w:szCs w:val="24"/>
        </w:rPr>
      </w:pPr>
      <w:r w:rsidRPr="00BD0203">
        <w:rPr>
          <w:rFonts w:asciiTheme="minorHAnsi" w:hAnsiTheme="minorHAnsi" w:cstheme="minorHAnsi"/>
          <w:sz w:val="24"/>
          <w:szCs w:val="24"/>
        </w:rPr>
        <w:t>Ms Archana Goyal Gulati</w:t>
      </w:r>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(India)</w:t>
      </w:r>
    </w:p>
    <w:p w14:paraId="7103FC6C" w14:textId="2D6CB2B0" w:rsidR="00C01971" w:rsidRPr="00BD0203" w:rsidRDefault="00C01971" w:rsidP="00C01971">
      <w:pPr>
        <w:pStyle w:val="PlainText"/>
        <w:spacing w:after="60"/>
        <w:rPr>
          <w:rFonts w:asciiTheme="minorHAnsi" w:hAnsiTheme="minorHAnsi" w:cstheme="minorHAnsi"/>
          <w:sz w:val="24"/>
          <w:szCs w:val="24"/>
        </w:rPr>
      </w:pPr>
      <w:r w:rsidRPr="00BD0203">
        <w:rPr>
          <w:rFonts w:asciiTheme="minorHAnsi" w:hAnsiTheme="minorHAnsi" w:cstheme="minorHAnsi"/>
          <w:sz w:val="24"/>
          <w:szCs w:val="24"/>
        </w:rPr>
        <w:t>Ms D.V. Kalyuga</w:t>
      </w:r>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(Russian Federation)</w:t>
      </w:r>
    </w:p>
    <w:p w14:paraId="77551218" w14:textId="0099D261" w:rsidR="00C01971" w:rsidRPr="00BD0203" w:rsidRDefault="00C01971" w:rsidP="00C01971">
      <w:pPr>
        <w:pStyle w:val="PlainText"/>
        <w:rPr>
          <w:rFonts w:asciiTheme="minorHAnsi" w:hAnsiTheme="minorHAnsi" w:cstheme="minorHAnsi"/>
          <w:sz w:val="24"/>
          <w:szCs w:val="24"/>
        </w:rPr>
      </w:pPr>
      <w:r w:rsidRPr="00BD0203">
        <w:rPr>
          <w:rFonts w:asciiTheme="minorHAnsi" w:hAnsiTheme="minorHAnsi" w:cstheme="minorHAnsi"/>
          <w:sz w:val="24"/>
          <w:szCs w:val="24"/>
        </w:rPr>
        <w:t>Mr Vilem Vesely</w:t>
      </w:r>
      <w:r w:rsidR="00FF6589" w:rsidRPr="00BD0203">
        <w:rPr>
          <w:rFonts w:asciiTheme="minorHAnsi" w:hAnsiTheme="minorHAnsi" w:cstheme="minorHAnsi"/>
          <w:sz w:val="24"/>
          <w:szCs w:val="24"/>
        </w:rPr>
        <w:t xml:space="preserve"> </w:t>
      </w:r>
      <w:r w:rsidRPr="00BD0203">
        <w:rPr>
          <w:rFonts w:asciiTheme="minorHAnsi" w:hAnsiTheme="minorHAnsi" w:cstheme="minorHAnsi"/>
          <w:sz w:val="24"/>
          <w:szCs w:val="24"/>
        </w:rPr>
        <w:t>(Czech Republic)</w:t>
      </w:r>
    </w:p>
    <w:p w14:paraId="1984F11B" w14:textId="254AC36E" w:rsidR="00FE12AF" w:rsidRPr="00BD0203" w:rsidRDefault="00FE12AF" w:rsidP="00FE12AF">
      <w:pPr>
        <w:tabs>
          <w:tab w:val="left" w:pos="567"/>
          <w:tab w:val="left" w:pos="709"/>
          <w:tab w:val="left" w:pos="1134"/>
          <w:tab w:val="left" w:pos="1701"/>
          <w:tab w:val="left" w:pos="2268"/>
          <w:tab w:val="left" w:pos="2835"/>
        </w:tabs>
        <w:overflowPunct w:val="0"/>
        <w:autoSpaceDE w:val="0"/>
        <w:autoSpaceDN w:val="0"/>
        <w:adjustRightInd w:val="0"/>
        <w:snapToGrid w:val="0"/>
        <w:textAlignment w:val="baseline"/>
        <w:rPr>
          <w:rFonts w:asciiTheme="minorHAnsi" w:hAnsiTheme="minorHAnsi" w:cstheme="minorHAnsi"/>
          <w:color w:val="000000"/>
          <w:sz w:val="24"/>
          <w:lang w:eastAsia="en-AU"/>
        </w:rPr>
      </w:pPr>
    </w:p>
    <w:p w14:paraId="175B79BE" w14:textId="0450A8C3" w:rsidR="00FE12AF" w:rsidRPr="00BD0203" w:rsidRDefault="00FE12AF" w:rsidP="000C5BA2">
      <w:pPr>
        <w:tabs>
          <w:tab w:val="left" w:pos="709"/>
        </w:tabs>
        <w:adjustRightInd w:val="0"/>
        <w:snapToGrid w:val="0"/>
        <w:ind w:left="709" w:hanging="709"/>
        <w:rPr>
          <w:rFonts w:asciiTheme="minorHAnsi" w:hAnsiTheme="minorHAnsi" w:cstheme="minorHAnsi"/>
          <w:b/>
          <w:bCs/>
          <w:sz w:val="24"/>
          <w:u w:val="single"/>
          <w:lang w:val="en-AU" w:eastAsia="en-AU"/>
        </w:rPr>
      </w:pPr>
      <w:r w:rsidRPr="00BD0203">
        <w:rPr>
          <w:rFonts w:asciiTheme="minorHAnsi" w:hAnsiTheme="minorHAnsi" w:cstheme="minorHAnsi"/>
          <w:b/>
          <w:bCs/>
          <w:sz w:val="24"/>
          <w:lang w:val="en-CA" w:eastAsia="en-AU"/>
        </w:rPr>
        <w:t>1</w:t>
      </w:r>
      <w:r w:rsidRPr="00BD0203">
        <w:rPr>
          <w:rFonts w:asciiTheme="minorHAnsi" w:hAnsiTheme="minorHAnsi" w:cstheme="minorHAnsi"/>
          <w:b/>
          <w:bCs/>
          <w:sz w:val="24"/>
          <w:lang w:val="en-CA" w:eastAsia="en-AU"/>
        </w:rPr>
        <w:tab/>
        <w:t xml:space="preserve">Opening remarks and approval of the revised Agenda (Document </w:t>
      </w:r>
      <w:r w:rsidRPr="00BD0203">
        <w:rPr>
          <w:rFonts w:asciiTheme="minorHAnsi" w:hAnsiTheme="minorHAnsi" w:cstheme="minorHAnsi"/>
          <w:b/>
          <w:bCs/>
          <w:sz w:val="24"/>
          <w:lang w:val="en-AU" w:eastAsia="en-US"/>
        </w:rPr>
        <w:fldChar w:fldCharType="begin"/>
      </w:r>
      <w:r w:rsidR="0006644B" w:rsidRPr="00BD0203">
        <w:rPr>
          <w:rFonts w:asciiTheme="minorHAnsi" w:hAnsiTheme="minorHAnsi" w:cstheme="minorHAnsi"/>
          <w:b/>
          <w:bCs/>
          <w:sz w:val="24"/>
          <w:lang w:val="en-AU" w:eastAsia="en-US"/>
        </w:rPr>
        <w:instrText>HYPERLINK "https://www.itu.int/md/S21-CWGFHR12-C-0001/en"</w:instrText>
      </w:r>
      <w:r w:rsidRPr="00BD0203">
        <w:rPr>
          <w:rFonts w:asciiTheme="minorHAnsi" w:hAnsiTheme="minorHAnsi" w:cstheme="minorHAnsi"/>
          <w:b/>
          <w:bCs/>
          <w:sz w:val="24"/>
          <w:lang w:val="en-AU" w:eastAsia="en-US"/>
        </w:rPr>
        <w:fldChar w:fldCharType="separate"/>
      </w:r>
      <w:r w:rsidRPr="00BD0203">
        <w:rPr>
          <w:rFonts w:asciiTheme="minorHAnsi" w:hAnsiTheme="minorHAnsi" w:cstheme="minorHAnsi"/>
          <w:b/>
          <w:bCs/>
          <w:sz w:val="24"/>
          <w:u w:val="single"/>
          <w:lang w:val="en-AU" w:eastAsia="en-US"/>
        </w:rPr>
        <w:t>CWG-FHR</w:t>
      </w:r>
      <w:r w:rsidR="001F7D49" w:rsidRPr="00BD0203">
        <w:rPr>
          <w:rFonts w:asciiTheme="minorHAnsi" w:hAnsiTheme="minorHAnsi" w:cstheme="minorHAnsi"/>
          <w:b/>
          <w:bCs/>
          <w:sz w:val="24"/>
          <w:u w:val="single"/>
          <w:lang w:val="en-AU" w:eastAsia="en-US"/>
        </w:rPr>
        <w:t>-</w:t>
      </w:r>
      <w:r w:rsidRPr="00BD0203">
        <w:rPr>
          <w:rFonts w:asciiTheme="minorHAnsi" w:hAnsiTheme="minorHAnsi" w:cstheme="minorHAnsi"/>
          <w:b/>
          <w:bCs/>
          <w:sz w:val="24"/>
          <w:u w:val="single"/>
          <w:lang w:val="en-AU" w:eastAsia="en-US"/>
        </w:rPr>
        <w:t>1</w:t>
      </w:r>
      <w:r w:rsidR="00DE0223" w:rsidRPr="00BD0203">
        <w:rPr>
          <w:rFonts w:asciiTheme="minorHAnsi" w:hAnsiTheme="minorHAnsi" w:cstheme="minorHAnsi"/>
          <w:b/>
          <w:bCs/>
          <w:sz w:val="24"/>
          <w:u w:val="single"/>
          <w:lang w:val="en-AU" w:eastAsia="en-US"/>
        </w:rPr>
        <w:t>2</w:t>
      </w:r>
      <w:r w:rsidRPr="00BD0203">
        <w:rPr>
          <w:rFonts w:asciiTheme="minorHAnsi" w:hAnsiTheme="minorHAnsi" w:cstheme="minorHAnsi"/>
          <w:b/>
          <w:bCs/>
          <w:sz w:val="24"/>
          <w:u w:val="single"/>
          <w:lang w:val="en-AU" w:eastAsia="en-US"/>
        </w:rPr>
        <w:t>/1 (Rev. </w:t>
      </w:r>
      <w:r w:rsidR="00DE0223" w:rsidRPr="00BD0203">
        <w:rPr>
          <w:rFonts w:asciiTheme="minorHAnsi" w:hAnsiTheme="minorHAnsi" w:cstheme="minorHAnsi"/>
          <w:b/>
          <w:bCs/>
          <w:sz w:val="24"/>
          <w:u w:val="single"/>
          <w:lang w:val="en-AU" w:eastAsia="en-US"/>
        </w:rPr>
        <w:t>3</w:t>
      </w:r>
      <w:r w:rsidRPr="00BD0203">
        <w:rPr>
          <w:rFonts w:asciiTheme="minorHAnsi" w:hAnsiTheme="minorHAnsi" w:cstheme="minorHAnsi"/>
          <w:b/>
          <w:bCs/>
          <w:sz w:val="24"/>
          <w:u w:val="single"/>
          <w:lang w:val="en-AU" w:eastAsia="en-AU"/>
        </w:rPr>
        <w:t>))</w:t>
      </w:r>
    </w:p>
    <w:p w14:paraId="5A8A8CCE" w14:textId="2D8F0BA8" w:rsidR="00C55EC6" w:rsidRPr="00BD0203" w:rsidRDefault="00FE12AF" w:rsidP="00C55EC6">
      <w:pPr>
        <w:tabs>
          <w:tab w:val="left" w:pos="709"/>
        </w:tabs>
        <w:adjustRightInd w:val="0"/>
        <w:snapToGrid w:val="0"/>
        <w:ind w:right="57"/>
        <w:jc w:val="both"/>
        <w:rPr>
          <w:rFonts w:asciiTheme="minorHAnsi" w:eastAsia="Times New Roman" w:hAnsiTheme="minorHAnsi" w:cstheme="minorHAnsi"/>
          <w:b/>
          <w:bCs/>
          <w:sz w:val="24"/>
          <w:lang w:val="en-GB" w:eastAsia="en-US"/>
        </w:rPr>
      </w:pPr>
      <w:r w:rsidRPr="00BD0203">
        <w:rPr>
          <w:rFonts w:asciiTheme="minorHAnsi" w:hAnsiTheme="minorHAnsi" w:cstheme="minorHAnsi"/>
          <w:b/>
          <w:bCs/>
          <w:sz w:val="24"/>
          <w:lang w:val="en-AU" w:eastAsia="en-US"/>
        </w:rPr>
        <w:fldChar w:fldCharType="end"/>
      </w:r>
    </w:p>
    <w:p w14:paraId="2B5A28D8" w14:textId="4D7A64F4" w:rsidR="00FE12AF" w:rsidRPr="00BD0203" w:rsidRDefault="000C5BA2" w:rsidP="000C5BA2">
      <w:pPr>
        <w:tabs>
          <w:tab w:val="left" w:pos="709"/>
        </w:tabs>
        <w:adjustRightInd w:val="0"/>
        <w:snapToGrid w:val="0"/>
        <w:ind w:right="57"/>
        <w:jc w:val="both"/>
        <w:rPr>
          <w:rFonts w:asciiTheme="minorHAnsi" w:eastAsia="Times New Roman" w:hAnsiTheme="minorHAnsi" w:cstheme="minorHAnsi"/>
          <w:b/>
          <w:bCs/>
          <w:sz w:val="24"/>
          <w:lang w:val="en-GB" w:eastAsia="en-US"/>
        </w:rPr>
      </w:pPr>
      <w:r w:rsidRPr="00BD0203">
        <w:rPr>
          <w:rFonts w:asciiTheme="minorHAnsi" w:eastAsia="Times New Roman" w:hAnsiTheme="minorHAnsi" w:cstheme="minorHAnsi"/>
          <w:b/>
          <w:bCs/>
          <w:sz w:val="24"/>
          <w:lang w:val="en-GB" w:eastAsia="en-US"/>
        </w:rPr>
        <w:tab/>
      </w:r>
      <w:r w:rsidR="00FE12AF" w:rsidRPr="00BD0203">
        <w:rPr>
          <w:rFonts w:asciiTheme="minorHAnsi" w:eastAsia="Times New Roman" w:hAnsiTheme="minorHAnsi" w:cstheme="minorHAnsi"/>
          <w:b/>
          <w:bCs/>
          <w:sz w:val="24"/>
          <w:lang w:val="en-GB" w:eastAsia="en-US"/>
        </w:rPr>
        <w:t>Opening remarks by the Chair</w:t>
      </w:r>
      <w:r w:rsidR="00F034E6" w:rsidRPr="00BD0203">
        <w:rPr>
          <w:rFonts w:asciiTheme="minorHAnsi" w:eastAsia="Times New Roman" w:hAnsiTheme="minorHAnsi" w:cstheme="minorHAnsi"/>
          <w:b/>
          <w:bCs/>
          <w:sz w:val="24"/>
          <w:lang w:val="en-GB" w:eastAsia="en-US"/>
        </w:rPr>
        <w:t>person</w:t>
      </w:r>
    </w:p>
    <w:p w14:paraId="266774C3" w14:textId="77777777" w:rsidR="000C5BA2" w:rsidRPr="00BD0203" w:rsidRDefault="000C5BA2" w:rsidP="000C5BA2">
      <w:pPr>
        <w:tabs>
          <w:tab w:val="left" w:pos="709"/>
        </w:tabs>
        <w:overflowPunct w:val="0"/>
        <w:autoSpaceDE w:val="0"/>
        <w:autoSpaceDN w:val="0"/>
        <w:adjustRightInd w:val="0"/>
        <w:snapToGrid w:val="0"/>
        <w:textAlignment w:val="baseline"/>
        <w:outlineLvl w:val="0"/>
        <w:rPr>
          <w:rFonts w:asciiTheme="minorHAnsi" w:eastAsia="Times New Roman" w:hAnsiTheme="minorHAnsi" w:cstheme="minorHAnsi"/>
          <w:color w:val="000000"/>
          <w:sz w:val="24"/>
          <w:lang w:val="en-CA" w:eastAsia="en-US"/>
        </w:rPr>
      </w:pPr>
    </w:p>
    <w:p w14:paraId="0CEB3E9F" w14:textId="5822E22C" w:rsidR="00F034E6" w:rsidRPr="00BD0203" w:rsidRDefault="00FE12AF" w:rsidP="00F034E6">
      <w:pPr>
        <w:tabs>
          <w:tab w:val="left" w:pos="709"/>
        </w:tabs>
        <w:overflowPunct w:val="0"/>
        <w:autoSpaceDE w:val="0"/>
        <w:autoSpaceDN w:val="0"/>
        <w:adjustRightInd w:val="0"/>
        <w:snapToGrid w:val="0"/>
        <w:textAlignment w:val="baseline"/>
        <w:outlineLvl w:val="0"/>
        <w:rPr>
          <w:rFonts w:asciiTheme="minorHAnsi" w:eastAsia="Times New Roman" w:hAnsiTheme="minorHAnsi" w:cstheme="minorHAnsi"/>
          <w:sz w:val="24"/>
          <w:lang w:val="en-GB" w:eastAsia="en-US"/>
        </w:rPr>
      </w:pPr>
      <w:r w:rsidRPr="00BD0203">
        <w:rPr>
          <w:rFonts w:asciiTheme="minorHAnsi" w:eastAsia="Times New Roman" w:hAnsiTheme="minorHAnsi" w:cstheme="minorHAnsi"/>
          <w:sz w:val="24"/>
          <w:lang w:val="en-CA" w:eastAsia="en-US"/>
        </w:rPr>
        <w:t>1.1</w:t>
      </w:r>
      <w:r w:rsidRPr="00BD0203">
        <w:rPr>
          <w:rFonts w:asciiTheme="minorHAnsi" w:eastAsia="Times New Roman" w:hAnsiTheme="minorHAnsi" w:cstheme="minorHAnsi"/>
          <w:sz w:val="24"/>
          <w:lang w:val="en-GB" w:eastAsia="en-US"/>
        </w:rPr>
        <w:tab/>
      </w:r>
      <w:r w:rsidR="00F034E6" w:rsidRPr="00BD0203">
        <w:rPr>
          <w:rFonts w:asciiTheme="minorHAnsi" w:hAnsiTheme="minorHAnsi" w:cstheme="minorHAnsi"/>
          <w:sz w:val="24"/>
        </w:rPr>
        <w:t xml:space="preserve">The Chairperson, </w:t>
      </w:r>
      <w:bookmarkStart w:id="6" w:name="_Hlk62546548"/>
      <w:r w:rsidR="00F034E6" w:rsidRPr="00BD0203">
        <w:rPr>
          <w:rFonts w:asciiTheme="minorHAnsi" w:hAnsiTheme="minorHAnsi" w:cstheme="minorHAnsi"/>
          <w:sz w:val="24"/>
        </w:rPr>
        <w:t>Ms. Vernita Harris</w:t>
      </w:r>
      <w:bookmarkEnd w:id="6"/>
      <w:r w:rsidR="00F034E6" w:rsidRPr="00BD0203">
        <w:rPr>
          <w:rFonts w:asciiTheme="minorHAnsi" w:hAnsiTheme="minorHAnsi" w:cstheme="minorHAnsi"/>
          <w:sz w:val="24"/>
        </w:rPr>
        <w:t xml:space="preserve"> (USA) welcomed the delegates and acknowledged the presence of the Elected Officials Mr. Houlin Zhao, Secretary-General, Ms. Doreen Bogdan-Martin, BDT Director and Mr. Mario Maniewicz, BR Director.</w:t>
      </w:r>
    </w:p>
    <w:p w14:paraId="487B8B1A" w14:textId="77777777" w:rsidR="000C5BA2" w:rsidRPr="00BD0203" w:rsidRDefault="000C5BA2" w:rsidP="000C5BA2">
      <w:pPr>
        <w:tabs>
          <w:tab w:val="left" w:pos="709"/>
        </w:tabs>
        <w:overflowPunct w:val="0"/>
        <w:autoSpaceDE w:val="0"/>
        <w:autoSpaceDN w:val="0"/>
        <w:adjustRightInd w:val="0"/>
        <w:snapToGrid w:val="0"/>
        <w:textAlignment w:val="baseline"/>
        <w:outlineLvl w:val="0"/>
        <w:rPr>
          <w:rFonts w:asciiTheme="minorHAnsi" w:eastAsia="Times New Roman" w:hAnsiTheme="minorHAnsi" w:cstheme="minorHAnsi"/>
          <w:sz w:val="24"/>
          <w:lang w:val="en-GB" w:eastAsia="en-US"/>
        </w:rPr>
      </w:pPr>
    </w:p>
    <w:p w14:paraId="1FC8E3A9" w14:textId="69F71F60" w:rsidR="00FE12AF" w:rsidRPr="00BD0203" w:rsidRDefault="00FE12AF" w:rsidP="000C5BA2">
      <w:pPr>
        <w:tabs>
          <w:tab w:val="left" w:pos="709"/>
        </w:tabs>
        <w:overflowPunct w:val="0"/>
        <w:autoSpaceDE w:val="0"/>
        <w:autoSpaceDN w:val="0"/>
        <w:adjustRightInd w:val="0"/>
        <w:snapToGrid w:val="0"/>
        <w:textAlignment w:val="baseline"/>
        <w:outlineLvl w:val="0"/>
        <w:rPr>
          <w:rFonts w:asciiTheme="minorHAnsi" w:eastAsia="Times New Roman" w:hAnsiTheme="minorHAnsi" w:cstheme="minorHAnsi"/>
          <w:b/>
          <w:bCs/>
          <w:sz w:val="24"/>
          <w:lang w:val="en-GB" w:eastAsia="en-US"/>
        </w:rPr>
      </w:pPr>
      <w:r w:rsidRPr="00BD0203">
        <w:rPr>
          <w:rFonts w:asciiTheme="minorHAnsi" w:eastAsia="Times New Roman" w:hAnsiTheme="minorHAnsi" w:cstheme="minorHAnsi"/>
          <w:sz w:val="24"/>
          <w:lang w:val="en-GB" w:eastAsia="en-US"/>
        </w:rPr>
        <w:tab/>
      </w:r>
      <w:r w:rsidRPr="00BD0203">
        <w:rPr>
          <w:rFonts w:asciiTheme="minorHAnsi" w:eastAsia="Times New Roman" w:hAnsiTheme="minorHAnsi" w:cstheme="minorHAnsi"/>
          <w:b/>
          <w:bCs/>
          <w:sz w:val="24"/>
          <w:lang w:val="en-GB" w:eastAsia="en-US"/>
        </w:rPr>
        <w:t>Welcome remarks by the Secretary-General</w:t>
      </w:r>
    </w:p>
    <w:p w14:paraId="426DCDF0" w14:textId="77777777" w:rsidR="000C5BA2" w:rsidRPr="00BD0203" w:rsidRDefault="000C5BA2" w:rsidP="000C5BA2">
      <w:pPr>
        <w:tabs>
          <w:tab w:val="left" w:pos="709"/>
        </w:tabs>
        <w:overflowPunct w:val="0"/>
        <w:autoSpaceDE w:val="0"/>
        <w:autoSpaceDN w:val="0"/>
        <w:adjustRightInd w:val="0"/>
        <w:snapToGrid w:val="0"/>
        <w:textAlignment w:val="baseline"/>
        <w:outlineLvl w:val="0"/>
        <w:rPr>
          <w:rFonts w:asciiTheme="minorHAnsi" w:eastAsia="Times New Roman" w:hAnsiTheme="minorHAnsi" w:cstheme="minorHAnsi"/>
          <w:sz w:val="24"/>
          <w:lang w:val="en-GB" w:eastAsia="en-US"/>
        </w:rPr>
      </w:pPr>
    </w:p>
    <w:p w14:paraId="7A682D22" w14:textId="286198F1" w:rsidR="00C55EC6" w:rsidRPr="00BD0203" w:rsidRDefault="00FE12AF" w:rsidP="00C55EC6">
      <w:pPr>
        <w:rPr>
          <w:rFonts w:asciiTheme="minorHAnsi" w:hAnsiTheme="minorHAnsi" w:cstheme="minorHAnsi"/>
          <w:sz w:val="24"/>
        </w:rPr>
      </w:pPr>
      <w:r w:rsidRPr="00BD0203">
        <w:rPr>
          <w:rFonts w:asciiTheme="minorHAnsi" w:eastAsia="Times New Roman" w:hAnsiTheme="minorHAnsi" w:cstheme="minorHAnsi"/>
          <w:sz w:val="24"/>
          <w:lang w:val="en-GB" w:eastAsia="en-US"/>
        </w:rPr>
        <w:t>1.2</w:t>
      </w:r>
      <w:r w:rsidRPr="00BD0203">
        <w:rPr>
          <w:rFonts w:asciiTheme="minorHAnsi" w:eastAsia="Times New Roman" w:hAnsiTheme="minorHAnsi" w:cstheme="minorHAnsi"/>
          <w:sz w:val="24"/>
          <w:lang w:val="en-GB" w:eastAsia="en-US"/>
        </w:rPr>
        <w:tab/>
      </w:r>
      <w:r w:rsidR="00F034E6" w:rsidRPr="00BD0203">
        <w:rPr>
          <w:rFonts w:asciiTheme="minorHAnsi" w:hAnsiTheme="minorHAnsi" w:cstheme="minorHAnsi"/>
          <w:sz w:val="24"/>
        </w:rPr>
        <w:t>The Secretary-General, Mr. Houlin Zhao welcomed the delegates, wished them a Happy New Year and acknowledged the able leadership of the Chairperson, Ms. Vernita Harris. The Secretary-General highlighted the importance given by ITU management on transparency in the financial management of the Union, having undertaken several intensive meetings with the bureaus to ensure a balanced budget that will be presented. He also emphasized the importance of several issues to be broached in this session of CWG-FHR, among which the issue of Gender Balance applauding the ongoing efforts by ITU Management in this regard. The Secretary-General raised concerns whether a physical Council 2021 could be held in June, prior to extending his best wishes for a productive CWG-FHR.</w:t>
      </w:r>
    </w:p>
    <w:p w14:paraId="676A142F" w14:textId="77777777" w:rsidR="000C5BA2" w:rsidRPr="00BD0203" w:rsidRDefault="000C5BA2" w:rsidP="00CD605A">
      <w:pPr>
        <w:tabs>
          <w:tab w:val="left" w:pos="709"/>
        </w:tabs>
        <w:overflowPunct w:val="0"/>
        <w:autoSpaceDE w:val="0"/>
        <w:autoSpaceDN w:val="0"/>
        <w:adjustRightInd w:val="0"/>
        <w:snapToGrid w:val="0"/>
        <w:textAlignment w:val="baseline"/>
        <w:outlineLvl w:val="0"/>
        <w:rPr>
          <w:rFonts w:asciiTheme="minorHAnsi" w:eastAsia="Times New Roman" w:hAnsiTheme="minorHAnsi" w:cstheme="minorHAnsi"/>
          <w:sz w:val="24"/>
          <w:lang w:val="en-GB" w:eastAsia="en-US"/>
        </w:rPr>
      </w:pPr>
    </w:p>
    <w:p w14:paraId="41F69A5C" w14:textId="69AC2C62" w:rsidR="00FE12AF" w:rsidRPr="00BD0203" w:rsidRDefault="00FE12AF" w:rsidP="00CD605A">
      <w:pPr>
        <w:tabs>
          <w:tab w:val="left" w:pos="709"/>
        </w:tabs>
        <w:overflowPunct w:val="0"/>
        <w:autoSpaceDE w:val="0"/>
        <w:autoSpaceDN w:val="0"/>
        <w:adjustRightInd w:val="0"/>
        <w:snapToGrid w:val="0"/>
        <w:textAlignment w:val="baseline"/>
        <w:outlineLvl w:val="0"/>
        <w:rPr>
          <w:rFonts w:asciiTheme="minorHAnsi" w:eastAsia="Times New Roman" w:hAnsiTheme="minorHAnsi" w:cstheme="minorHAnsi"/>
          <w:sz w:val="24"/>
          <w:lang w:val="en-GB" w:eastAsia="en-US"/>
        </w:rPr>
      </w:pPr>
      <w:r w:rsidRPr="00BD0203">
        <w:rPr>
          <w:rFonts w:asciiTheme="minorHAnsi" w:eastAsia="Times New Roman" w:hAnsiTheme="minorHAnsi" w:cstheme="minorHAnsi"/>
          <w:sz w:val="24"/>
          <w:lang w:val="en-GB" w:eastAsia="en-US"/>
        </w:rPr>
        <w:t>1.3</w:t>
      </w:r>
      <w:r w:rsidRPr="00BD0203">
        <w:rPr>
          <w:rFonts w:asciiTheme="minorHAnsi" w:eastAsia="Times New Roman" w:hAnsiTheme="minorHAnsi" w:cstheme="minorHAnsi"/>
          <w:sz w:val="24"/>
          <w:lang w:val="en-GB" w:eastAsia="en-US"/>
        </w:rPr>
        <w:tab/>
        <w:t>The revised Agenda (CWG-FHR 1</w:t>
      </w:r>
      <w:r w:rsidR="00EA43D5" w:rsidRPr="00BD0203">
        <w:rPr>
          <w:rFonts w:asciiTheme="minorHAnsi" w:eastAsia="Times New Roman" w:hAnsiTheme="minorHAnsi" w:cstheme="minorHAnsi"/>
          <w:sz w:val="24"/>
          <w:lang w:val="en-GB" w:eastAsia="en-US"/>
        </w:rPr>
        <w:t>2</w:t>
      </w:r>
      <w:r w:rsidRPr="00BD0203">
        <w:rPr>
          <w:rFonts w:asciiTheme="minorHAnsi" w:eastAsia="Times New Roman" w:hAnsiTheme="minorHAnsi" w:cstheme="minorHAnsi"/>
          <w:sz w:val="24"/>
          <w:lang w:val="en-GB" w:eastAsia="en-US"/>
        </w:rPr>
        <w:t>/1 (Rev. </w:t>
      </w:r>
      <w:r w:rsidR="00EA43D5" w:rsidRPr="00BD0203">
        <w:rPr>
          <w:rFonts w:asciiTheme="minorHAnsi" w:eastAsia="Times New Roman" w:hAnsiTheme="minorHAnsi" w:cstheme="minorHAnsi"/>
          <w:sz w:val="24"/>
          <w:lang w:val="en-GB" w:eastAsia="en-US"/>
        </w:rPr>
        <w:t>3</w:t>
      </w:r>
      <w:r w:rsidRPr="00BD0203">
        <w:rPr>
          <w:rFonts w:asciiTheme="minorHAnsi" w:eastAsia="Times New Roman" w:hAnsiTheme="minorHAnsi" w:cstheme="minorHAnsi"/>
          <w:sz w:val="24"/>
          <w:lang w:val="en-GB" w:eastAsia="en-US"/>
        </w:rPr>
        <w:t>)) was approved.</w:t>
      </w:r>
    </w:p>
    <w:p w14:paraId="5A0C4898" w14:textId="252DE0D4" w:rsidR="0074415C" w:rsidRPr="00BD0203" w:rsidRDefault="0074415C">
      <w:pPr>
        <w:rPr>
          <w:rFonts w:asciiTheme="minorHAnsi" w:hAnsiTheme="minorHAnsi" w:cstheme="minorHAnsi"/>
          <w:b/>
          <w:bCs/>
          <w:sz w:val="24"/>
          <w:lang w:val="en-AU" w:eastAsia="en-US"/>
        </w:rPr>
      </w:pPr>
      <w:r w:rsidRPr="00BD0203">
        <w:rPr>
          <w:rFonts w:asciiTheme="minorHAnsi" w:hAnsiTheme="minorHAnsi" w:cstheme="minorHAnsi"/>
          <w:b/>
          <w:bCs/>
          <w:sz w:val="24"/>
          <w:lang w:val="en-AU" w:eastAsia="en-US"/>
        </w:rPr>
        <w:br w:type="page"/>
      </w:r>
    </w:p>
    <w:p w14:paraId="6C16DFFB" w14:textId="77777777" w:rsidR="000C5BA2" w:rsidRPr="00BD0203" w:rsidRDefault="000C5BA2" w:rsidP="00CD605A">
      <w:pPr>
        <w:tabs>
          <w:tab w:val="left" w:pos="709"/>
        </w:tabs>
        <w:adjustRightInd w:val="0"/>
        <w:snapToGrid w:val="0"/>
        <w:ind w:right="57"/>
        <w:jc w:val="both"/>
        <w:rPr>
          <w:rFonts w:asciiTheme="minorHAnsi" w:hAnsiTheme="minorHAnsi" w:cstheme="minorHAnsi"/>
          <w:b/>
          <w:bCs/>
          <w:sz w:val="24"/>
          <w:lang w:val="en-AU" w:eastAsia="en-US"/>
        </w:rPr>
      </w:pPr>
    </w:p>
    <w:p w14:paraId="2C8C956A" w14:textId="6B954F33" w:rsidR="00FE12AF" w:rsidRPr="00BD0203" w:rsidRDefault="00FE12AF" w:rsidP="00CD605A">
      <w:pPr>
        <w:tabs>
          <w:tab w:val="left" w:pos="709"/>
        </w:tabs>
        <w:adjustRightInd w:val="0"/>
        <w:snapToGrid w:val="0"/>
        <w:ind w:right="57"/>
        <w:jc w:val="both"/>
        <w:rPr>
          <w:rFonts w:asciiTheme="minorHAnsi" w:hAnsiTheme="minorHAnsi" w:cstheme="minorHAnsi"/>
          <w:b/>
          <w:bCs/>
          <w:sz w:val="24"/>
          <w:lang w:val="en-AU" w:eastAsia="en-US"/>
        </w:rPr>
      </w:pPr>
      <w:r w:rsidRPr="00BD0203">
        <w:rPr>
          <w:rFonts w:asciiTheme="minorHAnsi" w:hAnsiTheme="minorHAnsi" w:cstheme="minorHAnsi"/>
          <w:b/>
          <w:bCs/>
          <w:sz w:val="24"/>
          <w:lang w:val="en-AU" w:eastAsia="en-US"/>
        </w:rPr>
        <w:t>2</w:t>
      </w:r>
      <w:r w:rsidRPr="00BD0203">
        <w:rPr>
          <w:rFonts w:asciiTheme="minorHAnsi" w:hAnsiTheme="minorHAnsi" w:cstheme="minorHAnsi"/>
          <w:b/>
          <w:bCs/>
          <w:sz w:val="24"/>
          <w:lang w:val="en-AU" w:eastAsia="en-US"/>
        </w:rPr>
        <w:tab/>
      </w:r>
      <w:r w:rsidRPr="00BD0203">
        <w:rPr>
          <w:rFonts w:asciiTheme="minorHAnsi" w:eastAsia="Times New Roman" w:hAnsiTheme="minorHAnsi" w:cstheme="minorHAnsi"/>
          <w:b/>
          <w:bCs/>
          <w:sz w:val="24"/>
          <w:lang w:val="en-GB" w:eastAsia="en-US"/>
        </w:rPr>
        <w:t>Statement by the Staff Council</w:t>
      </w:r>
    </w:p>
    <w:p w14:paraId="3E42CFA8" w14:textId="77777777" w:rsidR="000C5BA2" w:rsidRPr="00BD0203" w:rsidRDefault="000C5BA2" w:rsidP="00CD605A">
      <w:pPr>
        <w:tabs>
          <w:tab w:val="left" w:pos="709"/>
          <w:tab w:val="left" w:pos="1134"/>
          <w:tab w:val="left" w:pos="1701"/>
          <w:tab w:val="left" w:pos="2268"/>
          <w:tab w:val="left" w:pos="2835"/>
        </w:tabs>
        <w:overflowPunct w:val="0"/>
        <w:autoSpaceDE w:val="0"/>
        <w:autoSpaceDN w:val="0"/>
        <w:adjustRightInd w:val="0"/>
        <w:snapToGrid w:val="0"/>
        <w:ind w:right="57"/>
        <w:textAlignment w:val="baseline"/>
        <w:rPr>
          <w:rFonts w:asciiTheme="minorHAnsi" w:eastAsia="Times New Roman" w:hAnsiTheme="minorHAnsi" w:cstheme="minorHAnsi"/>
          <w:sz w:val="24"/>
          <w:lang w:val="en-GB"/>
        </w:rPr>
      </w:pPr>
    </w:p>
    <w:p w14:paraId="284CBCC1" w14:textId="4AFC1B87" w:rsidR="00FE12AF" w:rsidRPr="00BD0203" w:rsidRDefault="00FE12AF" w:rsidP="00CD605A">
      <w:pPr>
        <w:tabs>
          <w:tab w:val="left" w:pos="709"/>
          <w:tab w:val="left" w:pos="1134"/>
          <w:tab w:val="left" w:pos="1701"/>
          <w:tab w:val="left" w:pos="2268"/>
          <w:tab w:val="left" w:pos="2835"/>
        </w:tabs>
        <w:overflowPunct w:val="0"/>
        <w:autoSpaceDE w:val="0"/>
        <w:autoSpaceDN w:val="0"/>
        <w:adjustRightInd w:val="0"/>
        <w:snapToGrid w:val="0"/>
        <w:ind w:right="57"/>
        <w:textAlignment w:val="baseline"/>
        <w:rPr>
          <w:rFonts w:asciiTheme="minorHAnsi" w:eastAsia="Times New Roman" w:hAnsiTheme="minorHAnsi" w:cstheme="minorHAnsi"/>
          <w:sz w:val="24"/>
          <w:lang w:eastAsia="en-US"/>
        </w:rPr>
      </w:pPr>
      <w:r w:rsidRPr="00BD0203">
        <w:rPr>
          <w:rFonts w:asciiTheme="minorHAnsi" w:eastAsia="Times New Roman" w:hAnsiTheme="minorHAnsi" w:cstheme="minorHAnsi"/>
          <w:sz w:val="24"/>
          <w:lang w:val="en-GB"/>
        </w:rPr>
        <w:t>2.1</w:t>
      </w:r>
      <w:r w:rsidRPr="00BD0203">
        <w:rPr>
          <w:rFonts w:asciiTheme="minorHAnsi" w:eastAsia="Times New Roman" w:hAnsiTheme="minorHAnsi" w:cstheme="minorHAnsi"/>
          <w:sz w:val="24"/>
          <w:lang w:val="en-GB"/>
        </w:rPr>
        <w:tab/>
        <w:t>The statement</w:t>
      </w:r>
      <w:r w:rsidR="006D30E2" w:rsidRPr="00BD0203">
        <w:rPr>
          <w:rFonts w:asciiTheme="minorHAnsi" w:eastAsia="Times New Roman" w:hAnsiTheme="minorHAnsi" w:cstheme="minorHAnsi"/>
          <w:sz w:val="24"/>
          <w:lang w:val="en-GB"/>
        </w:rPr>
        <w:t xml:space="preserve"> which is to be found in Document </w:t>
      </w:r>
      <w:hyperlink r:id="rId13" w:history="1">
        <w:r w:rsidR="006D30E2" w:rsidRPr="00BD0203">
          <w:rPr>
            <w:rStyle w:val="Hyperlink"/>
            <w:rFonts w:asciiTheme="minorHAnsi" w:eastAsia="Times New Roman" w:hAnsiTheme="minorHAnsi" w:cstheme="minorHAnsi"/>
            <w:color w:val="auto"/>
            <w:sz w:val="24"/>
            <w:lang w:val="en-GB"/>
          </w:rPr>
          <w:t>CWG-FHR-1</w:t>
        </w:r>
        <w:r w:rsidR="00EA43D5" w:rsidRPr="00BD0203">
          <w:rPr>
            <w:rStyle w:val="Hyperlink"/>
            <w:rFonts w:asciiTheme="minorHAnsi" w:eastAsia="Times New Roman" w:hAnsiTheme="minorHAnsi" w:cstheme="minorHAnsi"/>
            <w:color w:val="auto"/>
            <w:sz w:val="24"/>
            <w:lang w:val="en-GB"/>
          </w:rPr>
          <w:t>2</w:t>
        </w:r>
        <w:r w:rsidR="006D30E2" w:rsidRPr="00BD0203">
          <w:rPr>
            <w:rStyle w:val="Hyperlink"/>
            <w:rFonts w:asciiTheme="minorHAnsi" w:eastAsia="Times New Roman" w:hAnsiTheme="minorHAnsi" w:cstheme="minorHAnsi"/>
            <w:color w:val="auto"/>
            <w:sz w:val="24"/>
            <w:lang w:val="en-GB"/>
          </w:rPr>
          <w:t>/INF</w:t>
        </w:r>
        <w:r w:rsidR="009165A7" w:rsidRPr="00BD0203">
          <w:rPr>
            <w:rStyle w:val="Hyperlink"/>
            <w:rFonts w:asciiTheme="minorHAnsi" w:eastAsia="Times New Roman" w:hAnsiTheme="minorHAnsi" w:cstheme="minorHAnsi"/>
            <w:color w:val="auto"/>
            <w:sz w:val="24"/>
            <w:lang w:val="en-GB"/>
          </w:rPr>
          <w:t>-</w:t>
        </w:r>
        <w:r w:rsidR="006D30E2" w:rsidRPr="00BD0203">
          <w:rPr>
            <w:rStyle w:val="Hyperlink"/>
            <w:rFonts w:asciiTheme="minorHAnsi" w:eastAsia="Times New Roman" w:hAnsiTheme="minorHAnsi" w:cstheme="minorHAnsi"/>
            <w:color w:val="auto"/>
            <w:sz w:val="24"/>
            <w:lang w:val="en-GB"/>
          </w:rPr>
          <w:t>2</w:t>
        </w:r>
      </w:hyperlink>
      <w:r w:rsidR="006D30E2" w:rsidRPr="00BD0203">
        <w:rPr>
          <w:rFonts w:asciiTheme="minorHAnsi" w:eastAsia="Times New Roman" w:hAnsiTheme="minorHAnsi" w:cstheme="minorHAnsi"/>
          <w:sz w:val="24"/>
          <w:lang w:val="en-GB"/>
        </w:rPr>
        <w:t xml:space="preserve"> </w:t>
      </w:r>
      <w:r w:rsidRPr="00BD0203">
        <w:rPr>
          <w:rFonts w:asciiTheme="minorHAnsi" w:eastAsia="Times New Roman" w:hAnsiTheme="minorHAnsi" w:cstheme="minorHAnsi"/>
          <w:sz w:val="24"/>
          <w:lang w:val="en-GB"/>
        </w:rPr>
        <w:t>was made by the Chairman of the Staff Council, Mr. Maximilian Jacobson-Gonzalez.</w:t>
      </w:r>
    </w:p>
    <w:p w14:paraId="270884EF" w14:textId="29AAB87F" w:rsidR="00EA43D5" w:rsidRPr="00BD0203" w:rsidRDefault="00EA43D5" w:rsidP="00CD605A">
      <w:pPr>
        <w:rPr>
          <w:rFonts w:asciiTheme="minorHAnsi" w:hAnsiTheme="minorHAnsi" w:cstheme="minorHAnsi"/>
          <w:b/>
          <w:bCs/>
          <w:sz w:val="24"/>
        </w:rPr>
      </w:pPr>
    </w:p>
    <w:p w14:paraId="66BA8CCF" w14:textId="1352B9D4" w:rsidR="006C080D" w:rsidRPr="00BD0203" w:rsidRDefault="00DC7AEA" w:rsidP="00CD605A">
      <w:pPr>
        <w:tabs>
          <w:tab w:val="left" w:pos="709"/>
          <w:tab w:val="left" w:pos="1134"/>
          <w:tab w:val="left" w:pos="1701"/>
          <w:tab w:val="left" w:pos="2268"/>
          <w:tab w:val="left" w:pos="2835"/>
        </w:tabs>
        <w:overflowPunct w:val="0"/>
        <w:autoSpaceDE w:val="0"/>
        <w:autoSpaceDN w:val="0"/>
        <w:adjustRightInd w:val="0"/>
        <w:snapToGrid w:val="0"/>
        <w:textAlignment w:val="baseline"/>
        <w:rPr>
          <w:rFonts w:asciiTheme="minorHAnsi" w:hAnsiTheme="minorHAnsi" w:cstheme="minorHAnsi"/>
          <w:b/>
          <w:bCs/>
          <w:sz w:val="24"/>
        </w:rPr>
      </w:pPr>
      <w:r w:rsidRPr="00BD0203">
        <w:rPr>
          <w:rFonts w:asciiTheme="minorHAnsi" w:hAnsiTheme="minorHAnsi" w:cstheme="minorHAnsi"/>
          <w:b/>
          <w:bCs/>
          <w:sz w:val="24"/>
        </w:rPr>
        <w:t>3</w:t>
      </w:r>
      <w:r w:rsidRPr="00BD0203">
        <w:rPr>
          <w:rFonts w:asciiTheme="minorHAnsi" w:hAnsiTheme="minorHAnsi" w:cstheme="minorHAnsi"/>
          <w:b/>
          <w:bCs/>
          <w:sz w:val="24"/>
        </w:rPr>
        <w:tab/>
      </w:r>
      <w:bookmarkStart w:id="7" w:name="_Hlk31803865"/>
      <w:r w:rsidR="001D0884" w:rsidRPr="00BD0203">
        <w:rPr>
          <w:rFonts w:asciiTheme="minorHAnsi" w:hAnsiTheme="minorHAnsi" w:cstheme="minorHAnsi"/>
          <w:b/>
          <w:bCs/>
          <w:sz w:val="24"/>
        </w:rPr>
        <w:t>Budge</w:t>
      </w:r>
      <w:r w:rsidR="005E4E84" w:rsidRPr="00BD0203">
        <w:rPr>
          <w:rFonts w:asciiTheme="minorHAnsi" w:hAnsiTheme="minorHAnsi" w:cstheme="minorHAnsi"/>
          <w:b/>
          <w:bCs/>
          <w:sz w:val="24"/>
        </w:rPr>
        <w:t>t</w:t>
      </w:r>
      <w:r w:rsidR="001D0884" w:rsidRPr="00BD0203">
        <w:rPr>
          <w:rFonts w:asciiTheme="minorHAnsi" w:hAnsiTheme="minorHAnsi" w:cstheme="minorHAnsi"/>
          <w:b/>
          <w:bCs/>
          <w:sz w:val="24"/>
        </w:rPr>
        <w:t xml:space="preserve"> and Financial</w:t>
      </w:r>
    </w:p>
    <w:p w14:paraId="4BDF91DC" w14:textId="5828A6E3" w:rsidR="001D0884" w:rsidRPr="00BD0203" w:rsidRDefault="001D0884" w:rsidP="00CD605A">
      <w:pPr>
        <w:tabs>
          <w:tab w:val="left" w:pos="709"/>
          <w:tab w:val="left" w:pos="1134"/>
          <w:tab w:val="left" w:pos="1701"/>
          <w:tab w:val="left" w:pos="2268"/>
          <w:tab w:val="left" w:pos="2835"/>
        </w:tabs>
        <w:overflowPunct w:val="0"/>
        <w:autoSpaceDE w:val="0"/>
        <w:autoSpaceDN w:val="0"/>
        <w:adjustRightInd w:val="0"/>
        <w:snapToGrid w:val="0"/>
        <w:textAlignment w:val="baseline"/>
        <w:rPr>
          <w:rFonts w:asciiTheme="minorHAnsi" w:hAnsiTheme="minorHAnsi" w:cstheme="minorHAnsi"/>
          <w:b/>
          <w:bCs/>
          <w:sz w:val="24"/>
        </w:rPr>
      </w:pPr>
    </w:p>
    <w:p w14:paraId="30BE69AB" w14:textId="347567B6" w:rsidR="001D0884" w:rsidRPr="00BD0203" w:rsidRDefault="001D0884" w:rsidP="00CD605A">
      <w:pPr>
        <w:pStyle w:val="ListParagraph"/>
        <w:numPr>
          <w:ilvl w:val="0"/>
          <w:numId w:val="29"/>
        </w:numPr>
        <w:tabs>
          <w:tab w:val="left" w:pos="709"/>
        </w:tabs>
        <w:overflowPunct w:val="0"/>
        <w:autoSpaceDE w:val="0"/>
        <w:autoSpaceDN w:val="0"/>
        <w:adjustRightInd w:val="0"/>
        <w:snapToGrid w:val="0"/>
        <w:textAlignment w:val="baseline"/>
        <w:rPr>
          <w:rStyle w:val="Hyperlink"/>
          <w:rFonts w:asciiTheme="minorHAnsi" w:hAnsiTheme="minorHAnsi" w:cstheme="minorHAnsi"/>
          <w:b/>
          <w:color w:val="auto"/>
          <w:sz w:val="24"/>
        </w:rPr>
      </w:pPr>
      <w:r w:rsidRPr="00BD0203">
        <w:rPr>
          <w:rFonts w:asciiTheme="minorHAnsi" w:hAnsiTheme="minorHAnsi" w:cstheme="minorHAnsi"/>
          <w:b/>
          <w:sz w:val="24"/>
        </w:rPr>
        <w:t xml:space="preserve"> Preparation of the draft biennial </w:t>
      </w:r>
      <w:r w:rsidR="00CD605A" w:rsidRPr="00BD0203">
        <w:rPr>
          <w:rFonts w:asciiTheme="minorHAnsi" w:hAnsiTheme="minorHAnsi" w:cstheme="minorHAnsi"/>
          <w:b/>
          <w:sz w:val="24"/>
        </w:rPr>
        <w:t>B</w:t>
      </w:r>
      <w:r w:rsidRPr="00BD0203">
        <w:rPr>
          <w:rFonts w:asciiTheme="minorHAnsi" w:hAnsiTheme="minorHAnsi" w:cstheme="minorHAnsi"/>
          <w:b/>
          <w:sz w:val="24"/>
        </w:rPr>
        <w:t xml:space="preserve">udget of the Union for 2022-2023 </w:t>
      </w:r>
      <w:r w:rsidRPr="00BD0203">
        <w:rPr>
          <w:rFonts w:asciiTheme="minorHAnsi" w:hAnsiTheme="minorHAnsi" w:cstheme="minorHAnsi"/>
          <w:b/>
          <w:sz w:val="24"/>
        </w:rPr>
        <w:br/>
        <w:t xml:space="preserve">(Document </w:t>
      </w:r>
      <w:hyperlink r:id="rId14" w:history="1">
        <w:r w:rsidRPr="00BD0203">
          <w:rPr>
            <w:rStyle w:val="Hyperlink"/>
            <w:rFonts w:asciiTheme="minorHAnsi" w:hAnsiTheme="minorHAnsi" w:cstheme="minorHAnsi"/>
            <w:b/>
            <w:color w:val="auto"/>
            <w:sz w:val="24"/>
          </w:rPr>
          <w:t>CWG-FHR-12/2</w:t>
        </w:r>
      </w:hyperlink>
      <w:r w:rsidR="008C24BE" w:rsidRPr="00BD0203">
        <w:rPr>
          <w:rStyle w:val="Hyperlink"/>
          <w:rFonts w:asciiTheme="minorHAnsi" w:hAnsiTheme="minorHAnsi" w:cstheme="minorHAnsi"/>
          <w:b/>
          <w:color w:val="auto"/>
          <w:sz w:val="24"/>
        </w:rPr>
        <w:t>)</w:t>
      </w:r>
    </w:p>
    <w:p w14:paraId="2E9F08C4" w14:textId="77777777" w:rsidR="00862631" w:rsidRPr="00BD0203" w:rsidRDefault="00862631" w:rsidP="00CD605A">
      <w:pPr>
        <w:tabs>
          <w:tab w:val="left" w:pos="709"/>
        </w:tabs>
        <w:overflowPunct w:val="0"/>
        <w:autoSpaceDE w:val="0"/>
        <w:autoSpaceDN w:val="0"/>
        <w:adjustRightInd w:val="0"/>
        <w:snapToGrid w:val="0"/>
        <w:textAlignment w:val="baseline"/>
        <w:rPr>
          <w:rStyle w:val="Hyperlink"/>
          <w:rFonts w:asciiTheme="minorHAnsi" w:hAnsiTheme="minorHAnsi" w:cstheme="minorHAnsi"/>
          <w:b/>
          <w:color w:val="auto"/>
          <w:sz w:val="24"/>
        </w:rPr>
      </w:pPr>
    </w:p>
    <w:p w14:paraId="18646703" w14:textId="731493A5" w:rsidR="00862631" w:rsidRPr="00BD0203" w:rsidRDefault="00CD605A" w:rsidP="00CD605A">
      <w:pPr>
        <w:tabs>
          <w:tab w:val="left" w:pos="0"/>
        </w:tabs>
        <w:snapToGrid w:val="0"/>
        <w:outlineLvl w:val="0"/>
        <w:rPr>
          <w:rFonts w:asciiTheme="minorHAnsi" w:hAnsiTheme="minorHAnsi" w:cstheme="minorHAnsi"/>
          <w:sz w:val="24"/>
        </w:rPr>
      </w:pPr>
      <w:r w:rsidRPr="00BD0203">
        <w:rPr>
          <w:rFonts w:asciiTheme="minorHAnsi" w:hAnsiTheme="minorHAnsi" w:cstheme="minorHAnsi"/>
          <w:sz w:val="24"/>
        </w:rPr>
        <w:t>3.1</w:t>
      </w:r>
      <w:r w:rsidRPr="00BD0203">
        <w:rPr>
          <w:rFonts w:asciiTheme="minorHAnsi" w:hAnsiTheme="minorHAnsi" w:cstheme="minorHAnsi"/>
          <w:sz w:val="24"/>
        </w:rPr>
        <w:tab/>
      </w:r>
      <w:r w:rsidR="00862631" w:rsidRPr="00BD0203">
        <w:rPr>
          <w:rFonts w:asciiTheme="minorHAnsi" w:hAnsiTheme="minorHAnsi" w:cstheme="minorHAnsi"/>
          <w:sz w:val="24"/>
        </w:rPr>
        <w:t xml:space="preserve">The draft biennial Budget of the Union for 2022-2023 was presented by the </w:t>
      </w:r>
      <w:r w:rsidR="00FD258C" w:rsidRPr="00BD0203">
        <w:rPr>
          <w:rFonts w:asciiTheme="minorHAnsi" w:hAnsiTheme="minorHAnsi" w:cstheme="minorHAnsi"/>
          <w:sz w:val="24"/>
        </w:rPr>
        <w:t>s</w:t>
      </w:r>
      <w:r w:rsidR="00862631" w:rsidRPr="00BD0203">
        <w:rPr>
          <w:rFonts w:asciiTheme="minorHAnsi" w:hAnsiTheme="minorHAnsi" w:cstheme="minorHAnsi"/>
          <w:sz w:val="24"/>
        </w:rPr>
        <w:t>ecretariat based on Decision 5 (Rev. Dubai, 2018) and associated guidelines.</w:t>
      </w:r>
    </w:p>
    <w:p w14:paraId="5ED09FA7" w14:textId="77777777" w:rsidR="00862631" w:rsidRPr="00BD0203" w:rsidRDefault="00862631" w:rsidP="00CD605A">
      <w:pPr>
        <w:tabs>
          <w:tab w:val="left" w:pos="0"/>
        </w:tabs>
        <w:snapToGrid w:val="0"/>
        <w:outlineLvl w:val="0"/>
        <w:rPr>
          <w:rFonts w:asciiTheme="minorHAnsi" w:hAnsiTheme="minorHAnsi" w:cstheme="minorHAnsi"/>
          <w:sz w:val="24"/>
        </w:rPr>
      </w:pPr>
    </w:p>
    <w:p w14:paraId="0489A10A" w14:textId="71BD83E3" w:rsidR="00862631" w:rsidRPr="00BD0203" w:rsidRDefault="00CF6F28" w:rsidP="00CD605A">
      <w:pPr>
        <w:tabs>
          <w:tab w:val="left" w:pos="0"/>
        </w:tabs>
        <w:snapToGrid w:val="0"/>
        <w:outlineLvl w:val="0"/>
        <w:rPr>
          <w:rFonts w:asciiTheme="minorHAnsi" w:hAnsiTheme="minorHAnsi" w:cstheme="minorHAnsi"/>
          <w:sz w:val="24"/>
        </w:rPr>
      </w:pPr>
      <w:r w:rsidRPr="00BD0203">
        <w:rPr>
          <w:rFonts w:asciiTheme="minorHAnsi" w:hAnsiTheme="minorHAnsi" w:cstheme="minorHAnsi"/>
          <w:sz w:val="24"/>
        </w:rPr>
        <w:t>3.2</w:t>
      </w:r>
      <w:r w:rsidRPr="00BD0203">
        <w:rPr>
          <w:rFonts w:asciiTheme="minorHAnsi" w:hAnsiTheme="minorHAnsi" w:cstheme="minorHAnsi"/>
          <w:sz w:val="24"/>
        </w:rPr>
        <w:tab/>
        <w:t>T</w:t>
      </w:r>
      <w:r w:rsidR="00862631" w:rsidRPr="00BD0203">
        <w:rPr>
          <w:rFonts w:asciiTheme="minorHAnsi" w:hAnsiTheme="minorHAnsi" w:cstheme="minorHAnsi"/>
          <w:sz w:val="24"/>
        </w:rPr>
        <w:t xml:space="preserve">he amount of the contributory unit to be paid by Member States of CHF 318,000 has been maintained resulting in zero nominal growth since 2016.  Expenses and revenue are balanced without any </w:t>
      </w:r>
      <w:bookmarkStart w:id="8" w:name="_Hlk62547690"/>
      <w:r w:rsidR="00862631" w:rsidRPr="00BD0203">
        <w:rPr>
          <w:rFonts w:asciiTheme="minorHAnsi" w:hAnsiTheme="minorHAnsi" w:cstheme="minorHAnsi"/>
          <w:sz w:val="24"/>
        </w:rPr>
        <w:t>withdrawal from the Reserve Account</w:t>
      </w:r>
      <w:bookmarkEnd w:id="8"/>
      <w:r w:rsidR="00862631" w:rsidRPr="00BD0203">
        <w:rPr>
          <w:rFonts w:asciiTheme="minorHAnsi" w:hAnsiTheme="minorHAnsi" w:cstheme="minorHAnsi"/>
          <w:sz w:val="24"/>
        </w:rPr>
        <w:t>.</w:t>
      </w:r>
    </w:p>
    <w:p w14:paraId="2EF3A82B" w14:textId="77777777" w:rsidR="00862631" w:rsidRPr="00BD0203" w:rsidRDefault="00862631" w:rsidP="00CD605A">
      <w:pPr>
        <w:tabs>
          <w:tab w:val="left" w:pos="0"/>
        </w:tabs>
        <w:snapToGrid w:val="0"/>
        <w:outlineLvl w:val="0"/>
        <w:rPr>
          <w:rFonts w:asciiTheme="minorHAnsi" w:hAnsiTheme="minorHAnsi" w:cstheme="minorHAnsi"/>
          <w:sz w:val="24"/>
        </w:rPr>
      </w:pPr>
    </w:p>
    <w:p w14:paraId="5487418D" w14:textId="433519C6" w:rsidR="00862631" w:rsidRPr="00BD0203" w:rsidRDefault="00CF6F28" w:rsidP="00CD605A">
      <w:pPr>
        <w:tabs>
          <w:tab w:val="left" w:pos="0"/>
        </w:tabs>
        <w:snapToGrid w:val="0"/>
        <w:outlineLvl w:val="0"/>
        <w:rPr>
          <w:rFonts w:asciiTheme="minorHAnsi" w:hAnsiTheme="minorHAnsi" w:cstheme="minorHAnsi"/>
          <w:sz w:val="24"/>
        </w:rPr>
      </w:pPr>
      <w:r w:rsidRPr="00BD0203">
        <w:rPr>
          <w:rFonts w:asciiTheme="minorHAnsi" w:hAnsiTheme="minorHAnsi" w:cstheme="minorHAnsi"/>
          <w:sz w:val="24"/>
        </w:rPr>
        <w:t>3.3</w:t>
      </w:r>
      <w:r w:rsidRPr="00BD0203">
        <w:rPr>
          <w:rFonts w:asciiTheme="minorHAnsi" w:hAnsiTheme="minorHAnsi" w:cstheme="minorHAnsi"/>
          <w:sz w:val="24"/>
        </w:rPr>
        <w:tab/>
      </w:r>
      <w:r w:rsidR="00862631" w:rsidRPr="00BD0203">
        <w:rPr>
          <w:rFonts w:asciiTheme="minorHAnsi" w:hAnsiTheme="minorHAnsi" w:cstheme="minorHAnsi"/>
          <w:sz w:val="24"/>
        </w:rPr>
        <w:t>As in previous budgets, a five per cent vacancy rate has been applied which implies recruitment delays, part-time service and leave without pay. Nevertheless, the implementation of the vacancy rate will pose as a significant challenge in the management of vacant positions and the recruitment process.</w:t>
      </w:r>
    </w:p>
    <w:p w14:paraId="63EAA672" w14:textId="77777777" w:rsidR="00862631" w:rsidRPr="00BD0203" w:rsidRDefault="00862631" w:rsidP="00CD605A">
      <w:pPr>
        <w:tabs>
          <w:tab w:val="left" w:pos="0"/>
        </w:tabs>
        <w:snapToGrid w:val="0"/>
        <w:outlineLvl w:val="0"/>
        <w:rPr>
          <w:rFonts w:asciiTheme="minorHAnsi" w:hAnsiTheme="minorHAnsi" w:cstheme="minorHAnsi"/>
          <w:sz w:val="24"/>
        </w:rPr>
      </w:pPr>
    </w:p>
    <w:p w14:paraId="3C0056A8" w14:textId="29925E7F" w:rsidR="00862631" w:rsidRPr="00BD0203" w:rsidRDefault="00CF6F28" w:rsidP="00CD605A">
      <w:pPr>
        <w:tabs>
          <w:tab w:val="left" w:pos="0"/>
        </w:tabs>
        <w:snapToGrid w:val="0"/>
        <w:outlineLvl w:val="0"/>
        <w:rPr>
          <w:rFonts w:asciiTheme="minorHAnsi" w:hAnsiTheme="minorHAnsi" w:cstheme="minorHAnsi"/>
          <w:sz w:val="24"/>
        </w:rPr>
      </w:pPr>
      <w:r w:rsidRPr="00BD0203">
        <w:rPr>
          <w:rFonts w:asciiTheme="minorHAnsi" w:hAnsiTheme="minorHAnsi" w:cstheme="minorHAnsi"/>
          <w:sz w:val="24"/>
        </w:rPr>
        <w:t>3.4</w:t>
      </w:r>
      <w:r w:rsidRPr="00BD0203">
        <w:rPr>
          <w:rFonts w:asciiTheme="minorHAnsi" w:hAnsiTheme="minorHAnsi" w:cstheme="minorHAnsi"/>
          <w:sz w:val="24"/>
        </w:rPr>
        <w:tab/>
      </w:r>
      <w:r w:rsidR="00862631" w:rsidRPr="00BD0203">
        <w:rPr>
          <w:rFonts w:asciiTheme="minorHAnsi" w:hAnsiTheme="minorHAnsi" w:cstheme="minorHAnsi"/>
          <w:sz w:val="24"/>
        </w:rPr>
        <w:t>The 2022-2023 draft Budget totals CHF 326.186 million which is CHF 5.827 million lower than the 2020-2021 Budget. As compared to the Financial Plan, the 2022-2023 draft budget is lower by CHF 3.768 million.</w:t>
      </w:r>
    </w:p>
    <w:p w14:paraId="74092C71" w14:textId="77777777" w:rsidR="00862631" w:rsidRPr="00BD0203" w:rsidRDefault="00862631" w:rsidP="00CD605A">
      <w:pPr>
        <w:tabs>
          <w:tab w:val="left" w:pos="0"/>
        </w:tabs>
        <w:snapToGrid w:val="0"/>
        <w:outlineLvl w:val="0"/>
        <w:rPr>
          <w:rFonts w:asciiTheme="minorHAnsi" w:hAnsiTheme="minorHAnsi" w:cstheme="minorHAnsi"/>
          <w:sz w:val="24"/>
        </w:rPr>
      </w:pPr>
    </w:p>
    <w:p w14:paraId="1EFADAD9" w14:textId="5344941C" w:rsidR="00862631" w:rsidRPr="00BD0203" w:rsidRDefault="00CF6F28" w:rsidP="00CF6F28">
      <w:pPr>
        <w:pStyle w:val="NormalWeb"/>
        <w:spacing w:after="120" w:line="240" w:lineRule="auto"/>
        <w:rPr>
          <w:rFonts w:asciiTheme="minorHAnsi" w:hAnsiTheme="minorHAnsi" w:cstheme="minorHAnsi"/>
          <w:color w:val="auto"/>
        </w:rPr>
      </w:pPr>
      <w:r w:rsidRPr="00BD0203">
        <w:rPr>
          <w:rFonts w:asciiTheme="minorHAnsi" w:hAnsiTheme="minorHAnsi" w:cstheme="minorHAnsi"/>
          <w:color w:val="auto"/>
        </w:rPr>
        <w:t>3.5</w:t>
      </w:r>
      <w:r w:rsidRPr="00BD0203">
        <w:rPr>
          <w:rFonts w:asciiTheme="minorHAnsi" w:hAnsiTheme="minorHAnsi" w:cstheme="minorHAnsi"/>
          <w:color w:val="auto"/>
        </w:rPr>
        <w:tab/>
      </w:r>
      <w:r w:rsidR="00862631" w:rsidRPr="00BD0203">
        <w:rPr>
          <w:rFonts w:asciiTheme="minorHAnsi" w:hAnsiTheme="minorHAnsi" w:cstheme="minorHAnsi"/>
          <w:color w:val="auto"/>
        </w:rPr>
        <w:t>The draft budget is based on the programme of activities of the Union, which includes three major events:</w:t>
      </w:r>
    </w:p>
    <w:p w14:paraId="18AA6A9C" w14:textId="08F2CCB8" w:rsidR="00862631" w:rsidRPr="00BD0203" w:rsidRDefault="00862631" w:rsidP="00CF6F28">
      <w:pPr>
        <w:pStyle w:val="NormalWeb"/>
        <w:numPr>
          <w:ilvl w:val="0"/>
          <w:numId w:val="36"/>
        </w:numPr>
        <w:tabs>
          <w:tab w:val="left" w:pos="993"/>
        </w:tabs>
        <w:spacing w:after="0" w:line="240" w:lineRule="auto"/>
        <w:ind w:hanging="11"/>
        <w:rPr>
          <w:rFonts w:asciiTheme="minorHAnsi" w:hAnsiTheme="minorHAnsi" w:cstheme="minorHAnsi"/>
          <w:color w:val="auto"/>
        </w:rPr>
      </w:pPr>
      <w:r w:rsidRPr="00BD0203">
        <w:rPr>
          <w:rFonts w:asciiTheme="minorHAnsi" w:hAnsiTheme="minorHAnsi" w:cstheme="minorHAnsi"/>
          <w:color w:val="auto"/>
        </w:rPr>
        <w:t>The Plenipotentiary Conference (PP</w:t>
      </w:r>
      <w:r w:rsidR="00CF6F28" w:rsidRPr="00BD0203">
        <w:rPr>
          <w:rFonts w:asciiTheme="minorHAnsi" w:hAnsiTheme="minorHAnsi" w:cstheme="minorHAnsi"/>
          <w:color w:val="auto"/>
        </w:rPr>
        <w:t>-</w:t>
      </w:r>
      <w:r w:rsidRPr="00BD0203">
        <w:rPr>
          <w:rFonts w:asciiTheme="minorHAnsi" w:hAnsiTheme="minorHAnsi" w:cstheme="minorHAnsi"/>
          <w:color w:val="auto"/>
        </w:rPr>
        <w:t>22)</w:t>
      </w:r>
      <w:r w:rsidR="00CF6F28" w:rsidRPr="00BD0203">
        <w:rPr>
          <w:rFonts w:asciiTheme="minorHAnsi" w:hAnsiTheme="minorHAnsi" w:cstheme="minorHAnsi"/>
          <w:color w:val="auto"/>
        </w:rPr>
        <w:t>;</w:t>
      </w:r>
    </w:p>
    <w:p w14:paraId="5CC8A9DA" w14:textId="6D2EE30A" w:rsidR="00862631" w:rsidRPr="00BD0203" w:rsidRDefault="00862631" w:rsidP="00CF6F28">
      <w:pPr>
        <w:pStyle w:val="NormalWeb"/>
        <w:numPr>
          <w:ilvl w:val="0"/>
          <w:numId w:val="36"/>
        </w:numPr>
        <w:tabs>
          <w:tab w:val="left" w:pos="993"/>
        </w:tabs>
        <w:spacing w:after="0" w:line="240" w:lineRule="auto"/>
        <w:ind w:hanging="11"/>
        <w:rPr>
          <w:rFonts w:asciiTheme="minorHAnsi" w:hAnsiTheme="minorHAnsi" w:cstheme="minorHAnsi"/>
          <w:color w:val="auto"/>
        </w:rPr>
      </w:pPr>
      <w:r w:rsidRPr="00BD0203">
        <w:rPr>
          <w:rFonts w:asciiTheme="minorHAnsi" w:hAnsiTheme="minorHAnsi" w:cstheme="minorHAnsi"/>
          <w:color w:val="auto"/>
        </w:rPr>
        <w:t>The World Radiocommunication Conference (WRC</w:t>
      </w:r>
      <w:r w:rsidR="00CF6F28" w:rsidRPr="00BD0203">
        <w:rPr>
          <w:rFonts w:asciiTheme="minorHAnsi" w:hAnsiTheme="minorHAnsi" w:cstheme="minorHAnsi"/>
          <w:color w:val="auto"/>
        </w:rPr>
        <w:t>-</w:t>
      </w:r>
      <w:r w:rsidRPr="00BD0203">
        <w:rPr>
          <w:rFonts w:asciiTheme="minorHAnsi" w:hAnsiTheme="minorHAnsi" w:cstheme="minorHAnsi"/>
          <w:color w:val="auto"/>
        </w:rPr>
        <w:t>23)</w:t>
      </w:r>
      <w:r w:rsidR="00CF6F28" w:rsidRPr="00BD0203">
        <w:rPr>
          <w:rFonts w:asciiTheme="minorHAnsi" w:hAnsiTheme="minorHAnsi" w:cstheme="minorHAnsi"/>
          <w:color w:val="auto"/>
        </w:rPr>
        <w:t>;</w:t>
      </w:r>
    </w:p>
    <w:p w14:paraId="1928FF77" w14:textId="6C65DC15" w:rsidR="00862631" w:rsidRPr="00BD0203" w:rsidRDefault="00862631" w:rsidP="00CF6F28">
      <w:pPr>
        <w:pStyle w:val="NormalWeb"/>
        <w:numPr>
          <w:ilvl w:val="0"/>
          <w:numId w:val="36"/>
        </w:numPr>
        <w:tabs>
          <w:tab w:val="left" w:pos="993"/>
        </w:tabs>
        <w:spacing w:after="0" w:line="240" w:lineRule="auto"/>
        <w:ind w:left="993" w:hanging="284"/>
        <w:rPr>
          <w:rFonts w:asciiTheme="minorHAnsi" w:hAnsiTheme="minorHAnsi" w:cstheme="minorHAnsi"/>
          <w:color w:val="auto"/>
        </w:rPr>
      </w:pPr>
      <w:r w:rsidRPr="00BD0203">
        <w:rPr>
          <w:rFonts w:asciiTheme="minorHAnsi" w:hAnsiTheme="minorHAnsi" w:cstheme="minorHAnsi"/>
          <w:color w:val="auto"/>
        </w:rPr>
        <w:t>The World Telecommunication Standardization Assembly, originally foreseen in 2020 and postponed to 2022, funded by differed funding from the 2020-2021 budget.</w:t>
      </w:r>
    </w:p>
    <w:p w14:paraId="54DD47F4" w14:textId="77777777" w:rsidR="00862631" w:rsidRPr="00BD0203" w:rsidRDefault="00862631" w:rsidP="00CD605A">
      <w:pPr>
        <w:tabs>
          <w:tab w:val="left" w:pos="0"/>
        </w:tabs>
        <w:snapToGrid w:val="0"/>
        <w:outlineLvl w:val="0"/>
        <w:rPr>
          <w:rFonts w:asciiTheme="minorHAnsi" w:hAnsiTheme="minorHAnsi" w:cstheme="minorHAnsi"/>
          <w:sz w:val="24"/>
        </w:rPr>
      </w:pPr>
    </w:p>
    <w:p w14:paraId="481E3FAB" w14:textId="4553F2E8" w:rsidR="00862631" w:rsidRPr="00BD0203" w:rsidRDefault="00CF6F28" w:rsidP="00CD605A">
      <w:pPr>
        <w:tabs>
          <w:tab w:val="left" w:pos="0"/>
        </w:tabs>
        <w:snapToGrid w:val="0"/>
        <w:outlineLvl w:val="0"/>
        <w:rPr>
          <w:rFonts w:asciiTheme="minorHAnsi" w:hAnsiTheme="minorHAnsi" w:cstheme="minorHAnsi"/>
          <w:sz w:val="24"/>
        </w:rPr>
      </w:pPr>
      <w:r w:rsidRPr="00BD0203">
        <w:rPr>
          <w:rFonts w:asciiTheme="minorHAnsi" w:hAnsiTheme="minorHAnsi" w:cstheme="minorHAnsi"/>
          <w:sz w:val="24"/>
        </w:rPr>
        <w:t>3.6</w:t>
      </w:r>
      <w:r w:rsidRPr="00BD0203">
        <w:rPr>
          <w:rFonts w:asciiTheme="minorHAnsi" w:hAnsiTheme="minorHAnsi" w:cstheme="minorHAnsi"/>
          <w:sz w:val="24"/>
        </w:rPr>
        <w:tab/>
      </w:r>
      <w:r w:rsidR="00862631" w:rsidRPr="00BD0203">
        <w:rPr>
          <w:rFonts w:asciiTheme="minorHAnsi" w:hAnsiTheme="minorHAnsi" w:cstheme="minorHAnsi"/>
          <w:sz w:val="24"/>
        </w:rPr>
        <w:t>Appropriations amounting to KCHF 840 have been included in the 2022-2023 budget to cover the COVID</w:t>
      </w:r>
      <w:r w:rsidRPr="00BD0203">
        <w:rPr>
          <w:rFonts w:asciiTheme="minorHAnsi" w:hAnsiTheme="minorHAnsi" w:cstheme="minorHAnsi"/>
          <w:sz w:val="24"/>
        </w:rPr>
        <w:t>-</w:t>
      </w:r>
      <w:r w:rsidR="00862631" w:rsidRPr="00BD0203">
        <w:rPr>
          <w:rFonts w:asciiTheme="minorHAnsi" w:hAnsiTheme="minorHAnsi" w:cstheme="minorHAnsi"/>
          <w:sz w:val="24"/>
        </w:rPr>
        <w:t>19 recurring expenses.</w:t>
      </w:r>
    </w:p>
    <w:p w14:paraId="4B7D6FC4" w14:textId="77777777" w:rsidR="00862631" w:rsidRPr="00BD0203" w:rsidRDefault="00862631" w:rsidP="00CD605A">
      <w:pPr>
        <w:tabs>
          <w:tab w:val="left" w:pos="0"/>
        </w:tabs>
        <w:snapToGrid w:val="0"/>
        <w:outlineLvl w:val="0"/>
        <w:rPr>
          <w:rFonts w:asciiTheme="minorHAnsi" w:hAnsiTheme="minorHAnsi" w:cstheme="minorHAnsi"/>
          <w:sz w:val="24"/>
        </w:rPr>
      </w:pPr>
    </w:p>
    <w:p w14:paraId="26359A95" w14:textId="6B912EB5" w:rsidR="00862631" w:rsidRPr="00BD0203" w:rsidRDefault="00CF6F28" w:rsidP="00CD605A">
      <w:pPr>
        <w:rPr>
          <w:rFonts w:asciiTheme="minorHAnsi" w:hAnsiTheme="minorHAnsi" w:cstheme="minorHAnsi"/>
          <w:sz w:val="24"/>
        </w:rPr>
      </w:pPr>
      <w:r w:rsidRPr="00BD0203">
        <w:rPr>
          <w:rFonts w:asciiTheme="minorHAnsi" w:hAnsiTheme="minorHAnsi" w:cstheme="minorHAnsi"/>
          <w:sz w:val="24"/>
        </w:rPr>
        <w:t>3.7</w:t>
      </w:r>
      <w:r w:rsidRPr="00BD0203">
        <w:rPr>
          <w:rFonts w:asciiTheme="minorHAnsi" w:hAnsiTheme="minorHAnsi" w:cstheme="minorHAnsi"/>
          <w:sz w:val="24"/>
        </w:rPr>
        <w:tab/>
      </w:r>
      <w:r w:rsidR="00862631" w:rsidRPr="00BD0203">
        <w:rPr>
          <w:rFonts w:asciiTheme="minorHAnsi" w:hAnsiTheme="minorHAnsi" w:cstheme="minorHAnsi"/>
          <w:sz w:val="24"/>
        </w:rPr>
        <w:t>On the revenue side, assessed contributions increase</w:t>
      </w:r>
      <w:r w:rsidRPr="00BD0203">
        <w:rPr>
          <w:rFonts w:asciiTheme="minorHAnsi" w:hAnsiTheme="minorHAnsi" w:cstheme="minorHAnsi"/>
          <w:sz w:val="24"/>
        </w:rPr>
        <w:t>d</w:t>
      </w:r>
      <w:r w:rsidR="00862631" w:rsidRPr="00BD0203">
        <w:rPr>
          <w:rFonts w:asciiTheme="minorHAnsi" w:hAnsiTheme="minorHAnsi" w:cstheme="minorHAnsi"/>
          <w:sz w:val="24"/>
        </w:rPr>
        <w:t xml:space="preserve"> by almost CHF 1 million, mainly on account of Sector Members and Associates f</w:t>
      </w:r>
      <w:r w:rsidRPr="00BD0203">
        <w:rPr>
          <w:rFonts w:asciiTheme="minorHAnsi" w:hAnsiTheme="minorHAnsi" w:cstheme="minorHAnsi"/>
          <w:sz w:val="24"/>
        </w:rPr>
        <w:t>rom</w:t>
      </w:r>
      <w:r w:rsidR="00862631" w:rsidRPr="00BD0203">
        <w:rPr>
          <w:rFonts w:asciiTheme="minorHAnsi" w:hAnsiTheme="minorHAnsi" w:cstheme="minorHAnsi"/>
          <w:sz w:val="24"/>
        </w:rPr>
        <w:t xml:space="preserve"> the T sector. There is also a limited increase for Academia.</w:t>
      </w:r>
    </w:p>
    <w:p w14:paraId="3BB9D5A8" w14:textId="77777777" w:rsidR="00CF6F28" w:rsidRPr="00BD0203" w:rsidRDefault="00CF6F28" w:rsidP="00CD605A">
      <w:pPr>
        <w:rPr>
          <w:rFonts w:asciiTheme="minorHAnsi" w:hAnsiTheme="minorHAnsi" w:cstheme="minorHAnsi"/>
          <w:sz w:val="24"/>
        </w:rPr>
      </w:pPr>
    </w:p>
    <w:p w14:paraId="7177FA93" w14:textId="03EC5A4C" w:rsidR="00862631" w:rsidRPr="00BD0203" w:rsidRDefault="00CF6F28" w:rsidP="00CD605A">
      <w:pPr>
        <w:rPr>
          <w:rFonts w:asciiTheme="minorHAnsi" w:hAnsiTheme="minorHAnsi" w:cstheme="minorHAnsi"/>
          <w:sz w:val="24"/>
        </w:rPr>
      </w:pPr>
      <w:r w:rsidRPr="00BD0203">
        <w:rPr>
          <w:rFonts w:asciiTheme="minorHAnsi" w:hAnsiTheme="minorHAnsi" w:cstheme="minorHAnsi"/>
          <w:sz w:val="24"/>
        </w:rPr>
        <w:t>3.8</w:t>
      </w:r>
      <w:r w:rsidRPr="00BD0203">
        <w:rPr>
          <w:rFonts w:asciiTheme="minorHAnsi" w:hAnsiTheme="minorHAnsi" w:cstheme="minorHAnsi"/>
          <w:sz w:val="24"/>
        </w:rPr>
        <w:tab/>
      </w:r>
      <w:r w:rsidR="00E93463" w:rsidRPr="00BD0203">
        <w:rPr>
          <w:rFonts w:asciiTheme="minorHAnsi" w:hAnsiTheme="minorHAnsi" w:cstheme="minorHAnsi"/>
          <w:sz w:val="24"/>
        </w:rPr>
        <w:t>Cost recovery revenue will decrease by some CHF 5.8 million as compared to 2020-2021, mainly on account of a lower projection of sales revenue from the release of new publications planned for 2022-2023. This will be partially offset by the projected increase in cost recovery revenue from Satellite Network Filings (SNF).</w:t>
      </w:r>
    </w:p>
    <w:p w14:paraId="22D4DF4D" w14:textId="77777777" w:rsidR="00862631" w:rsidRPr="00BD0203" w:rsidRDefault="00862631" w:rsidP="00CD605A">
      <w:pPr>
        <w:rPr>
          <w:rFonts w:asciiTheme="minorHAnsi" w:hAnsiTheme="minorHAnsi" w:cstheme="minorHAnsi"/>
          <w:sz w:val="24"/>
        </w:rPr>
      </w:pPr>
    </w:p>
    <w:p w14:paraId="5B87573A" w14:textId="0083EE19" w:rsidR="00862631" w:rsidRPr="00BD0203" w:rsidRDefault="00727DC2" w:rsidP="0074415C">
      <w:pPr>
        <w:spacing w:before="60" w:after="60"/>
        <w:rPr>
          <w:rFonts w:asciiTheme="minorHAnsi" w:hAnsiTheme="minorHAnsi" w:cstheme="minorHAnsi"/>
          <w:sz w:val="24"/>
        </w:rPr>
      </w:pPr>
      <w:r w:rsidRPr="00BD0203">
        <w:rPr>
          <w:rFonts w:asciiTheme="minorHAnsi" w:hAnsiTheme="minorHAnsi" w:cstheme="minorHAnsi"/>
          <w:sz w:val="24"/>
        </w:rPr>
        <w:t>3.9</w:t>
      </w:r>
      <w:r w:rsidRPr="00BD0203">
        <w:rPr>
          <w:rFonts w:asciiTheme="minorHAnsi" w:hAnsiTheme="minorHAnsi" w:cstheme="minorHAnsi"/>
          <w:sz w:val="24"/>
        </w:rPr>
        <w:tab/>
      </w:r>
      <w:r w:rsidR="00862631" w:rsidRPr="00BD0203">
        <w:rPr>
          <w:rFonts w:asciiTheme="minorHAnsi" w:hAnsiTheme="minorHAnsi" w:cstheme="minorHAnsi"/>
          <w:sz w:val="24"/>
        </w:rPr>
        <w:t>After the meeting of the CWG</w:t>
      </w:r>
      <w:r w:rsidRPr="00BD0203">
        <w:rPr>
          <w:rFonts w:asciiTheme="minorHAnsi" w:hAnsiTheme="minorHAnsi" w:cstheme="minorHAnsi"/>
          <w:sz w:val="24"/>
        </w:rPr>
        <w:t>-FHR</w:t>
      </w:r>
      <w:r w:rsidR="00862631" w:rsidRPr="00BD0203">
        <w:rPr>
          <w:rFonts w:asciiTheme="minorHAnsi" w:hAnsiTheme="minorHAnsi" w:cstheme="minorHAnsi"/>
          <w:sz w:val="24"/>
        </w:rPr>
        <w:t>, the budget will be revised/updated to reflect:</w:t>
      </w:r>
    </w:p>
    <w:p w14:paraId="722A2622" w14:textId="5A77683C" w:rsidR="00862631" w:rsidRPr="00BD0203" w:rsidRDefault="00862631" w:rsidP="0074415C">
      <w:pPr>
        <w:tabs>
          <w:tab w:val="left" w:pos="993"/>
        </w:tabs>
        <w:spacing w:before="120"/>
        <w:ind w:firstLine="709"/>
        <w:rPr>
          <w:rFonts w:asciiTheme="minorHAnsi" w:hAnsiTheme="minorHAnsi" w:cstheme="minorHAnsi"/>
          <w:sz w:val="24"/>
        </w:rPr>
      </w:pPr>
      <w:r w:rsidRPr="00BD0203">
        <w:rPr>
          <w:rFonts w:asciiTheme="minorHAnsi" w:hAnsiTheme="minorHAnsi" w:cstheme="minorHAnsi"/>
          <w:sz w:val="24"/>
        </w:rPr>
        <w:t>-</w:t>
      </w:r>
      <w:r w:rsidRPr="00BD0203">
        <w:rPr>
          <w:rFonts w:asciiTheme="minorHAnsi" w:hAnsiTheme="minorHAnsi" w:cstheme="minorHAnsi"/>
          <w:sz w:val="24"/>
        </w:rPr>
        <w:tab/>
        <w:t>The outcomes of the CWG</w:t>
      </w:r>
      <w:r w:rsidR="00727DC2" w:rsidRPr="00BD0203">
        <w:rPr>
          <w:rFonts w:asciiTheme="minorHAnsi" w:hAnsiTheme="minorHAnsi" w:cstheme="minorHAnsi"/>
          <w:sz w:val="24"/>
        </w:rPr>
        <w:t>-FHR;</w:t>
      </w:r>
    </w:p>
    <w:p w14:paraId="5605CCED" w14:textId="31E6B837" w:rsidR="00862631" w:rsidRPr="00BD0203" w:rsidRDefault="00862631" w:rsidP="00727DC2">
      <w:pPr>
        <w:tabs>
          <w:tab w:val="left" w:pos="993"/>
        </w:tabs>
        <w:ind w:firstLine="709"/>
        <w:rPr>
          <w:rFonts w:asciiTheme="minorHAnsi" w:hAnsiTheme="minorHAnsi" w:cstheme="minorHAnsi"/>
          <w:sz w:val="24"/>
        </w:rPr>
      </w:pPr>
      <w:r w:rsidRPr="00BD0203">
        <w:rPr>
          <w:rFonts w:asciiTheme="minorHAnsi" w:hAnsiTheme="minorHAnsi" w:cstheme="minorHAnsi"/>
          <w:sz w:val="24"/>
        </w:rPr>
        <w:t>-</w:t>
      </w:r>
      <w:r w:rsidRPr="00BD0203">
        <w:rPr>
          <w:rFonts w:asciiTheme="minorHAnsi" w:hAnsiTheme="minorHAnsi" w:cstheme="minorHAnsi"/>
          <w:sz w:val="24"/>
        </w:rPr>
        <w:tab/>
        <w:t>The budget rates as of January 2021</w:t>
      </w:r>
      <w:r w:rsidR="00727DC2" w:rsidRPr="00BD0203">
        <w:rPr>
          <w:rFonts w:asciiTheme="minorHAnsi" w:hAnsiTheme="minorHAnsi" w:cstheme="minorHAnsi"/>
          <w:sz w:val="24"/>
        </w:rPr>
        <w:t>;</w:t>
      </w:r>
    </w:p>
    <w:p w14:paraId="37939390" w14:textId="7B35D777" w:rsidR="00862631" w:rsidRPr="00BD0203" w:rsidRDefault="00862631" w:rsidP="00727DC2">
      <w:pPr>
        <w:tabs>
          <w:tab w:val="left" w:pos="993"/>
        </w:tabs>
        <w:ind w:firstLine="709"/>
        <w:rPr>
          <w:rFonts w:asciiTheme="minorHAnsi" w:hAnsiTheme="minorHAnsi" w:cstheme="minorHAnsi"/>
          <w:sz w:val="24"/>
        </w:rPr>
      </w:pPr>
      <w:r w:rsidRPr="00BD0203">
        <w:rPr>
          <w:rFonts w:asciiTheme="minorHAnsi" w:hAnsiTheme="minorHAnsi" w:cstheme="minorHAnsi"/>
          <w:sz w:val="24"/>
        </w:rPr>
        <w:t>-</w:t>
      </w:r>
      <w:r w:rsidRPr="00BD0203">
        <w:rPr>
          <w:rFonts w:asciiTheme="minorHAnsi" w:hAnsiTheme="minorHAnsi" w:cstheme="minorHAnsi"/>
          <w:sz w:val="24"/>
        </w:rPr>
        <w:tab/>
        <w:t>The result-based part based on the full cost allocation</w:t>
      </w:r>
      <w:r w:rsidR="00727DC2" w:rsidRPr="00BD0203">
        <w:rPr>
          <w:rFonts w:asciiTheme="minorHAnsi" w:hAnsiTheme="minorHAnsi" w:cstheme="minorHAnsi"/>
          <w:sz w:val="24"/>
        </w:rPr>
        <w:t>.</w:t>
      </w:r>
    </w:p>
    <w:p w14:paraId="3390D1A2" w14:textId="77777777" w:rsidR="00862631" w:rsidRPr="00BD0203" w:rsidRDefault="00862631" w:rsidP="00CD605A">
      <w:pPr>
        <w:rPr>
          <w:rFonts w:asciiTheme="minorHAnsi" w:hAnsiTheme="minorHAnsi" w:cstheme="minorHAnsi"/>
          <w:sz w:val="24"/>
        </w:rPr>
      </w:pPr>
    </w:p>
    <w:p w14:paraId="55C6F0EB" w14:textId="73780E45" w:rsidR="00862631" w:rsidRPr="00BD0203" w:rsidRDefault="00727DC2" w:rsidP="00FF6589">
      <w:pPr>
        <w:keepNext/>
        <w:keepLines/>
        <w:spacing w:after="120"/>
        <w:rPr>
          <w:rFonts w:asciiTheme="minorHAnsi" w:hAnsiTheme="minorHAnsi" w:cstheme="minorHAnsi"/>
          <w:sz w:val="24"/>
        </w:rPr>
      </w:pPr>
      <w:r w:rsidRPr="00BD0203">
        <w:rPr>
          <w:rFonts w:asciiTheme="minorHAnsi" w:hAnsiTheme="minorHAnsi" w:cstheme="minorHAnsi"/>
          <w:sz w:val="24"/>
        </w:rPr>
        <w:lastRenderedPageBreak/>
        <w:t>3.</w:t>
      </w:r>
      <w:r w:rsidR="0000522F" w:rsidRPr="00BD0203">
        <w:rPr>
          <w:rFonts w:asciiTheme="minorHAnsi" w:hAnsiTheme="minorHAnsi" w:cstheme="minorHAnsi"/>
          <w:sz w:val="24"/>
        </w:rPr>
        <w:t>10</w:t>
      </w:r>
      <w:r w:rsidRPr="00BD0203">
        <w:rPr>
          <w:rFonts w:asciiTheme="minorHAnsi" w:hAnsiTheme="minorHAnsi" w:cstheme="minorHAnsi"/>
          <w:sz w:val="24"/>
        </w:rPr>
        <w:tab/>
      </w:r>
      <w:r w:rsidR="00862631" w:rsidRPr="00BD0203">
        <w:rPr>
          <w:rFonts w:asciiTheme="minorHAnsi" w:hAnsiTheme="minorHAnsi" w:cstheme="minorHAnsi"/>
          <w:sz w:val="24"/>
        </w:rPr>
        <w:t xml:space="preserve">Two </w:t>
      </w:r>
      <w:r w:rsidRPr="00BD0203">
        <w:rPr>
          <w:rFonts w:asciiTheme="minorHAnsi" w:hAnsiTheme="minorHAnsi" w:cstheme="minorHAnsi"/>
          <w:sz w:val="24"/>
        </w:rPr>
        <w:t>a</w:t>
      </w:r>
      <w:r w:rsidR="00862631" w:rsidRPr="00BD0203">
        <w:rPr>
          <w:rFonts w:asciiTheme="minorHAnsi" w:hAnsiTheme="minorHAnsi" w:cstheme="minorHAnsi"/>
          <w:sz w:val="24"/>
        </w:rPr>
        <w:t>nnexes were presented in the document:</w:t>
      </w:r>
    </w:p>
    <w:p w14:paraId="4C1542A2" w14:textId="52CC8CCD" w:rsidR="00862631" w:rsidRPr="00BD0203" w:rsidRDefault="00862631" w:rsidP="00FF6589">
      <w:pPr>
        <w:keepNext/>
        <w:keepLines/>
        <w:tabs>
          <w:tab w:val="left" w:pos="993"/>
        </w:tabs>
        <w:ind w:firstLine="709"/>
        <w:rPr>
          <w:rFonts w:asciiTheme="minorHAnsi" w:hAnsiTheme="minorHAnsi" w:cstheme="minorHAnsi"/>
          <w:sz w:val="24"/>
        </w:rPr>
      </w:pPr>
      <w:r w:rsidRPr="00BD0203">
        <w:rPr>
          <w:rFonts w:asciiTheme="minorHAnsi" w:hAnsiTheme="minorHAnsi" w:cstheme="minorHAnsi"/>
          <w:sz w:val="24"/>
        </w:rPr>
        <w:t>•</w:t>
      </w:r>
      <w:r w:rsidRPr="00BD0203">
        <w:rPr>
          <w:rFonts w:asciiTheme="minorHAnsi" w:hAnsiTheme="minorHAnsi" w:cstheme="minorHAnsi"/>
          <w:sz w:val="24"/>
        </w:rPr>
        <w:tab/>
        <w:t xml:space="preserve">Annex 1 – Draft Budget 2022-2023 Breakdown of expenses by Sector and </w:t>
      </w:r>
      <w:r w:rsidR="00727DC2" w:rsidRPr="00BD0203">
        <w:rPr>
          <w:rFonts w:asciiTheme="minorHAnsi" w:hAnsiTheme="minorHAnsi" w:cstheme="minorHAnsi"/>
          <w:sz w:val="24"/>
        </w:rPr>
        <w:t>S</w:t>
      </w:r>
      <w:r w:rsidRPr="00BD0203">
        <w:rPr>
          <w:rFonts w:asciiTheme="minorHAnsi" w:hAnsiTheme="minorHAnsi" w:cstheme="minorHAnsi"/>
          <w:sz w:val="24"/>
        </w:rPr>
        <w:t>ection;</w:t>
      </w:r>
    </w:p>
    <w:p w14:paraId="66AA23D4" w14:textId="77777777" w:rsidR="00862631" w:rsidRPr="00BD0203" w:rsidRDefault="00862631" w:rsidP="00727DC2">
      <w:pPr>
        <w:tabs>
          <w:tab w:val="left" w:pos="993"/>
        </w:tabs>
        <w:ind w:firstLine="709"/>
        <w:rPr>
          <w:rFonts w:asciiTheme="minorHAnsi" w:hAnsiTheme="minorHAnsi" w:cstheme="minorHAnsi"/>
          <w:sz w:val="24"/>
        </w:rPr>
      </w:pPr>
      <w:r w:rsidRPr="00BD0203">
        <w:rPr>
          <w:rFonts w:asciiTheme="minorHAnsi" w:hAnsiTheme="minorHAnsi" w:cstheme="minorHAnsi"/>
          <w:sz w:val="24"/>
        </w:rPr>
        <w:t>•</w:t>
      </w:r>
      <w:r w:rsidRPr="00BD0203">
        <w:rPr>
          <w:rFonts w:asciiTheme="minorHAnsi" w:hAnsiTheme="minorHAnsi" w:cstheme="minorHAnsi"/>
          <w:sz w:val="24"/>
        </w:rPr>
        <w:tab/>
        <w:t>Annex 2 - Documentation Volumes on Translation, Composition and Reprography.</w:t>
      </w:r>
    </w:p>
    <w:p w14:paraId="73B5A581" w14:textId="77777777" w:rsidR="00862631" w:rsidRPr="00BD0203" w:rsidRDefault="00862631" w:rsidP="00CD605A">
      <w:pPr>
        <w:rPr>
          <w:rFonts w:asciiTheme="minorHAnsi" w:hAnsiTheme="minorHAnsi" w:cstheme="minorHAnsi"/>
          <w:sz w:val="24"/>
        </w:rPr>
      </w:pPr>
    </w:p>
    <w:p w14:paraId="1A9B41CC" w14:textId="042303B5" w:rsidR="00862631" w:rsidRPr="00BD0203" w:rsidRDefault="00727DC2" w:rsidP="00CD605A">
      <w:pPr>
        <w:rPr>
          <w:rFonts w:asciiTheme="minorHAnsi" w:hAnsiTheme="minorHAnsi" w:cstheme="minorHAnsi"/>
          <w:sz w:val="24"/>
        </w:rPr>
      </w:pPr>
      <w:r w:rsidRPr="00BD0203">
        <w:rPr>
          <w:rFonts w:asciiTheme="minorHAnsi" w:hAnsiTheme="minorHAnsi" w:cstheme="minorHAnsi"/>
          <w:sz w:val="24"/>
        </w:rPr>
        <w:t>3.1</w:t>
      </w:r>
      <w:r w:rsidR="0000522F" w:rsidRPr="00BD0203">
        <w:rPr>
          <w:rFonts w:asciiTheme="minorHAnsi" w:hAnsiTheme="minorHAnsi" w:cstheme="minorHAnsi"/>
          <w:sz w:val="24"/>
        </w:rPr>
        <w:t>1</w:t>
      </w:r>
      <w:r w:rsidRPr="00BD0203">
        <w:rPr>
          <w:rFonts w:asciiTheme="minorHAnsi" w:hAnsiTheme="minorHAnsi" w:cstheme="minorHAnsi"/>
          <w:sz w:val="24"/>
        </w:rPr>
        <w:tab/>
      </w:r>
      <w:r w:rsidR="00833784" w:rsidRPr="00BD0203">
        <w:rPr>
          <w:rFonts w:asciiTheme="minorHAnsi" w:hAnsiTheme="minorHAnsi" w:cstheme="minorHAnsi"/>
          <w:sz w:val="24"/>
        </w:rPr>
        <w:t>BR Director clarified the issue on the budgeted sales of publications for 2022-2023. He informed the group that ITU-R has not changed its schedule of major publications. If the budgeted revenue is less in 2022-2023 than in 2020-2021, it is in relation with the release of new publications in the years following WRC (New editions of five main publications released in 2020-2021, three main publications in 2022-2023 and returning to five main publications in 2024-2025).</w:t>
      </w:r>
    </w:p>
    <w:p w14:paraId="5137F35E" w14:textId="77777777" w:rsidR="00862631" w:rsidRPr="00BD0203" w:rsidRDefault="00862631" w:rsidP="00CD605A">
      <w:pPr>
        <w:rPr>
          <w:rFonts w:asciiTheme="minorHAnsi" w:hAnsiTheme="minorHAnsi" w:cstheme="minorHAnsi"/>
          <w:sz w:val="24"/>
        </w:rPr>
      </w:pPr>
    </w:p>
    <w:p w14:paraId="6A804931" w14:textId="3DA2AC85" w:rsidR="00862631" w:rsidRPr="00BD0203" w:rsidRDefault="00727DC2" w:rsidP="00CD605A">
      <w:pPr>
        <w:rPr>
          <w:rFonts w:asciiTheme="minorHAnsi" w:hAnsiTheme="minorHAnsi" w:cstheme="minorHAnsi"/>
          <w:sz w:val="24"/>
        </w:rPr>
      </w:pPr>
      <w:r w:rsidRPr="00BD0203">
        <w:rPr>
          <w:rFonts w:asciiTheme="minorHAnsi" w:hAnsiTheme="minorHAnsi" w:cstheme="minorHAnsi"/>
          <w:sz w:val="24"/>
        </w:rPr>
        <w:t>3.1</w:t>
      </w:r>
      <w:r w:rsidR="0000522F" w:rsidRPr="00BD0203">
        <w:rPr>
          <w:rFonts w:asciiTheme="minorHAnsi" w:hAnsiTheme="minorHAnsi" w:cstheme="minorHAnsi"/>
          <w:sz w:val="24"/>
        </w:rPr>
        <w:t>2</w:t>
      </w:r>
      <w:r w:rsidRPr="00BD0203">
        <w:rPr>
          <w:rFonts w:asciiTheme="minorHAnsi" w:hAnsiTheme="minorHAnsi" w:cstheme="minorHAnsi"/>
          <w:sz w:val="24"/>
        </w:rPr>
        <w:tab/>
      </w:r>
      <w:r w:rsidR="00862631" w:rsidRPr="00BD0203">
        <w:rPr>
          <w:rFonts w:asciiTheme="minorHAnsi" w:hAnsiTheme="minorHAnsi" w:cstheme="minorHAnsi"/>
          <w:sz w:val="24"/>
        </w:rPr>
        <w:t>Some delegates expressed their appreciation and acknowledged the efforts of the secretariat in preparing the draft Budget for 2022-2023. They welcomed the fact that no withdrawal from the Reserve Account will be needed to balance the budget 2022-2023.</w:t>
      </w:r>
    </w:p>
    <w:p w14:paraId="5684DA28" w14:textId="77777777" w:rsidR="00862631" w:rsidRPr="00BD0203" w:rsidRDefault="00862631" w:rsidP="00CD605A">
      <w:pPr>
        <w:rPr>
          <w:rFonts w:asciiTheme="minorHAnsi" w:hAnsiTheme="minorHAnsi" w:cstheme="minorHAnsi"/>
          <w:sz w:val="24"/>
        </w:rPr>
      </w:pPr>
    </w:p>
    <w:p w14:paraId="41B205F3" w14:textId="260FDC51" w:rsidR="00862631" w:rsidRPr="00BD0203" w:rsidRDefault="00727DC2" w:rsidP="00CD605A">
      <w:pPr>
        <w:rPr>
          <w:rFonts w:asciiTheme="minorHAnsi" w:hAnsiTheme="minorHAnsi" w:cstheme="minorHAnsi"/>
          <w:sz w:val="24"/>
        </w:rPr>
      </w:pPr>
      <w:r w:rsidRPr="00BD0203">
        <w:rPr>
          <w:rFonts w:asciiTheme="minorHAnsi" w:hAnsiTheme="minorHAnsi" w:cstheme="minorHAnsi"/>
          <w:sz w:val="24"/>
        </w:rPr>
        <w:t>3.1</w:t>
      </w:r>
      <w:r w:rsidR="0000522F" w:rsidRPr="00BD0203">
        <w:rPr>
          <w:rFonts w:asciiTheme="minorHAnsi" w:hAnsiTheme="minorHAnsi" w:cstheme="minorHAnsi"/>
          <w:sz w:val="24"/>
        </w:rPr>
        <w:t>3</w:t>
      </w:r>
      <w:r w:rsidRPr="00BD0203">
        <w:rPr>
          <w:rFonts w:asciiTheme="minorHAnsi" w:hAnsiTheme="minorHAnsi" w:cstheme="minorHAnsi"/>
          <w:sz w:val="24"/>
        </w:rPr>
        <w:tab/>
      </w:r>
      <w:r w:rsidR="00862631" w:rsidRPr="00BD0203">
        <w:rPr>
          <w:rFonts w:asciiTheme="minorHAnsi" w:hAnsiTheme="minorHAnsi" w:cstheme="minorHAnsi"/>
          <w:sz w:val="24"/>
        </w:rPr>
        <w:t>In response to queries from delegates, the secretariat provided the following clarifications:</w:t>
      </w:r>
    </w:p>
    <w:p w14:paraId="659B17D0" w14:textId="77777777" w:rsidR="00862631" w:rsidRPr="00BD0203" w:rsidRDefault="00862631" w:rsidP="00CD605A">
      <w:pPr>
        <w:rPr>
          <w:rFonts w:asciiTheme="minorHAnsi" w:hAnsiTheme="minorHAnsi" w:cstheme="minorHAnsi"/>
          <w:sz w:val="24"/>
        </w:rPr>
      </w:pPr>
    </w:p>
    <w:p w14:paraId="09ED6CEB" w14:textId="778D65CE" w:rsidR="00862631" w:rsidRPr="00BD0203" w:rsidRDefault="00862631" w:rsidP="00727DC2">
      <w:pPr>
        <w:pStyle w:val="ListParagraph"/>
        <w:numPr>
          <w:ilvl w:val="0"/>
          <w:numId w:val="37"/>
        </w:numPr>
        <w:tabs>
          <w:tab w:val="left" w:pos="993"/>
        </w:tabs>
        <w:ind w:left="993" w:hanging="284"/>
        <w:rPr>
          <w:rFonts w:asciiTheme="minorHAnsi" w:hAnsiTheme="minorHAnsi" w:cstheme="minorHAnsi"/>
          <w:sz w:val="24"/>
        </w:rPr>
      </w:pPr>
      <w:r w:rsidRPr="00BD0203">
        <w:rPr>
          <w:rFonts w:asciiTheme="minorHAnsi" w:hAnsiTheme="minorHAnsi" w:cstheme="minorHAnsi"/>
          <w:sz w:val="24"/>
        </w:rPr>
        <w:t xml:space="preserve">Following the postponement of WTSA, and as per the </w:t>
      </w:r>
      <w:r w:rsidR="00727DC2" w:rsidRPr="00BD0203">
        <w:rPr>
          <w:rFonts w:asciiTheme="minorHAnsi" w:hAnsiTheme="minorHAnsi" w:cstheme="minorHAnsi"/>
          <w:sz w:val="24"/>
        </w:rPr>
        <w:t xml:space="preserve">Financial Regulations and Financial </w:t>
      </w:r>
      <w:r w:rsidRPr="00BD0203">
        <w:rPr>
          <w:rFonts w:asciiTheme="minorHAnsi" w:hAnsiTheme="minorHAnsi" w:cstheme="minorHAnsi"/>
          <w:sz w:val="24"/>
        </w:rPr>
        <w:t>Rules, its budget (</w:t>
      </w:r>
      <w:r w:rsidR="0000522F" w:rsidRPr="00BD0203">
        <w:rPr>
          <w:rFonts w:asciiTheme="minorHAnsi" w:hAnsiTheme="minorHAnsi" w:cstheme="minorHAnsi"/>
          <w:sz w:val="24"/>
        </w:rPr>
        <w:t>K</w:t>
      </w:r>
      <w:r w:rsidRPr="00BD0203">
        <w:rPr>
          <w:rFonts w:asciiTheme="minorHAnsi" w:hAnsiTheme="minorHAnsi" w:cstheme="minorHAnsi"/>
          <w:sz w:val="24"/>
        </w:rPr>
        <w:t xml:space="preserve">CHF 698 for the direct expenses and </w:t>
      </w:r>
      <w:r w:rsidR="0081165B" w:rsidRPr="00BD0203">
        <w:rPr>
          <w:rFonts w:asciiTheme="minorHAnsi" w:hAnsiTheme="minorHAnsi" w:cstheme="minorHAnsi"/>
          <w:sz w:val="24"/>
        </w:rPr>
        <w:t>K</w:t>
      </w:r>
      <w:r w:rsidRPr="00BD0203">
        <w:rPr>
          <w:rFonts w:asciiTheme="minorHAnsi" w:hAnsiTheme="minorHAnsi" w:cstheme="minorHAnsi"/>
          <w:sz w:val="24"/>
        </w:rPr>
        <w:t>CHF 700 for the documentation) is transferred to the Reserve Account. This amount will be added to ITU-T budget in 2022. There is no request for additional resources included in the draft budget 2022-2023. The same approach will apply, should the WTDC-21 be postponed as well.</w:t>
      </w:r>
    </w:p>
    <w:p w14:paraId="74782B7D" w14:textId="77777777" w:rsidR="00862631" w:rsidRPr="00BD0203" w:rsidRDefault="00862631" w:rsidP="00727DC2">
      <w:pPr>
        <w:pStyle w:val="ListParagraph"/>
        <w:tabs>
          <w:tab w:val="left" w:pos="993"/>
        </w:tabs>
        <w:ind w:hanging="11"/>
        <w:rPr>
          <w:rFonts w:asciiTheme="minorHAnsi" w:hAnsiTheme="minorHAnsi" w:cstheme="minorHAnsi"/>
          <w:sz w:val="24"/>
        </w:rPr>
      </w:pPr>
    </w:p>
    <w:p w14:paraId="41295C7C" w14:textId="65D7AE9F" w:rsidR="00862631" w:rsidRPr="00BD0203" w:rsidRDefault="00862631" w:rsidP="00727DC2">
      <w:pPr>
        <w:pStyle w:val="ListParagraph"/>
        <w:numPr>
          <w:ilvl w:val="0"/>
          <w:numId w:val="37"/>
        </w:numPr>
        <w:tabs>
          <w:tab w:val="left" w:pos="993"/>
        </w:tabs>
        <w:ind w:left="993" w:hanging="284"/>
        <w:rPr>
          <w:rFonts w:asciiTheme="minorHAnsi" w:hAnsiTheme="minorHAnsi" w:cstheme="minorHAnsi"/>
          <w:sz w:val="24"/>
        </w:rPr>
      </w:pPr>
      <w:r w:rsidRPr="00BD0203">
        <w:rPr>
          <w:rFonts w:asciiTheme="minorHAnsi" w:hAnsiTheme="minorHAnsi" w:cstheme="minorHAnsi"/>
          <w:sz w:val="24"/>
        </w:rPr>
        <w:t xml:space="preserve">BDT </w:t>
      </w:r>
      <w:r w:rsidR="0000522F" w:rsidRPr="00BD0203">
        <w:rPr>
          <w:rFonts w:asciiTheme="minorHAnsi" w:hAnsiTheme="minorHAnsi" w:cstheme="minorHAnsi"/>
          <w:sz w:val="24"/>
        </w:rPr>
        <w:t xml:space="preserve">Director </w:t>
      </w:r>
      <w:r w:rsidRPr="00BD0203">
        <w:rPr>
          <w:rFonts w:asciiTheme="minorHAnsi" w:hAnsiTheme="minorHAnsi" w:cstheme="minorHAnsi"/>
          <w:sz w:val="24"/>
        </w:rPr>
        <w:t xml:space="preserve">informed </w:t>
      </w:r>
      <w:r w:rsidR="0000522F" w:rsidRPr="00BD0203">
        <w:rPr>
          <w:rFonts w:asciiTheme="minorHAnsi" w:hAnsiTheme="minorHAnsi" w:cstheme="minorHAnsi"/>
          <w:sz w:val="24"/>
        </w:rPr>
        <w:t xml:space="preserve">delegates </w:t>
      </w:r>
      <w:r w:rsidRPr="00BD0203">
        <w:rPr>
          <w:rFonts w:asciiTheme="minorHAnsi" w:hAnsiTheme="minorHAnsi" w:cstheme="minorHAnsi"/>
          <w:sz w:val="24"/>
        </w:rPr>
        <w:t>that the preparation for the WTDC is on-going and that the C</w:t>
      </w:r>
      <w:r w:rsidR="0000522F" w:rsidRPr="00BD0203">
        <w:rPr>
          <w:rFonts w:asciiTheme="minorHAnsi" w:hAnsiTheme="minorHAnsi" w:cstheme="minorHAnsi"/>
          <w:sz w:val="24"/>
        </w:rPr>
        <w:t>OVID</w:t>
      </w:r>
      <w:r w:rsidRPr="00BD0203">
        <w:rPr>
          <w:rFonts w:asciiTheme="minorHAnsi" w:hAnsiTheme="minorHAnsi" w:cstheme="minorHAnsi"/>
          <w:sz w:val="24"/>
        </w:rPr>
        <w:t xml:space="preserve"> situation is monitored very closely by the </w:t>
      </w:r>
      <w:r w:rsidR="0000522F" w:rsidRPr="00BD0203">
        <w:rPr>
          <w:rFonts w:asciiTheme="minorHAnsi" w:hAnsiTheme="minorHAnsi" w:cstheme="minorHAnsi"/>
          <w:sz w:val="24"/>
        </w:rPr>
        <w:t>s</w:t>
      </w:r>
      <w:r w:rsidRPr="00BD0203">
        <w:rPr>
          <w:rFonts w:asciiTheme="minorHAnsi" w:hAnsiTheme="minorHAnsi" w:cstheme="minorHAnsi"/>
          <w:sz w:val="24"/>
        </w:rPr>
        <w:t>ecretariat.</w:t>
      </w:r>
    </w:p>
    <w:p w14:paraId="6ACDE779" w14:textId="77777777" w:rsidR="00862631" w:rsidRPr="00BD0203" w:rsidRDefault="00862631" w:rsidP="00727DC2">
      <w:pPr>
        <w:tabs>
          <w:tab w:val="left" w:pos="993"/>
        </w:tabs>
        <w:ind w:hanging="11"/>
        <w:rPr>
          <w:rFonts w:asciiTheme="minorHAnsi" w:hAnsiTheme="minorHAnsi" w:cstheme="minorHAnsi"/>
          <w:sz w:val="24"/>
        </w:rPr>
      </w:pPr>
    </w:p>
    <w:p w14:paraId="7835F268" w14:textId="77777777" w:rsidR="00862631" w:rsidRPr="00BD0203" w:rsidRDefault="00862631" w:rsidP="00727DC2">
      <w:pPr>
        <w:pStyle w:val="ListParagraph"/>
        <w:numPr>
          <w:ilvl w:val="0"/>
          <w:numId w:val="37"/>
        </w:numPr>
        <w:tabs>
          <w:tab w:val="left" w:pos="993"/>
        </w:tabs>
        <w:ind w:left="993" w:hanging="284"/>
        <w:rPr>
          <w:rFonts w:asciiTheme="minorHAnsi" w:hAnsiTheme="minorHAnsi" w:cstheme="minorHAnsi"/>
          <w:sz w:val="24"/>
        </w:rPr>
      </w:pPr>
      <w:r w:rsidRPr="00BD0203">
        <w:rPr>
          <w:rFonts w:asciiTheme="minorHAnsi" w:hAnsiTheme="minorHAnsi" w:cstheme="minorHAnsi"/>
          <w:sz w:val="24"/>
        </w:rPr>
        <w:t>The revised draft Budget for 2022-2023 which will be submitted to Council 2021 will provide more detailed information.</w:t>
      </w:r>
    </w:p>
    <w:p w14:paraId="48A17DE3" w14:textId="77777777" w:rsidR="00862631" w:rsidRPr="00BD0203" w:rsidRDefault="00862631" w:rsidP="00727DC2">
      <w:pPr>
        <w:tabs>
          <w:tab w:val="left" w:pos="993"/>
        </w:tabs>
        <w:ind w:hanging="11"/>
        <w:rPr>
          <w:rFonts w:asciiTheme="minorHAnsi" w:hAnsiTheme="minorHAnsi" w:cstheme="minorHAnsi"/>
          <w:sz w:val="24"/>
        </w:rPr>
      </w:pPr>
    </w:p>
    <w:p w14:paraId="76673BE9" w14:textId="1000D1C1" w:rsidR="00862631" w:rsidRPr="00BD0203" w:rsidRDefault="00862631" w:rsidP="00727DC2">
      <w:pPr>
        <w:pStyle w:val="ListParagraph"/>
        <w:numPr>
          <w:ilvl w:val="0"/>
          <w:numId w:val="37"/>
        </w:numPr>
        <w:tabs>
          <w:tab w:val="left" w:pos="993"/>
        </w:tabs>
        <w:ind w:left="993" w:hanging="284"/>
        <w:rPr>
          <w:rFonts w:asciiTheme="minorHAnsi" w:hAnsiTheme="minorHAnsi" w:cstheme="minorHAnsi"/>
          <w:sz w:val="24"/>
        </w:rPr>
      </w:pPr>
      <w:r w:rsidRPr="00BD0203">
        <w:rPr>
          <w:rFonts w:asciiTheme="minorHAnsi" w:hAnsiTheme="minorHAnsi" w:cstheme="minorHAnsi"/>
          <w:sz w:val="24"/>
        </w:rPr>
        <w:t>Additional information was provided concerning the appropriations amounting to KCHF</w:t>
      </w:r>
      <w:r w:rsidR="00727DC2" w:rsidRPr="00BD0203">
        <w:rPr>
          <w:rFonts w:asciiTheme="minorHAnsi" w:hAnsiTheme="minorHAnsi" w:cstheme="minorHAnsi"/>
          <w:sz w:val="24"/>
        </w:rPr>
        <w:t> </w:t>
      </w:r>
      <w:r w:rsidRPr="00BD0203">
        <w:rPr>
          <w:rFonts w:asciiTheme="minorHAnsi" w:hAnsiTheme="minorHAnsi" w:cstheme="minorHAnsi"/>
          <w:sz w:val="24"/>
        </w:rPr>
        <w:t>840 to cover the COVID</w:t>
      </w:r>
      <w:r w:rsidR="00727DC2" w:rsidRPr="00BD0203">
        <w:rPr>
          <w:rFonts w:asciiTheme="minorHAnsi" w:hAnsiTheme="minorHAnsi" w:cstheme="minorHAnsi"/>
          <w:sz w:val="24"/>
        </w:rPr>
        <w:t>-</w:t>
      </w:r>
      <w:r w:rsidRPr="00BD0203">
        <w:rPr>
          <w:rFonts w:asciiTheme="minorHAnsi" w:hAnsiTheme="minorHAnsi" w:cstheme="minorHAnsi"/>
          <w:sz w:val="24"/>
        </w:rPr>
        <w:t>19 recurring expenses.</w:t>
      </w:r>
    </w:p>
    <w:p w14:paraId="717260AA" w14:textId="77777777" w:rsidR="00862631" w:rsidRPr="00BD0203" w:rsidRDefault="00862631" w:rsidP="00727DC2">
      <w:pPr>
        <w:tabs>
          <w:tab w:val="left" w:pos="993"/>
        </w:tabs>
        <w:ind w:hanging="11"/>
        <w:rPr>
          <w:rFonts w:asciiTheme="minorHAnsi" w:hAnsiTheme="minorHAnsi" w:cstheme="minorHAnsi"/>
          <w:sz w:val="24"/>
        </w:rPr>
      </w:pPr>
    </w:p>
    <w:p w14:paraId="4BF33FE2" w14:textId="77777777" w:rsidR="00862631" w:rsidRPr="00BD0203" w:rsidRDefault="00862631" w:rsidP="00727DC2">
      <w:pPr>
        <w:pStyle w:val="ListParagraph"/>
        <w:numPr>
          <w:ilvl w:val="0"/>
          <w:numId w:val="37"/>
        </w:numPr>
        <w:tabs>
          <w:tab w:val="left" w:pos="993"/>
        </w:tabs>
        <w:ind w:left="993" w:hanging="284"/>
        <w:rPr>
          <w:rFonts w:asciiTheme="minorHAnsi" w:hAnsiTheme="minorHAnsi" w:cstheme="minorHAnsi"/>
          <w:sz w:val="24"/>
        </w:rPr>
      </w:pPr>
      <w:r w:rsidRPr="00BD0203">
        <w:rPr>
          <w:rFonts w:asciiTheme="minorHAnsi" w:hAnsiTheme="minorHAnsi" w:cstheme="minorHAnsi"/>
          <w:sz w:val="24"/>
        </w:rPr>
        <w:t>The re-costing of conditions of employment as of 1 January 2021 will not have a significant impact on the overall budget.</w:t>
      </w:r>
    </w:p>
    <w:p w14:paraId="4DE6B11E" w14:textId="77777777" w:rsidR="00862631" w:rsidRPr="00BD0203" w:rsidRDefault="00862631" w:rsidP="003F354E">
      <w:pPr>
        <w:tabs>
          <w:tab w:val="left" w:pos="993"/>
        </w:tabs>
        <w:rPr>
          <w:rFonts w:asciiTheme="minorHAnsi" w:hAnsiTheme="minorHAnsi" w:cstheme="minorHAnsi"/>
          <w:sz w:val="24"/>
        </w:rPr>
      </w:pPr>
    </w:p>
    <w:p w14:paraId="2625BAF2" w14:textId="77777777" w:rsidR="00862631" w:rsidRPr="00BD0203" w:rsidRDefault="00862631" w:rsidP="00727DC2">
      <w:pPr>
        <w:pStyle w:val="ListParagraph"/>
        <w:numPr>
          <w:ilvl w:val="0"/>
          <w:numId w:val="37"/>
        </w:numPr>
        <w:tabs>
          <w:tab w:val="left" w:pos="993"/>
        </w:tabs>
        <w:ind w:left="993" w:hanging="284"/>
        <w:rPr>
          <w:rFonts w:asciiTheme="minorHAnsi" w:hAnsiTheme="minorHAnsi" w:cstheme="minorHAnsi"/>
          <w:sz w:val="24"/>
        </w:rPr>
      </w:pPr>
      <w:r w:rsidRPr="00BD0203">
        <w:rPr>
          <w:rFonts w:asciiTheme="minorHAnsi" w:hAnsiTheme="minorHAnsi" w:cstheme="minorHAnsi"/>
          <w:sz w:val="24"/>
        </w:rPr>
        <w:t>As foreseen in Council Decision 1396, CHF 1 million have been transferred to the ASHI Fund. In order to replenish this Fund it is also envisaged that as from January 2022, new staff’s contribution to the Fund will increase.</w:t>
      </w:r>
    </w:p>
    <w:p w14:paraId="559A4653" w14:textId="77777777" w:rsidR="00862631" w:rsidRPr="00BD0203" w:rsidRDefault="00862631" w:rsidP="00CD605A">
      <w:pPr>
        <w:rPr>
          <w:rFonts w:asciiTheme="minorHAnsi" w:hAnsiTheme="minorHAnsi" w:cstheme="minorHAnsi"/>
          <w:sz w:val="24"/>
        </w:rPr>
      </w:pPr>
    </w:p>
    <w:p w14:paraId="1A88C9AD" w14:textId="6159ECC0" w:rsidR="00862631" w:rsidRPr="00BD0203" w:rsidRDefault="00727DC2" w:rsidP="00CD605A">
      <w:pPr>
        <w:rPr>
          <w:rFonts w:asciiTheme="minorHAnsi" w:hAnsiTheme="minorHAnsi" w:cstheme="minorHAnsi"/>
          <w:sz w:val="24"/>
        </w:rPr>
      </w:pPr>
      <w:r w:rsidRPr="00BD0203">
        <w:rPr>
          <w:rFonts w:asciiTheme="minorHAnsi" w:hAnsiTheme="minorHAnsi" w:cstheme="minorHAnsi"/>
          <w:sz w:val="24"/>
        </w:rPr>
        <w:t>3.1</w:t>
      </w:r>
      <w:r w:rsidR="0000522F" w:rsidRPr="00BD0203">
        <w:rPr>
          <w:rFonts w:asciiTheme="minorHAnsi" w:hAnsiTheme="minorHAnsi" w:cstheme="minorHAnsi"/>
          <w:sz w:val="24"/>
        </w:rPr>
        <w:t>4</w:t>
      </w:r>
      <w:r w:rsidRPr="00BD0203">
        <w:rPr>
          <w:rFonts w:asciiTheme="minorHAnsi" w:hAnsiTheme="minorHAnsi" w:cstheme="minorHAnsi"/>
          <w:sz w:val="24"/>
        </w:rPr>
        <w:tab/>
      </w:r>
      <w:r w:rsidR="0000522F" w:rsidRPr="00BD0203">
        <w:rPr>
          <w:rFonts w:asciiTheme="minorHAnsi" w:hAnsiTheme="minorHAnsi" w:cstheme="minorHAnsi"/>
          <w:sz w:val="24"/>
        </w:rPr>
        <w:t xml:space="preserve">Delegates </w:t>
      </w:r>
      <w:r w:rsidR="00862631" w:rsidRPr="00BD0203">
        <w:rPr>
          <w:rFonts w:asciiTheme="minorHAnsi" w:hAnsiTheme="minorHAnsi" w:cstheme="minorHAnsi"/>
          <w:sz w:val="24"/>
        </w:rPr>
        <w:t>took note of the document and the draft biennial budget of the Union for</w:t>
      </w:r>
      <w:r w:rsidRPr="00BD0203">
        <w:rPr>
          <w:rFonts w:asciiTheme="minorHAnsi" w:hAnsiTheme="minorHAnsi" w:cstheme="minorHAnsi"/>
          <w:sz w:val="24"/>
        </w:rPr>
        <w:br/>
      </w:r>
      <w:r w:rsidR="00862631" w:rsidRPr="00BD0203">
        <w:rPr>
          <w:rFonts w:asciiTheme="minorHAnsi" w:hAnsiTheme="minorHAnsi" w:cstheme="minorHAnsi"/>
          <w:sz w:val="24"/>
        </w:rPr>
        <w:t>2022-2023 will be presented to Council 2021 for approval.</w:t>
      </w:r>
    </w:p>
    <w:p w14:paraId="19F71028" w14:textId="363391D1" w:rsidR="001D0884" w:rsidRPr="00BD0203" w:rsidRDefault="001D0884" w:rsidP="001D0884">
      <w:pPr>
        <w:tabs>
          <w:tab w:val="left" w:pos="709"/>
          <w:tab w:val="left" w:pos="1134"/>
          <w:tab w:val="left" w:pos="1701"/>
          <w:tab w:val="left" w:pos="2268"/>
          <w:tab w:val="left" w:pos="2835"/>
        </w:tabs>
        <w:overflowPunct w:val="0"/>
        <w:autoSpaceDE w:val="0"/>
        <w:autoSpaceDN w:val="0"/>
        <w:adjustRightInd w:val="0"/>
        <w:snapToGrid w:val="0"/>
        <w:textAlignment w:val="baseline"/>
        <w:rPr>
          <w:rFonts w:asciiTheme="minorHAnsi" w:hAnsiTheme="minorHAnsi" w:cstheme="minorHAnsi"/>
          <w:b/>
          <w:bCs/>
          <w:sz w:val="24"/>
        </w:rPr>
      </w:pPr>
    </w:p>
    <w:p w14:paraId="736DDD1C" w14:textId="4EF6BC09" w:rsidR="001D0884" w:rsidRPr="00BD0203" w:rsidRDefault="001D0884" w:rsidP="001D0884">
      <w:pPr>
        <w:pStyle w:val="ListParagraph"/>
        <w:numPr>
          <w:ilvl w:val="0"/>
          <w:numId w:val="29"/>
        </w:numPr>
        <w:tabs>
          <w:tab w:val="left" w:pos="709"/>
          <w:tab w:val="left" w:pos="1134"/>
          <w:tab w:val="left" w:pos="1701"/>
          <w:tab w:val="left" w:pos="2268"/>
          <w:tab w:val="left" w:pos="2835"/>
        </w:tabs>
        <w:overflowPunct w:val="0"/>
        <w:autoSpaceDE w:val="0"/>
        <w:autoSpaceDN w:val="0"/>
        <w:adjustRightInd w:val="0"/>
        <w:snapToGrid w:val="0"/>
        <w:textAlignment w:val="baseline"/>
        <w:rPr>
          <w:rFonts w:asciiTheme="minorHAnsi" w:hAnsiTheme="minorHAnsi" w:cstheme="minorHAnsi"/>
          <w:b/>
          <w:bCs/>
          <w:sz w:val="24"/>
        </w:rPr>
      </w:pPr>
      <w:r w:rsidRPr="00BD0203">
        <w:rPr>
          <w:rFonts w:asciiTheme="minorHAnsi" w:hAnsiTheme="minorHAnsi" w:cstheme="minorHAnsi"/>
          <w:b/>
          <w:bCs/>
          <w:sz w:val="24"/>
        </w:rPr>
        <w:t xml:space="preserve">Business continuity – Information management (Document </w:t>
      </w:r>
      <w:hyperlink r:id="rId15" w:history="1">
        <w:r w:rsidRPr="00BD0203">
          <w:rPr>
            <w:rStyle w:val="Hyperlink"/>
            <w:rFonts w:asciiTheme="minorHAnsi" w:hAnsiTheme="minorHAnsi" w:cstheme="minorHAnsi"/>
            <w:b/>
            <w:bCs/>
            <w:color w:val="auto"/>
            <w:sz w:val="24"/>
          </w:rPr>
          <w:t>CWG-FHR-12/3</w:t>
        </w:r>
      </w:hyperlink>
      <w:r w:rsidRPr="00BD0203">
        <w:rPr>
          <w:rFonts w:asciiTheme="minorHAnsi" w:hAnsiTheme="minorHAnsi" w:cstheme="minorHAnsi"/>
          <w:b/>
          <w:bCs/>
          <w:sz w:val="24"/>
        </w:rPr>
        <w:t>)</w:t>
      </w:r>
    </w:p>
    <w:p w14:paraId="2C172925" w14:textId="77777777" w:rsidR="00071C7B" w:rsidRPr="00BD0203" w:rsidRDefault="00071C7B" w:rsidP="00265269">
      <w:pPr>
        <w:rPr>
          <w:rFonts w:asciiTheme="minorHAnsi" w:hAnsiTheme="minorHAnsi" w:cstheme="minorHAnsi"/>
          <w:sz w:val="24"/>
          <w:lang w:eastAsia="en-US"/>
        </w:rPr>
      </w:pPr>
    </w:p>
    <w:p w14:paraId="680820E4" w14:textId="23329C7C" w:rsidR="0051532C" w:rsidRPr="00BD0203" w:rsidRDefault="003D3745" w:rsidP="00265269">
      <w:pPr>
        <w:rPr>
          <w:rFonts w:asciiTheme="minorHAnsi" w:hAnsiTheme="minorHAnsi" w:cstheme="minorHAnsi"/>
          <w:sz w:val="24"/>
        </w:rPr>
      </w:pPr>
      <w:r w:rsidRPr="00BD0203">
        <w:rPr>
          <w:rFonts w:asciiTheme="minorHAnsi" w:hAnsiTheme="minorHAnsi" w:cstheme="minorHAnsi"/>
          <w:sz w:val="24"/>
        </w:rPr>
        <w:t>3.</w:t>
      </w:r>
      <w:r w:rsidR="0000522F" w:rsidRPr="00BD0203">
        <w:rPr>
          <w:rFonts w:asciiTheme="minorHAnsi" w:hAnsiTheme="minorHAnsi" w:cstheme="minorHAnsi"/>
          <w:sz w:val="24"/>
        </w:rPr>
        <w:t>15</w:t>
      </w:r>
      <w:r w:rsidRPr="00BD0203">
        <w:rPr>
          <w:rFonts w:asciiTheme="minorHAnsi" w:hAnsiTheme="minorHAnsi" w:cstheme="minorHAnsi"/>
          <w:sz w:val="24"/>
        </w:rPr>
        <w:tab/>
      </w:r>
      <w:r w:rsidR="00071C7B" w:rsidRPr="00BD0203">
        <w:rPr>
          <w:rFonts w:asciiTheme="minorHAnsi" w:hAnsiTheme="minorHAnsi" w:cstheme="minorHAnsi"/>
          <w:sz w:val="24"/>
        </w:rPr>
        <w:t xml:space="preserve">The </w:t>
      </w:r>
      <w:r w:rsidRPr="00BD0203">
        <w:rPr>
          <w:rFonts w:asciiTheme="minorHAnsi" w:hAnsiTheme="minorHAnsi" w:cstheme="minorHAnsi"/>
          <w:sz w:val="24"/>
        </w:rPr>
        <w:t>s</w:t>
      </w:r>
      <w:r w:rsidR="00071C7B" w:rsidRPr="00BD0203">
        <w:rPr>
          <w:rFonts w:asciiTheme="minorHAnsi" w:hAnsiTheme="minorHAnsi" w:cstheme="minorHAnsi"/>
          <w:sz w:val="24"/>
        </w:rPr>
        <w:t xml:space="preserve">ecretariat introduced </w:t>
      </w:r>
      <w:r w:rsidRPr="00BD0203">
        <w:rPr>
          <w:rFonts w:asciiTheme="minorHAnsi" w:hAnsiTheme="minorHAnsi" w:cstheme="minorHAnsi"/>
          <w:sz w:val="24"/>
        </w:rPr>
        <w:t>D</w:t>
      </w:r>
      <w:r w:rsidR="00071C7B" w:rsidRPr="00BD0203">
        <w:rPr>
          <w:rFonts w:asciiTheme="minorHAnsi" w:hAnsiTheme="minorHAnsi" w:cstheme="minorHAnsi"/>
          <w:sz w:val="24"/>
        </w:rPr>
        <w:t xml:space="preserve">ocument </w:t>
      </w:r>
      <w:r w:rsidR="00071C7B" w:rsidRPr="00BD0203">
        <w:rPr>
          <w:rFonts w:asciiTheme="minorHAnsi" w:hAnsiTheme="minorHAnsi" w:cstheme="minorHAnsi"/>
          <w:b/>
          <w:bCs/>
          <w:sz w:val="24"/>
        </w:rPr>
        <w:t>CWG-FHR 12/3</w:t>
      </w:r>
      <w:r w:rsidR="00071C7B" w:rsidRPr="00BD0203">
        <w:rPr>
          <w:rFonts w:asciiTheme="minorHAnsi" w:hAnsiTheme="minorHAnsi" w:cstheme="minorHAnsi"/>
          <w:sz w:val="24"/>
        </w:rPr>
        <w:t xml:space="preserve"> which has been prepared in response to the requests </w:t>
      </w:r>
      <w:r w:rsidR="0051532C" w:rsidRPr="00BD0203">
        <w:rPr>
          <w:rFonts w:asciiTheme="minorHAnsi" w:hAnsiTheme="minorHAnsi" w:cstheme="minorHAnsi"/>
          <w:sz w:val="24"/>
        </w:rPr>
        <w:t>by</w:t>
      </w:r>
      <w:r w:rsidR="00071C7B" w:rsidRPr="00BD0203">
        <w:rPr>
          <w:rFonts w:asciiTheme="minorHAnsi" w:hAnsiTheme="minorHAnsi" w:cstheme="minorHAnsi"/>
          <w:sz w:val="24"/>
        </w:rPr>
        <w:t xml:space="preserve"> delegates during the </w:t>
      </w:r>
      <w:r w:rsidR="0051532C" w:rsidRPr="00BD0203">
        <w:rPr>
          <w:rFonts w:asciiTheme="minorHAnsi" w:hAnsiTheme="minorHAnsi" w:cstheme="minorHAnsi"/>
          <w:sz w:val="24"/>
        </w:rPr>
        <w:t>Second Virtual Consultation of Coun</w:t>
      </w:r>
      <w:r w:rsidR="00ED196F" w:rsidRPr="00BD0203">
        <w:rPr>
          <w:rFonts w:asciiTheme="minorHAnsi" w:hAnsiTheme="minorHAnsi" w:cstheme="minorHAnsi"/>
          <w:sz w:val="24"/>
        </w:rPr>
        <w:t>cillors</w:t>
      </w:r>
      <w:r w:rsidR="0051532C" w:rsidRPr="00BD0203">
        <w:rPr>
          <w:rFonts w:asciiTheme="minorHAnsi" w:hAnsiTheme="minorHAnsi" w:cstheme="minorHAnsi"/>
          <w:sz w:val="24"/>
        </w:rPr>
        <w:br/>
        <w:t xml:space="preserve">(VCC-2) </w:t>
      </w:r>
      <w:r w:rsidR="00071C7B" w:rsidRPr="00BD0203">
        <w:rPr>
          <w:rFonts w:asciiTheme="minorHAnsi" w:hAnsiTheme="minorHAnsi" w:cstheme="minorHAnsi"/>
          <w:sz w:val="24"/>
        </w:rPr>
        <w:t xml:space="preserve">for more details on </w:t>
      </w:r>
      <w:r w:rsidRPr="00BD0203">
        <w:rPr>
          <w:rFonts w:asciiTheme="minorHAnsi" w:hAnsiTheme="minorHAnsi" w:cstheme="minorHAnsi"/>
          <w:sz w:val="24"/>
        </w:rPr>
        <w:t>D</w:t>
      </w:r>
      <w:r w:rsidR="00071C7B" w:rsidRPr="00BD0203">
        <w:rPr>
          <w:rFonts w:asciiTheme="minorHAnsi" w:hAnsiTheme="minorHAnsi" w:cstheme="minorHAnsi"/>
          <w:sz w:val="24"/>
        </w:rPr>
        <w:t>ocument</w:t>
      </w:r>
      <w:r w:rsidRPr="00BD0203">
        <w:rPr>
          <w:rFonts w:asciiTheme="minorHAnsi" w:hAnsiTheme="minorHAnsi" w:cstheme="minorHAnsi"/>
          <w:sz w:val="24"/>
        </w:rPr>
        <w:t> </w:t>
      </w:r>
      <w:hyperlink r:id="rId16" w:history="1">
        <w:r w:rsidR="00071C7B" w:rsidRPr="00BD0203">
          <w:rPr>
            <w:rStyle w:val="Hyperlink"/>
            <w:rFonts w:asciiTheme="minorHAnsi" w:hAnsiTheme="minorHAnsi" w:cstheme="minorHAnsi"/>
            <w:b/>
            <w:bCs/>
            <w:color w:val="auto"/>
            <w:sz w:val="24"/>
          </w:rPr>
          <w:t>C20/53</w:t>
        </w:r>
      </w:hyperlink>
      <w:r w:rsidR="00071C7B" w:rsidRPr="00BD0203">
        <w:rPr>
          <w:rFonts w:asciiTheme="minorHAnsi" w:hAnsiTheme="minorHAnsi" w:cstheme="minorHAnsi"/>
          <w:sz w:val="24"/>
        </w:rPr>
        <w:t xml:space="preserve"> covering Business Continuity.  The additional information covers: </w:t>
      </w:r>
    </w:p>
    <w:p w14:paraId="080CD52C" w14:textId="77777777" w:rsidR="0051532C" w:rsidRPr="00BD0203" w:rsidRDefault="0051532C" w:rsidP="00265269">
      <w:pPr>
        <w:rPr>
          <w:rFonts w:asciiTheme="minorHAnsi" w:hAnsiTheme="minorHAnsi" w:cstheme="minorHAnsi"/>
          <w:sz w:val="24"/>
        </w:rPr>
      </w:pPr>
    </w:p>
    <w:p w14:paraId="5420237A" w14:textId="77777777" w:rsidR="0051532C" w:rsidRPr="00BD0203" w:rsidRDefault="00071C7B" w:rsidP="008F736F">
      <w:pPr>
        <w:pStyle w:val="ListParagraph"/>
        <w:numPr>
          <w:ilvl w:val="0"/>
          <w:numId w:val="34"/>
        </w:numPr>
        <w:spacing w:after="60"/>
        <w:ind w:left="1060" w:hanging="357"/>
        <w:rPr>
          <w:rFonts w:asciiTheme="minorHAnsi" w:hAnsiTheme="minorHAnsi" w:cstheme="minorHAnsi"/>
          <w:sz w:val="24"/>
          <w:lang w:eastAsia="en-US"/>
        </w:rPr>
      </w:pPr>
      <w:r w:rsidRPr="00BD0203">
        <w:rPr>
          <w:rFonts w:asciiTheme="minorHAnsi" w:hAnsiTheme="minorHAnsi" w:cstheme="minorHAnsi"/>
          <w:sz w:val="24"/>
        </w:rPr>
        <w:t xml:space="preserve">a proposed funding schedule over the next </w:t>
      </w:r>
      <w:r w:rsidR="00EB2088" w:rsidRPr="00BD0203">
        <w:rPr>
          <w:rFonts w:asciiTheme="minorHAnsi" w:hAnsiTheme="minorHAnsi" w:cstheme="minorHAnsi"/>
          <w:sz w:val="24"/>
        </w:rPr>
        <w:t xml:space="preserve">seven </w:t>
      </w:r>
      <w:r w:rsidRPr="00BD0203">
        <w:rPr>
          <w:rFonts w:asciiTheme="minorHAnsi" w:hAnsiTheme="minorHAnsi" w:cstheme="minorHAnsi"/>
          <w:sz w:val="24"/>
        </w:rPr>
        <w:t>years; and</w:t>
      </w:r>
    </w:p>
    <w:p w14:paraId="0F924411" w14:textId="6FFDE9B7" w:rsidR="00071C7B" w:rsidRPr="00BD0203" w:rsidRDefault="00071C7B" w:rsidP="0051532C">
      <w:pPr>
        <w:pStyle w:val="ListParagraph"/>
        <w:numPr>
          <w:ilvl w:val="0"/>
          <w:numId w:val="34"/>
        </w:numPr>
        <w:rPr>
          <w:rFonts w:asciiTheme="minorHAnsi" w:hAnsiTheme="minorHAnsi" w:cstheme="minorHAnsi"/>
          <w:sz w:val="24"/>
          <w:lang w:eastAsia="en-US"/>
        </w:rPr>
      </w:pPr>
      <w:r w:rsidRPr="00BD0203">
        <w:rPr>
          <w:rFonts w:asciiTheme="minorHAnsi" w:hAnsiTheme="minorHAnsi" w:cstheme="minorHAnsi"/>
          <w:sz w:val="24"/>
        </w:rPr>
        <w:t>b) details on each of the three projects.</w:t>
      </w:r>
    </w:p>
    <w:p w14:paraId="7949E88F" w14:textId="77777777" w:rsidR="00071C7B" w:rsidRPr="00BD0203" w:rsidRDefault="00071C7B" w:rsidP="00265269">
      <w:pPr>
        <w:rPr>
          <w:rFonts w:asciiTheme="minorHAnsi" w:hAnsiTheme="minorHAnsi" w:cstheme="minorHAnsi"/>
          <w:sz w:val="24"/>
        </w:rPr>
      </w:pPr>
    </w:p>
    <w:p w14:paraId="236BB27B" w14:textId="067D9A33" w:rsidR="00071C7B" w:rsidRPr="00BD0203" w:rsidRDefault="003D3745" w:rsidP="00265269">
      <w:pPr>
        <w:rPr>
          <w:rFonts w:asciiTheme="minorHAnsi" w:hAnsiTheme="minorHAnsi" w:cstheme="minorHAnsi"/>
          <w:sz w:val="24"/>
        </w:rPr>
      </w:pPr>
      <w:r w:rsidRPr="00BD0203">
        <w:rPr>
          <w:rFonts w:asciiTheme="minorHAnsi" w:hAnsiTheme="minorHAnsi" w:cstheme="minorHAnsi"/>
          <w:sz w:val="24"/>
        </w:rPr>
        <w:lastRenderedPageBreak/>
        <w:t>3.</w:t>
      </w:r>
      <w:r w:rsidR="0000522F" w:rsidRPr="00BD0203">
        <w:rPr>
          <w:rFonts w:asciiTheme="minorHAnsi" w:hAnsiTheme="minorHAnsi" w:cstheme="minorHAnsi"/>
          <w:sz w:val="24"/>
        </w:rPr>
        <w:t>16</w:t>
      </w:r>
      <w:r w:rsidRPr="00BD0203">
        <w:rPr>
          <w:rFonts w:asciiTheme="minorHAnsi" w:hAnsiTheme="minorHAnsi" w:cstheme="minorHAnsi"/>
          <w:sz w:val="24"/>
        </w:rPr>
        <w:tab/>
        <w:t xml:space="preserve">Delegates were reminded that </w:t>
      </w:r>
      <w:r w:rsidR="00071C7B" w:rsidRPr="00BD0203">
        <w:rPr>
          <w:rFonts w:asciiTheme="minorHAnsi" w:hAnsiTheme="minorHAnsi" w:cstheme="minorHAnsi"/>
          <w:sz w:val="24"/>
        </w:rPr>
        <w:t xml:space="preserve">Business Continuity is a part of the development of ITU’s Organization Resilient Management Capacity, which was approved by Council in 2017. The ORMS status report is available in </w:t>
      </w:r>
      <w:r w:rsidRPr="00BD0203">
        <w:rPr>
          <w:rFonts w:asciiTheme="minorHAnsi" w:hAnsiTheme="minorHAnsi" w:cstheme="minorHAnsi"/>
          <w:sz w:val="24"/>
        </w:rPr>
        <w:t>D</w:t>
      </w:r>
      <w:r w:rsidR="00071C7B" w:rsidRPr="00BD0203">
        <w:rPr>
          <w:rFonts w:asciiTheme="minorHAnsi" w:hAnsiTheme="minorHAnsi" w:cstheme="minorHAnsi"/>
          <w:sz w:val="24"/>
        </w:rPr>
        <w:t xml:space="preserve">ocument </w:t>
      </w:r>
      <w:hyperlink r:id="rId17" w:history="1">
        <w:r w:rsidR="00071C7B" w:rsidRPr="00BD0203">
          <w:rPr>
            <w:rStyle w:val="Hyperlink"/>
            <w:rFonts w:asciiTheme="minorHAnsi" w:hAnsiTheme="minorHAnsi" w:cstheme="minorHAnsi"/>
            <w:b/>
            <w:bCs/>
            <w:color w:val="auto"/>
            <w:sz w:val="24"/>
          </w:rPr>
          <w:t>C20/15</w:t>
        </w:r>
      </w:hyperlink>
      <w:r w:rsidR="00071C7B" w:rsidRPr="00BD0203">
        <w:rPr>
          <w:rFonts w:asciiTheme="minorHAnsi" w:hAnsiTheme="minorHAnsi" w:cstheme="minorHAnsi"/>
          <w:sz w:val="24"/>
        </w:rPr>
        <w:t>.</w:t>
      </w:r>
    </w:p>
    <w:p w14:paraId="75AAEE53" w14:textId="77777777" w:rsidR="00071C7B" w:rsidRPr="00BD0203" w:rsidRDefault="00071C7B" w:rsidP="00265269">
      <w:pPr>
        <w:rPr>
          <w:rFonts w:asciiTheme="minorHAnsi" w:hAnsiTheme="minorHAnsi" w:cstheme="minorHAnsi"/>
          <w:sz w:val="24"/>
        </w:rPr>
      </w:pPr>
    </w:p>
    <w:p w14:paraId="3985D798" w14:textId="3581BE7A" w:rsidR="00071C7B" w:rsidRPr="00BD0203" w:rsidRDefault="003D3745" w:rsidP="00265269">
      <w:pPr>
        <w:rPr>
          <w:rFonts w:asciiTheme="minorHAnsi" w:hAnsiTheme="minorHAnsi" w:cstheme="minorHAnsi"/>
          <w:sz w:val="24"/>
        </w:rPr>
      </w:pPr>
      <w:r w:rsidRPr="00BD0203">
        <w:rPr>
          <w:rFonts w:asciiTheme="minorHAnsi" w:hAnsiTheme="minorHAnsi" w:cstheme="minorHAnsi"/>
          <w:sz w:val="24"/>
        </w:rPr>
        <w:t>3.</w:t>
      </w:r>
      <w:r w:rsidR="0000522F" w:rsidRPr="00BD0203">
        <w:rPr>
          <w:rFonts w:asciiTheme="minorHAnsi" w:hAnsiTheme="minorHAnsi" w:cstheme="minorHAnsi"/>
          <w:sz w:val="24"/>
        </w:rPr>
        <w:t>17</w:t>
      </w:r>
      <w:r w:rsidRPr="00BD0203">
        <w:rPr>
          <w:rFonts w:asciiTheme="minorHAnsi" w:hAnsiTheme="minorHAnsi" w:cstheme="minorHAnsi"/>
          <w:sz w:val="24"/>
        </w:rPr>
        <w:tab/>
      </w:r>
      <w:r w:rsidR="00071C7B" w:rsidRPr="00BD0203">
        <w:rPr>
          <w:rFonts w:asciiTheme="minorHAnsi" w:hAnsiTheme="minorHAnsi" w:cstheme="minorHAnsi"/>
          <w:sz w:val="24"/>
        </w:rPr>
        <w:t>The three projects cover corporate services utilized by the</w:t>
      </w:r>
      <w:r w:rsidR="00EB2088" w:rsidRPr="00BD0203">
        <w:rPr>
          <w:rFonts w:asciiTheme="minorHAnsi" w:hAnsiTheme="minorHAnsi" w:cstheme="minorHAnsi"/>
          <w:sz w:val="24"/>
        </w:rPr>
        <w:t xml:space="preserve"> three</w:t>
      </w:r>
      <w:r w:rsidR="00071C7B" w:rsidRPr="00BD0203">
        <w:rPr>
          <w:rFonts w:asciiTheme="minorHAnsi" w:hAnsiTheme="minorHAnsi" w:cstheme="minorHAnsi"/>
          <w:sz w:val="24"/>
        </w:rPr>
        <w:t xml:space="preserve"> </w:t>
      </w:r>
      <w:r w:rsidR="00EB2088" w:rsidRPr="00BD0203">
        <w:rPr>
          <w:rFonts w:asciiTheme="minorHAnsi" w:hAnsiTheme="minorHAnsi" w:cstheme="minorHAnsi"/>
          <w:sz w:val="24"/>
        </w:rPr>
        <w:t>B</w:t>
      </w:r>
      <w:r w:rsidR="00071C7B" w:rsidRPr="00BD0203">
        <w:rPr>
          <w:rFonts w:asciiTheme="minorHAnsi" w:hAnsiTheme="minorHAnsi" w:cstheme="minorHAnsi"/>
          <w:sz w:val="24"/>
        </w:rPr>
        <w:t>ureaus and the General Secretariat for delivering services to Member States.</w:t>
      </w:r>
    </w:p>
    <w:p w14:paraId="5EACBC5B" w14:textId="77777777" w:rsidR="00071C7B" w:rsidRPr="00BD0203" w:rsidRDefault="00071C7B" w:rsidP="00265269">
      <w:pPr>
        <w:rPr>
          <w:rFonts w:asciiTheme="minorHAnsi" w:hAnsiTheme="minorHAnsi" w:cstheme="minorHAnsi"/>
          <w:sz w:val="24"/>
        </w:rPr>
      </w:pPr>
    </w:p>
    <w:p w14:paraId="23C2DC9B" w14:textId="642674E3" w:rsidR="00071C7B" w:rsidRPr="00BD0203" w:rsidRDefault="00071C7B" w:rsidP="00265269">
      <w:pPr>
        <w:spacing w:after="120"/>
        <w:rPr>
          <w:rFonts w:asciiTheme="minorHAnsi" w:hAnsiTheme="minorHAnsi" w:cstheme="minorHAnsi"/>
          <w:b/>
          <w:bCs/>
          <w:sz w:val="24"/>
          <w:u w:val="single"/>
        </w:rPr>
      </w:pPr>
      <w:r w:rsidRPr="00BD0203">
        <w:rPr>
          <w:rFonts w:asciiTheme="minorHAnsi" w:hAnsiTheme="minorHAnsi" w:cstheme="minorHAnsi"/>
          <w:b/>
          <w:bCs/>
          <w:sz w:val="24"/>
        </w:rPr>
        <w:t>Project 1</w:t>
      </w:r>
      <w:r w:rsidRPr="00BD0203">
        <w:rPr>
          <w:rFonts w:asciiTheme="minorHAnsi" w:hAnsiTheme="minorHAnsi" w:cstheme="minorHAnsi"/>
          <w:sz w:val="24"/>
        </w:rPr>
        <w:t>:</w:t>
      </w:r>
      <w:r w:rsidR="00EB2088" w:rsidRPr="00BD0203">
        <w:rPr>
          <w:rFonts w:asciiTheme="minorHAnsi" w:hAnsiTheme="minorHAnsi" w:cstheme="minorHAnsi"/>
          <w:sz w:val="24"/>
        </w:rPr>
        <w:tab/>
      </w:r>
      <w:r w:rsidRPr="00BD0203">
        <w:rPr>
          <w:rFonts w:asciiTheme="minorHAnsi" w:hAnsiTheme="minorHAnsi" w:cstheme="minorHAnsi"/>
          <w:sz w:val="24"/>
        </w:rPr>
        <w:t xml:space="preserve">Information and records management (CHF 8 million) needs to start urgently, and with a tight timeline, to ensure that staff can continue working uninterrupted while the preparation of the Tower and Montbrillant buildings for the relocation of staff takes place, and for the actual staff relocation period 2023-2025. It is important to reduce the likelihood that the </w:t>
      </w:r>
      <w:hyperlink r:id="rId18" w:history="1">
        <w:r w:rsidRPr="00BD0203">
          <w:rPr>
            <w:rStyle w:val="Hyperlink"/>
            <w:rFonts w:asciiTheme="minorHAnsi" w:hAnsiTheme="minorHAnsi" w:cstheme="minorHAnsi"/>
            <w:color w:val="auto"/>
            <w:sz w:val="24"/>
          </w:rPr>
          <w:t>building project risks</w:t>
        </w:r>
      </w:hyperlink>
      <w:r w:rsidRPr="00BD0203">
        <w:rPr>
          <w:rFonts w:asciiTheme="minorHAnsi" w:hAnsiTheme="minorHAnsi" w:cstheme="minorHAnsi"/>
          <w:sz w:val="24"/>
        </w:rPr>
        <w:t xml:space="preserve"> will materialize and impact the Building Risk Register fund. </w:t>
      </w:r>
      <w:r w:rsidR="00F62EA0" w:rsidRPr="00BD0203">
        <w:rPr>
          <w:rFonts w:asciiTheme="minorHAnsi" w:hAnsiTheme="minorHAnsi" w:cstheme="minorHAnsi"/>
          <w:sz w:val="24"/>
        </w:rPr>
        <w:t xml:space="preserve">Delegates were </w:t>
      </w:r>
      <w:r w:rsidRPr="00BD0203">
        <w:rPr>
          <w:rFonts w:asciiTheme="minorHAnsi" w:hAnsiTheme="minorHAnsi" w:cstheme="minorHAnsi"/>
          <w:sz w:val="24"/>
        </w:rPr>
        <w:t xml:space="preserve">reminded that work had already started with safeguarding the BR archives located in Varembé building, a project for which Council </w:t>
      </w:r>
      <w:r w:rsidR="00F62EA0" w:rsidRPr="00BD0203">
        <w:rPr>
          <w:rFonts w:asciiTheme="minorHAnsi" w:hAnsiTheme="minorHAnsi" w:cstheme="minorHAnsi"/>
          <w:sz w:val="24"/>
        </w:rPr>
        <w:t xml:space="preserve">had </w:t>
      </w:r>
      <w:r w:rsidRPr="00BD0203">
        <w:rPr>
          <w:rFonts w:asciiTheme="minorHAnsi" w:hAnsiTheme="minorHAnsi" w:cstheme="minorHAnsi"/>
          <w:sz w:val="24"/>
        </w:rPr>
        <w:t>already specifically approved CHF 1.07 million (</w:t>
      </w:r>
      <w:r w:rsidR="00B96815" w:rsidRPr="00BD0203">
        <w:rPr>
          <w:rFonts w:asciiTheme="minorHAnsi" w:hAnsiTheme="minorHAnsi" w:cstheme="minorHAnsi"/>
          <w:sz w:val="24"/>
        </w:rPr>
        <w:t>Decision </w:t>
      </w:r>
      <w:r w:rsidRPr="00BD0203">
        <w:rPr>
          <w:rFonts w:asciiTheme="minorHAnsi" w:hAnsiTheme="minorHAnsi" w:cstheme="minorHAnsi"/>
          <w:sz w:val="24"/>
        </w:rPr>
        <w:t>619). Lessons learned from the UNNY master capital plan and UNOG renovation projects show that there is a significant risk of losing official organizational records if not managed and safeguarded in time.</w:t>
      </w:r>
    </w:p>
    <w:p w14:paraId="0595EF38" w14:textId="325F0920" w:rsidR="00071C7B" w:rsidRPr="00BD0203" w:rsidRDefault="00071C7B" w:rsidP="00265269">
      <w:pPr>
        <w:spacing w:after="120"/>
        <w:rPr>
          <w:rFonts w:asciiTheme="minorHAnsi" w:hAnsiTheme="minorHAnsi" w:cstheme="minorHAnsi"/>
          <w:sz w:val="24"/>
        </w:rPr>
      </w:pPr>
      <w:r w:rsidRPr="00BD0203">
        <w:rPr>
          <w:rFonts w:asciiTheme="minorHAnsi" w:hAnsiTheme="minorHAnsi" w:cstheme="minorHAnsi"/>
          <w:b/>
          <w:bCs/>
          <w:sz w:val="24"/>
        </w:rPr>
        <w:t>Project 2</w:t>
      </w:r>
      <w:r w:rsidRPr="00BD0203">
        <w:rPr>
          <w:rFonts w:asciiTheme="minorHAnsi" w:hAnsiTheme="minorHAnsi" w:cstheme="minorHAnsi"/>
          <w:sz w:val="24"/>
        </w:rPr>
        <w:t xml:space="preserve">: </w:t>
      </w:r>
      <w:r w:rsidR="00EB2088" w:rsidRPr="00BD0203">
        <w:rPr>
          <w:rFonts w:asciiTheme="minorHAnsi" w:hAnsiTheme="minorHAnsi" w:cstheme="minorHAnsi"/>
          <w:sz w:val="24"/>
        </w:rPr>
        <w:tab/>
      </w:r>
      <w:r w:rsidRPr="00BD0203">
        <w:rPr>
          <w:rFonts w:asciiTheme="minorHAnsi" w:hAnsiTheme="minorHAnsi" w:cstheme="minorHAnsi"/>
          <w:sz w:val="24"/>
        </w:rPr>
        <w:t>ITU working tools of the Union (CHF 3 million) is required to ensure business continuity following the end-of-life of some of the IT products ITU has been using for decades. This includes a) ITU’s administrative systems (EPR/CRM) which will need to be replaced by 2025 as the vendor (SAP) will cease support of the current platform; and b) ITU’s document management system (Documentum and Microsoft SharePoint) as the vendors ceased support for the current versions. Operating obsolete platforms is not only a risk but will also prevent the ITU from benefiting from new technological developments (introduction of AI /ML supported processes) and creating efficiency gains.</w:t>
      </w:r>
    </w:p>
    <w:p w14:paraId="6406E0B4" w14:textId="1FCEE3A9" w:rsidR="00071C7B" w:rsidRPr="00BD0203" w:rsidRDefault="00071C7B" w:rsidP="00265269">
      <w:pPr>
        <w:spacing w:after="120"/>
        <w:rPr>
          <w:rFonts w:asciiTheme="minorHAnsi" w:hAnsiTheme="minorHAnsi" w:cstheme="minorHAnsi"/>
          <w:sz w:val="24"/>
        </w:rPr>
      </w:pPr>
      <w:r w:rsidRPr="00BD0203">
        <w:rPr>
          <w:rFonts w:asciiTheme="minorHAnsi" w:hAnsiTheme="minorHAnsi" w:cstheme="minorHAnsi"/>
          <w:b/>
          <w:bCs/>
          <w:sz w:val="24"/>
        </w:rPr>
        <w:t>Project 3</w:t>
      </w:r>
      <w:r w:rsidRPr="00BD0203">
        <w:rPr>
          <w:rFonts w:asciiTheme="minorHAnsi" w:hAnsiTheme="minorHAnsi" w:cstheme="minorHAnsi"/>
          <w:sz w:val="24"/>
        </w:rPr>
        <w:t xml:space="preserve">: </w:t>
      </w:r>
      <w:r w:rsidR="00EB2088" w:rsidRPr="00BD0203">
        <w:rPr>
          <w:rFonts w:asciiTheme="minorHAnsi" w:hAnsiTheme="minorHAnsi" w:cstheme="minorHAnsi"/>
          <w:sz w:val="24"/>
        </w:rPr>
        <w:tab/>
      </w:r>
      <w:r w:rsidRPr="00BD0203">
        <w:rPr>
          <w:rFonts w:asciiTheme="minorHAnsi" w:hAnsiTheme="minorHAnsi" w:cstheme="minorHAnsi"/>
          <w:sz w:val="24"/>
        </w:rPr>
        <w:t xml:space="preserve">ITU website (CHF 2 million) is needed to migrate its entire website to a new platform, thus ensuring business continuity, and address requests from Member States for full implementation of </w:t>
      </w:r>
      <w:r w:rsidR="00CB3D5E" w:rsidRPr="00BD0203">
        <w:rPr>
          <w:rFonts w:asciiTheme="minorHAnsi" w:hAnsiTheme="minorHAnsi" w:cstheme="minorHAnsi"/>
          <w:sz w:val="24"/>
        </w:rPr>
        <w:t>six</w:t>
      </w:r>
      <w:r w:rsidRPr="00BD0203">
        <w:rPr>
          <w:rFonts w:asciiTheme="minorHAnsi" w:hAnsiTheme="minorHAnsi" w:cstheme="minorHAnsi"/>
          <w:sz w:val="24"/>
        </w:rPr>
        <w:t xml:space="preserve"> language content across the website, as well as harmonization and improved usability for delegates and visitors. (Res 154)</w:t>
      </w:r>
      <w:r w:rsidR="00CB3D5E" w:rsidRPr="00BD0203">
        <w:rPr>
          <w:rFonts w:asciiTheme="minorHAnsi" w:hAnsiTheme="minorHAnsi" w:cstheme="minorHAnsi"/>
          <w:sz w:val="24"/>
        </w:rPr>
        <w:t>.</w:t>
      </w:r>
    </w:p>
    <w:p w14:paraId="76E73D6B" w14:textId="7B980696" w:rsidR="00071C7B" w:rsidRPr="00BD0203" w:rsidRDefault="00F62EA0" w:rsidP="003F354E">
      <w:pPr>
        <w:tabs>
          <w:tab w:val="left" w:pos="567"/>
          <w:tab w:val="left" w:pos="851"/>
        </w:tabs>
        <w:rPr>
          <w:rFonts w:asciiTheme="minorHAnsi" w:hAnsiTheme="minorHAnsi" w:cstheme="minorHAnsi"/>
          <w:sz w:val="24"/>
        </w:rPr>
      </w:pPr>
      <w:r w:rsidRPr="00BD0203">
        <w:rPr>
          <w:rFonts w:asciiTheme="minorHAnsi" w:hAnsiTheme="minorHAnsi" w:cstheme="minorHAnsi"/>
          <w:sz w:val="24"/>
        </w:rPr>
        <w:t>3.</w:t>
      </w:r>
      <w:r w:rsidR="0000522F" w:rsidRPr="00BD0203">
        <w:rPr>
          <w:rFonts w:asciiTheme="minorHAnsi" w:hAnsiTheme="minorHAnsi" w:cstheme="minorHAnsi"/>
          <w:sz w:val="24"/>
        </w:rPr>
        <w:t>18</w:t>
      </w:r>
      <w:r w:rsidRPr="00BD0203">
        <w:rPr>
          <w:rFonts w:asciiTheme="minorHAnsi" w:hAnsiTheme="minorHAnsi" w:cstheme="minorHAnsi"/>
          <w:sz w:val="24"/>
        </w:rPr>
        <w:tab/>
        <w:t xml:space="preserve">Delegates </w:t>
      </w:r>
      <w:r w:rsidR="00071C7B" w:rsidRPr="00BD0203">
        <w:rPr>
          <w:rFonts w:asciiTheme="minorHAnsi" w:hAnsiTheme="minorHAnsi" w:cstheme="minorHAnsi"/>
          <w:sz w:val="24"/>
        </w:rPr>
        <w:t xml:space="preserve">noted the importance of the projects. They requested that all ITU unfunded requests be consolidated in one document for consideration by Council 21. </w:t>
      </w:r>
      <w:r w:rsidR="00CB3D5E" w:rsidRPr="00BD0203">
        <w:rPr>
          <w:rFonts w:asciiTheme="minorHAnsi" w:hAnsiTheme="minorHAnsi" w:cstheme="minorHAnsi"/>
          <w:sz w:val="24"/>
        </w:rPr>
        <w:t xml:space="preserve">The </w:t>
      </w:r>
      <w:r w:rsidRPr="00BD0203">
        <w:rPr>
          <w:rFonts w:asciiTheme="minorHAnsi" w:hAnsiTheme="minorHAnsi" w:cstheme="minorHAnsi"/>
          <w:sz w:val="24"/>
        </w:rPr>
        <w:t>s</w:t>
      </w:r>
      <w:r w:rsidR="00CB3D5E" w:rsidRPr="00BD0203">
        <w:rPr>
          <w:rFonts w:asciiTheme="minorHAnsi" w:hAnsiTheme="minorHAnsi" w:cstheme="minorHAnsi"/>
          <w:sz w:val="24"/>
        </w:rPr>
        <w:t xml:space="preserve">ecretariat </w:t>
      </w:r>
      <w:r w:rsidR="00071C7B" w:rsidRPr="00BD0203">
        <w:rPr>
          <w:rFonts w:asciiTheme="minorHAnsi" w:hAnsiTheme="minorHAnsi" w:cstheme="minorHAnsi"/>
          <w:sz w:val="24"/>
        </w:rPr>
        <w:t>added that all such requests were not included in either the 2020-2021 or 2022-20</w:t>
      </w:r>
      <w:r w:rsidR="004D639C">
        <w:rPr>
          <w:rFonts w:asciiTheme="minorHAnsi" w:hAnsiTheme="minorHAnsi" w:cstheme="minorHAnsi"/>
          <w:sz w:val="24"/>
        </w:rPr>
        <w:t>2</w:t>
      </w:r>
      <w:r w:rsidR="00071C7B" w:rsidRPr="00BD0203">
        <w:rPr>
          <w:rFonts w:asciiTheme="minorHAnsi" w:hAnsiTheme="minorHAnsi" w:cstheme="minorHAnsi"/>
          <w:sz w:val="24"/>
        </w:rPr>
        <w:t xml:space="preserve">3 biennial budgets and therefore, would require </w:t>
      </w:r>
      <w:r w:rsidR="00CB3D5E" w:rsidRPr="00BD0203">
        <w:rPr>
          <w:rFonts w:asciiTheme="minorHAnsi" w:hAnsiTheme="minorHAnsi" w:cstheme="minorHAnsi"/>
          <w:sz w:val="24"/>
        </w:rPr>
        <w:t xml:space="preserve">a </w:t>
      </w:r>
      <w:r w:rsidR="00071C7B" w:rsidRPr="00BD0203">
        <w:rPr>
          <w:rFonts w:asciiTheme="minorHAnsi" w:hAnsiTheme="minorHAnsi" w:cstheme="minorHAnsi"/>
          <w:sz w:val="24"/>
        </w:rPr>
        <w:t>Council decision. One delegat</w:t>
      </w:r>
      <w:r w:rsidRPr="00BD0203">
        <w:rPr>
          <w:rFonts w:asciiTheme="minorHAnsi" w:hAnsiTheme="minorHAnsi" w:cstheme="minorHAnsi"/>
          <w:sz w:val="24"/>
        </w:rPr>
        <w:t>e</w:t>
      </w:r>
      <w:r w:rsidR="00071C7B" w:rsidRPr="00BD0203">
        <w:rPr>
          <w:rFonts w:asciiTheme="minorHAnsi" w:hAnsiTheme="minorHAnsi" w:cstheme="minorHAnsi"/>
          <w:sz w:val="24"/>
        </w:rPr>
        <w:t xml:space="preserve"> encouraged ITU to implement the “OneITU” to avoid duplication and overlap between the Bureaus and the Departments in the General Secretariat.</w:t>
      </w:r>
    </w:p>
    <w:p w14:paraId="2B7EDDFA" w14:textId="77777777" w:rsidR="003F354E" w:rsidRPr="00BD0203" w:rsidRDefault="003F354E" w:rsidP="003F354E">
      <w:pPr>
        <w:tabs>
          <w:tab w:val="left" w:pos="851"/>
        </w:tabs>
        <w:rPr>
          <w:rFonts w:asciiTheme="minorHAnsi" w:hAnsiTheme="minorHAnsi" w:cstheme="minorHAnsi"/>
          <w:sz w:val="24"/>
        </w:rPr>
      </w:pPr>
    </w:p>
    <w:p w14:paraId="46443441" w14:textId="6AC2F6F8" w:rsidR="001D0884" w:rsidRPr="00BD0203" w:rsidRDefault="001D0884" w:rsidP="003F354E">
      <w:pPr>
        <w:pStyle w:val="ListParagraph"/>
        <w:numPr>
          <w:ilvl w:val="0"/>
          <w:numId w:val="29"/>
        </w:numPr>
        <w:tabs>
          <w:tab w:val="left" w:pos="709"/>
          <w:tab w:val="left" w:pos="1134"/>
          <w:tab w:val="left" w:pos="1701"/>
          <w:tab w:val="left" w:pos="2268"/>
          <w:tab w:val="left" w:pos="2835"/>
        </w:tabs>
        <w:overflowPunct w:val="0"/>
        <w:autoSpaceDE w:val="0"/>
        <w:autoSpaceDN w:val="0"/>
        <w:adjustRightInd w:val="0"/>
        <w:snapToGrid w:val="0"/>
        <w:textAlignment w:val="baseline"/>
        <w:rPr>
          <w:rFonts w:asciiTheme="minorHAnsi" w:hAnsiTheme="minorHAnsi" w:cstheme="minorHAnsi"/>
          <w:b/>
          <w:bCs/>
          <w:sz w:val="24"/>
        </w:rPr>
      </w:pPr>
      <w:r w:rsidRPr="00BD0203">
        <w:rPr>
          <w:rFonts w:asciiTheme="minorHAnsi" w:hAnsiTheme="minorHAnsi" w:cstheme="minorHAnsi"/>
          <w:b/>
          <w:bCs/>
          <w:sz w:val="24"/>
        </w:rPr>
        <w:t>Provisional forecast of the surplus 2020 (Financial) (Oral presentation)</w:t>
      </w:r>
    </w:p>
    <w:p w14:paraId="4A67BCB6" w14:textId="2E2D1C46" w:rsidR="001D0884" w:rsidRPr="00BD0203" w:rsidRDefault="001D0884" w:rsidP="003F354E">
      <w:pPr>
        <w:tabs>
          <w:tab w:val="left" w:pos="709"/>
          <w:tab w:val="left" w:pos="1134"/>
          <w:tab w:val="left" w:pos="1701"/>
          <w:tab w:val="left" w:pos="2268"/>
          <w:tab w:val="left" w:pos="2835"/>
        </w:tabs>
        <w:overflowPunct w:val="0"/>
        <w:autoSpaceDE w:val="0"/>
        <w:autoSpaceDN w:val="0"/>
        <w:adjustRightInd w:val="0"/>
        <w:snapToGrid w:val="0"/>
        <w:textAlignment w:val="baseline"/>
        <w:rPr>
          <w:rFonts w:asciiTheme="minorHAnsi" w:hAnsiTheme="minorHAnsi" w:cstheme="minorHAnsi"/>
          <w:b/>
          <w:bCs/>
          <w:sz w:val="24"/>
        </w:rPr>
      </w:pPr>
    </w:p>
    <w:p w14:paraId="08E1DDA8" w14:textId="3AE212BB" w:rsidR="003F354E" w:rsidRPr="00BD0203" w:rsidRDefault="003F354E" w:rsidP="003F354E">
      <w:pPr>
        <w:rPr>
          <w:rFonts w:asciiTheme="minorHAnsi" w:hAnsiTheme="minorHAnsi" w:cstheme="minorHAnsi"/>
          <w:sz w:val="24"/>
        </w:rPr>
      </w:pPr>
      <w:r w:rsidRPr="00BD0203">
        <w:rPr>
          <w:rFonts w:asciiTheme="minorHAnsi" w:hAnsiTheme="minorHAnsi" w:cstheme="minorHAnsi"/>
          <w:sz w:val="24"/>
        </w:rPr>
        <w:t>3.19</w:t>
      </w:r>
      <w:r w:rsidRPr="00BD0203">
        <w:rPr>
          <w:rFonts w:asciiTheme="minorHAnsi" w:hAnsiTheme="minorHAnsi" w:cstheme="minorHAnsi"/>
          <w:sz w:val="24"/>
        </w:rPr>
        <w:tab/>
        <w:t>The secretariat made an oral presentation of the 2020 budget implementation preliminary results, prior to the official closing of accounts due by March 2021.</w:t>
      </w:r>
    </w:p>
    <w:p w14:paraId="5C013831" w14:textId="77777777" w:rsidR="003F354E" w:rsidRPr="00BD0203" w:rsidRDefault="003F354E" w:rsidP="003F354E">
      <w:pPr>
        <w:rPr>
          <w:rFonts w:asciiTheme="minorHAnsi" w:hAnsiTheme="minorHAnsi" w:cstheme="minorHAnsi"/>
          <w:sz w:val="24"/>
        </w:rPr>
      </w:pPr>
    </w:p>
    <w:p w14:paraId="35D5988D" w14:textId="2B312870" w:rsidR="003F354E" w:rsidRPr="00BD0203" w:rsidRDefault="003F354E" w:rsidP="003F354E">
      <w:pPr>
        <w:rPr>
          <w:rFonts w:asciiTheme="minorHAnsi" w:hAnsiTheme="minorHAnsi" w:cstheme="minorHAnsi"/>
          <w:sz w:val="24"/>
        </w:rPr>
      </w:pPr>
      <w:r w:rsidRPr="00BD0203">
        <w:rPr>
          <w:rFonts w:asciiTheme="minorHAnsi" w:hAnsiTheme="minorHAnsi" w:cstheme="minorHAnsi"/>
          <w:sz w:val="24"/>
        </w:rPr>
        <w:t>3.20</w:t>
      </w:r>
      <w:r w:rsidRPr="00BD0203">
        <w:rPr>
          <w:rFonts w:asciiTheme="minorHAnsi" w:hAnsiTheme="minorHAnsi" w:cstheme="minorHAnsi"/>
          <w:sz w:val="24"/>
        </w:rPr>
        <w:tab/>
        <w:t>The salient points were as follows:</w:t>
      </w:r>
    </w:p>
    <w:p w14:paraId="18D3DA88" w14:textId="77777777" w:rsidR="003F354E" w:rsidRPr="00BD0203" w:rsidRDefault="003F354E" w:rsidP="003F354E">
      <w:pPr>
        <w:rPr>
          <w:rFonts w:asciiTheme="minorHAnsi" w:hAnsiTheme="minorHAnsi" w:cstheme="minorHAnsi"/>
          <w:sz w:val="24"/>
        </w:rPr>
      </w:pPr>
    </w:p>
    <w:p w14:paraId="5E4A3083" w14:textId="59AAE98B" w:rsidR="003F354E" w:rsidRPr="00BD0203" w:rsidRDefault="003F354E" w:rsidP="003F354E">
      <w:pPr>
        <w:tabs>
          <w:tab w:val="left" w:pos="567"/>
          <w:tab w:val="left" w:pos="993"/>
        </w:tabs>
        <w:ind w:left="993" w:hanging="284"/>
        <w:rPr>
          <w:rFonts w:asciiTheme="minorHAnsi" w:hAnsiTheme="minorHAnsi" w:cstheme="minorHAnsi"/>
          <w:sz w:val="24"/>
        </w:rPr>
      </w:pPr>
      <w:r w:rsidRPr="00BD0203">
        <w:rPr>
          <w:rFonts w:asciiTheme="minorHAnsi" w:hAnsiTheme="minorHAnsi" w:cstheme="minorHAnsi"/>
          <w:sz w:val="24"/>
        </w:rPr>
        <w:t>-</w:t>
      </w:r>
      <w:r w:rsidRPr="00BD0203">
        <w:rPr>
          <w:rFonts w:asciiTheme="minorHAnsi" w:hAnsiTheme="minorHAnsi" w:cstheme="minorHAnsi"/>
          <w:sz w:val="24"/>
        </w:rPr>
        <w:tab/>
        <w:t>On the expenses side, significant savings on travel and fellowships costs partially offset by COVID-19 specific expenses (CHF 1.7 million) as well as the annual payment to the UNSMIS (new health insurance for ITU) (CHF 1.6 million) leading to unspent appropriations of some CHF 9 million.</w:t>
      </w:r>
    </w:p>
    <w:p w14:paraId="0C8EB463" w14:textId="77777777" w:rsidR="003F354E" w:rsidRPr="00BD0203" w:rsidRDefault="003F354E" w:rsidP="003F354E">
      <w:pPr>
        <w:tabs>
          <w:tab w:val="left" w:pos="567"/>
          <w:tab w:val="left" w:pos="993"/>
        </w:tabs>
        <w:rPr>
          <w:rFonts w:asciiTheme="minorHAnsi" w:hAnsiTheme="minorHAnsi" w:cstheme="minorHAnsi"/>
          <w:sz w:val="24"/>
        </w:rPr>
      </w:pPr>
    </w:p>
    <w:p w14:paraId="5F3402E1" w14:textId="1BD414B4" w:rsidR="003F354E" w:rsidRPr="00BD0203" w:rsidRDefault="003F354E" w:rsidP="003F354E">
      <w:pPr>
        <w:tabs>
          <w:tab w:val="left" w:pos="567"/>
          <w:tab w:val="left" w:pos="993"/>
        </w:tabs>
        <w:ind w:left="993" w:hanging="284"/>
        <w:rPr>
          <w:rFonts w:asciiTheme="minorHAnsi" w:hAnsiTheme="minorHAnsi" w:cstheme="minorHAnsi"/>
          <w:sz w:val="24"/>
        </w:rPr>
      </w:pPr>
      <w:r w:rsidRPr="00BD0203">
        <w:rPr>
          <w:rFonts w:asciiTheme="minorHAnsi" w:hAnsiTheme="minorHAnsi" w:cstheme="minorHAnsi"/>
          <w:sz w:val="24"/>
        </w:rPr>
        <w:t>-</w:t>
      </w:r>
      <w:r w:rsidRPr="00BD0203">
        <w:rPr>
          <w:rFonts w:asciiTheme="minorHAnsi" w:hAnsiTheme="minorHAnsi" w:cstheme="minorHAnsi"/>
          <w:sz w:val="24"/>
        </w:rPr>
        <w:tab/>
        <w:t xml:space="preserve">On the revenue side, significant shortfall on the cost recovery side. CHF -1.5 million for Telecom that was cancelled, CHF -1.5 million for Satellite Network Fillings as well as roughly 1.5 million for sales of publications. The CHF 3.6 million of savings from budget </w:t>
      </w:r>
      <w:r w:rsidRPr="00BD0203">
        <w:rPr>
          <w:rFonts w:asciiTheme="minorHAnsi" w:hAnsiTheme="minorHAnsi" w:cstheme="minorHAnsi"/>
          <w:sz w:val="24"/>
        </w:rPr>
        <w:lastRenderedPageBreak/>
        <w:t>implementation have been earmarked for being paid into the Building Risk Register Fund should the 2020 budget implementation result permit.</w:t>
      </w:r>
    </w:p>
    <w:p w14:paraId="3F2A2F02" w14:textId="77777777" w:rsidR="003F354E" w:rsidRPr="00BD0203" w:rsidRDefault="003F354E" w:rsidP="003F354E">
      <w:pPr>
        <w:tabs>
          <w:tab w:val="left" w:pos="567"/>
          <w:tab w:val="left" w:pos="993"/>
        </w:tabs>
        <w:rPr>
          <w:rFonts w:asciiTheme="minorHAnsi" w:hAnsiTheme="minorHAnsi" w:cstheme="minorHAnsi"/>
          <w:sz w:val="24"/>
        </w:rPr>
      </w:pPr>
    </w:p>
    <w:p w14:paraId="695F6427" w14:textId="35B4B752" w:rsidR="003F354E" w:rsidRPr="00BD0203" w:rsidRDefault="003F354E" w:rsidP="003F354E">
      <w:pPr>
        <w:rPr>
          <w:rFonts w:asciiTheme="minorHAnsi" w:hAnsiTheme="minorHAnsi" w:cstheme="minorHAnsi"/>
          <w:sz w:val="24"/>
        </w:rPr>
      </w:pPr>
      <w:r w:rsidRPr="00BD0203">
        <w:rPr>
          <w:rFonts w:asciiTheme="minorHAnsi" w:hAnsiTheme="minorHAnsi" w:cstheme="minorHAnsi"/>
          <w:sz w:val="24"/>
        </w:rPr>
        <w:t>3.21</w:t>
      </w:r>
      <w:r w:rsidRPr="00BD0203">
        <w:rPr>
          <w:rFonts w:asciiTheme="minorHAnsi" w:hAnsiTheme="minorHAnsi" w:cstheme="minorHAnsi"/>
          <w:sz w:val="24"/>
        </w:rPr>
        <w:tab/>
        <w:t>To conclude, the secretariat indicated that there will be no significant savings if any, to be expected from this period.  There are still some unknown elements that may affect the 2020 result, such as differed revenue, provision for repatriation to be estimated through an actuarial study, etc. In the event there are funds available, they would be prioritized to meet Decision 619 requirements for 2021, which amount to KCHF 735.</w:t>
      </w:r>
    </w:p>
    <w:p w14:paraId="0B921406" w14:textId="77777777" w:rsidR="003F354E" w:rsidRPr="00BD0203" w:rsidRDefault="003F354E" w:rsidP="003F354E">
      <w:pPr>
        <w:rPr>
          <w:rFonts w:asciiTheme="minorHAnsi" w:hAnsiTheme="minorHAnsi" w:cstheme="minorHAnsi"/>
          <w:sz w:val="24"/>
        </w:rPr>
      </w:pPr>
    </w:p>
    <w:p w14:paraId="7E16D436" w14:textId="674E51CE" w:rsidR="003F354E" w:rsidRPr="00BD0203" w:rsidRDefault="00885376" w:rsidP="003F354E">
      <w:pPr>
        <w:rPr>
          <w:rFonts w:asciiTheme="minorHAnsi" w:hAnsiTheme="minorHAnsi" w:cstheme="minorHAnsi"/>
          <w:sz w:val="24"/>
        </w:rPr>
      </w:pPr>
      <w:r w:rsidRPr="00BD0203">
        <w:rPr>
          <w:rFonts w:asciiTheme="minorHAnsi" w:hAnsiTheme="minorHAnsi" w:cstheme="minorHAnsi"/>
          <w:sz w:val="24"/>
        </w:rPr>
        <w:t>3.22</w:t>
      </w:r>
      <w:r w:rsidRPr="00BD0203">
        <w:rPr>
          <w:rFonts w:asciiTheme="minorHAnsi" w:hAnsiTheme="minorHAnsi" w:cstheme="minorHAnsi"/>
          <w:sz w:val="24"/>
        </w:rPr>
        <w:tab/>
        <w:t xml:space="preserve">Delegates </w:t>
      </w:r>
      <w:r w:rsidR="003F354E" w:rsidRPr="00BD0203">
        <w:rPr>
          <w:rFonts w:asciiTheme="minorHAnsi" w:hAnsiTheme="minorHAnsi" w:cstheme="minorHAnsi"/>
          <w:sz w:val="24"/>
        </w:rPr>
        <w:t>took note of this presentation and requested that an</w:t>
      </w:r>
      <w:r w:rsidRPr="00BD0203">
        <w:rPr>
          <w:rFonts w:asciiTheme="minorHAnsi" w:hAnsiTheme="minorHAnsi" w:cstheme="minorHAnsi"/>
          <w:sz w:val="24"/>
        </w:rPr>
        <w:t xml:space="preserve"> information </w:t>
      </w:r>
      <w:r w:rsidR="003F354E" w:rsidRPr="00BD0203">
        <w:rPr>
          <w:rFonts w:asciiTheme="minorHAnsi" w:hAnsiTheme="minorHAnsi" w:cstheme="minorHAnsi"/>
          <w:sz w:val="24"/>
        </w:rPr>
        <w:t xml:space="preserve">document be prepared to summarize this oral presentation, </w:t>
      </w:r>
      <w:r w:rsidRPr="00BD0203">
        <w:rPr>
          <w:rFonts w:asciiTheme="minorHAnsi" w:hAnsiTheme="minorHAnsi" w:cstheme="minorHAnsi"/>
          <w:sz w:val="24"/>
        </w:rPr>
        <w:t xml:space="preserve">as well as </w:t>
      </w:r>
      <w:r w:rsidR="003F354E" w:rsidRPr="00BD0203">
        <w:rPr>
          <w:rFonts w:asciiTheme="minorHAnsi" w:hAnsiTheme="minorHAnsi" w:cstheme="minorHAnsi"/>
          <w:sz w:val="24"/>
        </w:rPr>
        <w:t xml:space="preserve">any future oral presentations, </w:t>
      </w:r>
      <w:r w:rsidRPr="00BD0203">
        <w:rPr>
          <w:rFonts w:asciiTheme="minorHAnsi" w:hAnsiTheme="minorHAnsi" w:cstheme="minorHAnsi"/>
          <w:sz w:val="24"/>
        </w:rPr>
        <w:t xml:space="preserve">where </w:t>
      </w:r>
      <w:r w:rsidR="003F354E" w:rsidRPr="00BD0203">
        <w:rPr>
          <w:rFonts w:asciiTheme="minorHAnsi" w:hAnsiTheme="minorHAnsi" w:cstheme="minorHAnsi"/>
          <w:sz w:val="24"/>
        </w:rPr>
        <w:t>possible.</w:t>
      </w:r>
    </w:p>
    <w:p w14:paraId="3DF7B27B" w14:textId="77777777" w:rsidR="00885376" w:rsidRPr="00BD0203" w:rsidRDefault="00885376" w:rsidP="003F354E">
      <w:pPr>
        <w:rPr>
          <w:rFonts w:asciiTheme="minorHAnsi" w:hAnsiTheme="minorHAnsi" w:cstheme="minorHAnsi"/>
          <w:sz w:val="24"/>
        </w:rPr>
      </w:pPr>
    </w:p>
    <w:p w14:paraId="4CD817FF" w14:textId="49D6AC7D" w:rsidR="003F354E" w:rsidRPr="00BD0203" w:rsidRDefault="00885376" w:rsidP="003F354E">
      <w:pPr>
        <w:rPr>
          <w:rFonts w:asciiTheme="minorHAnsi" w:hAnsiTheme="minorHAnsi" w:cstheme="minorHAnsi"/>
          <w:sz w:val="24"/>
        </w:rPr>
      </w:pPr>
      <w:r w:rsidRPr="00BD0203">
        <w:rPr>
          <w:rFonts w:asciiTheme="minorHAnsi" w:hAnsiTheme="minorHAnsi" w:cstheme="minorHAnsi"/>
          <w:sz w:val="24"/>
        </w:rPr>
        <w:t>3.23</w:t>
      </w:r>
      <w:r w:rsidRPr="00BD0203">
        <w:rPr>
          <w:rFonts w:asciiTheme="minorHAnsi" w:hAnsiTheme="minorHAnsi" w:cstheme="minorHAnsi"/>
          <w:sz w:val="24"/>
        </w:rPr>
        <w:tab/>
      </w:r>
      <w:r w:rsidR="003F354E" w:rsidRPr="00BD0203">
        <w:rPr>
          <w:rFonts w:asciiTheme="minorHAnsi" w:hAnsiTheme="minorHAnsi" w:cstheme="minorHAnsi"/>
          <w:sz w:val="24"/>
        </w:rPr>
        <w:t xml:space="preserve">The </w:t>
      </w:r>
      <w:r w:rsidRPr="00BD0203">
        <w:rPr>
          <w:rFonts w:asciiTheme="minorHAnsi" w:hAnsiTheme="minorHAnsi" w:cstheme="minorHAnsi"/>
          <w:sz w:val="24"/>
        </w:rPr>
        <w:t>s</w:t>
      </w:r>
      <w:r w:rsidR="003F354E" w:rsidRPr="00BD0203">
        <w:rPr>
          <w:rFonts w:asciiTheme="minorHAnsi" w:hAnsiTheme="minorHAnsi" w:cstheme="minorHAnsi"/>
          <w:sz w:val="24"/>
        </w:rPr>
        <w:t>ecretariat indicated that it is difficult to prepare a document on the surplus when the accounts are not closed. It is for this reason that an oral presentation was made pending the results of the actuarial study which will only be available at the end of February or early March</w:t>
      </w:r>
      <w:r w:rsidRPr="00BD0203">
        <w:rPr>
          <w:rFonts w:asciiTheme="minorHAnsi" w:hAnsiTheme="minorHAnsi" w:cstheme="minorHAnsi"/>
          <w:sz w:val="24"/>
        </w:rPr>
        <w:t> </w:t>
      </w:r>
      <w:r w:rsidR="003F354E" w:rsidRPr="00BD0203">
        <w:rPr>
          <w:rFonts w:asciiTheme="minorHAnsi" w:hAnsiTheme="minorHAnsi" w:cstheme="minorHAnsi"/>
          <w:sz w:val="24"/>
        </w:rPr>
        <w:t xml:space="preserve">2021. In spite of this difficulty, the </w:t>
      </w:r>
      <w:r w:rsidRPr="00BD0203">
        <w:rPr>
          <w:rFonts w:asciiTheme="minorHAnsi" w:hAnsiTheme="minorHAnsi" w:cstheme="minorHAnsi"/>
          <w:sz w:val="24"/>
        </w:rPr>
        <w:t>s</w:t>
      </w:r>
      <w:r w:rsidR="003F354E" w:rsidRPr="00BD0203">
        <w:rPr>
          <w:rFonts w:asciiTheme="minorHAnsi" w:hAnsiTheme="minorHAnsi" w:cstheme="minorHAnsi"/>
          <w:sz w:val="24"/>
        </w:rPr>
        <w:t>ecretariat published an information document on this subject</w:t>
      </w:r>
      <w:r w:rsidR="00753E4E" w:rsidRPr="00BD0203">
        <w:rPr>
          <w:rFonts w:asciiTheme="minorHAnsi" w:hAnsiTheme="minorHAnsi" w:cstheme="minorHAnsi"/>
          <w:sz w:val="24"/>
        </w:rPr>
        <w:t xml:space="preserve"> (Document </w:t>
      </w:r>
      <w:hyperlink r:id="rId19" w:history="1">
        <w:r w:rsidR="00753E4E" w:rsidRPr="00BD0203">
          <w:rPr>
            <w:rStyle w:val="Hyperlink"/>
            <w:rFonts w:asciiTheme="minorHAnsi" w:hAnsiTheme="minorHAnsi" w:cstheme="minorHAnsi"/>
            <w:color w:val="auto"/>
            <w:sz w:val="24"/>
          </w:rPr>
          <w:t>CWG-FHR-INF-12/3</w:t>
        </w:r>
      </w:hyperlink>
      <w:r w:rsidR="00753E4E" w:rsidRPr="00BD0203">
        <w:rPr>
          <w:rStyle w:val="Hyperlink"/>
          <w:rFonts w:asciiTheme="minorHAnsi" w:hAnsiTheme="minorHAnsi" w:cstheme="minorHAnsi"/>
          <w:color w:val="auto"/>
          <w:sz w:val="24"/>
        </w:rPr>
        <w:t>)</w:t>
      </w:r>
      <w:r w:rsidR="003F354E" w:rsidRPr="00BD0203">
        <w:rPr>
          <w:rFonts w:asciiTheme="minorHAnsi" w:hAnsiTheme="minorHAnsi" w:cstheme="minorHAnsi"/>
          <w:sz w:val="24"/>
        </w:rPr>
        <w:t>.</w:t>
      </w:r>
    </w:p>
    <w:bookmarkEnd w:id="7"/>
    <w:p w14:paraId="68800BB4" w14:textId="1AB485FD" w:rsidR="00CA120F" w:rsidRPr="00BD0203" w:rsidRDefault="00CA120F" w:rsidP="003F354E">
      <w:pPr>
        <w:tabs>
          <w:tab w:val="left" w:pos="709"/>
        </w:tabs>
        <w:overflowPunct w:val="0"/>
        <w:autoSpaceDE w:val="0"/>
        <w:autoSpaceDN w:val="0"/>
        <w:adjustRightInd w:val="0"/>
        <w:snapToGrid w:val="0"/>
        <w:ind w:left="709" w:hanging="709"/>
        <w:textAlignment w:val="baseline"/>
        <w:rPr>
          <w:rFonts w:asciiTheme="minorHAnsi" w:hAnsiTheme="minorHAnsi" w:cstheme="minorHAnsi"/>
          <w:sz w:val="24"/>
          <w:lang w:val="en-GB" w:eastAsia="en-AU"/>
        </w:rPr>
      </w:pPr>
    </w:p>
    <w:p w14:paraId="5B344BE8" w14:textId="16F93EC1" w:rsidR="00820D82" w:rsidRPr="00BD0203" w:rsidRDefault="001D0884" w:rsidP="003F354E">
      <w:pPr>
        <w:rPr>
          <w:rStyle w:val="Hyperlink"/>
          <w:rFonts w:asciiTheme="minorHAnsi" w:hAnsiTheme="minorHAnsi" w:cstheme="minorHAnsi"/>
          <w:b/>
          <w:bCs/>
          <w:color w:val="auto"/>
          <w:sz w:val="24"/>
          <w:u w:val="none"/>
        </w:rPr>
      </w:pPr>
      <w:r w:rsidRPr="00BD0203">
        <w:rPr>
          <w:rFonts w:asciiTheme="minorHAnsi" w:hAnsiTheme="minorHAnsi" w:cstheme="minorHAnsi"/>
          <w:b/>
          <w:bCs/>
          <w:sz w:val="24"/>
        </w:rPr>
        <w:t>4</w:t>
      </w:r>
      <w:r w:rsidR="00820D82" w:rsidRPr="00BD0203">
        <w:rPr>
          <w:rFonts w:asciiTheme="minorHAnsi" w:hAnsiTheme="minorHAnsi" w:cstheme="minorHAnsi"/>
          <w:b/>
          <w:bCs/>
          <w:sz w:val="24"/>
        </w:rPr>
        <w:tab/>
      </w:r>
      <w:r w:rsidR="00EA43D5" w:rsidRPr="00BD0203">
        <w:rPr>
          <w:rFonts w:asciiTheme="minorHAnsi" w:hAnsiTheme="minorHAnsi" w:cstheme="minorHAnsi"/>
          <w:b/>
          <w:bCs/>
          <w:sz w:val="24"/>
        </w:rPr>
        <w:t>The review of ITU regional presence – Report by PWC</w:t>
      </w:r>
      <w:r w:rsidR="00820D82" w:rsidRPr="00BD0203">
        <w:rPr>
          <w:rFonts w:asciiTheme="minorHAnsi" w:hAnsiTheme="minorHAnsi" w:cstheme="minorHAnsi"/>
          <w:b/>
          <w:bCs/>
          <w:sz w:val="24"/>
        </w:rPr>
        <w:t xml:space="preserve"> (Documents </w:t>
      </w:r>
      <w:r w:rsidR="00820D82" w:rsidRPr="00BD0203">
        <w:rPr>
          <w:rFonts w:asciiTheme="minorHAnsi" w:hAnsiTheme="minorHAnsi" w:cstheme="minorHAnsi"/>
          <w:b/>
          <w:bCs/>
          <w:sz w:val="24"/>
        </w:rPr>
        <w:fldChar w:fldCharType="begin"/>
      </w:r>
      <w:r w:rsidR="0028192B" w:rsidRPr="00BD0203">
        <w:rPr>
          <w:rFonts w:asciiTheme="minorHAnsi" w:hAnsiTheme="minorHAnsi" w:cstheme="minorHAnsi"/>
          <w:b/>
          <w:bCs/>
          <w:sz w:val="24"/>
        </w:rPr>
        <w:instrText>HYPERLINK "https://www.itu.int/md/S21-CWGFHR12-C-0004/en"</w:instrText>
      </w:r>
      <w:r w:rsidR="00820D82" w:rsidRPr="00BD0203">
        <w:rPr>
          <w:rFonts w:asciiTheme="minorHAnsi" w:hAnsiTheme="minorHAnsi" w:cstheme="minorHAnsi"/>
          <w:b/>
          <w:bCs/>
          <w:sz w:val="24"/>
        </w:rPr>
        <w:fldChar w:fldCharType="separate"/>
      </w:r>
      <w:r w:rsidR="00820D82" w:rsidRPr="00BD0203">
        <w:rPr>
          <w:rStyle w:val="Hyperlink"/>
          <w:rFonts w:asciiTheme="minorHAnsi" w:hAnsiTheme="minorHAnsi" w:cstheme="minorHAnsi"/>
          <w:b/>
          <w:bCs/>
          <w:color w:val="auto"/>
          <w:sz w:val="24"/>
        </w:rPr>
        <w:t>CWG-FHR-12/4</w:t>
      </w:r>
      <w:r w:rsidR="00820D82" w:rsidRPr="00BD0203">
        <w:rPr>
          <w:rStyle w:val="Hyperlink"/>
          <w:rFonts w:asciiTheme="minorHAnsi" w:hAnsiTheme="minorHAnsi" w:cstheme="minorHAnsi"/>
          <w:b/>
          <w:bCs/>
          <w:color w:val="auto"/>
          <w:sz w:val="24"/>
          <w:u w:val="none"/>
        </w:rPr>
        <w:t xml:space="preserve"> and</w:t>
      </w:r>
    </w:p>
    <w:p w14:paraId="0050DC86" w14:textId="08C635DB" w:rsidR="00820D82" w:rsidRPr="00BD0203" w:rsidRDefault="00820D82" w:rsidP="003F354E">
      <w:pPr>
        <w:rPr>
          <w:rStyle w:val="Hyperlink"/>
          <w:rFonts w:asciiTheme="minorHAnsi" w:hAnsiTheme="minorHAnsi" w:cstheme="minorHAnsi"/>
          <w:b/>
          <w:bCs/>
          <w:color w:val="auto"/>
          <w:sz w:val="24"/>
        </w:rPr>
      </w:pPr>
      <w:r w:rsidRPr="00BD0203">
        <w:rPr>
          <w:rFonts w:asciiTheme="minorHAnsi" w:hAnsiTheme="minorHAnsi" w:cstheme="minorHAnsi"/>
          <w:b/>
          <w:bCs/>
          <w:sz w:val="24"/>
        </w:rPr>
        <w:fldChar w:fldCharType="end"/>
      </w:r>
      <w:r w:rsidRPr="00BD0203">
        <w:rPr>
          <w:rFonts w:asciiTheme="minorHAnsi" w:hAnsiTheme="minorHAnsi" w:cstheme="minorHAnsi"/>
          <w:b/>
          <w:bCs/>
          <w:sz w:val="24"/>
        </w:rPr>
        <w:tab/>
      </w:r>
      <w:r w:rsidRPr="00BD0203">
        <w:rPr>
          <w:rFonts w:asciiTheme="minorHAnsi" w:hAnsiTheme="minorHAnsi" w:cstheme="minorHAnsi"/>
          <w:b/>
          <w:bCs/>
          <w:sz w:val="24"/>
        </w:rPr>
        <w:fldChar w:fldCharType="begin"/>
      </w:r>
      <w:r w:rsidR="0028192B" w:rsidRPr="00BD0203">
        <w:rPr>
          <w:rFonts w:asciiTheme="minorHAnsi" w:hAnsiTheme="minorHAnsi" w:cstheme="minorHAnsi"/>
          <w:b/>
          <w:bCs/>
          <w:sz w:val="24"/>
        </w:rPr>
        <w:instrText>HYPERLINK "https://www.itu.int/md/S21-CWGFHR12-C-0009/en"</w:instrText>
      </w:r>
      <w:r w:rsidRPr="00BD0203">
        <w:rPr>
          <w:rFonts w:asciiTheme="minorHAnsi" w:hAnsiTheme="minorHAnsi" w:cstheme="minorHAnsi"/>
          <w:b/>
          <w:bCs/>
          <w:sz w:val="24"/>
        </w:rPr>
        <w:fldChar w:fldCharType="separate"/>
      </w:r>
      <w:r w:rsidRPr="00BD0203">
        <w:rPr>
          <w:rStyle w:val="Hyperlink"/>
          <w:rFonts w:asciiTheme="minorHAnsi" w:hAnsiTheme="minorHAnsi" w:cstheme="minorHAnsi"/>
          <w:b/>
          <w:bCs/>
          <w:color w:val="auto"/>
          <w:sz w:val="24"/>
        </w:rPr>
        <w:t>CWG-FHR-12/9</w:t>
      </w:r>
      <w:r w:rsidR="00105535" w:rsidRPr="00BD0203">
        <w:rPr>
          <w:rStyle w:val="Hyperlink"/>
          <w:rFonts w:asciiTheme="minorHAnsi" w:hAnsiTheme="minorHAnsi" w:cstheme="minorHAnsi"/>
          <w:b/>
          <w:bCs/>
          <w:color w:val="auto"/>
          <w:sz w:val="24"/>
        </w:rPr>
        <w:t>)</w:t>
      </w:r>
    </w:p>
    <w:p w14:paraId="43791FE9" w14:textId="0A775113" w:rsidR="00EA43D5" w:rsidRPr="00BD0203" w:rsidRDefault="00820D82" w:rsidP="00885376">
      <w:pPr>
        <w:rPr>
          <w:rFonts w:asciiTheme="minorHAnsi" w:hAnsiTheme="minorHAnsi" w:cstheme="minorHAnsi"/>
          <w:b/>
          <w:bCs/>
          <w:sz w:val="24"/>
        </w:rPr>
      </w:pPr>
      <w:r w:rsidRPr="00BD0203">
        <w:rPr>
          <w:rFonts w:asciiTheme="minorHAnsi" w:hAnsiTheme="minorHAnsi" w:cstheme="minorHAnsi"/>
          <w:sz w:val="24"/>
        </w:rPr>
        <w:fldChar w:fldCharType="end"/>
      </w:r>
    </w:p>
    <w:p w14:paraId="30ACD0C4" w14:textId="3B80911E" w:rsidR="00220E16" w:rsidRPr="00BD0203" w:rsidRDefault="00220E16" w:rsidP="00220E16">
      <w:pPr>
        <w:rPr>
          <w:rFonts w:asciiTheme="minorHAnsi" w:hAnsiTheme="minorHAnsi" w:cstheme="minorHAnsi"/>
          <w:sz w:val="24"/>
          <w:lang w:val="en-GB"/>
        </w:rPr>
      </w:pPr>
      <w:r w:rsidRPr="00BD0203">
        <w:rPr>
          <w:rFonts w:asciiTheme="minorHAnsi" w:hAnsiTheme="minorHAnsi" w:cstheme="minorHAnsi"/>
          <w:sz w:val="24"/>
        </w:rPr>
        <w:t>4.1</w:t>
      </w:r>
      <w:r w:rsidRPr="00BD0203">
        <w:rPr>
          <w:rFonts w:asciiTheme="minorHAnsi" w:hAnsiTheme="minorHAnsi" w:cstheme="minorHAnsi"/>
          <w:sz w:val="24"/>
        </w:rPr>
        <w:tab/>
        <w:t>The secretariat presented Document CWG-FHR-12/9, noting that PWC had presented Document CWG-FHR-12/4 to the second Virtual Consultation of Counsellors. The secretariat noted Document CWG-FHR-12/9 focuses on the Action Plan, set out in Paragraph 7 of the PWC report, which consists of a three Phase Roadmap, which suggests a three year implementation period from when the report is accepted. It is split into Four Functional Components, namely Strategic Positioning, Internal Coordination, Roll out of the Future Delivery Model, and Change Management, with a total of 50 recommendations. The secretariat also noted that the PWC report and all its recommendations are based on a Neutral Financing Proposal, that is, the changes are designed to fit within ITU’s existing resource envelope for the regional presence, without seeking additional funding from membership.</w:t>
      </w:r>
    </w:p>
    <w:p w14:paraId="70D1B93B" w14:textId="77777777" w:rsidR="00220E16" w:rsidRPr="00BD0203" w:rsidRDefault="00220E16" w:rsidP="00220E16">
      <w:pPr>
        <w:spacing w:before="240"/>
        <w:rPr>
          <w:rFonts w:asciiTheme="minorHAnsi" w:hAnsiTheme="minorHAnsi" w:cstheme="minorHAnsi"/>
          <w:sz w:val="24"/>
          <w:lang w:val="en-GB"/>
        </w:rPr>
      </w:pPr>
      <w:r w:rsidRPr="00BD0203">
        <w:rPr>
          <w:rFonts w:asciiTheme="minorHAnsi" w:hAnsiTheme="minorHAnsi" w:cstheme="minorHAnsi"/>
          <w:sz w:val="24"/>
        </w:rPr>
        <w:t>4.2</w:t>
      </w:r>
      <w:r w:rsidRPr="00BD0203">
        <w:rPr>
          <w:rFonts w:asciiTheme="minorHAnsi" w:hAnsiTheme="minorHAnsi" w:cstheme="minorHAnsi"/>
          <w:sz w:val="24"/>
        </w:rPr>
        <w:tab/>
        <w:t xml:space="preserve">The secretariat analysis of the Action Plan divided the recommendations into three broad categories, namely: </w:t>
      </w:r>
    </w:p>
    <w:p w14:paraId="38BBF7F5" w14:textId="4E4C0570" w:rsidR="00220E16" w:rsidRPr="00BD0203" w:rsidRDefault="00220E16" w:rsidP="00C37CB2">
      <w:pPr>
        <w:numPr>
          <w:ilvl w:val="0"/>
          <w:numId w:val="42"/>
        </w:numPr>
        <w:tabs>
          <w:tab w:val="clear" w:pos="720"/>
        </w:tabs>
        <w:spacing w:before="120"/>
        <w:ind w:left="1134" w:hanging="357"/>
        <w:rPr>
          <w:rFonts w:asciiTheme="minorHAnsi" w:hAnsiTheme="minorHAnsi" w:cstheme="minorHAnsi"/>
          <w:sz w:val="24"/>
          <w:lang w:val="en-GB"/>
        </w:rPr>
      </w:pPr>
      <w:r w:rsidRPr="00BD0203">
        <w:rPr>
          <w:rFonts w:asciiTheme="minorHAnsi" w:hAnsiTheme="minorHAnsi" w:cstheme="minorHAnsi"/>
          <w:sz w:val="24"/>
        </w:rPr>
        <w:t>Recommendations which are within the ITU Management’s authority and purview and which are already implemented or in the process of being implemented;</w:t>
      </w:r>
    </w:p>
    <w:p w14:paraId="1E243EA8" w14:textId="557975D9" w:rsidR="00220E16" w:rsidRPr="00BD0203" w:rsidRDefault="00220E16" w:rsidP="00220E16">
      <w:pPr>
        <w:numPr>
          <w:ilvl w:val="0"/>
          <w:numId w:val="42"/>
        </w:numPr>
        <w:tabs>
          <w:tab w:val="clear" w:pos="720"/>
        </w:tabs>
        <w:ind w:left="1134"/>
        <w:rPr>
          <w:rFonts w:asciiTheme="minorHAnsi" w:hAnsiTheme="minorHAnsi" w:cstheme="minorHAnsi"/>
          <w:sz w:val="24"/>
          <w:lang w:val="en-GB"/>
        </w:rPr>
      </w:pPr>
      <w:r w:rsidRPr="00BD0203">
        <w:rPr>
          <w:rFonts w:asciiTheme="minorHAnsi" w:hAnsiTheme="minorHAnsi" w:cstheme="minorHAnsi"/>
          <w:sz w:val="24"/>
        </w:rPr>
        <w:t>Recommendations within ITU’s management’s authority and purview which have not yet been implemented;</w:t>
      </w:r>
    </w:p>
    <w:p w14:paraId="6F8485E6" w14:textId="2FAAEFB5" w:rsidR="00220E16" w:rsidRPr="00BD0203" w:rsidRDefault="00220E16" w:rsidP="00220E16">
      <w:pPr>
        <w:numPr>
          <w:ilvl w:val="0"/>
          <w:numId w:val="42"/>
        </w:numPr>
        <w:tabs>
          <w:tab w:val="clear" w:pos="720"/>
        </w:tabs>
        <w:ind w:left="1134"/>
        <w:rPr>
          <w:rFonts w:asciiTheme="minorHAnsi" w:hAnsiTheme="minorHAnsi" w:cstheme="minorHAnsi"/>
          <w:sz w:val="24"/>
          <w:lang w:val="en-GB"/>
        </w:rPr>
      </w:pPr>
      <w:r w:rsidRPr="00BD0203">
        <w:rPr>
          <w:rFonts w:asciiTheme="minorHAnsi" w:hAnsiTheme="minorHAnsi" w:cstheme="minorHAnsi"/>
          <w:sz w:val="24"/>
        </w:rPr>
        <w:t>Recommendations which are not within the purview of ITU management, either because they are matters for council, or a member state conference.</w:t>
      </w:r>
    </w:p>
    <w:p w14:paraId="4A11C4B6" w14:textId="785A962A" w:rsidR="00220E16" w:rsidRPr="00BD0203" w:rsidRDefault="00220E16" w:rsidP="00220E16">
      <w:pPr>
        <w:spacing w:before="240"/>
        <w:rPr>
          <w:rFonts w:asciiTheme="minorHAnsi" w:hAnsiTheme="minorHAnsi" w:cstheme="minorHAnsi"/>
          <w:sz w:val="24"/>
          <w:lang w:val="en-GB"/>
        </w:rPr>
      </w:pPr>
      <w:r w:rsidRPr="00BD0203">
        <w:rPr>
          <w:rFonts w:asciiTheme="minorHAnsi" w:hAnsiTheme="minorHAnsi" w:cstheme="minorHAnsi"/>
          <w:sz w:val="24"/>
        </w:rPr>
        <w:t>The secretariat proposed that the implementation of recommendations in Category 1 be verified by CWG-FHR, those in the second category should be included in an action plan while category</w:t>
      </w:r>
      <w:r w:rsidR="00FF6589" w:rsidRPr="00BD0203">
        <w:rPr>
          <w:rFonts w:asciiTheme="minorHAnsi" w:hAnsiTheme="minorHAnsi" w:cstheme="minorHAnsi"/>
          <w:sz w:val="24"/>
        </w:rPr>
        <w:t> </w:t>
      </w:r>
      <w:r w:rsidRPr="00BD0203">
        <w:rPr>
          <w:rFonts w:asciiTheme="minorHAnsi" w:hAnsiTheme="minorHAnsi" w:cstheme="minorHAnsi"/>
          <w:sz w:val="24"/>
        </w:rPr>
        <w:t>3 recommendations will require detailed consideration by the CWG-FHR with assistance from the secretariat.</w:t>
      </w:r>
    </w:p>
    <w:p w14:paraId="26B45335" w14:textId="77777777" w:rsidR="00220E16" w:rsidRPr="00BD0203" w:rsidRDefault="00220E16" w:rsidP="00220E16">
      <w:pPr>
        <w:spacing w:before="240"/>
        <w:rPr>
          <w:rFonts w:asciiTheme="minorHAnsi" w:hAnsiTheme="minorHAnsi" w:cstheme="minorHAnsi"/>
          <w:sz w:val="24"/>
        </w:rPr>
      </w:pPr>
      <w:r w:rsidRPr="00BD0203">
        <w:rPr>
          <w:rFonts w:asciiTheme="minorHAnsi" w:hAnsiTheme="minorHAnsi" w:cstheme="minorHAnsi"/>
          <w:sz w:val="24"/>
        </w:rPr>
        <w:t>4.3</w:t>
      </w:r>
      <w:r w:rsidRPr="00BD0203">
        <w:rPr>
          <w:rFonts w:asciiTheme="minorHAnsi" w:hAnsiTheme="minorHAnsi" w:cstheme="minorHAnsi"/>
          <w:sz w:val="24"/>
        </w:rPr>
        <w:tab/>
        <w:t>The secretariat noted that the report is lengthy and would require a significant effort by delegates involved in this work, and therefore suggested that perhaps a more focused ad hoc group should be considered, noting that this was proposed in the US contribution.</w:t>
      </w:r>
    </w:p>
    <w:p w14:paraId="24D8EA9A" w14:textId="77777777" w:rsidR="00220E16" w:rsidRPr="00BD0203" w:rsidRDefault="00220E16" w:rsidP="00EA43D5">
      <w:pPr>
        <w:tabs>
          <w:tab w:val="left" w:pos="324"/>
        </w:tabs>
        <w:snapToGrid w:val="0"/>
        <w:rPr>
          <w:rFonts w:asciiTheme="minorHAnsi" w:hAnsiTheme="minorHAnsi" w:cstheme="minorHAnsi"/>
          <w:b/>
          <w:bCs/>
          <w:sz w:val="24"/>
        </w:rPr>
      </w:pPr>
    </w:p>
    <w:p w14:paraId="0D63F85A" w14:textId="161DA167" w:rsidR="00820D82" w:rsidRPr="00BD0203" w:rsidRDefault="00820D82" w:rsidP="00FF6589">
      <w:pPr>
        <w:keepNext/>
        <w:keepLines/>
        <w:ind w:left="709" w:hanging="709"/>
        <w:rPr>
          <w:rFonts w:asciiTheme="minorHAnsi" w:hAnsiTheme="minorHAnsi" w:cstheme="minorHAnsi"/>
          <w:b/>
          <w:bCs/>
          <w:sz w:val="24"/>
        </w:rPr>
      </w:pPr>
      <w:r w:rsidRPr="00BD0203">
        <w:rPr>
          <w:rFonts w:asciiTheme="minorHAnsi" w:hAnsiTheme="minorHAnsi" w:cstheme="minorHAnsi"/>
          <w:b/>
          <w:bCs/>
          <w:sz w:val="24"/>
        </w:rPr>
        <w:lastRenderedPageBreak/>
        <w:tab/>
      </w:r>
      <w:r w:rsidR="00EA43D5" w:rsidRPr="00BD0203">
        <w:rPr>
          <w:rFonts w:asciiTheme="minorHAnsi" w:hAnsiTheme="minorHAnsi" w:cstheme="minorHAnsi"/>
          <w:b/>
          <w:bCs/>
          <w:sz w:val="24"/>
        </w:rPr>
        <w:t>Contribution by the United States of America:  Terms of Reference for the Financial and Human Resources Working Group of Council Ad Hoc Group on the PWC External Report on Regional Presence</w:t>
      </w:r>
      <w:r w:rsidRPr="00BD0203">
        <w:rPr>
          <w:rFonts w:asciiTheme="minorHAnsi" w:hAnsiTheme="minorHAnsi" w:cstheme="minorHAnsi"/>
          <w:b/>
          <w:bCs/>
          <w:sz w:val="24"/>
        </w:rPr>
        <w:t xml:space="preserve"> (Document</w:t>
      </w:r>
      <w:r w:rsidR="0085345F" w:rsidRPr="00BD0203">
        <w:rPr>
          <w:rFonts w:asciiTheme="minorHAnsi" w:hAnsiTheme="minorHAnsi" w:cstheme="minorHAnsi"/>
          <w:b/>
          <w:bCs/>
          <w:sz w:val="24"/>
        </w:rPr>
        <w:t>s</w:t>
      </w:r>
      <w:r w:rsidRPr="00BD0203">
        <w:rPr>
          <w:rFonts w:asciiTheme="minorHAnsi" w:hAnsiTheme="minorHAnsi" w:cstheme="minorHAnsi"/>
          <w:b/>
          <w:bCs/>
          <w:sz w:val="24"/>
        </w:rPr>
        <w:t xml:space="preserve"> </w:t>
      </w:r>
      <w:hyperlink r:id="rId20" w:history="1">
        <w:r w:rsidRPr="00BD0203">
          <w:rPr>
            <w:rStyle w:val="Hyperlink"/>
            <w:rFonts w:asciiTheme="minorHAnsi" w:hAnsiTheme="minorHAnsi" w:cstheme="minorHAnsi"/>
            <w:b/>
            <w:bCs/>
            <w:color w:val="auto"/>
            <w:sz w:val="24"/>
          </w:rPr>
          <w:t>CWG-FHR-12/16</w:t>
        </w:r>
      </w:hyperlink>
      <w:r w:rsidR="0085345F" w:rsidRPr="00BD0203">
        <w:rPr>
          <w:rStyle w:val="Hyperlink"/>
          <w:rFonts w:asciiTheme="minorHAnsi" w:hAnsiTheme="minorHAnsi" w:cstheme="minorHAnsi"/>
          <w:b/>
          <w:bCs/>
          <w:color w:val="auto"/>
          <w:sz w:val="24"/>
          <w:u w:val="none"/>
        </w:rPr>
        <w:t xml:space="preserve"> and </w:t>
      </w:r>
      <w:hyperlink r:id="rId21" w:history="1">
        <w:r w:rsidR="0085345F" w:rsidRPr="00BD0203">
          <w:rPr>
            <w:rStyle w:val="Hyperlink"/>
            <w:rFonts w:asciiTheme="minorHAnsi" w:hAnsiTheme="minorHAnsi" w:cstheme="minorHAnsi"/>
            <w:b/>
            <w:bCs/>
            <w:color w:val="auto"/>
            <w:sz w:val="24"/>
          </w:rPr>
          <w:t>CWG-FHR-12/DL-2</w:t>
        </w:r>
      </w:hyperlink>
      <w:r w:rsidRPr="00BD0203">
        <w:rPr>
          <w:rStyle w:val="Hyperlink"/>
          <w:rFonts w:asciiTheme="minorHAnsi" w:hAnsiTheme="minorHAnsi" w:cstheme="minorHAnsi"/>
          <w:b/>
          <w:bCs/>
          <w:color w:val="auto"/>
          <w:sz w:val="24"/>
        </w:rPr>
        <w:t>)</w:t>
      </w:r>
    </w:p>
    <w:p w14:paraId="6FD10559" w14:textId="77777777" w:rsidR="00220E16" w:rsidRPr="00BD0203" w:rsidRDefault="00220E16" w:rsidP="00FF6589">
      <w:pPr>
        <w:keepNext/>
        <w:keepLines/>
        <w:tabs>
          <w:tab w:val="left" w:pos="324"/>
        </w:tabs>
        <w:overflowPunct w:val="0"/>
        <w:autoSpaceDE w:val="0"/>
        <w:autoSpaceDN w:val="0"/>
        <w:adjustRightInd w:val="0"/>
        <w:snapToGrid w:val="0"/>
        <w:textAlignment w:val="baseline"/>
        <w:rPr>
          <w:rFonts w:asciiTheme="minorHAnsi" w:hAnsiTheme="minorHAnsi" w:cstheme="minorHAnsi"/>
          <w:sz w:val="24"/>
        </w:rPr>
      </w:pPr>
    </w:p>
    <w:p w14:paraId="1CCB00EE" w14:textId="5B524361" w:rsidR="00220E16" w:rsidRPr="00BD0203" w:rsidRDefault="00220E16" w:rsidP="00FF6589">
      <w:pPr>
        <w:keepNext/>
        <w:keepLines/>
        <w:tabs>
          <w:tab w:val="left" w:pos="324"/>
        </w:tabs>
        <w:overflowPunct w:val="0"/>
        <w:autoSpaceDE w:val="0"/>
        <w:autoSpaceDN w:val="0"/>
        <w:adjustRightInd w:val="0"/>
        <w:snapToGrid w:val="0"/>
        <w:textAlignment w:val="baseline"/>
        <w:rPr>
          <w:rFonts w:asciiTheme="minorHAnsi" w:hAnsiTheme="minorHAnsi" w:cstheme="minorHAnsi"/>
          <w:sz w:val="24"/>
        </w:rPr>
      </w:pPr>
      <w:r w:rsidRPr="00BD0203">
        <w:rPr>
          <w:rFonts w:asciiTheme="minorHAnsi" w:hAnsiTheme="minorHAnsi" w:cstheme="minorHAnsi"/>
          <w:sz w:val="24"/>
        </w:rPr>
        <w:t>4.4</w:t>
      </w:r>
      <w:r w:rsidRPr="00BD0203">
        <w:rPr>
          <w:rFonts w:asciiTheme="minorHAnsi" w:hAnsiTheme="minorHAnsi" w:cstheme="minorHAnsi"/>
          <w:sz w:val="24"/>
        </w:rPr>
        <w:tab/>
      </w:r>
      <w:r w:rsidRPr="00BD0203">
        <w:rPr>
          <w:rFonts w:asciiTheme="minorHAnsi" w:hAnsiTheme="minorHAnsi" w:cstheme="minorHAnsi"/>
          <w:sz w:val="24"/>
        </w:rPr>
        <w:tab/>
        <w:t xml:space="preserve">The delegate from the United States presented the contribution, noting that the PWC report is very lengthy and there would be inadequate time to properly address the recommendations in the CWG-FHR, so proposed the formation of an ad hoc group to consider the ITU Regional Presence and report back. It was noted that due to the timeframes, it would be </w:t>
      </w:r>
      <w:r w:rsidRPr="00BD0203">
        <w:rPr>
          <w:rFonts w:asciiTheme="minorHAnsi" w:hAnsiTheme="minorHAnsi" w:cstheme="minorHAnsi"/>
          <w:spacing w:val="4"/>
          <w:sz w:val="24"/>
        </w:rPr>
        <w:t>desirable for this issue to be considered by Council 2021, so as to have outputs in time for</w:t>
      </w:r>
      <w:r w:rsidR="00FF6589" w:rsidRPr="00BD0203">
        <w:rPr>
          <w:rFonts w:asciiTheme="minorHAnsi" w:hAnsiTheme="minorHAnsi" w:cstheme="minorHAnsi"/>
          <w:sz w:val="24"/>
        </w:rPr>
        <w:t xml:space="preserve"> </w:t>
      </w:r>
      <w:r w:rsidRPr="00BD0203">
        <w:rPr>
          <w:rFonts w:asciiTheme="minorHAnsi" w:hAnsiTheme="minorHAnsi" w:cstheme="minorHAnsi"/>
          <w:sz w:val="24"/>
        </w:rPr>
        <w:t xml:space="preserve">WTDC-21. </w:t>
      </w:r>
      <w:r w:rsidR="00B16489" w:rsidRPr="00BD0203">
        <w:rPr>
          <w:rFonts w:asciiTheme="minorHAnsi" w:hAnsiTheme="minorHAnsi" w:cstheme="minorHAnsi"/>
          <w:sz w:val="24"/>
        </w:rPr>
        <w:t>Discussion took place among d</w:t>
      </w:r>
      <w:r w:rsidRPr="00BD0203">
        <w:rPr>
          <w:rFonts w:asciiTheme="minorHAnsi" w:hAnsiTheme="minorHAnsi" w:cstheme="minorHAnsi"/>
          <w:sz w:val="24"/>
        </w:rPr>
        <w:t>elegates.</w:t>
      </w:r>
    </w:p>
    <w:p w14:paraId="32EF643B" w14:textId="36BC13AA" w:rsidR="00220E16" w:rsidRPr="00BD0203" w:rsidRDefault="00220E16" w:rsidP="00220E16">
      <w:pPr>
        <w:tabs>
          <w:tab w:val="left" w:pos="324"/>
        </w:tabs>
        <w:overflowPunct w:val="0"/>
        <w:autoSpaceDE w:val="0"/>
        <w:autoSpaceDN w:val="0"/>
        <w:adjustRightInd w:val="0"/>
        <w:snapToGrid w:val="0"/>
        <w:spacing w:before="240"/>
        <w:textAlignment w:val="baseline"/>
        <w:rPr>
          <w:rFonts w:asciiTheme="minorHAnsi" w:hAnsiTheme="minorHAnsi" w:cstheme="minorHAnsi"/>
          <w:sz w:val="24"/>
        </w:rPr>
      </w:pPr>
      <w:r w:rsidRPr="00BD0203">
        <w:rPr>
          <w:rFonts w:asciiTheme="minorHAnsi" w:hAnsiTheme="minorHAnsi" w:cstheme="minorHAnsi"/>
          <w:sz w:val="24"/>
        </w:rPr>
        <w:t>4.5</w:t>
      </w:r>
      <w:r w:rsidRPr="00BD0203">
        <w:rPr>
          <w:rFonts w:asciiTheme="minorHAnsi" w:hAnsiTheme="minorHAnsi" w:cstheme="minorHAnsi"/>
          <w:sz w:val="24"/>
        </w:rPr>
        <w:tab/>
      </w:r>
      <w:r w:rsidRPr="00BD0203">
        <w:rPr>
          <w:rFonts w:asciiTheme="minorHAnsi" w:hAnsiTheme="minorHAnsi" w:cstheme="minorHAnsi"/>
          <w:sz w:val="24"/>
        </w:rPr>
        <w:tab/>
        <w:t>Following discussion by delegates, the Chairperson noted that there was agreement to form an ad hoc group to consider the ITU Regional Presence and the PWC report. The Chair noted that based on discussions among the CWG-FHR she had approached Nigeria, Ms. Stella Erebor, to chair the ad hoc group, and invited Ms. Erebor to take the floor. Following intervention by Ms.</w:t>
      </w:r>
      <w:r w:rsidR="00B16489" w:rsidRPr="00BD0203">
        <w:rPr>
          <w:rFonts w:asciiTheme="minorHAnsi" w:hAnsiTheme="minorHAnsi" w:cstheme="minorHAnsi"/>
          <w:sz w:val="24"/>
        </w:rPr>
        <w:t> </w:t>
      </w:r>
      <w:r w:rsidRPr="00BD0203">
        <w:rPr>
          <w:rFonts w:asciiTheme="minorHAnsi" w:hAnsiTheme="minorHAnsi" w:cstheme="minorHAnsi"/>
          <w:sz w:val="24"/>
        </w:rPr>
        <w:t>Erebor, the chair</w:t>
      </w:r>
      <w:r w:rsidR="00B16489" w:rsidRPr="00BD0203">
        <w:rPr>
          <w:rFonts w:asciiTheme="minorHAnsi" w:hAnsiTheme="minorHAnsi" w:cstheme="minorHAnsi"/>
          <w:sz w:val="24"/>
        </w:rPr>
        <w:t>person</w:t>
      </w:r>
      <w:r w:rsidRPr="00BD0203">
        <w:rPr>
          <w:rFonts w:asciiTheme="minorHAnsi" w:hAnsiTheme="minorHAnsi" w:cstheme="minorHAnsi"/>
          <w:sz w:val="24"/>
        </w:rPr>
        <w:t xml:space="preserve"> requested that delegates contributing to the discussion engage to prepare the Terms of Reference for the ad hoc group and report back to the second day of the CWG-FHR meeting to finalise the formation of the ad hoc group.</w:t>
      </w:r>
    </w:p>
    <w:p w14:paraId="24E506FF" w14:textId="77777777" w:rsidR="00220E16" w:rsidRPr="00BD0203" w:rsidRDefault="00220E16" w:rsidP="00220E16">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18601F4D" w14:textId="475411E0" w:rsidR="00EA43D5" w:rsidRPr="00BD0203" w:rsidRDefault="00651A48" w:rsidP="00EA43D5">
      <w:pPr>
        <w:tabs>
          <w:tab w:val="left" w:pos="324"/>
        </w:tabs>
        <w:overflowPunct w:val="0"/>
        <w:autoSpaceDE w:val="0"/>
        <w:autoSpaceDN w:val="0"/>
        <w:adjustRightInd w:val="0"/>
        <w:snapToGrid w:val="0"/>
        <w:textAlignment w:val="baseline"/>
        <w:rPr>
          <w:rFonts w:asciiTheme="minorHAnsi" w:hAnsiTheme="minorHAnsi" w:cstheme="minorHAnsi"/>
          <w:b/>
          <w:bCs/>
          <w:sz w:val="24"/>
        </w:rPr>
      </w:pPr>
      <w:r w:rsidRPr="00BD0203">
        <w:rPr>
          <w:rFonts w:asciiTheme="minorHAnsi" w:hAnsiTheme="minorHAnsi" w:cstheme="minorHAnsi"/>
          <w:b/>
          <w:bCs/>
          <w:sz w:val="24"/>
        </w:rPr>
        <w:t>5</w:t>
      </w:r>
      <w:r w:rsidRPr="00BD0203">
        <w:rPr>
          <w:rFonts w:asciiTheme="minorHAnsi" w:hAnsiTheme="minorHAnsi" w:cstheme="minorHAnsi"/>
          <w:b/>
          <w:bCs/>
          <w:sz w:val="24"/>
        </w:rPr>
        <w:tab/>
      </w:r>
      <w:r w:rsidRPr="00BD0203">
        <w:rPr>
          <w:rFonts w:asciiTheme="minorHAnsi" w:hAnsiTheme="minorHAnsi" w:cstheme="minorHAnsi"/>
          <w:b/>
          <w:bCs/>
          <w:sz w:val="24"/>
        </w:rPr>
        <w:tab/>
        <w:t>Human Resources</w:t>
      </w:r>
    </w:p>
    <w:p w14:paraId="48DF5BBB" w14:textId="77777777" w:rsidR="00EA43D5" w:rsidRPr="00BD0203" w:rsidRDefault="00EA43D5" w:rsidP="00EA43D5">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608AE11A" w14:textId="1F785D45" w:rsidR="00EA43D5" w:rsidRPr="00BD0203" w:rsidRDefault="00CA151D" w:rsidP="00CA151D">
      <w:pPr>
        <w:overflowPunct w:val="0"/>
        <w:autoSpaceDE w:val="0"/>
        <w:autoSpaceDN w:val="0"/>
        <w:adjustRightInd w:val="0"/>
        <w:snapToGrid w:val="0"/>
        <w:ind w:left="709" w:hanging="709"/>
        <w:textAlignment w:val="baseline"/>
        <w:rPr>
          <w:rFonts w:asciiTheme="minorHAnsi" w:hAnsiTheme="minorHAnsi" w:cstheme="minorHAnsi"/>
          <w:b/>
          <w:bCs/>
          <w:sz w:val="24"/>
        </w:rPr>
      </w:pPr>
      <w:r w:rsidRPr="00BD0203">
        <w:rPr>
          <w:rFonts w:asciiTheme="minorHAnsi" w:hAnsiTheme="minorHAnsi" w:cstheme="minorHAnsi"/>
          <w:b/>
          <w:bCs/>
          <w:sz w:val="24"/>
        </w:rPr>
        <w:tab/>
      </w:r>
      <w:r w:rsidR="00651A48" w:rsidRPr="00BD0203">
        <w:rPr>
          <w:rFonts w:asciiTheme="minorHAnsi" w:hAnsiTheme="minorHAnsi" w:cstheme="minorHAnsi"/>
          <w:b/>
          <w:bCs/>
          <w:sz w:val="24"/>
        </w:rPr>
        <w:t xml:space="preserve">Reporting and Statistics – Update 31 December 2019 (Document </w:t>
      </w:r>
      <w:hyperlink r:id="rId22" w:history="1">
        <w:r w:rsidR="00651A48" w:rsidRPr="00BD0203">
          <w:rPr>
            <w:rStyle w:val="Hyperlink"/>
            <w:rFonts w:asciiTheme="minorHAnsi" w:hAnsiTheme="minorHAnsi" w:cstheme="minorHAnsi"/>
            <w:b/>
            <w:bCs/>
            <w:color w:val="auto"/>
            <w:sz w:val="24"/>
          </w:rPr>
          <w:t>CWG-FHR-12/13</w:t>
        </w:r>
      </w:hyperlink>
      <w:r w:rsidR="00651A48" w:rsidRPr="00BD0203">
        <w:rPr>
          <w:rStyle w:val="Hyperlink"/>
          <w:rFonts w:asciiTheme="minorHAnsi" w:hAnsiTheme="minorHAnsi" w:cstheme="minorHAnsi"/>
          <w:b/>
          <w:bCs/>
          <w:color w:val="auto"/>
          <w:sz w:val="24"/>
        </w:rPr>
        <w:t>)</w:t>
      </w:r>
    </w:p>
    <w:p w14:paraId="0BBF58C4" w14:textId="3DE239F6" w:rsidR="00EA43D5" w:rsidRPr="00BD0203" w:rsidRDefault="00EA43D5" w:rsidP="00EA43D5">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7DD9EC3E" w14:textId="77777777" w:rsidR="002B03C9" w:rsidRPr="00BD0203" w:rsidRDefault="002B03C9" w:rsidP="002B03C9">
      <w:pPr>
        <w:rPr>
          <w:rFonts w:asciiTheme="minorHAnsi" w:eastAsia="Times New Roman" w:hAnsiTheme="minorHAnsi" w:cstheme="minorHAnsi"/>
          <w:sz w:val="24"/>
          <w:lang w:val="en-GB" w:eastAsia="en-US"/>
        </w:rPr>
      </w:pPr>
      <w:r w:rsidRPr="00BD0203">
        <w:rPr>
          <w:rFonts w:asciiTheme="minorHAnsi" w:eastAsia="Times New Roman" w:hAnsiTheme="minorHAnsi" w:cstheme="minorHAnsi"/>
          <w:sz w:val="24"/>
          <w:lang w:eastAsia="en-US"/>
        </w:rPr>
        <w:t>5.1</w:t>
      </w:r>
      <w:r w:rsidRPr="00BD0203">
        <w:rPr>
          <w:rFonts w:asciiTheme="minorHAnsi" w:eastAsia="Times New Roman" w:hAnsiTheme="minorHAnsi" w:cstheme="minorHAnsi"/>
          <w:sz w:val="24"/>
          <w:lang w:eastAsia="en-US"/>
        </w:rPr>
        <w:tab/>
        <w:t>The secretariat explained that the 2019 data had yet to be published due to shifts in priorities and HRMD will provide the 2020 data for the June 2021 Council meeting.</w:t>
      </w:r>
    </w:p>
    <w:p w14:paraId="1A52B2BA" w14:textId="2266B14D" w:rsidR="00CA151D" w:rsidRPr="00BD0203" w:rsidRDefault="00CA151D" w:rsidP="00FB3326">
      <w:pPr>
        <w:rPr>
          <w:rFonts w:asciiTheme="minorHAnsi" w:eastAsia="Times New Roman" w:hAnsiTheme="minorHAnsi" w:cstheme="minorHAnsi"/>
          <w:sz w:val="24"/>
          <w:lang w:eastAsia="en-US"/>
        </w:rPr>
      </w:pPr>
    </w:p>
    <w:p w14:paraId="719F3A6C" w14:textId="0752E979" w:rsidR="00CA151D" w:rsidRPr="00BD0203" w:rsidRDefault="00EB22B3" w:rsidP="00FB3326">
      <w:pPr>
        <w:rPr>
          <w:rFonts w:asciiTheme="minorHAnsi" w:eastAsia="Times New Roman" w:hAnsiTheme="minorHAnsi" w:cstheme="minorHAnsi"/>
          <w:sz w:val="24"/>
          <w:lang w:eastAsia="en-US"/>
        </w:rPr>
      </w:pPr>
      <w:r w:rsidRPr="00BD0203">
        <w:rPr>
          <w:rFonts w:asciiTheme="minorHAnsi" w:eastAsia="Times New Roman" w:hAnsiTheme="minorHAnsi" w:cstheme="minorHAnsi"/>
          <w:sz w:val="24"/>
          <w:lang w:eastAsia="en-US"/>
        </w:rPr>
        <w:t>5.2</w:t>
      </w:r>
      <w:r w:rsidRPr="00BD0203">
        <w:rPr>
          <w:rFonts w:asciiTheme="minorHAnsi" w:eastAsia="Times New Roman" w:hAnsiTheme="minorHAnsi" w:cstheme="minorHAnsi"/>
          <w:sz w:val="24"/>
          <w:lang w:eastAsia="en-US"/>
        </w:rPr>
        <w:tab/>
      </w:r>
      <w:r w:rsidR="00CA151D" w:rsidRPr="00BD0203">
        <w:rPr>
          <w:rFonts w:asciiTheme="minorHAnsi" w:eastAsia="Times New Roman" w:hAnsiTheme="minorHAnsi" w:cstheme="minorHAnsi"/>
          <w:sz w:val="24"/>
          <w:lang w:eastAsia="en-US"/>
        </w:rPr>
        <w:t>The updated report will provide the recent human resources trends in several tables, covering vital information – such as overall workforce by sector, grade, nationality, gender, retirements, etc.</w:t>
      </w:r>
    </w:p>
    <w:p w14:paraId="71532C66" w14:textId="77777777" w:rsidR="00FB3326" w:rsidRPr="00BD0203" w:rsidRDefault="00FB3326" w:rsidP="00FB3326">
      <w:pPr>
        <w:rPr>
          <w:rFonts w:asciiTheme="minorHAnsi" w:eastAsia="Times New Roman" w:hAnsiTheme="minorHAnsi" w:cstheme="minorHAnsi"/>
          <w:sz w:val="24"/>
          <w:lang w:eastAsia="en-US"/>
        </w:rPr>
      </w:pPr>
    </w:p>
    <w:p w14:paraId="57A6CFBA" w14:textId="26F77F9D" w:rsidR="00664B52" w:rsidRPr="00BD0203" w:rsidRDefault="00EB22B3" w:rsidP="00664B52">
      <w:pPr>
        <w:rPr>
          <w:rFonts w:asciiTheme="minorHAnsi" w:eastAsia="Calibri" w:hAnsiTheme="minorHAnsi" w:cstheme="minorHAnsi"/>
          <w:sz w:val="24"/>
          <w:lang w:eastAsia="en-GB"/>
        </w:rPr>
      </w:pPr>
      <w:r w:rsidRPr="00BD0203">
        <w:rPr>
          <w:rFonts w:asciiTheme="minorHAnsi" w:eastAsia="Times New Roman" w:hAnsiTheme="minorHAnsi" w:cstheme="minorHAnsi"/>
          <w:sz w:val="24"/>
          <w:lang w:eastAsia="en-US"/>
        </w:rPr>
        <w:t>5.3</w:t>
      </w:r>
      <w:r w:rsidRPr="00BD0203">
        <w:rPr>
          <w:rFonts w:asciiTheme="minorHAnsi" w:eastAsia="Times New Roman" w:hAnsiTheme="minorHAnsi" w:cstheme="minorHAnsi"/>
          <w:sz w:val="24"/>
          <w:lang w:eastAsia="en-US"/>
        </w:rPr>
        <w:tab/>
      </w:r>
      <w:r w:rsidR="00664B52" w:rsidRPr="00BD0203">
        <w:rPr>
          <w:rFonts w:asciiTheme="minorHAnsi" w:eastAsia="Calibri" w:hAnsiTheme="minorHAnsi" w:cstheme="minorHAnsi"/>
          <w:sz w:val="24"/>
          <w:lang w:eastAsia="en-GB"/>
        </w:rPr>
        <w:t>Even if the update is only provided in June, a brief of the main trends in 2020 can be reflected as follows:</w:t>
      </w:r>
    </w:p>
    <w:p w14:paraId="357C0835" w14:textId="77777777" w:rsidR="00664B52" w:rsidRPr="00BD0203" w:rsidRDefault="00664B52" w:rsidP="00664B52">
      <w:pPr>
        <w:rPr>
          <w:rFonts w:asciiTheme="minorHAnsi" w:eastAsia="Calibri" w:hAnsiTheme="minorHAnsi" w:cstheme="minorHAnsi"/>
          <w:sz w:val="24"/>
          <w:lang w:eastAsia="en-GB"/>
        </w:rPr>
      </w:pPr>
    </w:p>
    <w:p w14:paraId="7253B9D5" w14:textId="03BFDD62" w:rsidR="00664B52" w:rsidRPr="00BD0203" w:rsidRDefault="00664B52" w:rsidP="00664B52">
      <w:pPr>
        <w:spacing w:after="120"/>
        <w:rPr>
          <w:rFonts w:asciiTheme="minorHAnsi" w:eastAsia="Calibri" w:hAnsiTheme="minorHAnsi" w:cstheme="minorHAnsi"/>
          <w:sz w:val="24"/>
          <w:lang w:eastAsia="en-GB"/>
        </w:rPr>
      </w:pPr>
      <w:r w:rsidRPr="00BD0203">
        <w:rPr>
          <w:rFonts w:asciiTheme="minorHAnsi" w:eastAsia="Calibri" w:hAnsiTheme="minorHAnsi" w:cstheme="minorHAnsi"/>
          <w:sz w:val="24"/>
          <w:lang w:eastAsia="en-GB"/>
        </w:rPr>
        <w:t>a.</w:t>
      </w:r>
      <w:r w:rsidRPr="00BD0203">
        <w:rPr>
          <w:rFonts w:asciiTheme="minorHAnsi" w:eastAsia="Calibri" w:hAnsiTheme="minorHAnsi" w:cstheme="minorHAnsi"/>
          <w:sz w:val="24"/>
          <w:lang w:eastAsia="en-GB"/>
        </w:rPr>
        <w:tab/>
        <w:t xml:space="preserve">The overall population has been stable over the years (total staff 684 in 2019 and 691 </w:t>
      </w:r>
      <w:r w:rsidRPr="00BD0203">
        <w:rPr>
          <w:rFonts w:asciiTheme="minorHAnsi" w:eastAsia="Calibri" w:hAnsiTheme="minorHAnsi" w:cstheme="minorHAnsi"/>
          <w:sz w:val="24"/>
          <w:lang w:eastAsia="en-GB"/>
        </w:rPr>
        <w:tab/>
        <w:t>in 2020).</w:t>
      </w:r>
    </w:p>
    <w:p w14:paraId="110D25C1" w14:textId="1362E4BB" w:rsidR="00664B52" w:rsidRPr="00BD0203" w:rsidRDefault="00664B52" w:rsidP="00664B52">
      <w:pPr>
        <w:spacing w:after="120"/>
        <w:ind w:left="720" w:hanging="720"/>
        <w:rPr>
          <w:rFonts w:asciiTheme="minorHAnsi" w:eastAsia="Calibri" w:hAnsiTheme="minorHAnsi" w:cstheme="minorHAnsi"/>
          <w:sz w:val="24"/>
          <w:lang w:eastAsia="en-GB"/>
        </w:rPr>
      </w:pPr>
      <w:r w:rsidRPr="00BD0203">
        <w:rPr>
          <w:rFonts w:asciiTheme="minorHAnsi" w:eastAsia="Calibri" w:hAnsiTheme="minorHAnsi" w:cstheme="minorHAnsi"/>
          <w:sz w:val="24"/>
          <w:lang w:eastAsia="en-GB"/>
        </w:rPr>
        <w:t>b.</w:t>
      </w:r>
      <w:r w:rsidRPr="00BD0203">
        <w:rPr>
          <w:rFonts w:asciiTheme="minorHAnsi" w:eastAsia="Calibri" w:hAnsiTheme="minorHAnsi" w:cstheme="minorHAnsi"/>
          <w:sz w:val="24"/>
          <w:lang w:eastAsia="en-GB"/>
        </w:rPr>
        <w:tab/>
        <w:t xml:space="preserve">In 2012, it was an even split between Professional and higher category staff and General Service staff, and since 2012, there has been a decrease in General Service staff and an increase in the Professional and higher category staff. This trend is continuing; in 2020, there were 59 per cent Professional and higher category staff, compared to 58 per cent in 2019. </w:t>
      </w:r>
    </w:p>
    <w:p w14:paraId="406E1CE1" w14:textId="6D6D1B21" w:rsidR="00664B52" w:rsidRPr="00BD0203" w:rsidRDefault="00664B52" w:rsidP="00664B52">
      <w:pPr>
        <w:spacing w:after="120"/>
        <w:ind w:left="720" w:hanging="720"/>
        <w:rPr>
          <w:rFonts w:asciiTheme="minorHAnsi" w:eastAsia="Calibri" w:hAnsiTheme="minorHAnsi" w:cstheme="minorHAnsi"/>
          <w:sz w:val="24"/>
          <w:lang w:eastAsia="en-GB"/>
        </w:rPr>
      </w:pPr>
      <w:r w:rsidRPr="00BD0203">
        <w:rPr>
          <w:rFonts w:asciiTheme="minorHAnsi" w:eastAsia="Calibri" w:hAnsiTheme="minorHAnsi" w:cstheme="minorHAnsi"/>
          <w:sz w:val="24"/>
          <w:lang w:eastAsia="en-GB"/>
        </w:rPr>
        <w:t>c.</w:t>
      </w:r>
      <w:r w:rsidRPr="00BD0203">
        <w:rPr>
          <w:rFonts w:asciiTheme="minorHAnsi" w:eastAsia="Calibri" w:hAnsiTheme="minorHAnsi" w:cstheme="minorHAnsi"/>
          <w:sz w:val="24"/>
          <w:lang w:eastAsia="en-GB"/>
        </w:rPr>
        <w:tab/>
        <w:t>There are 53 per cent women in ITU, with as much as 69.3 per cent in the General Service category, and only 40.7 per cent women in the Professional and higher categories, which concludes that more efforts are needed to attract women to Professional and higher-level vacancies and men to General Service vacancies.</w:t>
      </w:r>
    </w:p>
    <w:p w14:paraId="5B56AD51" w14:textId="3309C904" w:rsidR="00664B52" w:rsidRPr="00BD0203" w:rsidRDefault="00664B52" w:rsidP="00664B52">
      <w:pPr>
        <w:spacing w:after="120"/>
        <w:rPr>
          <w:rFonts w:asciiTheme="minorHAnsi" w:eastAsia="Calibri" w:hAnsiTheme="minorHAnsi" w:cstheme="minorHAnsi"/>
          <w:sz w:val="24"/>
          <w:lang w:eastAsia="en-GB"/>
        </w:rPr>
      </w:pPr>
      <w:r w:rsidRPr="00BD0203">
        <w:rPr>
          <w:rFonts w:asciiTheme="minorHAnsi" w:eastAsia="Calibri" w:hAnsiTheme="minorHAnsi" w:cstheme="minorHAnsi"/>
          <w:sz w:val="24"/>
          <w:lang w:eastAsia="en-GB"/>
        </w:rPr>
        <w:t>d.</w:t>
      </w:r>
      <w:r w:rsidRPr="00BD0203">
        <w:rPr>
          <w:rFonts w:asciiTheme="minorHAnsi" w:eastAsia="Calibri" w:hAnsiTheme="minorHAnsi" w:cstheme="minorHAnsi"/>
          <w:sz w:val="24"/>
          <w:lang w:eastAsia="en-GB"/>
        </w:rPr>
        <w:tab/>
        <w:t>40 per cent of the workforce is in the age bracket 50-59 years of age.</w:t>
      </w:r>
    </w:p>
    <w:p w14:paraId="2743E481" w14:textId="4C2D756C" w:rsidR="00664B52" w:rsidRPr="00BD0203" w:rsidRDefault="00076C9E" w:rsidP="00664B52">
      <w:pPr>
        <w:spacing w:after="120"/>
        <w:ind w:left="709" w:hanging="709"/>
        <w:rPr>
          <w:rFonts w:asciiTheme="minorHAnsi" w:eastAsia="Calibri" w:hAnsiTheme="minorHAnsi" w:cstheme="minorHAnsi"/>
          <w:sz w:val="24"/>
          <w:lang w:eastAsia="en-GB"/>
        </w:rPr>
      </w:pPr>
      <w:r w:rsidRPr="00BD0203">
        <w:rPr>
          <w:rFonts w:asciiTheme="minorHAnsi" w:eastAsia="Calibri" w:hAnsiTheme="minorHAnsi" w:cstheme="minorHAnsi"/>
          <w:sz w:val="24"/>
          <w:lang w:eastAsia="en-GB"/>
        </w:rPr>
        <w:t>e</w:t>
      </w:r>
      <w:r w:rsidR="00664B52" w:rsidRPr="00BD0203">
        <w:rPr>
          <w:rFonts w:asciiTheme="minorHAnsi" w:eastAsia="Calibri" w:hAnsiTheme="minorHAnsi" w:cstheme="minorHAnsi"/>
          <w:sz w:val="24"/>
          <w:lang w:eastAsia="en-GB"/>
        </w:rPr>
        <w:t>.</w:t>
      </w:r>
      <w:r w:rsidR="00664B52" w:rsidRPr="00BD0203">
        <w:rPr>
          <w:rFonts w:asciiTheme="minorHAnsi" w:eastAsia="Calibri" w:hAnsiTheme="minorHAnsi" w:cstheme="minorHAnsi"/>
          <w:sz w:val="24"/>
          <w:lang w:eastAsia="en-GB"/>
        </w:rPr>
        <w:tab/>
        <w:t>Regarding retirements, in the next five years, between 2021 until 2025, it is anticipated that 124 staff will retire from ITU.</w:t>
      </w:r>
    </w:p>
    <w:p w14:paraId="39125775" w14:textId="77777777" w:rsidR="0074415C" w:rsidRPr="00BD0203" w:rsidRDefault="0074415C" w:rsidP="0074415C">
      <w:pPr>
        <w:tabs>
          <w:tab w:val="left" w:pos="567"/>
          <w:tab w:val="left" w:pos="1134"/>
        </w:tabs>
        <w:spacing w:after="60"/>
        <w:rPr>
          <w:rFonts w:asciiTheme="minorHAnsi" w:hAnsiTheme="minorHAnsi" w:cstheme="minorHAnsi"/>
          <w:b/>
          <w:bCs/>
          <w:sz w:val="24"/>
        </w:rPr>
      </w:pPr>
    </w:p>
    <w:p w14:paraId="2CD6ECE9" w14:textId="4C4B6ECD" w:rsidR="006B3C5E" w:rsidRPr="00BD0203" w:rsidRDefault="006B3C5E" w:rsidP="00FF6589">
      <w:pPr>
        <w:keepNext/>
        <w:keepLines/>
        <w:overflowPunct w:val="0"/>
        <w:autoSpaceDE w:val="0"/>
        <w:autoSpaceDN w:val="0"/>
        <w:adjustRightInd w:val="0"/>
        <w:snapToGrid w:val="0"/>
        <w:ind w:left="709" w:hanging="709"/>
        <w:textAlignment w:val="baseline"/>
        <w:rPr>
          <w:rFonts w:asciiTheme="minorHAnsi" w:hAnsiTheme="minorHAnsi" w:cstheme="minorHAnsi"/>
          <w:b/>
          <w:bCs/>
          <w:sz w:val="24"/>
        </w:rPr>
      </w:pPr>
      <w:r w:rsidRPr="00BD0203">
        <w:rPr>
          <w:rFonts w:asciiTheme="minorHAnsi" w:hAnsiTheme="minorHAnsi" w:cstheme="minorHAnsi"/>
          <w:b/>
          <w:bCs/>
          <w:sz w:val="24"/>
        </w:rPr>
        <w:lastRenderedPageBreak/>
        <w:tab/>
        <w:t>Staff working conditions strategy and implementation plan (oral presentation)</w:t>
      </w:r>
    </w:p>
    <w:p w14:paraId="1FDE43AC" w14:textId="77777777" w:rsidR="006B3C5E" w:rsidRPr="00BD0203" w:rsidRDefault="006B3C5E" w:rsidP="00FF6589">
      <w:pPr>
        <w:keepNext/>
        <w:keepLines/>
        <w:rPr>
          <w:rFonts w:asciiTheme="minorHAnsi" w:hAnsiTheme="minorHAnsi" w:cstheme="minorHAnsi"/>
          <w:b/>
          <w:bCs/>
          <w:sz w:val="24"/>
        </w:rPr>
      </w:pPr>
    </w:p>
    <w:p w14:paraId="4528AD82" w14:textId="670B9CAC" w:rsidR="006B3C5E" w:rsidRPr="00BD0203" w:rsidRDefault="00EB22B3" w:rsidP="00FF6589">
      <w:pPr>
        <w:keepNext/>
        <w:keepLines/>
        <w:rPr>
          <w:rFonts w:asciiTheme="minorHAnsi" w:hAnsiTheme="minorHAnsi" w:cstheme="minorHAnsi"/>
          <w:sz w:val="24"/>
          <w:lang w:eastAsia="en-US"/>
        </w:rPr>
      </w:pPr>
      <w:r w:rsidRPr="00BD0203">
        <w:rPr>
          <w:rFonts w:asciiTheme="minorHAnsi" w:hAnsiTheme="minorHAnsi" w:cstheme="minorHAnsi"/>
          <w:sz w:val="24"/>
          <w:lang w:eastAsia="en-US"/>
        </w:rPr>
        <w:t>5.4</w:t>
      </w:r>
      <w:r w:rsidRPr="00BD0203">
        <w:rPr>
          <w:rFonts w:asciiTheme="minorHAnsi" w:hAnsiTheme="minorHAnsi" w:cstheme="minorHAnsi"/>
          <w:sz w:val="24"/>
          <w:lang w:eastAsia="en-US"/>
        </w:rPr>
        <w:tab/>
      </w:r>
      <w:r w:rsidR="00B23999" w:rsidRPr="00BD0203">
        <w:rPr>
          <w:rFonts w:asciiTheme="minorHAnsi" w:hAnsiTheme="minorHAnsi" w:cstheme="minorHAnsi"/>
          <w:sz w:val="24"/>
          <w:lang w:eastAsia="en-US"/>
        </w:rPr>
        <w:t>D</w:t>
      </w:r>
      <w:r w:rsidR="006B3C5E" w:rsidRPr="00BD0203">
        <w:rPr>
          <w:rFonts w:asciiTheme="minorHAnsi" w:hAnsiTheme="minorHAnsi" w:cstheme="minorHAnsi"/>
          <w:sz w:val="24"/>
          <w:lang w:eastAsia="en-US"/>
        </w:rPr>
        <w:t xml:space="preserve">ocument </w:t>
      </w:r>
      <w:hyperlink r:id="rId23" w:history="1">
        <w:r w:rsidR="006B3C5E" w:rsidRPr="00BD0203">
          <w:rPr>
            <w:rStyle w:val="Hyperlink"/>
            <w:rFonts w:asciiTheme="minorHAnsi" w:hAnsiTheme="minorHAnsi" w:cstheme="minorHAnsi"/>
            <w:color w:val="auto"/>
            <w:sz w:val="24"/>
            <w:lang w:eastAsia="en-US"/>
          </w:rPr>
          <w:t>C20/INF/13</w:t>
        </w:r>
      </w:hyperlink>
      <w:r w:rsidR="006B3C5E" w:rsidRPr="00BD0203">
        <w:rPr>
          <w:rFonts w:asciiTheme="minorHAnsi" w:hAnsiTheme="minorHAnsi" w:cstheme="minorHAnsi"/>
          <w:sz w:val="24"/>
          <w:lang w:eastAsia="en-US"/>
        </w:rPr>
        <w:t xml:space="preserve"> was submitted to the last virtual consultation of Council</w:t>
      </w:r>
      <w:r w:rsidR="00990FC4" w:rsidRPr="00BD0203">
        <w:rPr>
          <w:rFonts w:asciiTheme="minorHAnsi" w:hAnsiTheme="minorHAnsi" w:cstheme="minorHAnsi"/>
          <w:sz w:val="24"/>
          <w:lang w:eastAsia="en-US"/>
        </w:rPr>
        <w:t>l</w:t>
      </w:r>
      <w:r w:rsidR="006B3C5E" w:rsidRPr="00BD0203">
        <w:rPr>
          <w:rFonts w:asciiTheme="minorHAnsi" w:hAnsiTheme="minorHAnsi" w:cstheme="minorHAnsi"/>
          <w:sz w:val="24"/>
          <w:lang w:eastAsia="en-US"/>
        </w:rPr>
        <w:t>ors. It described a process and subsequent actions to transform the current headquarters work conditions and methods to contemporary practices in preparation for the interim period and beyond in the new ITU headquarters building. This process consists of two phases of staff relocation: the first one being the relocation from the current three buildings into the Tower and Montbrillant (end of 2022). The second move is from those two buildings into the new headquarters in 2026.</w:t>
      </w:r>
    </w:p>
    <w:p w14:paraId="44953782" w14:textId="77777777" w:rsidR="006B3C5E" w:rsidRPr="00BD0203" w:rsidRDefault="006B3C5E" w:rsidP="00B23999">
      <w:pPr>
        <w:rPr>
          <w:rFonts w:asciiTheme="minorHAnsi" w:hAnsiTheme="minorHAnsi" w:cstheme="minorHAnsi"/>
          <w:sz w:val="24"/>
          <w:lang w:eastAsia="en-US"/>
        </w:rPr>
      </w:pPr>
    </w:p>
    <w:p w14:paraId="2B7F438E" w14:textId="49E0DD85" w:rsidR="006B3C5E" w:rsidRPr="00BD0203" w:rsidRDefault="00EB22B3" w:rsidP="006D2E4F">
      <w:pPr>
        <w:rPr>
          <w:rFonts w:asciiTheme="minorHAnsi" w:hAnsiTheme="minorHAnsi" w:cstheme="minorHAnsi"/>
          <w:sz w:val="24"/>
          <w:lang w:eastAsia="en-US"/>
        </w:rPr>
      </w:pPr>
      <w:r w:rsidRPr="00BD0203">
        <w:rPr>
          <w:rFonts w:asciiTheme="minorHAnsi" w:hAnsiTheme="minorHAnsi" w:cstheme="minorHAnsi"/>
          <w:sz w:val="24"/>
          <w:lang w:eastAsia="en-US"/>
        </w:rPr>
        <w:t>5.5</w:t>
      </w:r>
      <w:r w:rsidRPr="00BD0203">
        <w:rPr>
          <w:rFonts w:asciiTheme="minorHAnsi" w:hAnsiTheme="minorHAnsi" w:cstheme="minorHAnsi"/>
          <w:sz w:val="24"/>
          <w:lang w:eastAsia="en-US"/>
        </w:rPr>
        <w:tab/>
      </w:r>
      <w:r w:rsidR="006B3C5E" w:rsidRPr="00BD0203">
        <w:rPr>
          <w:rFonts w:asciiTheme="minorHAnsi" w:hAnsiTheme="minorHAnsi" w:cstheme="minorHAnsi"/>
          <w:sz w:val="24"/>
          <w:lang w:eastAsia="en-US"/>
        </w:rPr>
        <w:t xml:space="preserve">The priorities were identified through multi-level consultation with staff. The strategy and plan are related to item 67 of the risk register and following Joint Inspection Unit (JIU) recommendations related to change management. Decision 619 provides the necessary indirect cost allocation without additional financing to pay for the workplace analysis and related change management practices. Currently, a procurement process has been finalized, and an expert workplace strategy consultancy firm has been identified, and the contract will be set up in the weeks to come. The issues addressed through the staff working conditions strategy and implementation plan may impact the new building design and space allocation. ITU will keep </w:t>
      </w:r>
      <w:r w:rsidR="00B23999" w:rsidRPr="00BD0203">
        <w:rPr>
          <w:rFonts w:asciiTheme="minorHAnsi" w:hAnsiTheme="minorHAnsi" w:cstheme="minorHAnsi"/>
          <w:sz w:val="24"/>
          <w:lang w:eastAsia="en-US"/>
        </w:rPr>
        <w:t xml:space="preserve">delegates </w:t>
      </w:r>
      <w:r w:rsidR="006B3C5E" w:rsidRPr="00BD0203">
        <w:rPr>
          <w:rFonts w:asciiTheme="minorHAnsi" w:hAnsiTheme="minorHAnsi" w:cstheme="minorHAnsi"/>
          <w:sz w:val="24"/>
          <w:lang w:eastAsia="en-US"/>
        </w:rPr>
        <w:t>updated on the progress.</w:t>
      </w:r>
    </w:p>
    <w:p w14:paraId="3984B34B" w14:textId="32DF27D4" w:rsidR="006B3C5E" w:rsidRPr="00BD0203" w:rsidRDefault="006B3C5E" w:rsidP="00B23999">
      <w:pPr>
        <w:rPr>
          <w:rFonts w:asciiTheme="minorHAnsi" w:hAnsiTheme="minorHAnsi" w:cstheme="minorHAnsi"/>
          <w:b/>
          <w:bCs/>
          <w:sz w:val="24"/>
        </w:rPr>
      </w:pPr>
    </w:p>
    <w:p w14:paraId="3AC6808B" w14:textId="20B121F6" w:rsidR="009060A3" w:rsidRPr="00BD0203" w:rsidRDefault="009060A3" w:rsidP="00FB3326">
      <w:pPr>
        <w:rPr>
          <w:rFonts w:asciiTheme="minorHAnsi" w:hAnsiTheme="minorHAnsi" w:cstheme="minorHAnsi"/>
          <w:b/>
          <w:bCs/>
          <w:sz w:val="24"/>
        </w:rPr>
      </w:pPr>
      <w:r w:rsidRPr="00BD0203">
        <w:rPr>
          <w:rFonts w:asciiTheme="minorHAnsi" w:hAnsiTheme="minorHAnsi" w:cstheme="minorHAnsi"/>
          <w:b/>
          <w:bCs/>
          <w:sz w:val="24"/>
        </w:rPr>
        <w:t>6</w:t>
      </w:r>
      <w:r w:rsidRPr="00BD0203">
        <w:rPr>
          <w:rFonts w:asciiTheme="minorHAnsi" w:hAnsiTheme="minorHAnsi" w:cstheme="minorHAnsi"/>
          <w:b/>
          <w:bCs/>
          <w:sz w:val="24"/>
        </w:rPr>
        <w:tab/>
        <w:t>Fraud and related matters (permanent Agenda item)</w:t>
      </w:r>
    </w:p>
    <w:p w14:paraId="6C3E2B56" w14:textId="77777777" w:rsidR="009060A3" w:rsidRPr="00BD0203" w:rsidRDefault="009060A3" w:rsidP="00FB3326">
      <w:pPr>
        <w:tabs>
          <w:tab w:val="left" w:pos="709"/>
        </w:tabs>
        <w:overflowPunct w:val="0"/>
        <w:autoSpaceDE w:val="0"/>
        <w:autoSpaceDN w:val="0"/>
        <w:adjustRightInd w:val="0"/>
        <w:snapToGrid w:val="0"/>
        <w:ind w:left="709" w:hanging="709"/>
        <w:textAlignment w:val="baseline"/>
        <w:rPr>
          <w:rFonts w:asciiTheme="minorHAnsi" w:hAnsiTheme="minorHAnsi" w:cstheme="minorHAnsi"/>
          <w:b/>
          <w:bCs/>
          <w:sz w:val="24"/>
          <w:lang w:val="en-GB" w:eastAsia="en-AU"/>
        </w:rPr>
      </w:pPr>
    </w:p>
    <w:p w14:paraId="28117017" w14:textId="0C28A31D" w:rsidR="009060A3" w:rsidRPr="00BD0203" w:rsidRDefault="009060A3" w:rsidP="00FB3326">
      <w:pPr>
        <w:pStyle w:val="ListParagraph"/>
        <w:numPr>
          <w:ilvl w:val="0"/>
          <w:numId w:val="31"/>
        </w:numPr>
        <w:rPr>
          <w:rFonts w:asciiTheme="minorHAnsi" w:hAnsiTheme="minorHAnsi" w:cstheme="minorHAnsi"/>
          <w:b/>
          <w:bCs/>
          <w:sz w:val="24"/>
        </w:rPr>
      </w:pPr>
      <w:r w:rsidRPr="00BD0203">
        <w:rPr>
          <w:rFonts w:asciiTheme="minorHAnsi" w:hAnsiTheme="minorHAnsi" w:cstheme="minorHAnsi"/>
          <w:b/>
          <w:bCs/>
          <w:sz w:val="24"/>
        </w:rPr>
        <w:t xml:space="preserve">Report of the ITU working group on internal controls (Document </w:t>
      </w:r>
      <w:hyperlink r:id="rId24" w:history="1">
        <w:r w:rsidRPr="00BD0203">
          <w:rPr>
            <w:rStyle w:val="Hyperlink"/>
            <w:rFonts w:asciiTheme="minorHAnsi" w:hAnsiTheme="minorHAnsi" w:cstheme="minorHAnsi"/>
            <w:b/>
            <w:bCs/>
            <w:color w:val="auto"/>
            <w:sz w:val="24"/>
          </w:rPr>
          <w:t>CWG-FHR-12/11</w:t>
        </w:r>
      </w:hyperlink>
      <w:r w:rsidRPr="00BD0203">
        <w:rPr>
          <w:rFonts w:asciiTheme="minorHAnsi" w:hAnsiTheme="minorHAnsi" w:cstheme="minorHAnsi"/>
          <w:b/>
          <w:bCs/>
          <w:sz w:val="24"/>
        </w:rPr>
        <w:t>)</w:t>
      </w:r>
    </w:p>
    <w:p w14:paraId="4005E0EC" w14:textId="4269F715" w:rsidR="009060A3" w:rsidRPr="00BD0203" w:rsidRDefault="009060A3" w:rsidP="00FB3326">
      <w:pPr>
        <w:tabs>
          <w:tab w:val="left" w:pos="709"/>
        </w:tabs>
        <w:overflowPunct w:val="0"/>
        <w:autoSpaceDE w:val="0"/>
        <w:autoSpaceDN w:val="0"/>
        <w:adjustRightInd w:val="0"/>
        <w:snapToGrid w:val="0"/>
        <w:ind w:left="709" w:hanging="709"/>
        <w:textAlignment w:val="baseline"/>
        <w:rPr>
          <w:rFonts w:asciiTheme="minorHAnsi" w:hAnsiTheme="minorHAnsi" w:cstheme="minorHAnsi"/>
          <w:b/>
          <w:bCs/>
          <w:sz w:val="24"/>
          <w:lang w:val="en-GB" w:eastAsia="en-AU"/>
        </w:rPr>
      </w:pPr>
    </w:p>
    <w:p w14:paraId="529C4CCB" w14:textId="1068084C" w:rsidR="00B4273F" w:rsidRPr="00BD0203" w:rsidRDefault="00B4273F" w:rsidP="00B4273F">
      <w:pPr>
        <w:rPr>
          <w:rFonts w:asciiTheme="minorHAnsi" w:hAnsiTheme="minorHAnsi" w:cstheme="minorHAnsi"/>
          <w:sz w:val="24"/>
        </w:rPr>
      </w:pPr>
      <w:r w:rsidRPr="00BD0203">
        <w:rPr>
          <w:rFonts w:asciiTheme="minorHAnsi" w:hAnsiTheme="minorHAnsi" w:cstheme="minorHAnsi"/>
          <w:sz w:val="24"/>
          <w:lang w:val="en-GB"/>
        </w:rPr>
        <w:t>6.</w:t>
      </w:r>
      <w:r w:rsidR="00B74B43" w:rsidRPr="00BD0203">
        <w:rPr>
          <w:rFonts w:asciiTheme="minorHAnsi" w:hAnsiTheme="minorHAnsi" w:cstheme="minorHAnsi"/>
          <w:sz w:val="24"/>
          <w:lang w:val="en-GB"/>
        </w:rPr>
        <w:t>1</w:t>
      </w:r>
      <w:r w:rsidRPr="00BD0203">
        <w:rPr>
          <w:rFonts w:asciiTheme="minorHAnsi" w:hAnsiTheme="minorHAnsi" w:cstheme="minorHAnsi"/>
          <w:sz w:val="24"/>
          <w:lang w:val="en-GB"/>
        </w:rPr>
        <w:tab/>
        <w:t xml:space="preserve">The BDT Director presented Document CWG-FHR 12/11 that </w:t>
      </w:r>
      <w:r w:rsidRPr="00BD0203">
        <w:rPr>
          <w:rFonts w:asciiTheme="minorHAnsi" w:hAnsiTheme="minorHAnsi" w:cstheme="minorHAnsi"/>
          <w:sz w:val="24"/>
        </w:rPr>
        <w:t>contains an overview of actions undertaken by the ITU Working Group on internal controls to date.</w:t>
      </w:r>
    </w:p>
    <w:p w14:paraId="3016A82D" w14:textId="77777777" w:rsidR="00B4273F" w:rsidRPr="00BD0203" w:rsidRDefault="00B4273F" w:rsidP="00B4273F">
      <w:pPr>
        <w:rPr>
          <w:rFonts w:asciiTheme="minorHAnsi" w:hAnsiTheme="minorHAnsi" w:cstheme="minorHAnsi"/>
          <w:sz w:val="24"/>
        </w:rPr>
      </w:pPr>
    </w:p>
    <w:p w14:paraId="513AF30B" w14:textId="01FA87FC" w:rsidR="00B4273F" w:rsidRPr="00BD0203" w:rsidRDefault="00B4273F" w:rsidP="00B4273F">
      <w:pPr>
        <w:rPr>
          <w:rFonts w:asciiTheme="minorHAnsi" w:hAnsiTheme="minorHAnsi" w:cstheme="minorHAnsi"/>
          <w:sz w:val="24"/>
        </w:rPr>
      </w:pPr>
      <w:r w:rsidRPr="00BD0203">
        <w:rPr>
          <w:rFonts w:asciiTheme="minorHAnsi" w:hAnsiTheme="minorHAnsi" w:cstheme="minorHAnsi"/>
          <w:sz w:val="24"/>
        </w:rPr>
        <w:t>6.2</w:t>
      </w:r>
      <w:r w:rsidRPr="00BD0203">
        <w:rPr>
          <w:rFonts w:asciiTheme="minorHAnsi" w:hAnsiTheme="minorHAnsi" w:cstheme="minorHAnsi"/>
          <w:sz w:val="24"/>
        </w:rPr>
        <w:tab/>
        <w:t>The implementation rate of all related recommendations of the Internal Audit, External Audit and IMAC is 80 per cent.</w:t>
      </w:r>
    </w:p>
    <w:p w14:paraId="2980C41B" w14:textId="77777777" w:rsidR="00B4273F" w:rsidRPr="00BD0203" w:rsidRDefault="00B4273F" w:rsidP="00B4273F">
      <w:pPr>
        <w:rPr>
          <w:rFonts w:asciiTheme="minorHAnsi" w:hAnsiTheme="minorHAnsi" w:cstheme="minorHAnsi"/>
          <w:sz w:val="24"/>
        </w:rPr>
      </w:pPr>
    </w:p>
    <w:p w14:paraId="5D8ACB08" w14:textId="661EB6A3" w:rsidR="00B4273F" w:rsidRPr="00BD0203" w:rsidRDefault="00B4273F" w:rsidP="00B4273F">
      <w:pPr>
        <w:rPr>
          <w:rFonts w:asciiTheme="minorHAnsi" w:hAnsiTheme="minorHAnsi" w:cstheme="minorHAnsi"/>
          <w:sz w:val="24"/>
        </w:rPr>
      </w:pPr>
      <w:r w:rsidRPr="00BD0203">
        <w:rPr>
          <w:rFonts w:asciiTheme="minorHAnsi" w:hAnsiTheme="minorHAnsi" w:cstheme="minorHAnsi"/>
          <w:sz w:val="24"/>
        </w:rPr>
        <w:t>6.3</w:t>
      </w:r>
      <w:r w:rsidRPr="00BD0203">
        <w:rPr>
          <w:rFonts w:asciiTheme="minorHAnsi" w:hAnsiTheme="minorHAnsi" w:cstheme="minorHAnsi"/>
          <w:sz w:val="24"/>
        </w:rPr>
        <w:tab/>
        <w:t>ITU management decided in November 2020 to set up a corporate compliance dashboard including the recommendations of EA, IMAC, JIU and IA. This tool enables ITU management and oversight bodies (Internal Audit, External Audit and IMAC) to have a clear view of the recommendations in progress, the risk related to these recommendations, real-time information concerning the progress made to implement the recommendations or to mitigate the residual risk and dispatch automated email notifications and reminders, where necessary.</w:t>
      </w:r>
    </w:p>
    <w:p w14:paraId="309BCA2C" w14:textId="77777777" w:rsidR="00B4273F" w:rsidRPr="00BD0203" w:rsidRDefault="00B4273F" w:rsidP="00B4273F">
      <w:pPr>
        <w:rPr>
          <w:rFonts w:asciiTheme="minorHAnsi" w:hAnsiTheme="minorHAnsi" w:cstheme="minorHAnsi"/>
          <w:sz w:val="24"/>
        </w:rPr>
      </w:pPr>
    </w:p>
    <w:p w14:paraId="63A7D2C6" w14:textId="173939BD" w:rsidR="00B4273F" w:rsidRPr="00BD0203" w:rsidRDefault="00B4273F" w:rsidP="00B4273F">
      <w:pPr>
        <w:rPr>
          <w:rFonts w:asciiTheme="minorHAnsi" w:hAnsiTheme="minorHAnsi" w:cstheme="minorHAnsi"/>
          <w:sz w:val="24"/>
        </w:rPr>
      </w:pPr>
      <w:r w:rsidRPr="00BD0203">
        <w:rPr>
          <w:rFonts w:asciiTheme="minorHAnsi" w:hAnsiTheme="minorHAnsi" w:cstheme="minorHAnsi"/>
          <w:sz w:val="24"/>
        </w:rPr>
        <w:t>6.4</w:t>
      </w:r>
      <w:r w:rsidRPr="00BD0203">
        <w:rPr>
          <w:rFonts w:asciiTheme="minorHAnsi" w:hAnsiTheme="minorHAnsi" w:cstheme="minorHAnsi"/>
          <w:sz w:val="24"/>
        </w:rPr>
        <w:tab/>
        <w:t xml:space="preserve">The BDT Director also informed </w:t>
      </w:r>
      <w:r w:rsidR="00B74B43" w:rsidRPr="00BD0203">
        <w:rPr>
          <w:rFonts w:asciiTheme="minorHAnsi" w:hAnsiTheme="minorHAnsi" w:cstheme="minorHAnsi"/>
          <w:sz w:val="24"/>
        </w:rPr>
        <w:t xml:space="preserve">delegates </w:t>
      </w:r>
      <w:r w:rsidRPr="00BD0203">
        <w:rPr>
          <w:rFonts w:asciiTheme="minorHAnsi" w:hAnsiTheme="minorHAnsi" w:cstheme="minorHAnsi"/>
          <w:sz w:val="24"/>
        </w:rPr>
        <w:t>that the following system and measures were under implementation:</w:t>
      </w:r>
    </w:p>
    <w:p w14:paraId="384DD923" w14:textId="2DBCB3C3" w:rsidR="00B4273F" w:rsidRPr="00BD0203" w:rsidRDefault="00B4273F" w:rsidP="00B74B43">
      <w:pPr>
        <w:pStyle w:val="ListParagraph"/>
        <w:numPr>
          <w:ilvl w:val="0"/>
          <w:numId w:val="38"/>
        </w:numPr>
        <w:tabs>
          <w:tab w:val="left" w:pos="993"/>
        </w:tabs>
        <w:spacing w:before="120"/>
        <w:ind w:left="714" w:hanging="5"/>
        <w:rPr>
          <w:rFonts w:asciiTheme="minorHAnsi" w:hAnsiTheme="minorHAnsi" w:cstheme="minorHAnsi"/>
          <w:sz w:val="24"/>
        </w:rPr>
      </w:pPr>
      <w:r w:rsidRPr="00BD0203">
        <w:rPr>
          <w:rFonts w:asciiTheme="minorHAnsi" w:hAnsiTheme="minorHAnsi" w:cstheme="minorHAnsi"/>
          <w:sz w:val="24"/>
        </w:rPr>
        <w:t>New e-recruitment system and competitive procedures for selection of consultants</w:t>
      </w:r>
      <w:r w:rsidR="00B74B43" w:rsidRPr="00BD0203">
        <w:rPr>
          <w:rFonts w:asciiTheme="minorHAnsi" w:hAnsiTheme="minorHAnsi" w:cstheme="minorHAnsi"/>
          <w:sz w:val="24"/>
        </w:rPr>
        <w:t>;</w:t>
      </w:r>
    </w:p>
    <w:p w14:paraId="1D8FDA13" w14:textId="1854B996" w:rsidR="00B4273F" w:rsidRPr="00BD0203" w:rsidRDefault="00B4273F" w:rsidP="00B74B43">
      <w:pPr>
        <w:pStyle w:val="ListParagraph"/>
        <w:numPr>
          <w:ilvl w:val="0"/>
          <w:numId w:val="38"/>
        </w:numPr>
        <w:tabs>
          <w:tab w:val="left" w:pos="993"/>
        </w:tabs>
        <w:ind w:hanging="5"/>
        <w:rPr>
          <w:rFonts w:asciiTheme="minorHAnsi" w:hAnsiTheme="minorHAnsi" w:cstheme="minorHAnsi"/>
          <w:sz w:val="24"/>
        </w:rPr>
      </w:pPr>
      <w:r w:rsidRPr="00BD0203">
        <w:rPr>
          <w:rFonts w:asciiTheme="minorHAnsi" w:hAnsiTheme="minorHAnsi" w:cstheme="minorHAnsi"/>
          <w:sz w:val="24"/>
        </w:rPr>
        <w:t>Improved management and control of the use of consultants</w:t>
      </w:r>
      <w:r w:rsidR="00B74B43" w:rsidRPr="00BD0203">
        <w:rPr>
          <w:rFonts w:asciiTheme="minorHAnsi" w:hAnsiTheme="minorHAnsi" w:cstheme="minorHAnsi"/>
          <w:sz w:val="24"/>
        </w:rPr>
        <w:t>;</w:t>
      </w:r>
    </w:p>
    <w:p w14:paraId="32ADD3E2" w14:textId="056077F4" w:rsidR="00B4273F" w:rsidRPr="00BD0203" w:rsidRDefault="00B4273F" w:rsidP="00B74B43">
      <w:pPr>
        <w:pStyle w:val="ListParagraph"/>
        <w:numPr>
          <w:ilvl w:val="0"/>
          <w:numId w:val="38"/>
        </w:numPr>
        <w:tabs>
          <w:tab w:val="left" w:pos="993"/>
        </w:tabs>
        <w:ind w:hanging="5"/>
        <w:rPr>
          <w:rFonts w:asciiTheme="minorHAnsi" w:hAnsiTheme="minorHAnsi" w:cstheme="minorHAnsi"/>
          <w:sz w:val="24"/>
        </w:rPr>
      </w:pPr>
      <w:r w:rsidRPr="00BD0203">
        <w:rPr>
          <w:rFonts w:asciiTheme="minorHAnsi" w:hAnsiTheme="minorHAnsi" w:cstheme="minorHAnsi"/>
          <w:sz w:val="24"/>
        </w:rPr>
        <w:t>Common IT Systems for BDT</w:t>
      </w:r>
      <w:r w:rsidR="00B74B43" w:rsidRPr="00BD0203">
        <w:rPr>
          <w:rFonts w:asciiTheme="minorHAnsi" w:hAnsiTheme="minorHAnsi" w:cstheme="minorHAnsi"/>
          <w:sz w:val="24"/>
        </w:rPr>
        <w:t>;</w:t>
      </w:r>
    </w:p>
    <w:p w14:paraId="51A65BCB" w14:textId="60E6718D" w:rsidR="00B4273F" w:rsidRPr="00BD0203" w:rsidRDefault="00B4273F" w:rsidP="00B74B43">
      <w:pPr>
        <w:pStyle w:val="ListParagraph"/>
        <w:numPr>
          <w:ilvl w:val="0"/>
          <w:numId w:val="38"/>
        </w:numPr>
        <w:tabs>
          <w:tab w:val="left" w:pos="993"/>
        </w:tabs>
        <w:ind w:hanging="5"/>
        <w:rPr>
          <w:rFonts w:asciiTheme="minorHAnsi" w:hAnsiTheme="minorHAnsi" w:cstheme="minorHAnsi"/>
          <w:sz w:val="24"/>
        </w:rPr>
      </w:pPr>
      <w:r w:rsidRPr="00BD0203">
        <w:rPr>
          <w:rFonts w:asciiTheme="minorHAnsi" w:hAnsiTheme="minorHAnsi" w:cstheme="minorHAnsi"/>
          <w:sz w:val="24"/>
        </w:rPr>
        <w:t>Accountability Framework</w:t>
      </w:r>
      <w:r w:rsidR="00B74B43" w:rsidRPr="00BD0203">
        <w:rPr>
          <w:rFonts w:asciiTheme="minorHAnsi" w:hAnsiTheme="minorHAnsi" w:cstheme="minorHAnsi"/>
          <w:sz w:val="24"/>
        </w:rPr>
        <w:t>.</w:t>
      </w:r>
    </w:p>
    <w:p w14:paraId="761C5AA7" w14:textId="77777777" w:rsidR="00B4273F" w:rsidRPr="00BD0203" w:rsidRDefault="00B4273F" w:rsidP="00B4273F">
      <w:pPr>
        <w:rPr>
          <w:rFonts w:asciiTheme="minorHAnsi" w:hAnsiTheme="minorHAnsi" w:cstheme="minorHAnsi"/>
          <w:sz w:val="24"/>
        </w:rPr>
      </w:pPr>
    </w:p>
    <w:p w14:paraId="38CEA5B0" w14:textId="7A86A446" w:rsidR="00B4273F" w:rsidRPr="00BD0203" w:rsidRDefault="00B4273F" w:rsidP="00B4273F">
      <w:pPr>
        <w:rPr>
          <w:rFonts w:asciiTheme="minorHAnsi" w:hAnsiTheme="minorHAnsi" w:cstheme="minorHAnsi"/>
          <w:sz w:val="24"/>
        </w:rPr>
      </w:pPr>
      <w:r w:rsidRPr="00BD0203">
        <w:rPr>
          <w:rFonts w:asciiTheme="minorHAnsi" w:hAnsiTheme="minorHAnsi" w:cstheme="minorHAnsi"/>
          <w:sz w:val="24"/>
        </w:rPr>
        <w:t>6.5</w:t>
      </w:r>
      <w:r w:rsidRPr="00BD0203">
        <w:rPr>
          <w:rFonts w:asciiTheme="minorHAnsi" w:hAnsiTheme="minorHAnsi" w:cstheme="minorHAnsi"/>
          <w:sz w:val="24"/>
        </w:rPr>
        <w:tab/>
        <w:t xml:space="preserve">In relation </w:t>
      </w:r>
      <w:r w:rsidR="00B74B43" w:rsidRPr="00BD0203">
        <w:rPr>
          <w:rFonts w:asciiTheme="minorHAnsi" w:hAnsiTheme="minorHAnsi" w:cstheme="minorHAnsi"/>
          <w:sz w:val="24"/>
        </w:rPr>
        <w:t xml:space="preserve">to </w:t>
      </w:r>
      <w:r w:rsidRPr="00BD0203">
        <w:rPr>
          <w:rFonts w:asciiTheme="minorHAnsi" w:hAnsiTheme="minorHAnsi" w:cstheme="minorHAnsi"/>
          <w:sz w:val="24"/>
        </w:rPr>
        <w:t>the Bangkok’s fraud case, ITU’s Legal Adviser informed the meeting that disciplinary sanctions have been completed.  Simultaneously</w:t>
      </w:r>
      <w:r w:rsidR="00B74B43" w:rsidRPr="00BD0203">
        <w:rPr>
          <w:rFonts w:asciiTheme="minorHAnsi" w:hAnsiTheme="minorHAnsi" w:cstheme="minorHAnsi"/>
          <w:sz w:val="24"/>
        </w:rPr>
        <w:t>,</w:t>
      </w:r>
      <w:r w:rsidRPr="00BD0203">
        <w:rPr>
          <w:rFonts w:asciiTheme="minorHAnsi" w:hAnsiTheme="minorHAnsi" w:cstheme="minorHAnsi"/>
          <w:sz w:val="24"/>
        </w:rPr>
        <w:t xml:space="preserve"> a legal action has also been taken in Thailand and a law firm has been appointed to represent ITU.</w:t>
      </w:r>
    </w:p>
    <w:p w14:paraId="6AB735DD" w14:textId="77777777" w:rsidR="00B4273F" w:rsidRPr="00BD0203" w:rsidRDefault="00B4273F" w:rsidP="00B4273F">
      <w:pPr>
        <w:rPr>
          <w:rFonts w:asciiTheme="minorHAnsi" w:hAnsiTheme="minorHAnsi" w:cstheme="minorHAnsi"/>
          <w:sz w:val="24"/>
        </w:rPr>
      </w:pPr>
    </w:p>
    <w:p w14:paraId="119A52D4" w14:textId="6D3A9859" w:rsidR="00B4273F" w:rsidRPr="00BD0203" w:rsidRDefault="00B4273F" w:rsidP="00B4273F">
      <w:pPr>
        <w:rPr>
          <w:rFonts w:asciiTheme="minorHAnsi" w:hAnsiTheme="minorHAnsi" w:cstheme="minorHAnsi"/>
          <w:sz w:val="24"/>
        </w:rPr>
      </w:pPr>
      <w:r w:rsidRPr="00BD0203">
        <w:rPr>
          <w:rFonts w:asciiTheme="minorHAnsi" w:hAnsiTheme="minorHAnsi" w:cstheme="minorHAnsi"/>
          <w:sz w:val="24"/>
        </w:rPr>
        <w:t>6.6</w:t>
      </w:r>
      <w:r w:rsidRPr="00BD0203">
        <w:rPr>
          <w:rFonts w:asciiTheme="minorHAnsi" w:hAnsiTheme="minorHAnsi" w:cstheme="minorHAnsi"/>
          <w:sz w:val="24"/>
        </w:rPr>
        <w:tab/>
        <w:t>Delegates welcomed this information and acknowledged the efforts made by the secretariat.</w:t>
      </w:r>
    </w:p>
    <w:p w14:paraId="4246C510" w14:textId="77777777" w:rsidR="00B212A4" w:rsidRPr="00BD0203" w:rsidRDefault="00B212A4" w:rsidP="00FB3326">
      <w:pPr>
        <w:tabs>
          <w:tab w:val="left" w:pos="709"/>
        </w:tabs>
        <w:overflowPunct w:val="0"/>
        <w:autoSpaceDE w:val="0"/>
        <w:autoSpaceDN w:val="0"/>
        <w:adjustRightInd w:val="0"/>
        <w:snapToGrid w:val="0"/>
        <w:ind w:left="709" w:hanging="709"/>
        <w:textAlignment w:val="baseline"/>
        <w:rPr>
          <w:rFonts w:asciiTheme="minorHAnsi" w:hAnsiTheme="minorHAnsi" w:cstheme="minorHAnsi"/>
          <w:b/>
          <w:bCs/>
          <w:sz w:val="24"/>
          <w:lang w:val="en-GB" w:eastAsia="en-AU"/>
        </w:rPr>
      </w:pPr>
    </w:p>
    <w:p w14:paraId="48062EC5" w14:textId="6C978D4C" w:rsidR="009060A3" w:rsidRPr="00BD0203" w:rsidRDefault="009060A3" w:rsidP="00FF6589">
      <w:pPr>
        <w:pStyle w:val="ListParagraph"/>
        <w:keepNext/>
        <w:keepLines/>
        <w:numPr>
          <w:ilvl w:val="0"/>
          <w:numId w:val="31"/>
        </w:numPr>
        <w:tabs>
          <w:tab w:val="left" w:pos="709"/>
        </w:tabs>
        <w:overflowPunct w:val="0"/>
        <w:autoSpaceDE w:val="0"/>
        <w:autoSpaceDN w:val="0"/>
        <w:adjustRightInd w:val="0"/>
        <w:snapToGrid w:val="0"/>
        <w:textAlignment w:val="baseline"/>
        <w:rPr>
          <w:rFonts w:asciiTheme="minorHAnsi" w:hAnsiTheme="minorHAnsi" w:cstheme="minorHAnsi"/>
          <w:b/>
          <w:bCs/>
          <w:sz w:val="24"/>
          <w:lang w:val="en-GB" w:eastAsia="en-AU"/>
        </w:rPr>
      </w:pPr>
      <w:r w:rsidRPr="00BD0203">
        <w:rPr>
          <w:rFonts w:asciiTheme="minorHAnsi" w:hAnsiTheme="minorHAnsi" w:cstheme="minorHAnsi"/>
          <w:b/>
          <w:bCs/>
          <w:sz w:val="24"/>
        </w:rPr>
        <w:lastRenderedPageBreak/>
        <w:t>Update on the process to select an external company specialized in financial crime investigations following the case of fraud at a Regional Office (Oral presentation)</w:t>
      </w:r>
    </w:p>
    <w:p w14:paraId="303D1734" w14:textId="1448C952" w:rsidR="009060A3" w:rsidRPr="00BD0203" w:rsidRDefault="009060A3" w:rsidP="00FF6589">
      <w:pPr>
        <w:keepNext/>
        <w:keepLines/>
        <w:tabs>
          <w:tab w:val="left" w:pos="709"/>
        </w:tabs>
        <w:overflowPunct w:val="0"/>
        <w:autoSpaceDE w:val="0"/>
        <w:autoSpaceDN w:val="0"/>
        <w:adjustRightInd w:val="0"/>
        <w:snapToGrid w:val="0"/>
        <w:ind w:left="709" w:hanging="709"/>
        <w:textAlignment w:val="baseline"/>
        <w:rPr>
          <w:rFonts w:asciiTheme="minorHAnsi" w:hAnsiTheme="minorHAnsi" w:cstheme="minorHAnsi"/>
          <w:b/>
          <w:bCs/>
          <w:sz w:val="24"/>
          <w:lang w:val="en-GB" w:eastAsia="en-AU"/>
        </w:rPr>
      </w:pPr>
    </w:p>
    <w:p w14:paraId="5547FBA7" w14:textId="574AFD45" w:rsidR="00B212A4" w:rsidRPr="00BD0203" w:rsidRDefault="00B212A4" w:rsidP="00FF6589">
      <w:pPr>
        <w:keepNext/>
        <w:keepLines/>
        <w:shd w:val="clear" w:color="auto" w:fill="FFFFFF"/>
        <w:rPr>
          <w:rFonts w:asciiTheme="minorHAnsi" w:hAnsiTheme="minorHAnsi" w:cstheme="minorHAnsi"/>
          <w:color w:val="000000"/>
          <w:sz w:val="24"/>
        </w:rPr>
      </w:pPr>
      <w:r w:rsidRPr="00BD0203">
        <w:rPr>
          <w:rFonts w:asciiTheme="minorHAnsi" w:hAnsiTheme="minorHAnsi" w:cstheme="minorHAnsi"/>
          <w:color w:val="212121"/>
          <w:sz w:val="24"/>
        </w:rPr>
        <w:t>6.</w:t>
      </w:r>
      <w:r w:rsidR="00B74B43" w:rsidRPr="00BD0203">
        <w:rPr>
          <w:rFonts w:asciiTheme="minorHAnsi" w:hAnsiTheme="minorHAnsi" w:cstheme="minorHAnsi"/>
          <w:color w:val="212121"/>
          <w:sz w:val="24"/>
        </w:rPr>
        <w:t>7</w:t>
      </w:r>
      <w:r w:rsidRPr="00BD0203">
        <w:rPr>
          <w:rFonts w:asciiTheme="minorHAnsi" w:hAnsiTheme="minorHAnsi" w:cstheme="minorHAnsi"/>
          <w:color w:val="212121"/>
          <w:sz w:val="24"/>
        </w:rPr>
        <w:tab/>
        <w:t>The secretariat provided an oral presentation on the process to select an external company specialized</w:t>
      </w:r>
      <w:r w:rsidRPr="00BD0203">
        <w:rPr>
          <w:rFonts w:asciiTheme="minorHAnsi" w:hAnsiTheme="minorHAnsi" w:cstheme="minorHAnsi"/>
          <w:color w:val="000000"/>
          <w:sz w:val="24"/>
        </w:rPr>
        <w:t xml:space="preserve"> in financial crime investigations following the case of fraud at a Regional Office. Since the 2020 meeting of the CWG-FHR, and further to a recommendation from the IMAC, a consultant had been hired to fine-tune the terms of reference for the Request for Proposals (RFP). This RFP was issued and in April 2020 ten proposals were received. The Technical Evaluation Panel chaired by the DSG assessed the proposals, and in November 2020 the bidders that had passed the pass/fail criteria made presentations of their proposals to the Technical Evaluation Panel. In early January 2021, the contract was signed with the winning bidder, PWC, a major consulting firm. The PWC Team conducting the forensic audit is not the same as the one that had conducted a review of the regional presence. The work has started and it was agreed that by 1 May 2021, the final report would be provided to the ITU secretariat, in time for the 2021 Council session to be informed of that report. The deliverables of the contract are:</w:t>
      </w:r>
    </w:p>
    <w:p w14:paraId="458E234A" w14:textId="77777777" w:rsidR="00B212A4" w:rsidRPr="00BD0203" w:rsidRDefault="00B212A4" w:rsidP="00B212A4">
      <w:pPr>
        <w:shd w:val="clear" w:color="auto" w:fill="FFFFFF"/>
        <w:rPr>
          <w:rFonts w:asciiTheme="minorHAnsi" w:hAnsiTheme="minorHAnsi" w:cstheme="minorHAnsi"/>
          <w:sz w:val="24"/>
        </w:rPr>
      </w:pPr>
    </w:p>
    <w:p w14:paraId="78EC9DC1" w14:textId="77777777" w:rsidR="00B212A4" w:rsidRPr="00BD0203" w:rsidRDefault="00B212A4" w:rsidP="00B212A4">
      <w:pPr>
        <w:numPr>
          <w:ilvl w:val="0"/>
          <w:numId w:val="35"/>
        </w:numPr>
        <w:tabs>
          <w:tab w:val="left" w:pos="709"/>
          <w:tab w:val="left" w:pos="1134"/>
        </w:tabs>
        <w:contextualSpacing/>
        <w:jc w:val="both"/>
        <w:rPr>
          <w:rFonts w:asciiTheme="minorHAnsi" w:eastAsia="Times New Roman" w:hAnsiTheme="minorHAnsi" w:cstheme="minorHAnsi"/>
          <w:color w:val="000000"/>
          <w:sz w:val="24"/>
        </w:rPr>
      </w:pPr>
      <w:r w:rsidRPr="00BD0203">
        <w:rPr>
          <w:rFonts w:asciiTheme="minorHAnsi" w:eastAsia="Times New Roman" w:hAnsiTheme="minorHAnsi" w:cstheme="minorHAnsi"/>
          <w:color w:val="000000"/>
          <w:sz w:val="24"/>
        </w:rPr>
        <w:t xml:space="preserve">A Final report with all identified fraud risk exposures, instances of fraud, financial misconduct and vulnerabilities. It shall also include all tasks performed together with an assessment, recommendations and conclusions in relation to those tasks. </w:t>
      </w:r>
    </w:p>
    <w:p w14:paraId="286CE715" w14:textId="77777777" w:rsidR="00B212A4" w:rsidRPr="00BD0203" w:rsidRDefault="00B212A4" w:rsidP="00B212A4">
      <w:pPr>
        <w:numPr>
          <w:ilvl w:val="0"/>
          <w:numId w:val="35"/>
        </w:numPr>
        <w:tabs>
          <w:tab w:val="left" w:pos="709"/>
          <w:tab w:val="left" w:pos="1134"/>
        </w:tabs>
        <w:spacing w:before="120"/>
        <w:ind w:left="1418" w:hanging="284"/>
        <w:jc w:val="both"/>
        <w:rPr>
          <w:rFonts w:asciiTheme="minorHAnsi" w:eastAsia="Times New Roman" w:hAnsiTheme="minorHAnsi" w:cstheme="minorHAnsi"/>
          <w:color w:val="000000"/>
          <w:sz w:val="24"/>
        </w:rPr>
      </w:pPr>
      <w:r w:rsidRPr="00BD0203">
        <w:rPr>
          <w:rFonts w:asciiTheme="minorHAnsi" w:eastAsia="Times New Roman" w:hAnsiTheme="minorHAnsi" w:cstheme="minorHAnsi"/>
          <w:color w:val="000000"/>
          <w:sz w:val="24"/>
        </w:rPr>
        <w:t xml:space="preserve">An </w:t>
      </w:r>
      <w:r w:rsidRPr="00BD0203">
        <w:rPr>
          <w:rFonts w:asciiTheme="minorHAnsi" w:eastAsia="Times New Roman" w:hAnsiTheme="minorHAnsi" w:cstheme="minorHAnsi"/>
          <w:color w:val="000000"/>
          <w:sz w:val="24"/>
          <w:u w:val="single"/>
        </w:rPr>
        <w:t>Action Plan</w:t>
      </w:r>
      <w:r w:rsidRPr="00BD0203">
        <w:rPr>
          <w:rFonts w:asciiTheme="minorHAnsi" w:eastAsia="Times New Roman" w:hAnsiTheme="minorHAnsi" w:cstheme="minorHAnsi"/>
          <w:color w:val="000000"/>
          <w:sz w:val="24"/>
        </w:rPr>
        <w:t xml:space="preserve"> for change, addressing all the related findings and recommendations provided by the External Auditor, the Internal Auditor and the IMAC.</w:t>
      </w:r>
    </w:p>
    <w:p w14:paraId="3FAAB7BF" w14:textId="77777777" w:rsidR="00B212A4" w:rsidRPr="00BD0203" w:rsidRDefault="00B212A4" w:rsidP="00B212A4">
      <w:pPr>
        <w:snapToGrid w:val="0"/>
        <w:rPr>
          <w:rFonts w:asciiTheme="minorHAnsi" w:hAnsiTheme="minorHAnsi" w:cstheme="minorHAnsi"/>
          <w:sz w:val="24"/>
        </w:rPr>
      </w:pPr>
    </w:p>
    <w:p w14:paraId="74E9CEBE" w14:textId="21177C58" w:rsidR="00B212A4" w:rsidRPr="00BD0203" w:rsidRDefault="00B212A4" w:rsidP="00B212A4">
      <w:pPr>
        <w:snapToGrid w:val="0"/>
        <w:rPr>
          <w:rFonts w:asciiTheme="minorHAnsi" w:eastAsiaTheme="minorHAnsi" w:hAnsiTheme="minorHAnsi" w:cstheme="minorHAnsi"/>
          <w:sz w:val="24"/>
        </w:rPr>
      </w:pPr>
      <w:r w:rsidRPr="00BD0203">
        <w:rPr>
          <w:rFonts w:asciiTheme="minorHAnsi" w:hAnsiTheme="minorHAnsi" w:cstheme="minorHAnsi"/>
          <w:sz w:val="24"/>
        </w:rPr>
        <w:t>6.</w:t>
      </w:r>
      <w:r w:rsidR="00B74B43" w:rsidRPr="00BD0203">
        <w:rPr>
          <w:rFonts w:asciiTheme="minorHAnsi" w:hAnsiTheme="minorHAnsi" w:cstheme="minorHAnsi"/>
          <w:sz w:val="24"/>
        </w:rPr>
        <w:t>8</w:t>
      </w:r>
      <w:r w:rsidRPr="00BD0203">
        <w:rPr>
          <w:rFonts w:asciiTheme="minorHAnsi" w:hAnsiTheme="minorHAnsi" w:cstheme="minorHAnsi"/>
          <w:sz w:val="24"/>
        </w:rPr>
        <w:tab/>
        <w:t>In case a fraud was to be uncovered in the course of the main work by PWC, any individual investigation would be investigated in accordance with the applicable ITU administrative issuances but would not be completed by 1 May 2021. These individual investigations would in principle also be conducted by PWC.</w:t>
      </w:r>
      <w:r w:rsidRPr="00BD0203">
        <w:rPr>
          <w:rFonts w:asciiTheme="minorHAnsi" w:hAnsiTheme="minorHAnsi" w:cstheme="minorHAnsi"/>
          <w:color w:val="000000"/>
          <w:sz w:val="24"/>
        </w:rPr>
        <w:t xml:space="preserve"> </w:t>
      </w:r>
      <w:r w:rsidRPr="00BD0203">
        <w:rPr>
          <w:rFonts w:asciiTheme="minorHAnsi" w:hAnsiTheme="minorHAnsi" w:cstheme="minorHAnsi"/>
          <w:sz w:val="24"/>
        </w:rPr>
        <w:t>Further to a request for clarification, the secretariat indicated that the mandate covers the Organization's overall fraud risk exposure, and possible occurrence. The mandate is not meant to revisit the Bangkok case, which in the meantime was administratively closed, including the associated disciplinary processes. As explained by the Legal Adviser, only the referral to the Thai national authorities is still in the process of being worked on by the ITU secretariat.</w:t>
      </w:r>
    </w:p>
    <w:p w14:paraId="2AB3F843" w14:textId="77777777" w:rsidR="00B212A4" w:rsidRPr="00BD0203" w:rsidRDefault="00B212A4" w:rsidP="00042A0C">
      <w:pPr>
        <w:tabs>
          <w:tab w:val="left" w:pos="709"/>
        </w:tabs>
        <w:overflowPunct w:val="0"/>
        <w:autoSpaceDE w:val="0"/>
        <w:autoSpaceDN w:val="0"/>
        <w:adjustRightInd w:val="0"/>
        <w:snapToGrid w:val="0"/>
        <w:ind w:left="709" w:hanging="709"/>
        <w:textAlignment w:val="baseline"/>
        <w:rPr>
          <w:rFonts w:asciiTheme="minorHAnsi" w:hAnsiTheme="minorHAnsi" w:cstheme="minorHAnsi"/>
          <w:b/>
          <w:bCs/>
          <w:sz w:val="24"/>
          <w:lang w:val="en-GB" w:eastAsia="en-AU"/>
        </w:rPr>
      </w:pPr>
    </w:p>
    <w:p w14:paraId="6C317F7A" w14:textId="07A4D0C3" w:rsidR="009060A3" w:rsidRPr="00BD0203" w:rsidRDefault="009060A3" w:rsidP="00042A0C">
      <w:pPr>
        <w:tabs>
          <w:tab w:val="left" w:pos="709"/>
        </w:tabs>
        <w:overflowPunct w:val="0"/>
        <w:autoSpaceDE w:val="0"/>
        <w:autoSpaceDN w:val="0"/>
        <w:adjustRightInd w:val="0"/>
        <w:snapToGrid w:val="0"/>
        <w:ind w:left="709" w:hanging="709"/>
        <w:textAlignment w:val="baseline"/>
        <w:rPr>
          <w:rFonts w:asciiTheme="minorHAnsi" w:hAnsiTheme="minorHAnsi" w:cstheme="minorHAnsi"/>
          <w:b/>
          <w:bCs/>
          <w:sz w:val="24"/>
        </w:rPr>
      </w:pPr>
      <w:r w:rsidRPr="00BD0203">
        <w:rPr>
          <w:rFonts w:asciiTheme="minorHAnsi" w:hAnsiTheme="minorHAnsi" w:cstheme="minorHAnsi"/>
          <w:b/>
          <w:bCs/>
          <w:sz w:val="24"/>
        </w:rPr>
        <w:t>7</w:t>
      </w:r>
      <w:r w:rsidRPr="00BD0203">
        <w:rPr>
          <w:rFonts w:asciiTheme="minorHAnsi" w:hAnsiTheme="minorHAnsi" w:cstheme="minorHAnsi"/>
          <w:b/>
          <w:bCs/>
          <w:sz w:val="24"/>
        </w:rPr>
        <w:tab/>
        <w:t>Risk management</w:t>
      </w:r>
    </w:p>
    <w:p w14:paraId="41F44A41" w14:textId="77777777" w:rsidR="009060A3" w:rsidRPr="00BD0203" w:rsidRDefault="009060A3" w:rsidP="00042A0C">
      <w:pPr>
        <w:tabs>
          <w:tab w:val="left" w:pos="216"/>
          <w:tab w:val="left" w:pos="378"/>
          <w:tab w:val="left" w:pos="743"/>
        </w:tabs>
        <w:snapToGrid w:val="0"/>
        <w:rPr>
          <w:rFonts w:asciiTheme="minorHAnsi" w:hAnsiTheme="minorHAnsi" w:cstheme="minorHAnsi"/>
          <w:b/>
          <w:bCs/>
          <w:sz w:val="24"/>
        </w:rPr>
      </w:pPr>
    </w:p>
    <w:p w14:paraId="53D17ED9" w14:textId="43EE2A73" w:rsidR="009060A3" w:rsidRPr="00BD0203" w:rsidRDefault="009060A3" w:rsidP="00042A0C">
      <w:pPr>
        <w:tabs>
          <w:tab w:val="left" w:pos="709"/>
        </w:tabs>
        <w:overflowPunct w:val="0"/>
        <w:autoSpaceDE w:val="0"/>
        <w:autoSpaceDN w:val="0"/>
        <w:adjustRightInd w:val="0"/>
        <w:snapToGrid w:val="0"/>
        <w:ind w:left="709" w:hanging="709"/>
        <w:textAlignment w:val="baseline"/>
        <w:rPr>
          <w:rFonts w:asciiTheme="minorHAnsi" w:hAnsiTheme="minorHAnsi" w:cstheme="minorHAnsi"/>
          <w:b/>
          <w:bCs/>
          <w:sz w:val="24"/>
          <w:lang w:val="en-GB" w:eastAsia="en-AU"/>
        </w:rPr>
      </w:pPr>
      <w:r w:rsidRPr="00BD0203">
        <w:rPr>
          <w:rFonts w:asciiTheme="minorHAnsi" w:hAnsiTheme="minorHAnsi" w:cstheme="minorHAnsi"/>
          <w:b/>
          <w:bCs/>
          <w:sz w:val="24"/>
        </w:rPr>
        <w:tab/>
        <w:t>Report on the implementation of the risk management action plan</w:t>
      </w:r>
      <w:r w:rsidRPr="00BD0203">
        <w:rPr>
          <w:rFonts w:asciiTheme="minorHAnsi" w:hAnsiTheme="minorHAnsi" w:cstheme="minorHAnsi"/>
          <w:b/>
          <w:bCs/>
          <w:sz w:val="24"/>
        </w:rPr>
        <w:br/>
        <w:t xml:space="preserve">(Document </w:t>
      </w:r>
      <w:hyperlink r:id="rId25" w:history="1">
        <w:r w:rsidRPr="00BD0203">
          <w:rPr>
            <w:rStyle w:val="Hyperlink"/>
            <w:rFonts w:asciiTheme="minorHAnsi" w:hAnsiTheme="minorHAnsi" w:cstheme="minorHAnsi"/>
            <w:b/>
            <w:bCs/>
            <w:color w:val="auto"/>
            <w:sz w:val="24"/>
          </w:rPr>
          <w:t>CWG-FHR-12/7</w:t>
        </w:r>
      </w:hyperlink>
      <w:r w:rsidRPr="00BD0203">
        <w:rPr>
          <w:rFonts w:asciiTheme="minorHAnsi" w:hAnsiTheme="minorHAnsi" w:cstheme="minorHAnsi"/>
          <w:b/>
          <w:bCs/>
          <w:sz w:val="24"/>
        </w:rPr>
        <w:t>)</w:t>
      </w:r>
    </w:p>
    <w:p w14:paraId="6982AB08" w14:textId="168D8DC7" w:rsidR="009060A3" w:rsidRPr="00BD0203" w:rsidRDefault="009060A3" w:rsidP="00042A0C">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52E6C9C5" w14:textId="136C57DD" w:rsidR="001D31C2" w:rsidRPr="00BD0203" w:rsidRDefault="00C85CA1" w:rsidP="00042A0C">
      <w:pPr>
        <w:rPr>
          <w:rFonts w:asciiTheme="minorHAnsi" w:eastAsia="Calibri" w:hAnsiTheme="minorHAnsi" w:cstheme="minorHAnsi"/>
          <w:sz w:val="24"/>
        </w:rPr>
      </w:pPr>
      <w:r w:rsidRPr="00BD0203">
        <w:rPr>
          <w:rFonts w:asciiTheme="minorHAnsi" w:eastAsia="Calibri" w:hAnsiTheme="minorHAnsi" w:cstheme="minorHAnsi"/>
          <w:sz w:val="24"/>
        </w:rPr>
        <w:t>7.1</w:t>
      </w:r>
      <w:r w:rsidRPr="00BD0203">
        <w:rPr>
          <w:rFonts w:asciiTheme="minorHAnsi" w:eastAsia="Calibri" w:hAnsiTheme="minorHAnsi" w:cstheme="minorHAnsi"/>
          <w:sz w:val="24"/>
        </w:rPr>
        <w:tab/>
        <w:t xml:space="preserve">The </w:t>
      </w:r>
      <w:r w:rsidR="00A57D48" w:rsidRPr="00BD0203">
        <w:rPr>
          <w:rFonts w:asciiTheme="minorHAnsi" w:eastAsia="Calibri" w:hAnsiTheme="minorHAnsi" w:cstheme="minorHAnsi"/>
          <w:sz w:val="24"/>
        </w:rPr>
        <w:t>s</w:t>
      </w:r>
      <w:r w:rsidRPr="00BD0203">
        <w:rPr>
          <w:rFonts w:asciiTheme="minorHAnsi" w:eastAsia="Calibri" w:hAnsiTheme="minorHAnsi" w:cstheme="minorHAnsi"/>
          <w:sz w:val="24"/>
        </w:rPr>
        <w:t xml:space="preserve">ecretariat </w:t>
      </w:r>
      <w:r w:rsidR="001D31C2" w:rsidRPr="00BD0203">
        <w:rPr>
          <w:rFonts w:asciiTheme="minorHAnsi" w:eastAsia="Calibri" w:hAnsiTheme="minorHAnsi" w:cstheme="minorHAnsi"/>
          <w:sz w:val="24"/>
        </w:rPr>
        <w:t>presented the final report of the project implementing the Action Plan to strengthen the ITU Risk Management Framework. The report built on the progress reports previously presented to CWG-FHR and the Virtual Consultation of Council</w:t>
      </w:r>
      <w:r w:rsidR="00CB000D" w:rsidRPr="00BD0203">
        <w:rPr>
          <w:rFonts w:asciiTheme="minorHAnsi" w:eastAsia="Calibri" w:hAnsiTheme="minorHAnsi" w:cstheme="minorHAnsi"/>
          <w:sz w:val="24"/>
        </w:rPr>
        <w:t>l</w:t>
      </w:r>
      <w:r w:rsidR="001D31C2" w:rsidRPr="00BD0203">
        <w:rPr>
          <w:rFonts w:asciiTheme="minorHAnsi" w:eastAsia="Calibri" w:hAnsiTheme="minorHAnsi" w:cstheme="minorHAnsi"/>
          <w:sz w:val="24"/>
        </w:rPr>
        <w:t xml:space="preserve">ors, confirming the successful implementation of the </w:t>
      </w:r>
      <w:r w:rsidR="00A57D48" w:rsidRPr="00BD0203">
        <w:rPr>
          <w:rFonts w:asciiTheme="minorHAnsi" w:eastAsia="Calibri" w:hAnsiTheme="minorHAnsi" w:cstheme="minorHAnsi"/>
          <w:sz w:val="24"/>
        </w:rPr>
        <w:t>ten</w:t>
      </w:r>
      <w:r w:rsidR="001D31C2" w:rsidRPr="00BD0203">
        <w:rPr>
          <w:rFonts w:asciiTheme="minorHAnsi" w:eastAsia="Calibri" w:hAnsiTheme="minorHAnsi" w:cstheme="minorHAnsi"/>
          <w:sz w:val="24"/>
        </w:rPr>
        <w:t xml:space="preserve"> Action Items that had previously been identified. </w:t>
      </w:r>
      <w:r w:rsidR="00A57D48" w:rsidRPr="00BD0203">
        <w:rPr>
          <w:rFonts w:asciiTheme="minorHAnsi" w:eastAsia="Calibri" w:hAnsiTheme="minorHAnsi" w:cstheme="minorHAnsi"/>
          <w:sz w:val="24"/>
        </w:rPr>
        <w:t xml:space="preserve">Delegates were </w:t>
      </w:r>
      <w:r w:rsidR="001D31C2" w:rsidRPr="00BD0203">
        <w:rPr>
          <w:rFonts w:asciiTheme="minorHAnsi" w:eastAsia="Calibri" w:hAnsiTheme="minorHAnsi" w:cstheme="minorHAnsi"/>
          <w:sz w:val="24"/>
        </w:rPr>
        <w:t>reminded that the Council had already approved by correspondence the revised ITU Risk Management Policy and Appetite Statement, as well as the creation of the Risk Management and Internal Control function within available budget. The report presented all the activities that took place following the 2nd VCC, including the development of the Risk Management Manual, the two rounds of internal workshops and the development of the ITU-wide risk register and the Risk Management Dashboard. An overview of the register and the dashboard w</w:t>
      </w:r>
      <w:r w:rsidR="00A57D48" w:rsidRPr="00BD0203">
        <w:rPr>
          <w:rFonts w:asciiTheme="minorHAnsi" w:eastAsia="Calibri" w:hAnsiTheme="minorHAnsi" w:cstheme="minorHAnsi"/>
          <w:sz w:val="24"/>
        </w:rPr>
        <w:t>ere</w:t>
      </w:r>
      <w:r w:rsidR="001D31C2" w:rsidRPr="00BD0203">
        <w:rPr>
          <w:rFonts w:asciiTheme="minorHAnsi" w:eastAsia="Calibri" w:hAnsiTheme="minorHAnsi" w:cstheme="minorHAnsi"/>
          <w:sz w:val="24"/>
        </w:rPr>
        <w:t xml:space="preserve"> introduced to the group. With the successful completion of the project, the related IMAC recommendations, as well as all </w:t>
      </w:r>
      <w:r w:rsidR="00A57D48" w:rsidRPr="00BD0203">
        <w:rPr>
          <w:rFonts w:asciiTheme="minorHAnsi" w:eastAsia="Calibri" w:hAnsiTheme="minorHAnsi" w:cstheme="minorHAnsi"/>
          <w:sz w:val="24"/>
        </w:rPr>
        <w:t>nine</w:t>
      </w:r>
      <w:r w:rsidR="001D31C2" w:rsidRPr="00BD0203">
        <w:rPr>
          <w:rFonts w:asciiTheme="minorHAnsi" w:eastAsia="Calibri" w:hAnsiTheme="minorHAnsi" w:cstheme="minorHAnsi"/>
          <w:sz w:val="24"/>
        </w:rPr>
        <w:t xml:space="preserve"> Benchmarks from the 2020 JIU Report on Enterprise Risk Management have been successfully implemented. </w:t>
      </w:r>
      <w:r w:rsidR="00A57D48" w:rsidRPr="00BD0203">
        <w:rPr>
          <w:rFonts w:asciiTheme="minorHAnsi" w:eastAsia="Calibri" w:hAnsiTheme="minorHAnsi" w:cstheme="minorHAnsi"/>
          <w:sz w:val="24"/>
        </w:rPr>
        <w:t xml:space="preserve">Several </w:t>
      </w:r>
      <w:r w:rsidR="001D31C2" w:rsidRPr="00BD0203">
        <w:rPr>
          <w:rFonts w:asciiTheme="minorHAnsi" w:eastAsia="Calibri" w:hAnsiTheme="minorHAnsi" w:cstheme="minorHAnsi"/>
          <w:sz w:val="24"/>
        </w:rPr>
        <w:t>delegations took the floor to appreciate the work of the secretariat on this topic.</w:t>
      </w:r>
    </w:p>
    <w:p w14:paraId="5477686F" w14:textId="77777777" w:rsidR="001D31C2" w:rsidRPr="00BD0203" w:rsidRDefault="001D31C2" w:rsidP="0035524F">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42D347BD" w14:textId="216CB55B" w:rsidR="0030144F" w:rsidRPr="00BD0203" w:rsidRDefault="00DF14CB" w:rsidP="0035524F">
      <w:pPr>
        <w:snapToGrid w:val="0"/>
        <w:rPr>
          <w:rStyle w:val="Hyperlink"/>
          <w:rFonts w:asciiTheme="minorHAnsi" w:hAnsiTheme="minorHAnsi" w:cstheme="minorHAnsi"/>
          <w:b/>
          <w:bCs/>
          <w:color w:val="auto"/>
          <w:sz w:val="24"/>
        </w:rPr>
      </w:pPr>
      <w:r w:rsidRPr="00BD0203">
        <w:rPr>
          <w:rFonts w:asciiTheme="minorHAnsi" w:hAnsiTheme="minorHAnsi" w:cstheme="minorHAnsi"/>
          <w:b/>
          <w:bCs/>
          <w:sz w:val="24"/>
        </w:rPr>
        <w:lastRenderedPageBreak/>
        <w:t>8</w:t>
      </w:r>
      <w:r w:rsidR="0030144F" w:rsidRPr="00BD0203">
        <w:rPr>
          <w:rFonts w:asciiTheme="minorHAnsi" w:hAnsiTheme="minorHAnsi" w:cstheme="minorHAnsi"/>
          <w:b/>
          <w:bCs/>
          <w:sz w:val="24"/>
        </w:rPr>
        <w:tab/>
        <w:t xml:space="preserve">Follow-up on the recommendations of the External Auditor (Document </w:t>
      </w:r>
      <w:hyperlink r:id="rId26" w:history="1">
        <w:r w:rsidR="0030144F" w:rsidRPr="00BD0203">
          <w:rPr>
            <w:rStyle w:val="Hyperlink"/>
            <w:rFonts w:asciiTheme="minorHAnsi" w:hAnsiTheme="minorHAnsi" w:cstheme="minorHAnsi"/>
            <w:b/>
            <w:bCs/>
            <w:color w:val="auto"/>
            <w:sz w:val="24"/>
          </w:rPr>
          <w:t>CWG-FHR-12/8</w:t>
        </w:r>
      </w:hyperlink>
      <w:r w:rsidR="0030144F" w:rsidRPr="00BD0203">
        <w:rPr>
          <w:rStyle w:val="Hyperlink"/>
          <w:rFonts w:asciiTheme="minorHAnsi" w:hAnsiTheme="minorHAnsi" w:cstheme="minorHAnsi"/>
          <w:b/>
          <w:bCs/>
          <w:color w:val="auto"/>
          <w:sz w:val="24"/>
        </w:rPr>
        <w:t>)</w:t>
      </w:r>
    </w:p>
    <w:p w14:paraId="632AEF77" w14:textId="3E73ED3C" w:rsidR="009060A3" w:rsidRPr="00BD0203" w:rsidRDefault="009060A3" w:rsidP="0035524F">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03EE5AF2" w14:textId="021CEFF7" w:rsidR="0035524F" w:rsidRPr="00BD0203" w:rsidRDefault="0035524F" w:rsidP="0035524F">
      <w:pPr>
        <w:rPr>
          <w:rFonts w:asciiTheme="minorHAnsi" w:hAnsiTheme="minorHAnsi" w:cstheme="minorHAnsi"/>
          <w:sz w:val="24"/>
        </w:rPr>
      </w:pPr>
      <w:r w:rsidRPr="00BD0203">
        <w:rPr>
          <w:rFonts w:asciiTheme="minorHAnsi" w:hAnsiTheme="minorHAnsi" w:cstheme="minorHAnsi"/>
          <w:sz w:val="24"/>
        </w:rPr>
        <w:t>8.1</w:t>
      </w:r>
      <w:r w:rsidRPr="00BD0203">
        <w:rPr>
          <w:rFonts w:asciiTheme="minorHAnsi" w:hAnsiTheme="minorHAnsi" w:cstheme="minorHAnsi"/>
          <w:sz w:val="24"/>
        </w:rPr>
        <w:tab/>
        <w:t>Document CWG-FHR 12/8 was presented, showing the status of the open recommendations made by the External Auditor, as of end-December 2020.</w:t>
      </w:r>
    </w:p>
    <w:p w14:paraId="08FB28DD" w14:textId="77777777" w:rsidR="0035524F" w:rsidRPr="00BD0203" w:rsidRDefault="0035524F" w:rsidP="0035524F">
      <w:pPr>
        <w:rPr>
          <w:rFonts w:asciiTheme="minorHAnsi" w:hAnsiTheme="minorHAnsi" w:cstheme="minorHAnsi"/>
          <w:sz w:val="24"/>
        </w:rPr>
      </w:pPr>
    </w:p>
    <w:p w14:paraId="6A23A99D" w14:textId="7EC7BEFF" w:rsidR="0035524F" w:rsidRPr="00BD0203" w:rsidRDefault="0035524F" w:rsidP="0035524F">
      <w:pPr>
        <w:rPr>
          <w:rFonts w:asciiTheme="minorHAnsi" w:hAnsiTheme="minorHAnsi" w:cstheme="minorHAnsi"/>
          <w:sz w:val="24"/>
        </w:rPr>
      </w:pPr>
      <w:r w:rsidRPr="00BD0203">
        <w:rPr>
          <w:rFonts w:asciiTheme="minorHAnsi" w:hAnsiTheme="minorHAnsi" w:cstheme="minorHAnsi"/>
          <w:sz w:val="24"/>
        </w:rPr>
        <w:t>8.2</w:t>
      </w:r>
      <w:r w:rsidRPr="00BD0203">
        <w:rPr>
          <w:rFonts w:asciiTheme="minorHAnsi" w:hAnsiTheme="minorHAnsi" w:cstheme="minorHAnsi"/>
          <w:sz w:val="24"/>
        </w:rPr>
        <w:tab/>
        <w:t>Further to this audit of the 2019 accounts, the secretariat received eight new recommendations, and to date 26 recommendations are still considered as ongoing.</w:t>
      </w:r>
    </w:p>
    <w:p w14:paraId="752ED29C" w14:textId="77777777" w:rsidR="0035524F" w:rsidRPr="00BD0203" w:rsidRDefault="0035524F" w:rsidP="0035524F">
      <w:pPr>
        <w:rPr>
          <w:rFonts w:asciiTheme="minorHAnsi" w:hAnsiTheme="minorHAnsi" w:cstheme="minorHAnsi"/>
          <w:sz w:val="24"/>
        </w:rPr>
      </w:pPr>
    </w:p>
    <w:p w14:paraId="20529E10" w14:textId="33967889" w:rsidR="0035524F" w:rsidRPr="00BD0203" w:rsidRDefault="0035524F" w:rsidP="0035524F">
      <w:pPr>
        <w:rPr>
          <w:rFonts w:asciiTheme="minorHAnsi" w:hAnsiTheme="minorHAnsi" w:cstheme="minorHAnsi"/>
          <w:sz w:val="24"/>
        </w:rPr>
      </w:pPr>
      <w:r w:rsidRPr="00BD0203">
        <w:rPr>
          <w:rFonts w:asciiTheme="minorHAnsi" w:hAnsiTheme="minorHAnsi" w:cstheme="minorHAnsi"/>
          <w:sz w:val="24"/>
        </w:rPr>
        <w:t>8.3</w:t>
      </w:r>
      <w:r w:rsidRPr="00BD0203">
        <w:rPr>
          <w:rFonts w:asciiTheme="minorHAnsi" w:hAnsiTheme="minorHAnsi" w:cstheme="minorHAnsi"/>
          <w:sz w:val="24"/>
        </w:rPr>
        <w:tab/>
        <w:t>Globally there was a good implementation rate, considering the high number of new recommendations in 2018. The topics concerned were mainly in relation to the regional presence and the internal control, with a dedicated group created to follow implementation of these recommendations, as detailed previously by the BDT Director.</w:t>
      </w:r>
    </w:p>
    <w:p w14:paraId="1C869B2A" w14:textId="77777777" w:rsidR="0035524F" w:rsidRPr="00BD0203" w:rsidRDefault="0035524F" w:rsidP="0035524F">
      <w:pPr>
        <w:rPr>
          <w:rFonts w:asciiTheme="minorHAnsi" w:hAnsiTheme="minorHAnsi" w:cstheme="minorHAnsi"/>
          <w:sz w:val="24"/>
        </w:rPr>
      </w:pPr>
    </w:p>
    <w:p w14:paraId="72FB5B71" w14:textId="0689D3D6" w:rsidR="0035524F" w:rsidRPr="00BD0203" w:rsidRDefault="0035524F" w:rsidP="0035524F">
      <w:pPr>
        <w:rPr>
          <w:rFonts w:asciiTheme="minorHAnsi" w:hAnsiTheme="minorHAnsi" w:cstheme="minorHAnsi"/>
          <w:sz w:val="24"/>
        </w:rPr>
      </w:pPr>
      <w:r w:rsidRPr="00BD0203">
        <w:rPr>
          <w:rFonts w:asciiTheme="minorHAnsi" w:hAnsiTheme="minorHAnsi" w:cstheme="minorHAnsi"/>
          <w:sz w:val="24"/>
        </w:rPr>
        <w:t>8.4</w:t>
      </w:r>
      <w:r w:rsidRPr="00BD0203">
        <w:rPr>
          <w:rFonts w:asciiTheme="minorHAnsi" w:hAnsiTheme="minorHAnsi" w:cstheme="minorHAnsi"/>
          <w:sz w:val="24"/>
        </w:rPr>
        <w:tab/>
        <w:t xml:space="preserve">It was mentioned that the situation linked to COVID-19 and teleworking, in place since March 2020, have delayed some implementations since the External Auditors were not physically able to carry out their audit on-site and therefore unable to verify some recommendations, including nine from the period 2015-2018 which are still presented as open. These were actually implemented by ITU but now require verification by the External Auditors during their 2020 accounts audit. This action alone will </w:t>
      </w:r>
      <w:r w:rsidR="00FE0F35" w:rsidRPr="00BD0203">
        <w:rPr>
          <w:rFonts w:asciiTheme="minorHAnsi" w:hAnsiTheme="minorHAnsi" w:cstheme="minorHAnsi"/>
          <w:sz w:val="24"/>
        </w:rPr>
        <w:t xml:space="preserve">significantly </w:t>
      </w:r>
      <w:r w:rsidRPr="00BD0203">
        <w:rPr>
          <w:rFonts w:asciiTheme="minorHAnsi" w:hAnsiTheme="minorHAnsi" w:cstheme="minorHAnsi"/>
          <w:sz w:val="24"/>
        </w:rPr>
        <w:t>improve the implementation rate from the rate currently shown in Document CWG-FHR 12/8.</w:t>
      </w:r>
    </w:p>
    <w:p w14:paraId="2FEFFF4E" w14:textId="77777777" w:rsidR="0035524F" w:rsidRPr="00BD0203" w:rsidRDefault="0035524F" w:rsidP="0035524F">
      <w:pPr>
        <w:rPr>
          <w:rFonts w:asciiTheme="minorHAnsi" w:hAnsiTheme="minorHAnsi" w:cstheme="minorHAnsi"/>
          <w:sz w:val="24"/>
        </w:rPr>
      </w:pPr>
    </w:p>
    <w:p w14:paraId="2522138D" w14:textId="709069F8" w:rsidR="0035524F" w:rsidRPr="00BD0203" w:rsidRDefault="0035524F" w:rsidP="0035524F">
      <w:pPr>
        <w:rPr>
          <w:rFonts w:asciiTheme="minorHAnsi" w:hAnsiTheme="minorHAnsi" w:cstheme="minorHAnsi"/>
          <w:sz w:val="24"/>
        </w:rPr>
      </w:pPr>
      <w:r w:rsidRPr="00BD0203">
        <w:rPr>
          <w:rFonts w:asciiTheme="minorHAnsi" w:hAnsiTheme="minorHAnsi" w:cstheme="minorHAnsi"/>
          <w:sz w:val="24"/>
        </w:rPr>
        <w:t>8.5</w:t>
      </w:r>
      <w:r w:rsidRPr="00BD0203">
        <w:rPr>
          <w:rFonts w:asciiTheme="minorHAnsi" w:hAnsiTheme="minorHAnsi" w:cstheme="minorHAnsi"/>
          <w:sz w:val="24"/>
        </w:rPr>
        <w:tab/>
        <w:t>Some delegations expressed concern regarding the recommendations still open and their eventual impact. The pertinence of ranking recommendations according to urgence or importance was also discussed</w:t>
      </w:r>
      <w:r w:rsidR="00FE0F35" w:rsidRPr="00BD0203">
        <w:rPr>
          <w:rFonts w:asciiTheme="minorHAnsi" w:hAnsiTheme="minorHAnsi" w:cstheme="minorHAnsi"/>
          <w:sz w:val="24"/>
        </w:rPr>
        <w:t xml:space="preserve"> and </w:t>
      </w:r>
      <w:r w:rsidRPr="00BD0203">
        <w:rPr>
          <w:rFonts w:asciiTheme="minorHAnsi" w:hAnsiTheme="minorHAnsi" w:cstheme="minorHAnsi"/>
          <w:sz w:val="24"/>
        </w:rPr>
        <w:t xml:space="preserve">the </w:t>
      </w:r>
      <w:r w:rsidR="00FE0F35" w:rsidRPr="00BD0203">
        <w:rPr>
          <w:rFonts w:asciiTheme="minorHAnsi" w:hAnsiTheme="minorHAnsi" w:cstheme="minorHAnsi"/>
          <w:sz w:val="24"/>
        </w:rPr>
        <w:t>s</w:t>
      </w:r>
      <w:r w:rsidRPr="00BD0203">
        <w:rPr>
          <w:rFonts w:asciiTheme="minorHAnsi" w:hAnsiTheme="minorHAnsi" w:cstheme="minorHAnsi"/>
          <w:sz w:val="24"/>
        </w:rPr>
        <w:t>ecretariat clarified that all recommendations are considered as important and that they are committed to responding to all of them in a timely manner.</w:t>
      </w:r>
    </w:p>
    <w:p w14:paraId="2754D540" w14:textId="77777777" w:rsidR="0035524F" w:rsidRPr="00BD0203" w:rsidRDefault="0035524F" w:rsidP="0035524F">
      <w:pPr>
        <w:rPr>
          <w:rFonts w:asciiTheme="minorHAnsi" w:hAnsiTheme="minorHAnsi" w:cstheme="minorHAnsi"/>
          <w:sz w:val="24"/>
        </w:rPr>
      </w:pPr>
    </w:p>
    <w:p w14:paraId="7C85C798" w14:textId="238A2A91" w:rsidR="0035524F" w:rsidRPr="00BD0203" w:rsidRDefault="0035524F" w:rsidP="0035524F">
      <w:pPr>
        <w:rPr>
          <w:rFonts w:asciiTheme="minorHAnsi" w:hAnsiTheme="minorHAnsi" w:cstheme="minorHAnsi"/>
          <w:sz w:val="24"/>
        </w:rPr>
      </w:pPr>
      <w:r w:rsidRPr="00BD0203">
        <w:rPr>
          <w:rFonts w:asciiTheme="minorHAnsi" w:hAnsiTheme="minorHAnsi" w:cstheme="minorHAnsi"/>
          <w:sz w:val="24"/>
        </w:rPr>
        <w:t>8.6</w:t>
      </w:r>
      <w:r w:rsidRPr="00BD0203">
        <w:rPr>
          <w:rFonts w:asciiTheme="minorHAnsi" w:hAnsiTheme="minorHAnsi" w:cstheme="minorHAnsi"/>
          <w:sz w:val="24"/>
        </w:rPr>
        <w:tab/>
        <w:t xml:space="preserve">One delegate also mentioned the relevance for future reports to include not only open recommendations, but also deadlines for </w:t>
      </w:r>
      <w:r w:rsidR="00FE0F35" w:rsidRPr="00BD0203">
        <w:rPr>
          <w:rFonts w:asciiTheme="minorHAnsi" w:hAnsiTheme="minorHAnsi" w:cstheme="minorHAnsi"/>
          <w:sz w:val="24"/>
        </w:rPr>
        <w:t xml:space="preserve">the </w:t>
      </w:r>
      <w:r w:rsidRPr="00BD0203">
        <w:rPr>
          <w:rFonts w:asciiTheme="minorHAnsi" w:hAnsiTheme="minorHAnsi" w:cstheme="minorHAnsi"/>
          <w:sz w:val="24"/>
        </w:rPr>
        <w:t xml:space="preserve">implementation and the particular </w:t>
      </w:r>
      <w:r w:rsidR="00FE0F35" w:rsidRPr="00BD0203">
        <w:rPr>
          <w:rFonts w:asciiTheme="minorHAnsi" w:hAnsiTheme="minorHAnsi" w:cstheme="minorHAnsi"/>
          <w:sz w:val="24"/>
        </w:rPr>
        <w:t>d</w:t>
      </w:r>
      <w:r w:rsidRPr="00BD0203">
        <w:rPr>
          <w:rFonts w:asciiTheme="minorHAnsi" w:hAnsiTheme="minorHAnsi" w:cstheme="minorHAnsi"/>
          <w:sz w:val="24"/>
        </w:rPr>
        <w:t xml:space="preserve">epartment or </w:t>
      </w:r>
      <w:r w:rsidR="00FE0F35" w:rsidRPr="00BD0203">
        <w:rPr>
          <w:rFonts w:asciiTheme="minorHAnsi" w:hAnsiTheme="minorHAnsi" w:cstheme="minorHAnsi"/>
          <w:sz w:val="24"/>
        </w:rPr>
        <w:t>u</w:t>
      </w:r>
      <w:r w:rsidRPr="00BD0203">
        <w:rPr>
          <w:rFonts w:asciiTheme="minorHAnsi" w:hAnsiTheme="minorHAnsi" w:cstheme="minorHAnsi"/>
          <w:sz w:val="24"/>
        </w:rPr>
        <w:t>nit in charge of the follow-up of each recommendation.</w:t>
      </w:r>
    </w:p>
    <w:p w14:paraId="5D132999" w14:textId="54E82F7E" w:rsidR="00EA43D5" w:rsidRPr="00BD0203" w:rsidRDefault="00EA43D5" w:rsidP="0035524F">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160B7B3B" w14:textId="0E9E14C2" w:rsidR="0030144F" w:rsidRPr="00BD0203" w:rsidRDefault="0030144F" w:rsidP="00CA0720">
      <w:pPr>
        <w:snapToGrid w:val="0"/>
        <w:ind w:left="709" w:hanging="709"/>
        <w:rPr>
          <w:rStyle w:val="Hyperlink"/>
          <w:rFonts w:asciiTheme="minorHAnsi" w:hAnsiTheme="minorHAnsi" w:cstheme="minorHAnsi"/>
          <w:b/>
          <w:bCs/>
          <w:color w:val="auto"/>
          <w:sz w:val="24"/>
        </w:rPr>
      </w:pPr>
      <w:bookmarkStart w:id="9" w:name="_Hlk62576433"/>
      <w:r w:rsidRPr="00BD0203">
        <w:rPr>
          <w:rFonts w:asciiTheme="minorHAnsi" w:hAnsiTheme="minorHAnsi" w:cstheme="minorHAnsi"/>
          <w:b/>
          <w:bCs/>
          <w:sz w:val="24"/>
        </w:rPr>
        <w:t>9</w:t>
      </w:r>
      <w:r w:rsidRPr="00BD0203">
        <w:rPr>
          <w:rFonts w:asciiTheme="minorHAnsi" w:hAnsiTheme="minorHAnsi" w:cstheme="minorHAnsi"/>
          <w:b/>
          <w:bCs/>
          <w:sz w:val="24"/>
        </w:rPr>
        <w:tab/>
        <w:t>Financial report on the Union’s headquarters premises project</w:t>
      </w:r>
      <w:r w:rsidRPr="00BD0203">
        <w:rPr>
          <w:rFonts w:asciiTheme="minorHAnsi" w:hAnsiTheme="minorHAnsi" w:cstheme="minorHAnsi"/>
          <w:b/>
          <w:bCs/>
          <w:sz w:val="24"/>
        </w:rPr>
        <w:br/>
        <w:t xml:space="preserve">(Document </w:t>
      </w:r>
      <w:hyperlink r:id="rId27" w:history="1">
        <w:r w:rsidRPr="00BD0203">
          <w:rPr>
            <w:rStyle w:val="Hyperlink"/>
            <w:rFonts w:asciiTheme="minorHAnsi" w:hAnsiTheme="minorHAnsi" w:cstheme="minorHAnsi"/>
            <w:b/>
            <w:bCs/>
            <w:color w:val="auto"/>
            <w:sz w:val="24"/>
          </w:rPr>
          <w:t>CWG-FHR-12/5</w:t>
        </w:r>
      </w:hyperlink>
      <w:r w:rsidRPr="00BD0203">
        <w:rPr>
          <w:rStyle w:val="Hyperlink"/>
          <w:rFonts w:asciiTheme="minorHAnsi" w:hAnsiTheme="minorHAnsi" w:cstheme="minorHAnsi"/>
          <w:b/>
          <w:bCs/>
          <w:color w:val="auto"/>
          <w:sz w:val="24"/>
        </w:rPr>
        <w:t>)</w:t>
      </w:r>
    </w:p>
    <w:p w14:paraId="51835170" w14:textId="751A5A51" w:rsidR="0030144F" w:rsidRPr="00BD0203" w:rsidRDefault="0030144F" w:rsidP="00CA0720">
      <w:pPr>
        <w:snapToGrid w:val="0"/>
        <w:ind w:left="709" w:hanging="709"/>
        <w:rPr>
          <w:rFonts w:asciiTheme="minorHAnsi" w:hAnsiTheme="minorHAnsi" w:cstheme="minorHAnsi"/>
          <w:sz w:val="24"/>
          <w:lang w:val="en-GB" w:eastAsia="en-AU"/>
        </w:rPr>
      </w:pPr>
    </w:p>
    <w:p w14:paraId="1F89ABD5" w14:textId="5CA941DB" w:rsidR="007A0D91" w:rsidRPr="00BD0203" w:rsidRDefault="00DA6BFD" w:rsidP="00031460">
      <w:pPr>
        <w:jc w:val="both"/>
        <w:rPr>
          <w:rFonts w:asciiTheme="minorHAnsi" w:hAnsiTheme="minorHAnsi" w:cstheme="minorHAnsi"/>
          <w:color w:val="000000"/>
          <w:sz w:val="24"/>
          <w:lang w:eastAsia="en-US"/>
        </w:rPr>
      </w:pPr>
      <w:r w:rsidRPr="00BD0203">
        <w:rPr>
          <w:rFonts w:asciiTheme="minorHAnsi" w:hAnsiTheme="minorHAnsi" w:cstheme="minorHAnsi"/>
          <w:sz w:val="24"/>
        </w:rPr>
        <w:t>9.1</w:t>
      </w:r>
      <w:r w:rsidRPr="00BD0203">
        <w:rPr>
          <w:rFonts w:asciiTheme="minorHAnsi" w:hAnsiTheme="minorHAnsi" w:cstheme="minorHAnsi"/>
          <w:sz w:val="24"/>
        </w:rPr>
        <w:tab/>
      </w:r>
      <w:r w:rsidR="007A0D91" w:rsidRPr="00BD0203">
        <w:rPr>
          <w:rFonts w:asciiTheme="minorHAnsi" w:hAnsiTheme="minorHAnsi" w:cstheme="minorHAnsi"/>
          <w:sz w:val="24"/>
        </w:rPr>
        <w:t xml:space="preserve">The representant of the </w:t>
      </w:r>
      <w:r w:rsidR="00F2626B" w:rsidRPr="00BD0203">
        <w:rPr>
          <w:rFonts w:asciiTheme="minorHAnsi" w:hAnsiTheme="minorHAnsi" w:cstheme="minorHAnsi"/>
          <w:sz w:val="24"/>
        </w:rPr>
        <w:t>s</w:t>
      </w:r>
      <w:r w:rsidR="007A0D91" w:rsidRPr="00BD0203">
        <w:rPr>
          <w:rFonts w:asciiTheme="minorHAnsi" w:hAnsiTheme="minorHAnsi" w:cstheme="minorHAnsi"/>
          <w:sz w:val="24"/>
        </w:rPr>
        <w:t>ecretariat introduced</w:t>
      </w:r>
      <w:r w:rsidR="007A0D91" w:rsidRPr="00BD0203">
        <w:rPr>
          <w:rFonts w:asciiTheme="minorHAnsi" w:hAnsiTheme="minorHAnsi" w:cstheme="minorHAnsi"/>
          <w:b/>
          <w:bCs/>
          <w:sz w:val="24"/>
          <w:lang w:eastAsia="en-US"/>
        </w:rPr>
        <w:t xml:space="preserve"> </w:t>
      </w:r>
      <w:r w:rsidR="007A0D91" w:rsidRPr="00BD0203">
        <w:rPr>
          <w:rFonts w:asciiTheme="minorHAnsi" w:hAnsiTheme="minorHAnsi" w:cstheme="minorHAnsi"/>
          <w:sz w:val="24"/>
          <w:lang w:eastAsia="en-US"/>
        </w:rPr>
        <w:t>document</w:t>
      </w:r>
      <w:r w:rsidR="007A0D91" w:rsidRPr="00BD0203">
        <w:rPr>
          <w:rFonts w:asciiTheme="minorHAnsi" w:hAnsiTheme="minorHAnsi" w:cstheme="minorHAnsi"/>
          <w:b/>
          <w:bCs/>
          <w:sz w:val="24"/>
          <w:lang w:eastAsia="en-US"/>
        </w:rPr>
        <w:t xml:space="preserve"> CWG</w:t>
      </w:r>
      <w:r w:rsidR="00A57D48" w:rsidRPr="00BD0203">
        <w:rPr>
          <w:rFonts w:asciiTheme="minorHAnsi" w:hAnsiTheme="minorHAnsi" w:cstheme="minorHAnsi"/>
          <w:b/>
          <w:bCs/>
          <w:sz w:val="24"/>
          <w:lang w:eastAsia="en-US"/>
        </w:rPr>
        <w:t>-</w:t>
      </w:r>
      <w:r w:rsidR="007A0D91" w:rsidRPr="00BD0203">
        <w:rPr>
          <w:rFonts w:asciiTheme="minorHAnsi" w:hAnsiTheme="minorHAnsi" w:cstheme="minorHAnsi"/>
          <w:b/>
          <w:bCs/>
          <w:sz w:val="24"/>
          <w:lang w:eastAsia="en-US"/>
        </w:rPr>
        <w:t>FHR</w:t>
      </w:r>
      <w:r w:rsidR="00A57D48" w:rsidRPr="00BD0203">
        <w:rPr>
          <w:rFonts w:asciiTheme="minorHAnsi" w:hAnsiTheme="minorHAnsi" w:cstheme="minorHAnsi"/>
          <w:b/>
          <w:bCs/>
          <w:sz w:val="24"/>
          <w:lang w:eastAsia="en-US"/>
        </w:rPr>
        <w:t>-</w:t>
      </w:r>
      <w:r w:rsidR="007A0D91" w:rsidRPr="00BD0203">
        <w:rPr>
          <w:rFonts w:asciiTheme="minorHAnsi" w:hAnsiTheme="minorHAnsi" w:cstheme="minorHAnsi"/>
          <w:b/>
          <w:bCs/>
          <w:sz w:val="24"/>
          <w:lang w:eastAsia="en-US"/>
        </w:rPr>
        <w:t xml:space="preserve">12/5, Financial report on the Union’s Headquarters Premises Project. </w:t>
      </w:r>
      <w:r w:rsidR="007A0D91" w:rsidRPr="00BD0203">
        <w:rPr>
          <w:rFonts w:asciiTheme="minorHAnsi" w:hAnsiTheme="minorHAnsi" w:cstheme="minorHAnsi"/>
          <w:sz w:val="24"/>
          <w:lang w:eastAsia="en-US"/>
        </w:rPr>
        <w:t xml:space="preserve">She announced that the project is on time and within the budget. She was also pleased to announce that the funding of the project has been ensured through the approval of the second part of the loan CHF 138,000,000 by the Swiss authorities. </w:t>
      </w:r>
      <w:r w:rsidR="007A0D91" w:rsidRPr="00BD0203">
        <w:rPr>
          <w:rFonts w:asciiTheme="minorHAnsi" w:hAnsiTheme="minorHAnsi" w:cstheme="minorHAnsi"/>
          <w:color w:val="000000"/>
          <w:sz w:val="24"/>
          <w:lang w:eastAsia="en-US"/>
        </w:rPr>
        <w:t xml:space="preserve">Document </w:t>
      </w:r>
      <w:r w:rsidR="007A0D91" w:rsidRPr="00BD0203">
        <w:rPr>
          <w:rFonts w:asciiTheme="minorHAnsi" w:hAnsiTheme="minorHAnsi" w:cstheme="minorHAnsi"/>
          <w:b/>
          <w:bCs/>
          <w:sz w:val="24"/>
          <w:lang w:eastAsia="en-US"/>
        </w:rPr>
        <w:t>CWG</w:t>
      </w:r>
      <w:r w:rsidR="00A57D48" w:rsidRPr="00BD0203">
        <w:rPr>
          <w:rFonts w:asciiTheme="minorHAnsi" w:hAnsiTheme="minorHAnsi" w:cstheme="minorHAnsi"/>
          <w:b/>
          <w:bCs/>
          <w:sz w:val="24"/>
          <w:lang w:eastAsia="en-US"/>
        </w:rPr>
        <w:t>-</w:t>
      </w:r>
      <w:r w:rsidR="007A0D91" w:rsidRPr="00BD0203">
        <w:rPr>
          <w:rFonts w:asciiTheme="minorHAnsi" w:hAnsiTheme="minorHAnsi" w:cstheme="minorHAnsi"/>
          <w:b/>
          <w:bCs/>
          <w:sz w:val="24"/>
          <w:lang w:eastAsia="en-US"/>
        </w:rPr>
        <w:t>FHR</w:t>
      </w:r>
      <w:r w:rsidR="00A57D48" w:rsidRPr="00BD0203">
        <w:rPr>
          <w:rFonts w:asciiTheme="minorHAnsi" w:hAnsiTheme="minorHAnsi" w:cstheme="minorHAnsi"/>
          <w:b/>
          <w:bCs/>
          <w:sz w:val="24"/>
          <w:lang w:eastAsia="en-US"/>
        </w:rPr>
        <w:t>-</w:t>
      </w:r>
      <w:r w:rsidR="007A0D91" w:rsidRPr="00BD0203">
        <w:rPr>
          <w:rFonts w:asciiTheme="minorHAnsi" w:hAnsiTheme="minorHAnsi" w:cstheme="minorHAnsi"/>
          <w:b/>
          <w:bCs/>
          <w:sz w:val="24"/>
          <w:lang w:eastAsia="en-US"/>
        </w:rPr>
        <w:t xml:space="preserve">12/5 </w:t>
      </w:r>
      <w:r w:rsidR="007A0D91" w:rsidRPr="00BD0203">
        <w:rPr>
          <w:rFonts w:asciiTheme="minorHAnsi" w:hAnsiTheme="minorHAnsi" w:cstheme="minorHAnsi"/>
          <w:color w:val="000000"/>
          <w:sz w:val="24"/>
          <w:lang w:eastAsia="en-US"/>
        </w:rPr>
        <w:t>contains information on the project cost estimate received at the end of November.</w:t>
      </w:r>
    </w:p>
    <w:p w14:paraId="39327FF2" w14:textId="77777777" w:rsidR="00031460" w:rsidRPr="00BD0203" w:rsidRDefault="00031460" w:rsidP="00031460">
      <w:pPr>
        <w:jc w:val="both"/>
        <w:rPr>
          <w:rFonts w:asciiTheme="minorHAnsi" w:hAnsiTheme="minorHAnsi" w:cstheme="minorHAnsi"/>
          <w:color w:val="000000"/>
          <w:sz w:val="24"/>
          <w:lang w:eastAsia="en-US"/>
        </w:rPr>
      </w:pPr>
    </w:p>
    <w:p w14:paraId="7F91DDEC" w14:textId="1B1FDA99" w:rsidR="007A0D91" w:rsidRPr="00BD0203" w:rsidRDefault="00DA6BFD" w:rsidP="00031460">
      <w:pPr>
        <w:jc w:val="both"/>
        <w:rPr>
          <w:rFonts w:asciiTheme="minorHAnsi" w:hAnsiTheme="minorHAnsi" w:cstheme="minorHAnsi"/>
          <w:color w:val="000000"/>
          <w:sz w:val="24"/>
          <w:lang w:eastAsia="en-US"/>
        </w:rPr>
      </w:pPr>
      <w:r w:rsidRPr="00BD0203">
        <w:rPr>
          <w:rFonts w:asciiTheme="minorHAnsi" w:hAnsiTheme="minorHAnsi" w:cstheme="minorHAnsi"/>
          <w:color w:val="000000"/>
          <w:sz w:val="24"/>
          <w:lang w:eastAsia="en-US"/>
        </w:rPr>
        <w:t>9.2</w:t>
      </w:r>
      <w:r w:rsidRPr="00BD0203">
        <w:rPr>
          <w:rFonts w:asciiTheme="minorHAnsi" w:hAnsiTheme="minorHAnsi" w:cstheme="minorHAnsi"/>
          <w:color w:val="000000"/>
          <w:sz w:val="24"/>
          <w:lang w:eastAsia="en-US"/>
        </w:rPr>
        <w:tab/>
      </w:r>
      <w:r w:rsidR="007A0D91" w:rsidRPr="00BD0203">
        <w:rPr>
          <w:rFonts w:asciiTheme="minorHAnsi" w:hAnsiTheme="minorHAnsi" w:cstheme="minorHAnsi"/>
          <w:color w:val="000000"/>
          <w:sz w:val="24"/>
          <w:lang w:eastAsia="en-US"/>
        </w:rPr>
        <w:t>As mentioned in the document, t</w:t>
      </w:r>
      <w:r w:rsidR="007A0D91" w:rsidRPr="00BD0203">
        <w:rPr>
          <w:rFonts w:asciiTheme="minorHAnsi" w:hAnsiTheme="minorHAnsi" w:cstheme="minorHAnsi"/>
          <w:sz w:val="24"/>
          <w:lang w:eastAsia="en-US"/>
        </w:rPr>
        <w:t>he difference of +1.3</w:t>
      </w:r>
      <w:r w:rsidR="00B96815" w:rsidRPr="00BD0203">
        <w:rPr>
          <w:rFonts w:asciiTheme="minorHAnsi" w:hAnsiTheme="minorHAnsi" w:cstheme="minorHAnsi"/>
          <w:sz w:val="24"/>
          <w:lang w:eastAsia="en-US"/>
        </w:rPr>
        <w:t xml:space="preserve"> per cent </w:t>
      </w:r>
      <w:r w:rsidR="007A0D91" w:rsidRPr="00BD0203">
        <w:rPr>
          <w:rFonts w:asciiTheme="minorHAnsi" w:hAnsiTheme="minorHAnsi" w:cstheme="minorHAnsi"/>
          <w:sz w:val="24"/>
          <w:lang w:eastAsia="en-US"/>
        </w:rPr>
        <w:t>between the estimated and the allocated budget is within the +/-10</w:t>
      </w:r>
      <w:r w:rsidR="00B96815" w:rsidRPr="00BD0203">
        <w:rPr>
          <w:rFonts w:asciiTheme="minorHAnsi" w:hAnsiTheme="minorHAnsi" w:cstheme="minorHAnsi"/>
          <w:sz w:val="24"/>
          <w:lang w:eastAsia="en-US"/>
        </w:rPr>
        <w:t xml:space="preserve"> per cent </w:t>
      </w:r>
      <w:r w:rsidR="007A0D91" w:rsidRPr="00BD0203">
        <w:rPr>
          <w:rFonts w:asciiTheme="minorHAnsi" w:hAnsiTheme="minorHAnsi" w:cstheme="minorHAnsi"/>
          <w:sz w:val="24"/>
          <w:lang w:eastAsia="en-US"/>
        </w:rPr>
        <w:t xml:space="preserve">accuracy which is normal at this design stage. </w:t>
      </w:r>
      <w:r w:rsidR="007A0D91" w:rsidRPr="00BD0203">
        <w:rPr>
          <w:rFonts w:asciiTheme="minorHAnsi" w:hAnsiTheme="minorHAnsi" w:cstheme="minorHAnsi"/>
          <w:color w:val="000000"/>
          <w:sz w:val="24"/>
          <w:lang w:eastAsia="en-US"/>
        </w:rPr>
        <w:t xml:space="preserve">She recalled the explanatory graph included in Document </w:t>
      </w:r>
      <w:r w:rsidR="007A0D91" w:rsidRPr="00BD0203">
        <w:rPr>
          <w:rFonts w:asciiTheme="minorHAnsi" w:hAnsiTheme="minorHAnsi" w:cstheme="minorHAnsi"/>
          <w:b/>
          <w:bCs/>
          <w:sz w:val="24"/>
          <w:lang w:eastAsia="en-US"/>
        </w:rPr>
        <w:t>CWG</w:t>
      </w:r>
      <w:r w:rsidR="00A57D48" w:rsidRPr="00BD0203">
        <w:rPr>
          <w:rFonts w:asciiTheme="minorHAnsi" w:hAnsiTheme="minorHAnsi" w:cstheme="minorHAnsi"/>
          <w:b/>
          <w:bCs/>
          <w:sz w:val="24"/>
          <w:lang w:eastAsia="en-US"/>
        </w:rPr>
        <w:t>-</w:t>
      </w:r>
      <w:r w:rsidR="007A0D91" w:rsidRPr="00BD0203">
        <w:rPr>
          <w:rFonts w:asciiTheme="minorHAnsi" w:hAnsiTheme="minorHAnsi" w:cstheme="minorHAnsi"/>
          <w:b/>
          <w:bCs/>
          <w:sz w:val="24"/>
          <w:lang w:eastAsia="en-US"/>
        </w:rPr>
        <w:t>FHR</w:t>
      </w:r>
      <w:r w:rsidR="00A57D48" w:rsidRPr="00BD0203">
        <w:rPr>
          <w:rFonts w:asciiTheme="minorHAnsi" w:hAnsiTheme="minorHAnsi" w:cstheme="minorHAnsi"/>
          <w:b/>
          <w:bCs/>
          <w:sz w:val="24"/>
          <w:lang w:eastAsia="en-US"/>
        </w:rPr>
        <w:t>-</w:t>
      </w:r>
      <w:r w:rsidR="007A0D91" w:rsidRPr="00BD0203">
        <w:rPr>
          <w:rFonts w:asciiTheme="minorHAnsi" w:hAnsiTheme="minorHAnsi" w:cstheme="minorHAnsi"/>
          <w:b/>
          <w:bCs/>
          <w:sz w:val="24"/>
          <w:lang w:eastAsia="en-US"/>
        </w:rPr>
        <w:t xml:space="preserve">12/5 </w:t>
      </w:r>
      <w:r w:rsidR="007A0D91" w:rsidRPr="00BD0203">
        <w:rPr>
          <w:rFonts w:asciiTheme="minorHAnsi" w:hAnsiTheme="minorHAnsi" w:cstheme="minorHAnsi"/>
          <w:color w:val="000000"/>
          <w:sz w:val="24"/>
          <w:lang w:eastAsia="en-US"/>
        </w:rPr>
        <w:t>that was also presented at the extraordinary council session back in September 2019. She confirmed that t</w:t>
      </w:r>
      <w:r w:rsidR="007A0D91" w:rsidRPr="00BD0203">
        <w:rPr>
          <w:rFonts w:asciiTheme="minorHAnsi" w:hAnsiTheme="minorHAnsi" w:cstheme="minorHAnsi"/>
          <w:sz w:val="24"/>
          <w:lang w:eastAsia="en-US"/>
        </w:rPr>
        <w:t xml:space="preserve">he </w:t>
      </w:r>
      <w:r w:rsidR="00FD258C" w:rsidRPr="00BD0203">
        <w:rPr>
          <w:rFonts w:asciiTheme="minorHAnsi" w:hAnsiTheme="minorHAnsi" w:cstheme="minorHAnsi"/>
          <w:sz w:val="24"/>
          <w:lang w:eastAsia="en-US"/>
        </w:rPr>
        <w:t>s</w:t>
      </w:r>
      <w:r w:rsidR="007A0D91" w:rsidRPr="00BD0203">
        <w:rPr>
          <w:rFonts w:asciiTheme="minorHAnsi" w:hAnsiTheme="minorHAnsi" w:cstheme="minorHAnsi"/>
          <w:sz w:val="24"/>
          <w:lang w:eastAsia="en-US"/>
        </w:rPr>
        <w:t xml:space="preserve">ecretariat will wait until the real costs are known after the bid for the General Enterprise (GE) contract that will be launched in 2022. Any risk of overspend will be avoided by including “design options” into the request for proposals. This will require bidders to provide separate costs for each option. The </w:t>
      </w:r>
      <w:r w:rsidR="00FD258C" w:rsidRPr="00BD0203">
        <w:rPr>
          <w:rFonts w:asciiTheme="minorHAnsi" w:hAnsiTheme="minorHAnsi" w:cstheme="minorHAnsi"/>
          <w:sz w:val="24"/>
          <w:lang w:eastAsia="en-US"/>
        </w:rPr>
        <w:t>s</w:t>
      </w:r>
      <w:r w:rsidR="007A0D91" w:rsidRPr="00BD0203">
        <w:rPr>
          <w:rFonts w:asciiTheme="minorHAnsi" w:hAnsiTheme="minorHAnsi" w:cstheme="minorHAnsi"/>
          <w:sz w:val="24"/>
          <w:lang w:eastAsia="en-US"/>
        </w:rPr>
        <w:t>ecretariat will then remove any option that would result in the cost exceeding the approved budget. This procedure avoids deleting options at this stage that might possibly/probably be included in the General Enterprise contract and still within the approved budget. This could result in an enhanced building but still within budget.</w:t>
      </w:r>
    </w:p>
    <w:p w14:paraId="352B7B25" w14:textId="77777777" w:rsidR="00031460" w:rsidRPr="00BD0203" w:rsidRDefault="00031460" w:rsidP="00031460">
      <w:pPr>
        <w:rPr>
          <w:rFonts w:asciiTheme="minorHAnsi" w:eastAsia="Calibri" w:hAnsiTheme="minorHAnsi" w:cstheme="minorHAnsi"/>
          <w:color w:val="000000"/>
          <w:sz w:val="24"/>
          <w:lang w:val="en-GB"/>
        </w:rPr>
      </w:pPr>
    </w:p>
    <w:p w14:paraId="19FB94E2" w14:textId="61632FBE" w:rsidR="007A0D91" w:rsidRPr="00BD0203" w:rsidRDefault="00DA6BFD" w:rsidP="00031460">
      <w:pPr>
        <w:rPr>
          <w:rFonts w:asciiTheme="minorHAnsi" w:eastAsia="Calibri" w:hAnsiTheme="minorHAnsi" w:cstheme="minorHAnsi"/>
          <w:color w:val="000000"/>
          <w:sz w:val="24"/>
          <w:lang w:val="en-GB"/>
        </w:rPr>
      </w:pPr>
      <w:r w:rsidRPr="00BD0203">
        <w:rPr>
          <w:rFonts w:asciiTheme="minorHAnsi" w:eastAsia="Calibri" w:hAnsiTheme="minorHAnsi" w:cstheme="minorHAnsi"/>
          <w:color w:val="000000"/>
          <w:sz w:val="24"/>
          <w:lang w:val="en-GB"/>
        </w:rPr>
        <w:lastRenderedPageBreak/>
        <w:t>9.3</w:t>
      </w:r>
      <w:r w:rsidRPr="00BD0203">
        <w:rPr>
          <w:rFonts w:asciiTheme="minorHAnsi" w:eastAsia="Calibri" w:hAnsiTheme="minorHAnsi" w:cstheme="minorHAnsi"/>
          <w:color w:val="000000"/>
          <w:sz w:val="24"/>
          <w:lang w:val="en-GB"/>
        </w:rPr>
        <w:tab/>
      </w:r>
      <w:r w:rsidR="007A0D91" w:rsidRPr="00BD0203">
        <w:rPr>
          <w:rFonts w:asciiTheme="minorHAnsi" w:eastAsia="Calibri" w:hAnsiTheme="minorHAnsi" w:cstheme="minorHAnsi"/>
          <w:color w:val="000000"/>
          <w:sz w:val="24"/>
          <w:lang w:val="en-GB"/>
        </w:rPr>
        <w:t>She explained that mitigation measures will be put in place to monitor the cost to avoid any overspend. After a follow-up question from Mexico she explained the project team will proceed identifying alternative design solution technically compliant and at a lower cost. She confirmed being in touch with other UN organisation such as the UNOG SHP and ILO to consult and take lessons learned on the general enterprise contract strategy to be decided on. She reminded also that there is a contingency of CHF 12,6 M part of the allocated budget but that the decision is to keep that amount safe until the construction works start.</w:t>
      </w:r>
    </w:p>
    <w:p w14:paraId="638B562D" w14:textId="77777777" w:rsidR="007A0D91" w:rsidRPr="00BD0203" w:rsidRDefault="007A0D91" w:rsidP="00031460">
      <w:pPr>
        <w:rPr>
          <w:rFonts w:asciiTheme="minorHAnsi" w:eastAsia="Calibri" w:hAnsiTheme="minorHAnsi" w:cstheme="minorHAnsi"/>
          <w:color w:val="000000"/>
          <w:sz w:val="24"/>
          <w:lang w:val="en-GB"/>
        </w:rPr>
      </w:pPr>
    </w:p>
    <w:p w14:paraId="7375DF66" w14:textId="1B98223A" w:rsidR="007A0D91" w:rsidRPr="00BD0203" w:rsidRDefault="00DA6BFD" w:rsidP="00031460">
      <w:pPr>
        <w:rPr>
          <w:rFonts w:asciiTheme="minorHAnsi" w:eastAsia="Calibri" w:hAnsiTheme="minorHAnsi" w:cstheme="minorHAnsi"/>
          <w:color w:val="000000"/>
          <w:sz w:val="24"/>
          <w:lang w:val="en-GB"/>
        </w:rPr>
      </w:pPr>
      <w:r w:rsidRPr="00BD0203">
        <w:rPr>
          <w:rFonts w:asciiTheme="minorHAnsi" w:eastAsia="Calibri" w:hAnsiTheme="minorHAnsi" w:cstheme="minorHAnsi"/>
          <w:color w:val="000000"/>
          <w:sz w:val="24"/>
          <w:lang w:val="en-GB"/>
        </w:rPr>
        <w:t>9.4</w:t>
      </w:r>
      <w:r w:rsidRPr="00BD0203">
        <w:rPr>
          <w:rFonts w:asciiTheme="minorHAnsi" w:eastAsia="Calibri" w:hAnsiTheme="minorHAnsi" w:cstheme="minorHAnsi"/>
          <w:color w:val="000000"/>
          <w:sz w:val="24"/>
          <w:lang w:val="en-GB"/>
        </w:rPr>
        <w:tab/>
      </w:r>
      <w:r w:rsidR="007A0D91" w:rsidRPr="00BD0203">
        <w:rPr>
          <w:rFonts w:asciiTheme="minorHAnsi" w:eastAsia="Calibri" w:hAnsiTheme="minorHAnsi" w:cstheme="minorHAnsi"/>
          <w:color w:val="000000"/>
          <w:sz w:val="24"/>
          <w:lang w:val="en-GB"/>
        </w:rPr>
        <w:t>The risk register fund initially contained CHF 1,42 million. A further allocation of CHF</w:t>
      </w:r>
      <w:r w:rsidR="00F2626B" w:rsidRPr="00BD0203">
        <w:rPr>
          <w:rFonts w:asciiTheme="minorHAnsi" w:eastAsia="Calibri" w:hAnsiTheme="minorHAnsi" w:cstheme="minorHAnsi"/>
          <w:color w:val="000000"/>
          <w:sz w:val="24"/>
          <w:lang w:val="en-GB"/>
        </w:rPr>
        <w:t> </w:t>
      </w:r>
      <w:r w:rsidR="007A0D91" w:rsidRPr="00BD0203">
        <w:rPr>
          <w:rFonts w:asciiTheme="minorHAnsi" w:eastAsia="Calibri" w:hAnsiTheme="minorHAnsi" w:cstheme="minorHAnsi"/>
          <w:color w:val="000000"/>
          <w:sz w:val="24"/>
          <w:lang w:val="en-GB"/>
        </w:rPr>
        <w:t>3,6</w:t>
      </w:r>
      <w:r w:rsidR="00F2626B" w:rsidRPr="00BD0203">
        <w:rPr>
          <w:rFonts w:asciiTheme="minorHAnsi" w:eastAsia="Calibri" w:hAnsiTheme="minorHAnsi" w:cstheme="minorHAnsi"/>
          <w:color w:val="000000"/>
          <w:sz w:val="24"/>
          <w:lang w:val="en-GB"/>
        </w:rPr>
        <w:t> </w:t>
      </w:r>
      <w:r w:rsidR="007A0D91" w:rsidRPr="00BD0203">
        <w:rPr>
          <w:rFonts w:asciiTheme="minorHAnsi" w:eastAsia="Calibri" w:hAnsiTheme="minorHAnsi" w:cstheme="minorHAnsi"/>
          <w:color w:val="000000"/>
          <w:sz w:val="24"/>
          <w:lang w:val="en-GB"/>
        </w:rPr>
        <w:t xml:space="preserve">million took place at the end of the 2020 financial year. The risk register fund does now contain CHF 5,02 million. If possible, the </w:t>
      </w:r>
      <w:r w:rsidR="00FD258C" w:rsidRPr="00BD0203">
        <w:rPr>
          <w:rFonts w:asciiTheme="minorHAnsi" w:eastAsia="Calibri" w:hAnsiTheme="minorHAnsi" w:cstheme="minorHAnsi"/>
          <w:color w:val="000000"/>
          <w:sz w:val="24"/>
          <w:lang w:val="en-GB"/>
        </w:rPr>
        <w:t>s</w:t>
      </w:r>
      <w:r w:rsidR="007A0D91" w:rsidRPr="00BD0203">
        <w:rPr>
          <w:rFonts w:asciiTheme="minorHAnsi" w:eastAsia="Calibri" w:hAnsiTheme="minorHAnsi" w:cstheme="minorHAnsi"/>
          <w:color w:val="000000"/>
          <w:sz w:val="24"/>
          <w:lang w:val="en-GB"/>
        </w:rPr>
        <w:t xml:space="preserve">ecretariat will allocate additional money to the funds as a priority as per Decision 5. Japan suggested to add the estimated amount of overspend to the risk register and the representant of the </w:t>
      </w:r>
      <w:r w:rsidR="00FD258C" w:rsidRPr="00BD0203">
        <w:rPr>
          <w:rFonts w:asciiTheme="minorHAnsi" w:eastAsia="Calibri" w:hAnsiTheme="minorHAnsi" w:cstheme="minorHAnsi"/>
          <w:color w:val="000000"/>
          <w:sz w:val="24"/>
          <w:lang w:val="en-GB"/>
        </w:rPr>
        <w:t>s</w:t>
      </w:r>
      <w:r w:rsidR="007A0D91" w:rsidRPr="00BD0203">
        <w:rPr>
          <w:rFonts w:asciiTheme="minorHAnsi" w:eastAsia="Calibri" w:hAnsiTheme="minorHAnsi" w:cstheme="minorHAnsi"/>
          <w:color w:val="000000"/>
          <w:sz w:val="24"/>
          <w:lang w:val="en-GB"/>
        </w:rPr>
        <w:t xml:space="preserve">ecretariat mentioned that those costs are already included in the risk register but not under one single line. A </w:t>
      </w:r>
      <w:r w:rsidR="00FB3D8B" w:rsidRPr="00BD0203">
        <w:rPr>
          <w:rFonts w:asciiTheme="minorHAnsi" w:eastAsia="Calibri" w:hAnsiTheme="minorHAnsi" w:cstheme="minorHAnsi"/>
          <w:color w:val="000000"/>
          <w:sz w:val="24"/>
          <w:lang w:val="en-GB"/>
        </w:rPr>
        <w:t>d</w:t>
      </w:r>
      <w:r w:rsidR="007A0D91" w:rsidRPr="00BD0203">
        <w:rPr>
          <w:rFonts w:asciiTheme="minorHAnsi" w:eastAsia="Calibri" w:hAnsiTheme="minorHAnsi" w:cstheme="minorHAnsi"/>
          <w:color w:val="000000"/>
          <w:sz w:val="24"/>
          <w:lang w:val="en-GB"/>
        </w:rPr>
        <w:t>elegate from Russia posted a comment in the chat asking that this should be addressed and it was agreed to identify the lines impacted and to discuss at the next MSAG meeting.</w:t>
      </w:r>
    </w:p>
    <w:p w14:paraId="0C085135" w14:textId="77777777" w:rsidR="007A0D91" w:rsidRPr="00BD0203" w:rsidRDefault="007A0D91" w:rsidP="00031460">
      <w:pPr>
        <w:rPr>
          <w:rFonts w:asciiTheme="minorHAnsi" w:eastAsia="Calibri" w:hAnsiTheme="minorHAnsi" w:cstheme="minorHAnsi"/>
          <w:color w:val="000000"/>
          <w:sz w:val="24"/>
          <w:lang w:val="en-GB"/>
        </w:rPr>
      </w:pPr>
    </w:p>
    <w:p w14:paraId="36200930" w14:textId="1B9E0E4A" w:rsidR="007A0D91" w:rsidRPr="00BD0203" w:rsidRDefault="00DA6BFD" w:rsidP="00031460">
      <w:pPr>
        <w:rPr>
          <w:rFonts w:asciiTheme="minorHAnsi" w:eastAsia="Calibri" w:hAnsiTheme="minorHAnsi" w:cstheme="minorHAnsi"/>
          <w:color w:val="000000"/>
          <w:sz w:val="24"/>
          <w:lang w:val="en-GB"/>
        </w:rPr>
      </w:pPr>
      <w:r w:rsidRPr="00BD0203">
        <w:rPr>
          <w:rFonts w:asciiTheme="minorHAnsi" w:eastAsia="Calibri" w:hAnsiTheme="minorHAnsi" w:cstheme="minorHAnsi"/>
          <w:color w:val="000000"/>
          <w:sz w:val="24"/>
          <w:lang w:val="en-GB"/>
        </w:rPr>
        <w:t>9.5</w:t>
      </w:r>
      <w:r w:rsidRPr="00BD0203">
        <w:rPr>
          <w:rFonts w:asciiTheme="minorHAnsi" w:eastAsia="Calibri" w:hAnsiTheme="minorHAnsi" w:cstheme="minorHAnsi"/>
          <w:color w:val="000000"/>
          <w:sz w:val="24"/>
          <w:lang w:val="en-GB"/>
        </w:rPr>
        <w:tab/>
      </w:r>
      <w:r w:rsidR="007A0D91" w:rsidRPr="00BD0203">
        <w:rPr>
          <w:rFonts w:asciiTheme="minorHAnsi" w:eastAsia="Calibri" w:hAnsiTheme="minorHAnsi" w:cstheme="minorHAnsi"/>
          <w:color w:val="000000"/>
          <w:sz w:val="24"/>
          <w:lang w:val="en-GB"/>
        </w:rPr>
        <w:t xml:space="preserve">The MSAG Chairman took the floor stating that the group did not come to an agreement on how to proceed with the cost estimates preventing MSAG from having a consensus position to offer CWG-FHR but that his personal view is that the recommendation from the professional staff at ITU is a responsible, conservative one that reaffirms the maximum amount to be spent on the building project and reasonably addresses the cost estimates by recognizing the limits of their accuracy. The </w:t>
      </w:r>
      <w:r w:rsidR="00162B08" w:rsidRPr="00BD0203">
        <w:rPr>
          <w:rFonts w:asciiTheme="minorHAnsi" w:eastAsia="Calibri" w:hAnsiTheme="minorHAnsi" w:cstheme="minorHAnsi"/>
          <w:color w:val="000000"/>
          <w:sz w:val="24"/>
          <w:lang w:val="en-GB"/>
        </w:rPr>
        <w:t>s</w:t>
      </w:r>
      <w:r w:rsidR="007A0D91" w:rsidRPr="00BD0203">
        <w:rPr>
          <w:rFonts w:asciiTheme="minorHAnsi" w:eastAsia="Calibri" w:hAnsiTheme="minorHAnsi" w:cstheme="minorHAnsi"/>
          <w:color w:val="000000"/>
          <w:sz w:val="24"/>
          <w:lang w:val="en-GB"/>
        </w:rPr>
        <w:t>ecretariat thanked the MSAG chair for his support.</w:t>
      </w:r>
    </w:p>
    <w:p w14:paraId="5F9803AC" w14:textId="77777777" w:rsidR="007A0D91" w:rsidRPr="00BD0203" w:rsidRDefault="007A0D91" w:rsidP="00031460">
      <w:pPr>
        <w:snapToGrid w:val="0"/>
        <w:ind w:hanging="709"/>
        <w:rPr>
          <w:rFonts w:asciiTheme="minorHAnsi" w:hAnsiTheme="minorHAnsi" w:cstheme="minorHAnsi"/>
          <w:sz w:val="24"/>
          <w:lang w:val="en-GB" w:eastAsia="en-AU"/>
        </w:rPr>
      </w:pPr>
    </w:p>
    <w:bookmarkEnd w:id="9"/>
    <w:p w14:paraId="25A0C4D2" w14:textId="3011D9BA" w:rsidR="0030144F" w:rsidRPr="00BD0203" w:rsidRDefault="0030144F" w:rsidP="0030144F">
      <w:pPr>
        <w:ind w:left="709" w:hanging="709"/>
        <w:rPr>
          <w:rFonts w:asciiTheme="minorHAnsi" w:hAnsiTheme="minorHAnsi" w:cstheme="minorHAnsi"/>
          <w:b/>
          <w:bCs/>
          <w:sz w:val="24"/>
        </w:rPr>
      </w:pPr>
      <w:r w:rsidRPr="00BD0203">
        <w:rPr>
          <w:rFonts w:asciiTheme="minorHAnsi" w:hAnsiTheme="minorHAnsi" w:cstheme="minorHAnsi"/>
          <w:b/>
          <w:bCs/>
          <w:sz w:val="24"/>
        </w:rPr>
        <w:tab/>
        <w:t xml:space="preserve">Contribution by the Chair of CWG-FHR: MSAG discussions on financing the Risk Register Fund for the new ITU HQ (Document </w:t>
      </w:r>
      <w:hyperlink r:id="rId28" w:history="1">
        <w:r w:rsidRPr="00BD0203">
          <w:rPr>
            <w:rStyle w:val="Hyperlink"/>
            <w:rFonts w:asciiTheme="minorHAnsi" w:hAnsiTheme="minorHAnsi" w:cstheme="minorHAnsi"/>
            <w:b/>
            <w:bCs/>
            <w:color w:val="auto"/>
            <w:sz w:val="24"/>
          </w:rPr>
          <w:t>CWG-FHR-12/10</w:t>
        </w:r>
      </w:hyperlink>
      <w:r w:rsidRPr="00BD0203">
        <w:rPr>
          <w:rFonts w:asciiTheme="minorHAnsi" w:hAnsiTheme="minorHAnsi" w:cstheme="minorHAnsi"/>
          <w:b/>
          <w:bCs/>
          <w:sz w:val="24"/>
        </w:rPr>
        <w:t>)</w:t>
      </w:r>
    </w:p>
    <w:p w14:paraId="6DAEC46B" w14:textId="1F9F9118" w:rsidR="00EA43D5" w:rsidRPr="00BD0203" w:rsidRDefault="00EA43D5" w:rsidP="00CE5449">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643B1E72" w14:textId="3825CE37" w:rsidR="00CE5449" w:rsidRPr="00BD0203" w:rsidRDefault="00CE5449" w:rsidP="00CE5449">
      <w:pPr>
        <w:rPr>
          <w:rFonts w:asciiTheme="minorHAnsi" w:hAnsiTheme="minorHAnsi" w:cstheme="minorHAnsi"/>
          <w:sz w:val="24"/>
        </w:rPr>
      </w:pPr>
      <w:r w:rsidRPr="00BD0203">
        <w:rPr>
          <w:rFonts w:asciiTheme="minorHAnsi" w:hAnsiTheme="minorHAnsi" w:cstheme="minorHAnsi"/>
          <w:sz w:val="24"/>
        </w:rPr>
        <w:t>9.</w:t>
      </w:r>
      <w:r w:rsidR="00042A0C" w:rsidRPr="00BD0203">
        <w:rPr>
          <w:rFonts w:asciiTheme="minorHAnsi" w:hAnsiTheme="minorHAnsi" w:cstheme="minorHAnsi"/>
          <w:sz w:val="24"/>
        </w:rPr>
        <w:t>6</w:t>
      </w:r>
      <w:r w:rsidRPr="00BD0203">
        <w:rPr>
          <w:rFonts w:asciiTheme="minorHAnsi" w:hAnsiTheme="minorHAnsi" w:cstheme="minorHAnsi"/>
          <w:sz w:val="24"/>
        </w:rPr>
        <w:tab/>
        <w:t>The Chairman of MSAG presented document CWG-FHR 12/10 which provides relevant extractions from the MSAG reports for meetings where the importance of adequate financing of the Risk Register Fund has been discussed.</w:t>
      </w:r>
    </w:p>
    <w:p w14:paraId="4B0BDE78" w14:textId="77777777" w:rsidR="00CE5449" w:rsidRPr="00BD0203" w:rsidRDefault="00CE5449" w:rsidP="00CE5449">
      <w:pPr>
        <w:rPr>
          <w:rFonts w:asciiTheme="minorHAnsi" w:hAnsiTheme="minorHAnsi" w:cstheme="minorHAnsi"/>
          <w:sz w:val="24"/>
        </w:rPr>
      </w:pPr>
    </w:p>
    <w:p w14:paraId="21628061" w14:textId="57DDF2BE" w:rsidR="00CE5449" w:rsidRPr="00BD0203" w:rsidRDefault="00CE5449" w:rsidP="00CE5449">
      <w:pPr>
        <w:rPr>
          <w:rFonts w:asciiTheme="minorHAnsi" w:hAnsiTheme="minorHAnsi" w:cstheme="minorHAnsi"/>
          <w:sz w:val="24"/>
        </w:rPr>
      </w:pPr>
      <w:r w:rsidRPr="00BD0203">
        <w:rPr>
          <w:rFonts w:asciiTheme="minorHAnsi" w:hAnsiTheme="minorHAnsi" w:cstheme="minorHAnsi"/>
          <w:sz w:val="24"/>
        </w:rPr>
        <w:t>9.</w:t>
      </w:r>
      <w:r w:rsidR="00042A0C" w:rsidRPr="00BD0203">
        <w:rPr>
          <w:rFonts w:asciiTheme="minorHAnsi" w:hAnsiTheme="minorHAnsi" w:cstheme="minorHAnsi"/>
          <w:sz w:val="24"/>
        </w:rPr>
        <w:t>7</w:t>
      </w:r>
      <w:r w:rsidRPr="00BD0203">
        <w:rPr>
          <w:rFonts w:asciiTheme="minorHAnsi" w:hAnsiTheme="minorHAnsi" w:cstheme="minorHAnsi"/>
          <w:sz w:val="24"/>
        </w:rPr>
        <w:tab/>
        <w:t>The secretariat reminded the meeting that this Fund was created in 2019, even though it was not foreseen in the Financial Plan 2020-2023. The Secretary</w:t>
      </w:r>
      <w:r w:rsidR="00C43031" w:rsidRPr="00BD0203">
        <w:rPr>
          <w:rFonts w:asciiTheme="minorHAnsi" w:hAnsiTheme="minorHAnsi" w:cstheme="minorHAnsi"/>
          <w:sz w:val="24"/>
        </w:rPr>
        <w:t>-</w:t>
      </w:r>
      <w:r w:rsidRPr="00BD0203">
        <w:rPr>
          <w:rFonts w:asciiTheme="minorHAnsi" w:hAnsiTheme="minorHAnsi" w:cstheme="minorHAnsi"/>
          <w:sz w:val="24"/>
        </w:rPr>
        <w:t xml:space="preserve">General already approved the replenishment of some CHF 1.4 million at the end of 2019 and </w:t>
      </w:r>
      <w:r w:rsidR="00C43031" w:rsidRPr="00BD0203">
        <w:rPr>
          <w:rFonts w:asciiTheme="minorHAnsi" w:hAnsiTheme="minorHAnsi" w:cstheme="minorHAnsi"/>
          <w:sz w:val="24"/>
        </w:rPr>
        <w:t xml:space="preserve">it is planned </w:t>
      </w:r>
      <w:r w:rsidRPr="00BD0203">
        <w:rPr>
          <w:rFonts w:asciiTheme="minorHAnsi" w:hAnsiTheme="minorHAnsi" w:cstheme="minorHAnsi"/>
          <w:sz w:val="24"/>
        </w:rPr>
        <w:t>to allocate CHF</w:t>
      </w:r>
      <w:r w:rsidR="00C43031" w:rsidRPr="00BD0203">
        <w:rPr>
          <w:rFonts w:asciiTheme="minorHAnsi" w:hAnsiTheme="minorHAnsi" w:cstheme="minorHAnsi"/>
          <w:sz w:val="24"/>
        </w:rPr>
        <w:t> </w:t>
      </w:r>
      <w:r w:rsidRPr="00BD0203">
        <w:rPr>
          <w:rFonts w:asciiTheme="minorHAnsi" w:hAnsiTheme="minorHAnsi" w:cstheme="minorHAnsi"/>
          <w:sz w:val="24"/>
        </w:rPr>
        <w:t>3.6</w:t>
      </w:r>
      <w:r w:rsidR="00C43031" w:rsidRPr="00BD0203">
        <w:rPr>
          <w:rFonts w:asciiTheme="minorHAnsi" w:hAnsiTheme="minorHAnsi" w:cstheme="minorHAnsi"/>
          <w:sz w:val="24"/>
        </w:rPr>
        <w:t> </w:t>
      </w:r>
      <w:r w:rsidRPr="00BD0203">
        <w:rPr>
          <w:rFonts w:asciiTheme="minorHAnsi" w:hAnsiTheme="minorHAnsi" w:cstheme="minorHAnsi"/>
          <w:sz w:val="24"/>
        </w:rPr>
        <w:t xml:space="preserve">million to the Fund from budgetary surpluses and </w:t>
      </w:r>
      <w:r w:rsidR="00042A0C" w:rsidRPr="00BD0203">
        <w:rPr>
          <w:rFonts w:asciiTheme="minorHAnsi" w:hAnsiTheme="minorHAnsi" w:cstheme="minorHAnsi"/>
          <w:sz w:val="24"/>
        </w:rPr>
        <w:t xml:space="preserve">the replenishment should </w:t>
      </w:r>
      <w:r w:rsidRPr="00BD0203">
        <w:rPr>
          <w:rFonts w:asciiTheme="minorHAnsi" w:hAnsiTheme="minorHAnsi" w:cstheme="minorHAnsi"/>
          <w:sz w:val="24"/>
        </w:rPr>
        <w:t xml:space="preserve">continue if the situation allows. In </w:t>
      </w:r>
      <w:r w:rsidR="00C43031" w:rsidRPr="00BD0203">
        <w:rPr>
          <w:rFonts w:asciiTheme="minorHAnsi" w:hAnsiTheme="minorHAnsi" w:cstheme="minorHAnsi"/>
          <w:sz w:val="24"/>
        </w:rPr>
        <w:t xml:space="preserve">the </w:t>
      </w:r>
      <w:r w:rsidRPr="00BD0203">
        <w:rPr>
          <w:rFonts w:asciiTheme="minorHAnsi" w:hAnsiTheme="minorHAnsi" w:cstheme="minorHAnsi"/>
          <w:sz w:val="24"/>
        </w:rPr>
        <w:t>future, the inclusion of a budget appropriation to replenish the Risk Register Fund will have to be discussed when preparing the Financial Plan 2024-2027.</w:t>
      </w:r>
    </w:p>
    <w:p w14:paraId="5AE3DA76" w14:textId="77777777" w:rsidR="00CE5449" w:rsidRPr="00BD0203" w:rsidRDefault="00CE5449" w:rsidP="00CE5449">
      <w:pPr>
        <w:rPr>
          <w:rFonts w:asciiTheme="minorHAnsi" w:hAnsiTheme="minorHAnsi" w:cstheme="minorHAnsi"/>
          <w:sz w:val="24"/>
        </w:rPr>
      </w:pPr>
    </w:p>
    <w:p w14:paraId="7240B6CF" w14:textId="1B579BFD" w:rsidR="00CE5449" w:rsidRPr="00BD0203" w:rsidRDefault="00CE5449" w:rsidP="00CE5449">
      <w:pPr>
        <w:rPr>
          <w:rFonts w:asciiTheme="minorHAnsi" w:hAnsiTheme="minorHAnsi" w:cstheme="minorHAnsi"/>
          <w:sz w:val="24"/>
        </w:rPr>
      </w:pPr>
      <w:r w:rsidRPr="00BD0203">
        <w:rPr>
          <w:rFonts w:asciiTheme="minorHAnsi" w:hAnsiTheme="minorHAnsi" w:cstheme="minorHAnsi"/>
          <w:sz w:val="24"/>
        </w:rPr>
        <w:t>9.</w:t>
      </w:r>
      <w:r w:rsidR="00042A0C" w:rsidRPr="00BD0203">
        <w:rPr>
          <w:rFonts w:asciiTheme="minorHAnsi" w:hAnsiTheme="minorHAnsi" w:cstheme="minorHAnsi"/>
          <w:sz w:val="24"/>
        </w:rPr>
        <w:t>8</w:t>
      </w:r>
      <w:r w:rsidRPr="00BD0203">
        <w:rPr>
          <w:rFonts w:asciiTheme="minorHAnsi" w:hAnsiTheme="minorHAnsi" w:cstheme="minorHAnsi"/>
          <w:sz w:val="24"/>
        </w:rPr>
        <w:tab/>
      </w:r>
      <w:r w:rsidR="00B76EBD" w:rsidRPr="00BD0203">
        <w:rPr>
          <w:rFonts w:asciiTheme="minorHAnsi" w:hAnsiTheme="minorHAnsi" w:cstheme="minorHAnsi"/>
          <w:sz w:val="24"/>
        </w:rPr>
        <w:t xml:space="preserve">Delegates took note </w:t>
      </w:r>
      <w:r w:rsidRPr="00BD0203">
        <w:rPr>
          <w:rFonts w:asciiTheme="minorHAnsi" w:hAnsiTheme="minorHAnsi" w:cstheme="minorHAnsi"/>
          <w:sz w:val="24"/>
        </w:rPr>
        <w:t>of this document.</w:t>
      </w:r>
    </w:p>
    <w:p w14:paraId="37C9FACE" w14:textId="64B21FED" w:rsidR="00EA43D5" w:rsidRPr="00BD0203" w:rsidRDefault="00EA43D5" w:rsidP="00CE5449">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35A4D436" w14:textId="37DA8C9D" w:rsidR="004D597E" w:rsidRPr="00BD0203" w:rsidRDefault="004D597E" w:rsidP="00CE5449">
      <w:pPr>
        <w:snapToGrid w:val="0"/>
        <w:ind w:left="709" w:hanging="709"/>
        <w:rPr>
          <w:rFonts w:asciiTheme="minorHAnsi" w:hAnsiTheme="minorHAnsi" w:cstheme="minorHAnsi"/>
          <w:b/>
          <w:bCs/>
          <w:sz w:val="24"/>
          <w:lang w:val="en-GB" w:eastAsia="en-AU"/>
        </w:rPr>
      </w:pPr>
      <w:r w:rsidRPr="00BD0203">
        <w:rPr>
          <w:rFonts w:asciiTheme="minorHAnsi" w:hAnsiTheme="minorHAnsi" w:cstheme="minorHAnsi"/>
          <w:b/>
          <w:bCs/>
          <w:sz w:val="24"/>
        </w:rPr>
        <w:t>10</w:t>
      </w:r>
      <w:r w:rsidRPr="00BD0203">
        <w:rPr>
          <w:rFonts w:asciiTheme="minorHAnsi" w:hAnsiTheme="minorHAnsi" w:cstheme="minorHAnsi"/>
          <w:b/>
          <w:bCs/>
          <w:sz w:val="24"/>
        </w:rPr>
        <w:tab/>
      </w:r>
      <w:r w:rsidR="007A0D91" w:rsidRPr="00BD0203">
        <w:rPr>
          <w:rFonts w:asciiTheme="minorHAnsi" w:hAnsiTheme="minorHAnsi" w:cstheme="minorHAnsi"/>
          <w:b/>
          <w:bCs/>
          <w:sz w:val="24"/>
        </w:rPr>
        <w:t xml:space="preserve">Contribution by the Russian Federation: </w:t>
      </w:r>
      <w:r w:rsidRPr="00BD0203">
        <w:rPr>
          <w:rFonts w:asciiTheme="minorHAnsi" w:hAnsiTheme="minorHAnsi" w:cstheme="minorHAnsi"/>
          <w:b/>
          <w:bCs/>
          <w:sz w:val="24"/>
        </w:rPr>
        <w:t>Development of a method for calculation of in kind contributing</w:t>
      </w:r>
      <w:r w:rsidR="007A0D91" w:rsidRPr="00BD0203">
        <w:rPr>
          <w:rFonts w:asciiTheme="minorHAnsi" w:hAnsiTheme="minorHAnsi" w:cstheme="minorHAnsi"/>
          <w:b/>
          <w:bCs/>
          <w:sz w:val="24"/>
        </w:rPr>
        <w:t xml:space="preserve"> </w:t>
      </w:r>
      <w:r w:rsidRPr="00BD0203">
        <w:rPr>
          <w:rFonts w:asciiTheme="minorHAnsi" w:hAnsiTheme="minorHAnsi" w:cstheme="minorHAnsi"/>
          <w:b/>
          <w:bCs/>
          <w:sz w:val="24"/>
        </w:rPr>
        <w:t xml:space="preserve">(Document </w:t>
      </w:r>
      <w:hyperlink r:id="rId29" w:history="1">
        <w:r w:rsidRPr="00BD0203">
          <w:rPr>
            <w:rStyle w:val="Hyperlink"/>
            <w:rFonts w:asciiTheme="minorHAnsi" w:hAnsiTheme="minorHAnsi" w:cstheme="minorHAnsi"/>
            <w:b/>
            <w:bCs/>
            <w:color w:val="auto"/>
            <w:sz w:val="24"/>
          </w:rPr>
          <w:t>CWG-FHR-12/15</w:t>
        </w:r>
      </w:hyperlink>
      <w:r w:rsidRPr="00BD0203">
        <w:rPr>
          <w:rStyle w:val="Hyperlink"/>
          <w:rFonts w:asciiTheme="minorHAnsi" w:hAnsiTheme="minorHAnsi" w:cstheme="minorHAnsi"/>
          <w:b/>
          <w:bCs/>
          <w:color w:val="auto"/>
          <w:sz w:val="24"/>
        </w:rPr>
        <w:t>)</w:t>
      </w:r>
    </w:p>
    <w:p w14:paraId="207FA609" w14:textId="6346941C" w:rsidR="00EA43D5" w:rsidRPr="00BD0203" w:rsidRDefault="00EA43D5" w:rsidP="00CE5449">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4F8663B0" w14:textId="32C49C43" w:rsidR="008A0B10" w:rsidRPr="00BD0203" w:rsidRDefault="008A0B10" w:rsidP="009C404B">
      <w:pPr>
        <w:snapToGrid w:val="0"/>
        <w:rPr>
          <w:rFonts w:asciiTheme="minorHAnsi" w:hAnsiTheme="minorHAnsi" w:cstheme="minorHAnsi"/>
          <w:sz w:val="24"/>
        </w:rPr>
      </w:pPr>
      <w:r w:rsidRPr="00BD0203">
        <w:rPr>
          <w:rFonts w:asciiTheme="minorHAnsi" w:hAnsiTheme="minorHAnsi" w:cstheme="minorHAnsi"/>
          <w:sz w:val="24"/>
        </w:rPr>
        <w:t>10.1</w:t>
      </w:r>
      <w:r w:rsidRPr="00BD0203">
        <w:rPr>
          <w:rFonts w:asciiTheme="minorHAnsi" w:hAnsiTheme="minorHAnsi" w:cstheme="minorHAnsi"/>
          <w:sz w:val="24"/>
        </w:rPr>
        <w:tab/>
        <w:t xml:space="preserve">The Russian Federation presented </w:t>
      </w:r>
      <w:r w:rsidR="009C404B" w:rsidRPr="00BD0203">
        <w:rPr>
          <w:rFonts w:asciiTheme="minorHAnsi" w:hAnsiTheme="minorHAnsi" w:cstheme="minorHAnsi"/>
          <w:sz w:val="24"/>
        </w:rPr>
        <w:t>D</w:t>
      </w:r>
      <w:r w:rsidRPr="00BD0203">
        <w:rPr>
          <w:rFonts w:asciiTheme="minorHAnsi" w:hAnsiTheme="minorHAnsi" w:cstheme="minorHAnsi"/>
          <w:sz w:val="24"/>
        </w:rPr>
        <w:t xml:space="preserve">ocument CWG-FHR 12/15, which </w:t>
      </w:r>
      <w:r w:rsidR="009C404B" w:rsidRPr="00BD0203">
        <w:rPr>
          <w:rFonts w:asciiTheme="minorHAnsi" w:hAnsiTheme="minorHAnsi" w:cstheme="minorHAnsi"/>
          <w:sz w:val="24"/>
        </w:rPr>
        <w:t xml:space="preserve">asks </w:t>
      </w:r>
      <w:r w:rsidRPr="00BD0203">
        <w:rPr>
          <w:rFonts w:asciiTheme="minorHAnsi" w:hAnsiTheme="minorHAnsi" w:cstheme="minorHAnsi"/>
          <w:sz w:val="24"/>
        </w:rPr>
        <w:t xml:space="preserve">the </w:t>
      </w:r>
      <w:r w:rsidR="00FA0DC6" w:rsidRPr="00BD0203">
        <w:rPr>
          <w:rFonts w:asciiTheme="minorHAnsi" w:hAnsiTheme="minorHAnsi" w:cstheme="minorHAnsi"/>
          <w:sz w:val="24"/>
        </w:rPr>
        <w:t>s</w:t>
      </w:r>
      <w:r w:rsidRPr="00BD0203">
        <w:rPr>
          <w:rFonts w:asciiTheme="minorHAnsi" w:hAnsiTheme="minorHAnsi" w:cstheme="minorHAnsi"/>
          <w:sz w:val="24"/>
        </w:rPr>
        <w:t>ecretariat:</w:t>
      </w:r>
    </w:p>
    <w:p w14:paraId="71AB23D0" w14:textId="77777777" w:rsidR="008A0B10" w:rsidRPr="00BD0203" w:rsidRDefault="008A0B10" w:rsidP="008A0B10">
      <w:pPr>
        <w:snapToGrid w:val="0"/>
        <w:ind w:left="709" w:hanging="709"/>
        <w:rPr>
          <w:rFonts w:asciiTheme="minorHAnsi" w:hAnsiTheme="minorHAnsi" w:cstheme="minorHAnsi"/>
          <w:sz w:val="24"/>
        </w:rPr>
      </w:pPr>
    </w:p>
    <w:p w14:paraId="65AC1137" w14:textId="59169890" w:rsidR="008A0B10" w:rsidRPr="00BD0203" w:rsidRDefault="008A0B10" w:rsidP="009C404B">
      <w:pPr>
        <w:pStyle w:val="ListParagraph"/>
        <w:numPr>
          <w:ilvl w:val="0"/>
          <w:numId w:val="36"/>
        </w:numPr>
        <w:tabs>
          <w:tab w:val="left" w:pos="993"/>
        </w:tabs>
        <w:snapToGrid w:val="0"/>
        <w:ind w:left="993" w:hanging="284"/>
        <w:rPr>
          <w:rFonts w:asciiTheme="minorHAnsi" w:hAnsiTheme="minorHAnsi" w:cstheme="minorHAnsi"/>
          <w:sz w:val="24"/>
        </w:rPr>
      </w:pPr>
      <w:r w:rsidRPr="00BD0203">
        <w:rPr>
          <w:rFonts w:asciiTheme="minorHAnsi" w:hAnsiTheme="minorHAnsi" w:cstheme="minorHAnsi"/>
          <w:sz w:val="24"/>
        </w:rPr>
        <w:t xml:space="preserve">To develop general guidelines for the financial and other types of contributions of ITU Member States, Sector </w:t>
      </w:r>
      <w:r w:rsidR="009C404B" w:rsidRPr="00BD0203">
        <w:rPr>
          <w:rFonts w:asciiTheme="minorHAnsi" w:hAnsiTheme="minorHAnsi" w:cstheme="minorHAnsi"/>
          <w:sz w:val="24"/>
        </w:rPr>
        <w:t>M</w:t>
      </w:r>
      <w:r w:rsidRPr="00BD0203">
        <w:rPr>
          <w:rFonts w:asciiTheme="minorHAnsi" w:hAnsiTheme="minorHAnsi" w:cstheme="minorHAnsi"/>
          <w:sz w:val="24"/>
        </w:rPr>
        <w:t>ember</w:t>
      </w:r>
      <w:r w:rsidR="009C404B" w:rsidRPr="00BD0203">
        <w:rPr>
          <w:rFonts w:asciiTheme="minorHAnsi" w:hAnsiTheme="minorHAnsi" w:cstheme="minorHAnsi"/>
          <w:sz w:val="24"/>
        </w:rPr>
        <w:t>s</w:t>
      </w:r>
      <w:r w:rsidRPr="00BD0203">
        <w:rPr>
          <w:rFonts w:asciiTheme="minorHAnsi" w:hAnsiTheme="minorHAnsi" w:cstheme="minorHAnsi"/>
          <w:sz w:val="24"/>
        </w:rPr>
        <w:t xml:space="preserve"> and other partners in regional initiatives, which would be based on the principles and criteria arising from their mandates in the resolves section of Resolution 17 (Rev. Buenos Aires. 2017), and which would contain developed provisions that disclose these principles.</w:t>
      </w:r>
    </w:p>
    <w:p w14:paraId="40BF10B6" w14:textId="77777777" w:rsidR="009C404B" w:rsidRPr="00BD0203" w:rsidRDefault="009C404B" w:rsidP="008A0B10">
      <w:pPr>
        <w:snapToGrid w:val="0"/>
        <w:ind w:left="709" w:hanging="709"/>
        <w:rPr>
          <w:rFonts w:asciiTheme="minorHAnsi" w:hAnsiTheme="minorHAnsi" w:cstheme="minorHAnsi"/>
          <w:sz w:val="24"/>
        </w:rPr>
      </w:pPr>
    </w:p>
    <w:p w14:paraId="151D5AA0" w14:textId="26A2F073" w:rsidR="008A0B10" w:rsidRPr="00BD0203" w:rsidRDefault="008A0B10" w:rsidP="00CF68E6">
      <w:pPr>
        <w:keepNext/>
        <w:keepLines/>
        <w:snapToGrid w:val="0"/>
        <w:ind w:left="709" w:hanging="709"/>
        <w:rPr>
          <w:rFonts w:asciiTheme="minorHAnsi" w:hAnsiTheme="minorHAnsi" w:cstheme="minorHAnsi"/>
          <w:sz w:val="24"/>
        </w:rPr>
      </w:pPr>
      <w:r w:rsidRPr="00BD0203">
        <w:rPr>
          <w:rFonts w:asciiTheme="minorHAnsi" w:hAnsiTheme="minorHAnsi" w:cstheme="minorHAnsi"/>
          <w:sz w:val="24"/>
        </w:rPr>
        <w:lastRenderedPageBreak/>
        <w:t>1</w:t>
      </w:r>
      <w:r w:rsidR="009C404B" w:rsidRPr="00BD0203">
        <w:rPr>
          <w:rFonts w:asciiTheme="minorHAnsi" w:hAnsiTheme="minorHAnsi" w:cstheme="minorHAnsi"/>
          <w:sz w:val="24"/>
        </w:rPr>
        <w:t>0.2</w:t>
      </w:r>
      <w:r w:rsidR="009C404B" w:rsidRPr="00BD0203">
        <w:rPr>
          <w:rFonts w:asciiTheme="minorHAnsi" w:hAnsiTheme="minorHAnsi" w:cstheme="minorHAnsi"/>
          <w:sz w:val="24"/>
        </w:rPr>
        <w:tab/>
      </w:r>
      <w:r w:rsidRPr="00BD0203">
        <w:rPr>
          <w:rFonts w:asciiTheme="minorHAnsi" w:hAnsiTheme="minorHAnsi" w:cstheme="minorHAnsi"/>
          <w:sz w:val="24"/>
        </w:rPr>
        <w:t>These provisions should include:</w:t>
      </w:r>
    </w:p>
    <w:p w14:paraId="53EF37FB" w14:textId="77777777" w:rsidR="009C404B" w:rsidRPr="00BD0203" w:rsidRDefault="009C404B" w:rsidP="00CF68E6">
      <w:pPr>
        <w:keepNext/>
        <w:keepLines/>
        <w:snapToGrid w:val="0"/>
        <w:ind w:left="709" w:hanging="709"/>
        <w:rPr>
          <w:rFonts w:asciiTheme="minorHAnsi" w:hAnsiTheme="minorHAnsi" w:cstheme="minorHAnsi"/>
          <w:sz w:val="24"/>
        </w:rPr>
      </w:pPr>
    </w:p>
    <w:p w14:paraId="222A7854" w14:textId="7FB5E0AD" w:rsidR="008A0B10" w:rsidRPr="00BD0203" w:rsidRDefault="009C404B" w:rsidP="00CF68E6">
      <w:pPr>
        <w:pStyle w:val="ListParagraph"/>
        <w:keepNext/>
        <w:keepLines/>
        <w:numPr>
          <w:ilvl w:val="0"/>
          <w:numId w:val="39"/>
        </w:numPr>
        <w:tabs>
          <w:tab w:val="left" w:pos="993"/>
        </w:tabs>
        <w:snapToGrid w:val="0"/>
        <w:ind w:left="993" w:hanging="284"/>
        <w:rPr>
          <w:rFonts w:asciiTheme="minorHAnsi" w:hAnsiTheme="minorHAnsi" w:cstheme="minorHAnsi"/>
          <w:sz w:val="24"/>
        </w:rPr>
      </w:pPr>
      <w:r w:rsidRPr="00BD0203">
        <w:rPr>
          <w:rFonts w:asciiTheme="minorHAnsi" w:hAnsiTheme="minorHAnsi" w:cstheme="minorHAnsi"/>
          <w:sz w:val="24"/>
        </w:rPr>
        <w:t>C</w:t>
      </w:r>
      <w:r w:rsidR="008A0B10" w:rsidRPr="00BD0203">
        <w:rPr>
          <w:rFonts w:asciiTheme="minorHAnsi" w:hAnsiTheme="minorHAnsi" w:cstheme="minorHAnsi"/>
          <w:sz w:val="24"/>
        </w:rPr>
        <w:t>riteria formulated for the correct classification by MS’s part of project funds as contributions in-kind</w:t>
      </w:r>
      <w:r w:rsidR="007F7ECE" w:rsidRPr="00BD0203">
        <w:rPr>
          <w:rFonts w:asciiTheme="minorHAnsi" w:hAnsiTheme="minorHAnsi" w:cstheme="minorHAnsi"/>
          <w:sz w:val="24"/>
        </w:rPr>
        <w:t>.</w:t>
      </w:r>
    </w:p>
    <w:p w14:paraId="6E58CEB4" w14:textId="16600394" w:rsidR="008A0B10" w:rsidRPr="00BD0203" w:rsidRDefault="009C404B" w:rsidP="00CF68E6">
      <w:pPr>
        <w:pStyle w:val="ListParagraph"/>
        <w:keepNext/>
        <w:keepLines/>
        <w:numPr>
          <w:ilvl w:val="0"/>
          <w:numId w:val="39"/>
        </w:numPr>
        <w:tabs>
          <w:tab w:val="left" w:pos="993"/>
        </w:tabs>
        <w:snapToGrid w:val="0"/>
        <w:spacing w:before="60"/>
        <w:ind w:left="993" w:hanging="296"/>
        <w:rPr>
          <w:rFonts w:asciiTheme="minorHAnsi" w:hAnsiTheme="minorHAnsi" w:cstheme="minorHAnsi"/>
          <w:sz w:val="24"/>
        </w:rPr>
      </w:pPr>
      <w:r w:rsidRPr="00BD0203">
        <w:rPr>
          <w:rFonts w:asciiTheme="minorHAnsi" w:hAnsiTheme="minorHAnsi" w:cstheme="minorHAnsi"/>
          <w:sz w:val="24"/>
        </w:rPr>
        <w:t>A</w:t>
      </w:r>
      <w:r w:rsidR="008A0B10" w:rsidRPr="00BD0203">
        <w:rPr>
          <w:rFonts w:asciiTheme="minorHAnsi" w:hAnsiTheme="minorHAnsi" w:cstheme="minorHAnsi"/>
          <w:sz w:val="24"/>
        </w:rPr>
        <w:t xml:space="preserve"> developed method for calculating MS in-kind contributions to the budget of the projects provided for the implementation of regional initiatives, based on combining, if possible, standard projects with similar content, containing the general structure of the corresponding agreement between ITU, MS and partners, and taking into account the national legislation in the country, the provisions of the ITU Financial Regulations </w:t>
      </w:r>
      <w:r w:rsidRPr="00BD0203">
        <w:rPr>
          <w:rFonts w:asciiTheme="minorHAnsi" w:hAnsiTheme="minorHAnsi" w:cstheme="minorHAnsi"/>
          <w:sz w:val="24"/>
        </w:rPr>
        <w:t>and</w:t>
      </w:r>
      <w:r w:rsidR="008A0B10" w:rsidRPr="00BD0203">
        <w:rPr>
          <w:rFonts w:asciiTheme="minorHAnsi" w:hAnsiTheme="minorHAnsi" w:cstheme="minorHAnsi"/>
          <w:sz w:val="24"/>
        </w:rPr>
        <w:t xml:space="preserve"> Financial Rules, related IPSAS clauses and other relevant documents to facilitate MS to identify and implement appropriate opportunities.</w:t>
      </w:r>
    </w:p>
    <w:p w14:paraId="5FFECC85" w14:textId="77777777" w:rsidR="008A0B10" w:rsidRPr="00BD0203" w:rsidRDefault="008A0B10" w:rsidP="008A0B10">
      <w:pPr>
        <w:snapToGrid w:val="0"/>
        <w:ind w:left="709" w:hanging="709"/>
        <w:rPr>
          <w:rFonts w:asciiTheme="minorHAnsi" w:hAnsiTheme="minorHAnsi" w:cstheme="minorHAnsi"/>
          <w:sz w:val="24"/>
        </w:rPr>
      </w:pPr>
    </w:p>
    <w:p w14:paraId="4CF8F158" w14:textId="634604A2" w:rsidR="008A0B10" w:rsidRPr="00BD0203" w:rsidRDefault="009C404B" w:rsidP="009C404B">
      <w:pPr>
        <w:snapToGrid w:val="0"/>
        <w:rPr>
          <w:rFonts w:asciiTheme="minorHAnsi" w:hAnsiTheme="minorHAnsi" w:cstheme="minorHAnsi"/>
          <w:sz w:val="24"/>
        </w:rPr>
      </w:pPr>
      <w:bookmarkStart w:id="10" w:name="_Hlk63074594"/>
      <w:r w:rsidRPr="00BD0203">
        <w:rPr>
          <w:rFonts w:asciiTheme="minorHAnsi" w:hAnsiTheme="minorHAnsi" w:cstheme="minorHAnsi"/>
          <w:sz w:val="24"/>
        </w:rPr>
        <w:t>10.3</w:t>
      </w:r>
      <w:r w:rsidRPr="00BD0203">
        <w:rPr>
          <w:rFonts w:asciiTheme="minorHAnsi" w:hAnsiTheme="minorHAnsi" w:cstheme="minorHAnsi"/>
          <w:sz w:val="24"/>
        </w:rPr>
        <w:tab/>
      </w:r>
      <w:r w:rsidR="008A0B10" w:rsidRPr="00BD0203">
        <w:rPr>
          <w:rFonts w:asciiTheme="minorHAnsi" w:hAnsiTheme="minorHAnsi" w:cstheme="minorHAnsi"/>
          <w:sz w:val="24"/>
        </w:rPr>
        <w:t>To report to ITU Council, on an annual basis, further to experience in implementing regional initiatives, including projects with in-kind contributions.</w:t>
      </w:r>
    </w:p>
    <w:bookmarkEnd w:id="10"/>
    <w:p w14:paraId="054F8D72" w14:textId="77777777" w:rsidR="008A0B10" w:rsidRPr="00BD0203" w:rsidRDefault="008A0B10" w:rsidP="008A0B10">
      <w:pPr>
        <w:snapToGrid w:val="0"/>
        <w:ind w:left="709" w:hanging="709"/>
        <w:rPr>
          <w:rFonts w:asciiTheme="minorHAnsi" w:hAnsiTheme="minorHAnsi" w:cstheme="minorHAnsi"/>
          <w:sz w:val="24"/>
          <w:lang w:val="en-GB" w:eastAsia="en-AU"/>
        </w:rPr>
      </w:pPr>
    </w:p>
    <w:p w14:paraId="57F20509" w14:textId="11A628A2" w:rsidR="008A0B10" w:rsidRPr="00BD0203" w:rsidRDefault="009C404B" w:rsidP="008A0B10">
      <w:pPr>
        <w:snapToGrid w:val="0"/>
        <w:ind w:left="709" w:hanging="709"/>
        <w:rPr>
          <w:rFonts w:asciiTheme="minorHAnsi" w:hAnsiTheme="minorHAnsi" w:cstheme="minorHAnsi"/>
          <w:sz w:val="24"/>
        </w:rPr>
      </w:pPr>
      <w:r w:rsidRPr="00BD0203">
        <w:rPr>
          <w:rFonts w:asciiTheme="minorHAnsi" w:hAnsiTheme="minorHAnsi" w:cstheme="minorHAnsi"/>
          <w:sz w:val="24"/>
        </w:rPr>
        <w:t>10.4</w:t>
      </w:r>
      <w:r w:rsidRPr="00BD0203">
        <w:rPr>
          <w:rFonts w:asciiTheme="minorHAnsi" w:hAnsiTheme="minorHAnsi" w:cstheme="minorHAnsi"/>
          <w:sz w:val="24"/>
        </w:rPr>
        <w:tab/>
      </w:r>
      <w:r w:rsidR="008A0B10" w:rsidRPr="00BD0203">
        <w:rPr>
          <w:rFonts w:asciiTheme="minorHAnsi" w:hAnsiTheme="minorHAnsi" w:cstheme="minorHAnsi"/>
          <w:sz w:val="24"/>
        </w:rPr>
        <w:t xml:space="preserve">This contribution was welcomed by the delegates and the </w:t>
      </w:r>
      <w:r w:rsidRPr="00BD0203">
        <w:rPr>
          <w:rFonts w:asciiTheme="minorHAnsi" w:hAnsiTheme="minorHAnsi" w:cstheme="minorHAnsi"/>
          <w:sz w:val="24"/>
        </w:rPr>
        <w:t>s</w:t>
      </w:r>
      <w:r w:rsidR="008A0B10" w:rsidRPr="00BD0203">
        <w:rPr>
          <w:rFonts w:asciiTheme="minorHAnsi" w:hAnsiTheme="minorHAnsi" w:cstheme="minorHAnsi"/>
          <w:sz w:val="24"/>
        </w:rPr>
        <w:t xml:space="preserve">ecretariat. </w:t>
      </w:r>
    </w:p>
    <w:p w14:paraId="7AB81411" w14:textId="77777777" w:rsidR="008A0B10" w:rsidRPr="00BD0203" w:rsidRDefault="008A0B10" w:rsidP="008A0B10">
      <w:pPr>
        <w:snapToGrid w:val="0"/>
        <w:ind w:left="709" w:hanging="709"/>
        <w:rPr>
          <w:rFonts w:asciiTheme="minorHAnsi" w:hAnsiTheme="minorHAnsi" w:cstheme="minorHAnsi"/>
          <w:sz w:val="24"/>
        </w:rPr>
      </w:pPr>
    </w:p>
    <w:p w14:paraId="02E6BC4D" w14:textId="7C39E544" w:rsidR="008A0B10" w:rsidRPr="00BD0203" w:rsidRDefault="009C404B" w:rsidP="008A0B10">
      <w:pPr>
        <w:snapToGrid w:val="0"/>
        <w:ind w:left="709" w:hanging="709"/>
        <w:rPr>
          <w:rFonts w:asciiTheme="minorHAnsi" w:hAnsiTheme="minorHAnsi" w:cstheme="minorHAnsi"/>
          <w:sz w:val="24"/>
        </w:rPr>
      </w:pPr>
      <w:r w:rsidRPr="00BD0203">
        <w:rPr>
          <w:rFonts w:asciiTheme="minorHAnsi" w:hAnsiTheme="minorHAnsi" w:cstheme="minorHAnsi"/>
          <w:sz w:val="24"/>
        </w:rPr>
        <w:t>10.5</w:t>
      </w:r>
      <w:r w:rsidRPr="00BD0203">
        <w:rPr>
          <w:rFonts w:asciiTheme="minorHAnsi" w:hAnsiTheme="minorHAnsi" w:cstheme="minorHAnsi"/>
          <w:sz w:val="24"/>
        </w:rPr>
        <w:tab/>
      </w:r>
      <w:r w:rsidR="008A0B10" w:rsidRPr="00BD0203">
        <w:rPr>
          <w:rFonts w:asciiTheme="minorHAnsi" w:hAnsiTheme="minorHAnsi" w:cstheme="minorHAnsi"/>
          <w:sz w:val="24"/>
        </w:rPr>
        <w:t xml:space="preserve">The meeting agreed that the Russian Federation and the </w:t>
      </w:r>
      <w:r w:rsidR="00FB3D8B" w:rsidRPr="00BD0203">
        <w:rPr>
          <w:rFonts w:asciiTheme="minorHAnsi" w:hAnsiTheme="minorHAnsi" w:cstheme="minorHAnsi"/>
          <w:sz w:val="24"/>
        </w:rPr>
        <w:t>s</w:t>
      </w:r>
      <w:r w:rsidR="008A0B10" w:rsidRPr="00BD0203">
        <w:rPr>
          <w:rFonts w:asciiTheme="minorHAnsi" w:hAnsiTheme="minorHAnsi" w:cstheme="minorHAnsi"/>
          <w:sz w:val="24"/>
        </w:rPr>
        <w:t xml:space="preserve">ecretariat will work together to </w:t>
      </w:r>
    </w:p>
    <w:p w14:paraId="7090CB35" w14:textId="3F684FD6" w:rsidR="008A0B10" w:rsidRPr="00BD0203" w:rsidRDefault="008A0B10" w:rsidP="009C404B">
      <w:pPr>
        <w:snapToGrid w:val="0"/>
        <w:rPr>
          <w:rFonts w:asciiTheme="minorHAnsi" w:hAnsiTheme="minorHAnsi" w:cstheme="minorHAnsi"/>
          <w:sz w:val="24"/>
        </w:rPr>
      </w:pPr>
      <w:r w:rsidRPr="00BD0203">
        <w:rPr>
          <w:rFonts w:asciiTheme="minorHAnsi" w:hAnsiTheme="minorHAnsi" w:cstheme="minorHAnsi"/>
          <w:sz w:val="24"/>
        </w:rPr>
        <w:t>establish a methodology for calculating in-kind contributions and will report to the</w:t>
      </w:r>
      <w:r w:rsidR="009C404B" w:rsidRPr="00BD0203">
        <w:rPr>
          <w:rFonts w:asciiTheme="minorHAnsi" w:hAnsiTheme="minorHAnsi" w:cstheme="minorHAnsi"/>
          <w:sz w:val="24"/>
        </w:rPr>
        <w:t xml:space="preserve"> </w:t>
      </w:r>
      <w:r w:rsidRPr="00BD0203">
        <w:rPr>
          <w:rFonts w:asciiTheme="minorHAnsi" w:hAnsiTheme="minorHAnsi" w:cstheme="minorHAnsi"/>
          <w:sz w:val="24"/>
        </w:rPr>
        <w:t>next CWG-FHR session.</w:t>
      </w:r>
    </w:p>
    <w:p w14:paraId="3A866414" w14:textId="50BA1487" w:rsidR="004D597E" w:rsidRPr="00BD0203" w:rsidRDefault="004D597E" w:rsidP="008A0B10">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7BCE7943" w14:textId="373F41EB" w:rsidR="004D597E" w:rsidRPr="00BD0203" w:rsidRDefault="004D597E" w:rsidP="004D597E">
      <w:pPr>
        <w:snapToGrid w:val="0"/>
        <w:ind w:left="709" w:hanging="709"/>
        <w:rPr>
          <w:rFonts w:asciiTheme="minorHAnsi" w:hAnsiTheme="minorHAnsi" w:cstheme="minorHAnsi"/>
          <w:b/>
          <w:bCs/>
          <w:sz w:val="24"/>
          <w:lang w:val="en-GB" w:eastAsia="en-AU"/>
        </w:rPr>
      </w:pPr>
      <w:r w:rsidRPr="00BD0203">
        <w:rPr>
          <w:rFonts w:asciiTheme="minorHAnsi" w:hAnsiTheme="minorHAnsi" w:cstheme="minorHAnsi"/>
          <w:b/>
          <w:bCs/>
          <w:sz w:val="24"/>
        </w:rPr>
        <w:t>11</w:t>
      </w:r>
      <w:r w:rsidRPr="00BD0203">
        <w:rPr>
          <w:rFonts w:asciiTheme="minorHAnsi" w:hAnsiTheme="minorHAnsi" w:cstheme="minorHAnsi"/>
          <w:b/>
          <w:bCs/>
          <w:sz w:val="24"/>
        </w:rPr>
        <w:tab/>
      </w:r>
      <w:r w:rsidR="005E6186" w:rsidRPr="00BD0203">
        <w:rPr>
          <w:rFonts w:asciiTheme="minorHAnsi" w:hAnsiTheme="minorHAnsi" w:cstheme="minorHAnsi"/>
          <w:b/>
          <w:sz w:val="24"/>
        </w:rPr>
        <w:t xml:space="preserve">Contribution by the Republic of Belarus, the Republic of Uzbekistan and the Russian Federation:  </w:t>
      </w:r>
      <w:r w:rsidRPr="00BD0203">
        <w:rPr>
          <w:rFonts w:asciiTheme="minorHAnsi" w:hAnsiTheme="minorHAnsi" w:cstheme="minorHAnsi"/>
          <w:b/>
          <w:sz w:val="24"/>
        </w:rPr>
        <w:t xml:space="preserve">Proposals to clarify the provisions of Annex 2 «Rules, procedures and financial arrangements for voluntary contributions and trust funds» of the ITU Financial </w:t>
      </w:r>
      <w:r w:rsidRPr="00BD0203">
        <w:rPr>
          <w:rFonts w:asciiTheme="minorHAnsi" w:hAnsiTheme="minorHAnsi" w:cstheme="minorHAnsi"/>
          <w:b/>
          <w:bCs/>
          <w:sz w:val="24"/>
        </w:rPr>
        <w:t xml:space="preserve">Regulations and Financial Rules (Document </w:t>
      </w:r>
      <w:hyperlink r:id="rId30" w:history="1">
        <w:r w:rsidRPr="00BD0203">
          <w:rPr>
            <w:rStyle w:val="Hyperlink"/>
            <w:rFonts w:asciiTheme="minorHAnsi" w:hAnsiTheme="minorHAnsi" w:cstheme="minorHAnsi"/>
            <w:b/>
            <w:bCs/>
            <w:color w:val="auto"/>
            <w:sz w:val="24"/>
          </w:rPr>
          <w:t>CWG-FHR-12/14</w:t>
        </w:r>
      </w:hyperlink>
      <w:r w:rsidR="005E6186" w:rsidRPr="00BD0203">
        <w:rPr>
          <w:rStyle w:val="Hyperlink"/>
          <w:rFonts w:asciiTheme="minorHAnsi" w:hAnsiTheme="minorHAnsi" w:cstheme="minorHAnsi"/>
          <w:b/>
          <w:bCs/>
          <w:color w:val="auto"/>
          <w:sz w:val="24"/>
        </w:rPr>
        <w:t xml:space="preserve"> (Rev.1</w:t>
      </w:r>
      <w:r w:rsidRPr="00BD0203">
        <w:rPr>
          <w:rStyle w:val="Hyperlink"/>
          <w:rFonts w:asciiTheme="minorHAnsi" w:hAnsiTheme="minorHAnsi" w:cstheme="minorHAnsi"/>
          <w:b/>
          <w:bCs/>
          <w:color w:val="auto"/>
          <w:sz w:val="24"/>
        </w:rPr>
        <w:t>)</w:t>
      </w:r>
    </w:p>
    <w:p w14:paraId="0DB260E7" w14:textId="592840E4" w:rsidR="004D597E" w:rsidRPr="00BD0203" w:rsidRDefault="004D597E" w:rsidP="00EA43D5">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35B9B3D9" w14:textId="21F04488" w:rsidR="002B6F25" w:rsidRPr="00BD0203" w:rsidRDefault="002B6F25" w:rsidP="002B6F25">
      <w:pPr>
        <w:snapToGrid w:val="0"/>
        <w:rPr>
          <w:rFonts w:asciiTheme="minorHAnsi" w:hAnsiTheme="minorHAnsi" w:cstheme="minorHAnsi"/>
          <w:sz w:val="24"/>
        </w:rPr>
      </w:pPr>
      <w:r w:rsidRPr="00BD0203">
        <w:rPr>
          <w:rFonts w:asciiTheme="minorHAnsi" w:hAnsiTheme="minorHAnsi" w:cstheme="minorHAnsi"/>
          <w:sz w:val="24"/>
        </w:rPr>
        <w:t>11.1</w:t>
      </w:r>
      <w:r w:rsidRPr="00BD0203">
        <w:rPr>
          <w:rFonts w:asciiTheme="minorHAnsi" w:hAnsiTheme="minorHAnsi" w:cstheme="minorHAnsi"/>
          <w:sz w:val="24"/>
        </w:rPr>
        <w:tab/>
        <w:t>The Russian Federation presented document CWG-FRH-12/14 which is a contribution from the</w:t>
      </w:r>
      <w:r w:rsidR="00836423" w:rsidRPr="00BD0203">
        <w:rPr>
          <w:rFonts w:asciiTheme="minorHAnsi" w:hAnsiTheme="minorHAnsi" w:cstheme="minorHAnsi"/>
          <w:sz w:val="24"/>
        </w:rPr>
        <w:t xml:space="preserve"> </w:t>
      </w:r>
      <w:r w:rsidRPr="00BD0203">
        <w:rPr>
          <w:rFonts w:asciiTheme="minorHAnsi" w:hAnsiTheme="minorHAnsi" w:cstheme="minorHAnsi"/>
          <w:sz w:val="24"/>
        </w:rPr>
        <w:t>Republic of Belarus, the Republic of Uzbekistan, and the Russian Federation.</w:t>
      </w:r>
    </w:p>
    <w:p w14:paraId="303556FD" w14:textId="77777777" w:rsidR="002B6F25" w:rsidRPr="00BD0203" w:rsidRDefault="002B6F25" w:rsidP="002B6F25">
      <w:pPr>
        <w:snapToGrid w:val="0"/>
        <w:rPr>
          <w:rFonts w:asciiTheme="minorHAnsi" w:hAnsiTheme="minorHAnsi" w:cstheme="minorHAnsi"/>
          <w:sz w:val="24"/>
        </w:rPr>
      </w:pPr>
    </w:p>
    <w:p w14:paraId="54FD3037" w14:textId="26A7ADE0" w:rsidR="002B6F25" w:rsidRPr="00BD0203" w:rsidRDefault="002B6F25" w:rsidP="002B6F25">
      <w:pPr>
        <w:snapToGrid w:val="0"/>
        <w:rPr>
          <w:rFonts w:asciiTheme="minorHAnsi" w:hAnsiTheme="minorHAnsi" w:cstheme="minorHAnsi"/>
          <w:sz w:val="24"/>
        </w:rPr>
      </w:pPr>
      <w:r w:rsidRPr="00BD0203">
        <w:rPr>
          <w:rFonts w:asciiTheme="minorHAnsi" w:hAnsiTheme="minorHAnsi" w:cstheme="minorHAnsi"/>
          <w:sz w:val="24"/>
        </w:rPr>
        <w:t>11.2</w:t>
      </w:r>
      <w:r w:rsidRPr="00BD0203">
        <w:rPr>
          <w:rFonts w:asciiTheme="minorHAnsi" w:hAnsiTheme="minorHAnsi" w:cstheme="minorHAnsi"/>
          <w:sz w:val="24"/>
        </w:rPr>
        <w:tab/>
        <w:t>This document presents some proposed amendments to Annex 2 «Rules, procedures and financial arrangements for voluntary contributions and trust funds» of the ITU Financial Regulations and Financial Rules.</w:t>
      </w:r>
    </w:p>
    <w:p w14:paraId="102F9FCD" w14:textId="77777777" w:rsidR="002B6F25" w:rsidRPr="00BD0203" w:rsidRDefault="002B6F25" w:rsidP="002B6F25">
      <w:pPr>
        <w:snapToGrid w:val="0"/>
        <w:rPr>
          <w:rFonts w:asciiTheme="minorHAnsi" w:hAnsiTheme="minorHAnsi" w:cstheme="minorHAnsi"/>
          <w:sz w:val="24"/>
        </w:rPr>
      </w:pPr>
    </w:p>
    <w:p w14:paraId="32B13397" w14:textId="07B0BC17" w:rsidR="002B6F25" w:rsidRPr="00BD0203" w:rsidRDefault="002B6F25" w:rsidP="002B6F25">
      <w:pPr>
        <w:snapToGrid w:val="0"/>
        <w:rPr>
          <w:rFonts w:asciiTheme="minorHAnsi" w:hAnsiTheme="minorHAnsi" w:cstheme="minorHAnsi"/>
          <w:sz w:val="24"/>
        </w:rPr>
      </w:pPr>
      <w:r w:rsidRPr="00BD0203">
        <w:rPr>
          <w:rFonts w:asciiTheme="minorHAnsi" w:hAnsiTheme="minorHAnsi" w:cstheme="minorHAnsi"/>
          <w:sz w:val="24"/>
        </w:rPr>
        <w:t>11.3</w:t>
      </w:r>
      <w:r w:rsidRPr="00BD0203">
        <w:rPr>
          <w:rFonts w:asciiTheme="minorHAnsi" w:hAnsiTheme="minorHAnsi" w:cstheme="minorHAnsi"/>
          <w:sz w:val="24"/>
        </w:rPr>
        <w:tab/>
        <w:t xml:space="preserve">As suggested by the </w:t>
      </w:r>
      <w:r w:rsidR="00836423" w:rsidRPr="00BD0203">
        <w:rPr>
          <w:rFonts w:asciiTheme="minorHAnsi" w:hAnsiTheme="minorHAnsi" w:cstheme="minorHAnsi"/>
          <w:sz w:val="24"/>
        </w:rPr>
        <w:t>s</w:t>
      </w:r>
      <w:r w:rsidRPr="00BD0203">
        <w:rPr>
          <w:rFonts w:asciiTheme="minorHAnsi" w:hAnsiTheme="minorHAnsi" w:cstheme="minorHAnsi"/>
          <w:sz w:val="24"/>
        </w:rPr>
        <w:t xml:space="preserve">ecretariat, </w:t>
      </w:r>
      <w:r w:rsidR="00836423" w:rsidRPr="00BD0203">
        <w:rPr>
          <w:rFonts w:asciiTheme="minorHAnsi" w:hAnsiTheme="minorHAnsi" w:cstheme="minorHAnsi"/>
          <w:sz w:val="24"/>
        </w:rPr>
        <w:t xml:space="preserve">delegates </w:t>
      </w:r>
      <w:r w:rsidRPr="00BD0203">
        <w:rPr>
          <w:rFonts w:asciiTheme="minorHAnsi" w:hAnsiTheme="minorHAnsi" w:cstheme="minorHAnsi"/>
          <w:sz w:val="24"/>
        </w:rPr>
        <w:t>agreed that this contribution will be further reviewed</w:t>
      </w:r>
      <w:r w:rsidR="00836423" w:rsidRPr="00BD0203">
        <w:rPr>
          <w:rFonts w:asciiTheme="minorHAnsi" w:hAnsiTheme="minorHAnsi" w:cstheme="minorHAnsi"/>
          <w:sz w:val="24"/>
        </w:rPr>
        <w:t xml:space="preserve"> </w:t>
      </w:r>
      <w:r w:rsidRPr="00BD0203">
        <w:rPr>
          <w:rFonts w:asciiTheme="minorHAnsi" w:hAnsiTheme="minorHAnsi" w:cstheme="minorHAnsi"/>
          <w:sz w:val="24"/>
        </w:rPr>
        <w:t>at the next session of the CWG-FHR, along with the methodology for calculating the in-kind contribution (agenda item 10).</w:t>
      </w:r>
    </w:p>
    <w:p w14:paraId="65CA70A8" w14:textId="77777777" w:rsidR="002B6F25" w:rsidRPr="00BD0203" w:rsidRDefault="002B6F25" w:rsidP="004D597E">
      <w:pPr>
        <w:tabs>
          <w:tab w:val="left" w:pos="324"/>
        </w:tabs>
        <w:overflowPunct w:val="0"/>
        <w:autoSpaceDE w:val="0"/>
        <w:autoSpaceDN w:val="0"/>
        <w:adjustRightInd w:val="0"/>
        <w:snapToGrid w:val="0"/>
        <w:ind w:left="709" w:hanging="709"/>
        <w:textAlignment w:val="baseline"/>
        <w:rPr>
          <w:rFonts w:asciiTheme="minorHAnsi" w:hAnsiTheme="minorHAnsi" w:cstheme="minorHAnsi"/>
          <w:b/>
          <w:bCs/>
          <w:sz w:val="24"/>
        </w:rPr>
      </w:pPr>
    </w:p>
    <w:p w14:paraId="148772A0" w14:textId="5EA11C60" w:rsidR="004D597E" w:rsidRPr="00BD0203" w:rsidRDefault="004D597E" w:rsidP="004D597E">
      <w:pPr>
        <w:tabs>
          <w:tab w:val="left" w:pos="324"/>
        </w:tabs>
        <w:overflowPunct w:val="0"/>
        <w:autoSpaceDE w:val="0"/>
        <w:autoSpaceDN w:val="0"/>
        <w:adjustRightInd w:val="0"/>
        <w:snapToGrid w:val="0"/>
        <w:ind w:left="709" w:hanging="709"/>
        <w:textAlignment w:val="baseline"/>
        <w:rPr>
          <w:rFonts w:asciiTheme="minorHAnsi" w:hAnsiTheme="minorHAnsi" w:cstheme="minorHAnsi"/>
          <w:b/>
          <w:bCs/>
          <w:sz w:val="24"/>
        </w:rPr>
      </w:pPr>
      <w:r w:rsidRPr="00BD0203">
        <w:rPr>
          <w:rFonts w:asciiTheme="minorHAnsi" w:hAnsiTheme="minorHAnsi" w:cstheme="minorHAnsi"/>
          <w:b/>
          <w:bCs/>
          <w:sz w:val="24"/>
        </w:rPr>
        <w:t>12</w:t>
      </w:r>
      <w:r w:rsidRPr="00BD0203">
        <w:rPr>
          <w:rFonts w:asciiTheme="minorHAnsi" w:hAnsiTheme="minorHAnsi" w:cstheme="minorHAnsi"/>
          <w:b/>
          <w:bCs/>
          <w:sz w:val="24"/>
        </w:rPr>
        <w:tab/>
      </w:r>
      <w:r w:rsidRPr="00BD0203">
        <w:rPr>
          <w:rFonts w:asciiTheme="minorHAnsi" w:hAnsiTheme="minorHAnsi" w:cstheme="minorHAnsi"/>
          <w:b/>
          <w:bCs/>
          <w:sz w:val="24"/>
        </w:rPr>
        <w:tab/>
        <w:t xml:space="preserve">JIU Reports on United Nations system-wide issues for 2019-2020 and recommendations to executive heads and legislative bodies (Document </w:t>
      </w:r>
      <w:hyperlink r:id="rId31" w:history="1">
        <w:r w:rsidRPr="00BD0203">
          <w:rPr>
            <w:rStyle w:val="Hyperlink"/>
            <w:rFonts w:asciiTheme="minorHAnsi" w:hAnsiTheme="minorHAnsi" w:cstheme="minorHAnsi"/>
            <w:b/>
            <w:bCs/>
            <w:color w:val="auto"/>
            <w:sz w:val="24"/>
          </w:rPr>
          <w:t>CWG-FHR-12/6</w:t>
        </w:r>
      </w:hyperlink>
      <w:r w:rsidRPr="00BD0203">
        <w:rPr>
          <w:rStyle w:val="Hyperlink"/>
          <w:rFonts w:asciiTheme="minorHAnsi" w:hAnsiTheme="minorHAnsi" w:cstheme="minorHAnsi"/>
          <w:b/>
          <w:bCs/>
          <w:color w:val="auto"/>
          <w:sz w:val="24"/>
        </w:rPr>
        <w:t>)</w:t>
      </w:r>
    </w:p>
    <w:p w14:paraId="132BD1B1" w14:textId="0CB58D4B" w:rsidR="004D597E" w:rsidRPr="00BD0203" w:rsidRDefault="004D597E" w:rsidP="004C1FFF">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236A1A66" w14:textId="0D0843BE" w:rsidR="001D31C2" w:rsidRPr="00BD0203" w:rsidRDefault="004C1FFF" w:rsidP="004C1FFF">
      <w:pPr>
        <w:tabs>
          <w:tab w:val="left" w:pos="324"/>
        </w:tabs>
        <w:rPr>
          <w:rFonts w:asciiTheme="minorHAnsi" w:hAnsiTheme="minorHAnsi" w:cstheme="minorHAnsi"/>
          <w:sz w:val="24"/>
          <w:lang w:eastAsia="en-US"/>
        </w:rPr>
      </w:pPr>
      <w:r w:rsidRPr="00BD0203">
        <w:rPr>
          <w:rFonts w:asciiTheme="minorHAnsi" w:hAnsiTheme="minorHAnsi" w:cstheme="minorHAnsi"/>
          <w:sz w:val="24"/>
          <w:lang w:eastAsia="en-US"/>
        </w:rPr>
        <w:t>12.1</w:t>
      </w:r>
      <w:r w:rsidRPr="00BD0203">
        <w:rPr>
          <w:rFonts w:asciiTheme="minorHAnsi" w:hAnsiTheme="minorHAnsi" w:cstheme="minorHAnsi"/>
          <w:sz w:val="24"/>
          <w:lang w:eastAsia="en-US"/>
        </w:rPr>
        <w:tab/>
        <w:t xml:space="preserve">Delegates </w:t>
      </w:r>
      <w:r w:rsidR="001D31C2" w:rsidRPr="00BD0203">
        <w:rPr>
          <w:rFonts w:asciiTheme="minorHAnsi" w:hAnsiTheme="minorHAnsi" w:cstheme="minorHAnsi"/>
          <w:sz w:val="24"/>
          <w:lang w:eastAsia="en-US"/>
        </w:rPr>
        <w:t xml:space="preserve">expressed appreciation for the report which merited close consideration by the Working Group, particularly regarding JIU Recommendations 3 and 4 of JIU/REP/2020/1 “Review of the state of the investigation function: </w:t>
      </w:r>
      <w:r w:rsidRPr="00BD0203">
        <w:rPr>
          <w:rFonts w:asciiTheme="minorHAnsi" w:hAnsiTheme="minorHAnsi" w:cstheme="minorHAnsi"/>
          <w:sz w:val="24"/>
          <w:lang w:eastAsia="en-US"/>
        </w:rPr>
        <w:t xml:space="preserve"> </w:t>
      </w:r>
      <w:r w:rsidR="001D31C2" w:rsidRPr="00BD0203">
        <w:rPr>
          <w:rFonts w:asciiTheme="minorHAnsi" w:hAnsiTheme="minorHAnsi" w:cstheme="minorHAnsi"/>
          <w:sz w:val="24"/>
          <w:lang w:eastAsia="en-US"/>
        </w:rPr>
        <w:t xml:space="preserve">progress made in the United Nations system organizations in strengthening the investigation function” and requested clarification as to why these two recommendations were marked as ‘not accepted’ by the </w:t>
      </w:r>
      <w:r w:rsidRPr="00BD0203">
        <w:rPr>
          <w:rFonts w:asciiTheme="minorHAnsi" w:hAnsiTheme="minorHAnsi" w:cstheme="minorHAnsi"/>
          <w:sz w:val="24"/>
          <w:lang w:eastAsia="en-US"/>
        </w:rPr>
        <w:t>s</w:t>
      </w:r>
      <w:r w:rsidR="001D31C2" w:rsidRPr="00BD0203">
        <w:rPr>
          <w:rFonts w:asciiTheme="minorHAnsi" w:hAnsiTheme="minorHAnsi" w:cstheme="minorHAnsi"/>
          <w:sz w:val="24"/>
          <w:lang w:eastAsia="en-US"/>
        </w:rPr>
        <w:t>ecretariat.</w:t>
      </w:r>
    </w:p>
    <w:p w14:paraId="388385E9" w14:textId="77777777" w:rsidR="001D31C2" w:rsidRPr="00BD0203" w:rsidRDefault="001D31C2" w:rsidP="004C1FFF">
      <w:pPr>
        <w:tabs>
          <w:tab w:val="left" w:pos="324"/>
        </w:tabs>
        <w:rPr>
          <w:rFonts w:asciiTheme="minorHAnsi" w:hAnsiTheme="minorHAnsi" w:cstheme="minorHAnsi"/>
          <w:sz w:val="24"/>
          <w:lang w:eastAsia="en-US"/>
        </w:rPr>
      </w:pPr>
    </w:p>
    <w:p w14:paraId="28B500BB" w14:textId="3225EFE9" w:rsidR="001D31C2" w:rsidRPr="00BD0203" w:rsidRDefault="004C1FFF" w:rsidP="004C1FFF">
      <w:pPr>
        <w:tabs>
          <w:tab w:val="left" w:pos="324"/>
        </w:tabs>
        <w:rPr>
          <w:rFonts w:asciiTheme="minorHAnsi" w:hAnsiTheme="minorHAnsi" w:cstheme="minorHAnsi"/>
          <w:sz w:val="24"/>
        </w:rPr>
      </w:pPr>
      <w:r w:rsidRPr="00BD0203">
        <w:rPr>
          <w:rFonts w:asciiTheme="minorHAnsi" w:hAnsiTheme="minorHAnsi" w:cstheme="minorHAnsi"/>
          <w:sz w:val="24"/>
        </w:rPr>
        <w:t>12.2</w:t>
      </w:r>
      <w:r w:rsidRPr="00BD0203">
        <w:rPr>
          <w:rFonts w:asciiTheme="minorHAnsi" w:hAnsiTheme="minorHAnsi" w:cstheme="minorHAnsi"/>
          <w:sz w:val="24"/>
        </w:rPr>
        <w:tab/>
      </w:r>
      <w:r w:rsidR="001D31C2" w:rsidRPr="00BD0203">
        <w:rPr>
          <w:rFonts w:asciiTheme="minorHAnsi" w:hAnsiTheme="minorHAnsi" w:cstheme="minorHAnsi"/>
          <w:sz w:val="24"/>
        </w:rPr>
        <w:t xml:space="preserve">The </w:t>
      </w:r>
      <w:r w:rsidRPr="00BD0203">
        <w:rPr>
          <w:rFonts w:asciiTheme="minorHAnsi" w:hAnsiTheme="minorHAnsi" w:cstheme="minorHAnsi"/>
          <w:sz w:val="24"/>
        </w:rPr>
        <w:t>s</w:t>
      </w:r>
      <w:r w:rsidR="001D31C2" w:rsidRPr="00BD0203">
        <w:rPr>
          <w:rFonts w:asciiTheme="minorHAnsi" w:hAnsiTheme="minorHAnsi" w:cstheme="minorHAnsi"/>
          <w:sz w:val="24"/>
        </w:rPr>
        <w:t xml:space="preserve">ecretariat provided clarification that the recommendations directed at the Legislative Bodies were only suggestions for </w:t>
      </w:r>
      <w:r w:rsidRPr="00BD0203">
        <w:rPr>
          <w:rFonts w:asciiTheme="minorHAnsi" w:hAnsiTheme="minorHAnsi" w:cstheme="minorHAnsi"/>
          <w:sz w:val="24"/>
        </w:rPr>
        <w:t xml:space="preserve">delegates </w:t>
      </w:r>
      <w:r w:rsidR="001D31C2" w:rsidRPr="00BD0203">
        <w:rPr>
          <w:rFonts w:asciiTheme="minorHAnsi" w:hAnsiTheme="minorHAnsi" w:cstheme="minorHAnsi"/>
          <w:sz w:val="24"/>
        </w:rPr>
        <w:t xml:space="preserve">to consider and that this could be modified to reflect that further consideration was necessary. The </w:t>
      </w:r>
      <w:r w:rsidRPr="00BD0203">
        <w:rPr>
          <w:rFonts w:asciiTheme="minorHAnsi" w:hAnsiTheme="minorHAnsi" w:cstheme="minorHAnsi"/>
          <w:sz w:val="24"/>
        </w:rPr>
        <w:t>s</w:t>
      </w:r>
      <w:r w:rsidR="001D31C2" w:rsidRPr="00BD0203">
        <w:rPr>
          <w:rFonts w:asciiTheme="minorHAnsi" w:hAnsiTheme="minorHAnsi" w:cstheme="minorHAnsi"/>
          <w:sz w:val="24"/>
        </w:rPr>
        <w:t xml:space="preserve">ecretariat also explained that currently, the decision to start an investigation lies with the ITU Secretary-General. </w:t>
      </w:r>
      <w:r w:rsidRPr="00BD0203">
        <w:rPr>
          <w:rFonts w:asciiTheme="minorHAnsi" w:hAnsiTheme="minorHAnsi" w:cstheme="minorHAnsi"/>
          <w:sz w:val="24"/>
        </w:rPr>
        <w:t xml:space="preserve">The </w:t>
      </w:r>
      <w:r w:rsidR="001D31C2" w:rsidRPr="00BD0203">
        <w:rPr>
          <w:rFonts w:asciiTheme="minorHAnsi" w:hAnsiTheme="minorHAnsi" w:cstheme="minorHAnsi"/>
          <w:sz w:val="24"/>
        </w:rPr>
        <w:t xml:space="preserve">ITU </w:t>
      </w:r>
      <w:r w:rsidRPr="00BD0203">
        <w:rPr>
          <w:rFonts w:asciiTheme="minorHAnsi" w:hAnsiTheme="minorHAnsi" w:cstheme="minorHAnsi"/>
          <w:sz w:val="24"/>
        </w:rPr>
        <w:t>s</w:t>
      </w:r>
      <w:r w:rsidR="001D31C2" w:rsidRPr="00BD0203">
        <w:rPr>
          <w:rFonts w:asciiTheme="minorHAnsi" w:hAnsiTheme="minorHAnsi" w:cstheme="minorHAnsi"/>
          <w:sz w:val="24"/>
        </w:rPr>
        <w:t xml:space="preserve">ecretariat has already requested the ITU Council to authorize that a new P.4/P.5 grade investigator post be funded through the Union's Reserve Fund, given that, to date, there is none formally focusing on </w:t>
      </w:r>
      <w:r w:rsidR="001D31C2" w:rsidRPr="00BD0203">
        <w:rPr>
          <w:rFonts w:asciiTheme="minorHAnsi" w:hAnsiTheme="minorHAnsi" w:cstheme="minorHAnsi"/>
          <w:sz w:val="24"/>
        </w:rPr>
        <w:lastRenderedPageBreak/>
        <w:t>such function. This was considered by the Second Virtual Consultation of Coun</w:t>
      </w:r>
      <w:r w:rsidR="005F0248" w:rsidRPr="00BD0203">
        <w:rPr>
          <w:rFonts w:asciiTheme="minorHAnsi" w:hAnsiTheme="minorHAnsi" w:cstheme="minorHAnsi"/>
          <w:sz w:val="24"/>
        </w:rPr>
        <w:t>cillors</w:t>
      </w:r>
      <w:r w:rsidR="001D31C2" w:rsidRPr="00BD0203">
        <w:rPr>
          <w:rFonts w:asciiTheme="minorHAnsi" w:hAnsiTheme="minorHAnsi" w:cstheme="minorHAnsi"/>
          <w:sz w:val="24"/>
        </w:rPr>
        <w:t xml:space="preserve"> and approval by correspondence for a P.5 investigator post is expected in the coming weeks.</w:t>
      </w:r>
    </w:p>
    <w:p w14:paraId="42E9CB8B" w14:textId="77777777" w:rsidR="001D31C2" w:rsidRPr="00BD0203" w:rsidRDefault="001D31C2" w:rsidP="004C1FFF">
      <w:pPr>
        <w:tabs>
          <w:tab w:val="left" w:pos="324"/>
        </w:tabs>
        <w:rPr>
          <w:rFonts w:asciiTheme="minorHAnsi" w:hAnsiTheme="minorHAnsi" w:cstheme="minorHAnsi"/>
          <w:sz w:val="24"/>
        </w:rPr>
      </w:pPr>
    </w:p>
    <w:p w14:paraId="1E326386" w14:textId="74719AB4" w:rsidR="001D31C2" w:rsidRPr="00BD0203" w:rsidRDefault="004C1FFF" w:rsidP="004C1FFF">
      <w:pPr>
        <w:tabs>
          <w:tab w:val="left" w:pos="324"/>
        </w:tabs>
        <w:rPr>
          <w:rFonts w:asciiTheme="minorHAnsi" w:hAnsiTheme="minorHAnsi" w:cstheme="minorHAnsi"/>
          <w:sz w:val="24"/>
          <w:lang w:eastAsia="en-US"/>
        </w:rPr>
      </w:pPr>
      <w:r w:rsidRPr="00BD0203">
        <w:rPr>
          <w:rFonts w:asciiTheme="minorHAnsi" w:hAnsiTheme="minorHAnsi" w:cstheme="minorHAnsi"/>
          <w:sz w:val="24"/>
        </w:rPr>
        <w:t>12.3</w:t>
      </w:r>
      <w:r w:rsidRPr="00BD0203">
        <w:rPr>
          <w:rFonts w:asciiTheme="minorHAnsi" w:hAnsiTheme="minorHAnsi" w:cstheme="minorHAnsi"/>
          <w:sz w:val="24"/>
        </w:rPr>
        <w:tab/>
        <w:t xml:space="preserve">Delegates </w:t>
      </w:r>
      <w:r w:rsidR="001D31C2" w:rsidRPr="00BD0203">
        <w:rPr>
          <w:rFonts w:asciiTheme="minorHAnsi" w:hAnsiTheme="minorHAnsi" w:cstheme="minorHAnsi"/>
          <w:sz w:val="24"/>
        </w:rPr>
        <w:t>considered that there seemed to be a disconnect between the explanation and the decision not to accept the above</w:t>
      </w:r>
      <w:r w:rsidRPr="00BD0203">
        <w:rPr>
          <w:rFonts w:asciiTheme="minorHAnsi" w:hAnsiTheme="minorHAnsi" w:cstheme="minorHAnsi"/>
          <w:sz w:val="24"/>
        </w:rPr>
        <w:t>-</w:t>
      </w:r>
      <w:r w:rsidR="001D31C2" w:rsidRPr="00BD0203">
        <w:rPr>
          <w:rFonts w:asciiTheme="minorHAnsi" w:hAnsiTheme="minorHAnsi" w:cstheme="minorHAnsi"/>
          <w:sz w:val="24"/>
        </w:rPr>
        <w:t>mentioned recommendations and that more consideration is required. The decision to further discuss this issue within a small group of the CWG was decided so that a revised document, with more information on acceptance and implementation clarification, be presented to Council at its next session.</w:t>
      </w:r>
    </w:p>
    <w:p w14:paraId="5B0077BA" w14:textId="77777777" w:rsidR="00EA43D5" w:rsidRPr="00BD0203" w:rsidRDefault="00EA43D5" w:rsidP="004C1FFF">
      <w:pPr>
        <w:tabs>
          <w:tab w:val="left" w:pos="324"/>
        </w:tabs>
        <w:overflowPunct w:val="0"/>
        <w:autoSpaceDE w:val="0"/>
        <w:autoSpaceDN w:val="0"/>
        <w:adjustRightInd w:val="0"/>
        <w:snapToGrid w:val="0"/>
        <w:textAlignment w:val="baseline"/>
        <w:rPr>
          <w:rFonts w:asciiTheme="minorHAnsi" w:hAnsiTheme="minorHAnsi" w:cstheme="minorHAnsi"/>
          <w:b/>
          <w:bCs/>
          <w:sz w:val="24"/>
        </w:rPr>
      </w:pPr>
    </w:p>
    <w:p w14:paraId="5E682BE5" w14:textId="29651E42" w:rsidR="00820D82" w:rsidRPr="00BD0203" w:rsidRDefault="00290D95" w:rsidP="00BF5747">
      <w:pPr>
        <w:ind w:left="709" w:hanging="709"/>
        <w:rPr>
          <w:rStyle w:val="Hyperlink"/>
          <w:rFonts w:asciiTheme="minorHAnsi" w:hAnsiTheme="minorHAnsi" w:cstheme="minorHAnsi"/>
          <w:b/>
          <w:bCs/>
          <w:color w:val="auto"/>
          <w:sz w:val="24"/>
        </w:rPr>
      </w:pPr>
      <w:r w:rsidRPr="00BD0203">
        <w:rPr>
          <w:rFonts w:asciiTheme="minorHAnsi" w:hAnsiTheme="minorHAnsi" w:cstheme="minorHAnsi"/>
          <w:b/>
          <w:bCs/>
          <w:sz w:val="24"/>
        </w:rPr>
        <w:t>13</w:t>
      </w:r>
      <w:r w:rsidR="008476F6" w:rsidRPr="00BD0203">
        <w:rPr>
          <w:rFonts w:asciiTheme="minorHAnsi" w:hAnsiTheme="minorHAnsi" w:cstheme="minorHAnsi"/>
          <w:b/>
          <w:bCs/>
          <w:sz w:val="24"/>
        </w:rPr>
        <w:tab/>
      </w:r>
      <w:r w:rsidR="00EA43D5" w:rsidRPr="00BD0203">
        <w:rPr>
          <w:rFonts w:asciiTheme="minorHAnsi" w:hAnsiTheme="minorHAnsi" w:cstheme="minorHAnsi"/>
          <w:b/>
          <w:bCs/>
          <w:sz w:val="24"/>
        </w:rPr>
        <w:t>Impact of the Covid-19 pandemic on the functioning and activities of ITU</w:t>
      </w:r>
      <w:r w:rsidR="00820D82" w:rsidRPr="00BD0203">
        <w:rPr>
          <w:rFonts w:asciiTheme="minorHAnsi" w:hAnsiTheme="minorHAnsi" w:cstheme="minorHAnsi"/>
          <w:b/>
          <w:bCs/>
          <w:sz w:val="24"/>
        </w:rPr>
        <w:br/>
        <w:t xml:space="preserve">(Document </w:t>
      </w:r>
      <w:r w:rsidR="00820D82" w:rsidRPr="00BD0203">
        <w:rPr>
          <w:rFonts w:asciiTheme="minorHAnsi" w:hAnsiTheme="minorHAnsi" w:cstheme="minorHAnsi"/>
          <w:b/>
          <w:bCs/>
          <w:sz w:val="24"/>
        </w:rPr>
        <w:fldChar w:fldCharType="begin"/>
      </w:r>
      <w:r w:rsidR="00820D82" w:rsidRPr="00BD0203">
        <w:rPr>
          <w:rFonts w:asciiTheme="minorHAnsi" w:hAnsiTheme="minorHAnsi" w:cstheme="minorHAnsi"/>
          <w:b/>
          <w:bCs/>
          <w:sz w:val="24"/>
        </w:rPr>
        <w:instrText xml:space="preserve"> HYPERLINK "https://www.itu.int/md/S21-CWGFHR12-C-0012/en" </w:instrText>
      </w:r>
      <w:r w:rsidR="00820D82" w:rsidRPr="00BD0203">
        <w:rPr>
          <w:rFonts w:asciiTheme="minorHAnsi" w:hAnsiTheme="minorHAnsi" w:cstheme="minorHAnsi"/>
          <w:b/>
          <w:bCs/>
          <w:sz w:val="24"/>
        </w:rPr>
        <w:fldChar w:fldCharType="separate"/>
      </w:r>
      <w:r w:rsidR="00820D82" w:rsidRPr="00BD0203">
        <w:rPr>
          <w:rStyle w:val="Hyperlink"/>
          <w:rFonts w:asciiTheme="minorHAnsi" w:hAnsiTheme="minorHAnsi" w:cstheme="minorHAnsi"/>
          <w:b/>
          <w:bCs/>
          <w:color w:val="auto"/>
          <w:sz w:val="24"/>
        </w:rPr>
        <w:t>CWG-FHR-12/12)</w:t>
      </w:r>
    </w:p>
    <w:p w14:paraId="549A339B" w14:textId="0682718C" w:rsidR="00651A48" w:rsidRPr="00BD0203" w:rsidRDefault="00820D82" w:rsidP="00BF5747">
      <w:pPr>
        <w:tabs>
          <w:tab w:val="left" w:pos="709"/>
        </w:tabs>
        <w:overflowPunct w:val="0"/>
        <w:autoSpaceDE w:val="0"/>
        <w:autoSpaceDN w:val="0"/>
        <w:adjustRightInd w:val="0"/>
        <w:snapToGrid w:val="0"/>
        <w:textAlignment w:val="baseline"/>
        <w:rPr>
          <w:rFonts w:asciiTheme="minorHAnsi" w:hAnsiTheme="minorHAnsi" w:cstheme="minorHAnsi"/>
          <w:b/>
          <w:bCs/>
          <w:sz w:val="24"/>
        </w:rPr>
      </w:pPr>
      <w:r w:rsidRPr="00BD0203">
        <w:rPr>
          <w:rFonts w:asciiTheme="minorHAnsi" w:hAnsiTheme="minorHAnsi" w:cstheme="minorHAnsi"/>
          <w:b/>
          <w:bCs/>
          <w:sz w:val="24"/>
        </w:rPr>
        <w:fldChar w:fldCharType="end"/>
      </w:r>
    </w:p>
    <w:p w14:paraId="78E6F782" w14:textId="123F0DDB" w:rsidR="00BF5747" w:rsidRPr="00BD0203" w:rsidRDefault="00980DE1" w:rsidP="00BF5747">
      <w:pPr>
        <w:rPr>
          <w:rFonts w:asciiTheme="minorHAnsi" w:hAnsiTheme="minorHAnsi" w:cstheme="minorHAnsi"/>
          <w:sz w:val="24"/>
          <w:lang w:eastAsia="en-US"/>
        </w:rPr>
      </w:pPr>
      <w:r w:rsidRPr="00BD0203">
        <w:rPr>
          <w:rFonts w:asciiTheme="minorHAnsi" w:hAnsiTheme="minorHAnsi" w:cstheme="minorHAnsi"/>
          <w:sz w:val="24"/>
          <w:lang w:eastAsia="en-US"/>
        </w:rPr>
        <w:t>13.1</w:t>
      </w:r>
      <w:r w:rsidRPr="00BD0203">
        <w:rPr>
          <w:rFonts w:asciiTheme="minorHAnsi" w:hAnsiTheme="minorHAnsi" w:cstheme="minorHAnsi"/>
          <w:sz w:val="24"/>
          <w:lang w:eastAsia="en-US"/>
        </w:rPr>
        <w:tab/>
        <w:t xml:space="preserve">The </w:t>
      </w:r>
      <w:r w:rsidR="004C1FFF" w:rsidRPr="00BD0203">
        <w:rPr>
          <w:rFonts w:asciiTheme="minorHAnsi" w:hAnsiTheme="minorHAnsi" w:cstheme="minorHAnsi"/>
          <w:sz w:val="24"/>
          <w:lang w:eastAsia="en-US"/>
        </w:rPr>
        <w:t>s</w:t>
      </w:r>
      <w:r w:rsidRPr="00BD0203">
        <w:rPr>
          <w:rFonts w:asciiTheme="minorHAnsi" w:hAnsiTheme="minorHAnsi" w:cstheme="minorHAnsi"/>
          <w:sz w:val="24"/>
          <w:lang w:eastAsia="en-US"/>
        </w:rPr>
        <w:t>ecretariat introduced D</w:t>
      </w:r>
      <w:r w:rsidR="00BF5747" w:rsidRPr="00BD0203">
        <w:rPr>
          <w:rFonts w:asciiTheme="minorHAnsi" w:hAnsiTheme="minorHAnsi" w:cstheme="minorHAnsi"/>
          <w:sz w:val="24"/>
          <w:lang w:eastAsia="en-US"/>
        </w:rPr>
        <w:t>ocument CWG-FHR 12/12.</w:t>
      </w:r>
    </w:p>
    <w:p w14:paraId="15DFDB8A" w14:textId="4FB224AC" w:rsidR="00BF5747" w:rsidRPr="00BD0203" w:rsidRDefault="00BF5747" w:rsidP="00BF5747">
      <w:pPr>
        <w:rPr>
          <w:rFonts w:asciiTheme="minorHAnsi" w:hAnsiTheme="minorHAnsi" w:cstheme="minorHAnsi"/>
          <w:sz w:val="24"/>
          <w:lang w:eastAsia="en-US"/>
        </w:rPr>
      </w:pPr>
    </w:p>
    <w:p w14:paraId="47F5F3FB" w14:textId="618DC30E" w:rsidR="00BF5747" w:rsidRPr="00BD0203" w:rsidRDefault="00980DE1" w:rsidP="00BF5747">
      <w:pPr>
        <w:rPr>
          <w:rFonts w:asciiTheme="minorHAnsi" w:hAnsiTheme="minorHAnsi" w:cstheme="minorHAnsi"/>
          <w:sz w:val="24"/>
          <w:lang w:eastAsia="en-US"/>
        </w:rPr>
      </w:pPr>
      <w:r w:rsidRPr="00BD0203">
        <w:rPr>
          <w:rFonts w:asciiTheme="minorHAnsi" w:hAnsiTheme="minorHAnsi" w:cstheme="minorHAnsi"/>
          <w:sz w:val="24"/>
          <w:lang w:eastAsia="en-US"/>
        </w:rPr>
        <w:t>13.2</w:t>
      </w:r>
      <w:r w:rsidRPr="00BD0203">
        <w:rPr>
          <w:rFonts w:asciiTheme="minorHAnsi" w:hAnsiTheme="minorHAnsi" w:cstheme="minorHAnsi"/>
          <w:sz w:val="24"/>
          <w:lang w:eastAsia="en-US"/>
        </w:rPr>
        <w:tab/>
      </w:r>
      <w:r w:rsidR="00BF5747" w:rsidRPr="00BD0203">
        <w:rPr>
          <w:rFonts w:asciiTheme="minorHAnsi" w:hAnsiTheme="minorHAnsi" w:cstheme="minorHAnsi"/>
          <w:sz w:val="24"/>
          <w:lang w:eastAsia="en-US"/>
        </w:rPr>
        <w:t xml:space="preserve">In response to </w:t>
      </w:r>
      <w:r w:rsidR="00416C2F" w:rsidRPr="00BD0203">
        <w:rPr>
          <w:rFonts w:asciiTheme="minorHAnsi" w:hAnsiTheme="minorHAnsi" w:cstheme="minorHAnsi"/>
          <w:sz w:val="24"/>
          <w:lang w:eastAsia="en-US"/>
        </w:rPr>
        <w:t xml:space="preserve">a </w:t>
      </w:r>
      <w:r w:rsidR="00BF5747" w:rsidRPr="00BD0203">
        <w:rPr>
          <w:rFonts w:asciiTheme="minorHAnsi" w:hAnsiTheme="minorHAnsi" w:cstheme="minorHAnsi"/>
          <w:sz w:val="24"/>
          <w:lang w:eastAsia="en-US"/>
        </w:rPr>
        <w:t xml:space="preserve">request by </w:t>
      </w:r>
      <w:r w:rsidR="00416C2F" w:rsidRPr="00BD0203">
        <w:rPr>
          <w:rFonts w:asciiTheme="minorHAnsi" w:hAnsiTheme="minorHAnsi" w:cstheme="minorHAnsi"/>
          <w:sz w:val="24"/>
          <w:lang w:eastAsia="en-US"/>
        </w:rPr>
        <w:t xml:space="preserve">the </w:t>
      </w:r>
      <w:r w:rsidR="00416C2F" w:rsidRPr="00BD0203">
        <w:rPr>
          <w:rFonts w:asciiTheme="minorHAnsi" w:hAnsiTheme="minorHAnsi" w:cstheme="minorHAnsi"/>
          <w:sz w:val="24"/>
        </w:rPr>
        <w:t>Second Virtual Consultation of Coun</w:t>
      </w:r>
      <w:r w:rsidR="005D07C3" w:rsidRPr="00BD0203">
        <w:rPr>
          <w:rFonts w:asciiTheme="minorHAnsi" w:hAnsiTheme="minorHAnsi" w:cstheme="minorHAnsi"/>
          <w:sz w:val="24"/>
        </w:rPr>
        <w:t>ci</w:t>
      </w:r>
      <w:r w:rsidR="00416C2F" w:rsidRPr="00BD0203">
        <w:rPr>
          <w:rFonts w:asciiTheme="minorHAnsi" w:hAnsiTheme="minorHAnsi" w:cstheme="minorHAnsi"/>
          <w:sz w:val="24"/>
        </w:rPr>
        <w:t>llors (VCC-2)</w:t>
      </w:r>
      <w:r w:rsidR="00BF5747" w:rsidRPr="00BD0203">
        <w:rPr>
          <w:rFonts w:asciiTheme="minorHAnsi" w:hAnsiTheme="minorHAnsi" w:cstheme="minorHAnsi"/>
          <w:sz w:val="24"/>
          <w:lang w:eastAsia="en-US"/>
        </w:rPr>
        <w:t xml:space="preserve">, </w:t>
      </w:r>
      <w:r w:rsidRPr="00BD0203">
        <w:rPr>
          <w:rFonts w:asciiTheme="minorHAnsi" w:hAnsiTheme="minorHAnsi" w:cstheme="minorHAnsi"/>
          <w:sz w:val="24"/>
          <w:lang w:eastAsia="en-US"/>
        </w:rPr>
        <w:t>D</w:t>
      </w:r>
      <w:r w:rsidR="00BF5747" w:rsidRPr="00BD0203">
        <w:rPr>
          <w:rFonts w:asciiTheme="minorHAnsi" w:hAnsiTheme="minorHAnsi" w:cstheme="minorHAnsi"/>
          <w:sz w:val="24"/>
          <w:lang w:eastAsia="en-US"/>
        </w:rPr>
        <w:t>ocument</w:t>
      </w:r>
      <w:r w:rsidR="00416C2F" w:rsidRPr="00BD0203">
        <w:rPr>
          <w:rFonts w:asciiTheme="minorHAnsi" w:hAnsiTheme="minorHAnsi" w:cstheme="minorHAnsi"/>
          <w:sz w:val="24"/>
          <w:lang w:eastAsia="en-US"/>
        </w:rPr>
        <w:t> </w:t>
      </w:r>
      <w:r w:rsidR="00BF5747" w:rsidRPr="00BD0203">
        <w:rPr>
          <w:rFonts w:asciiTheme="minorHAnsi" w:hAnsiTheme="minorHAnsi" w:cstheme="minorHAnsi"/>
          <w:sz w:val="24"/>
          <w:lang w:eastAsia="en-US"/>
        </w:rPr>
        <w:t>VC</w:t>
      </w:r>
      <w:r w:rsidR="00100F73" w:rsidRPr="00BD0203">
        <w:rPr>
          <w:rFonts w:asciiTheme="minorHAnsi" w:hAnsiTheme="minorHAnsi" w:cstheme="minorHAnsi"/>
          <w:sz w:val="24"/>
          <w:lang w:eastAsia="en-US"/>
        </w:rPr>
        <w:t>\</w:t>
      </w:r>
      <w:r w:rsidR="00BF5747" w:rsidRPr="00BD0203">
        <w:rPr>
          <w:rFonts w:asciiTheme="minorHAnsi" w:hAnsiTheme="minorHAnsi" w:cstheme="minorHAnsi"/>
          <w:sz w:val="24"/>
          <w:lang w:eastAsia="en-US"/>
        </w:rPr>
        <w:t xml:space="preserve">13 (Rev.1) has been updated to cover the progress since </w:t>
      </w:r>
      <w:r w:rsidR="00416C2F" w:rsidRPr="00BD0203">
        <w:rPr>
          <w:rFonts w:asciiTheme="minorHAnsi" w:hAnsiTheme="minorHAnsi" w:cstheme="minorHAnsi"/>
          <w:sz w:val="24"/>
          <w:lang w:eastAsia="en-US"/>
        </w:rPr>
        <w:t>VCC-2</w:t>
      </w:r>
      <w:r w:rsidR="00416C2F" w:rsidRPr="00BD0203">
        <w:rPr>
          <w:rFonts w:asciiTheme="minorHAnsi" w:hAnsiTheme="minorHAnsi" w:cstheme="minorHAnsi"/>
          <w:sz w:val="24"/>
        </w:rPr>
        <w:t xml:space="preserve"> </w:t>
      </w:r>
      <w:r w:rsidR="00BF5747" w:rsidRPr="00BD0203">
        <w:rPr>
          <w:rFonts w:asciiTheme="minorHAnsi" w:hAnsiTheme="minorHAnsi" w:cstheme="minorHAnsi"/>
          <w:sz w:val="24"/>
          <w:lang w:eastAsia="en-US"/>
        </w:rPr>
        <w:t>on the impact of the current pandemic on the functioning and activities of ITU, and measures introduced in response to COVID-19.</w:t>
      </w:r>
    </w:p>
    <w:p w14:paraId="392C7DEC" w14:textId="77777777" w:rsidR="00BF5747" w:rsidRPr="00BD0203" w:rsidRDefault="00BF5747" w:rsidP="00BF5747">
      <w:pPr>
        <w:rPr>
          <w:rFonts w:asciiTheme="minorHAnsi" w:hAnsiTheme="minorHAnsi" w:cstheme="minorHAnsi"/>
          <w:sz w:val="24"/>
          <w:lang w:eastAsia="en-US"/>
        </w:rPr>
      </w:pPr>
    </w:p>
    <w:p w14:paraId="419DBC86" w14:textId="68B0DE3C" w:rsidR="00BF5747" w:rsidRPr="00BD0203" w:rsidRDefault="00980DE1" w:rsidP="00BF5747">
      <w:pPr>
        <w:rPr>
          <w:rFonts w:asciiTheme="minorHAnsi" w:hAnsiTheme="minorHAnsi" w:cstheme="minorHAnsi"/>
          <w:sz w:val="24"/>
          <w:lang w:eastAsia="en-US"/>
        </w:rPr>
      </w:pPr>
      <w:r w:rsidRPr="00BD0203">
        <w:rPr>
          <w:rFonts w:asciiTheme="minorHAnsi" w:hAnsiTheme="minorHAnsi" w:cstheme="minorHAnsi"/>
          <w:sz w:val="24"/>
          <w:lang w:eastAsia="en-US"/>
        </w:rPr>
        <w:t>13.3</w:t>
      </w:r>
      <w:r w:rsidRPr="00BD0203">
        <w:rPr>
          <w:rFonts w:asciiTheme="minorHAnsi" w:hAnsiTheme="minorHAnsi" w:cstheme="minorHAnsi"/>
          <w:sz w:val="24"/>
          <w:lang w:eastAsia="en-US"/>
        </w:rPr>
        <w:tab/>
      </w:r>
      <w:r w:rsidR="00BF5747" w:rsidRPr="00BD0203">
        <w:rPr>
          <w:rFonts w:asciiTheme="minorHAnsi" w:hAnsiTheme="minorHAnsi" w:cstheme="minorHAnsi"/>
          <w:sz w:val="24"/>
          <w:lang w:eastAsia="en-US"/>
        </w:rPr>
        <w:t>ITU has introduced an extensive number of measures to continue to provide services uninterrupted during the pandemic as outlined in section 3. ITU staff have worked from home and access to ITU Headquarter premises has been strictly reserved for persons who need to be in the premises to undertake essential official business that cannot be conducted remotely. ITU has implemented various mitigation measures which have so far proven effective.</w:t>
      </w:r>
    </w:p>
    <w:p w14:paraId="0AE42D61" w14:textId="77777777" w:rsidR="00BF5747" w:rsidRPr="00BD0203" w:rsidRDefault="00BF5747" w:rsidP="00BF5747">
      <w:pPr>
        <w:rPr>
          <w:rFonts w:asciiTheme="minorHAnsi" w:hAnsiTheme="minorHAnsi" w:cstheme="minorHAnsi"/>
          <w:sz w:val="24"/>
          <w:lang w:eastAsia="en-US"/>
        </w:rPr>
      </w:pPr>
    </w:p>
    <w:p w14:paraId="5B564070" w14:textId="1732D29C" w:rsidR="00BF5747" w:rsidRPr="00BD0203" w:rsidRDefault="000C2DDF" w:rsidP="00BF5747">
      <w:pPr>
        <w:rPr>
          <w:rFonts w:asciiTheme="minorHAnsi" w:hAnsiTheme="minorHAnsi" w:cstheme="minorHAnsi"/>
          <w:sz w:val="24"/>
          <w:lang w:eastAsia="en-US"/>
        </w:rPr>
      </w:pPr>
      <w:r w:rsidRPr="00BD0203">
        <w:rPr>
          <w:rFonts w:asciiTheme="minorHAnsi" w:hAnsiTheme="minorHAnsi" w:cstheme="minorHAnsi"/>
          <w:sz w:val="24"/>
          <w:lang w:eastAsia="en-US"/>
        </w:rPr>
        <w:t>13.4</w:t>
      </w:r>
      <w:r w:rsidRPr="00BD0203">
        <w:rPr>
          <w:rFonts w:asciiTheme="minorHAnsi" w:hAnsiTheme="minorHAnsi" w:cstheme="minorHAnsi"/>
          <w:sz w:val="24"/>
          <w:lang w:eastAsia="en-US"/>
        </w:rPr>
        <w:tab/>
      </w:r>
      <w:r w:rsidR="00BF5747" w:rsidRPr="00BD0203">
        <w:rPr>
          <w:rFonts w:asciiTheme="minorHAnsi" w:hAnsiTheme="minorHAnsi" w:cstheme="minorHAnsi"/>
          <w:sz w:val="24"/>
          <w:lang w:eastAsia="en-US"/>
        </w:rPr>
        <w:t xml:space="preserve">COVID-19 vaccination campaigns are expected to start early 2021. ITU staff members will be invited to participate in the national campaign of their duty station. In later stages, when </w:t>
      </w:r>
      <w:r w:rsidR="00BF5747" w:rsidRPr="00BD0203">
        <w:rPr>
          <w:rFonts w:asciiTheme="minorHAnsi" w:hAnsiTheme="minorHAnsi" w:cstheme="minorHAnsi"/>
          <w:spacing w:val="2"/>
          <w:sz w:val="24"/>
          <w:lang w:eastAsia="en-US"/>
        </w:rPr>
        <w:t>vaccine single doses become available, COVID-19 vaccination is expected to be a condition for international air travel. For ITU official trips to resume, ITU will follow the developments</w:t>
      </w:r>
      <w:r w:rsidR="00BF5747" w:rsidRPr="00BD0203">
        <w:rPr>
          <w:rFonts w:asciiTheme="minorHAnsi" w:hAnsiTheme="minorHAnsi" w:cstheme="minorHAnsi"/>
          <w:sz w:val="24"/>
          <w:lang w:eastAsia="en-US"/>
        </w:rPr>
        <w:t xml:space="preserve"> of</w:t>
      </w:r>
      <w:r w:rsidR="00CF68E6" w:rsidRPr="00BD0203">
        <w:rPr>
          <w:rFonts w:asciiTheme="minorHAnsi" w:hAnsiTheme="minorHAnsi" w:cstheme="minorHAnsi"/>
          <w:sz w:val="24"/>
          <w:lang w:eastAsia="en-US"/>
        </w:rPr>
        <w:t xml:space="preserve"> </w:t>
      </w:r>
      <w:r w:rsidR="00BF5747" w:rsidRPr="00BD0203">
        <w:rPr>
          <w:rFonts w:asciiTheme="minorHAnsi" w:hAnsiTheme="minorHAnsi" w:cstheme="minorHAnsi"/>
          <w:sz w:val="24"/>
          <w:lang w:eastAsia="en-US"/>
        </w:rPr>
        <w:t>COVID-19 vaccines procurement and procure single doses if possible or organize care pathways to get official travellers vaccinated.</w:t>
      </w:r>
    </w:p>
    <w:p w14:paraId="4D9A9817" w14:textId="77777777" w:rsidR="00BF5747" w:rsidRPr="00BD0203" w:rsidRDefault="00BF5747" w:rsidP="00BF5747">
      <w:pPr>
        <w:rPr>
          <w:rFonts w:asciiTheme="minorHAnsi" w:hAnsiTheme="minorHAnsi" w:cstheme="minorHAnsi"/>
          <w:sz w:val="24"/>
          <w:lang w:eastAsia="en-US"/>
        </w:rPr>
      </w:pPr>
    </w:p>
    <w:p w14:paraId="16F2E7C6" w14:textId="4D206BF3" w:rsidR="00BF5747" w:rsidRPr="00BD0203" w:rsidRDefault="000C2DDF" w:rsidP="00BF5747">
      <w:pPr>
        <w:rPr>
          <w:rFonts w:asciiTheme="minorHAnsi" w:hAnsiTheme="minorHAnsi" w:cstheme="minorHAnsi"/>
          <w:sz w:val="24"/>
          <w:lang w:val="en-GB" w:eastAsia="en-US"/>
        </w:rPr>
      </w:pPr>
      <w:r w:rsidRPr="00BD0203">
        <w:rPr>
          <w:rFonts w:asciiTheme="minorHAnsi" w:hAnsiTheme="minorHAnsi" w:cstheme="minorHAnsi"/>
          <w:sz w:val="24"/>
          <w:lang w:eastAsia="en-US"/>
        </w:rPr>
        <w:t>13.5</w:t>
      </w:r>
      <w:r w:rsidRPr="00BD0203">
        <w:rPr>
          <w:rFonts w:asciiTheme="minorHAnsi" w:hAnsiTheme="minorHAnsi" w:cstheme="minorHAnsi"/>
          <w:sz w:val="24"/>
          <w:lang w:eastAsia="en-US"/>
        </w:rPr>
        <w:tab/>
      </w:r>
      <w:r w:rsidR="00BF5747" w:rsidRPr="00BD0203">
        <w:rPr>
          <w:rFonts w:asciiTheme="minorHAnsi" w:hAnsiTheme="minorHAnsi" w:cstheme="minorHAnsi"/>
          <w:sz w:val="24"/>
          <w:lang w:eastAsia="en-US"/>
        </w:rPr>
        <w:t>In December 2020, Zoom Video Communications Inc. informed that U.S. authorities have issued general licenses allowing Zoom to provide services to sanctioned countries for services on official business of the UN, specialized agencies, Programmes, Funds and related organizations. Zoom can hence allow the unrestricted use of its platform for ITU statutory/official meetings. Cisco has advertised the new version of WebEx for Q1 2021 for enabling fully remote and hybrid legislative bodies to convene via WebEx.</w:t>
      </w:r>
    </w:p>
    <w:p w14:paraId="570BDF5D" w14:textId="77777777" w:rsidR="00BF5747" w:rsidRPr="00BD0203" w:rsidRDefault="00BF5747" w:rsidP="00BF5747">
      <w:pPr>
        <w:rPr>
          <w:rFonts w:asciiTheme="minorHAnsi" w:hAnsiTheme="minorHAnsi" w:cstheme="minorHAnsi"/>
          <w:sz w:val="24"/>
          <w:lang w:eastAsia="en-US"/>
        </w:rPr>
      </w:pPr>
    </w:p>
    <w:p w14:paraId="7FB25DA9" w14:textId="276F918F" w:rsidR="00BF5747" w:rsidRPr="00BD0203" w:rsidRDefault="000C2DDF" w:rsidP="00BF5747">
      <w:pPr>
        <w:rPr>
          <w:rFonts w:asciiTheme="minorHAnsi" w:hAnsiTheme="minorHAnsi" w:cstheme="minorHAnsi"/>
          <w:sz w:val="24"/>
          <w:lang w:eastAsia="en-US"/>
        </w:rPr>
      </w:pPr>
      <w:r w:rsidRPr="00BD0203">
        <w:rPr>
          <w:rFonts w:asciiTheme="minorHAnsi" w:hAnsiTheme="minorHAnsi" w:cstheme="minorHAnsi"/>
          <w:sz w:val="24"/>
          <w:lang w:eastAsia="en-US"/>
        </w:rPr>
        <w:t>13.6</w:t>
      </w:r>
      <w:r w:rsidRPr="00BD0203">
        <w:rPr>
          <w:rFonts w:asciiTheme="minorHAnsi" w:hAnsiTheme="minorHAnsi" w:cstheme="minorHAnsi"/>
          <w:sz w:val="24"/>
          <w:lang w:eastAsia="en-US"/>
        </w:rPr>
        <w:tab/>
      </w:r>
      <w:r w:rsidR="00BF5747" w:rsidRPr="00BD0203">
        <w:rPr>
          <w:rFonts w:asciiTheme="minorHAnsi" w:hAnsiTheme="minorHAnsi" w:cstheme="minorHAnsi"/>
          <w:sz w:val="24"/>
          <w:lang w:eastAsia="en-US"/>
        </w:rPr>
        <w:t>All ITU meetings and events have been held virtually. Since the last report, we held Virtual Consultations of Councillors in November 2020, ITU Virtual Digital World 2020, ITU Satellite Webinars, and TSAG, Regional and World Radiocommunication Seminar 2020, among others. The WRS20 was expanded to two weeks and, for the first time, the WRS plenary sessions were open to non-ITU members, while the workshops were provided as an ITU-R Members-only event.</w:t>
      </w:r>
    </w:p>
    <w:p w14:paraId="6EAA39C1" w14:textId="77777777" w:rsidR="00BF5747" w:rsidRPr="00BD0203" w:rsidRDefault="00BF5747" w:rsidP="00BF5747">
      <w:pPr>
        <w:rPr>
          <w:rFonts w:asciiTheme="minorHAnsi" w:hAnsiTheme="minorHAnsi" w:cstheme="minorHAnsi"/>
          <w:sz w:val="24"/>
          <w:lang w:eastAsia="en-US"/>
        </w:rPr>
      </w:pPr>
    </w:p>
    <w:p w14:paraId="78C00837" w14:textId="37D923CA" w:rsidR="00BF5747" w:rsidRPr="00BD0203" w:rsidRDefault="000C2DDF" w:rsidP="00BF5747">
      <w:pPr>
        <w:rPr>
          <w:rFonts w:asciiTheme="minorHAnsi" w:hAnsiTheme="minorHAnsi" w:cstheme="minorHAnsi"/>
          <w:sz w:val="24"/>
          <w:lang w:eastAsia="en-US"/>
        </w:rPr>
      </w:pPr>
      <w:r w:rsidRPr="00BD0203">
        <w:rPr>
          <w:rFonts w:asciiTheme="minorHAnsi" w:hAnsiTheme="minorHAnsi" w:cstheme="minorHAnsi"/>
          <w:sz w:val="24"/>
          <w:lang w:eastAsia="en-US"/>
        </w:rPr>
        <w:t>13.7</w:t>
      </w:r>
      <w:r w:rsidRPr="00BD0203">
        <w:rPr>
          <w:rFonts w:asciiTheme="minorHAnsi" w:hAnsiTheme="minorHAnsi" w:cstheme="minorHAnsi"/>
          <w:sz w:val="24"/>
          <w:lang w:eastAsia="en-US"/>
        </w:rPr>
        <w:tab/>
      </w:r>
      <w:r w:rsidR="00BF5747" w:rsidRPr="00BD0203">
        <w:rPr>
          <w:rFonts w:asciiTheme="minorHAnsi" w:hAnsiTheme="minorHAnsi" w:cstheme="minorHAnsi"/>
          <w:sz w:val="24"/>
          <w:lang w:eastAsia="en-US"/>
        </w:rPr>
        <w:t>Actions have been taken by ITU to allow events and meetings to transition from physical to fully virtual. Events have been reorganized to be more accommodating to the global virtual audience, including reducing the number of hours per day and increasing the number of days as compared to physical events.</w:t>
      </w:r>
    </w:p>
    <w:p w14:paraId="47A782BA" w14:textId="77777777" w:rsidR="00BF5747" w:rsidRPr="00BD0203" w:rsidRDefault="00BF5747" w:rsidP="00BF5747">
      <w:pPr>
        <w:rPr>
          <w:rFonts w:asciiTheme="minorHAnsi" w:hAnsiTheme="minorHAnsi" w:cstheme="minorHAnsi"/>
          <w:sz w:val="24"/>
          <w:lang w:eastAsia="en-US"/>
        </w:rPr>
      </w:pPr>
    </w:p>
    <w:p w14:paraId="7A080E81" w14:textId="5679A7D1" w:rsidR="00BF5747" w:rsidRPr="00BD0203" w:rsidRDefault="000C2DDF" w:rsidP="00BF5747">
      <w:pPr>
        <w:rPr>
          <w:rFonts w:asciiTheme="minorHAnsi" w:hAnsiTheme="minorHAnsi" w:cstheme="minorHAnsi"/>
          <w:sz w:val="24"/>
          <w:lang w:eastAsia="en-US"/>
        </w:rPr>
      </w:pPr>
      <w:r w:rsidRPr="00BD0203">
        <w:rPr>
          <w:rFonts w:asciiTheme="minorHAnsi" w:hAnsiTheme="minorHAnsi" w:cstheme="minorHAnsi"/>
          <w:sz w:val="24"/>
          <w:lang w:eastAsia="en-US"/>
        </w:rPr>
        <w:t>13.8</w:t>
      </w:r>
      <w:r w:rsidRPr="00BD0203">
        <w:rPr>
          <w:rFonts w:asciiTheme="minorHAnsi" w:hAnsiTheme="minorHAnsi" w:cstheme="minorHAnsi"/>
          <w:sz w:val="24"/>
          <w:lang w:eastAsia="en-US"/>
        </w:rPr>
        <w:tab/>
      </w:r>
      <w:r w:rsidR="00BF5747" w:rsidRPr="00BD0203">
        <w:rPr>
          <w:rFonts w:asciiTheme="minorHAnsi" w:hAnsiTheme="minorHAnsi" w:cstheme="minorHAnsi"/>
          <w:sz w:val="24"/>
          <w:lang w:eastAsia="en-US"/>
        </w:rPr>
        <w:t xml:space="preserve">To ensure business continuity of the Union‘s governing bodies, Councillors agreed to hold Virtual Consultations of Councillors to discuss the most urgent topics for the Union, and draw proposed conclusions to be approved either by a next physical session of the Council or by </w:t>
      </w:r>
      <w:r w:rsidR="00BF5747" w:rsidRPr="00BD0203">
        <w:rPr>
          <w:rFonts w:asciiTheme="minorHAnsi" w:hAnsiTheme="minorHAnsi" w:cstheme="minorHAnsi"/>
          <w:sz w:val="24"/>
          <w:lang w:eastAsia="en-US"/>
        </w:rPr>
        <w:lastRenderedPageBreak/>
        <w:t>correspondence for those calling for an urgent decision by the Council. VCC-1 was held in June 2020 and VCC-2 was organized in November 2020. These virtual consultations have allowed Member States to address most of the items initially included on the agenda of the annual 2020 physical session of the Council.</w:t>
      </w:r>
    </w:p>
    <w:p w14:paraId="0A343ABA" w14:textId="77777777" w:rsidR="00BF5747" w:rsidRPr="00BD0203" w:rsidRDefault="00BF5747" w:rsidP="00BF5747">
      <w:pPr>
        <w:rPr>
          <w:rFonts w:asciiTheme="minorHAnsi" w:hAnsiTheme="minorHAnsi" w:cstheme="minorHAnsi"/>
          <w:sz w:val="24"/>
          <w:lang w:eastAsia="en-US"/>
        </w:rPr>
      </w:pPr>
    </w:p>
    <w:p w14:paraId="222153B1" w14:textId="395D9D5D" w:rsidR="00BF5747" w:rsidRPr="00BD0203" w:rsidRDefault="000C2DDF" w:rsidP="00BF5747">
      <w:pPr>
        <w:rPr>
          <w:rFonts w:asciiTheme="minorHAnsi" w:hAnsiTheme="minorHAnsi" w:cstheme="minorHAnsi"/>
          <w:sz w:val="24"/>
          <w:lang w:eastAsia="en-US"/>
        </w:rPr>
      </w:pPr>
      <w:r w:rsidRPr="00BD0203">
        <w:rPr>
          <w:rFonts w:asciiTheme="minorHAnsi" w:hAnsiTheme="minorHAnsi" w:cstheme="minorHAnsi"/>
          <w:sz w:val="24"/>
          <w:lang w:eastAsia="en-US"/>
        </w:rPr>
        <w:t>13.9</w:t>
      </w:r>
      <w:r w:rsidRPr="00BD0203">
        <w:rPr>
          <w:rFonts w:asciiTheme="minorHAnsi" w:hAnsiTheme="minorHAnsi" w:cstheme="minorHAnsi"/>
          <w:sz w:val="24"/>
          <w:lang w:eastAsia="en-US"/>
        </w:rPr>
        <w:tab/>
      </w:r>
      <w:r w:rsidR="00BF5747" w:rsidRPr="00BD0203">
        <w:rPr>
          <w:rFonts w:asciiTheme="minorHAnsi" w:hAnsiTheme="minorHAnsi" w:cstheme="minorHAnsi"/>
          <w:sz w:val="24"/>
          <w:lang w:eastAsia="en-US"/>
        </w:rPr>
        <w:t xml:space="preserve">With regards to the payment of ITU’s </w:t>
      </w:r>
      <w:r w:rsidRPr="00BD0203">
        <w:rPr>
          <w:rFonts w:asciiTheme="minorHAnsi" w:hAnsiTheme="minorHAnsi" w:cstheme="minorHAnsi"/>
          <w:sz w:val="24"/>
          <w:lang w:eastAsia="en-US"/>
        </w:rPr>
        <w:t xml:space="preserve">Member States </w:t>
      </w:r>
      <w:r w:rsidR="00BF5747" w:rsidRPr="00BD0203">
        <w:rPr>
          <w:rFonts w:asciiTheme="minorHAnsi" w:hAnsiTheme="minorHAnsi" w:cstheme="minorHAnsi"/>
          <w:sz w:val="24"/>
          <w:lang w:eastAsia="en-US"/>
        </w:rPr>
        <w:t>contributions</w:t>
      </w:r>
      <w:r w:rsidR="00980DE1" w:rsidRPr="00BD0203">
        <w:rPr>
          <w:rFonts w:asciiTheme="minorHAnsi" w:hAnsiTheme="minorHAnsi" w:cstheme="minorHAnsi"/>
          <w:sz w:val="24"/>
          <w:lang w:eastAsia="en-US"/>
        </w:rPr>
        <w:t>,</w:t>
      </w:r>
      <w:r w:rsidR="00BF5747" w:rsidRPr="00BD0203">
        <w:rPr>
          <w:rFonts w:asciiTheme="minorHAnsi" w:hAnsiTheme="minorHAnsi" w:cstheme="minorHAnsi"/>
          <w:sz w:val="24"/>
          <w:lang w:eastAsia="en-US"/>
        </w:rPr>
        <w:t xml:space="preserve"> the figures to date tend to show that the rate of payments is similar to previous years. As of December 2020, 94</w:t>
      </w:r>
      <w:r w:rsidR="00B96815" w:rsidRPr="00BD0203">
        <w:rPr>
          <w:rFonts w:asciiTheme="minorHAnsi" w:hAnsiTheme="minorHAnsi" w:cstheme="minorHAnsi"/>
          <w:sz w:val="24"/>
          <w:lang w:eastAsia="en-US"/>
        </w:rPr>
        <w:t xml:space="preserve"> per cent </w:t>
      </w:r>
      <w:r w:rsidR="00BF5747" w:rsidRPr="00BD0203">
        <w:rPr>
          <w:rFonts w:asciiTheme="minorHAnsi" w:hAnsiTheme="minorHAnsi" w:cstheme="minorHAnsi"/>
          <w:sz w:val="24"/>
          <w:lang w:eastAsia="en-US"/>
        </w:rPr>
        <w:t>of the current Member States contributions have already been received and 40</w:t>
      </w:r>
      <w:r w:rsidR="00B96815" w:rsidRPr="00BD0203">
        <w:rPr>
          <w:rFonts w:asciiTheme="minorHAnsi" w:hAnsiTheme="minorHAnsi" w:cstheme="minorHAnsi"/>
          <w:sz w:val="24"/>
          <w:lang w:eastAsia="en-US"/>
        </w:rPr>
        <w:t xml:space="preserve"> per cent</w:t>
      </w:r>
      <w:r w:rsidR="00BF5747" w:rsidRPr="00BD0203">
        <w:rPr>
          <w:rFonts w:asciiTheme="minorHAnsi" w:hAnsiTheme="minorHAnsi" w:cstheme="minorHAnsi"/>
          <w:sz w:val="24"/>
          <w:lang w:eastAsia="en-US"/>
        </w:rPr>
        <w:t xml:space="preserve"> as far as the 2021 contributions are concerned. A strict follow up of debtors is always done.</w:t>
      </w:r>
    </w:p>
    <w:p w14:paraId="6F66FA1E" w14:textId="77777777" w:rsidR="00BF5747" w:rsidRPr="00BD0203" w:rsidRDefault="00BF5747" w:rsidP="00BF5747">
      <w:pPr>
        <w:rPr>
          <w:rFonts w:asciiTheme="minorHAnsi" w:hAnsiTheme="minorHAnsi" w:cstheme="minorHAnsi"/>
          <w:sz w:val="24"/>
          <w:lang w:eastAsia="en-US"/>
        </w:rPr>
      </w:pPr>
    </w:p>
    <w:p w14:paraId="73946545" w14:textId="3A557085" w:rsidR="00BF5747" w:rsidRPr="00BD0203" w:rsidRDefault="000C2DDF" w:rsidP="00BF5747">
      <w:pPr>
        <w:rPr>
          <w:rFonts w:asciiTheme="minorHAnsi" w:hAnsiTheme="minorHAnsi" w:cstheme="minorHAnsi"/>
          <w:sz w:val="24"/>
          <w:lang w:eastAsia="en-US"/>
        </w:rPr>
      </w:pPr>
      <w:r w:rsidRPr="00BD0203">
        <w:rPr>
          <w:rFonts w:asciiTheme="minorHAnsi" w:hAnsiTheme="minorHAnsi" w:cstheme="minorHAnsi"/>
          <w:sz w:val="24"/>
          <w:lang w:eastAsia="en-US"/>
        </w:rPr>
        <w:t>13.10</w:t>
      </w:r>
      <w:r w:rsidRPr="00BD0203">
        <w:rPr>
          <w:rFonts w:asciiTheme="minorHAnsi" w:hAnsiTheme="minorHAnsi" w:cstheme="minorHAnsi"/>
          <w:sz w:val="24"/>
          <w:lang w:eastAsia="en-US"/>
        </w:rPr>
        <w:tab/>
      </w:r>
      <w:r w:rsidR="00BF5747" w:rsidRPr="00BD0203">
        <w:rPr>
          <w:rFonts w:asciiTheme="minorHAnsi" w:hAnsiTheme="minorHAnsi" w:cstheme="minorHAnsi"/>
          <w:sz w:val="24"/>
          <w:lang w:eastAsia="en-US"/>
        </w:rPr>
        <w:t xml:space="preserve">In summary, ITU staff has performed exceptionally well </w:t>
      </w:r>
      <w:r w:rsidRPr="00BD0203">
        <w:rPr>
          <w:rFonts w:asciiTheme="minorHAnsi" w:hAnsiTheme="minorHAnsi" w:cstheme="minorHAnsi"/>
          <w:sz w:val="24"/>
          <w:lang w:eastAsia="en-US"/>
        </w:rPr>
        <w:t xml:space="preserve">in </w:t>
      </w:r>
      <w:r w:rsidR="00BF5747" w:rsidRPr="00BD0203">
        <w:rPr>
          <w:rFonts w:asciiTheme="minorHAnsi" w:hAnsiTheme="minorHAnsi" w:cstheme="minorHAnsi"/>
          <w:sz w:val="24"/>
          <w:lang w:eastAsia="en-US"/>
        </w:rPr>
        <w:t>the circumstances. Mitigation measures were introduced early and have been successful, and many significant lessons have been learned with regard to flexible working which will prove particularly helpful to cope with the forthcoming building project.</w:t>
      </w:r>
    </w:p>
    <w:p w14:paraId="49BEC604" w14:textId="3187ED42" w:rsidR="00BF5747" w:rsidRPr="00BD0203" w:rsidRDefault="00BF5747" w:rsidP="00290D95">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060D9912" w14:textId="421702DF" w:rsidR="00D44B7E" w:rsidRPr="00BD0203" w:rsidRDefault="00D44B7E" w:rsidP="00D44B7E">
      <w:pPr>
        <w:rPr>
          <w:rFonts w:asciiTheme="minorHAnsi" w:eastAsia="Calibri" w:hAnsiTheme="minorHAnsi" w:cstheme="minorHAnsi"/>
          <w:sz w:val="24"/>
          <w:lang w:eastAsia="en-US"/>
        </w:rPr>
      </w:pPr>
      <w:r w:rsidRPr="00BD0203">
        <w:rPr>
          <w:rFonts w:asciiTheme="minorHAnsi" w:eastAsia="Calibri" w:hAnsiTheme="minorHAnsi" w:cstheme="minorHAnsi"/>
          <w:sz w:val="24"/>
          <w:lang w:eastAsia="en-US"/>
        </w:rPr>
        <w:t>13.11</w:t>
      </w:r>
      <w:r w:rsidR="00CF68E6" w:rsidRPr="00BD0203">
        <w:rPr>
          <w:rFonts w:asciiTheme="minorHAnsi" w:eastAsia="Calibri" w:hAnsiTheme="minorHAnsi" w:cstheme="minorHAnsi"/>
          <w:sz w:val="24"/>
          <w:lang w:eastAsia="en-US"/>
        </w:rPr>
        <w:tab/>
      </w:r>
      <w:r w:rsidRPr="00BD0203">
        <w:rPr>
          <w:rFonts w:asciiTheme="minorHAnsi" w:eastAsia="Calibri" w:hAnsiTheme="minorHAnsi" w:cstheme="minorHAnsi"/>
          <w:sz w:val="24"/>
          <w:lang w:eastAsia="en-US"/>
        </w:rPr>
        <w:t xml:space="preserve">One delegate expressed his concern with regard to the future revenues of the Union. The </w:t>
      </w:r>
      <w:r w:rsidR="00D548B3" w:rsidRPr="00BD0203">
        <w:rPr>
          <w:rFonts w:asciiTheme="minorHAnsi" w:eastAsia="Calibri" w:hAnsiTheme="minorHAnsi" w:cstheme="minorHAnsi"/>
          <w:sz w:val="24"/>
          <w:lang w:eastAsia="en-US"/>
        </w:rPr>
        <w:t>s</w:t>
      </w:r>
      <w:r w:rsidRPr="00BD0203">
        <w:rPr>
          <w:rFonts w:asciiTheme="minorHAnsi" w:eastAsia="Calibri" w:hAnsiTheme="minorHAnsi" w:cstheme="minorHAnsi"/>
          <w:sz w:val="24"/>
          <w:lang w:eastAsia="en-US"/>
        </w:rPr>
        <w:t>ecretariat informed the meeting that the rate of payment of members contributions is similar to previous years.</w:t>
      </w:r>
    </w:p>
    <w:p w14:paraId="52B5F53F" w14:textId="77777777" w:rsidR="00D44B7E" w:rsidRPr="00BD0203" w:rsidRDefault="00D44B7E" w:rsidP="00D44B7E">
      <w:pPr>
        <w:rPr>
          <w:rFonts w:asciiTheme="minorHAnsi" w:eastAsia="Calibri" w:hAnsiTheme="minorHAnsi" w:cstheme="minorHAnsi"/>
          <w:sz w:val="24"/>
          <w:lang w:eastAsia="en-US"/>
        </w:rPr>
      </w:pPr>
    </w:p>
    <w:p w14:paraId="298E4416" w14:textId="2DAC622C" w:rsidR="00D44B7E" w:rsidRPr="00BD0203" w:rsidRDefault="00D44B7E" w:rsidP="00D44B7E">
      <w:pPr>
        <w:rPr>
          <w:rFonts w:asciiTheme="minorHAnsi" w:eastAsia="Calibri" w:hAnsiTheme="minorHAnsi" w:cstheme="minorHAnsi"/>
          <w:sz w:val="24"/>
          <w:lang w:eastAsia="en-US"/>
        </w:rPr>
      </w:pPr>
      <w:r w:rsidRPr="00BD0203">
        <w:rPr>
          <w:rFonts w:asciiTheme="minorHAnsi" w:eastAsia="Calibri" w:hAnsiTheme="minorHAnsi" w:cstheme="minorHAnsi"/>
          <w:sz w:val="24"/>
          <w:lang w:eastAsia="en-US"/>
        </w:rPr>
        <w:t>13.12</w:t>
      </w:r>
      <w:r w:rsidR="00CF68E6" w:rsidRPr="00BD0203">
        <w:rPr>
          <w:rFonts w:asciiTheme="minorHAnsi" w:eastAsia="Calibri" w:hAnsiTheme="minorHAnsi" w:cstheme="minorHAnsi"/>
          <w:sz w:val="24"/>
          <w:lang w:eastAsia="en-US"/>
        </w:rPr>
        <w:tab/>
      </w:r>
      <w:r w:rsidRPr="00BD0203">
        <w:rPr>
          <w:rFonts w:asciiTheme="minorHAnsi" w:eastAsia="Calibri" w:hAnsiTheme="minorHAnsi" w:cstheme="minorHAnsi"/>
          <w:sz w:val="24"/>
          <w:lang w:eastAsia="en-US"/>
        </w:rPr>
        <w:t>Following the request of one delegate, BDT Director informed the meeting that they received many requests to support countries in 2021 towards the development of their national emergency telecommunication plans.   </w:t>
      </w:r>
    </w:p>
    <w:p w14:paraId="51D6BD6F" w14:textId="77777777" w:rsidR="00D44B7E" w:rsidRPr="00BD0203" w:rsidRDefault="00D44B7E" w:rsidP="00D44B7E">
      <w:pPr>
        <w:rPr>
          <w:rFonts w:asciiTheme="minorHAnsi" w:eastAsia="Calibri" w:hAnsiTheme="minorHAnsi" w:cstheme="minorHAnsi"/>
          <w:sz w:val="24"/>
          <w:lang w:eastAsia="en-US"/>
        </w:rPr>
      </w:pPr>
    </w:p>
    <w:p w14:paraId="362E2311" w14:textId="445C78D3" w:rsidR="00D44B7E" w:rsidRPr="00BD0203" w:rsidRDefault="00D44B7E" w:rsidP="00317DCE">
      <w:pPr>
        <w:tabs>
          <w:tab w:val="left" w:pos="709"/>
        </w:tabs>
        <w:rPr>
          <w:rFonts w:asciiTheme="minorHAnsi" w:eastAsia="Calibri" w:hAnsiTheme="minorHAnsi" w:cstheme="minorHAnsi"/>
          <w:sz w:val="24"/>
          <w:lang w:eastAsia="en-US"/>
        </w:rPr>
      </w:pPr>
      <w:r w:rsidRPr="00BD0203">
        <w:rPr>
          <w:rFonts w:asciiTheme="minorHAnsi" w:eastAsia="Calibri" w:hAnsiTheme="minorHAnsi" w:cstheme="minorHAnsi"/>
          <w:sz w:val="24"/>
          <w:lang w:eastAsia="en-US"/>
        </w:rPr>
        <w:t>13.13</w:t>
      </w:r>
      <w:r w:rsidR="00CF68E6" w:rsidRPr="00BD0203">
        <w:rPr>
          <w:rFonts w:asciiTheme="minorHAnsi" w:eastAsia="Calibri" w:hAnsiTheme="minorHAnsi" w:cstheme="minorHAnsi"/>
          <w:sz w:val="24"/>
          <w:lang w:eastAsia="en-US"/>
        </w:rPr>
        <w:tab/>
      </w:r>
      <w:r w:rsidRPr="00BD0203">
        <w:rPr>
          <w:rFonts w:asciiTheme="minorHAnsi" w:eastAsia="Calibri" w:hAnsiTheme="minorHAnsi" w:cstheme="minorHAnsi"/>
          <w:sz w:val="24"/>
          <w:lang w:eastAsia="en-US"/>
        </w:rPr>
        <w:t xml:space="preserve">Delegates acknowledged the efforts made by the </w:t>
      </w:r>
      <w:r w:rsidR="00FA0DC6" w:rsidRPr="00BD0203">
        <w:rPr>
          <w:rFonts w:asciiTheme="minorHAnsi" w:eastAsia="Calibri" w:hAnsiTheme="minorHAnsi" w:cstheme="minorHAnsi"/>
          <w:sz w:val="24"/>
          <w:lang w:eastAsia="en-US"/>
        </w:rPr>
        <w:t>s</w:t>
      </w:r>
      <w:r w:rsidRPr="00BD0203">
        <w:rPr>
          <w:rFonts w:asciiTheme="minorHAnsi" w:eastAsia="Calibri" w:hAnsiTheme="minorHAnsi" w:cstheme="minorHAnsi"/>
          <w:sz w:val="24"/>
          <w:lang w:eastAsia="en-US"/>
        </w:rPr>
        <w:t>ecretariat for the hard and excellent work done throughout the difficult situation.</w:t>
      </w:r>
    </w:p>
    <w:p w14:paraId="5145F842" w14:textId="77777777" w:rsidR="00A86A12" w:rsidRPr="00BD0203" w:rsidRDefault="00A86A12" w:rsidP="00290D95">
      <w:pPr>
        <w:tabs>
          <w:tab w:val="left" w:pos="709"/>
        </w:tabs>
        <w:overflowPunct w:val="0"/>
        <w:autoSpaceDE w:val="0"/>
        <w:autoSpaceDN w:val="0"/>
        <w:adjustRightInd w:val="0"/>
        <w:snapToGrid w:val="0"/>
        <w:textAlignment w:val="baseline"/>
        <w:rPr>
          <w:rFonts w:asciiTheme="minorHAnsi" w:hAnsiTheme="minorHAnsi" w:cstheme="minorHAnsi"/>
          <w:b/>
          <w:bCs/>
          <w:sz w:val="24"/>
        </w:rPr>
      </w:pPr>
    </w:p>
    <w:p w14:paraId="6F9529DC" w14:textId="2233BD5F" w:rsidR="008A53D8" w:rsidRPr="00BD0203" w:rsidRDefault="008A53D8" w:rsidP="005D2E33">
      <w:pPr>
        <w:snapToGrid w:val="0"/>
        <w:ind w:left="709" w:hanging="709"/>
        <w:rPr>
          <w:rFonts w:asciiTheme="minorHAnsi" w:hAnsiTheme="minorHAnsi" w:cstheme="minorHAnsi"/>
          <w:b/>
          <w:bCs/>
          <w:sz w:val="24"/>
          <w:lang w:val="en-GB" w:eastAsia="en-AU"/>
        </w:rPr>
      </w:pPr>
      <w:r w:rsidRPr="00BD0203">
        <w:rPr>
          <w:rFonts w:asciiTheme="minorHAnsi" w:hAnsiTheme="minorHAnsi" w:cstheme="minorHAnsi"/>
          <w:b/>
          <w:bCs/>
          <w:sz w:val="24"/>
          <w:lang w:val="en-GB" w:eastAsia="en-AU"/>
        </w:rPr>
        <w:t>1</w:t>
      </w:r>
      <w:r w:rsidR="0057315F" w:rsidRPr="00BD0203">
        <w:rPr>
          <w:rFonts w:asciiTheme="minorHAnsi" w:hAnsiTheme="minorHAnsi" w:cstheme="minorHAnsi"/>
          <w:b/>
          <w:bCs/>
          <w:sz w:val="24"/>
          <w:lang w:val="en-GB" w:eastAsia="en-AU"/>
        </w:rPr>
        <w:t>4</w:t>
      </w:r>
      <w:r w:rsidRPr="00BD0203">
        <w:rPr>
          <w:rFonts w:asciiTheme="minorHAnsi" w:hAnsiTheme="minorHAnsi" w:cstheme="minorHAnsi"/>
          <w:b/>
          <w:bCs/>
          <w:sz w:val="24"/>
          <w:lang w:val="en-GB" w:eastAsia="en-AU"/>
        </w:rPr>
        <w:tab/>
        <w:t>Other business</w:t>
      </w:r>
    </w:p>
    <w:p w14:paraId="27C5BCF6" w14:textId="67EEE070" w:rsidR="008A53D8" w:rsidRPr="00BD0203" w:rsidRDefault="008A53D8" w:rsidP="005D2E33">
      <w:pPr>
        <w:snapToGrid w:val="0"/>
        <w:ind w:left="709" w:hanging="709"/>
        <w:rPr>
          <w:rFonts w:asciiTheme="minorHAnsi" w:hAnsiTheme="minorHAnsi" w:cstheme="minorHAnsi"/>
          <w:b/>
          <w:bCs/>
          <w:sz w:val="24"/>
          <w:lang w:val="en-GB" w:eastAsia="en-AU"/>
        </w:rPr>
      </w:pPr>
    </w:p>
    <w:p w14:paraId="1999F606" w14:textId="091014DD" w:rsidR="007F7ECE" w:rsidRPr="00BD0203" w:rsidRDefault="007F7ECE" w:rsidP="007F7ECE">
      <w:pPr>
        <w:snapToGrid w:val="0"/>
        <w:rPr>
          <w:rFonts w:asciiTheme="minorHAnsi" w:hAnsiTheme="minorHAnsi" w:cstheme="minorHAnsi"/>
          <w:sz w:val="24"/>
        </w:rPr>
      </w:pPr>
      <w:r w:rsidRPr="00BD0203">
        <w:rPr>
          <w:rFonts w:asciiTheme="minorHAnsi" w:hAnsiTheme="minorHAnsi" w:cstheme="minorHAnsi"/>
          <w:sz w:val="24"/>
        </w:rPr>
        <w:t>1</w:t>
      </w:r>
      <w:r w:rsidR="0057315F" w:rsidRPr="00BD0203">
        <w:rPr>
          <w:rFonts w:asciiTheme="minorHAnsi" w:hAnsiTheme="minorHAnsi" w:cstheme="minorHAnsi"/>
          <w:sz w:val="24"/>
        </w:rPr>
        <w:t>4</w:t>
      </w:r>
      <w:r w:rsidRPr="00BD0203">
        <w:rPr>
          <w:rFonts w:asciiTheme="minorHAnsi" w:hAnsiTheme="minorHAnsi" w:cstheme="minorHAnsi"/>
          <w:sz w:val="24"/>
        </w:rPr>
        <w:t>.1</w:t>
      </w:r>
      <w:r w:rsidRPr="00BD0203">
        <w:rPr>
          <w:rFonts w:asciiTheme="minorHAnsi" w:hAnsiTheme="minorHAnsi" w:cstheme="minorHAnsi"/>
          <w:sz w:val="24"/>
        </w:rPr>
        <w:tab/>
        <w:t xml:space="preserve">After consultation between the delegates, the meeting approved the following Mandate and </w:t>
      </w:r>
      <w:r w:rsidR="00317DCE" w:rsidRPr="00BD0203">
        <w:rPr>
          <w:rFonts w:asciiTheme="minorHAnsi" w:hAnsiTheme="minorHAnsi" w:cstheme="minorHAnsi"/>
          <w:sz w:val="24"/>
        </w:rPr>
        <w:t>C</w:t>
      </w:r>
      <w:r w:rsidRPr="00BD0203">
        <w:rPr>
          <w:rFonts w:asciiTheme="minorHAnsi" w:hAnsiTheme="minorHAnsi" w:cstheme="minorHAnsi"/>
          <w:sz w:val="24"/>
        </w:rPr>
        <w:t>omposition of the Ad Hoc Group on Regional Presence Review:</w:t>
      </w:r>
    </w:p>
    <w:p w14:paraId="42800D89" w14:textId="77777777" w:rsidR="007F7ECE" w:rsidRPr="00BD0203" w:rsidRDefault="007F7ECE" w:rsidP="007F7ECE">
      <w:pPr>
        <w:snapToGrid w:val="0"/>
        <w:ind w:left="709" w:hanging="709"/>
        <w:rPr>
          <w:rFonts w:asciiTheme="minorHAnsi" w:hAnsiTheme="minorHAnsi" w:cstheme="minorHAnsi"/>
          <w:sz w:val="24"/>
        </w:rPr>
      </w:pPr>
    </w:p>
    <w:p w14:paraId="459413F1" w14:textId="5253A6CC" w:rsidR="007F7ECE" w:rsidRPr="00BD0203" w:rsidRDefault="007F7ECE" w:rsidP="007F7ECE">
      <w:pPr>
        <w:snapToGrid w:val="0"/>
        <w:ind w:left="709" w:hanging="709"/>
        <w:rPr>
          <w:rFonts w:asciiTheme="minorHAnsi" w:hAnsiTheme="minorHAnsi" w:cstheme="minorHAnsi"/>
          <w:sz w:val="24"/>
          <w:u w:val="single"/>
        </w:rPr>
      </w:pPr>
      <w:r w:rsidRPr="00BD0203">
        <w:rPr>
          <w:rFonts w:asciiTheme="minorHAnsi" w:hAnsiTheme="minorHAnsi" w:cstheme="minorHAnsi"/>
          <w:sz w:val="24"/>
          <w:u w:val="single"/>
        </w:rPr>
        <w:t>Mandate</w:t>
      </w:r>
    </w:p>
    <w:p w14:paraId="65CCBEB7" w14:textId="77777777" w:rsidR="007F7ECE" w:rsidRPr="00BD0203" w:rsidRDefault="007F7ECE" w:rsidP="007F7ECE">
      <w:pPr>
        <w:snapToGrid w:val="0"/>
        <w:ind w:left="709" w:hanging="709"/>
        <w:rPr>
          <w:rFonts w:asciiTheme="minorHAnsi" w:hAnsiTheme="minorHAnsi" w:cstheme="minorHAnsi"/>
          <w:sz w:val="24"/>
        </w:rPr>
      </w:pPr>
    </w:p>
    <w:p w14:paraId="5CCDCFDA" w14:textId="65BD65C3" w:rsidR="007F7ECE" w:rsidRPr="00BD0203" w:rsidRDefault="007F7ECE" w:rsidP="007F7ECE">
      <w:pPr>
        <w:snapToGrid w:val="0"/>
        <w:ind w:left="709" w:hanging="709"/>
        <w:rPr>
          <w:rFonts w:asciiTheme="minorHAnsi" w:hAnsiTheme="minorHAnsi" w:cstheme="minorHAnsi"/>
          <w:sz w:val="24"/>
        </w:rPr>
      </w:pPr>
      <w:r w:rsidRPr="00BD0203">
        <w:rPr>
          <w:rFonts w:asciiTheme="minorHAnsi" w:hAnsiTheme="minorHAnsi" w:cstheme="minorHAnsi"/>
          <w:sz w:val="24"/>
        </w:rPr>
        <w:t>The Ad Hoc Group of the CWG-FHR on the ITU Regional Presence Review is convened to:</w:t>
      </w:r>
    </w:p>
    <w:p w14:paraId="2DF5C853" w14:textId="77777777" w:rsidR="007F7ECE" w:rsidRPr="00BD0203" w:rsidRDefault="007F7ECE" w:rsidP="007F7ECE">
      <w:pPr>
        <w:snapToGrid w:val="0"/>
        <w:ind w:left="709" w:hanging="709"/>
        <w:rPr>
          <w:rFonts w:asciiTheme="minorHAnsi" w:hAnsiTheme="minorHAnsi" w:cstheme="minorHAnsi"/>
          <w:sz w:val="24"/>
        </w:rPr>
      </w:pPr>
    </w:p>
    <w:p w14:paraId="5EABCD16" w14:textId="642E923A" w:rsidR="007F7ECE" w:rsidRPr="00BD0203" w:rsidRDefault="007F7ECE" w:rsidP="00317DCE">
      <w:pPr>
        <w:pStyle w:val="ListParagraph"/>
        <w:numPr>
          <w:ilvl w:val="0"/>
          <w:numId w:val="40"/>
        </w:numPr>
        <w:tabs>
          <w:tab w:val="left" w:pos="709"/>
        </w:tabs>
        <w:snapToGrid w:val="0"/>
        <w:spacing w:after="120"/>
        <w:ind w:left="1134" w:hanging="425"/>
        <w:rPr>
          <w:rFonts w:asciiTheme="minorHAnsi" w:hAnsiTheme="minorHAnsi" w:cstheme="minorHAnsi"/>
          <w:sz w:val="24"/>
        </w:rPr>
      </w:pPr>
      <w:r w:rsidRPr="00BD0203">
        <w:rPr>
          <w:rFonts w:asciiTheme="minorHAnsi" w:hAnsiTheme="minorHAnsi" w:cstheme="minorHAnsi"/>
          <w:sz w:val="24"/>
        </w:rPr>
        <w:t>Review and analy</w:t>
      </w:r>
      <w:r w:rsidR="004D02FD">
        <w:rPr>
          <w:rFonts w:asciiTheme="minorHAnsi" w:hAnsiTheme="minorHAnsi" w:cstheme="minorHAnsi"/>
          <w:sz w:val="24"/>
        </w:rPr>
        <w:t>ze</w:t>
      </w:r>
      <w:r w:rsidRPr="00BD0203">
        <w:rPr>
          <w:rFonts w:asciiTheme="minorHAnsi" w:hAnsiTheme="minorHAnsi" w:cstheme="minorHAnsi"/>
          <w:sz w:val="24"/>
        </w:rPr>
        <w:t xml:space="preserve"> the recommendations of the PWC Report presented by the Secretary-General in Document C20/74</w:t>
      </w:r>
      <w:r w:rsidR="00317DCE" w:rsidRPr="00BD0203">
        <w:rPr>
          <w:rFonts w:asciiTheme="minorHAnsi" w:hAnsiTheme="minorHAnsi" w:cstheme="minorHAnsi"/>
          <w:sz w:val="24"/>
        </w:rPr>
        <w:t>.</w:t>
      </w:r>
    </w:p>
    <w:p w14:paraId="7FE7BE99" w14:textId="2AEACCCB" w:rsidR="007F7ECE" w:rsidRPr="00BD0203" w:rsidRDefault="007F7ECE" w:rsidP="00317DCE">
      <w:pPr>
        <w:tabs>
          <w:tab w:val="left" w:pos="709"/>
          <w:tab w:val="left" w:pos="1134"/>
        </w:tabs>
        <w:snapToGrid w:val="0"/>
        <w:ind w:left="1134" w:hanging="425"/>
        <w:rPr>
          <w:rFonts w:asciiTheme="minorHAnsi" w:hAnsiTheme="minorHAnsi" w:cstheme="minorHAnsi"/>
          <w:sz w:val="24"/>
        </w:rPr>
      </w:pPr>
      <w:r w:rsidRPr="00BD0203">
        <w:rPr>
          <w:rFonts w:asciiTheme="minorHAnsi" w:hAnsiTheme="minorHAnsi" w:cstheme="minorHAnsi"/>
          <w:sz w:val="24"/>
        </w:rPr>
        <w:t>2.</w:t>
      </w:r>
      <w:r w:rsidRPr="00BD0203">
        <w:rPr>
          <w:rFonts w:asciiTheme="minorHAnsi" w:hAnsiTheme="minorHAnsi" w:cstheme="minorHAnsi"/>
          <w:sz w:val="24"/>
        </w:rPr>
        <w:tab/>
      </w:r>
      <w:r w:rsidR="006B1B18">
        <w:rPr>
          <w:rFonts w:asciiTheme="minorHAnsi" w:hAnsiTheme="minorHAnsi" w:cstheme="minorHAnsi"/>
          <w:sz w:val="24"/>
        </w:rPr>
        <w:t xml:space="preserve">Consider and </w:t>
      </w:r>
      <w:r w:rsidR="004D02FD">
        <w:rPr>
          <w:rFonts w:asciiTheme="minorHAnsi" w:hAnsiTheme="minorHAnsi" w:cstheme="minorHAnsi"/>
          <w:sz w:val="24"/>
        </w:rPr>
        <w:t xml:space="preserve">take </w:t>
      </w:r>
      <w:r w:rsidRPr="00BD0203">
        <w:rPr>
          <w:rFonts w:asciiTheme="minorHAnsi" w:hAnsiTheme="minorHAnsi" w:cstheme="minorHAnsi"/>
          <w:sz w:val="24"/>
        </w:rPr>
        <w:t xml:space="preserve">into account proposals of the ITU Member States and the comments of the </w:t>
      </w:r>
      <w:r w:rsidR="00317DCE" w:rsidRPr="00BD0203">
        <w:rPr>
          <w:rFonts w:asciiTheme="minorHAnsi" w:hAnsiTheme="minorHAnsi" w:cstheme="minorHAnsi"/>
          <w:sz w:val="24"/>
        </w:rPr>
        <w:t>s</w:t>
      </w:r>
      <w:r w:rsidRPr="00BD0203">
        <w:rPr>
          <w:rFonts w:asciiTheme="minorHAnsi" w:hAnsiTheme="minorHAnsi" w:cstheme="minorHAnsi"/>
          <w:sz w:val="24"/>
        </w:rPr>
        <w:t>ecretariat including those from Radiocommunication, Standardization and Development Bureaus concerning the improvement of the organization and the effectiveness of the regional presence of the Union in order to develop, use and promote the availability of telecommunications/ICTs worldwide and, in particular in developing countries, within the framework/format of One ITU.</w:t>
      </w:r>
    </w:p>
    <w:p w14:paraId="7887EC37" w14:textId="1E3270CD" w:rsidR="007F7ECE" w:rsidRPr="00BD0203" w:rsidRDefault="007F7ECE" w:rsidP="00317DCE">
      <w:pPr>
        <w:tabs>
          <w:tab w:val="left" w:pos="709"/>
        </w:tabs>
        <w:snapToGrid w:val="0"/>
        <w:spacing w:before="120"/>
        <w:ind w:left="1134" w:hanging="425"/>
        <w:rPr>
          <w:rFonts w:asciiTheme="minorHAnsi" w:hAnsiTheme="minorHAnsi" w:cstheme="minorHAnsi"/>
          <w:sz w:val="24"/>
        </w:rPr>
      </w:pPr>
      <w:r w:rsidRPr="00BD0203">
        <w:rPr>
          <w:rFonts w:asciiTheme="minorHAnsi" w:hAnsiTheme="minorHAnsi" w:cstheme="minorHAnsi"/>
          <w:sz w:val="24"/>
        </w:rPr>
        <w:t>3.</w:t>
      </w:r>
      <w:r w:rsidR="00317DCE" w:rsidRPr="00BD0203">
        <w:rPr>
          <w:rFonts w:asciiTheme="minorHAnsi" w:hAnsiTheme="minorHAnsi" w:cstheme="minorHAnsi"/>
          <w:sz w:val="24"/>
        </w:rPr>
        <w:tab/>
      </w:r>
      <w:r w:rsidRPr="00BD0203">
        <w:rPr>
          <w:rFonts w:asciiTheme="minorHAnsi" w:hAnsiTheme="minorHAnsi" w:cstheme="minorHAnsi"/>
          <w:sz w:val="24"/>
        </w:rPr>
        <w:t>Analy</w:t>
      </w:r>
      <w:r w:rsidR="004D02FD">
        <w:rPr>
          <w:rFonts w:asciiTheme="minorHAnsi" w:hAnsiTheme="minorHAnsi" w:cstheme="minorHAnsi"/>
          <w:sz w:val="24"/>
        </w:rPr>
        <w:t>z</w:t>
      </w:r>
      <w:r w:rsidRPr="00BD0203">
        <w:rPr>
          <w:rFonts w:asciiTheme="minorHAnsi" w:hAnsiTheme="minorHAnsi" w:cstheme="minorHAnsi"/>
          <w:sz w:val="24"/>
        </w:rPr>
        <w:t>e the possible financial implications of various options for optimizing the structure of the ITU regional presence.</w:t>
      </w:r>
    </w:p>
    <w:p w14:paraId="117DE4E8" w14:textId="79541D39" w:rsidR="007F7ECE" w:rsidRPr="00BD0203" w:rsidRDefault="007F7ECE" w:rsidP="00317DCE">
      <w:pPr>
        <w:tabs>
          <w:tab w:val="left" w:pos="709"/>
          <w:tab w:val="left" w:pos="1134"/>
        </w:tabs>
        <w:snapToGrid w:val="0"/>
        <w:spacing w:before="120"/>
        <w:ind w:left="1134" w:hanging="425"/>
        <w:rPr>
          <w:rFonts w:asciiTheme="minorHAnsi" w:hAnsiTheme="minorHAnsi" w:cstheme="minorHAnsi"/>
          <w:sz w:val="24"/>
        </w:rPr>
      </w:pPr>
      <w:r w:rsidRPr="00BD0203">
        <w:rPr>
          <w:rFonts w:asciiTheme="minorHAnsi" w:hAnsiTheme="minorHAnsi" w:cstheme="minorHAnsi"/>
          <w:sz w:val="24"/>
        </w:rPr>
        <w:t>4.</w:t>
      </w:r>
      <w:r w:rsidR="00317DCE" w:rsidRPr="00BD0203">
        <w:rPr>
          <w:rFonts w:asciiTheme="minorHAnsi" w:hAnsiTheme="minorHAnsi" w:cstheme="minorHAnsi"/>
          <w:sz w:val="24"/>
        </w:rPr>
        <w:tab/>
      </w:r>
      <w:r w:rsidRPr="00BD0203">
        <w:rPr>
          <w:rFonts w:asciiTheme="minorHAnsi" w:hAnsiTheme="minorHAnsi" w:cstheme="minorHAnsi"/>
          <w:sz w:val="24"/>
        </w:rPr>
        <w:t>Prepare and submit recommendations to the next CWG-FHR scheduled to be May</w:t>
      </w:r>
      <w:r w:rsidR="00317DCE" w:rsidRPr="00BD0203">
        <w:rPr>
          <w:rFonts w:asciiTheme="minorHAnsi" w:hAnsiTheme="minorHAnsi" w:cstheme="minorHAnsi"/>
          <w:sz w:val="24"/>
        </w:rPr>
        <w:t> </w:t>
      </w:r>
      <w:r w:rsidRPr="00BD0203">
        <w:rPr>
          <w:rFonts w:asciiTheme="minorHAnsi" w:hAnsiTheme="minorHAnsi" w:cstheme="minorHAnsi"/>
          <w:sz w:val="24"/>
        </w:rPr>
        <w:t>2021 related to optimization of the structure and methods/approaches to increase the efficiency of the regional presence.</w:t>
      </w:r>
    </w:p>
    <w:p w14:paraId="25C3538D" w14:textId="77777777" w:rsidR="007F7ECE" w:rsidRPr="00BD0203" w:rsidRDefault="007F7ECE" w:rsidP="009D71BE">
      <w:pPr>
        <w:tabs>
          <w:tab w:val="left" w:pos="993"/>
        </w:tabs>
        <w:snapToGrid w:val="0"/>
        <w:rPr>
          <w:rFonts w:asciiTheme="minorHAnsi" w:hAnsiTheme="minorHAnsi" w:cstheme="minorHAnsi"/>
          <w:sz w:val="24"/>
        </w:rPr>
      </w:pPr>
    </w:p>
    <w:p w14:paraId="516915B3" w14:textId="2D41C295" w:rsidR="007F7ECE" w:rsidRPr="00BD0203" w:rsidRDefault="007F7ECE" w:rsidP="00CF68E6">
      <w:pPr>
        <w:keepNext/>
        <w:keepLines/>
        <w:tabs>
          <w:tab w:val="left" w:pos="993"/>
        </w:tabs>
        <w:snapToGrid w:val="0"/>
        <w:spacing w:after="240"/>
        <w:rPr>
          <w:rFonts w:asciiTheme="minorHAnsi" w:hAnsiTheme="minorHAnsi" w:cstheme="minorHAnsi"/>
          <w:sz w:val="24"/>
          <w:u w:val="single"/>
        </w:rPr>
      </w:pPr>
      <w:r w:rsidRPr="00BD0203">
        <w:rPr>
          <w:rFonts w:asciiTheme="minorHAnsi" w:hAnsiTheme="minorHAnsi" w:cstheme="minorHAnsi"/>
          <w:sz w:val="24"/>
          <w:u w:val="single"/>
        </w:rPr>
        <w:lastRenderedPageBreak/>
        <w:t>Composition and Work methods</w:t>
      </w:r>
    </w:p>
    <w:p w14:paraId="477246D3" w14:textId="4F604658" w:rsidR="007F7ECE" w:rsidRPr="00BD0203" w:rsidRDefault="007F7ECE" w:rsidP="00CF68E6">
      <w:pPr>
        <w:pStyle w:val="ListParagraph"/>
        <w:keepNext/>
        <w:keepLines/>
        <w:numPr>
          <w:ilvl w:val="0"/>
          <w:numId w:val="41"/>
        </w:numPr>
        <w:tabs>
          <w:tab w:val="left" w:pos="993"/>
          <w:tab w:val="left" w:pos="1276"/>
        </w:tabs>
        <w:snapToGrid w:val="0"/>
        <w:spacing w:before="120" w:after="60"/>
        <w:ind w:left="993" w:hanging="284"/>
        <w:rPr>
          <w:rFonts w:asciiTheme="minorHAnsi" w:hAnsiTheme="minorHAnsi" w:cstheme="minorHAnsi"/>
          <w:sz w:val="24"/>
        </w:rPr>
      </w:pPr>
      <w:r w:rsidRPr="00BD0203">
        <w:rPr>
          <w:rFonts w:asciiTheme="minorHAnsi" w:hAnsiTheme="minorHAnsi" w:cstheme="minorHAnsi"/>
          <w:sz w:val="24"/>
        </w:rPr>
        <w:t xml:space="preserve">The Ad-Hoc Group is chaired by Stella Erebor, Nigeria with </w:t>
      </w:r>
      <w:r w:rsidR="00317DCE" w:rsidRPr="00BD0203">
        <w:rPr>
          <w:rFonts w:asciiTheme="minorHAnsi" w:hAnsiTheme="minorHAnsi" w:cstheme="minorHAnsi"/>
          <w:sz w:val="24"/>
        </w:rPr>
        <w:t>six (6)</w:t>
      </w:r>
      <w:r w:rsidRPr="00BD0203">
        <w:rPr>
          <w:rFonts w:asciiTheme="minorHAnsi" w:hAnsiTheme="minorHAnsi" w:cstheme="minorHAnsi"/>
          <w:sz w:val="24"/>
        </w:rPr>
        <w:t xml:space="preserve"> Vice Chairs of</w:t>
      </w:r>
      <w:r w:rsidR="00317DCE" w:rsidRPr="00BD0203">
        <w:rPr>
          <w:rFonts w:asciiTheme="minorHAnsi" w:hAnsiTheme="minorHAnsi" w:cstheme="minorHAnsi"/>
          <w:sz w:val="24"/>
        </w:rPr>
        <w:br/>
      </w:r>
      <w:r w:rsidRPr="00BD0203">
        <w:rPr>
          <w:rFonts w:asciiTheme="minorHAnsi" w:hAnsiTheme="minorHAnsi" w:cstheme="minorHAnsi"/>
          <w:sz w:val="24"/>
        </w:rPr>
        <w:t>CWG-FHR;</w:t>
      </w:r>
    </w:p>
    <w:p w14:paraId="0613DB7B" w14:textId="2C32E5A7" w:rsidR="007F7ECE" w:rsidRPr="00BD0203" w:rsidRDefault="007F7ECE" w:rsidP="00CF68E6">
      <w:pPr>
        <w:pStyle w:val="ListParagraph"/>
        <w:keepNext/>
        <w:keepLines/>
        <w:numPr>
          <w:ilvl w:val="0"/>
          <w:numId w:val="41"/>
        </w:numPr>
        <w:tabs>
          <w:tab w:val="left" w:pos="993"/>
          <w:tab w:val="left" w:pos="1276"/>
        </w:tabs>
        <w:snapToGrid w:val="0"/>
        <w:spacing w:after="60"/>
        <w:ind w:left="709" w:firstLine="0"/>
        <w:rPr>
          <w:rFonts w:asciiTheme="minorHAnsi" w:hAnsiTheme="minorHAnsi" w:cstheme="minorHAnsi"/>
          <w:sz w:val="24"/>
        </w:rPr>
      </w:pPr>
      <w:r w:rsidRPr="00BD0203">
        <w:rPr>
          <w:rFonts w:asciiTheme="minorHAnsi" w:hAnsiTheme="minorHAnsi" w:cstheme="minorHAnsi"/>
          <w:sz w:val="24"/>
        </w:rPr>
        <w:t>The Ad-Hoc Group is open to all Members States and Sector Members;</w:t>
      </w:r>
    </w:p>
    <w:p w14:paraId="42D7B475" w14:textId="07E1AD53" w:rsidR="007F7ECE" w:rsidRPr="00BD0203" w:rsidRDefault="007F7ECE" w:rsidP="00CF68E6">
      <w:pPr>
        <w:pStyle w:val="ListParagraph"/>
        <w:keepNext/>
        <w:keepLines/>
        <w:numPr>
          <w:ilvl w:val="0"/>
          <w:numId w:val="41"/>
        </w:numPr>
        <w:tabs>
          <w:tab w:val="left" w:pos="993"/>
          <w:tab w:val="left" w:pos="1276"/>
        </w:tabs>
        <w:snapToGrid w:val="0"/>
        <w:ind w:left="993" w:hanging="284"/>
        <w:rPr>
          <w:rFonts w:asciiTheme="minorHAnsi" w:hAnsiTheme="minorHAnsi" w:cstheme="minorHAnsi"/>
          <w:sz w:val="24"/>
        </w:rPr>
      </w:pPr>
      <w:r w:rsidRPr="00BD0203">
        <w:rPr>
          <w:rFonts w:asciiTheme="minorHAnsi" w:hAnsiTheme="minorHAnsi" w:cstheme="minorHAnsi"/>
          <w:sz w:val="24"/>
        </w:rPr>
        <w:t>The Ad Hoc Group shall advance their activity by electronic means and working methods.</w:t>
      </w:r>
    </w:p>
    <w:p w14:paraId="3EB7558D" w14:textId="1A59E4C2" w:rsidR="008A53D8" w:rsidRPr="00BD0203" w:rsidRDefault="008A53D8" w:rsidP="005D2E33">
      <w:pPr>
        <w:snapToGrid w:val="0"/>
        <w:ind w:left="709" w:hanging="709"/>
        <w:rPr>
          <w:rFonts w:asciiTheme="minorHAnsi" w:hAnsiTheme="minorHAnsi" w:cstheme="minorHAnsi"/>
          <w:b/>
          <w:bCs/>
          <w:sz w:val="24"/>
          <w:lang w:val="en-GB" w:eastAsia="en-AU"/>
        </w:rPr>
      </w:pPr>
    </w:p>
    <w:p w14:paraId="05A9947D" w14:textId="2F94D2E2" w:rsidR="008A53D8" w:rsidRPr="00BD0203" w:rsidRDefault="008A53D8" w:rsidP="005D2E33">
      <w:pPr>
        <w:snapToGrid w:val="0"/>
        <w:ind w:left="709" w:hanging="709"/>
        <w:rPr>
          <w:rFonts w:asciiTheme="minorHAnsi" w:hAnsiTheme="minorHAnsi" w:cstheme="minorHAnsi"/>
          <w:b/>
          <w:bCs/>
          <w:sz w:val="24"/>
          <w:lang w:val="en-GB" w:eastAsia="en-AU"/>
        </w:rPr>
      </w:pPr>
      <w:r w:rsidRPr="00BD0203">
        <w:rPr>
          <w:rFonts w:asciiTheme="minorHAnsi" w:hAnsiTheme="minorHAnsi" w:cstheme="minorHAnsi"/>
          <w:b/>
          <w:bCs/>
          <w:sz w:val="24"/>
          <w:lang w:val="en-GB" w:eastAsia="en-AU"/>
        </w:rPr>
        <w:t>1</w:t>
      </w:r>
      <w:r w:rsidR="0057315F" w:rsidRPr="00BD0203">
        <w:rPr>
          <w:rFonts w:asciiTheme="minorHAnsi" w:hAnsiTheme="minorHAnsi" w:cstheme="minorHAnsi"/>
          <w:b/>
          <w:bCs/>
          <w:sz w:val="24"/>
          <w:lang w:val="en-GB" w:eastAsia="en-AU"/>
        </w:rPr>
        <w:t>5</w:t>
      </w:r>
      <w:r w:rsidRPr="00BD0203">
        <w:rPr>
          <w:rFonts w:asciiTheme="minorHAnsi" w:hAnsiTheme="minorHAnsi" w:cstheme="minorHAnsi"/>
          <w:b/>
          <w:bCs/>
          <w:sz w:val="24"/>
          <w:lang w:val="en-GB" w:eastAsia="en-AU"/>
        </w:rPr>
        <w:tab/>
        <w:t>Next meeting</w:t>
      </w:r>
    </w:p>
    <w:p w14:paraId="110617C6" w14:textId="7D4C76F9" w:rsidR="008A53D8" w:rsidRPr="00BD0203" w:rsidRDefault="008A53D8" w:rsidP="005D2E33">
      <w:pPr>
        <w:snapToGrid w:val="0"/>
        <w:ind w:left="709" w:hanging="709"/>
        <w:rPr>
          <w:rFonts w:asciiTheme="minorHAnsi" w:hAnsiTheme="minorHAnsi" w:cstheme="minorHAnsi"/>
          <w:b/>
          <w:bCs/>
          <w:sz w:val="24"/>
          <w:lang w:val="en-GB" w:eastAsia="en-AU"/>
        </w:rPr>
      </w:pPr>
    </w:p>
    <w:p w14:paraId="797D291D" w14:textId="6FF7B394" w:rsidR="0000661A" w:rsidRPr="00BD0203" w:rsidRDefault="0000661A" w:rsidP="005D2E33">
      <w:pPr>
        <w:snapToGrid w:val="0"/>
        <w:ind w:left="709" w:hanging="709"/>
        <w:rPr>
          <w:rFonts w:asciiTheme="minorHAnsi" w:hAnsiTheme="minorHAnsi" w:cstheme="minorHAnsi"/>
          <w:sz w:val="24"/>
          <w:lang w:val="en-GB" w:eastAsia="en-AU"/>
        </w:rPr>
      </w:pPr>
      <w:r w:rsidRPr="00BD0203">
        <w:rPr>
          <w:rFonts w:asciiTheme="minorHAnsi" w:hAnsiTheme="minorHAnsi" w:cstheme="minorHAnsi"/>
          <w:b/>
          <w:bCs/>
          <w:sz w:val="24"/>
          <w:lang w:val="en-GB" w:eastAsia="en-AU"/>
        </w:rPr>
        <w:t>1</w:t>
      </w:r>
      <w:r w:rsidR="0057315F" w:rsidRPr="00BD0203">
        <w:rPr>
          <w:rFonts w:asciiTheme="minorHAnsi" w:hAnsiTheme="minorHAnsi" w:cstheme="minorHAnsi"/>
          <w:b/>
          <w:bCs/>
          <w:sz w:val="24"/>
          <w:lang w:val="en-GB" w:eastAsia="en-AU"/>
        </w:rPr>
        <w:t>5</w:t>
      </w:r>
      <w:r w:rsidRPr="00BD0203">
        <w:rPr>
          <w:rFonts w:asciiTheme="minorHAnsi" w:hAnsiTheme="minorHAnsi" w:cstheme="minorHAnsi"/>
          <w:b/>
          <w:bCs/>
          <w:sz w:val="24"/>
          <w:lang w:val="en-GB" w:eastAsia="en-AU"/>
        </w:rPr>
        <w:t>.1</w:t>
      </w:r>
      <w:r w:rsidRPr="00BD0203">
        <w:rPr>
          <w:rFonts w:asciiTheme="minorHAnsi" w:hAnsiTheme="minorHAnsi" w:cstheme="minorHAnsi"/>
          <w:b/>
          <w:bCs/>
          <w:sz w:val="24"/>
          <w:lang w:val="en-GB" w:eastAsia="en-AU"/>
        </w:rPr>
        <w:tab/>
      </w:r>
      <w:r w:rsidRPr="00BD0203">
        <w:rPr>
          <w:rFonts w:asciiTheme="minorHAnsi" w:hAnsiTheme="minorHAnsi" w:cstheme="minorHAnsi"/>
          <w:sz w:val="24"/>
          <w:lang w:val="en-GB" w:eastAsia="en-AU"/>
        </w:rPr>
        <w:t>The next virtual meeting of the CW</w:t>
      </w:r>
      <w:r w:rsidR="0002623A" w:rsidRPr="00BD0203">
        <w:rPr>
          <w:rFonts w:asciiTheme="minorHAnsi" w:hAnsiTheme="minorHAnsi" w:cstheme="minorHAnsi"/>
          <w:sz w:val="24"/>
          <w:lang w:val="en-GB" w:eastAsia="en-AU"/>
        </w:rPr>
        <w:t>G</w:t>
      </w:r>
      <w:r w:rsidRPr="00BD0203">
        <w:rPr>
          <w:rFonts w:asciiTheme="minorHAnsi" w:hAnsiTheme="minorHAnsi" w:cstheme="minorHAnsi"/>
          <w:sz w:val="24"/>
          <w:lang w:val="en-GB" w:eastAsia="en-AU"/>
        </w:rPr>
        <w:t>-FHR will take place in May 2021.</w:t>
      </w:r>
    </w:p>
    <w:p w14:paraId="0CB13293" w14:textId="4407CA34" w:rsidR="00CF68E6" w:rsidRPr="00BD0203" w:rsidRDefault="00CF68E6" w:rsidP="00CF68E6">
      <w:pPr>
        <w:snapToGrid w:val="0"/>
        <w:spacing w:before="840"/>
        <w:ind w:left="709" w:hanging="709"/>
        <w:jc w:val="center"/>
        <w:rPr>
          <w:rFonts w:asciiTheme="minorHAnsi" w:hAnsiTheme="minorHAnsi" w:cstheme="minorHAnsi"/>
          <w:sz w:val="24"/>
          <w:lang w:val="en-GB" w:eastAsia="en-AU"/>
        </w:rPr>
      </w:pPr>
      <w:r w:rsidRPr="00BD0203">
        <w:rPr>
          <w:rFonts w:asciiTheme="minorHAnsi" w:hAnsiTheme="minorHAnsi" w:cstheme="minorHAnsi"/>
          <w:sz w:val="24"/>
          <w:lang w:val="en-GB" w:eastAsia="en-AU"/>
        </w:rPr>
        <w:t>___________________</w:t>
      </w:r>
    </w:p>
    <w:sectPr w:rsidR="00CF68E6" w:rsidRPr="00BD0203" w:rsidSect="00EA43D5">
      <w:headerReference w:type="default" r:id="rId32"/>
      <w:footerReference w:type="first" r:id="rId33"/>
      <w:pgSz w:w="11906" w:h="16838" w:code="9"/>
      <w:pgMar w:top="965" w:right="1138" w:bottom="288" w:left="1138"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60973" w14:textId="77777777" w:rsidR="006345B0" w:rsidRDefault="006345B0">
      <w:r>
        <w:separator/>
      </w:r>
    </w:p>
  </w:endnote>
  <w:endnote w:type="continuationSeparator" w:id="0">
    <w:p w14:paraId="70595124" w14:textId="77777777" w:rsidR="006345B0" w:rsidRDefault="006345B0">
      <w:r>
        <w:continuationSeparator/>
      </w:r>
    </w:p>
  </w:endnote>
  <w:endnote w:type="continuationNotice" w:id="1">
    <w:p w14:paraId="3F8FBE7A" w14:textId="77777777" w:rsidR="006345B0" w:rsidRDefault="0063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45BA0" w14:textId="77777777" w:rsidR="006345B0" w:rsidRPr="00756E92" w:rsidRDefault="006345B0"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5BABB58E" w14:textId="77777777" w:rsidR="006345B0" w:rsidRPr="00756E92" w:rsidRDefault="006345B0" w:rsidP="0075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694D5" w14:textId="77777777" w:rsidR="006345B0" w:rsidRDefault="006345B0">
      <w:r>
        <w:separator/>
      </w:r>
    </w:p>
  </w:footnote>
  <w:footnote w:type="continuationSeparator" w:id="0">
    <w:p w14:paraId="48B01913" w14:textId="77777777" w:rsidR="006345B0" w:rsidRDefault="006345B0">
      <w:r>
        <w:continuationSeparator/>
      </w:r>
    </w:p>
  </w:footnote>
  <w:footnote w:type="continuationNotice" w:id="1">
    <w:p w14:paraId="022C5CBD" w14:textId="77777777" w:rsidR="006345B0" w:rsidRDefault="0063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8173" w14:textId="22F18305" w:rsidR="006345B0" w:rsidRPr="00FE12AF" w:rsidRDefault="006345B0" w:rsidP="002A1458">
    <w:pPr>
      <w:pStyle w:val="Header"/>
      <w:jc w:val="center"/>
      <w:rPr>
        <w:rFonts w:ascii="Calibri" w:hAnsi="Calibri" w:cs="Calibri"/>
        <w:sz w:val="24"/>
      </w:rPr>
    </w:pPr>
    <w:r>
      <w:rPr>
        <w:rFonts w:ascii="Calibri" w:hAnsi="Calibri" w:cs="Calibri"/>
        <w:sz w:val="24"/>
      </w:rPr>
      <w:t>- </w:t>
    </w:r>
    <w:r w:rsidRPr="00FE12AF">
      <w:rPr>
        <w:rFonts w:ascii="Calibri" w:hAnsi="Calibri" w:cs="Calibri"/>
        <w:sz w:val="24"/>
      </w:rPr>
      <w:fldChar w:fldCharType="begin"/>
    </w:r>
    <w:r w:rsidRPr="00FE12AF">
      <w:rPr>
        <w:rFonts w:ascii="Calibri" w:hAnsi="Calibri" w:cs="Calibri"/>
        <w:sz w:val="24"/>
      </w:rPr>
      <w:instrText xml:space="preserve"> PAGE   \* MERGEFORMAT </w:instrText>
    </w:r>
    <w:r w:rsidRPr="00FE12AF">
      <w:rPr>
        <w:rFonts w:ascii="Calibri" w:hAnsi="Calibri" w:cs="Calibri"/>
        <w:sz w:val="24"/>
      </w:rPr>
      <w:fldChar w:fldCharType="separate"/>
    </w:r>
    <w:r w:rsidRPr="00FE12AF">
      <w:rPr>
        <w:rFonts w:ascii="Calibri" w:hAnsi="Calibri" w:cs="Calibri"/>
        <w:noProof/>
        <w:sz w:val="24"/>
      </w:rPr>
      <w:t>2</w:t>
    </w:r>
    <w:r w:rsidRPr="00FE12AF">
      <w:rPr>
        <w:rFonts w:ascii="Calibri" w:hAnsi="Calibri" w:cs="Calibri"/>
        <w:noProof/>
        <w:sz w:val="24"/>
      </w:rPr>
      <w:fldChar w:fldCharType="end"/>
    </w:r>
    <w:r>
      <w:rPr>
        <w:rFonts w:ascii="Calibri" w:hAnsi="Calibri" w:cs="Calibri"/>
        <w:noProof/>
        <w:sz w:val="24"/>
      </w:rPr>
      <w:t> -</w:t>
    </w:r>
  </w:p>
  <w:p w14:paraId="3CCA2AE4" w14:textId="77777777" w:rsidR="006345B0" w:rsidRDefault="0063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0122"/>
    <w:multiLevelType w:val="hybridMultilevel"/>
    <w:tmpl w:val="698803F0"/>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E5376"/>
    <w:multiLevelType w:val="hybridMultilevel"/>
    <w:tmpl w:val="29C23A2A"/>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245E"/>
    <w:multiLevelType w:val="hybridMultilevel"/>
    <w:tmpl w:val="CBB68B3E"/>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17A52"/>
    <w:multiLevelType w:val="hybridMultilevel"/>
    <w:tmpl w:val="AB9E6848"/>
    <w:lvl w:ilvl="0" w:tplc="2ABE339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9077A"/>
    <w:multiLevelType w:val="hybridMultilevel"/>
    <w:tmpl w:val="B77A6C08"/>
    <w:lvl w:ilvl="0" w:tplc="D82CCC28">
      <w:start w:val="2"/>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CA250E2"/>
    <w:multiLevelType w:val="hybridMultilevel"/>
    <w:tmpl w:val="4516D5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E062062"/>
    <w:multiLevelType w:val="hybridMultilevel"/>
    <w:tmpl w:val="909E8A2E"/>
    <w:lvl w:ilvl="0" w:tplc="6D48D3B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11521A6E"/>
    <w:multiLevelType w:val="hybridMultilevel"/>
    <w:tmpl w:val="3D8C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A1D8C"/>
    <w:multiLevelType w:val="hybridMultilevel"/>
    <w:tmpl w:val="822C3626"/>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239C42F8"/>
    <w:multiLevelType w:val="hybridMultilevel"/>
    <w:tmpl w:val="217CE736"/>
    <w:lvl w:ilvl="0" w:tplc="2994683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2C393365"/>
    <w:multiLevelType w:val="hybridMultilevel"/>
    <w:tmpl w:val="A88A1FA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E6940"/>
    <w:multiLevelType w:val="hybridMultilevel"/>
    <w:tmpl w:val="FCE2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93A"/>
    <w:multiLevelType w:val="hybridMultilevel"/>
    <w:tmpl w:val="B6D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84627"/>
    <w:multiLevelType w:val="hybridMultilevel"/>
    <w:tmpl w:val="2C0C0F74"/>
    <w:lvl w:ilvl="0" w:tplc="97E6FB60">
      <w:start w:val="1"/>
      <w:numFmt w:val="lowerLetter"/>
      <w:lvlText w:val="%1."/>
      <w:lvlJc w:val="left"/>
      <w:pPr>
        <w:ind w:left="1065" w:hanging="360"/>
      </w:pPr>
      <w:rPr>
        <w:rFonts w:hint="default"/>
        <w:color w:val="auto"/>
        <w:u w:val="no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7" w15:restartNumberingAfterBreak="0">
    <w:nsid w:val="393571A2"/>
    <w:multiLevelType w:val="hybridMultilevel"/>
    <w:tmpl w:val="A824D5B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3C9C6868"/>
    <w:multiLevelType w:val="hybridMultilevel"/>
    <w:tmpl w:val="62501DC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1C739B"/>
    <w:multiLevelType w:val="hybridMultilevel"/>
    <w:tmpl w:val="DB328E5C"/>
    <w:lvl w:ilvl="0" w:tplc="FB4C2AF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B66859"/>
    <w:multiLevelType w:val="hybridMultilevel"/>
    <w:tmpl w:val="2EC0EEF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752C3"/>
    <w:multiLevelType w:val="hybridMultilevel"/>
    <w:tmpl w:val="6F7A1FDC"/>
    <w:lvl w:ilvl="0" w:tplc="0809001B">
      <w:start w:val="1"/>
      <w:numFmt w:val="lowerRoman"/>
      <w:lvlText w:val="%1."/>
      <w:lvlJc w:val="right"/>
      <w:pPr>
        <w:tabs>
          <w:tab w:val="num" w:pos="720"/>
        </w:tabs>
        <w:ind w:left="720" w:hanging="360"/>
      </w:pPr>
    </w:lvl>
    <w:lvl w:ilvl="1" w:tplc="3174A32E" w:tentative="1">
      <w:start w:val="1"/>
      <w:numFmt w:val="decimal"/>
      <w:lvlText w:val="%2."/>
      <w:lvlJc w:val="left"/>
      <w:pPr>
        <w:tabs>
          <w:tab w:val="num" w:pos="1440"/>
        </w:tabs>
        <w:ind w:left="1440" w:hanging="360"/>
      </w:pPr>
    </w:lvl>
    <w:lvl w:ilvl="2" w:tplc="98744014" w:tentative="1">
      <w:start w:val="1"/>
      <w:numFmt w:val="decimal"/>
      <w:lvlText w:val="%3."/>
      <w:lvlJc w:val="left"/>
      <w:pPr>
        <w:tabs>
          <w:tab w:val="num" w:pos="2160"/>
        </w:tabs>
        <w:ind w:left="2160" w:hanging="360"/>
      </w:pPr>
    </w:lvl>
    <w:lvl w:ilvl="3" w:tplc="BA34F7F8" w:tentative="1">
      <w:start w:val="1"/>
      <w:numFmt w:val="decimal"/>
      <w:lvlText w:val="%4."/>
      <w:lvlJc w:val="left"/>
      <w:pPr>
        <w:tabs>
          <w:tab w:val="num" w:pos="2880"/>
        </w:tabs>
        <w:ind w:left="2880" w:hanging="360"/>
      </w:pPr>
    </w:lvl>
    <w:lvl w:ilvl="4" w:tplc="95AC69C6" w:tentative="1">
      <w:start w:val="1"/>
      <w:numFmt w:val="decimal"/>
      <w:lvlText w:val="%5."/>
      <w:lvlJc w:val="left"/>
      <w:pPr>
        <w:tabs>
          <w:tab w:val="num" w:pos="3600"/>
        </w:tabs>
        <w:ind w:left="3600" w:hanging="360"/>
      </w:pPr>
    </w:lvl>
    <w:lvl w:ilvl="5" w:tplc="64AC91CA" w:tentative="1">
      <w:start w:val="1"/>
      <w:numFmt w:val="decimal"/>
      <w:lvlText w:val="%6."/>
      <w:lvlJc w:val="left"/>
      <w:pPr>
        <w:tabs>
          <w:tab w:val="num" w:pos="4320"/>
        </w:tabs>
        <w:ind w:left="4320" w:hanging="360"/>
      </w:pPr>
    </w:lvl>
    <w:lvl w:ilvl="6" w:tplc="87B25292" w:tentative="1">
      <w:start w:val="1"/>
      <w:numFmt w:val="decimal"/>
      <w:lvlText w:val="%7."/>
      <w:lvlJc w:val="left"/>
      <w:pPr>
        <w:tabs>
          <w:tab w:val="num" w:pos="5040"/>
        </w:tabs>
        <w:ind w:left="5040" w:hanging="360"/>
      </w:pPr>
    </w:lvl>
    <w:lvl w:ilvl="7" w:tplc="42342DC2" w:tentative="1">
      <w:start w:val="1"/>
      <w:numFmt w:val="decimal"/>
      <w:lvlText w:val="%8."/>
      <w:lvlJc w:val="left"/>
      <w:pPr>
        <w:tabs>
          <w:tab w:val="num" w:pos="5760"/>
        </w:tabs>
        <w:ind w:left="5760" w:hanging="360"/>
      </w:pPr>
    </w:lvl>
    <w:lvl w:ilvl="8" w:tplc="F46C8E2C" w:tentative="1">
      <w:start w:val="1"/>
      <w:numFmt w:val="decimal"/>
      <w:lvlText w:val="%9."/>
      <w:lvlJc w:val="left"/>
      <w:pPr>
        <w:tabs>
          <w:tab w:val="num" w:pos="6480"/>
        </w:tabs>
        <w:ind w:left="6480" w:hanging="360"/>
      </w:pPr>
    </w:lvl>
  </w:abstractNum>
  <w:abstractNum w:abstractNumId="22" w15:restartNumberingAfterBreak="0">
    <w:nsid w:val="4A4C0139"/>
    <w:multiLevelType w:val="hybridMultilevel"/>
    <w:tmpl w:val="296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C7C2C"/>
    <w:multiLevelType w:val="hybridMultilevel"/>
    <w:tmpl w:val="06CC1D6A"/>
    <w:lvl w:ilvl="0" w:tplc="B72A3FCC">
      <w:start w:val="1"/>
      <w:numFmt w:val="lowerLetter"/>
      <w:lvlText w:val="%1."/>
      <w:lvlJc w:val="left"/>
      <w:pPr>
        <w:ind w:left="1065" w:hanging="360"/>
      </w:pPr>
      <w:rPr>
        <w:rFonts w:hint="default"/>
        <w:color w:val="auto"/>
        <w:u w:val="no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077B6"/>
    <w:multiLevelType w:val="hybridMultilevel"/>
    <w:tmpl w:val="967A7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36D5684"/>
    <w:multiLevelType w:val="hybridMultilevel"/>
    <w:tmpl w:val="C0EA6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534B2B"/>
    <w:multiLevelType w:val="hybridMultilevel"/>
    <w:tmpl w:val="7916AD2A"/>
    <w:lvl w:ilvl="0" w:tplc="B80E9A42">
      <w:start w:val="1"/>
      <w:numFmt w:val="bullet"/>
      <w:lvlText w:val=""/>
      <w:lvlJc w:val="left"/>
      <w:pPr>
        <w:ind w:left="360" w:hanging="360"/>
      </w:pPr>
      <w:rPr>
        <w:rFonts w:ascii="Symbol" w:hAnsi="Symbol" w:hint="default"/>
      </w:rPr>
    </w:lvl>
    <w:lvl w:ilvl="1" w:tplc="A398AF32">
      <w:numFmt w:val="bullet"/>
      <w:lvlText w:val="-"/>
      <w:lvlJc w:val="left"/>
      <w:pPr>
        <w:ind w:left="1080" w:hanging="360"/>
      </w:pPr>
      <w:rPr>
        <w:rFonts w:ascii="Times New Roman" w:eastAsiaTheme="minorEastAsia"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952ED7"/>
    <w:multiLevelType w:val="hybridMultilevel"/>
    <w:tmpl w:val="591A9B12"/>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AA6597"/>
    <w:multiLevelType w:val="hybridMultilevel"/>
    <w:tmpl w:val="F7749E6E"/>
    <w:lvl w:ilvl="0" w:tplc="7972747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90534"/>
    <w:multiLevelType w:val="hybridMultilevel"/>
    <w:tmpl w:val="A0823D2C"/>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3" w15:restartNumberingAfterBreak="0">
    <w:nsid w:val="5DF55C15"/>
    <w:multiLevelType w:val="hybridMultilevel"/>
    <w:tmpl w:val="B5EA428C"/>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F37652"/>
    <w:multiLevelType w:val="hybridMultilevel"/>
    <w:tmpl w:val="3CAC089A"/>
    <w:lvl w:ilvl="0" w:tplc="3E1C2F2E">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00855"/>
    <w:multiLevelType w:val="hybridMultilevel"/>
    <w:tmpl w:val="CA94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723A7E73"/>
    <w:multiLevelType w:val="hybridMultilevel"/>
    <w:tmpl w:val="56960FF8"/>
    <w:lvl w:ilvl="0" w:tplc="08090011">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15:restartNumberingAfterBreak="0">
    <w:nsid w:val="73AB307B"/>
    <w:multiLevelType w:val="hybridMultilevel"/>
    <w:tmpl w:val="9E767DA4"/>
    <w:lvl w:ilvl="0" w:tplc="9782DE74">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075A81"/>
    <w:multiLevelType w:val="hybridMultilevel"/>
    <w:tmpl w:val="19182302"/>
    <w:lvl w:ilvl="0" w:tplc="080C0011">
      <w:start w:val="1"/>
      <w:numFmt w:val="decimal"/>
      <w:lvlText w:val="%1)"/>
      <w:lvlJc w:val="left"/>
      <w:pPr>
        <w:ind w:left="720" w:hanging="360"/>
      </w:pPr>
    </w:lvl>
    <w:lvl w:ilvl="1" w:tplc="4B0C849C">
      <w:start w:val="1"/>
      <w:numFmt w:val="lowerLetter"/>
      <w:lvlText w:val="%2."/>
      <w:lvlJc w:val="left"/>
      <w:pPr>
        <w:ind w:left="1440" w:hanging="360"/>
      </w:pPr>
      <w:rPr>
        <w:b w:val="0"/>
        <w:bCs w:val="0"/>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7A87672A"/>
    <w:multiLevelType w:val="hybridMultilevel"/>
    <w:tmpl w:val="A824D5B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9"/>
  </w:num>
  <w:num w:numId="2">
    <w:abstractNumId w:val="24"/>
  </w:num>
  <w:num w:numId="3">
    <w:abstractNumId w:val="25"/>
  </w:num>
  <w:num w:numId="4">
    <w:abstractNumId w:val="24"/>
  </w:num>
  <w:num w:numId="5">
    <w:abstractNumId w:val="36"/>
  </w:num>
  <w:num w:numId="6">
    <w:abstractNumId w:val="27"/>
  </w:num>
  <w:num w:numId="7">
    <w:abstractNumId w:val="13"/>
  </w:num>
  <w:num w:numId="8">
    <w:abstractNumId w:val="10"/>
  </w:num>
  <w:num w:numId="9">
    <w:abstractNumId w:val="2"/>
  </w:num>
  <w:num w:numId="10">
    <w:abstractNumId w:val="0"/>
  </w:num>
  <w:num w:numId="11">
    <w:abstractNumId w:val="18"/>
  </w:num>
  <w:num w:numId="12">
    <w:abstractNumId w:val="28"/>
  </w:num>
  <w:num w:numId="13">
    <w:abstractNumId w:val="33"/>
  </w:num>
  <w:num w:numId="14">
    <w:abstractNumId w:val="37"/>
  </w:num>
  <w:num w:numId="15">
    <w:abstractNumId w:val="32"/>
  </w:num>
  <w:num w:numId="16">
    <w:abstractNumId w:val="26"/>
  </w:num>
  <w:num w:numId="17">
    <w:abstractNumId w:val="4"/>
  </w:num>
  <w:num w:numId="18">
    <w:abstractNumId w:val="38"/>
  </w:num>
  <w:num w:numId="19">
    <w:abstractNumId w:val="19"/>
  </w:num>
  <w:num w:numId="20">
    <w:abstractNumId w:val="20"/>
  </w:num>
  <w:num w:numId="21">
    <w:abstractNumId w:val="8"/>
  </w:num>
  <w:num w:numId="22">
    <w:abstractNumId w:val="11"/>
  </w:num>
  <w:num w:numId="23">
    <w:abstractNumId w:val="35"/>
  </w:num>
  <w:num w:numId="24">
    <w:abstractNumId w:val="15"/>
  </w:num>
  <w:num w:numId="25">
    <w:abstractNumId w:val="1"/>
  </w:num>
  <w:num w:numId="26">
    <w:abstractNumId w:val="30"/>
  </w:num>
  <w:num w:numId="27">
    <w:abstractNumId w:val="31"/>
  </w:num>
  <w:num w:numId="28">
    <w:abstractNumId w:val="12"/>
  </w:num>
  <w:num w:numId="29">
    <w:abstractNumId w:val="23"/>
  </w:num>
  <w:num w:numId="30">
    <w:abstractNumId w:val="16"/>
  </w:num>
  <w:num w:numId="31">
    <w:abstractNumId w:val="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0"/>
  </w:num>
  <w:num w:numId="36">
    <w:abstractNumId w:val="34"/>
  </w:num>
  <w:num w:numId="37">
    <w:abstractNumId w:val="6"/>
  </w:num>
  <w:num w:numId="38">
    <w:abstractNumId w:val="14"/>
  </w:num>
  <w:num w:numId="39">
    <w:abstractNumId w:val="22"/>
  </w:num>
  <w:num w:numId="40">
    <w:abstractNumId w:val="29"/>
  </w:num>
  <w:num w:numId="41">
    <w:abstractNumId w:val="5"/>
  </w:num>
  <w:num w:numId="4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6AD"/>
    <w:rsid w:val="000038C4"/>
    <w:rsid w:val="0000522F"/>
    <w:rsid w:val="0000661A"/>
    <w:rsid w:val="00007F7F"/>
    <w:rsid w:val="00010C32"/>
    <w:rsid w:val="00010F48"/>
    <w:rsid w:val="000147CA"/>
    <w:rsid w:val="0001781D"/>
    <w:rsid w:val="0002197D"/>
    <w:rsid w:val="00021DF9"/>
    <w:rsid w:val="0002607F"/>
    <w:rsid w:val="0002623A"/>
    <w:rsid w:val="000264BE"/>
    <w:rsid w:val="000268B0"/>
    <w:rsid w:val="00027767"/>
    <w:rsid w:val="00031460"/>
    <w:rsid w:val="0003282D"/>
    <w:rsid w:val="000334BE"/>
    <w:rsid w:val="00037C59"/>
    <w:rsid w:val="00042A0C"/>
    <w:rsid w:val="00047F0D"/>
    <w:rsid w:val="00052578"/>
    <w:rsid w:val="00052886"/>
    <w:rsid w:val="00052EB0"/>
    <w:rsid w:val="00053C26"/>
    <w:rsid w:val="00053FE3"/>
    <w:rsid w:val="00054724"/>
    <w:rsid w:val="000548E3"/>
    <w:rsid w:val="00057853"/>
    <w:rsid w:val="0006023C"/>
    <w:rsid w:val="00060990"/>
    <w:rsid w:val="00060A89"/>
    <w:rsid w:val="0006108F"/>
    <w:rsid w:val="00061780"/>
    <w:rsid w:val="00065C85"/>
    <w:rsid w:val="00065E3D"/>
    <w:rsid w:val="0006644B"/>
    <w:rsid w:val="00070720"/>
    <w:rsid w:val="00071C7B"/>
    <w:rsid w:val="000720AB"/>
    <w:rsid w:val="00073F35"/>
    <w:rsid w:val="00076C9E"/>
    <w:rsid w:val="0007733F"/>
    <w:rsid w:val="000811C5"/>
    <w:rsid w:val="0008236A"/>
    <w:rsid w:val="00085DD6"/>
    <w:rsid w:val="000929FF"/>
    <w:rsid w:val="00093ACA"/>
    <w:rsid w:val="000A1688"/>
    <w:rsid w:val="000A30EC"/>
    <w:rsid w:val="000A5071"/>
    <w:rsid w:val="000B4C95"/>
    <w:rsid w:val="000C20DC"/>
    <w:rsid w:val="000C2A2E"/>
    <w:rsid w:val="000C2C28"/>
    <w:rsid w:val="000C2DDF"/>
    <w:rsid w:val="000C4839"/>
    <w:rsid w:val="000C5BA2"/>
    <w:rsid w:val="000D1EC9"/>
    <w:rsid w:val="000D746E"/>
    <w:rsid w:val="000E0B2E"/>
    <w:rsid w:val="000E1C8D"/>
    <w:rsid w:val="000E38AA"/>
    <w:rsid w:val="000E6444"/>
    <w:rsid w:val="000E6F49"/>
    <w:rsid w:val="000E738E"/>
    <w:rsid w:val="000F2E67"/>
    <w:rsid w:val="000F366F"/>
    <w:rsid w:val="000F7399"/>
    <w:rsid w:val="000F7587"/>
    <w:rsid w:val="0010077D"/>
    <w:rsid w:val="00100F73"/>
    <w:rsid w:val="00100FFB"/>
    <w:rsid w:val="001012BC"/>
    <w:rsid w:val="0010361A"/>
    <w:rsid w:val="0010375B"/>
    <w:rsid w:val="001054A9"/>
    <w:rsid w:val="00105535"/>
    <w:rsid w:val="001115EA"/>
    <w:rsid w:val="00111A8A"/>
    <w:rsid w:val="0011257B"/>
    <w:rsid w:val="001158FB"/>
    <w:rsid w:val="001164E6"/>
    <w:rsid w:val="001217CF"/>
    <w:rsid w:val="00121D0F"/>
    <w:rsid w:val="00122205"/>
    <w:rsid w:val="0012767B"/>
    <w:rsid w:val="00130BEC"/>
    <w:rsid w:val="001318DE"/>
    <w:rsid w:val="00134251"/>
    <w:rsid w:val="0014173E"/>
    <w:rsid w:val="00143AFF"/>
    <w:rsid w:val="001509F4"/>
    <w:rsid w:val="00151F6B"/>
    <w:rsid w:val="00162B08"/>
    <w:rsid w:val="001668F0"/>
    <w:rsid w:val="0017057A"/>
    <w:rsid w:val="001743A1"/>
    <w:rsid w:val="001837F9"/>
    <w:rsid w:val="00190D19"/>
    <w:rsid w:val="00191861"/>
    <w:rsid w:val="00193826"/>
    <w:rsid w:val="00194AC8"/>
    <w:rsid w:val="001962CD"/>
    <w:rsid w:val="001A1E52"/>
    <w:rsid w:val="001A5DC4"/>
    <w:rsid w:val="001B0D22"/>
    <w:rsid w:val="001B17B9"/>
    <w:rsid w:val="001B3FBE"/>
    <w:rsid w:val="001B506B"/>
    <w:rsid w:val="001B5EDA"/>
    <w:rsid w:val="001B63C9"/>
    <w:rsid w:val="001B776D"/>
    <w:rsid w:val="001B7A37"/>
    <w:rsid w:val="001C230E"/>
    <w:rsid w:val="001C2863"/>
    <w:rsid w:val="001C36A8"/>
    <w:rsid w:val="001C4440"/>
    <w:rsid w:val="001C533D"/>
    <w:rsid w:val="001D0884"/>
    <w:rsid w:val="001D16E1"/>
    <w:rsid w:val="001D27FE"/>
    <w:rsid w:val="001D31C2"/>
    <w:rsid w:val="001D6882"/>
    <w:rsid w:val="001D69BE"/>
    <w:rsid w:val="001D6BE4"/>
    <w:rsid w:val="001E4BD2"/>
    <w:rsid w:val="001E5885"/>
    <w:rsid w:val="001E5B3B"/>
    <w:rsid w:val="001E7D6D"/>
    <w:rsid w:val="001F7D49"/>
    <w:rsid w:val="00200486"/>
    <w:rsid w:val="00200CD5"/>
    <w:rsid w:val="0020676D"/>
    <w:rsid w:val="0020692F"/>
    <w:rsid w:val="002070AD"/>
    <w:rsid w:val="00207123"/>
    <w:rsid w:val="002079BE"/>
    <w:rsid w:val="0021145F"/>
    <w:rsid w:val="00212443"/>
    <w:rsid w:val="002125C7"/>
    <w:rsid w:val="00212BF7"/>
    <w:rsid w:val="00214150"/>
    <w:rsid w:val="0022078A"/>
    <w:rsid w:val="00220E16"/>
    <w:rsid w:val="002228D5"/>
    <w:rsid w:val="00222D1C"/>
    <w:rsid w:val="0022556C"/>
    <w:rsid w:val="00231E1D"/>
    <w:rsid w:val="0023248B"/>
    <w:rsid w:val="00234D49"/>
    <w:rsid w:val="00236174"/>
    <w:rsid w:val="00241AF3"/>
    <w:rsid w:val="0024200E"/>
    <w:rsid w:val="002427C0"/>
    <w:rsid w:val="00243040"/>
    <w:rsid w:val="00251AC8"/>
    <w:rsid w:val="00253185"/>
    <w:rsid w:val="00253744"/>
    <w:rsid w:val="0026019F"/>
    <w:rsid w:val="00260923"/>
    <w:rsid w:val="00260D49"/>
    <w:rsid w:val="00261ACE"/>
    <w:rsid w:val="00265269"/>
    <w:rsid w:val="0026646E"/>
    <w:rsid w:val="00266D8D"/>
    <w:rsid w:val="002773E1"/>
    <w:rsid w:val="0028192B"/>
    <w:rsid w:val="00284237"/>
    <w:rsid w:val="0028438C"/>
    <w:rsid w:val="00287A13"/>
    <w:rsid w:val="00290D95"/>
    <w:rsid w:val="00291555"/>
    <w:rsid w:val="00291F7C"/>
    <w:rsid w:val="00292EB7"/>
    <w:rsid w:val="002A09B4"/>
    <w:rsid w:val="002A1458"/>
    <w:rsid w:val="002A173B"/>
    <w:rsid w:val="002A264E"/>
    <w:rsid w:val="002A6B9A"/>
    <w:rsid w:val="002B03C9"/>
    <w:rsid w:val="002B4498"/>
    <w:rsid w:val="002B4C20"/>
    <w:rsid w:val="002B54EC"/>
    <w:rsid w:val="002B6F25"/>
    <w:rsid w:val="002B7F6E"/>
    <w:rsid w:val="002C5D1C"/>
    <w:rsid w:val="002D0596"/>
    <w:rsid w:val="002D0F7E"/>
    <w:rsid w:val="002E04CE"/>
    <w:rsid w:val="002E581D"/>
    <w:rsid w:val="002E59BD"/>
    <w:rsid w:val="002E5B9B"/>
    <w:rsid w:val="002F150A"/>
    <w:rsid w:val="002F4C7C"/>
    <w:rsid w:val="003010A1"/>
    <w:rsid w:val="0030144F"/>
    <w:rsid w:val="00302584"/>
    <w:rsid w:val="00302B27"/>
    <w:rsid w:val="00306388"/>
    <w:rsid w:val="00307AF2"/>
    <w:rsid w:val="00312766"/>
    <w:rsid w:val="00315C60"/>
    <w:rsid w:val="0031621F"/>
    <w:rsid w:val="00317DCE"/>
    <w:rsid w:val="00332B82"/>
    <w:rsid w:val="003341A5"/>
    <w:rsid w:val="00342898"/>
    <w:rsid w:val="00344CAA"/>
    <w:rsid w:val="00344DC5"/>
    <w:rsid w:val="0034736F"/>
    <w:rsid w:val="00347E04"/>
    <w:rsid w:val="0035524F"/>
    <w:rsid w:val="003573BA"/>
    <w:rsid w:val="00364AE7"/>
    <w:rsid w:val="00366DC6"/>
    <w:rsid w:val="00374C2C"/>
    <w:rsid w:val="0037552B"/>
    <w:rsid w:val="0038108B"/>
    <w:rsid w:val="003834F8"/>
    <w:rsid w:val="00383568"/>
    <w:rsid w:val="00383935"/>
    <w:rsid w:val="0038562C"/>
    <w:rsid w:val="00390067"/>
    <w:rsid w:val="00391655"/>
    <w:rsid w:val="003917D7"/>
    <w:rsid w:val="00394C20"/>
    <w:rsid w:val="003A38A2"/>
    <w:rsid w:val="003A4FC0"/>
    <w:rsid w:val="003B306B"/>
    <w:rsid w:val="003B63AE"/>
    <w:rsid w:val="003C1B04"/>
    <w:rsid w:val="003C441A"/>
    <w:rsid w:val="003D1349"/>
    <w:rsid w:val="003D1F22"/>
    <w:rsid w:val="003D3745"/>
    <w:rsid w:val="003D38E2"/>
    <w:rsid w:val="003D7FD9"/>
    <w:rsid w:val="003E071A"/>
    <w:rsid w:val="003E3E24"/>
    <w:rsid w:val="003E74D8"/>
    <w:rsid w:val="003E7E4F"/>
    <w:rsid w:val="003F0742"/>
    <w:rsid w:val="003F354E"/>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6C2F"/>
    <w:rsid w:val="00417936"/>
    <w:rsid w:val="00422311"/>
    <w:rsid w:val="00423041"/>
    <w:rsid w:val="004232D9"/>
    <w:rsid w:val="00425B40"/>
    <w:rsid w:val="004268D5"/>
    <w:rsid w:val="004303C3"/>
    <w:rsid w:val="00431D53"/>
    <w:rsid w:val="00431EA7"/>
    <w:rsid w:val="00433985"/>
    <w:rsid w:val="00434926"/>
    <w:rsid w:val="0043494A"/>
    <w:rsid w:val="004351D8"/>
    <w:rsid w:val="0043742A"/>
    <w:rsid w:val="00441E09"/>
    <w:rsid w:val="00453636"/>
    <w:rsid w:val="00455626"/>
    <w:rsid w:val="0045624E"/>
    <w:rsid w:val="0045647C"/>
    <w:rsid w:val="00457B00"/>
    <w:rsid w:val="00463A64"/>
    <w:rsid w:val="00471036"/>
    <w:rsid w:val="00473B64"/>
    <w:rsid w:val="004754B5"/>
    <w:rsid w:val="00477A11"/>
    <w:rsid w:val="004812CB"/>
    <w:rsid w:val="00482779"/>
    <w:rsid w:val="004855FD"/>
    <w:rsid w:val="00486CB6"/>
    <w:rsid w:val="004944DB"/>
    <w:rsid w:val="00496213"/>
    <w:rsid w:val="00496E19"/>
    <w:rsid w:val="004A0CD0"/>
    <w:rsid w:val="004A7FE5"/>
    <w:rsid w:val="004B4403"/>
    <w:rsid w:val="004C1A8E"/>
    <w:rsid w:val="004C1FFF"/>
    <w:rsid w:val="004C2FA6"/>
    <w:rsid w:val="004C4DBE"/>
    <w:rsid w:val="004C53CF"/>
    <w:rsid w:val="004C72E3"/>
    <w:rsid w:val="004D02FD"/>
    <w:rsid w:val="004D3913"/>
    <w:rsid w:val="004D48DF"/>
    <w:rsid w:val="004D597E"/>
    <w:rsid w:val="004D639C"/>
    <w:rsid w:val="004E2A9A"/>
    <w:rsid w:val="004E50DC"/>
    <w:rsid w:val="004E5922"/>
    <w:rsid w:val="004E59D9"/>
    <w:rsid w:val="004F5D70"/>
    <w:rsid w:val="00502CCA"/>
    <w:rsid w:val="00503235"/>
    <w:rsid w:val="005070D4"/>
    <w:rsid w:val="00510FAF"/>
    <w:rsid w:val="00513A75"/>
    <w:rsid w:val="0051532C"/>
    <w:rsid w:val="0051761A"/>
    <w:rsid w:val="00524EF4"/>
    <w:rsid w:val="00530D10"/>
    <w:rsid w:val="005325DA"/>
    <w:rsid w:val="00532C41"/>
    <w:rsid w:val="00533490"/>
    <w:rsid w:val="00533519"/>
    <w:rsid w:val="0053382F"/>
    <w:rsid w:val="005364C3"/>
    <w:rsid w:val="00536CF3"/>
    <w:rsid w:val="0054047D"/>
    <w:rsid w:val="00545DD0"/>
    <w:rsid w:val="005523DF"/>
    <w:rsid w:val="00552B05"/>
    <w:rsid w:val="00555C6E"/>
    <w:rsid w:val="005629A0"/>
    <w:rsid w:val="00566311"/>
    <w:rsid w:val="00566BFF"/>
    <w:rsid w:val="00570FC0"/>
    <w:rsid w:val="00571DB9"/>
    <w:rsid w:val="0057315F"/>
    <w:rsid w:val="00575631"/>
    <w:rsid w:val="0057653D"/>
    <w:rsid w:val="00580921"/>
    <w:rsid w:val="00580A4A"/>
    <w:rsid w:val="00581062"/>
    <w:rsid w:val="005816C5"/>
    <w:rsid w:val="00582047"/>
    <w:rsid w:val="00586ABC"/>
    <w:rsid w:val="005940F0"/>
    <w:rsid w:val="0059492C"/>
    <w:rsid w:val="00595CBF"/>
    <w:rsid w:val="005A000B"/>
    <w:rsid w:val="005A09AC"/>
    <w:rsid w:val="005A09D7"/>
    <w:rsid w:val="005A232E"/>
    <w:rsid w:val="005A39BB"/>
    <w:rsid w:val="005A3ABC"/>
    <w:rsid w:val="005A58DC"/>
    <w:rsid w:val="005B231B"/>
    <w:rsid w:val="005B4061"/>
    <w:rsid w:val="005B5D4C"/>
    <w:rsid w:val="005C295A"/>
    <w:rsid w:val="005C3310"/>
    <w:rsid w:val="005C3678"/>
    <w:rsid w:val="005C510E"/>
    <w:rsid w:val="005C51C0"/>
    <w:rsid w:val="005C55D0"/>
    <w:rsid w:val="005C6602"/>
    <w:rsid w:val="005D010A"/>
    <w:rsid w:val="005D07C3"/>
    <w:rsid w:val="005D23BD"/>
    <w:rsid w:val="005D2E33"/>
    <w:rsid w:val="005D55E2"/>
    <w:rsid w:val="005D676E"/>
    <w:rsid w:val="005D7FBC"/>
    <w:rsid w:val="005E4B0A"/>
    <w:rsid w:val="005E4E84"/>
    <w:rsid w:val="005E6186"/>
    <w:rsid w:val="005E6248"/>
    <w:rsid w:val="005E63E0"/>
    <w:rsid w:val="005F0248"/>
    <w:rsid w:val="005F0DAC"/>
    <w:rsid w:val="005F153A"/>
    <w:rsid w:val="005F3C9A"/>
    <w:rsid w:val="005F42CA"/>
    <w:rsid w:val="005F43BC"/>
    <w:rsid w:val="005F6E60"/>
    <w:rsid w:val="005F716F"/>
    <w:rsid w:val="005F7189"/>
    <w:rsid w:val="005F7C2E"/>
    <w:rsid w:val="006006FD"/>
    <w:rsid w:val="00602355"/>
    <w:rsid w:val="00607480"/>
    <w:rsid w:val="00607F0B"/>
    <w:rsid w:val="00611188"/>
    <w:rsid w:val="0061330E"/>
    <w:rsid w:val="00613CAE"/>
    <w:rsid w:val="00616D37"/>
    <w:rsid w:val="006204DB"/>
    <w:rsid w:val="0062320B"/>
    <w:rsid w:val="00623E67"/>
    <w:rsid w:val="00624887"/>
    <w:rsid w:val="00626262"/>
    <w:rsid w:val="00630805"/>
    <w:rsid w:val="006345B0"/>
    <w:rsid w:val="00635161"/>
    <w:rsid w:val="006367B6"/>
    <w:rsid w:val="0064055B"/>
    <w:rsid w:val="00640F05"/>
    <w:rsid w:val="00642B5B"/>
    <w:rsid w:val="006463AB"/>
    <w:rsid w:val="00646805"/>
    <w:rsid w:val="006477FD"/>
    <w:rsid w:val="00651A48"/>
    <w:rsid w:val="00656B2D"/>
    <w:rsid w:val="00664B52"/>
    <w:rsid w:val="00665F5E"/>
    <w:rsid w:val="0066704D"/>
    <w:rsid w:val="00671AA0"/>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1B18"/>
    <w:rsid w:val="006B361F"/>
    <w:rsid w:val="006B39E1"/>
    <w:rsid w:val="006B3C5E"/>
    <w:rsid w:val="006B460D"/>
    <w:rsid w:val="006C080D"/>
    <w:rsid w:val="006C1682"/>
    <w:rsid w:val="006C2B40"/>
    <w:rsid w:val="006C364F"/>
    <w:rsid w:val="006C5D53"/>
    <w:rsid w:val="006C64C6"/>
    <w:rsid w:val="006D18A0"/>
    <w:rsid w:val="006D2E4F"/>
    <w:rsid w:val="006D30E2"/>
    <w:rsid w:val="006D42F1"/>
    <w:rsid w:val="006D5D09"/>
    <w:rsid w:val="006D70C6"/>
    <w:rsid w:val="006E0FF3"/>
    <w:rsid w:val="006E36F1"/>
    <w:rsid w:val="006E39B8"/>
    <w:rsid w:val="006F2163"/>
    <w:rsid w:val="006F2AB5"/>
    <w:rsid w:val="006F5ACB"/>
    <w:rsid w:val="007003D6"/>
    <w:rsid w:val="0070262F"/>
    <w:rsid w:val="00704271"/>
    <w:rsid w:val="00712740"/>
    <w:rsid w:val="00713A1D"/>
    <w:rsid w:val="007156E4"/>
    <w:rsid w:val="0071580E"/>
    <w:rsid w:val="00717F6C"/>
    <w:rsid w:val="0072067D"/>
    <w:rsid w:val="00721EED"/>
    <w:rsid w:val="007232B3"/>
    <w:rsid w:val="00724630"/>
    <w:rsid w:val="007270D0"/>
    <w:rsid w:val="00727DC2"/>
    <w:rsid w:val="00733871"/>
    <w:rsid w:val="007339D5"/>
    <w:rsid w:val="00734285"/>
    <w:rsid w:val="0074415C"/>
    <w:rsid w:val="00750401"/>
    <w:rsid w:val="00753E4E"/>
    <w:rsid w:val="00756122"/>
    <w:rsid w:val="00756B60"/>
    <w:rsid w:val="00756E92"/>
    <w:rsid w:val="0076010E"/>
    <w:rsid w:val="00764696"/>
    <w:rsid w:val="0077353C"/>
    <w:rsid w:val="00775A12"/>
    <w:rsid w:val="00776D75"/>
    <w:rsid w:val="00783E51"/>
    <w:rsid w:val="0078643F"/>
    <w:rsid w:val="0079077B"/>
    <w:rsid w:val="00790E9D"/>
    <w:rsid w:val="007944BB"/>
    <w:rsid w:val="0079453B"/>
    <w:rsid w:val="007962C2"/>
    <w:rsid w:val="007969B4"/>
    <w:rsid w:val="00797D46"/>
    <w:rsid w:val="007A0D91"/>
    <w:rsid w:val="007A2CDA"/>
    <w:rsid w:val="007A5462"/>
    <w:rsid w:val="007A54BE"/>
    <w:rsid w:val="007A5722"/>
    <w:rsid w:val="007B1D6C"/>
    <w:rsid w:val="007B3243"/>
    <w:rsid w:val="007B3BF2"/>
    <w:rsid w:val="007B7969"/>
    <w:rsid w:val="007B7E45"/>
    <w:rsid w:val="007C05A7"/>
    <w:rsid w:val="007C102C"/>
    <w:rsid w:val="007C34B0"/>
    <w:rsid w:val="007C47E0"/>
    <w:rsid w:val="007C5CDF"/>
    <w:rsid w:val="007C7752"/>
    <w:rsid w:val="007D65D9"/>
    <w:rsid w:val="007E1149"/>
    <w:rsid w:val="007E33CE"/>
    <w:rsid w:val="007E6398"/>
    <w:rsid w:val="007E754E"/>
    <w:rsid w:val="007E77C1"/>
    <w:rsid w:val="007F1EAE"/>
    <w:rsid w:val="007F5448"/>
    <w:rsid w:val="007F5590"/>
    <w:rsid w:val="007F5CC0"/>
    <w:rsid w:val="007F6C7A"/>
    <w:rsid w:val="007F7ECE"/>
    <w:rsid w:val="007F7EDA"/>
    <w:rsid w:val="008002FF"/>
    <w:rsid w:val="0080098C"/>
    <w:rsid w:val="00802ED1"/>
    <w:rsid w:val="00803EC9"/>
    <w:rsid w:val="0080441F"/>
    <w:rsid w:val="00804996"/>
    <w:rsid w:val="0080713C"/>
    <w:rsid w:val="0081165B"/>
    <w:rsid w:val="00811AE1"/>
    <w:rsid w:val="00815174"/>
    <w:rsid w:val="008151AA"/>
    <w:rsid w:val="00816221"/>
    <w:rsid w:val="00816507"/>
    <w:rsid w:val="00820D82"/>
    <w:rsid w:val="00821976"/>
    <w:rsid w:val="0082335C"/>
    <w:rsid w:val="008233F9"/>
    <w:rsid w:val="00831D35"/>
    <w:rsid w:val="0083200C"/>
    <w:rsid w:val="00833784"/>
    <w:rsid w:val="00833DC2"/>
    <w:rsid w:val="00835CD6"/>
    <w:rsid w:val="00836423"/>
    <w:rsid w:val="0084292A"/>
    <w:rsid w:val="00842DFD"/>
    <w:rsid w:val="008446CA"/>
    <w:rsid w:val="0084622B"/>
    <w:rsid w:val="008476F6"/>
    <w:rsid w:val="00852314"/>
    <w:rsid w:val="00853371"/>
    <w:rsid w:val="0085345F"/>
    <w:rsid w:val="008543CD"/>
    <w:rsid w:val="00861F9C"/>
    <w:rsid w:val="00862631"/>
    <w:rsid w:val="00872804"/>
    <w:rsid w:val="008749C8"/>
    <w:rsid w:val="0088059A"/>
    <w:rsid w:val="00883936"/>
    <w:rsid w:val="00883FE0"/>
    <w:rsid w:val="00885376"/>
    <w:rsid w:val="00887F43"/>
    <w:rsid w:val="00891BFC"/>
    <w:rsid w:val="00893BBD"/>
    <w:rsid w:val="00894A9C"/>
    <w:rsid w:val="00897007"/>
    <w:rsid w:val="008A0AAD"/>
    <w:rsid w:val="008A0B10"/>
    <w:rsid w:val="008A0F72"/>
    <w:rsid w:val="008A17F9"/>
    <w:rsid w:val="008A2445"/>
    <w:rsid w:val="008A292E"/>
    <w:rsid w:val="008A4F01"/>
    <w:rsid w:val="008A53D8"/>
    <w:rsid w:val="008B2C85"/>
    <w:rsid w:val="008B56C2"/>
    <w:rsid w:val="008B672A"/>
    <w:rsid w:val="008C173B"/>
    <w:rsid w:val="008C24BE"/>
    <w:rsid w:val="008C2C8E"/>
    <w:rsid w:val="008D18C5"/>
    <w:rsid w:val="008D1B8D"/>
    <w:rsid w:val="008D1DB1"/>
    <w:rsid w:val="008D45D6"/>
    <w:rsid w:val="008E27E9"/>
    <w:rsid w:val="008E28FB"/>
    <w:rsid w:val="008E3915"/>
    <w:rsid w:val="008E74F8"/>
    <w:rsid w:val="008F0348"/>
    <w:rsid w:val="008F736F"/>
    <w:rsid w:val="00902E96"/>
    <w:rsid w:val="009039E6"/>
    <w:rsid w:val="009060A3"/>
    <w:rsid w:val="0090735D"/>
    <w:rsid w:val="00907AAE"/>
    <w:rsid w:val="00907BC6"/>
    <w:rsid w:val="00907F6E"/>
    <w:rsid w:val="00911D35"/>
    <w:rsid w:val="0091462A"/>
    <w:rsid w:val="009152F8"/>
    <w:rsid w:val="009158E2"/>
    <w:rsid w:val="009165A7"/>
    <w:rsid w:val="0091691F"/>
    <w:rsid w:val="009208B2"/>
    <w:rsid w:val="00921BD2"/>
    <w:rsid w:val="00923F98"/>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1F48"/>
    <w:rsid w:val="00973FB5"/>
    <w:rsid w:val="00977945"/>
    <w:rsid w:val="00980DE1"/>
    <w:rsid w:val="00981751"/>
    <w:rsid w:val="00981C18"/>
    <w:rsid w:val="00990AD9"/>
    <w:rsid w:val="00990CB4"/>
    <w:rsid w:val="00990FC4"/>
    <w:rsid w:val="009914AD"/>
    <w:rsid w:val="009A0436"/>
    <w:rsid w:val="009A5599"/>
    <w:rsid w:val="009A68D0"/>
    <w:rsid w:val="009A7E6E"/>
    <w:rsid w:val="009B2CB2"/>
    <w:rsid w:val="009B7A6D"/>
    <w:rsid w:val="009C0B27"/>
    <w:rsid w:val="009C38EC"/>
    <w:rsid w:val="009C404B"/>
    <w:rsid w:val="009C53AB"/>
    <w:rsid w:val="009C7808"/>
    <w:rsid w:val="009C7959"/>
    <w:rsid w:val="009D06FA"/>
    <w:rsid w:val="009D6E05"/>
    <w:rsid w:val="009D71BE"/>
    <w:rsid w:val="009E0E57"/>
    <w:rsid w:val="009E6DA4"/>
    <w:rsid w:val="009E788E"/>
    <w:rsid w:val="009F6474"/>
    <w:rsid w:val="00A004BB"/>
    <w:rsid w:val="00A01278"/>
    <w:rsid w:val="00A017C1"/>
    <w:rsid w:val="00A03373"/>
    <w:rsid w:val="00A034D1"/>
    <w:rsid w:val="00A036B8"/>
    <w:rsid w:val="00A05AC3"/>
    <w:rsid w:val="00A10925"/>
    <w:rsid w:val="00A10EFD"/>
    <w:rsid w:val="00A10EFE"/>
    <w:rsid w:val="00A12C2C"/>
    <w:rsid w:val="00A14D06"/>
    <w:rsid w:val="00A2103F"/>
    <w:rsid w:val="00A241C3"/>
    <w:rsid w:val="00A26C2E"/>
    <w:rsid w:val="00A26EF2"/>
    <w:rsid w:val="00A316ED"/>
    <w:rsid w:val="00A3221E"/>
    <w:rsid w:val="00A37145"/>
    <w:rsid w:val="00A40EC9"/>
    <w:rsid w:val="00A4220F"/>
    <w:rsid w:val="00A4271C"/>
    <w:rsid w:val="00A4381A"/>
    <w:rsid w:val="00A43E66"/>
    <w:rsid w:val="00A46705"/>
    <w:rsid w:val="00A467F7"/>
    <w:rsid w:val="00A47D6B"/>
    <w:rsid w:val="00A53763"/>
    <w:rsid w:val="00A538E3"/>
    <w:rsid w:val="00A5763D"/>
    <w:rsid w:val="00A57D48"/>
    <w:rsid w:val="00A60890"/>
    <w:rsid w:val="00A609B1"/>
    <w:rsid w:val="00A62722"/>
    <w:rsid w:val="00A66A91"/>
    <w:rsid w:val="00A66CCC"/>
    <w:rsid w:val="00A70CB6"/>
    <w:rsid w:val="00A714BD"/>
    <w:rsid w:val="00A77A06"/>
    <w:rsid w:val="00A819C3"/>
    <w:rsid w:val="00A86A12"/>
    <w:rsid w:val="00A8726B"/>
    <w:rsid w:val="00A93C72"/>
    <w:rsid w:val="00A95D42"/>
    <w:rsid w:val="00A962C3"/>
    <w:rsid w:val="00A973E2"/>
    <w:rsid w:val="00A974C7"/>
    <w:rsid w:val="00A9753B"/>
    <w:rsid w:val="00AA33AB"/>
    <w:rsid w:val="00AA5CFE"/>
    <w:rsid w:val="00AB1A29"/>
    <w:rsid w:val="00AC37B1"/>
    <w:rsid w:val="00AC6047"/>
    <w:rsid w:val="00AC7956"/>
    <w:rsid w:val="00AD0F41"/>
    <w:rsid w:val="00AD6268"/>
    <w:rsid w:val="00AE72AF"/>
    <w:rsid w:val="00AF1F52"/>
    <w:rsid w:val="00AF2C12"/>
    <w:rsid w:val="00AF4FEB"/>
    <w:rsid w:val="00AF50A8"/>
    <w:rsid w:val="00B012E8"/>
    <w:rsid w:val="00B02AB0"/>
    <w:rsid w:val="00B13CEA"/>
    <w:rsid w:val="00B15C66"/>
    <w:rsid w:val="00B160D0"/>
    <w:rsid w:val="00B16489"/>
    <w:rsid w:val="00B212A4"/>
    <w:rsid w:val="00B22946"/>
    <w:rsid w:val="00B23999"/>
    <w:rsid w:val="00B25573"/>
    <w:rsid w:val="00B31C10"/>
    <w:rsid w:val="00B32122"/>
    <w:rsid w:val="00B3280E"/>
    <w:rsid w:val="00B33E2C"/>
    <w:rsid w:val="00B36FB3"/>
    <w:rsid w:val="00B4273F"/>
    <w:rsid w:val="00B46BB7"/>
    <w:rsid w:val="00B50536"/>
    <w:rsid w:val="00B52617"/>
    <w:rsid w:val="00B548BE"/>
    <w:rsid w:val="00B60E2E"/>
    <w:rsid w:val="00B628B6"/>
    <w:rsid w:val="00B648E7"/>
    <w:rsid w:val="00B660AC"/>
    <w:rsid w:val="00B70A2D"/>
    <w:rsid w:val="00B70AF5"/>
    <w:rsid w:val="00B70B6B"/>
    <w:rsid w:val="00B71491"/>
    <w:rsid w:val="00B72B57"/>
    <w:rsid w:val="00B7485F"/>
    <w:rsid w:val="00B74B43"/>
    <w:rsid w:val="00B76EBD"/>
    <w:rsid w:val="00B81D14"/>
    <w:rsid w:val="00B83F99"/>
    <w:rsid w:val="00B86879"/>
    <w:rsid w:val="00B915C1"/>
    <w:rsid w:val="00B921B1"/>
    <w:rsid w:val="00B92D6B"/>
    <w:rsid w:val="00B9352F"/>
    <w:rsid w:val="00B96815"/>
    <w:rsid w:val="00B97A98"/>
    <w:rsid w:val="00BA02C1"/>
    <w:rsid w:val="00BA0F89"/>
    <w:rsid w:val="00BA4B96"/>
    <w:rsid w:val="00BA7BE0"/>
    <w:rsid w:val="00BB09A2"/>
    <w:rsid w:val="00BB0AE6"/>
    <w:rsid w:val="00BB1545"/>
    <w:rsid w:val="00BB16E4"/>
    <w:rsid w:val="00BB21AD"/>
    <w:rsid w:val="00BB46DF"/>
    <w:rsid w:val="00BB4B1A"/>
    <w:rsid w:val="00BB4E09"/>
    <w:rsid w:val="00BB611D"/>
    <w:rsid w:val="00BC1480"/>
    <w:rsid w:val="00BC30E9"/>
    <w:rsid w:val="00BC4228"/>
    <w:rsid w:val="00BD0203"/>
    <w:rsid w:val="00BD5EB1"/>
    <w:rsid w:val="00BD6A33"/>
    <w:rsid w:val="00BD6AF4"/>
    <w:rsid w:val="00BD6DF5"/>
    <w:rsid w:val="00BE175D"/>
    <w:rsid w:val="00BE364F"/>
    <w:rsid w:val="00BE4BC7"/>
    <w:rsid w:val="00BE5EDE"/>
    <w:rsid w:val="00BE71E9"/>
    <w:rsid w:val="00BE7737"/>
    <w:rsid w:val="00BF06CF"/>
    <w:rsid w:val="00BF3543"/>
    <w:rsid w:val="00BF3A0C"/>
    <w:rsid w:val="00BF5747"/>
    <w:rsid w:val="00C01971"/>
    <w:rsid w:val="00C02CCE"/>
    <w:rsid w:val="00C0350F"/>
    <w:rsid w:val="00C03ACA"/>
    <w:rsid w:val="00C05325"/>
    <w:rsid w:val="00C07674"/>
    <w:rsid w:val="00C077B4"/>
    <w:rsid w:val="00C10210"/>
    <w:rsid w:val="00C13CAA"/>
    <w:rsid w:val="00C13CBB"/>
    <w:rsid w:val="00C16177"/>
    <w:rsid w:val="00C201B9"/>
    <w:rsid w:val="00C24302"/>
    <w:rsid w:val="00C243FF"/>
    <w:rsid w:val="00C25ADC"/>
    <w:rsid w:val="00C25D00"/>
    <w:rsid w:val="00C318C0"/>
    <w:rsid w:val="00C37CB2"/>
    <w:rsid w:val="00C37F17"/>
    <w:rsid w:val="00C40E80"/>
    <w:rsid w:val="00C42E8B"/>
    <w:rsid w:val="00C43031"/>
    <w:rsid w:val="00C4710B"/>
    <w:rsid w:val="00C55EC6"/>
    <w:rsid w:val="00C57678"/>
    <w:rsid w:val="00C62850"/>
    <w:rsid w:val="00C62E1A"/>
    <w:rsid w:val="00C632DB"/>
    <w:rsid w:val="00C64BBF"/>
    <w:rsid w:val="00C64EB2"/>
    <w:rsid w:val="00C657EE"/>
    <w:rsid w:val="00C70490"/>
    <w:rsid w:val="00C70729"/>
    <w:rsid w:val="00C71595"/>
    <w:rsid w:val="00C73208"/>
    <w:rsid w:val="00C73FEA"/>
    <w:rsid w:val="00C7455C"/>
    <w:rsid w:val="00C85CA1"/>
    <w:rsid w:val="00C863F7"/>
    <w:rsid w:val="00C869C5"/>
    <w:rsid w:val="00C86BA0"/>
    <w:rsid w:val="00C9084A"/>
    <w:rsid w:val="00C92514"/>
    <w:rsid w:val="00C93B0C"/>
    <w:rsid w:val="00CA0720"/>
    <w:rsid w:val="00CA120F"/>
    <w:rsid w:val="00CA151D"/>
    <w:rsid w:val="00CA2A06"/>
    <w:rsid w:val="00CA3CB2"/>
    <w:rsid w:val="00CA3F8B"/>
    <w:rsid w:val="00CA5798"/>
    <w:rsid w:val="00CA59F0"/>
    <w:rsid w:val="00CB000D"/>
    <w:rsid w:val="00CB0190"/>
    <w:rsid w:val="00CB2620"/>
    <w:rsid w:val="00CB3D5E"/>
    <w:rsid w:val="00CB5E62"/>
    <w:rsid w:val="00CB6567"/>
    <w:rsid w:val="00CB7510"/>
    <w:rsid w:val="00CB7672"/>
    <w:rsid w:val="00CB7CCD"/>
    <w:rsid w:val="00CC2C8B"/>
    <w:rsid w:val="00CC597D"/>
    <w:rsid w:val="00CC69B6"/>
    <w:rsid w:val="00CD01A7"/>
    <w:rsid w:val="00CD04E4"/>
    <w:rsid w:val="00CD098D"/>
    <w:rsid w:val="00CD4382"/>
    <w:rsid w:val="00CD605A"/>
    <w:rsid w:val="00CD6E42"/>
    <w:rsid w:val="00CE036F"/>
    <w:rsid w:val="00CE22E3"/>
    <w:rsid w:val="00CE5449"/>
    <w:rsid w:val="00CF049D"/>
    <w:rsid w:val="00CF0CDE"/>
    <w:rsid w:val="00CF1CD3"/>
    <w:rsid w:val="00CF3EA5"/>
    <w:rsid w:val="00CF4C38"/>
    <w:rsid w:val="00CF68E6"/>
    <w:rsid w:val="00CF6F28"/>
    <w:rsid w:val="00D02CC5"/>
    <w:rsid w:val="00D03809"/>
    <w:rsid w:val="00D03FE6"/>
    <w:rsid w:val="00D05C32"/>
    <w:rsid w:val="00D078F2"/>
    <w:rsid w:val="00D13E8A"/>
    <w:rsid w:val="00D14744"/>
    <w:rsid w:val="00D15326"/>
    <w:rsid w:val="00D15F1E"/>
    <w:rsid w:val="00D1632D"/>
    <w:rsid w:val="00D24CF3"/>
    <w:rsid w:val="00D35A9D"/>
    <w:rsid w:val="00D44B7E"/>
    <w:rsid w:val="00D44BB2"/>
    <w:rsid w:val="00D45050"/>
    <w:rsid w:val="00D452A3"/>
    <w:rsid w:val="00D46175"/>
    <w:rsid w:val="00D50491"/>
    <w:rsid w:val="00D5205D"/>
    <w:rsid w:val="00D52814"/>
    <w:rsid w:val="00D548B3"/>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4DFB"/>
    <w:rsid w:val="00D8573B"/>
    <w:rsid w:val="00D91684"/>
    <w:rsid w:val="00D93F41"/>
    <w:rsid w:val="00D96222"/>
    <w:rsid w:val="00D97EE0"/>
    <w:rsid w:val="00DA0B97"/>
    <w:rsid w:val="00DA256F"/>
    <w:rsid w:val="00DA2A5C"/>
    <w:rsid w:val="00DA41B8"/>
    <w:rsid w:val="00DA5BBE"/>
    <w:rsid w:val="00DA6682"/>
    <w:rsid w:val="00DA6BFD"/>
    <w:rsid w:val="00DAE366"/>
    <w:rsid w:val="00DB00C3"/>
    <w:rsid w:val="00DB054A"/>
    <w:rsid w:val="00DB37C3"/>
    <w:rsid w:val="00DB5C1D"/>
    <w:rsid w:val="00DB6291"/>
    <w:rsid w:val="00DB701F"/>
    <w:rsid w:val="00DC5155"/>
    <w:rsid w:val="00DC740F"/>
    <w:rsid w:val="00DC7AEA"/>
    <w:rsid w:val="00DD0E84"/>
    <w:rsid w:val="00DD0F20"/>
    <w:rsid w:val="00DD4270"/>
    <w:rsid w:val="00DD551F"/>
    <w:rsid w:val="00DD7F74"/>
    <w:rsid w:val="00DE0161"/>
    <w:rsid w:val="00DE0223"/>
    <w:rsid w:val="00DE0493"/>
    <w:rsid w:val="00DE2E35"/>
    <w:rsid w:val="00DE6AB7"/>
    <w:rsid w:val="00DF14CB"/>
    <w:rsid w:val="00DF7B4D"/>
    <w:rsid w:val="00E00223"/>
    <w:rsid w:val="00E01D38"/>
    <w:rsid w:val="00E023F8"/>
    <w:rsid w:val="00E02AF4"/>
    <w:rsid w:val="00E04BBC"/>
    <w:rsid w:val="00E055B7"/>
    <w:rsid w:val="00E0648E"/>
    <w:rsid w:val="00E06E45"/>
    <w:rsid w:val="00E1258E"/>
    <w:rsid w:val="00E1668A"/>
    <w:rsid w:val="00E22F34"/>
    <w:rsid w:val="00E30DF6"/>
    <w:rsid w:val="00E31929"/>
    <w:rsid w:val="00E33E37"/>
    <w:rsid w:val="00E44ED4"/>
    <w:rsid w:val="00E450ED"/>
    <w:rsid w:val="00E50795"/>
    <w:rsid w:val="00E507AC"/>
    <w:rsid w:val="00E5592F"/>
    <w:rsid w:val="00E55EFC"/>
    <w:rsid w:val="00E57DBA"/>
    <w:rsid w:val="00E6031C"/>
    <w:rsid w:val="00E6198A"/>
    <w:rsid w:val="00E62AFB"/>
    <w:rsid w:val="00E652C7"/>
    <w:rsid w:val="00E67202"/>
    <w:rsid w:val="00E67591"/>
    <w:rsid w:val="00E8066A"/>
    <w:rsid w:val="00E87721"/>
    <w:rsid w:val="00E90EA7"/>
    <w:rsid w:val="00E91E2F"/>
    <w:rsid w:val="00E93463"/>
    <w:rsid w:val="00E950B1"/>
    <w:rsid w:val="00E95A03"/>
    <w:rsid w:val="00E97D5E"/>
    <w:rsid w:val="00EA1E39"/>
    <w:rsid w:val="00EA3A6C"/>
    <w:rsid w:val="00EA3ED3"/>
    <w:rsid w:val="00EA43D5"/>
    <w:rsid w:val="00EA5FFD"/>
    <w:rsid w:val="00EA751F"/>
    <w:rsid w:val="00EB08C1"/>
    <w:rsid w:val="00EB1578"/>
    <w:rsid w:val="00EB2088"/>
    <w:rsid w:val="00EB22B3"/>
    <w:rsid w:val="00EB47FF"/>
    <w:rsid w:val="00EB67D1"/>
    <w:rsid w:val="00EB7CDE"/>
    <w:rsid w:val="00EC7457"/>
    <w:rsid w:val="00ED196F"/>
    <w:rsid w:val="00ED1FE6"/>
    <w:rsid w:val="00ED49A0"/>
    <w:rsid w:val="00EE27ED"/>
    <w:rsid w:val="00EE2DD2"/>
    <w:rsid w:val="00EF3901"/>
    <w:rsid w:val="00EF430C"/>
    <w:rsid w:val="00EF4B60"/>
    <w:rsid w:val="00F034E6"/>
    <w:rsid w:val="00F0400A"/>
    <w:rsid w:val="00F05197"/>
    <w:rsid w:val="00F06073"/>
    <w:rsid w:val="00F06256"/>
    <w:rsid w:val="00F063E8"/>
    <w:rsid w:val="00F06CEE"/>
    <w:rsid w:val="00F07006"/>
    <w:rsid w:val="00F13DB9"/>
    <w:rsid w:val="00F147F9"/>
    <w:rsid w:val="00F1697D"/>
    <w:rsid w:val="00F2080E"/>
    <w:rsid w:val="00F22AF9"/>
    <w:rsid w:val="00F2626B"/>
    <w:rsid w:val="00F339FB"/>
    <w:rsid w:val="00F37B8E"/>
    <w:rsid w:val="00F40C0F"/>
    <w:rsid w:val="00F40E12"/>
    <w:rsid w:val="00F45331"/>
    <w:rsid w:val="00F47396"/>
    <w:rsid w:val="00F50E38"/>
    <w:rsid w:val="00F52927"/>
    <w:rsid w:val="00F55548"/>
    <w:rsid w:val="00F567E9"/>
    <w:rsid w:val="00F57E7D"/>
    <w:rsid w:val="00F607ED"/>
    <w:rsid w:val="00F60D6B"/>
    <w:rsid w:val="00F62EA0"/>
    <w:rsid w:val="00F63237"/>
    <w:rsid w:val="00F63983"/>
    <w:rsid w:val="00F70AE5"/>
    <w:rsid w:val="00F70CFE"/>
    <w:rsid w:val="00F739A8"/>
    <w:rsid w:val="00F74ADC"/>
    <w:rsid w:val="00F810B3"/>
    <w:rsid w:val="00F813C1"/>
    <w:rsid w:val="00F81790"/>
    <w:rsid w:val="00F84989"/>
    <w:rsid w:val="00F84B96"/>
    <w:rsid w:val="00F8521F"/>
    <w:rsid w:val="00F85428"/>
    <w:rsid w:val="00F87D4E"/>
    <w:rsid w:val="00F91073"/>
    <w:rsid w:val="00F91B39"/>
    <w:rsid w:val="00F93469"/>
    <w:rsid w:val="00F93F8E"/>
    <w:rsid w:val="00F960AB"/>
    <w:rsid w:val="00F9666C"/>
    <w:rsid w:val="00FA0DC6"/>
    <w:rsid w:val="00FA0E59"/>
    <w:rsid w:val="00FA1C6D"/>
    <w:rsid w:val="00FA3BE3"/>
    <w:rsid w:val="00FA473A"/>
    <w:rsid w:val="00FB022C"/>
    <w:rsid w:val="00FB0912"/>
    <w:rsid w:val="00FB21E2"/>
    <w:rsid w:val="00FB3326"/>
    <w:rsid w:val="00FB3D8B"/>
    <w:rsid w:val="00FC30CC"/>
    <w:rsid w:val="00FD1433"/>
    <w:rsid w:val="00FD258C"/>
    <w:rsid w:val="00FE0F35"/>
    <w:rsid w:val="00FE12AF"/>
    <w:rsid w:val="00FE1C5A"/>
    <w:rsid w:val="00FE5D70"/>
    <w:rsid w:val="00FE6802"/>
    <w:rsid w:val="00FE6FD2"/>
    <w:rsid w:val="00FE787D"/>
    <w:rsid w:val="00FF2F3B"/>
    <w:rsid w:val="00FF6589"/>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19C29BC"/>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character" w:styleId="UnresolvedMention">
    <w:name w:val="Unresolved Mention"/>
    <w:basedOn w:val="DefaultParagraphFont"/>
    <w:uiPriority w:val="99"/>
    <w:semiHidden/>
    <w:unhideWhenUsed/>
    <w:rsid w:val="006D30E2"/>
    <w:rPr>
      <w:color w:val="605E5C"/>
      <w:shd w:val="clear" w:color="auto" w:fill="E1DFDD"/>
    </w:rPr>
  </w:style>
  <w:style w:type="numbering" w:customStyle="1" w:styleId="NoList1">
    <w:name w:val="No List1"/>
    <w:next w:val="NoList"/>
    <w:uiPriority w:val="99"/>
    <w:semiHidden/>
    <w:unhideWhenUsed/>
    <w:rsid w:val="006C080D"/>
  </w:style>
  <w:style w:type="table" w:customStyle="1" w:styleId="TableGrid1">
    <w:name w:val="Table Grid1"/>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C080D"/>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rsid w:val="006C080D"/>
    <w:rPr>
      <w:rFonts w:asciiTheme="minorHAnsi" w:eastAsiaTheme="minorEastAsia" w:hAnsiTheme="minorHAnsi" w:cstheme="minorBidi"/>
      <w:lang w:val="en-GB" w:eastAsia="zh-CN"/>
    </w:rPr>
  </w:style>
  <w:style w:type="character" w:styleId="FootnoteReference">
    <w:name w:val="footnote reference"/>
    <w:aliases w:val="Appel note de bas de p,Footnote Reference/,Footnote symbol,Ref,de nota al pie"/>
    <w:rsid w:val="006C080D"/>
    <w:rPr>
      <w:position w:val="6"/>
      <w:sz w:val="18"/>
    </w:rPr>
  </w:style>
  <w:style w:type="character" w:customStyle="1" w:styleId="HeaderChar">
    <w:name w:val="Header Char"/>
    <w:basedOn w:val="DefaultParagraphFont"/>
    <w:link w:val="Header"/>
    <w:uiPriority w:val="99"/>
    <w:rsid w:val="006C080D"/>
    <w:rPr>
      <w:rFonts w:ascii="Arial" w:hAnsi="Arial"/>
      <w:sz w:val="22"/>
      <w:szCs w:val="24"/>
      <w:lang w:eastAsia="zh-CN"/>
    </w:rPr>
  </w:style>
  <w:style w:type="character" w:customStyle="1" w:styleId="FooterChar">
    <w:name w:val="Footer Char"/>
    <w:basedOn w:val="DefaultParagraphFont"/>
    <w:link w:val="Footer"/>
    <w:uiPriority w:val="99"/>
    <w:rsid w:val="006C080D"/>
    <w:rPr>
      <w:rFonts w:ascii="Arial" w:hAnsi="Arial"/>
      <w:sz w:val="22"/>
      <w:szCs w:val="24"/>
      <w:lang w:eastAsia="zh-CN"/>
    </w:rPr>
  </w:style>
  <w:style w:type="character" w:customStyle="1" w:styleId="BalloonTextChar">
    <w:name w:val="Balloon Text Char"/>
    <w:basedOn w:val="DefaultParagraphFont"/>
    <w:link w:val="BalloonText"/>
    <w:uiPriority w:val="99"/>
    <w:semiHidden/>
    <w:rsid w:val="006C080D"/>
    <w:rPr>
      <w:rFonts w:ascii="Tahoma" w:hAnsi="Tahoma" w:cs="Tahoma"/>
      <w:sz w:val="16"/>
      <w:szCs w:val="16"/>
      <w:lang w:eastAsia="zh-CN"/>
    </w:rPr>
  </w:style>
  <w:style w:type="table" w:customStyle="1" w:styleId="TableGrid2">
    <w:name w:val="Table Grid2"/>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C080D"/>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01971"/>
    <w:rPr>
      <w:rFonts w:ascii="Calibri" w:eastAsia="Times New Roman" w:hAnsi="Calibri" w:cstheme="minorBidi"/>
      <w:sz w:val="28"/>
      <w:szCs w:val="21"/>
      <w:lang w:val="en-GB" w:eastAsia="en-US"/>
    </w:rPr>
  </w:style>
  <w:style w:type="character" w:customStyle="1" w:styleId="PlainTextChar">
    <w:name w:val="Plain Text Char"/>
    <w:basedOn w:val="DefaultParagraphFont"/>
    <w:link w:val="PlainText"/>
    <w:uiPriority w:val="99"/>
    <w:semiHidden/>
    <w:rsid w:val="00C01971"/>
    <w:rPr>
      <w:rFonts w:ascii="Calibri" w:eastAsia="Times New Roman" w:hAnsi="Calibri" w:cstheme="minorBidi"/>
      <w:sz w:val="28"/>
      <w:szCs w:val="21"/>
      <w:lang w:val="en-GB" w:eastAsia="en-US"/>
    </w:rPr>
  </w:style>
  <w:style w:type="paragraph" w:styleId="Index2">
    <w:name w:val="index 2"/>
    <w:basedOn w:val="Normal"/>
    <w:next w:val="Normal"/>
    <w:rsid w:val="00820D82"/>
    <w:pPr>
      <w:tabs>
        <w:tab w:val="left" w:pos="794"/>
        <w:tab w:val="left" w:pos="1191"/>
        <w:tab w:val="left" w:pos="1588"/>
        <w:tab w:val="left" w:pos="1985"/>
      </w:tabs>
      <w:overflowPunct w:val="0"/>
      <w:autoSpaceDE w:val="0"/>
      <w:autoSpaceDN w:val="0"/>
      <w:adjustRightInd w:val="0"/>
      <w:spacing w:before="120"/>
      <w:ind w:left="283"/>
      <w:textAlignment w:val="baseline"/>
    </w:pPr>
    <w:rPr>
      <w:rFonts w:ascii="Times New Roman" w:eastAsia="Times New Roman" w:hAnsi="Times New Roman"/>
      <w:sz w:val="24"/>
      <w:szCs w:val="20"/>
      <w:lang w:val="en-GB" w:eastAsia="en-US"/>
    </w:rPr>
  </w:style>
  <w:style w:type="character" w:customStyle="1" w:styleId="CEONormalChar">
    <w:name w:val="CEO_Normal Char"/>
    <w:basedOn w:val="DefaultParagraphFont"/>
    <w:link w:val="CEONormal"/>
    <w:locked/>
    <w:rsid w:val="00990AD9"/>
    <w:rPr>
      <w:rFonts w:ascii="Verdana" w:hAnsi="Verdana"/>
      <w:lang w:eastAsia="en-US"/>
    </w:rPr>
  </w:style>
  <w:style w:type="paragraph" w:customStyle="1" w:styleId="CEONormal">
    <w:name w:val="CEO_Normal"/>
    <w:basedOn w:val="Normal"/>
    <w:link w:val="CEONormalChar"/>
    <w:rsid w:val="00990AD9"/>
    <w:pPr>
      <w:spacing w:before="120" w:after="120"/>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5916071">
      <w:bodyDiv w:val="1"/>
      <w:marLeft w:val="0"/>
      <w:marRight w:val="0"/>
      <w:marTop w:val="0"/>
      <w:marBottom w:val="0"/>
      <w:divBdr>
        <w:top w:val="none" w:sz="0" w:space="0" w:color="auto"/>
        <w:left w:val="none" w:sz="0" w:space="0" w:color="auto"/>
        <w:bottom w:val="none" w:sz="0" w:space="0" w:color="auto"/>
        <w:right w:val="none" w:sz="0" w:space="0" w:color="auto"/>
      </w:divBdr>
    </w:div>
    <w:div w:id="47730404">
      <w:bodyDiv w:val="1"/>
      <w:marLeft w:val="0"/>
      <w:marRight w:val="0"/>
      <w:marTop w:val="0"/>
      <w:marBottom w:val="0"/>
      <w:divBdr>
        <w:top w:val="none" w:sz="0" w:space="0" w:color="auto"/>
        <w:left w:val="none" w:sz="0" w:space="0" w:color="auto"/>
        <w:bottom w:val="none" w:sz="0" w:space="0" w:color="auto"/>
        <w:right w:val="none" w:sz="0" w:space="0" w:color="auto"/>
      </w:divBdr>
    </w:div>
    <w:div w:id="48497612">
      <w:bodyDiv w:val="1"/>
      <w:marLeft w:val="0"/>
      <w:marRight w:val="0"/>
      <w:marTop w:val="0"/>
      <w:marBottom w:val="0"/>
      <w:divBdr>
        <w:top w:val="none" w:sz="0" w:space="0" w:color="auto"/>
        <w:left w:val="none" w:sz="0" w:space="0" w:color="auto"/>
        <w:bottom w:val="none" w:sz="0" w:space="0" w:color="auto"/>
        <w:right w:val="none" w:sz="0" w:space="0" w:color="auto"/>
      </w:divBdr>
    </w:div>
    <w:div w:id="120271574">
      <w:bodyDiv w:val="1"/>
      <w:marLeft w:val="0"/>
      <w:marRight w:val="0"/>
      <w:marTop w:val="0"/>
      <w:marBottom w:val="0"/>
      <w:divBdr>
        <w:top w:val="none" w:sz="0" w:space="0" w:color="auto"/>
        <w:left w:val="none" w:sz="0" w:space="0" w:color="auto"/>
        <w:bottom w:val="none" w:sz="0" w:space="0" w:color="auto"/>
        <w:right w:val="none" w:sz="0" w:space="0" w:color="auto"/>
      </w:divBdr>
    </w:div>
    <w:div w:id="197671458">
      <w:bodyDiv w:val="1"/>
      <w:marLeft w:val="0"/>
      <w:marRight w:val="0"/>
      <w:marTop w:val="0"/>
      <w:marBottom w:val="0"/>
      <w:divBdr>
        <w:top w:val="none" w:sz="0" w:space="0" w:color="auto"/>
        <w:left w:val="none" w:sz="0" w:space="0" w:color="auto"/>
        <w:bottom w:val="none" w:sz="0" w:space="0" w:color="auto"/>
        <w:right w:val="none" w:sz="0" w:space="0" w:color="auto"/>
      </w:divBdr>
    </w:div>
    <w:div w:id="204415151">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61884047">
      <w:bodyDiv w:val="1"/>
      <w:marLeft w:val="0"/>
      <w:marRight w:val="0"/>
      <w:marTop w:val="0"/>
      <w:marBottom w:val="0"/>
      <w:divBdr>
        <w:top w:val="none" w:sz="0" w:space="0" w:color="auto"/>
        <w:left w:val="none" w:sz="0" w:space="0" w:color="auto"/>
        <w:bottom w:val="none" w:sz="0" w:space="0" w:color="auto"/>
        <w:right w:val="none" w:sz="0" w:space="0" w:color="auto"/>
      </w:divBdr>
    </w:div>
    <w:div w:id="375352388">
      <w:bodyDiv w:val="1"/>
      <w:marLeft w:val="0"/>
      <w:marRight w:val="0"/>
      <w:marTop w:val="0"/>
      <w:marBottom w:val="0"/>
      <w:divBdr>
        <w:top w:val="none" w:sz="0" w:space="0" w:color="auto"/>
        <w:left w:val="none" w:sz="0" w:space="0" w:color="auto"/>
        <w:bottom w:val="none" w:sz="0" w:space="0" w:color="auto"/>
        <w:right w:val="none" w:sz="0" w:space="0" w:color="auto"/>
      </w:divBdr>
    </w:div>
    <w:div w:id="375663801">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489757768">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650868866">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88669560">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17784503">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968513641">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10126448">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132138238">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274941849">
      <w:bodyDiv w:val="1"/>
      <w:marLeft w:val="0"/>
      <w:marRight w:val="0"/>
      <w:marTop w:val="0"/>
      <w:marBottom w:val="0"/>
      <w:divBdr>
        <w:top w:val="none" w:sz="0" w:space="0" w:color="auto"/>
        <w:left w:val="none" w:sz="0" w:space="0" w:color="auto"/>
        <w:bottom w:val="none" w:sz="0" w:space="0" w:color="auto"/>
        <w:right w:val="none" w:sz="0" w:space="0" w:color="auto"/>
      </w:divBdr>
    </w:div>
    <w:div w:id="1382512953">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30879628">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44263803">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 w:id="211517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WGFHR12-INF-0002/en" TargetMode="External"/><Relationship Id="rId18" Type="http://schemas.openxmlformats.org/officeDocument/2006/relationships/hyperlink" Target="https://www.itu.int/en/council/2020/Documents/007/007R1e-Complete-updated-Risk-Register.pdf" TargetMode="External"/><Relationship Id="rId26" Type="http://schemas.openxmlformats.org/officeDocument/2006/relationships/hyperlink" Target="https://www.itu.int/md/S21-CWGFHR12-C-0008/en" TargetMode="External"/><Relationship Id="rId3" Type="http://schemas.openxmlformats.org/officeDocument/2006/relationships/customXml" Target="../customXml/item3.xml"/><Relationship Id="rId21" Type="http://schemas.openxmlformats.org/officeDocument/2006/relationships/hyperlink" Target="https://www.itu.int/md/S21-CWGFHR12-210125-DL-0002/e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20-CL-C-0015/en" TargetMode="External"/><Relationship Id="rId25" Type="http://schemas.openxmlformats.org/officeDocument/2006/relationships/hyperlink" Target="https://www.itu.int/md/S21-CWGFHR12-C-0007/e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0-CL-C-0053/en" TargetMode="External"/><Relationship Id="rId20" Type="http://schemas.openxmlformats.org/officeDocument/2006/relationships/hyperlink" Target="https://www.itu.int/md/S21-CWGFHR12-C-0016/en" TargetMode="External"/><Relationship Id="rId29" Type="http://schemas.openxmlformats.org/officeDocument/2006/relationships/hyperlink" Target="https://www.itu.int/md/S21-CWGFHR12-C-0015/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S21-CWGFHR12-C-0011/en"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tu.int/md/S21-CWGFHR12-C-0003/en" TargetMode="External"/><Relationship Id="rId23" Type="http://schemas.openxmlformats.org/officeDocument/2006/relationships/hyperlink" Target="https://www.itu.int/md/S20-CL-INF-0013/en" TargetMode="External"/><Relationship Id="rId28" Type="http://schemas.openxmlformats.org/officeDocument/2006/relationships/hyperlink" Target="https://www.itu.int/md/S21-CWGFHR12-C-0010/en" TargetMode="External"/><Relationship Id="rId10" Type="http://schemas.openxmlformats.org/officeDocument/2006/relationships/footnotes" Target="footnotes.xml"/><Relationship Id="rId19" Type="http://schemas.openxmlformats.org/officeDocument/2006/relationships/hyperlink" Target="https://www.itu.int/md/S21-CWGFHR12-INF-0003/en" TargetMode="External"/><Relationship Id="rId31" Type="http://schemas.openxmlformats.org/officeDocument/2006/relationships/hyperlink" Target="https://www.itu.int/md/S21-CWGFHR12-C-0006/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1-CWGFHR12-C-0002/en" TargetMode="External"/><Relationship Id="rId22" Type="http://schemas.openxmlformats.org/officeDocument/2006/relationships/hyperlink" Target="https://www.itu.int/md/S21-CWGFHR12-C-0013/en" TargetMode="External"/><Relationship Id="rId27" Type="http://schemas.openxmlformats.org/officeDocument/2006/relationships/hyperlink" Target="https://www.itu.int/md/S21-CWGFHR12-C-0005/en" TargetMode="External"/><Relationship Id="rId30" Type="http://schemas.openxmlformats.org/officeDocument/2006/relationships/hyperlink" Target="https://www.itu.int/md/S21-CWGFHR12-C-0014/en"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962554cd9ef4cf7e86c70e5a8018fa2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c08235ba5f84bc5462d3c7dac5fa3e78"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51DE3-5DE9-4200-A2DA-D84B8527B68D}">
  <ds:schemaRefs>
    <ds:schemaRef ds:uri="http://schemas.openxmlformats.org/officeDocument/2006/bibliography"/>
  </ds:schemaRefs>
</ds:datastoreItem>
</file>

<file path=customXml/itemProps2.xml><?xml version="1.0" encoding="utf-8"?>
<ds:datastoreItem xmlns:ds="http://schemas.openxmlformats.org/officeDocument/2006/customXml" ds:itemID="{4B02F988-7C8F-406E-AB70-E11BE40F29A3}">
  <ds:schemaRefs>
    <ds:schemaRef ds:uri="http://schemas.openxmlformats.org/officeDocument/2006/bibliography"/>
  </ds:schemaRefs>
</ds:datastoreItem>
</file>

<file path=customXml/itemProps3.xml><?xml version="1.0" encoding="utf-8"?>
<ds:datastoreItem xmlns:ds="http://schemas.openxmlformats.org/officeDocument/2006/customXml" ds:itemID="{0CBB7ADF-EB5F-4537-943F-279F722AEB45}">
  <ds:schemaRefs>
    <ds:schemaRef ds:uri="http://www.w3.org/XML/1998/namespace"/>
    <ds:schemaRef ds:uri="http://schemas.microsoft.com/office/infopath/2007/PartnerControls"/>
    <ds:schemaRef ds:uri="http://purl.org/dc/terms/"/>
    <ds:schemaRef ds:uri="1aaea1ea-72e4-4374-b05e-72e2f16fb7ae"/>
    <ds:schemaRef ds:uri="http://schemas.microsoft.com/office/2006/documentManagement/types"/>
    <ds:schemaRef ds:uri="http://schemas.microsoft.com/sharepoint/v3"/>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4707ECA4-3B42-4268-A110-134D34A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6285</Words>
  <Characters>35877</Characters>
  <Application>Microsoft Office Word</Application>
  <DocSecurity>0</DocSecurity>
  <Lines>298</Lines>
  <Paragraphs>84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CWG-FHR template</vt:lpstr>
      <vt:lpstr>CWG-FHR template</vt:lpstr>
      <vt:lpstr>ITU Normal.dot</vt:lpstr>
    </vt:vector>
  </TitlesOfParts>
  <Company>ITU</Company>
  <LinksUpToDate>false</LinksUpToDate>
  <CharactersWithSpaces>42078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template</dc:title>
  <dc:subject>Council Working Group on Financial and Human Resources</dc:subject>
  <dc:creator>Brouard, Ricarda</dc:creator>
  <cp:keywords>CWG-FHR</cp:keywords>
  <cp:lastModifiedBy>Patricia Janin</cp:lastModifiedBy>
  <cp:revision>2</cp:revision>
  <cp:lastPrinted>2020-01-21T17:38:00Z</cp:lastPrinted>
  <dcterms:created xsi:type="dcterms:W3CDTF">2021-02-11T06:36:00Z</dcterms:created>
  <dcterms:modified xsi:type="dcterms:W3CDTF">2021-02-11T06:36:00Z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ies>
</file>