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521"/>
        <w:gridCol w:w="3793"/>
      </w:tblGrid>
      <w:tr w:rsidR="008120C2" w:rsidRPr="008120C2" w14:paraId="1EC6140A" w14:textId="77777777" w:rsidTr="008B5AD3">
        <w:trPr>
          <w:cantSplit/>
        </w:trPr>
        <w:tc>
          <w:tcPr>
            <w:tcW w:w="6521" w:type="dxa"/>
          </w:tcPr>
          <w:p w14:paraId="0FF5D269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40" w:after="48"/>
              <w:textAlignment w:val="auto"/>
              <w:rPr>
                <w:rFonts w:eastAsia="SimSun"/>
                <w:b/>
                <w:position w:val="6"/>
                <w:sz w:val="30"/>
                <w:szCs w:val="30"/>
                <w:lang w:val="en-US" w:eastAsia="zh-CN"/>
              </w:rPr>
            </w:pPr>
            <w:bookmarkStart w:id="0" w:name="dsource" w:colFirst="0" w:colLast="0"/>
            <w:r w:rsidRPr="008120C2">
              <w:rPr>
                <w:rFonts w:eastAsia="SimSun"/>
                <w:b/>
                <w:position w:val="6"/>
                <w:sz w:val="30"/>
                <w:szCs w:val="30"/>
                <w:lang w:val="en-US" w:eastAsia="zh-CN"/>
              </w:rPr>
              <w:t xml:space="preserve">Council Working Group on </w:t>
            </w:r>
            <w:r w:rsidRPr="008120C2">
              <w:rPr>
                <w:rFonts w:eastAsia="SimSun"/>
                <w:b/>
                <w:position w:val="6"/>
                <w:sz w:val="30"/>
                <w:szCs w:val="30"/>
                <w:lang w:val="en-US" w:eastAsia="zh-CN"/>
              </w:rPr>
              <w:br/>
              <w:t>Financial and Human Resources</w:t>
            </w:r>
          </w:p>
          <w:p w14:paraId="6495D0B2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eastAsia="SimSun"/>
                <w:b/>
                <w:position w:val="6"/>
                <w:sz w:val="22"/>
                <w:szCs w:val="22"/>
                <w:lang w:val="en-US" w:eastAsia="zh-CN"/>
              </w:rPr>
            </w:pPr>
            <w:r w:rsidRPr="008120C2">
              <w:rPr>
                <w:rFonts w:eastAsia="SimSun" w:cs="Times New Roman Bold"/>
                <w:b/>
                <w:sz w:val="22"/>
                <w:szCs w:val="24"/>
                <w:lang w:val="en-US" w:eastAsia="zh-CN"/>
              </w:rPr>
              <w:t xml:space="preserve">Twelfth meeting </w:t>
            </w:r>
            <w:r w:rsidRPr="008120C2">
              <w:rPr>
                <w:rFonts w:eastAsia="Calibri" w:cs="Calibri"/>
                <w:b/>
                <w:color w:val="000000"/>
                <w:sz w:val="22"/>
                <w:szCs w:val="24"/>
                <w:lang w:val="en-US" w:eastAsia="zh-CN"/>
              </w:rPr>
              <w:t>–</w:t>
            </w:r>
            <w:r w:rsidRPr="008120C2">
              <w:rPr>
                <w:rFonts w:eastAsia="SimSun" w:cs="Times New Roman Bold"/>
                <w:b/>
                <w:sz w:val="22"/>
                <w:szCs w:val="24"/>
                <w:lang w:val="en-US" w:eastAsia="zh-CN"/>
              </w:rPr>
              <w:t xml:space="preserve"> Virtual, 25-26 January 2021</w:t>
            </w:r>
          </w:p>
        </w:tc>
        <w:tc>
          <w:tcPr>
            <w:tcW w:w="3793" w:type="dxa"/>
          </w:tcPr>
          <w:p w14:paraId="62743299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eastAsia="SimSun" w:hAnsi="Arial"/>
                <w:sz w:val="22"/>
                <w:szCs w:val="24"/>
                <w:lang w:val="en-US" w:eastAsia="zh-CN"/>
              </w:rPr>
            </w:pPr>
            <w:bookmarkStart w:id="1" w:name="ditulogo"/>
            <w:bookmarkEnd w:id="1"/>
            <w:r w:rsidRPr="008120C2">
              <w:rPr>
                <w:rFonts w:ascii="Arial" w:eastAsia="SimSun" w:hAnsi="Arial"/>
                <w:noProof/>
                <w:sz w:val="22"/>
                <w:szCs w:val="24"/>
                <w:lang w:eastAsia="zh-CN"/>
              </w:rPr>
              <w:drawing>
                <wp:inline distT="0" distB="0" distL="0" distR="0" wp14:anchorId="781BF1D3" wp14:editId="631925EF">
                  <wp:extent cx="615600" cy="64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0C2" w:rsidRPr="008120C2" w14:paraId="14641064" w14:textId="77777777" w:rsidTr="008B5AD3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2FFB9229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0"/>
              <w:textAlignment w:val="auto"/>
              <w:rPr>
                <w:rFonts w:ascii="Arial" w:eastAsia="SimSun" w:hAnsi="Arial"/>
                <w:b/>
                <w:smallCaps/>
                <w:sz w:val="22"/>
                <w:szCs w:val="24"/>
                <w:lang w:val="en-US" w:eastAsia="zh-CN"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14:paraId="6122F028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0"/>
              <w:ind w:left="209"/>
              <w:textAlignment w:val="auto"/>
              <w:rPr>
                <w:rFonts w:ascii="Verdana" w:eastAsia="SimSun" w:hAnsi="Verdana"/>
                <w:sz w:val="22"/>
                <w:szCs w:val="24"/>
                <w:lang w:val="en-US" w:eastAsia="zh-CN"/>
              </w:rPr>
            </w:pPr>
          </w:p>
        </w:tc>
      </w:tr>
      <w:tr w:rsidR="008120C2" w:rsidRPr="008120C2" w14:paraId="1DDE2327" w14:textId="77777777" w:rsidTr="008B5AD3">
        <w:trPr>
          <w:cantSplit/>
          <w:trHeight w:val="23"/>
        </w:trPr>
        <w:tc>
          <w:tcPr>
            <w:tcW w:w="6521" w:type="dxa"/>
            <w:vMerge w:val="restart"/>
          </w:tcPr>
          <w:p w14:paraId="5DD58858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0"/>
              <w:textAlignment w:val="auto"/>
              <w:rPr>
                <w:rFonts w:eastAsia="SimSun"/>
                <w:b/>
                <w:sz w:val="22"/>
                <w:szCs w:val="24"/>
                <w:lang w:val="en-US" w:eastAsia="zh-CN"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793" w:type="dxa"/>
          </w:tcPr>
          <w:p w14:paraId="63DC84C3" w14:textId="7C70F3FB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0"/>
              <w:ind w:left="57"/>
              <w:textAlignment w:val="auto"/>
              <w:rPr>
                <w:rFonts w:eastAsia="SimSun" w:cs="Times New Roman Bold"/>
                <w:b/>
                <w:spacing w:val="-4"/>
                <w:szCs w:val="24"/>
                <w:lang w:val="de-CH" w:eastAsia="zh-CN"/>
              </w:rPr>
            </w:pPr>
            <w:r w:rsidRPr="008120C2">
              <w:rPr>
                <w:rFonts w:eastAsia="SimSun" w:cs="Times New Roman Bold"/>
                <w:b/>
                <w:spacing w:val="-4"/>
                <w:szCs w:val="24"/>
                <w:lang w:val="de-CH" w:eastAsia="zh-CN"/>
              </w:rPr>
              <w:t>Document CWG-FHR-12/</w:t>
            </w:r>
            <w:r>
              <w:rPr>
                <w:rFonts w:eastAsia="SimSun" w:cs="Times New Roman Bold"/>
                <w:b/>
                <w:spacing w:val="-4"/>
                <w:szCs w:val="24"/>
                <w:lang w:val="de-CH" w:eastAsia="zh-CN"/>
              </w:rPr>
              <w:t>7</w:t>
            </w:r>
          </w:p>
        </w:tc>
      </w:tr>
      <w:tr w:rsidR="008120C2" w:rsidRPr="008120C2" w14:paraId="6F6C5A1F" w14:textId="77777777" w:rsidTr="008B5AD3">
        <w:trPr>
          <w:cantSplit/>
          <w:trHeight w:val="23"/>
        </w:trPr>
        <w:tc>
          <w:tcPr>
            <w:tcW w:w="6521" w:type="dxa"/>
            <w:vMerge/>
          </w:tcPr>
          <w:p w14:paraId="6DF761BD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0"/>
              <w:textAlignment w:val="auto"/>
              <w:rPr>
                <w:rFonts w:eastAsia="SimSun"/>
                <w:b/>
                <w:sz w:val="22"/>
                <w:szCs w:val="24"/>
                <w:lang w:val="de-CH" w:eastAsia="zh-CN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793" w:type="dxa"/>
          </w:tcPr>
          <w:p w14:paraId="466D6FF1" w14:textId="43367980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0"/>
              <w:ind w:left="57"/>
              <w:textAlignment w:val="auto"/>
              <w:rPr>
                <w:rFonts w:eastAsia="SimSun"/>
                <w:b/>
                <w:szCs w:val="24"/>
                <w:lang w:val="en-US" w:eastAsia="zh-CN"/>
              </w:rPr>
            </w:pPr>
            <w:r w:rsidRPr="008120C2">
              <w:rPr>
                <w:rFonts w:eastAsia="SimSun"/>
                <w:b/>
                <w:szCs w:val="24"/>
                <w:lang w:val="en-US" w:eastAsia="zh-CN"/>
              </w:rPr>
              <w:t>1</w:t>
            </w:r>
            <w:r>
              <w:rPr>
                <w:rFonts w:eastAsia="SimSun"/>
                <w:b/>
                <w:szCs w:val="24"/>
                <w:lang w:val="en-US" w:eastAsia="zh-CN"/>
              </w:rPr>
              <w:t>8</w:t>
            </w:r>
            <w:r w:rsidRPr="008120C2">
              <w:rPr>
                <w:rFonts w:eastAsia="SimSun"/>
                <w:b/>
                <w:szCs w:val="24"/>
                <w:lang w:val="en-US" w:eastAsia="zh-CN"/>
              </w:rPr>
              <w:t xml:space="preserve"> December 2020</w:t>
            </w:r>
          </w:p>
        </w:tc>
      </w:tr>
      <w:tr w:rsidR="008120C2" w:rsidRPr="008120C2" w14:paraId="526E9A22" w14:textId="77777777" w:rsidTr="008B5AD3">
        <w:trPr>
          <w:cantSplit/>
          <w:trHeight w:val="80"/>
        </w:trPr>
        <w:tc>
          <w:tcPr>
            <w:tcW w:w="6521" w:type="dxa"/>
            <w:vMerge/>
          </w:tcPr>
          <w:p w14:paraId="2ACA54D8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0"/>
              <w:textAlignment w:val="auto"/>
              <w:rPr>
                <w:rFonts w:eastAsia="SimSun"/>
                <w:b/>
                <w:sz w:val="22"/>
                <w:szCs w:val="24"/>
                <w:lang w:val="en-US"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793" w:type="dxa"/>
          </w:tcPr>
          <w:p w14:paraId="2F25A66E" w14:textId="77777777" w:rsidR="008120C2" w:rsidRPr="008120C2" w:rsidRDefault="008120C2" w:rsidP="008120C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0"/>
              <w:ind w:left="57"/>
              <w:textAlignment w:val="auto"/>
              <w:rPr>
                <w:rFonts w:eastAsia="SimSun"/>
                <w:b/>
                <w:szCs w:val="24"/>
                <w:lang w:val="en-US" w:eastAsia="zh-CN"/>
              </w:rPr>
            </w:pPr>
            <w:r w:rsidRPr="008120C2">
              <w:rPr>
                <w:rFonts w:eastAsia="SimSun"/>
                <w:b/>
                <w:szCs w:val="24"/>
                <w:lang w:val="en-US" w:eastAsia="zh-CN"/>
              </w:rPr>
              <w:t>English only</w:t>
            </w:r>
          </w:p>
        </w:tc>
      </w:tr>
      <w:bookmarkEnd w:id="5"/>
    </w:tbl>
    <w:p w14:paraId="2E8FD59A" w14:textId="1B709C2D" w:rsidR="008120C2" w:rsidRDefault="008120C2" w:rsidP="008120C2">
      <w:pPr>
        <w:spacing w:before="0"/>
        <w:rPr>
          <w:b/>
        </w:rPr>
      </w:pPr>
    </w:p>
    <w:p w14:paraId="4A24349A" w14:textId="63B6E65C" w:rsidR="008120C2" w:rsidRDefault="008120C2" w:rsidP="008120C2">
      <w:pPr>
        <w:spacing w:before="0"/>
        <w:rPr>
          <w:b/>
        </w:rPr>
      </w:pPr>
    </w:p>
    <w:p w14:paraId="7AB04D22" w14:textId="588BF8E7" w:rsidR="008120C2" w:rsidRPr="008120C2" w:rsidRDefault="008120C2" w:rsidP="008120C2">
      <w:pPr>
        <w:spacing w:before="0"/>
        <w:jc w:val="center"/>
        <w:rPr>
          <w:b/>
          <w:bCs/>
          <w:sz w:val="28"/>
          <w:szCs w:val="28"/>
        </w:rPr>
      </w:pPr>
      <w:r w:rsidRPr="008120C2">
        <w:rPr>
          <w:b/>
          <w:bCs/>
          <w:sz w:val="28"/>
          <w:szCs w:val="28"/>
        </w:rPr>
        <w:t>Contribution by the Secretariat</w:t>
      </w:r>
    </w:p>
    <w:p w14:paraId="762DCB58" w14:textId="01AC3951" w:rsidR="008120C2" w:rsidRDefault="008120C2" w:rsidP="008120C2">
      <w:pPr>
        <w:spacing w:before="0"/>
        <w:rPr>
          <w:b/>
          <w:bCs/>
          <w:sz w:val="28"/>
          <w:szCs w:val="28"/>
        </w:rPr>
      </w:pPr>
    </w:p>
    <w:p w14:paraId="471F8AA1" w14:textId="4DDD93F6" w:rsidR="008120C2" w:rsidRPr="008120C2" w:rsidRDefault="008120C2" w:rsidP="008120C2">
      <w:pPr>
        <w:spacing w:before="0"/>
        <w:jc w:val="center"/>
        <w:rPr>
          <w:b/>
          <w:bCs/>
          <w:caps/>
          <w:sz w:val="28"/>
          <w:szCs w:val="28"/>
        </w:rPr>
      </w:pPr>
      <w:r w:rsidRPr="008120C2">
        <w:rPr>
          <w:caps/>
          <w:sz w:val="28"/>
          <w:szCs w:val="28"/>
        </w:rPr>
        <w:t>REPORT ON the implementation of the risk management action plan</w:t>
      </w:r>
    </w:p>
    <w:p w14:paraId="73709189" w14:textId="16D2BD02" w:rsidR="008120C2" w:rsidRDefault="008120C2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A2188" w:rsidRPr="00813E5E" w14:paraId="725A46AC" w14:textId="77777777" w:rsidTr="00EA47A2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0"/>
          <w:p w14:paraId="446A8E90" w14:textId="77777777" w:rsidR="002A2188" w:rsidRPr="00813E5E" w:rsidRDefault="002A2188" w:rsidP="00173CBA">
            <w:pPr>
              <w:pStyle w:val="Headingb"/>
              <w:spacing w:before="120" w:after="120"/>
            </w:pPr>
            <w:r w:rsidRPr="00813E5E">
              <w:t>Summary</w:t>
            </w:r>
          </w:p>
          <w:p w14:paraId="14768416" w14:textId="0829E66D" w:rsidR="00497B31" w:rsidRPr="00B310EF" w:rsidRDefault="003A0613" w:rsidP="00BF2FBC">
            <w:pPr>
              <w:spacing w:after="120"/>
              <w:jc w:val="both"/>
              <w:rPr>
                <w:lang w:val="en-US"/>
              </w:rPr>
            </w:pPr>
            <w:r w:rsidRPr="003A0613">
              <w:t>This document presents</w:t>
            </w:r>
            <w:r w:rsidR="00D15C7B">
              <w:t xml:space="preserve"> </w:t>
            </w:r>
            <w:r w:rsidR="006D4D4E">
              <w:t>a final</w:t>
            </w:r>
            <w:r w:rsidRPr="003A0613">
              <w:t xml:space="preserve"> report </w:t>
            </w:r>
            <w:r w:rsidR="00C0623C">
              <w:t>for</w:t>
            </w:r>
            <w:r w:rsidRPr="003A0613">
              <w:t xml:space="preserve"> the implementation of </w:t>
            </w:r>
            <w:r w:rsidR="00C0623C">
              <w:t>the Action Plan to strengthen the ITU Risk Management Framework, as a follow-up to the progress report</w:t>
            </w:r>
            <w:r w:rsidR="000F16D8">
              <w:t>s</w:t>
            </w:r>
            <w:r w:rsidR="00C0623C">
              <w:t xml:space="preserve"> presented to </w:t>
            </w:r>
            <w:r w:rsidR="00236951">
              <w:t>CWG</w:t>
            </w:r>
            <w:r w:rsidR="00C01846">
              <w:t>-FHR</w:t>
            </w:r>
            <w:r w:rsidR="00236951">
              <w:t xml:space="preserve"> </w:t>
            </w:r>
            <w:r w:rsidR="00C01846">
              <w:t>(</w:t>
            </w:r>
            <w:r w:rsidR="00C0623C" w:rsidRPr="00C0623C">
              <w:t>Doc</w:t>
            </w:r>
            <w:r w:rsidR="00C01846">
              <w:t>.</w:t>
            </w:r>
            <w:r w:rsidR="00C0623C" w:rsidRPr="00C0623C">
              <w:t xml:space="preserve"> CWG-FHR-11/12</w:t>
            </w:r>
            <w:r w:rsidR="00C01846">
              <w:t xml:space="preserve">) and </w:t>
            </w:r>
            <w:r w:rsidR="0032249F">
              <w:t xml:space="preserve">to </w:t>
            </w:r>
            <w:r w:rsidR="000F16D8">
              <w:t xml:space="preserve">the Virtual Consultation of </w:t>
            </w:r>
            <w:r w:rsidR="00C01846">
              <w:t>Council</w:t>
            </w:r>
            <w:r w:rsidR="000F16D8">
              <w:t>lors</w:t>
            </w:r>
            <w:r w:rsidR="00C01846">
              <w:t xml:space="preserve"> (Doc.</w:t>
            </w:r>
            <w:r w:rsidR="00237AA9">
              <w:t xml:space="preserve"> </w:t>
            </w:r>
            <w:r w:rsidR="00C26260">
              <w:t>C20/61 Rev.1</w:t>
            </w:r>
            <w:r w:rsidR="00C01846">
              <w:t>)</w:t>
            </w:r>
            <w:r w:rsidR="00497B31">
              <w:t>.</w:t>
            </w:r>
          </w:p>
          <w:p w14:paraId="68FA9732" w14:textId="77777777" w:rsidR="002A2188" w:rsidRPr="00813E5E" w:rsidRDefault="002A2188" w:rsidP="00BF2FBC">
            <w:pPr>
              <w:pStyle w:val="Headingb"/>
              <w:spacing w:before="120" w:after="120"/>
              <w:jc w:val="both"/>
            </w:pPr>
            <w:r w:rsidRPr="00813E5E">
              <w:t>Action required</w:t>
            </w:r>
          </w:p>
          <w:p w14:paraId="70874F66" w14:textId="4BBA15AA" w:rsidR="002A2188" w:rsidRPr="00813E5E" w:rsidRDefault="00385E13" w:rsidP="00BF2FBC">
            <w:pPr>
              <w:spacing w:after="120"/>
              <w:jc w:val="both"/>
            </w:pPr>
            <w:r w:rsidRPr="00385E13">
              <w:t xml:space="preserve">The Council </w:t>
            </w:r>
            <w:r w:rsidR="004E75DC">
              <w:t>Working Group</w:t>
            </w:r>
            <w:r w:rsidR="004E75DC" w:rsidRPr="00385E13">
              <w:t xml:space="preserve"> </w:t>
            </w:r>
            <w:r w:rsidRPr="00385E13">
              <w:t xml:space="preserve">is invited </w:t>
            </w:r>
            <w:r w:rsidRPr="00B310EF">
              <w:t xml:space="preserve">to </w:t>
            </w:r>
            <w:r w:rsidR="00027D22" w:rsidRPr="00B310EF">
              <w:rPr>
                <w:b/>
                <w:bCs/>
              </w:rPr>
              <w:t>note</w:t>
            </w:r>
            <w:r w:rsidR="00027D22" w:rsidRPr="00B310EF">
              <w:t xml:space="preserve"> </w:t>
            </w:r>
            <w:r w:rsidRPr="00B310EF">
              <w:t>this report</w:t>
            </w:r>
            <w:r w:rsidR="003A0613" w:rsidRPr="003A0613">
              <w:t>.</w:t>
            </w:r>
          </w:p>
          <w:p w14:paraId="11FDEE06" w14:textId="77777777" w:rsidR="002A2188" w:rsidRPr="00813E5E" w:rsidRDefault="002A2188" w:rsidP="00BF2FBC">
            <w:pPr>
              <w:pStyle w:val="Table"/>
              <w:keepNext w:val="0"/>
              <w:spacing w:before="120"/>
              <w:jc w:val="both"/>
              <w:rPr>
                <w:rFonts w:ascii="Calibri" w:hAnsi="Calibri"/>
                <w:caps w:val="0"/>
                <w:sz w:val="22"/>
              </w:rPr>
            </w:pPr>
            <w:r w:rsidRPr="00813E5E">
              <w:rPr>
                <w:rFonts w:ascii="Calibri" w:hAnsi="Calibri"/>
                <w:caps w:val="0"/>
                <w:sz w:val="22"/>
              </w:rPr>
              <w:t>____________</w:t>
            </w:r>
          </w:p>
          <w:p w14:paraId="55A11A4B" w14:textId="77777777" w:rsidR="002A2188" w:rsidRPr="00813E5E" w:rsidRDefault="002A2188" w:rsidP="00BF2FBC">
            <w:pPr>
              <w:pStyle w:val="Headingb"/>
              <w:spacing w:before="120" w:after="120"/>
              <w:jc w:val="both"/>
            </w:pPr>
            <w:r w:rsidRPr="00813E5E">
              <w:t>References</w:t>
            </w:r>
          </w:p>
          <w:p w14:paraId="6181E5BB" w14:textId="77777777" w:rsidR="002A2188" w:rsidRDefault="00385E13" w:rsidP="00BF2FBC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173CBA">
              <w:rPr>
                <w:rFonts w:cstheme="minorHAnsi"/>
                <w:i/>
                <w:iCs/>
                <w:szCs w:val="24"/>
              </w:rPr>
              <w:t>Doc</w:t>
            </w:r>
            <w:r w:rsidR="00173CBA">
              <w:rPr>
                <w:rFonts w:cstheme="minorHAnsi"/>
                <w:i/>
                <w:iCs/>
                <w:szCs w:val="24"/>
              </w:rPr>
              <w:t>ument</w:t>
            </w:r>
            <w:r w:rsidRPr="00173CBA">
              <w:rPr>
                <w:rFonts w:cstheme="minorHAnsi"/>
                <w:i/>
                <w:iCs/>
                <w:szCs w:val="24"/>
              </w:rPr>
              <w:t xml:space="preserve"> </w:t>
            </w:r>
            <w:hyperlink r:id="rId12" w:history="1">
              <w:r w:rsidRPr="00173CBA">
                <w:rPr>
                  <w:rStyle w:val="Hyperlink"/>
                  <w:rFonts w:cstheme="minorHAnsi"/>
                  <w:i/>
                  <w:iCs/>
                  <w:szCs w:val="24"/>
                </w:rPr>
                <w:t>CWG-FHR-11/12</w:t>
              </w:r>
            </w:hyperlink>
            <w:r>
              <w:rPr>
                <w:rFonts w:cstheme="minorHAnsi"/>
                <w:i/>
                <w:iCs/>
                <w:szCs w:val="24"/>
              </w:rPr>
              <w:t xml:space="preserve"> (</w:t>
            </w:r>
            <w:r w:rsidR="00C0623C" w:rsidRPr="00385E13">
              <w:rPr>
                <w:rFonts w:cstheme="minorHAnsi"/>
                <w:i/>
                <w:iCs/>
                <w:szCs w:val="24"/>
              </w:rPr>
              <w:t>Progress report on Strengthening ITU Risk Management Framework: action plan)</w:t>
            </w:r>
            <w:r w:rsidR="00EB4875">
              <w:rPr>
                <w:rFonts w:cstheme="minorHAnsi"/>
                <w:i/>
                <w:iCs/>
                <w:szCs w:val="24"/>
              </w:rPr>
              <w:t xml:space="preserve">; Council documents </w:t>
            </w:r>
            <w:hyperlink r:id="rId13" w:history="1">
              <w:r w:rsidRPr="00EB4875">
                <w:rPr>
                  <w:rStyle w:val="Hyperlink"/>
                  <w:rFonts w:cstheme="minorHAnsi"/>
                  <w:i/>
                  <w:iCs/>
                </w:rPr>
                <w:t>C17/74</w:t>
              </w:r>
            </w:hyperlink>
            <w:r w:rsidRPr="003126FD">
              <w:rPr>
                <w:rFonts w:cstheme="minorHAnsi"/>
                <w:i/>
                <w:iCs/>
              </w:rPr>
              <w:t xml:space="preserve"> (ITU Risk management policy)</w:t>
            </w:r>
            <w:r w:rsidR="00EB4875">
              <w:rPr>
                <w:rFonts w:cstheme="minorHAnsi"/>
                <w:i/>
                <w:iCs/>
              </w:rPr>
              <w:t>;</w:t>
            </w:r>
            <w:r w:rsidRPr="00EB4875">
              <w:rPr>
                <w:rFonts w:cstheme="minorHAnsi"/>
                <w:i/>
                <w:iCs/>
              </w:rPr>
              <w:t xml:space="preserve"> </w:t>
            </w:r>
            <w:hyperlink r:id="rId14" w:history="1">
              <w:r w:rsidRPr="00EB4875">
                <w:rPr>
                  <w:rStyle w:val="Hyperlink"/>
                  <w:rFonts w:cstheme="minorHAnsi"/>
                  <w:i/>
                  <w:iCs/>
                </w:rPr>
                <w:t>C17/73</w:t>
              </w:r>
            </w:hyperlink>
            <w:r w:rsidRPr="003126FD">
              <w:rPr>
                <w:rFonts w:cstheme="minorHAnsi"/>
                <w:i/>
                <w:iCs/>
              </w:rPr>
              <w:t xml:space="preserve"> (ITU </w:t>
            </w:r>
            <w:r w:rsidR="00423CD4">
              <w:rPr>
                <w:rFonts w:cstheme="minorHAnsi"/>
                <w:i/>
                <w:iCs/>
              </w:rPr>
              <w:t>R</w:t>
            </w:r>
            <w:r w:rsidRPr="003126FD">
              <w:rPr>
                <w:rFonts w:cstheme="minorHAnsi"/>
                <w:i/>
                <w:iCs/>
              </w:rPr>
              <w:t>isk appetite statement)</w:t>
            </w:r>
          </w:p>
          <w:p w14:paraId="1B3F9C42" w14:textId="701333BC" w:rsidR="00237AA9" w:rsidRPr="00813E5E" w:rsidRDefault="00237AA9" w:rsidP="00BF2FBC">
            <w:pPr>
              <w:spacing w:after="120"/>
              <w:jc w:val="both"/>
              <w:rPr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Document </w:t>
            </w:r>
            <w:hyperlink r:id="rId15" w:history="1">
              <w:r w:rsidRPr="00C01A84">
                <w:rPr>
                  <w:rStyle w:val="Hyperlink"/>
                  <w:rFonts w:cstheme="minorHAnsi"/>
                  <w:i/>
                  <w:iCs/>
                </w:rPr>
                <w:t>C20/61 Rev.1</w:t>
              </w:r>
            </w:hyperlink>
          </w:p>
        </w:tc>
      </w:tr>
    </w:tbl>
    <w:p w14:paraId="6325C688" w14:textId="77777777" w:rsidR="008120C2" w:rsidRDefault="008120C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bookmarkStart w:id="6" w:name="dstart"/>
      <w:bookmarkStart w:id="7" w:name="dbreak"/>
      <w:bookmarkEnd w:id="6"/>
      <w:bookmarkEnd w:id="7"/>
    </w:p>
    <w:p w14:paraId="5DD7A3FE" w14:textId="77777777" w:rsidR="008120C2" w:rsidRDefault="008120C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14:paraId="5FDFF053" w14:textId="3B3E3DDA" w:rsidR="00D338E0" w:rsidRDefault="00D338E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>
        <w:rPr>
          <w:lang w:val="en-US"/>
        </w:rPr>
        <w:br w:type="page"/>
      </w:r>
    </w:p>
    <w:p w14:paraId="372193C2" w14:textId="3CDDF473" w:rsidR="003A0613" w:rsidRDefault="003A0613" w:rsidP="00BF2FBC">
      <w:pPr>
        <w:pStyle w:val="Heading2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  <w:ind w:left="709" w:hanging="709"/>
      </w:pPr>
      <w:r>
        <w:lastRenderedPageBreak/>
        <w:t>1</w:t>
      </w:r>
      <w:r>
        <w:tab/>
      </w:r>
      <w:r w:rsidR="00F46774">
        <w:t xml:space="preserve">Final </w:t>
      </w:r>
      <w:r w:rsidR="00C0623C">
        <w:t xml:space="preserve">report on the implementation of the </w:t>
      </w:r>
      <w:r w:rsidR="00C0623C" w:rsidRPr="00C0623C">
        <w:t>Action plan to strengthen ITU risk management framework</w:t>
      </w:r>
    </w:p>
    <w:p w14:paraId="1E2E3B7E" w14:textId="7D8FBAE0" w:rsidR="003A0613" w:rsidRPr="00681AAE" w:rsidRDefault="0016447C" w:rsidP="0016447C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spacing w:after="120"/>
        <w:ind w:left="0"/>
        <w:contextualSpacing w:val="0"/>
        <w:jc w:val="both"/>
        <w:textAlignment w:val="auto"/>
        <w:rPr>
          <w:sz w:val="22"/>
          <w:szCs w:val="22"/>
        </w:rPr>
      </w:pPr>
      <w:r>
        <w:rPr>
          <w:spacing w:val="-2"/>
          <w:sz w:val="22"/>
          <w:szCs w:val="22"/>
        </w:rPr>
        <w:t>1.1</w:t>
      </w:r>
      <w:r w:rsidR="00497B31">
        <w:rPr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ab/>
      </w:r>
      <w:r w:rsidR="00E84FCC" w:rsidRPr="00BF2FBC">
        <w:rPr>
          <w:spacing w:val="-2"/>
          <w:sz w:val="22"/>
          <w:szCs w:val="22"/>
        </w:rPr>
        <w:t xml:space="preserve">Since the </w:t>
      </w:r>
      <w:r w:rsidR="00CD2052" w:rsidRPr="00BF2FBC">
        <w:rPr>
          <w:spacing w:val="-2"/>
          <w:sz w:val="22"/>
          <w:szCs w:val="22"/>
        </w:rPr>
        <w:t xml:space="preserve">endorsement </w:t>
      </w:r>
      <w:r w:rsidR="00E84FCC" w:rsidRPr="00BF2FBC">
        <w:rPr>
          <w:spacing w:val="-2"/>
          <w:sz w:val="22"/>
          <w:szCs w:val="22"/>
        </w:rPr>
        <w:t>of the Action plan</w:t>
      </w:r>
      <w:r w:rsidR="00CD2052" w:rsidRPr="00BF2FBC">
        <w:rPr>
          <w:spacing w:val="-2"/>
          <w:sz w:val="22"/>
          <w:szCs w:val="22"/>
        </w:rPr>
        <w:t xml:space="preserve"> by CWG-FHR</w:t>
      </w:r>
      <w:r w:rsidR="00E84FCC" w:rsidRPr="00BF2FBC">
        <w:rPr>
          <w:spacing w:val="-2"/>
          <w:sz w:val="22"/>
          <w:szCs w:val="22"/>
        </w:rPr>
        <w:t xml:space="preserve"> in </w:t>
      </w:r>
      <w:r w:rsidR="00CD2052" w:rsidRPr="00BF2FBC">
        <w:rPr>
          <w:spacing w:val="-2"/>
          <w:sz w:val="22"/>
          <w:szCs w:val="22"/>
        </w:rPr>
        <w:t xml:space="preserve">February </w:t>
      </w:r>
      <w:r w:rsidR="00E84FCC" w:rsidRPr="00BF2FBC">
        <w:rPr>
          <w:spacing w:val="-2"/>
          <w:sz w:val="22"/>
          <w:szCs w:val="22"/>
        </w:rPr>
        <w:t xml:space="preserve">2020, HLCM released in March 2020 </w:t>
      </w:r>
      <w:r w:rsidR="00E84FCC" w:rsidRPr="00681AAE">
        <w:rPr>
          <w:sz w:val="22"/>
          <w:szCs w:val="22"/>
        </w:rPr>
        <w:t xml:space="preserve">a </w:t>
      </w:r>
      <w:r w:rsidR="00F3767C" w:rsidRPr="00681AAE">
        <w:rPr>
          <w:sz w:val="22"/>
          <w:szCs w:val="22"/>
        </w:rPr>
        <w:t xml:space="preserve">Guidance Note on Embedding Risk Management </w:t>
      </w:r>
      <w:r w:rsidR="006040E8">
        <w:rPr>
          <w:sz w:val="22"/>
          <w:szCs w:val="22"/>
        </w:rPr>
        <w:t>(</w:t>
      </w:r>
      <w:r w:rsidR="00BF0B00" w:rsidRPr="00BF0B00">
        <w:rPr>
          <w:sz w:val="22"/>
          <w:szCs w:val="22"/>
        </w:rPr>
        <w:t>CEB/2020/HLCM/4</w:t>
      </w:r>
      <w:r w:rsidR="00BF0B00">
        <w:rPr>
          <w:sz w:val="22"/>
          <w:szCs w:val="22"/>
        </w:rPr>
        <w:t xml:space="preserve">) </w:t>
      </w:r>
      <w:r w:rsidR="006040E8">
        <w:rPr>
          <w:sz w:val="22"/>
          <w:szCs w:val="22"/>
        </w:rPr>
        <w:t xml:space="preserve">and JIU released in </w:t>
      </w:r>
      <w:r w:rsidR="00BF0B00">
        <w:rPr>
          <w:sz w:val="22"/>
          <w:szCs w:val="22"/>
        </w:rPr>
        <w:t>September</w:t>
      </w:r>
      <w:r w:rsidR="006040E8">
        <w:rPr>
          <w:sz w:val="22"/>
          <w:szCs w:val="22"/>
        </w:rPr>
        <w:t xml:space="preserve"> 2020 a report on approaches and uses of Enterprise Risk Management in UN system organizations (JIU/REP/2020/5)</w:t>
      </w:r>
      <w:r w:rsidR="00BF0B00">
        <w:rPr>
          <w:sz w:val="22"/>
          <w:szCs w:val="22"/>
        </w:rPr>
        <w:t xml:space="preserve">. Both reports </w:t>
      </w:r>
      <w:r w:rsidR="00E84FCC" w:rsidRPr="00681AAE">
        <w:rPr>
          <w:sz w:val="22"/>
          <w:szCs w:val="22"/>
        </w:rPr>
        <w:t>ha</w:t>
      </w:r>
      <w:r w:rsidR="00BF0B00">
        <w:rPr>
          <w:sz w:val="22"/>
          <w:szCs w:val="22"/>
        </w:rPr>
        <w:t>ve</w:t>
      </w:r>
      <w:r w:rsidR="00E84FCC" w:rsidRPr="00681AAE">
        <w:rPr>
          <w:sz w:val="22"/>
          <w:szCs w:val="22"/>
        </w:rPr>
        <w:t xml:space="preserve"> been taken into consideration while implementing the plan.</w:t>
      </w:r>
      <w:r w:rsidR="00152D64">
        <w:rPr>
          <w:sz w:val="22"/>
          <w:szCs w:val="22"/>
        </w:rPr>
        <w:t xml:space="preserve"> </w:t>
      </w:r>
      <w:r w:rsidR="00E84FCC" w:rsidRPr="00681AAE">
        <w:rPr>
          <w:sz w:val="22"/>
          <w:szCs w:val="22"/>
        </w:rPr>
        <w:t xml:space="preserve">In addition, </w:t>
      </w:r>
      <w:r w:rsidR="00CD2052" w:rsidRPr="00681AAE">
        <w:rPr>
          <w:sz w:val="22"/>
          <w:szCs w:val="22"/>
        </w:rPr>
        <w:t>the project</w:t>
      </w:r>
      <w:r w:rsidR="00E84FCC" w:rsidRPr="00681AAE">
        <w:rPr>
          <w:sz w:val="22"/>
          <w:szCs w:val="22"/>
        </w:rPr>
        <w:t xml:space="preserve"> has been supported by an external senior consultant to gain </w:t>
      </w:r>
      <w:r w:rsidR="00456745">
        <w:rPr>
          <w:sz w:val="22"/>
          <w:szCs w:val="22"/>
        </w:rPr>
        <w:t>qualit</w:t>
      </w:r>
      <w:r w:rsidR="000B5A4A">
        <w:rPr>
          <w:sz w:val="22"/>
          <w:szCs w:val="22"/>
        </w:rPr>
        <w:t>y</w:t>
      </w:r>
      <w:r w:rsidR="00456745" w:rsidRPr="00681AAE">
        <w:rPr>
          <w:sz w:val="22"/>
          <w:szCs w:val="22"/>
        </w:rPr>
        <w:t xml:space="preserve"> </w:t>
      </w:r>
      <w:r w:rsidR="00E84FCC" w:rsidRPr="00681AAE">
        <w:rPr>
          <w:sz w:val="22"/>
          <w:szCs w:val="22"/>
        </w:rPr>
        <w:t xml:space="preserve">and assurance that the </w:t>
      </w:r>
      <w:r w:rsidR="00832394" w:rsidRPr="00681AAE">
        <w:rPr>
          <w:sz w:val="22"/>
          <w:szCs w:val="22"/>
        </w:rPr>
        <w:t xml:space="preserve">implementation of the action plan would capitalize on best </w:t>
      </w:r>
      <w:r w:rsidR="00EA47A2" w:rsidRPr="00681AAE">
        <w:rPr>
          <w:sz w:val="22"/>
          <w:szCs w:val="22"/>
        </w:rPr>
        <w:t>risk management strategies</w:t>
      </w:r>
      <w:r w:rsidR="00832394" w:rsidRPr="00681AAE">
        <w:rPr>
          <w:sz w:val="22"/>
          <w:szCs w:val="22"/>
        </w:rPr>
        <w:t xml:space="preserve"> experienced by other organisations.</w:t>
      </w:r>
    </w:p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8246"/>
        <w:gridCol w:w="1393"/>
      </w:tblGrid>
      <w:tr w:rsidR="00F60605" w:rsidRPr="00CF4E25" w14:paraId="4F92859B" w14:textId="77777777" w:rsidTr="009F4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033F8167" w14:textId="60348742" w:rsidR="00F60605" w:rsidRPr="00CF4E25" w:rsidRDefault="00F60605" w:rsidP="00173CBA">
            <w:pPr>
              <w:spacing w:after="20"/>
              <w:jc w:val="both"/>
              <w:rPr>
                <w:rFonts w:cstheme="minorHAnsi"/>
                <w:sz w:val="22"/>
                <w:szCs w:val="22"/>
              </w:rPr>
            </w:pPr>
            <w:r w:rsidRPr="00CF4E25">
              <w:rPr>
                <w:rFonts w:cstheme="minorHAnsi"/>
                <w:sz w:val="22"/>
                <w:szCs w:val="22"/>
              </w:rPr>
              <w:t>Action item / progress achieved</w:t>
            </w:r>
          </w:p>
        </w:tc>
        <w:tc>
          <w:tcPr>
            <w:tcW w:w="1275" w:type="dxa"/>
          </w:tcPr>
          <w:p w14:paraId="3654000B" w14:textId="77777777" w:rsidR="00F60605" w:rsidRPr="00CF4E25" w:rsidRDefault="00F60605" w:rsidP="00173CBA">
            <w:pPr>
              <w:spacing w:after="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F4E25">
              <w:rPr>
                <w:rFonts w:cstheme="minorHAnsi"/>
                <w:sz w:val="22"/>
                <w:szCs w:val="22"/>
              </w:rPr>
              <w:t>Timeline</w:t>
            </w:r>
          </w:p>
        </w:tc>
      </w:tr>
      <w:tr w:rsidR="00F60605" w:rsidRPr="00CF4E25" w14:paraId="43104C43" w14:textId="77777777" w:rsidTr="009F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31C7376" w14:textId="7777777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All organizational and operational entities to be involved in Risk Management</w:t>
            </w:r>
          </w:p>
          <w:p w14:paraId="35863BC7" w14:textId="7B69056B" w:rsidR="00F60605" w:rsidRPr="00CF4E25" w:rsidRDefault="00832394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Kick-off meetings, introducing the objectives of the Action plan and its deliverables both by Council 2020 and by end of 2020, have been conducted with </w:t>
            </w:r>
            <w:r w:rsidR="00EA47A2" w:rsidRPr="00CF4E25">
              <w:rPr>
                <w:rFonts w:cs="Calibri"/>
                <w:b w:val="0"/>
                <w:bCs w:val="0"/>
                <w:sz w:val="22"/>
                <w:szCs w:val="22"/>
              </w:rPr>
              <w:t>more than 20 key stakeholders incl. Focal points (</w:t>
            </w:r>
            <w:r w:rsidR="00F60605" w:rsidRPr="00CF4E25">
              <w:rPr>
                <w:rFonts w:cs="Calibri"/>
                <w:b w:val="0"/>
                <w:bCs w:val="0"/>
                <w:sz w:val="22"/>
                <w:szCs w:val="22"/>
              </w:rPr>
              <w:t>Bureaux</w:t>
            </w:r>
            <w:r w:rsidR="00EA47A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, Regional Offices, </w:t>
            </w:r>
            <w:r w:rsidR="00CD205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Depts. of the </w:t>
            </w:r>
            <w:r w:rsidR="00F6060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General Secretariat, </w:t>
            </w:r>
            <w:r w:rsidR="00CD205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including </w:t>
            </w:r>
            <w:r w:rsidR="00EA47A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Finance, HR, </w:t>
            </w:r>
            <w:r w:rsidR="00CD2052" w:rsidRPr="00CF4E25">
              <w:rPr>
                <w:rFonts w:cs="Calibri"/>
                <w:b w:val="0"/>
                <w:bCs w:val="0"/>
                <w:sz w:val="22"/>
                <w:szCs w:val="22"/>
              </w:rPr>
              <w:t>IS</w:t>
            </w:r>
            <w:r w:rsidR="00EA47A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, </w:t>
            </w:r>
            <w:r w:rsidR="00CD2052" w:rsidRPr="00CF4E25">
              <w:rPr>
                <w:rFonts w:cs="Calibri"/>
                <w:b w:val="0"/>
                <w:bCs w:val="0"/>
                <w:sz w:val="22"/>
                <w:szCs w:val="22"/>
              </w:rPr>
              <w:t>Internal Audit</w:t>
            </w:r>
            <w:r w:rsidR="00EA47A2" w:rsidRPr="00CF4E25">
              <w:rPr>
                <w:rFonts w:cs="Calibri"/>
                <w:b w:val="0"/>
                <w:bCs w:val="0"/>
                <w:sz w:val="22"/>
                <w:szCs w:val="22"/>
              </w:rPr>
              <w:t>). Comments and suggestions from the participants have been taken into consideration.</w:t>
            </w:r>
          </w:p>
          <w:p w14:paraId="79B006D3" w14:textId="7360A60F" w:rsidR="00F60605" w:rsidRPr="001C1E47" w:rsidRDefault="00EA47A2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>Proposed revised documents were sent (notably regarding actions #2, #3, #5 and #6 below), requesting feedback from stakeholders.</w:t>
            </w:r>
          </w:p>
          <w:p w14:paraId="2B674B05" w14:textId="0DA5DFF4" w:rsidR="00307886" w:rsidRPr="007833BF" w:rsidRDefault="00C20052" w:rsidP="008076F6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Two workshops, delivered in </w:t>
            </w:r>
            <w:r w:rsidR="0057549A">
              <w:rPr>
                <w:rFonts w:cs="Calibri"/>
                <w:b w:val="0"/>
                <w:bCs w:val="0"/>
                <w:sz w:val="22"/>
                <w:szCs w:val="22"/>
              </w:rPr>
              <w:t xml:space="preserve">eight </w:t>
            </w:r>
            <w:r w:rsidR="006D3011">
              <w:rPr>
                <w:rFonts w:cs="Calibri"/>
                <w:b w:val="0"/>
                <w:bCs w:val="0"/>
                <w:sz w:val="22"/>
                <w:szCs w:val="22"/>
              </w:rPr>
              <w:t>distinct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 sessions </w:t>
            </w:r>
            <w:r w:rsidR="0057549A">
              <w:rPr>
                <w:rFonts w:cs="Calibri"/>
                <w:b w:val="0"/>
                <w:bCs w:val="0"/>
                <w:sz w:val="22"/>
                <w:szCs w:val="22"/>
              </w:rPr>
              <w:t xml:space="preserve">in 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>November and December</w:t>
            </w:r>
            <w:r w:rsidR="0057549A">
              <w:rPr>
                <w:rFonts w:cs="Calibri"/>
                <w:b w:val="0"/>
                <w:bCs w:val="0"/>
                <w:sz w:val="22"/>
                <w:szCs w:val="22"/>
              </w:rPr>
              <w:t xml:space="preserve">, have </w:t>
            </w:r>
            <w:r w:rsidR="006D3011">
              <w:rPr>
                <w:rFonts w:cs="Calibri"/>
                <w:b w:val="0"/>
                <w:bCs w:val="0"/>
                <w:sz w:val="22"/>
                <w:szCs w:val="22"/>
              </w:rPr>
              <w:t xml:space="preserve">included more than 40 </w:t>
            </w:r>
            <w:r w:rsidR="00816942">
              <w:rPr>
                <w:rFonts w:cs="Calibri"/>
                <w:b w:val="0"/>
                <w:bCs w:val="0"/>
                <w:sz w:val="22"/>
                <w:szCs w:val="22"/>
              </w:rPr>
              <w:t xml:space="preserve">distinct </w:t>
            </w:r>
            <w:r w:rsidR="006D3011">
              <w:rPr>
                <w:rFonts w:cs="Calibri"/>
                <w:b w:val="0"/>
                <w:bCs w:val="0"/>
                <w:sz w:val="22"/>
                <w:szCs w:val="22"/>
              </w:rPr>
              <w:t xml:space="preserve">participants </w:t>
            </w:r>
            <w:r w:rsidR="00F35751">
              <w:rPr>
                <w:rFonts w:cs="Calibri"/>
                <w:b w:val="0"/>
                <w:bCs w:val="0"/>
                <w:sz w:val="22"/>
                <w:szCs w:val="22"/>
              </w:rPr>
              <w:t>from all organizational and operational ITU entities.</w:t>
            </w:r>
          </w:p>
          <w:p w14:paraId="312B69C1" w14:textId="2F8D40C0" w:rsidR="00307886" w:rsidRPr="00CF4E25" w:rsidRDefault="00307886" w:rsidP="00307886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Action </w:t>
            </w:r>
            <w:r w:rsidR="00A96EA2">
              <w:rPr>
                <w:rFonts w:cstheme="minorHAnsi"/>
                <w:sz w:val="22"/>
                <w:szCs w:val="22"/>
              </w:rPr>
              <w:t xml:space="preserve">#1 </w:t>
            </w:r>
            <w:r>
              <w:rPr>
                <w:rFonts w:cstheme="minorHAnsi"/>
                <w:sz w:val="22"/>
                <w:szCs w:val="22"/>
              </w:rPr>
              <w:t>completed</w:t>
            </w:r>
            <w:r w:rsidR="00A96EA2">
              <w:rPr>
                <w:rFonts w:cstheme="minorHAnsi"/>
                <w:sz w:val="22"/>
                <w:szCs w:val="22"/>
              </w:rPr>
              <w:t xml:space="preserve"> as of December 18</w:t>
            </w:r>
            <w:r w:rsidR="00A96EA2" w:rsidRPr="001C1E4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A96EA2">
              <w:rPr>
                <w:rFonts w:cstheme="minorHAnsi"/>
                <w:sz w:val="22"/>
                <w:szCs w:val="22"/>
              </w:rPr>
              <w:t>, 2020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102BC11" w14:textId="59A0EDD3" w:rsidR="00F60605" w:rsidRPr="009F4E1A" w:rsidRDefault="00F60605" w:rsidP="00816942">
            <w:pPr>
              <w:pStyle w:val="ListParagraph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F5DC47" w14:textId="3FE0CD8C" w:rsidR="00F60605" w:rsidRPr="00CF4E25" w:rsidRDefault="00F550E1" w:rsidP="00BF2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F60605" w:rsidRPr="00CF4E25">
              <w:rPr>
                <w:rFonts w:cstheme="minorHAnsi"/>
                <w:sz w:val="22"/>
                <w:szCs w:val="22"/>
              </w:rPr>
              <w:t>nd of 2020</w:t>
            </w:r>
          </w:p>
        </w:tc>
      </w:tr>
      <w:tr w:rsidR="00F60605" w:rsidRPr="00CF4E25" w14:paraId="12A644A9" w14:textId="77777777" w:rsidTr="009F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34A7038" w14:textId="7777777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Risk registers to be developed for the whole organization and have those risks assessed and rated</w:t>
            </w:r>
          </w:p>
          <w:p w14:paraId="3728A31E" w14:textId="518BB76C" w:rsidR="00EA47A2" w:rsidRPr="00CF4E25" w:rsidRDefault="00FF3DA8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Preliminary r</w:t>
            </w:r>
            <w:r w:rsidR="00F6060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isk registers </w:t>
            </w:r>
            <w:r w:rsidR="00BC6FF4">
              <w:rPr>
                <w:rFonts w:cs="Calibri"/>
                <w:b w:val="0"/>
                <w:bCs w:val="0"/>
                <w:sz w:val="22"/>
                <w:szCs w:val="22"/>
              </w:rPr>
              <w:t xml:space="preserve">and mitigation plans </w:t>
            </w:r>
            <w:r w:rsidR="00EA47A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were obtained from </w:t>
            </w:r>
            <w:r w:rsidR="00F60605" w:rsidRPr="00CF4E25">
              <w:rPr>
                <w:rFonts w:cs="Calibri"/>
                <w:b w:val="0"/>
                <w:bCs w:val="0"/>
                <w:sz w:val="22"/>
                <w:szCs w:val="22"/>
              </w:rPr>
              <w:t>organizational entities</w:t>
            </w:r>
            <w:r w:rsidR="00EA47A2" w:rsidRPr="00CF4E25">
              <w:rPr>
                <w:rFonts w:cs="Calibri"/>
                <w:b w:val="0"/>
                <w:bCs w:val="0"/>
                <w:sz w:val="22"/>
                <w:szCs w:val="22"/>
              </w:rPr>
              <w:t>.</w:t>
            </w:r>
          </w:p>
          <w:p w14:paraId="3329AF2F" w14:textId="7F858C62" w:rsidR="00EA47A2" w:rsidRPr="00CF4E25" w:rsidRDefault="00EA47A2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A new </w:t>
            </w:r>
            <w:r w:rsidR="006900AA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risk register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template </w:t>
            </w:r>
            <w:r w:rsidR="00307886">
              <w:rPr>
                <w:rFonts w:cs="Calibri"/>
                <w:b w:val="0"/>
                <w:bCs w:val="0"/>
                <w:sz w:val="22"/>
                <w:szCs w:val="22"/>
              </w:rPr>
              <w:t>has been</w:t>
            </w:r>
            <w:r w:rsidR="00B32377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developed, which integrates cause and consequences of a risk, as well as the inclusion of controls in place and </w:t>
            </w:r>
            <w:r w:rsidR="0051339C">
              <w:rPr>
                <w:rFonts w:cs="Calibri"/>
                <w:b w:val="0"/>
                <w:bCs w:val="0"/>
                <w:sz w:val="22"/>
                <w:szCs w:val="22"/>
              </w:rPr>
              <w:t xml:space="preserve">the confidence </w:t>
            </w:r>
            <w:r w:rsidR="007957E7">
              <w:rPr>
                <w:rFonts w:cs="Calibri"/>
                <w:b w:val="0"/>
                <w:bCs w:val="0"/>
                <w:sz w:val="22"/>
                <w:szCs w:val="22"/>
              </w:rPr>
              <w:t>in controls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effectiveness</w:t>
            </w:r>
            <w:r w:rsidR="007957E7">
              <w:rPr>
                <w:rFonts w:cs="Calibri"/>
                <w:b w:val="0"/>
                <w:bCs w:val="0"/>
                <w:sz w:val="22"/>
                <w:szCs w:val="22"/>
              </w:rPr>
              <w:t>.</w:t>
            </w:r>
          </w:p>
          <w:p w14:paraId="4DEC795B" w14:textId="1EAD3D88" w:rsidR="00183DD5" w:rsidRPr="00CF4E25" w:rsidRDefault="00183DD5" w:rsidP="00183DD5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The risk register template and the related operational details of managing risks are part of a new Risk Management </w:t>
            </w:r>
            <w:r w:rsidR="00E51D55">
              <w:rPr>
                <w:rFonts w:cs="Calibri"/>
                <w:b w:val="0"/>
                <w:bCs w:val="0"/>
                <w:sz w:val="22"/>
                <w:szCs w:val="22"/>
              </w:rPr>
              <w:t xml:space="preserve">and Internal Control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Manual which </w:t>
            </w:r>
            <w:r w:rsidR="00E51D55">
              <w:rPr>
                <w:rFonts w:cs="Calibri"/>
                <w:b w:val="0"/>
                <w:bCs w:val="0"/>
                <w:sz w:val="22"/>
                <w:szCs w:val="22"/>
              </w:rPr>
              <w:t>has been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 finalized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. This manual </w:t>
            </w:r>
            <w:r w:rsidR="00E51D55">
              <w:rPr>
                <w:rFonts w:cs="Calibri"/>
                <w:b w:val="0"/>
                <w:bCs w:val="0"/>
                <w:sz w:val="22"/>
                <w:szCs w:val="22"/>
              </w:rPr>
              <w:t>has been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essential to support the training activities </w:t>
            </w:r>
            <w:r w:rsidR="000B15B8">
              <w:rPr>
                <w:rFonts w:cs="Calibri"/>
                <w:b w:val="0"/>
                <w:bCs w:val="0"/>
                <w:sz w:val="22"/>
                <w:szCs w:val="22"/>
              </w:rPr>
              <w:t>included in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actions #4</w:t>
            </w:r>
            <w:r w:rsidR="000B15B8">
              <w:rPr>
                <w:rFonts w:cs="Calibri"/>
                <w:b w:val="0"/>
                <w:bCs w:val="0"/>
                <w:sz w:val="22"/>
                <w:szCs w:val="22"/>
              </w:rPr>
              <w:t xml:space="preserve"> and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#8</w:t>
            </w:r>
            <w:r w:rsidR="000B15B8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below. </w:t>
            </w:r>
          </w:p>
          <w:p w14:paraId="520E903D" w14:textId="7E777028" w:rsidR="00F60605" w:rsidRPr="005537FC" w:rsidRDefault="00183DD5" w:rsidP="00183DD5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Risks </w:t>
            </w:r>
            <w:r w:rsidR="006E5144">
              <w:rPr>
                <w:rFonts w:cs="Calibri"/>
                <w:b w:val="0"/>
                <w:bCs w:val="0"/>
                <w:sz w:val="22"/>
                <w:szCs w:val="22"/>
              </w:rPr>
              <w:t>have</w:t>
            </w:r>
            <w:r w:rsidR="006E5144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>be</w:t>
            </w:r>
            <w:r w:rsidR="006E5144">
              <w:rPr>
                <w:rFonts w:cs="Calibri"/>
                <w:b w:val="0"/>
                <w:bCs w:val="0"/>
                <w:sz w:val="22"/>
                <w:szCs w:val="22"/>
              </w:rPr>
              <w:t>en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identified and assessed </w:t>
            </w:r>
            <w:r w:rsidR="006E5144">
              <w:rPr>
                <w:rFonts w:cs="Calibri"/>
                <w:b w:val="0"/>
                <w:bCs w:val="0"/>
                <w:sz w:val="22"/>
                <w:szCs w:val="22"/>
              </w:rPr>
              <w:t xml:space="preserve">as of December 2020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using the new risk </w:t>
            </w:r>
            <w:proofErr w:type="gramStart"/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>registers</w:t>
            </w:r>
            <w:r w:rsidR="005A4558">
              <w:rPr>
                <w:rFonts w:cs="Calibri"/>
                <w:b w:val="0"/>
                <w:bCs w:val="0"/>
                <w:sz w:val="22"/>
                <w:szCs w:val="22"/>
              </w:rPr>
              <w:t>(</w:t>
            </w:r>
            <w:proofErr w:type="gramEnd"/>
            <w:r w:rsidR="005A4558">
              <w:rPr>
                <w:rFonts w:cs="Calibri"/>
                <w:b w:val="0"/>
                <w:bCs w:val="0"/>
                <w:sz w:val="22"/>
                <w:szCs w:val="22"/>
              </w:rPr>
              <w:t xml:space="preserve">overview of risks identified by </w:t>
            </w:r>
            <w:r w:rsidR="00A16329">
              <w:rPr>
                <w:rFonts w:cs="Calibri"/>
                <w:b w:val="0"/>
                <w:bCs w:val="0"/>
                <w:sz w:val="22"/>
                <w:szCs w:val="22"/>
              </w:rPr>
              <w:t>December 18</w:t>
            </w:r>
            <w:r w:rsidR="00A16329" w:rsidRPr="007C1EF0">
              <w:rPr>
                <w:rFonts w:cs="Calibr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="00A16329">
              <w:rPr>
                <w:rFonts w:cs="Calibri"/>
                <w:b w:val="0"/>
                <w:bCs w:val="0"/>
                <w:sz w:val="22"/>
                <w:szCs w:val="22"/>
              </w:rPr>
              <w:t xml:space="preserve"> presented in Appendix A</w:t>
            </w:r>
            <w:r w:rsidR="005A4558">
              <w:rPr>
                <w:rFonts w:cs="Calibri"/>
                <w:b w:val="0"/>
                <w:bCs w:val="0"/>
                <w:sz w:val="22"/>
                <w:szCs w:val="22"/>
              </w:rPr>
              <w:t>)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>.</w:t>
            </w:r>
          </w:p>
          <w:p w14:paraId="604D9115" w14:textId="4ACF9449" w:rsidR="001F607F" w:rsidRDefault="001F607F" w:rsidP="001F607F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Action </w:t>
            </w:r>
            <w:r w:rsidR="00A96EA2">
              <w:rPr>
                <w:rFonts w:cstheme="minorHAnsi"/>
                <w:sz w:val="22"/>
                <w:szCs w:val="22"/>
              </w:rPr>
              <w:t xml:space="preserve">#2 </w:t>
            </w:r>
            <w:r>
              <w:rPr>
                <w:rFonts w:cstheme="minorHAnsi"/>
                <w:sz w:val="22"/>
                <w:szCs w:val="22"/>
              </w:rPr>
              <w:t>completed</w:t>
            </w:r>
            <w:r w:rsidR="00A96EA2">
              <w:rPr>
                <w:rFonts w:cstheme="minorHAnsi"/>
                <w:sz w:val="22"/>
                <w:szCs w:val="22"/>
              </w:rPr>
              <w:t xml:space="preserve"> as of December 18</w:t>
            </w:r>
            <w:r w:rsidR="00A96EA2"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A96EA2">
              <w:rPr>
                <w:rFonts w:cstheme="minorHAnsi"/>
                <w:sz w:val="22"/>
                <w:szCs w:val="22"/>
              </w:rPr>
              <w:t>, 2020</w:t>
            </w:r>
            <w:r w:rsidR="007C1EF0">
              <w:rPr>
                <w:rFonts w:cstheme="minorHAnsi"/>
                <w:sz w:val="22"/>
                <w:szCs w:val="22"/>
              </w:rPr>
              <w:t xml:space="preserve"> -</w:t>
            </w:r>
            <w:r w:rsidR="00C545BD">
              <w:rPr>
                <w:rFonts w:cstheme="minorHAnsi"/>
                <w:sz w:val="22"/>
                <w:szCs w:val="22"/>
              </w:rPr>
              <w:t xml:space="preserve">acknowledging that </w:t>
            </w:r>
            <w:r w:rsidR="007C1EF0">
              <w:rPr>
                <w:rFonts w:cstheme="minorHAnsi"/>
                <w:sz w:val="22"/>
                <w:szCs w:val="22"/>
              </w:rPr>
              <w:t xml:space="preserve">the assessment of the risks </w:t>
            </w:r>
            <w:r w:rsidR="006B3AE0">
              <w:rPr>
                <w:rFonts w:cstheme="minorHAnsi"/>
                <w:sz w:val="22"/>
                <w:szCs w:val="22"/>
              </w:rPr>
              <w:t xml:space="preserve">is a continuous </w:t>
            </w:r>
            <w:r w:rsidR="007C1EF0">
              <w:rPr>
                <w:rFonts w:cstheme="minorHAnsi"/>
                <w:sz w:val="22"/>
                <w:szCs w:val="22"/>
              </w:rPr>
              <w:t>process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13B10C48" w14:textId="641DA4F1" w:rsidR="00837F3C" w:rsidRPr="000568D1" w:rsidRDefault="00837F3C" w:rsidP="000568D1">
            <w:pPr>
              <w:pStyle w:val="ListParagraph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30F150" w14:textId="11CA022F" w:rsidR="00F60605" w:rsidRPr="00CF4E25" w:rsidRDefault="00F550E1" w:rsidP="00BF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End of 2020 / Continuous assessment of risks</w:t>
            </w:r>
          </w:p>
        </w:tc>
      </w:tr>
      <w:tr w:rsidR="00F60605" w:rsidRPr="00CF4E25" w14:paraId="72331A05" w14:textId="77777777" w:rsidTr="009F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0FA4BC86" w14:textId="7777777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Set up an internal risk governance structure</w:t>
            </w:r>
          </w:p>
          <w:p w14:paraId="3DE10BD7" w14:textId="0DC27FBF" w:rsidR="00F60605" w:rsidRPr="00CF4E25" w:rsidRDefault="006900AA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Based on the best practices found in HLCM Risk Management Task Force survey results (March 2019) </w:t>
            </w:r>
            <w:r w:rsidR="00623DB3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conducted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among 25 UN Organisations, </w:t>
            </w:r>
            <w:r w:rsidR="00623DB3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as well as the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feedback </w:t>
            </w:r>
            <w:r w:rsidR="00623DB3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gathered from the key stakeholders (cf. action #1 above), it </w:t>
            </w:r>
            <w:r w:rsidR="00837F3C">
              <w:rPr>
                <w:rFonts w:cs="Calibri"/>
                <w:b w:val="0"/>
                <w:bCs w:val="0"/>
                <w:sz w:val="22"/>
                <w:szCs w:val="22"/>
              </w:rPr>
              <w:t>was</w:t>
            </w:r>
            <w:r w:rsidR="00837F3C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623DB3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recommended </w:t>
            </w:r>
            <w:r w:rsidR="00174D8F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to </w:t>
            </w:r>
            <w:r w:rsidR="00005813" w:rsidRPr="00CF4E25">
              <w:rPr>
                <w:rFonts w:cs="Calibri"/>
                <w:b w:val="0"/>
                <w:bCs w:val="0"/>
                <w:sz w:val="22"/>
                <w:szCs w:val="22"/>
              </w:rPr>
              <w:t>strengthen</w:t>
            </w:r>
            <w:r w:rsidR="00A8465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the </w:t>
            </w:r>
            <w:r w:rsidR="009464D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risk </w:t>
            </w:r>
            <w:r w:rsidR="00B13D18" w:rsidRPr="00CF4E25">
              <w:rPr>
                <w:rFonts w:cs="Calibri"/>
                <w:b w:val="0"/>
                <w:bCs w:val="0"/>
                <w:sz w:val="22"/>
                <w:szCs w:val="22"/>
              </w:rPr>
              <w:t>governance structure</w:t>
            </w:r>
            <w:r w:rsidR="009464D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. This </w:t>
            </w:r>
            <w:r w:rsidR="00473C64" w:rsidRPr="00CF4E25">
              <w:rPr>
                <w:rFonts w:cs="Calibri"/>
                <w:b w:val="0"/>
                <w:bCs w:val="0"/>
                <w:sz w:val="22"/>
                <w:szCs w:val="22"/>
              </w:rPr>
              <w:t>enhancement</w:t>
            </w:r>
            <w:r w:rsidR="007B0EC1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is </w:t>
            </w:r>
            <w:proofErr w:type="spellStart"/>
            <w:r w:rsidR="00F73085" w:rsidRPr="00CF4E25">
              <w:rPr>
                <w:rFonts w:cs="Calibri"/>
                <w:b w:val="0"/>
                <w:bCs w:val="0"/>
                <w:sz w:val="22"/>
                <w:szCs w:val="22"/>
              </w:rPr>
              <w:t>centered</w:t>
            </w:r>
            <w:proofErr w:type="spellEnd"/>
            <w:r w:rsidR="00F7308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around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9464D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the integration of a Risk and Internal Control </w:t>
            </w:r>
            <w:r w:rsidR="0026131B">
              <w:rPr>
                <w:rFonts w:cs="Calibri"/>
                <w:b w:val="0"/>
                <w:bCs w:val="0"/>
                <w:sz w:val="22"/>
                <w:szCs w:val="22"/>
              </w:rPr>
              <w:t>function to</w:t>
            </w:r>
            <w:r w:rsidR="00301E1E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4A7FA5" w:rsidRPr="00CF4E25">
              <w:rPr>
                <w:rFonts w:cs="Calibri"/>
                <w:b w:val="0"/>
                <w:bCs w:val="0"/>
                <w:sz w:val="22"/>
                <w:szCs w:val="22"/>
              </w:rPr>
              <w:t>oversee the implementation of risk management with a second line of defen</w:t>
            </w:r>
            <w:r w:rsidR="000C064A" w:rsidRPr="00CF4E25">
              <w:rPr>
                <w:rFonts w:cs="Calibri"/>
                <w:b w:val="0"/>
                <w:bCs w:val="0"/>
                <w:sz w:val="22"/>
                <w:szCs w:val="22"/>
              </w:rPr>
              <w:t>c</w:t>
            </w:r>
            <w:r w:rsidR="004A7FA5" w:rsidRPr="00CF4E25">
              <w:rPr>
                <w:rFonts w:cs="Calibri"/>
                <w:b w:val="0"/>
                <w:bCs w:val="0"/>
                <w:sz w:val="22"/>
                <w:szCs w:val="22"/>
              </w:rPr>
              <w:t>e accountability</w:t>
            </w:r>
            <w:r w:rsidR="000C064A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. </w:t>
            </w:r>
            <w:r w:rsidR="0079087A" w:rsidRPr="00CF4E25">
              <w:rPr>
                <w:rFonts w:cs="Calibri"/>
                <w:b w:val="0"/>
                <w:bCs w:val="0"/>
                <w:sz w:val="22"/>
                <w:szCs w:val="22"/>
              </w:rPr>
              <w:t>F</w:t>
            </w:r>
            <w:r w:rsidR="009464D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ully dedicated </w:t>
            </w:r>
            <w:r w:rsidR="003B4259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to Risk management and Internal controls, </w:t>
            </w:r>
            <w:r w:rsidR="00F12374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this </w:t>
            </w:r>
            <w:r w:rsidR="0026131B">
              <w:rPr>
                <w:rFonts w:cs="Calibri"/>
                <w:b w:val="0"/>
                <w:bCs w:val="0"/>
                <w:sz w:val="22"/>
                <w:szCs w:val="22"/>
              </w:rPr>
              <w:t>function</w:t>
            </w:r>
            <w:r w:rsidR="0026131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F12374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is </w:t>
            </w:r>
            <w:r w:rsidR="009464D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responsible for coordinating the risk and control management processes, as well as 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>their</w:t>
            </w:r>
            <w:r w:rsidR="009464D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ongoing improvement including Risk management framework, policies and manual.</w:t>
            </w:r>
          </w:p>
          <w:p w14:paraId="7C19B7D8" w14:textId="6A2B711B" w:rsidR="00B915BB" w:rsidRPr="00CF4E25" w:rsidRDefault="006B1777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lastRenderedPageBreak/>
              <w:t xml:space="preserve">Considering </w:t>
            </w:r>
            <w:r w:rsidR="006B0EDE" w:rsidRPr="00CF4E25">
              <w:rPr>
                <w:rFonts w:cs="Calibri"/>
                <w:b w:val="0"/>
                <w:bCs w:val="0"/>
                <w:sz w:val="22"/>
                <w:szCs w:val="22"/>
              </w:rPr>
              <w:t>the responsibilities assigned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to the Risk and Internal Control </w:t>
            </w:r>
            <w:r w:rsidR="0026131B">
              <w:rPr>
                <w:rFonts w:cs="Calibri"/>
                <w:b w:val="0"/>
                <w:bCs w:val="0"/>
                <w:sz w:val="22"/>
                <w:szCs w:val="22"/>
              </w:rPr>
              <w:t>function</w:t>
            </w:r>
            <w:r w:rsidR="0026131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E5741D" w:rsidRPr="00CF4E25">
              <w:rPr>
                <w:rFonts w:cs="Calibri"/>
                <w:b w:val="0"/>
                <w:bCs w:val="0"/>
                <w:sz w:val="22"/>
                <w:szCs w:val="22"/>
              </w:rPr>
              <w:t>and the current structure</w:t>
            </w:r>
            <w:r w:rsidR="00DC6D2A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for</w:t>
            </w:r>
            <w:r w:rsidR="00E5741D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B23859" w:rsidRPr="00CF4E25">
              <w:rPr>
                <w:rFonts w:cs="Calibri"/>
                <w:b w:val="0"/>
                <w:bCs w:val="0"/>
                <w:sz w:val="22"/>
                <w:szCs w:val="22"/>
              </w:rPr>
              <w:t>dealing with risk management within</w:t>
            </w:r>
            <w:r w:rsidR="00E5741D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the organization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, the role of the Inter-Sectoral Coordination Task Force (ISC-TF) was </w:t>
            </w:r>
            <w:r w:rsidR="001540CF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aligned </w:t>
            </w:r>
            <w:r w:rsidR="00FC3840" w:rsidRPr="00CF4E25">
              <w:rPr>
                <w:rFonts w:cs="Calibri"/>
                <w:b w:val="0"/>
                <w:bCs w:val="0"/>
                <w:sz w:val="22"/>
                <w:szCs w:val="22"/>
              </w:rPr>
              <w:t>accordingly</w:t>
            </w:r>
            <w:r w:rsidR="00B23859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to consult on the recommendations provided by the Risk and Internal Control </w:t>
            </w:r>
            <w:r w:rsidR="0026131B">
              <w:rPr>
                <w:rFonts w:cs="Calibri"/>
                <w:b w:val="0"/>
                <w:bCs w:val="0"/>
                <w:sz w:val="22"/>
                <w:szCs w:val="22"/>
              </w:rPr>
              <w:t>function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. </w:t>
            </w:r>
            <w:r w:rsidR="00ED7682" w:rsidRPr="00CF4E25">
              <w:rPr>
                <w:rFonts w:cs="Calibri"/>
                <w:b w:val="0"/>
                <w:bCs w:val="0"/>
                <w:sz w:val="22"/>
                <w:szCs w:val="22"/>
              </w:rPr>
              <w:t>On one hand and b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ased on proposals made by the Risk and Internal Control </w:t>
            </w:r>
            <w:r w:rsidR="0026131B">
              <w:rPr>
                <w:rFonts w:cs="Calibri"/>
                <w:b w:val="0"/>
                <w:bCs w:val="0"/>
                <w:sz w:val="22"/>
                <w:szCs w:val="22"/>
              </w:rPr>
              <w:t>function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, ISC-TF would review risk management framework, policies and manual and prepare </w:t>
            </w:r>
            <w:r w:rsidR="00221178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recommendations 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for approval by </w:t>
            </w:r>
            <w:r w:rsidR="00B23859" w:rsidRPr="00CF4E25">
              <w:rPr>
                <w:rFonts w:cs="Calibri"/>
                <w:b w:val="0"/>
                <w:bCs w:val="0"/>
                <w:sz w:val="22"/>
                <w:szCs w:val="22"/>
              </w:rPr>
              <w:t>the Coordination Committee (</w:t>
            </w:r>
            <w:proofErr w:type="spellStart"/>
            <w:r w:rsidR="00B23859" w:rsidRPr="00CF4E25">
              <w:rPr>
                <w:rFonts w:cs="Calibri"/>
                <w:b w:val="0"/>
                <w:bCs w:val="0"/>
                <w:sz w:val="22"/>
                <w:szCs w:val="22"/>
              </w:rPr>
              <w:t>CoCo</w:t>
            </w:r>
            <w:proofErr w:type="spellEnd"/>
            <w:r w:rsidR="00B23859" w:rsidRPr="00CF4E25">
              <w:rPr>
                <w:rFonts w:cs="Calibri"/>
                <w:b w:val="0"/>
                <w:bCs w:val="0"/>
                <w:sz w:val="22"/>
                <w:szCs w:val="22"/>
              </w:rPr>
              <w:t>) through the Management Coordination Group (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>MCG</w:t>
            </w:r>
            <w:r w:rsidR="00B23859" w:rsidRPr="00CF4E25">
              <w:rPr>
                <w:rFonts w:cs="Calibri"/>
                <w:b w:val="0"/>
                <w:bCs w:val="0"/>
                <w:sz w:val="22"/>
                <w:szCs w:val="22"/>
              </w:rPr>
              <w:t>)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. </w:t>
            </w:r>
            <w:r w:rsidR="00ED768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On the other </w:t>
            </w:r>
            <w:r w:rsidR="00BF2FBC" w:rsidRPr="00CF4E25">
              <w:rPr>
                <w:rFonts w:cs="Calibri"/>
                <w:b w:val="0"/>
                <w:bCs w:val="0"/>
                <w:sz w:val="22"/>
                <w:szCs w:val="22"/>
              </w:rPr>
              <w:t>hand,</w:t>
            </w:r>
            <w:r w:rsidR="00ED768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i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 will review </w:t>
            </w:r>
            <w:r w:rsidR="00E5741D" w:rsidRPr="00CF4E25">
              <w:rPr>
                <w:rFonts w:cs="Calibri"/>
                <w:b w:val="0"/>
                <w:bCs w:val="0"/>
                <w:sz w:val="22"/>
                <w:szCs w:val="22"/>
              </w:rPr>
              <w:t>cross-</w:t>
            </w:r>
            <w:r w:rsidR="00ED7682" w:rsidRPr="00CF4E25">
              <w:rPr>
                <w:rFonts w:cs="Calibri"/>
                <w:b w:val="0"/>
                <w:bCs w:val="0"/>
                <w:sz w:val="22"/>
                <w:szCs w:val="22"/>
              </w:rPr>
              <w:t>sector</w:t>
            </w:r>
            <w:r w:rsidR="00A56763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>moderate level risks on a regular basis</w:t>
            </w:r>
            <w:r w:rsidR="00A56763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, whereas </w:t>
            </w:r>
            <w:r w:rsidR="00ED768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single </w:t>
            </w:r>
            <w:r w:rsidR="003C6A36" w:rsidRPr="00CF4E25">
              <w:rPr>
                <w:rFonts w:cs="Calibri"/>
                <w:b w:val="0"/>
                <w:bCs w:val="0"/>
                <w:sz w:val="22"/>
                <w:szCs w:val="22"/>
              </w:rPr>
              <w:t>S</w:t>
            </w:r>
            <w:r w:rsidR="00A56763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ector risks </w:t>
            </w:r>
            <w:r w:rsidR="00ED768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would remain at the </w:t>
            </w:r>
            <w:r w:rsidR="00005813" w:rsidRPr="00CF4E25">
              <w:rPr>
                <w:rFonts w:cs="Calibri"/>
                <w:b w:val="0"/>
                <w:bCs w:val="0"/>
                <w:sz w:val="22"/>
                <w:szCs w:val="22"/>
              </w:rPr>
              <w:t>Bureau</w:t>
            </w:r>
            <w:r w:rsidR="00ED768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level</w:t>
            </w:r>
            <w:r w:rsidR="00B915B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14:paraId="26616216" w14:textId="77777777" w:rsidR="00F60605" w:rsidRPr="004420A8" w:rsidRDefault="00B915BB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>Finally, MCG</w:t>
            </w:r>
            <w:r w:rsidR="00480652" w:rsidRPr="00CF4E25">
              <w:rPr>
                <w:rFonts w:cs="Calibri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="00480652" w:rsidRPr="00CF4E25">
              <w:rPr>
                <w:rFonts w:cs="Calibri"/>
                <w:b w:val="0"/>
                <w:bCs w:val="0"/>
                <w:sz w:val="22"/>
                <w:szCs w:val="22"/>
              </w:rPr>
              <w:t>C</w:t>
            </w:r>
            <w:r w:rsidR="00B23859" w:rsidRPr="00CF4E25">
              <w:rPr>
                <w:rFonts w:cs="Calibri"/>
                <w:b w:val="0"/>
                <w:bCs w:val="0"/>
                <w:sz w:val="22"/>
                <w:szCs w:val="22"/>
              </w:rPr>
              <w:t>o</w:t>
            </w:r>
            <w:r w:rsidR="00480652" w:rsidRPr="00CF4E25">
              <w:rPr>
                <w:rFonts w:cs="Calibri"/>
                <w:b w:val="0"/>
                <w:bCs w:val="0"/>
                <w:sz w:val="22"/>
                <w:szCs w:val="22"/>
              </w:rPr>
              <w:t>C</w:t>
            </w:r>
            <w:r w:rsidR="00B23859" w:rsidRPr="00CF4E25">
              <w:rPr>
                <w:rFonts w:cs="Calibri"/>
                <w:b w:val="0"/>
                <w:bCs w:val="0"/>
                <w:sz w:val="22"/>
                <w:szCs w:val="22"/>
              </w:rPr>
              <w:t>o</w:t>
            </w:r>
            <w:proofErr w:type="spellEnd"/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would review high level risks on a regular basis and take decisions related to risk management, ensuring a clear tone at the top to promote a culture of responsible and effective risk management.</w:t>
            </w:r>
          </w:p>
          <w:p w14:paraId="5F93522B" w14:textId="79AB7E7A" w:rsidR="004420A8" w:rsidRPr="00A96EA2" w:rsidRDefault="004420A8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A96EA2">
              <w:rPr>
                <w:rFonts w:cs="Calibri"/>
                <w:b w:val="0"/>
                <w:bCs w:val="0"/>
                <w:sz w:val="22"/>
                <w:szCs w:val="22"/>
              </w:rPr>
              <w:t xml:space="preserve">All of these </w:t>
            </w:r>
            <w:r w:rsidR="00A96EA2" w:rsidRPr="00A96EA2">
              <w:rPr>
                <w:rFonts w:cs="Calibri"/>
                <w:b w:val="0"/>
                <w:bCs w:val="0"/>
                <w:sz w:val="22"/>
                <w:szCs w:val="22"/>
              </w:rPr>
              <w:t>competencies and monitoring activities</w:t>
            </w:r>
            <w:r w:rsidRPr="00A96EA2">
              <w:rPr>
                <w:rFonts w:cs="Calibri"/>
                <w:b w:val="0"/>
                <w:bCs w:val="0"/>
                <w:sz w:val="22"/>
                <w:szCs w:val="22"/>
              </w:rPr>
              <w:t xml:space="preserve"> are </w:t>
            </w:r>
            <w:r w:rsidR="00A96EA2" w:rsidRPr="00A96EA2">
              <w:rPr>
                <w:rFonts w:cs="Calibri"/>
                <w:b w:val="0"/>
                <w:bCs w:val="0"/>
                <w:sz w:val="22"/>
                <w:szCs w:val="22"/>
              </w:rPr>
              <w:t>described in the risk management policy and further detailed in the risk management manual.</w:t>
            </w:r>
          </w:p>
          <w:p w14:paraId="783DE786" w14:textId="43200216" w:rsidR="00A96EA2" w:rsidRDefault="00A96EA2" w:rsidP="00A96EA2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Action #3 completed as of December 18</w:t>
            </w:r>
            <w:r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>, 2020.</w:t>
            </w:r>
          </w:p>
          <w:p w14:paraId="7D90028E" w14:textId="6D2FD88C" w:rsidR="00A96EA2" w:rsidRPr="00A96EA2" w:rsidRDefault="00A96EA2" w:rsidP="00A96EA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ind w:left="360"/>
              <w:jc w:val="both"/>
              <w:textAlignment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8BEFE6B" w14:textId="0066B8A0" w:rsidR="00F60605" w:rsidRPr="00CF4E25" w:rsidRDefault="00F60605" w:rsidP="00BF2F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F4E25">
              <w:rPr>
                <w:rFonts w:cstheme="minorHAnsi"/>
                <w:sz w:val="22"/>
                <w:szCs w:val="22"/>
              </w:rPr>
              <w:lastRenderedPageBreak/>
              <w:t>Council 2020</w:t>
            </w:r>
          </w:p>
        </w:tc>
      </w:tr>
      <w:tr w:rsidR="00F60605" w:rsidRPr="00CF4E25" w14:paraId="229FB43E" w14:textId="77777777" w:rsidTr="009F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D7A3923" w14:textId="7777777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Aim to improve staff accountability at all levels for managing risks</w:t>
            </w:r>
          </w:p>
          <w:p w14:paraId="2CCE0704" w14:textId="7213977B" w:rsidR="00005DE3" w:rsidRPr="00552FB0" w:rsidRDefault="003E4793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Trainings and workshops on how to integrate risk management 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and internal controls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in the business processes of the organization </w:t>
            </w:r>
            <w:r w:rsidR="006D34CB">
              <w:rPr>
                <w:rFonts w:cs="Calibri"/>
                <w:b w:val="0"/>
                <w:bCs w:val="0"/>
                <w:sz w:val="22"/>
                <w:szCs w:val="22"/>
              </w:rPr>
              <w:t>were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conducted. </w:t>
            </w:r>
            <w:r w:rsidR="00675CF8" w:rsidRPr="00675CF8">
              <w:rPr>
                <w:rFonts w:cs="Calibri"/>
                <w:b w:val="0"/>
                <w:bCs w:val="0"/>
                <w:sz w:val="22"/>
                <w:szCs w:val="22"/>
              </w:rPr>
              <w:t xml:space="preserve">Two </w:t>
            </w:r>
            <w:r w:rsidR="00635837">
              <w:rPr>
                <w:rFonts w:cs="Calibri"/>
                <w:b w:val="0"/>
                <w:bCs w:val="0"/>
                <w:sz w:val="22"/>
                <w:szCs w:val="22"/>
              </w:rPr>
              <w:t>rounds of</w:t>
            </w:r>
            <w:r w:rsidR="00DC7E36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675CF8" w:rsidRPr="00675CF8">
              <w:rPr>
                <w:rFonts w:cs="Calibri"/>
                <w:b w:val="0"/>
                <w:bCs w:val="0"/>
                <w:sz w:val="22"/>
                <w:szCs w:val="22"/>
              </w:rPr>
              <w:t>workshops have been prepared and duly delivered</w:t>
            </w:r>
            <w:r w:rsidR="005C057B">
              <w:rPr>
                <w:rFonts w:cs="Calibri"/>
                <w:b w:val="0"/>
                <w:bCs w:val="0"/>
                <w:sz w:val="22"/>
                <w:szCs w:val="22"/>
              </w:rPr>
              <w:t xml:space="preserve">, </w:t>
            </w:r>
            <w:r w:rsidR="005C057B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using the new Risk register and the new Risk Management manual as guidance. </w:t>
            </w:r>
            <w:r w:rsidR="005C057B" w:rsidRPr="00DE024F">
              <w:rPr>
                <w:rFonts w:cs="Calibri"/>
                <w:b w:val="0"/>
                <w:bCs w:val="0"/>
                <w:sz w:val="22"/>
                <w:szCs w:val="22"/>
              </w:rPr>
              <w:t xml:space="preserve">The workshops </w:t>
            </w:r>
            <w:r w:rsidR="005C057B">
              <w:rPr>
                <w:rFonts w:cs="Calibri"/>
                <w:b w:val="0"/>
                <w:bCs w:val="0"/>
                <w:sz w:val="22"/>
                <w:szCs w:val="22"/>
              </w:rPr>
              <w:t>were</w:t>
            </w:r>
            <w:r w:rsidR="005C057B" w:rsidRPr="00DE024F">
              <w:rPr>
                <w:rFonts w:cs="Calibri"/>
                <w:b w:val="0"/>
                <w:bCs w:val="0"/>
                <w:sz w:val="22"/>
                <w:szCs w:val="22"/>
              </w:rPr>
              <w:t xml:space="preserve"> aligned with the on-going process to revise the overall ITU accountability and transparency framework</w:t>
            </w:r>
            <w:r w:rsidR="00675CF8" w:rsidRPr="00675CF8">
              <w:rPr>
                <w:rFonts w:cs="Calibri"/>
                <w:b w:val="0"/>
                <w:bCs w:val="0"/>
                <w:sz w:val="22"/>
                <w:szCs w:val="22"/>
              </w:rPr>
              <w:t xml:space="preserve">. </w:t>
            </w:r>
            <w:r w:rsidR="00291E12">
              <w:rPr>
                <w:rFonts w:cs="Calibri"/>
                <w:b w:val="0"/>
                <w:bCs w:val="0"/>
                <w:sz w:val="22"/>
                <w:szCs w:val="22"/>
              </w:rPr>
              <w:t xml:space="preserve">In </w:t>
            </w:r>
            <w:proofErr w:type="gramStart"/>
            <w:r w:rsidR="00291E12">
              <w:rPr>
                <w:rFonts w:cs="Calibri"/>
                <w:b w:val="0"/>
                <w:bCs w:val="0"/>
                <w:sz w:val="22"/>
                <w:szCs w:val="22"/>
              </w:rPr>
              <w:t>addition</w:t>
            </w:r>
            <w:proofErr w:type="gramEnd"/>
            <w:r w:rsidR="00291E12">
              <w:rPr>
                <w:rFonts w:cs="Calibri"/>
                <w:b w:val="0"/>
                <w:bCs w:val="0"/>
                <w:sz w:val="22"/>
                <w:szCs w:val="22"/>
              </w:rPr>
              <w:t xml:space="preserve"> continuous training and support have been provided to Focal points </w:t>
            </w:r>
            <w:r w:rsidR="00774875">
              <w:rPr>
                <w:rFonts w:cs="Calibri"/>
                <w:b w:val="0"/>
                <w:bCs w:val="0"/>
                <w:sz w:val="22"/>
                <w:szCs w:val="22"/>
              </w:rPr>
              <w:t>along the whole project duration.</w:t>
            </w:r>
          </w:p>
          <w:p w14:paraId="76EFE6E9" w14:textId="4FFE52B4" w:rsidR="00005DE3" w:rsidRDefault="00005DE3" w:rsidP="00005DE3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Action #</w:t>
            </w:r>
            <w:r w:rsidR="00F01DB8">
              <w:rPr>
                <w:rFonts w:cstheme="minorHAnsi"/>
                <w:sz w:val="22"/>
                <w:szCs w:val="22"/>
              </w:rPr>
              <w:t>4</w:t>
            </w:r>
            <w:r>
              <w:rPr>
                <w:rFonts w:cstheme="minorHAnsi"/>
                <w:sz w:val="22"/>
                <w:szCs w:val="22"/>
              </w:rPr>
              <w:t xml:space="preserve"> completed as of December 18</w:t>
            </w:r>
            <w:r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>, 2020.</w:t>
            </w:r>
          </w:p>
          <w:p w14:paraId="18958F28" w14:textId="1E93B520" w:rsidR="00F60605" w:rsidRPr="00730883" w:rsidRDefault="00774875" w:rsidP="00E37E0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jc w:val="both"/>
              <w:textAlignment w:val="center"/>
              <w:rPr>
                <w:rFonts w:cs="Calibri"/>
                <w:sz w:val="22"/>
                <w:szCs w:val="22"/>
              </w:rPr>
            </w:pPr>
            <w:r w:rsidRPr="00730883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3CA1B4BE" w14:textId="239859E1" w:rsidR="00F60605" w:rsidRPr="00CF4E25" w:rsidRDefault="00635837" w:rsidP="00BF2F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F60605" w:rsidRPr="00CF4E25">
              <w:rPr>
                <w:rFonts w:cstheme="minorHAnsi"/>
                <w:sz w:val="22"/>
                <w:szCs w:val="22"/>
              </w:rPr>
              <w:t>nd of 2020</w:t>
            </w:r>
          </w:p>
        </w:tc>
      </w:tr>
      <w:tr w:rsidR="00F60605" w:rsidRPr="00CF4E25" w14:paraId="36BD65E1" w14:textId="77777777" w:rsidTr="009F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3D2727B" w14:textId="77777777" w:rsidR="00F60605" w:rsidRPr="00CF4E25" w:rsidRDefault="00F60605" w:rsidP="002F4A14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57" w:hanging="357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Establish a more systematic risk management process</w:t>
            </w:r>
          </w:p>
          <w:p w14:paraId="1B7ECF39" w14:textId="27C67D35" w:rsidR="00F60605" w:rsidRPr="00CF4E25" w:rsidRDefault="00F60605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The Risk Management Policy and Risk Appetite Statement </w:t>
            </w:r>
            <w:r w:rsidR="00E73975" w:rsidRPr="00CF4E25">
              <w:rPr>
                <w:rFonts w:cs="Calibri"/>
                <w:b w:val="0"/>
                <w:bCs w:val="0"/>
                <w:sz w:val="22"/>
                <w:szCs w:val="22"/>
              </w:rPr>
              <w:t>have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be</w:t>
            </w:r>
            <w:r w:rsidR="00E73975" w:rsidRPr="00CF4E25">
              <w:rPr>
                <w:rFonts w:cs="Calibri"/>
                <w:b w:val="0"/>
                <w:bCs w:val="0"/>
                <w:sz w:val="22"/>
                <w:szCs w:val="22"/>
              </w:rPr>
              <w:t>en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reviewed to ensure a more systematic process to identify, assess and manage risks.</w:t>
            </w:r>
            <w:r w:rsidR="00E7397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They have </w:t>
            </w:r>
            <w:r w:rsidR="00ED7682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been </w:t>
            </w:r>
            <w:r w:rsidR="00E7397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focused to their key-principles, and all operational details of managing risks </w:t>
            </w:r>
            <w:r w:rsidR="00F05C80">
              <w:rPr>
                <w:rFonts w:cs="Calibri"/>
                <w:b w:val="0"/>
                <w:bCs w:val="0"/>
                <w:sz w:val="22"/>
                <w:szCs w:val="22"/>
              </w:rPr>
              <w:t>are</w:t>
            </w:r>
            <w:r w:rsidR="00E7397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part of </w:t>
            </w:r>
            <w:r w:rsidR="00F05C80">
              <w:rPr>
                <w:rFonts w:cs="Calibri"/>
                <w:b w:val="0"/>
                <w:bCs w:val="0"/>
                <w:sz w:val="22"/>
                <w:szCs w:val="22"/>
              </w:rPr>
              <w:t xml:space="preserve">the </w:t>
            </w:r>
            <w:r w:rsidR="00E7397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new Risk Management </w:t>
            </w:r>
            <w:r w:rsidR="00C70229">
              <w:rPr>
                <w:rFonts w:cs="Calibri"/>
                <w:b w:val="0"/>
                <w:bCs w:val="0"/>
                <w:sz w:val="22"/>
                <w:szCs w:val="22"/>
              </w:rPr>
              <w:t xml:space="preserve">and Internal Control </w:t>
            </w:r>
            <w:r w:rsidR="00E73975" w:rsidRPr="00CF4E25">
              <w:rPr>
                <w:rFonts w:cs="Calibri"/>
                <w:b w:val="0"/>
                <w:bCs w:val="0"/>
                <w:sz w:val="22"/>
                <w:szCs w:val="22"/>
              </w:rPr>
              <w:t>Manual.</w:t>
            </w:r>
            <w:r w:rsidR="0097480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D13EB8">
              <w:rPr>
                <w:rFonts w:cs="Calibri"/>
                <w:b w:val="0"/>
                <w:bCs w:val="0"/>
                <w:sz w:val="22"/>
                <w:szCs w:val="22"/>
              </w:rPr>
              <w:t xml:space="preserve">The manual </w:t>
            </w:r>
            <w:r w:rsidR="00873EB5">
              <w:rPr>
                <w:rFonts w:cs="Calibri"/>
                <w:b w:val="0"/>
                <w:bCs w:val="0"/>
                <w:sz w:val="22"/>
                <w:szCs w:val="22"/>
              </w:rPr>
              <w:t>is</w:t>
            </w:r>
            <w:r w:rsidR="00873EB5" w:rsidRPr="00873EB5">
              <w:rPr>
                <w:rFonts w:cs="Calibri"/>
                <w:b w:val="0"/>
                <w:bCs w:val="0"/>
                <w:sz w:val="22"/>
                <w:szCs w:val="22"/>
              </w:rPr>
              <w:t xml:space="preserve"> structured on a </w:t>
            </w:r>
            <w:r w:rsidR="006F072A">
              <w:rPr>
                <w:rFonts w:cs="Calibri"/>
                <w:b w:val="0"/>
                <w:bCs w:val="0"/>
                <w:sz w:val="22"/>
                <w:szCs w:val="22"/>
              </w:rPr>
              <w:t>6-</w:t>
            </w:r>
            <w:r w:rsidR="00873EB5" w:rsidRPr="00873EB5">
              <w:rPr>
                <w:rFonts w:cs="Calibri"/>
                <w:b w:val="0"/>
                <w:bCs w:val="0"/>
                <w:sz w:val="22"/>
                <w:szCs w:val="22"/>
              </w:rPr>
              <w:t>step sequence to help mainly Risk Owners, Focal points and Risk and Internal Control function manage and / or coordinate the risk management process, with reference to 2017 COSO ERM key-principles whenever relevant</w:t>
            </w:r>
            <w:r w:rsidR="00A91859">
              <w:rPr>
                <w:rFonts w:cs="Calibri"/>
                <w:b w:val="0"/>
                <w:bCs w:val="0"/>
                <w:sz w:val="22"/>
                <w:szCs w:val="22"/>
              </w:rPr>
              <w:t xml:space="preserve">. </w:t>
            </w:r>
            <w:r w:rsidR="00555536">
              <w:rPr>
                <w:rFonts w:cs="Calibri"/>
                <w:b w:val="0"/>
                <w:bCs w:val="0"/>
                <w:sz w:val="22"/>
                <w:szCs w:val="22"/>
              </w:rPr>
              <w:t>These improvements enable ITU</w:t>
            </w:r>
            <w:r w:rsidR="008C2B25">
              <w:rPr>
                <w:rFonts w:cs="Calibri"/>
                <w:b w:val="0"/>
                <w:bCs w:val="0"/>
                <w:sz w:val="22"/>
                <w:szCs w:val="22"/>
              </w:rPr>
              <w:t>:</w:t>
            </w:r>
          </w:p>
          <w:p w14:paraId="3B464675" w14:textId="61F7EEB9" w:rsidR="00CA3F8A" w:rsidRPr="00601790" w:rsidRDefault="008C2B25" w:rsidP="00CA3F8A">
            <w:pPr>
              <w:pStyle w:val="ListParagraph"/>
              <w:numPr>
                <w:ilvl w:val="1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t>To have u</w:t>
            </w:r>
            <w:r w:rsidR="00DF523A" w:rsidRPr="00601790">
              <w:rPr>
                <w:rFonts w:cs="Calibri"/>
                <w:b w:val="0"/>
                <w:bCs w:val="0"/>
                <w:sz w:val="22"/>
                <w:szCs w:val="22"/>
              </w:rPr>
              <w:t xml:space="preserve">nity in the approach and methodology used for risk management </w:t>
            </w:r>
            <w:r w:rsidR="00DF523A" w:rsidRPr="00601790">
              <w:rPr>
                <w:rFonts w:cs="Calibri"/>
                <w:b w:val="0"/>
                <w:bCs w:val="0"/>
                <w:spacing w:val="-2"/>
                <w:sz w:val="22"/>
                <w:szCs w:val="22"/>
              </w:rPr>
              <w:t>(Results-based management, project management, business continuity management,</w:t>
            </w:r>
            <w:r w:rsidR="00DF523A" w:rsidRPr="00601790">
              <w:rPr>
                <w:rFonts w:cs="Calibri"/>
                <w:b w:val="0"/>
                <w:bCs w:val="0"/>
                <w:sz w:val="22"/>
                <w:szCs w:val="22"/>
              </w:rPr>
              <w:t xml:space="preserve"> crisis management) and operations (including through a common Risk Register).</w:t>
            </w:r>
          </w:p>
          <w:p w14:paraId="246F4C91" w14:textId="77777777" w:rsidR="00B951E6" w:rsidRPr="00601790" w:rsidRDefault="008C2B25" w:rsidP="00B951E6">
            <w:pPr>
              <w:pStyle w:val="ListParagraph"/>
              <w:numPr>
                <w:ilvl w:val="1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t>To f</w:t>
            </w:r>
            <w:r w:rsidR="00DF523A" w:rsidRPr="00601790">
              <w:rPr>
                <w:rFonts w:cs="Calibri"/>
                <w:b w:val="0"/>
                <w:bCs w:val="0"/>
                <w:sz w:val="22"/>
                <w:szCs w:val="22"/>
              </w:rPr>
              <w:t>oster opportunity management, foresight, and innovation, rather than an approach that focuses only on avoiding harm and reacting to issues as they arise.</w:t>
            </w:r>
          </w:p>
          <w:p w14:paraId="5B9E0EC4" w14:textId="77777777" w:rsidR="00B951E6" w:rsidRPr="00601790" w:rsidRDefault="00F15B39" w:rsidP="00B951E6">
            <w:pPr>
              <w:pStyle w:val="ListParagraph"/>
              <w:numPr>
                <w:ilvl w:val="1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t>To ensure a g</w:t>
            </w:r>
            <w:r w:rsidR="00DF523A" w:rsidRPr="00601790">
              <w:rPr>
                <w:rFonts w:cs="Calibri"/>
                <w:b w:val="0"/>
                <w:bCs w:val="0"/>
                <w:sz w:val="22"/>
                <w:szCs w:val="22"/>
              </w:rPr>
              <w:t>reater alignment between risk appetite, categories and impact, ensuring risk management go hand-in-hand with ITU’s perspectives and its willingness to accept risk in key areas.</w:t>
            </w:r>
          </w:p>
          <w:p w14:paraId="5B6E3B1E" w14:textId="77777777" w:rsidR="00601790" w:rsidRPr="00601790" w:rsidRDefault="001C5069" w:rsidP="00601790">
            <w:pPr>
              <w:pStyle w:val="ListParagraph"/>
              <w:numPr>
                <w:ilvl w:val="1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t>To s</w:t>
            </w:r>
            <w:r w:rsidR="00E13DD7" w:rsidRPr="00601790">
              <w:rPr>
                <w:rFonts w:cs="Calibri"/>
                <w:b w:val="0"/>
                <w:bCs w:val="0"/>
                <w:sz w:val="22"/>
                <w:szCs w:val="22"/>
              </w:rPr>
              <w:t>ystematic</w:t>
            </w: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t>ally</w:t>
            </w:r>
            <w:r w:rsidR="00E13DD7" w:rsidRPr="00601790">
              <w:rPr>
                <w:rFonts w:cs="Calibri"/>
                <w:b w:val="0"/>
                <w:bCs w:val="0"/>
                <w:sz w:val="22"/>
                <w:szCs w:val="22"/>
              </w:rPr>
              <w:t xml:space="preserve"> integrat</w:t>
            </w: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t>e</w:t>
            </w:r>
            <w:r w:rsidR="00DF523A" w:rsidRPr="00601790">
              <w:rPr>
                <w:rFonts w:cs="Calibri"/>
                <w:b w:val="0"/>
                <w:bCs w:val="0"/>
                <w:sz w:val="22"/>
                <w:szCs w:val="22"/>
              </w:rPr>
              <w:t xml:space="preserve"> risk reporting to the highest level of the organization for decision-making.</w:t>
            </w:r>
          </w:p>
          <w:p w14:paraId="10F97254" w14:textId="77777777" w:rsidR="00601790" w:rsidRPr="00601790" w:rsidRDefault="00550F04" w:rsidP="00601790">
            <w:pPr>
              <w:pStyle w:val="ListParagraph"/>
              <w:numPr>
                <w:ilvl w:val="1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t>To ensure a</w:t>
            </w:r>
            <w:r w:rsidR="00DF523A" w:rsidRPr="00601790">
              <w:rPr>
                <w:rFonts w:cs="Calibri"/>
                <w:b w:val="0"/>
                <w:bCs w:val="0"/>
                <w:sz w:val="22"/>
                <w:szCs w:val="22"/>
              </w:rPr>
              <w:t>lignment with accountability framework of the organization</w:t>
            </w:r>
            <w:r w:rsidR="00DE024F" w:rsidRPr="00601790">
              <w:rPr>
                <w:rFonts w:cs="Calibri"/>
                <w:b w:val="0"/>
                <w:bCs w:val="0"/>
                <w:sz w:val="22"/>
                <w:szCs w:val="22"/>
              </w:rPr>
              <w:t xml:space="preserve"> (current framework presented in Doc. </w:t>
            </w:r>
            <w:hyperlink r:id="rId16" w:history="1">
              <w:r w:rsidR="00DE024F" w:rsidRPr="00601790">
                <w:rPr>
                  <w:rStyle w:val="Hyperlink"/>
                  <w:rFonts w:cs="Calibri"/>
                  <w:b w:val="0"/>
                  <w:bCs w:val="0"/>
                  <w:sz w:val="22"/>
                  <w:szCs w:val="22"/>
                </w:rPr>
                <w:t>C20/43</w:t>
              </w:r>
            </w:hyperlink>
            <w:r w:rsidR="00DE024F" w:rsidRPr="00601790">
              <w:rPr>
                <w:rFonts w:cs="Calibri"/>
                <w:b w:val="0"/>
                <w:bCs w:val="0"/>
                <w:sz w:val="22"/>
                <w:szCs w:val="22"/>
              </w:rPr>
              <w:t>)</w:t>
            </w:r>
            <w:r w:rsidR="00DF523A" w:rsidRPr="00601790">
              <w:rPr>
                <w:rFonts w:cs="Calibri"/>
                <w:b w:val="0"/>
                <w:bCs w:val="0"/>
                <w:sz w:val="22"/>
                <w:szCs w:val="22"/>
              </w:rPr>
              <w:t>.</w:t>
            </w:r>
          </w:p>
          <w:p w14:paraId="60AA3004" w14:textId="4862CA58" w:rsidR="00F60605" w:rsidRPr="00601790" w:rsidRDefault="00E73975" w:rsidP="00601790">
            <w:pPr>
              <w:pStyle w:val="ListParagraph"/>
              <w:numPr>
                <w:ilvl w:val="1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lastRenderedPageBreak/>
              <w:t>T</w:t>
            </w:r>
            <w:r w:rsidR="00FB151F" w:rsidRPr="00601790">
              <w:rPr>
                <w:rFonts w:cs="Calibri"/>
                <w:b w:val="0"/>
                <w:bCs w:val="0"/>
                <w:sz w:val="22"/>
                <w:szCs w:val="22"/>
              </w:rPr>
              <w:t xml:space="preserve">o </w:t>
            </w:r>
            <w:r w:rsidR="00DB422C" w:rsidRPr="00601790">
              <w:rPr>
                <w:rFonts w:cs="Calibri"/>
                <w:b w:val="0"/>
                <w:bCs w:val="0"/>
                <w:sz w:val="22"/>
                <w:szCs w:val="22"/>
              </w:rPr>
              <w:t>rely on a solid ground for risk management and governance thanks to the</w:t>
            </w:r>
            <w:r w:rsidRPr="00601790">
              <w:rPr>
                <w:rFonts w:cs="Calibri"/>
                <w:b w:val="0"/>
                <w:bCs w:val="0"/>
                <w:sz w:val="22"/>
                <w:szCs w:val="22"/>
              </w:rPr>
              <w:t xml:space="preserve"> “Three Lines” model introduced in the risk management policy.</w:t>
            </w:r>
          </w:p>
          <w:p w14:paraId="7C00E72F" w14:textId="67F159A9" w:rsidR="00F96983" w:rsidRDefault="00F96983" w:rsidP="00F96983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Action #5 completed as of December 18</w:t>
            </w:r>
            <w:r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>, 2020.</w:t>
            </w:r>
          </w:p>
          <w:p w14:paraId="6AE07ED1" w14:textId="64E5D85C" w:rsidR="00F96983" w:rsidRPr="009F4E1A" w:rsidRDefault="00F96983" w:rsidP="002F4A14">
            <w:pPr>
              <w:pStyle w:val="ListParagraph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6E1236" w14:textId="31099A96" w:rsidR="00F60605" w:rsidRPr="00CF4E25" w:rsidRDefault="00F60605" w:rsidP="00BF2F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F4E25">
              <w:rPr>
                <w:rFonts w:cstheme="minorHAnsi"/>
                <w:sz w:val="22"/>
                <w:szCs w:val="22"/>
              </w:rPr>
              <w:lastRenderedPageBreak/>
              <w:t>Council 2020</w:t>
            </w:r>
          </w:p>
        </w:tc>
      </w:tr>
      <w:tr w:rsidR="00F60605" w:rsidRPr="00CF4E25" w14:paraId="5CEBE757" w14:textId="77777777" w:rsidTr="009F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AFA2E6D" w14:textId="13A3178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Review the effectiveness of the internal controls</w:t>
            </w:r>
          </w:p>
          <w:p w14:paraId="64A5CA95" w14:textId="0FFE0AFB" w:rsidR="00F60605" w:rsidRPr="002F4A14" w:rsidRDefault="003E4793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A new risk register template </w:t>
            </w:r>
            <w:r w:rsidR="008F657B">
              <w:rPr>
                <w:rFonts w:cs="Calibri"/>
                <w:b w:val="0"/>
                <w:bCs w:val="0"/>
                <w:sz w:val="22"/>
                <w:szCs w:val="22"/>
              </w:rPr>
              <w:t>has been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developed, which integrates controls in place and their effectiveness to 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>assess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risk. </w:t>
            </w:r>
            <w:r w:rsidR="008F657B">
              <w:rPr>
                <w:rFonts w:cs="Calibri"/>
                <w:b w:val="0"/>
                <w:bCs w:val="0"/>
                <w:sz w:val="22"/>
                <w:szCs w:val="22"/>
              </w:rPr>
              <w:t>In addition</w:t>
            </w:r>
            <w:r w:rsidR="00CF037A">
              <w:rPr>
                <w:rFonts w:cs="Calibri"/>
                <w:b w:val="0"/>
                <w:bCs w:val="0"/>
                <w:sz w:val="22"/>
                <w:szCs w:val="22"/>
              </w:rPr>
              <w:t>, confidence in control effectiveness is being rated and used for de</w:t>
            </w:r>
            <w:r w:rsidR="00640B8A">
              <w:rPr>
                <w:rFonts w:cs="Calibri"/>
                <w:b w:val="0"/>
                <w:bCs w:val="0"/>
                <w:sz w:val="22"/>
                <w:szCs w:val="22"/>
              </w:rPr>
              <w:t xml:space="preserve">termining monitoring </w:t>
            </w:r>
            <w:r w:rsidR="00BD5379">
              <w:rPr>
                <w:rFonts w:cs="Calibri"/>
                <w:b w:val="0"/>
                <w:bCs w:val="0"/>
                <w:sz w:val="22"/>
                <w:szCs w:val="22"/>
              </w:rPr>
              <w:t xml:space="preserve">periodicity. </w:t>
            </w:r>
            <w:r w:rsidR="00245174">
              <w:rPr>
                <w:rFonts w:cs="Calibri"/>
                <w:b w:val="0"/>
                <w:bCs w:val="0"/>
                <w:sz w:val="22"/>
                <w:szCs w:val="22"/>
              </w:rPr>
              <w:t xml:space="preserve">The </w:t>
            </w:r>
            <w:r w:rsidR="00605D20">
              <w:rPr>
                <w:rFonts w:cs="Calibri"/>
                <w:b w:val="0"/>
                <w:bCs w:val="0"/>
                <w:sz w:val="22"/>
                <w:szCs w:val="22"/>
              </w:rPr>
              <w:t xml:space="preserve">related </w:t>
            </w:r>
            <w:r w:rsidR="00463230">
              <w:rPr>
                <w:rFonts w:cs="Calibri"/>
                <w:b w:val="0"/>
                <w:bCs w:val="0"/>
                <w:sz w:val="22"/>
                <w:szCs w:val="22"/>
              </w:rPr>
              <w:t>modalities</w:t>
            </w:r>
            <w:r w:rsidR="00605D20">
              <w:rPr>
                <w:rFonts w:cs="Calibri"/>
                <w:b w:val="0"/>
                <w:bCs w:val="0"/>
                <w:sz w:val="22"/>
                <w:szCs w:val="22"/>
              </w:rPr>
              <w:t xml:space="preserve"> of </w:t>
            </w:r>
            <w:r w:rsidR="00BC26E0">
              <w:rPr>
                <w:rFonts w:cs="Calibri"/>
                <w:b w:val="0"/>
                <w:bCs w:val="0"/>
                <w:sz w:val="22"/>
                <w:szCs w:val="22"/>
              </w:rPr>
              <w:t xml:space="preserve">how to use existing controls to assess risk </w:t>
            </w:r>
            <w:r w:rsidR="00F13A2B">
              <w:rPr>
                <w:rFonts w:cs="Calibri"/>
                <w:b w:val="0"/>
                <w:bCs w:val="0"/>
                <w:sz w:val="22"/>
                <w:szCs w:val="22"/>
              </w:rPr>
              <w:t xml:space="preserve">and how to rate confidence in control effectiveness are </w:t>
            </w:r>
            <w:r w:rsidR="00463230">
              <w:rPr>
                <w:rFonts w:cs="Calibri"/>
                <w:b w:val="0"/>
                <w:bCs w:val="0"/>
                <w:sz w:val="22"/>
                <w:szCs w:val="22"/>
              </w:rPr>
              <w:t>described in the manual.</w:t>
            </w:r>
          </w:p>
          <w:p w14:paraId="6CAEE43C" w14:textId="321E4B50" w:rsidR="00463230" w:rsidRDefault="00463230" w:rsidP="00463230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Action #6 completed as of December 18</w:t>
            </w:r>
            <w:r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>, 2020</w:t>
            </w:r>
            <w:r w:rsidR="002F4A14">
              <w:rPr>
                <w:rFonts w:cstheme="minorHAnsi"/>
                <w:sz w:val="22"/>
                <w:szCs w:val="22"/>
              </w:rPr>
              <w:t xml:space="preserve"> -</w:t>
            </w:r>
            <w:r w:rsidR="007C2458">
              <w:rPr>
                <w:rFonts w:cstheme="minorHAnsi"/>
                <w:szCs w:val="22"/>
              </w:rPr>
              <w:t xml:space="preserve"> </w:t>
            </w:r>
            <w:r w:rsidR="002F4A14" w:rsidRPr="002F4A14">
              <w:rPr>
                <w:rFonts w:cstheme="minorHAnsi"/>
                <w:sz w:val="22"/>
                <w:szCs w:val="22"/>
              </w:rPr>
              <w:t xml:space="preserve">acknowledging that the assessment of the </w:t>
            </w:r>
            <w:r w:rsidR="007C2458">
              <w:rPr>
                <w:rFonts w:cstheme="minorHAnsi"/>
                <w:sz w:val="22"/>
                <w:szCs w:val="22"/>
              </w:rPr>
              <w:t>effectiveness of internal controls</w:t>
            </w:r>
            <w:r w:rsidR="002F4A14" w:rsidRPr="002F4A14">
              <w:rPr>
                <w:rFonts w:cstheme="minorHAnsi"/>
                <w:sz w:val="22"/>
                <w:szCs w:val="22"/>
              </w:rPr>
              <w:t xml:space="preserve"> is a continuous process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7E8D27C" w14:textId="424ED09C" w:rsidR="00F96983" w:rsidRPr="009F4E1A" w:rsidRDefault="00F96983" w:rsidP="002F4A14">
            <w:pPr>
              <w:pStyle w:val="ListParagraph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DFE1F3" w14:textId="5289F2F0" w:rsidR="00F60605" w:rsidRPr="00CF4E25" w:rsidRDefault="00F60605" w:rsidP="00BF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F4E25">
              <w:rPr>
                <w:rFonts w:cstheme="minorHAnsi"/>
                <w:sz w:val="22"/>
                <w:szCs w:val="22"/>
              </w:rPr>
              <w:t>Council 2020</w:t>
            </w:r>
            <w:r w:rsidR="00A46B4C">
              <w:rPr>
                <w:rFonts w:cstheme="minorHAnsi"/>
                <w:sz w:val="22"/>
                <w:szCs w:val="22"/>
              </w:rPr>
              <w:t xml:space="preserve"> / </w:t>
            </w:r>
            <w:r w:rsidR="00A95767">
              <w:rPr>
                <w:rFonts w:cstheme="minorHAnsi"/>
                <w:sz w:val="22"/>
                <w:szCs w:val="22"/>
              </w:rPr>
              <w:t xml:space="preserve">Continuous </w:t>
            </w:r>
            <w:r w:rsidR="00813FC0">
              <w:rPr>
                <w:rFonts w:cstheme="minorHAnsi"/>
                <w:sz w:val="22"/>
                <w:szCs w:val="22"/>
              </w:rPr>
              <w:t xml:space="preserve">assessment of the </w:t>
            </w:r>
            <w:r w:rsidR="00A95767">
              <w:rPr>
                <w:rFonts w:cstheme="minorHAnsi"/>
                <w:sz w:val="22"/>
                <w:szCs w:val="22"/>
              </w:rPr>
              <w:t xml:space="preserve">effectiveness of </w:t>
            </w:r>
            <w:r w:rsidR="00813FC0">
              <w:rPr>
                <w:rFonts w:cstheme="minorHAnsi"/>
                <w:sz w:val="22"/>
                <w:szCs w:val="22"/>
              </w:rPr>
              <w:t>internal controls</w:t>
            </w:r>
          </w:p>
        </w:tc>
      </w:tr>
      <w:tr w:rsidR="00F60605" w:rsidRPr="00CF4E25" w14:paraId="4BA51E09" w14:textId="77777777" w:rsidTr="009F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116DA0F" w14:textId="7777777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Develop a risk management dashboard utilizing the new risk register</w:t>
            </w:r>
          </w:p>
          <w:p w14:paraId="584F04A0" w14:textId="1139B39D" w:rsidR="00F60605" w:rsidRPr="00813FC0" w:rsidRDefault="00F60605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A risk management dashboard </w:t>
            </w:r>
            <w:r w:rsidR="00463230">
              <w:rPr>
                <w:rFonts w:cs="Calibri"/>
                <w:b w:val="0"/>
                <w:bCs w:val="0"/>
                <w:sz w:val="22"/>
                <w:szCs w:val="22"/>
              </w:rPr>
              <w:t>has been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implemented (using business intelligence tools) to monitor and communicate information related to risk management, providing a visual interface to navigate the risk registers of the organization.</w:t>
            </w:r>
          </w:p>
          <w:p w14:paraId="3ABE716C" w14:textId="033A9D33" w:rsidR="00203FB8" w:rsidRPr="00813FC0" w:rsidRDefault="00203FB8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Th</w:t>
            </w:r>
            <w:r w:rsidR="00196908">
              <w:rPr>
                <w:rFonts w:cs="Calibri"/>
                <w:b w:val="0"/>
                <w:bCs w:val="0"/>
                <w:sz w:val="22"/>
                <w:szCs w:val="22"/>
              </w:rPr>
              <w:t>e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 dashboard contains a set of interactive pages that provide </w:t>
            </w:r>
            <w:r w:rsidR="006250A6">
              <w:rPr>
                <w:rFonts w:cs="Calibri"/>
                <w:b w:val="0"/>
                <w:bCs w:val="0"/>
                <w:sz w:val="22"/>
                <w:szCs w:val="22"/>
              </w:rPr>
              <w:t xml:space="preserve">snapshot views of </w:t>
            </w:r>
            <w:r w:rsidR="004111D4">
              <w:rPr>
                <w:rFonts w:cs="Calibri"/>
                <w:b w:val="0"/>
                <w:bCs w:val="0"/>
                <w:sz w:val="22"/>
                <w:szCs w:val="22"/>
              </w:rPr>
              <w:t xml:space="preserve">key risk management indicators (risk </w:t>
            </w:r>
            <w:r w:rsidR="0012513D">
              <w:rPr>
                <w:rFonts w:cs="Calibri"/>
                <w:b w:val="0"/>
                <w:bCs w:val="0"/>
                <w:sz w:val="22"/>
                <w:szCs w:val="22"/>
              </w:rPr>
              <w:t>score heat map</w:t>
            </w:r>
            <w:r w:rsidR="004111D4">
              <w:rPr>
                <w:rFonts w:cs="Calibri"/>
                <w:b w:val="0"/>
                <w:bCs w:val="0"/>
                <w:sz w:val="22"/>
                <w:szCs w:val="22"/>
              </w:rPr>
              <w:t xml:space="preserve">, </w:t>
            </w:r>
            <w:r w:rsidR="0012513D">
              <w:rPr>
                <w:rFonts w:cs="Calibri"/>
                <w:b w:val="0"/>
                <w:bCs w:val="0"/>
                <w:sz w:val="22"/>
                <w:szCs w:val="22"/>
              </w:rPr>
              <w:t xml:space="preserve">risk monitoring map, </w:t>
            </w:r>
            <w:r w:rsidR="00DA0955">
              <w:rPr>
                <w:rFonts w:cs="Calibri"/>
                <w:b w:val="0"/>
                <w:bCs w:val="0"/>
                <w:sz w:val="22"/>
                <w:szCs w:val="22"/>
              </w:rPr>
              <w:t xml:space="preserve">risks </w:t>
            </w:r>
            <w:r w:rsidR="00314F6F">
              <w:rPr>
                <w:rFonts w:cs="Calibri"/>
                <w:b w:val="0"/>
                <w:bCs w:val="0"/>
                <w:sz w:val="22"/>
                <w:szCs w:val="22"/>
              </w:rPr>
              <w:t>by risk owner, mitigation measures by risk response owner, etc.).</w:t>
            </w:r>
          </w:p>
          <w:p w14:paraId="0B1053A0" w14:textId="77777777" w:rsidR="00314F6F" w:rsidRPr="00813FC0" w:rsidRDefault="00314F6F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The dashboard is </w:t>
            </w:r>
            <w:r w:rsidR="00F047E7">
              <w:rPr>
                <w:rFonts w:cs="Calibri"/>
                <w:b w:val="0"/>
                <w:bCs w:val="0"/>
                <w:sz w:val="22"/>
                <w:szCs w:val="22"/>
              </w:rPr>
              <w:t>easily accessible through MS-Teams</w:t>
            </w:r>
            <w:r w:rsidR="00C11EC8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F047E7">
              <w:rPr>
                <w:rFonts w:cs="Calibri"/>
                <w:b w:val="0"/>
                <w:bCs w:val="0"/>
                <w:sz w:val="22"/>
                <w:szCs w:val="22"/>
              </w:rPr>
              <w:t>and can be further customized to each sector / department needs.</w:t>
            </w:r>
          </w:p>
          <w:p w14:paraId="0C64D8BA" w14:textId="7AAD56CF" w:rsidR="00C11EC8" w:rsidRDefault="00C11EC8" w:rsidP="00C11EC8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Action #</w:t>
            </w:r>
            <w:r w:rsidR="007542FE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 xml:space="preserve"> completed as of December 18</w:t>
            </w:r>
            <w:r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>, 2020.</w:t>
            </w:r>
          </w:p>
          <w:p w14:paraId="6CD6EB6F" w14:textId="1B1B8D81" w:rsidR="00C11EC8" w:rsidRPr="009F4E1A" w:rsidRDefault="00C11EC8" w:rsidP="00813FC0">
            <w:pPr>
              <w:pStyle w:val="ListParagraph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12E342" w14:textId="030B4BC6" w:rsidR="00F60605" w:rsidRPr="00CF4E25" w:rsidRDefault="009C0EC6" w:rsidP="00BF2F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Q4</w:t>
            </w:r>
            <w:r w:rsidRPr="00CF4E25">
              <w:rPr>
                <w:rFonts w:cstheme="minorHAnsi"/>
                <w:sz w:val="22"/>
                <w:szCs w:val="22"/>
              </w:rPr>
              <w:t xml:space="preserve"> </w:t>
            </w:r>
            <w:r w:rsidR="00F60605" w:rsidRPr="00CF4E25">
              <w:rPr>
                <w:rFonts w:cstheme="minorHAnsi"/>
                <w:sz w:val="22"/>
                <w:szCs w:val="22"/>
              </w:rPr>
              <w:t>2020</w:t>
            </w:r>
          </w:p>
        </w:tc>
      </w:tr>
      <w:tr w:rsidR="00F60605" w:rsidRPr="00CF4E25" w14:paraId="35B5E2F0" w14:textId="77777777" w:rsidTr="009F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87E2EEA" w14:textId="7777777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Strengthen the capacity of staff to manage risks</w:t>
            </w:r>
          </w:p>
          <w:p w14:paraId="5EE7CBCF" w14:textId="1815D409" w:rsidR="00F60605" w:rsidRPr="00813FC0" w:rsidRDefault="00F60605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Action item </w:t>
            </w:r>
            <w:r w:rsidR="00C11EC8">
              <w:rPr>
                <w:rFonts w:cs="Calibri"/>
                <w:b w:val="0"/>
                <w:bCs w:val="0"/>
                <w:sz w:val="22"/>
                <w:szCs w:val="22"/>
              </w:rPr>
              <w:t>has been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implemented in combination with point 4 above, leveraging training and risk management workshops to raise awareness and strengthen the capacity of managers to manage risks.</w:t>
            </w:r>
          </w:p>
          <w:p w14:paraId="7D829FD5" w14:textId="5E9D6667" w:rsidR="007542FE" w:rsidRDefault="007542FE" w:rsidP="007542F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Action #8 fully completed as of December 18</w:t>
            </w:r>
            <w:r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>, 2020.</w:t>
            </w:r>
          </w:p>
          <w:p w14:paraId="4B4E4E0A" w14:textId="4B2ED680" w:rsidR="007542FE" w:rsidRPr="00813FC0" w:rsidRDefault="007542FE" w:rsidP="00813FC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jc w:val="both"/>
              <w:textAlignment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14C428" w14:textId="6CC863C7" w:rsidR="00F60605" w:rsidRPr="00CF4E25" w:rsidRDefault="00804CEA" w:rsidP="00BF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F60605" w:rsidRPr="00CF4E25">
              <w:rPr>
                <w:rFonts w:cstheme="minorHAnsi"/>
                <w:sz w:val="22"/>
                <w:szCs w:val="22"/>
              </w:rPr>
              <w:t>nd of 2020</w:t>
            </w:r>
          </w:p>
        </w:tc>
      </w:tr>
      <w:tr w:rsidR="00F60605" w:rsidRPr="00CF4E25" w14:paraId="162F581C" w14:textId="77777777" w:rsidTr="009F4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DCFD1B4" w14:textId="7777777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Aim to embed risk management in the staff performance management system</w:t>
            </w:r>
          </w:p>
          <w:p w14:paraId="48ACA8ED" w14:textId="70ECD1C6" w:rsidR="00F60605" w:rsidRPr="00CF4E25" w:rsidRDefault="00F60605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>Developing integrated processes, systems and tools that enable the operational teams to feel empowered and in control of their risks support</w:t>
            </w:r>
            <w:r w:rsidR="00BA452E">
              <w:rPr>
                <w:rFonts w:cs="Calibri"/>
                <w:b w:val="0"/>
                <w:bCs w:val="0"/>
                <w:sz w:val="22"/>
                <w:szCs w:val="22"/>
              </w:rPr>
              <w:t>s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embedding risk management into the organisation.</w:t>
            </w:r>
          </w:p>
          <w:p w14:paraId="22D97154" w14:textId="66B4A986" w:rsidR="00F60605" w:rsidRPr="00CF4E25" w:rsidRDefault="00E56B64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As part of the project</w:t>
            </w:r>
            <w:r w:rsidR="00204551">
              <w:rPr>
                <w:rFonts w:cs="Calibri"/>
                <w:b w:val="0"/>
                <w:bCs w:val="0"/>
                <w:sz w:val="22"/>
                <w:szCs w:val="22"/>
              </w:rPr>
              <w:t xml:space="preserve"> implementation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>,</w:t>
            </w:r>
            <w:r w:rsidR="00204551">
              <w:rPr>
                <w:rFonts w:cs="Calibri"/>
                <w:b w:val="0"/>
                <w:bCs w:val="0"/>
                <w:sz w:val="22"/>
                <w:szCs w:val="22"/>
              </w:rPr>
              <w:t xml:space="preserve"> discussions were held with</w:t>
            </w:r>
            <w:r w:rsidR="00311BCE" w:rsidRPr="00CD1A48">
              <w:rPr>
                <w:rFonts w:cs="Calibri"/>
                <w:b w:val="0"/>
                <w:bCs w:val="0"/>
                <w:sz w:val="22"/>
                <w:szCs w:val="22"/>
              </w:rPr>
              <w:t xml:space="preserve"> HR</w:t>
            </w:r>
            <w:r w:rsidR="00204551">
              <w:rPr>
                <w:rFonts w:cs="Calibri"/>
                <w:b w:val="0"/>
                <w:bCs w:val="0"/>
                <w:sz w:val="22"/>
                <w:szCs w:val="22"/>
              </w:rPr>
              <w:t>MD</w:t>
            </w:r>
            <w:r w:rsidR="00311BCE" w:rsidRPr="00CD1A48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204551">
              <w:rPr>
                <w:rFonts w:cs="Calibri"/>
                <w:b w:val="0"/>
                <w:bCs w:val="0"/>
                <w:sz w:val="22"/>
                <w:szCs w:val="22"/>
              </w:rPr>
              <w:t>on</w:t>
            </w:r>
            <w:r w:rsidR="00311BCE" w:rsidRPr="00CD1A48">
              <w:rPr>
                <w:rFonts w:cs="Calibri"/>
                <w:b w:val="0"/>
                <w:bCs w:val="0"/>
                <w:sz w:val="22"/>
                <w:szCs w:val="22"/>
              </w:rPr>
              <w:t xml:space="preserve"> options on how </w:t>
            </w:r>
            <w:r w:rsidR="00204551">
              <w:rPr>
                <w:rFonts w:cs="Calibri"/>
                <w:b w:val="0"/>
                <w:bCs w:val="0"/>
                <w:sz w:val="22"/>
                <w:szCs w:val="22"/>
              </w:rPr>
              <w:t xml:space="preserve">to </w:t>
            </w:r>
            <w:r w:rsidR="00311BCE" w:rsidRPr="00CD1A48">
              <w:rPr>
                <w:rFonts w:cs="Calibri"/>
                <w:b w:val="0"/>
                <w:bCs w:val="0"/>
                <w:sz w:val="22"/>
                <w:szCs w:val="22"/>
              </w:rPr>
              <w:t xml:space="preserve">best integrate risk management in </w:t>
            </w:r>
            <w:r w:rsidR="007A5DFE">
              <w:rPr>
                <w:rFonts w:cs="Calibri"/>
                <w:b w:val="0"/>
                <w:bCs w:val="0"/>
                <w:sz w:val="22"/>
                <w:szCs w:val="22"/>
              </w:rPr>
              <w:t xml:space="preserve">the </w:t>
            </w:r>
            <w:r w:rsidR="00311BCE" w:rsidRPr="00CD1A48">
              <w:rPr>
                <w:rFonts w:cs="Calibri"/>
                <w:b w:val="0"/>
                <w:bCs w:val="0"/>
                <w:sz w:val="22"/>
                <w:szCs w:val="22"/>
              </w:rPr>
              <w:t>staff performance management</w:t>
            </w:r>
            <w:r w:rsidR="00F10B06">
              <w:rPr>
                <w:rFonts w:cs="Calibri"/>
                <w:b w:val="0"/>
                <w:bCs w:val="0"/>
                <w:sz w:val="22"/>
                <w:szCs w:val="22"/>
              </w:rPr>
              <w:t>.</w:t>
            </w:r>
            <w:r w:rsidR="00311BCE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F6060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Risk accountability and the ability to factor risk management into day-to-day decision-making in operations </w:t>
            </w:r>
            <w:r w:rsidR="00706A38">
              <w:rPr>
                <w:rFonts w:cs="Calibri"/>
                <w:b w:val="0"/>
                <w:bCs w:val="0"/>
                <w:sz w:val="22"/>
                <w:szCs w:val="22"/>
              </w:rPr>
              <w:t>ha</w:t>
            </w:r>
            <w:r w:rsidR="00311BCE">
              <w:rPr>
                <w:rFonts w:cs="Calibri"/>
                <w:b w:val="0"/>
                <w:bCs w:val="0"/>
                <w:sz w:val="22"/>
                <w:szCs w:val="22"/>
              </w:rPr>
              <w:t>ve</w:t>
            </w:r>
            <w:r w:rsidR="00706A38">
              <w:rPr>
                <w:rFonts w:cs="Calibri"/>
                <w:b w:val="0"/>
                <w:bCs w:val="0"/>
                <w:sz w:val="22"/>
                <w:szCs w:val="22"/>
              </w:rPr>
              <w:t xml:space="preserve"> been recalled </w:t>
            </w:r>
            <w:proofErr w:type="gramStart"/>
            <w:r w:rsidR="00706A38">
              <w:rPr>
                <w:rFonts w:cs="Calibri"/>
                <w:b w:val="0"/>
                <w:bCs w:val="0"/>
                <w:sz w:val="22"/>
                <w:szCs w:val="22"/>
              </w:rPr>
              <w:t>to</w:t>
            </w:r>
            <w:r w:rsidR="00706A38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  <w:r w:rsidR="00F60605" w:rsidRPr="00CF4E25">
              <w:rPr>
                <w:rFonts w:cs="Calibri"/>
                <w:b w:val="0"/>
                <w:bCs w:val="0"/>
                <w:sz w:val="22"/>
                <w:szCs w:val="22"/>
              </w:rPr>
              <w:t>be</w:t>
            </w:r>
            <w:proofErr w:type="gramEnd"/>
            <w:r w:rsidR="00F60605"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a core aspect of all individual performance management processes.</w:t>
            </w:r>
          </w:p>
          <w:p w14:paraId="2CD9278C" w14:textId="3315A392" w:rsidR="00F60605" w:rsidRPr="00813FC0" w:rsidRDefault="00175E9A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The n</w:t>
            </w:r>
            <w:r w:rsidR="00CD1A48" w:rsidRPr="00CD1A48">
              <w:rPr>
                <w:rFonts w:cs="Calibri"/>
                <w:b w:val="0"/>
                <w:bCs w:val="0"/>
                <w:sz w:val="22"/>
                <w:szCs w:val="22"/>
              </w:rPr>
              <w:t xml:space="preserve">ecessary amendments to the job descriptions and to </w:t>
            </w:r>
            <w:proofErr w:type="spellStart"/>
            <w:r w:rsidR="00CD1A48" w:rsidRPr="00CD1A48">
              <w:rPr>
                <w:rFonts w:cs="Calibri"/>
                <w:b w:val="0"/>
                <w:bCs w:val="0"/>
                <w:sz w:val="22"/>
                <w:szCs w:val="22"/>
              </w:rPr>
              <w:t>ePMDS</w:t>
            </w:r>
            <w:proofErr w:type="spellEnd"/>
            <w:r w:rsidR="00CD1A48" w:rsidRPr="00CD1A48">
              <w:rPr>
                <w:rFonts w:cs="Calibri"/>
                <w:b w:val="0"/>
                <w:bCs w:val="0"/>
                <w:sz w:val="22"/>
                <w:szCs w:val="22"/>
              </w:rPr>
              <w:t xml:space="preserve"> objective setting</w:t>
            </w:r>
            <w:r w:rsidR="00311BCE">
              <w:rPr>
                <w:rFonts w:cs="Calibri"/>
                <w:b w:val="0"/>
                <w:bCs w:val="0"/>
                <w:sz w:val="22"/>
                <w:szCs w:val="22"/>
              </w:rPr>
              <w:t xml:space="preserve"> were presented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 during the workshops, to be implemented in the next </w:t>
            </w:r>
            <w:r w:rsidR="00E56B64">
              <w:rPr>
                <w:rFonts w:cs="Calibri"/>
                <w:b w:val="0"/>
                <w:bCs w:val="0"/>
                <w:sz w:val="22"/>
                <w:szCs w:val="22"/>
              </w:rPr>
              <w:t>performance management cycle</w:t>
            </w:r>
            <w:r w:rsidR="00CD1A48" w:rsidRPr="00CD1A48">
              <w:rPr>
                <w:rFonts w:cs="Calibri"/>
                <w:b w:val="0"/>
                <w:bCs w:val="0"/>
                <w:sz w:val="22"/>
                <w:szCs w:val="22"/>
              </w:rPr>
              <w:t>.</w:t>
            </w:r>
          </w:p>
          <w:p w14:paraId="1C9ECE6D" w14:textId="10B0A1A8" w:rsidR="00993121" w:rsidRDefault="00993121" w:rsidP="00993121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contextualSpacing w:val="0"/>
              <w:jc w:val="both"/>
              <w:textAlignment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Action #9 completed as of December 18</w:t>
            </w:r>
            <w:r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>, 2020</w:t>
            </w:r>
            <w:r w:rsidR="007E03C5">
              <w:rPr>
                <w:rFonts w:cstheme="minorHAnsi"/>
                <w:sz w:val="22"/>
                <w:szCs w:val="22"/>
              </w:rPr>
              <w:t xml:space="preserve"> in terms of </w:t>
            </w:r>
            <w:r w:rsidR="0073374B">
              <w:rPr>
                <w:rFonts w:cstheme="minorHAnsi"/>
                <w:sz w:val="22"/>
                <w:szCs w:val="22"/>
              </w:rPr>
              <w:t xml:space="preserve">the </w:t>
            </w:r>
            <w:r w:rsidR="00D66A27">
              <w:rPr>
                <w:rFonts w:cstheme="minorHAnsi"/>
                <w:sz w:val="22"/>
                <w:szCs w:val="22"/>
              </w:rPr>
              <w:t xml:space="preserve">current </w:t>
            </w:r>
            <w:r w:rsidR="007E03C5">
              <w:rPr>
                <w:rFonts w:cstheme="minorHAnsi"/>
                <w:sz w:val="22"/>
                <w:szCs w:val="22"/>
              </w:rPr>
              <w:t>project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D66A27">
              <w:rPr>
                <w:rFonts w:cstheme="minorHAnsi"/>
                <w:sz w:val="22"/>
                <w:szCs w:val="22"/>
              </w:rPr>
              <w:t xml:space="preserve"> Final implementation to be coordinated by HR</w:t>
            </w:r>
            <w:r w:rsidR="00B21F3A">
              <w:rPr>
                <w:rFonts w:cstheme="minorHAnsi"/>
                <w:sz w:val="22"/>
                <w:szCs w:val="22"/>
              </w:rPr>
              <w:t>MD</w:t>
            </w:r>
            <w:r w:rsidR="00D66A27">
              <w:rPr>
                <w:rFonts w:cstheme="minorHAnsi"/>
                <w:sz w:val="22"/>
                <w:szCs w:val="22"/>
              </w:rPr>
              <w:t xml:space="preserve"> by June 2021.</w:t>
            </w:r>
          </w:p>
          <w:p w14:paraId="0ADD6635" w14:textId="70B36290" w:rsidR="00993121" w:rsidRPr="009F4E1A" w:rsidRDefault="00993121" w:rsidP="00813FC0">
            <w:pPr>
              <w:pStyle w:val="ListParagraph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A6A5B1" w14:textId="0BCE2452" w:rsidR="00F60605" w:rsidRPr="00CF4E25" w:rsidRDefault="00804CEA" w:rsidP="00BF2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F60605" w:rsidRPr="00CF4E25">
              <w:rPr>
                <w:rFonts w:cstheme="minorHAnsi"/>
                <w:sz w:val="22"/>
                <w:szCs w:val="22"/>
              </w:rPr>
              <w:t>nd of 2020</w:t>
            </w:r>
          </w:p>
        </w:tc>
      </w:tr>
      <w:tr w:rsidR="00A87893" w:rsidRPr="00CF4E25" w14:paraId="3E61B194" w14:textId="77777777" w:rsidTr="009F4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153F7B9" w14:textId="77777777" w:rsidR="00F60605" w:rsidRPr="00CF4E25" w:rsidRDefault="00F60605" w:rsidP="00BF2FBC">
            <w:pPr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ind w:left="360"/>
              <w:jc w:val="both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CF4E25">
              <w:rPr>
                <w:rFonts w:cs="Calibri"/>
                <w:color w:val="000000"/>
                <w:sz w:val="22"/>
                <w:szCs w:val="22"/>
              </w:rPr>
              <w:t>Systematically communicate and report on risk information to membership</w:t>
            </w:r>
          </w:p>
          <w:p w14:paraId="4AB96CFD" w14:textId="1D0A33C8" w:rsidR="00F60605" w:rsidRPr="00813FC0" w:rsidRDefault="00F60605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BF2FBC">
              <w:rPr>
                <w:rFonts w:cs="Calibri"/>
                <w:b w:val="0"/>
                <w:bCs w:val="0"/>
                <w:spacing w:val="2"/>
                <w:sz w:val="22"/>
                <w:szCs w:val="22"/>
              </w:rPr>
              <w:t>The secretariat will continue reporting on risk management arrangements to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 CWG-FHR, while reports on the updated risk register and the risk management dashboard will </w:t>
            </w:r>
            <w:r w:rsidR="00692D45">
              <w:rPr>
                <w:rFonts w:cs="Calibri"/>
                <w:b w:val="0"/>
                <w:bCs w:val="0"/>
                <w:sz w:val="22"/>
                <w:szCs w:val="22"/>
              </w:rPr>
              <w:t xml:space="preserve">continue to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 xml:space="preserve">be presented </w:t>
            </w:r>
            <w:r w:rsidR="00692D45">
              <w:rPr>
                <w:rFonts w:cs="Calibri"/>
                <w:b w:val="0"/>
                <w:bCs w:val="0"/>
                <w:sz w:val="22"/>
                <w:szCs w:val="22"/>
              </w:rPr>
              <w:t xml:space="preserve">regularly </w:t>
            </w:r>
            <w:r w:rsidRPr="00CF4E25">
              <w:rPr>
                <w:rFonts w:cs="Calibri"/>
                <w:b w:val="0"/>
                <w:bCs w:val="0"/>
                <w:sz w:val="22"/>
                <w:szCs w:val="22"/>
              </w:rPr>
              <w:t>to membership.</w:t>
            </w:r>
          </w:p>
          <w:p w14:paraId="5AE2BC63" w14:textId="1B04E7B3" w:rsidR="00A76CAF" w:rsidRPr="00813FC0" w:rsidRDefault="001C4DE4" w:rsidP="00BF2FB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lastRenderedPageBreak/>
              <w:t>Concretely, th</w:t>
            </w:r>
            <w:r w:rsidR="00E847F7">
              <w:rPr>
                <w:rFonts w:cs="Calibri"/>
                <w:b w:val="0"/>
                <w:bCs w:val="0"/>
                <w:sz w:val="22"/>
                <w:szCs w:val="22"/>
              </w:rPr>
              <w:t xml:space="preserve">is final 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action plan </w:t>
            </w:r>
            <w:r w:rsidR="00AD73A8">
              <w:rPr>
                <w:rFonts w:cs="Calibri"/>
                <w:b w:val="0"/>
                <w:bCs w:val="0"/>
                <w:sz w:val="22"/>
                <w:szCs w:val="22"/>
              </w:rPr>
              <w:t>status is reported to CWG-FHR</w:t>
            </w:r>
            <w:r w:rsidR="00F857C7">
              <w:rPr>
                <w:rFonts w:cs="Calibri"/>
                <w:b w:val="0"/>
                <w:bCs w:val="0"/>
                <w:sz w:val="22"/>
                <w:szCs w:val="22"/>
              </w:rPr>
              <w:t xml:space="preserve">, including an overview of the </w:t>
            </w:r>
            <w:r w:rsidR="009A14FF">
              <w:rPr>
                <w:rFonts w:cs="Calibri"/>
                <w:b w:val="0"/>
                <w:bCs w:val="0"/>
                <w:sz w:val="22"/>
                <w:szCs w:val="22"/>
              </w:rPr>
              <w:t xml:space="preserve">current snapshot of the </w:t>
            </w:r>
            <w:r w:rsidR="00F857C7">
              <w:rPr>
                <w:rFonts w:cs="Calibri"/>
                <w:b w:val="0"/>
                <w:bCs w:val="0"/>
                <w:sz w:val="22"/>
                <w:szCs w:val="22"/>
              </w:rPr>
              <w:t xml:space="preserve">ITU </w:t>
            </w:r>
            <w:r w:rsidR="009A14FF">
              <w:rPr>
                <w:rFonts w:cs="Calibri"/>
                <w:b w:val="0"/>
                <w:bCs w:val="0"/>
                <w:sz w:val="22"/>
                <w:szCs w:val="22"/>
              </w:rPr>
              <w:t xml:space="preserve">risk </w:t>
            </w:r>
            <w:r w:rsidR="00F857C7">
              <w:rPr>
                <w:rFonts w:cs="Calibri"/>
                <w:b w:val="0"/>
                <w:bCs w:val="0"/>
                <w:sz w:val="22"/>
                <w:szCs w:val="22"/>
              </w:rPr>
              <w:t>management dashboard (Annex</w:t>
            </w:r>
            <w:r w:rsidR="00FC7361">
              <w:rPr>
                <w:rFonts w:cs="Calibri"/>
                <w:b w:val="0"/>
                <w:bCs w:val="0"/>
                <w:sz w:val="22"/>
                <w:szCs w:val="22"/>
              </w:rPr>
              <w:t>: Overview of ITU Risk Management Dashboard)</w:t>
            </w:r>
            <w:r w:rsidR="009A14FF">
              <w:rPr>
                <w:rFonts w:cs="Calibri"/>
                <w:b w:val="0"/>
                <w:bCs w:val="0"/>
                <w:sz w:val="22"/>
                <w:szCs w:val="22"/>
              </w:rPr>
              <w:t>.</w:t>
            </w:r>
          </w:p>
          <w:p w14:paraId="51C7C87F" w14:textId="49D5F075" w:rsidR="00620F0F" w:rsidRPr="002A5ADA" w:rsidRDefault="00F74941" w:rsidP="00D0428B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contextualSpacing w:val="0"/>
              <w:jc w:val="both"/>
              <w:textAlignment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Action #10 completed as of December 18</w:t>
            </w:r>
            <w:r w:rsidRPr="006F6807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>, 2020</w:t>
            </w:r>
          </w:p>
          <w:p w14:paraId="7FE31428" w14:textId="21B9037E" w:rsidR="00FC7361" w:rsidRPr="002A5ADA" w:rsidRDefault="00FC7361" w:rsidP="002A5A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40"/>
              <w:jc w:val="both"/>
              <w:textAlignment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89467B" w14:textId="77777777" w:rsidR="00F60605" w:rsidRPr="00CF4E25" w:rsidRDefault="00F60605" w:rsidP="00BF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F4E25">
              <w:rPr>
                <w:rFonts w:cstheme="minorHAnsi"/>
                <w:sz w:val="22"/>
                <w:szCs w:val="22"/>
              </w:rPr>
              <w:lastRenderedPageBreak/>
              <w:t>Ongoing – Council 2020</w:t>
            </w:r>
          </w:p>
        </w:tc>
      </w:tr>
    </w:tbl>
    <w:p w14:paraId="4F951973" w14:textId="71AF2C92" w:rsidR="00EB473A" w:rsidRDefault="00EB473A" w:rsidP="00B0012C">
      <w:pPr>
        <w:pStyle w:val="Heading2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0" w:firstLine="0"/>
        <w:jc w:val="both"/>
      </w:pPr>
    </w:p>
    <w:p w14:paraId="48393703" w14:textId="4D8199F8" w:rsidR="00F60605" w:rsidRPr="008E093D" w:rsidRDefault="00F60605" w:rsidP="00F07156">
      <w:pPr>
        <w:pStyle w:val="ListParagraph"/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spacing w:after="120"/>
        <w:ind w:left="714" w:hanging="357"/>
        <w:contextualSpacing w:val="0"/>
        <w:jc w:val="both"/>
        <w:textAlignment w:val="auto"/>
        <w:rPr>
          <w:sz w:val="22"/>
          <w:szCs w:val="22"/>
        </w:rPr>
      </w:pPr>
      <w:r w:rsidRPr="008E093D">
        <w:rPr>
          <w:sz w:val="22"/>
          <w:szCs w:val="22"/>
        </w:rPr>
        <w:br w:type="page"/>
      </w:r>
    </w:p>
    <w:p w14:paraId="35B9331E" w14:textId="734366DA" w:rsidR="00BF2FBC" w:rsidRDefault="00F967A3" w:rsidP="00BF2FBC">
      <w:pPr>
        <w:pStyle w:val="AnnexNo"/>
      </w:pPr>
      <w:r w:rsidRPr="00F60605">
        <w:lastRenderedPageBreak/>
        <w:t>ANNEX</w:t>
      </w:r>
      <w:r w:rsidR="002D2592">
        <w:t xml:space="preserve">: </w:t>
      </w:r>
      <w:r w:rsidR="00FC7361">
        <w:t xml:space="preserve">Overview of the itu </w:t>
      </w:r>
      <w:r w:rsidR="002D2592">
        <w:t>RIsk management dashboard</w:t>
      </w:r>
    </w:p>
    <w:p w14:paraId="1C7B08CD" w14:textId="7889A177" w:rsidR="001F2C3D" w:rsidRDefault="000B4F81" w:rsidP="0002780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5112E">
        <w:rPr>
          <w:sz w:val="22"/>
          <w:szCs w:val="22"/>
        </w:rPr>
        <w:t xml:space="preserve">n overview </w:t>
      </w:r>
      <w:r>
        <w:rPr>
          <w:sz w:val="22"/>
          <w:szCs w:val="22"/>
        </w:rPr>
        <w:t xml:space="preserve">of the risk management dashboard </w:t>
      </w:r>
      <w:r w:rsidR="009A7740">
        <w:rPr>
          <w:sz w:val="22"/>
          <w:szCs w:val="22"/>
        </w:rPr>
        <w:t xml:space="preserve">with </w:t>
      </w:r>
      <w:r w:rsidR="0085112E">
        <w:rPr>
          <w:sz w:val="22"/>
          <w:szCs w:val="22"/>
        </w:rPr>
        <w:t xml:space="preserve">a snapshot of the </w:t>
      </w:r>
      <w:r w:rsidR="009A7740">
        <w:rPr>
          <w:sz w:val="22"/>
          <w:szCs w:val="22"/>
        </w:rPr>
        <w:t>latest data</w:t>
      </w:r>
      <w:r w:rsidR="00743107">
        <w:rPr>
          <w:sz w:val="22"/>
          <w:szCs w:val="22"/>
        </w:rPr>
        <w:t xml:space="preserve"> included in the </w:t>
      </w:r>
      <w:r w:rsidR="00FC7361">
        <w:rPr>
          <w:sz w:val="22"/>
          <w:szCs w:val="22"/>
        </w:rPr>
        <w:t xml:space="preserve">ITU-wide </w:t>
      </w:r>
      <w:r w:rsidR="00743107">
        <w:rPr>
          <w:sz w:val="22"/>
          <w:szCs w:val="22"/>
        </w:rPr>
        <w:t>risk register</w:t>
      </w:r>
      <w:r w:rsidR="009A7740">
        <w:rPr>
          <w:sz w:val="22"/>
          <w:szCs w:val="22"/>
        </w:rPr>
        <w:t xml:space="preserve"> will be added </w:t>
      </w:r>
      <w:r w:rsidR="002D2592">
        <w:rPr>
          <w:sz w:val="22"/>
          <w:szCs w:val="22"/>
        </w:rPr>
        <w:t>to the presentation to CWG-FHR.</w:t>
      </w:r>
    </w:p>
    <w:p w14:paraId="32B9F374" w14:textId="77777777" w:rsidR="00F07156" w:rsidRDefault="00F07156" w:rsidP="003C273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14:paraId="7FAD70D6" w14:textId="77777777" w:rsidR="00357DE9" w:rsidRPr="000C1948" w:rsidRDefault="00357DE9" w:rsidP="00BF2F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40"/>
        <w:jc w:val="center"/>
        <w:rPr>
          <w:sz w:val="22"/>
          <w:szCs w:val="22"/>
        </w:rPr>
      </w:pPr>
    </w:p>
    <w:sectPr w:rsidR="00357DE9" w:rsidRPr="000C1948" w:rsidSect="008120C2">
      <w:headerReference w:type="default" r:id="rId17"/>
      <w:footerReference w:type="default" r:id="rId18"/>
      <w:pgSz w:w="11907" w:h="16834"/>
      <w:pgMar w:top="1134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E8BD1" w14:textId="77777777" w:rsidR="00085838" w:rsidRDefault="00085838">
      <w:r>
        <w:separator/>
      </w:r>
    </w:p>
  </w:endnote>
  <w:endnote w:type="continuationSeparator" w:id="0">
    <w:p w14:paraId="747D76AE" w14:textId="77777777" w:rsidR="00085838" w:rsidRDefault="00085838">
      <w:r>
        <w:continuationSeparator/>
      </w:r>
    </w:p>
  </w:endnote>
  <w:endnote w:type="continuationNotice" w:id="1">
    <w:p w14:paraId="6666F9C0" w14:textId="77777777" w:rsidR="00085838" w:rsidRDefault="000858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2BAA3" w14:textId="023F41F5" w:rsidR="00DC6D2A" w:rsidRPr="008120C2" w:rsidRDefault="00DC6D2A" w:rsidP="00173CBA">
    <w:pPr>
      <w:pStyle w:val="Footer"/>
      <w:tabs>
        <w:tab w:val="clear" w:pos="5954"/>
        <w:tab w:val="left" w:pos="5103"/>
      </w:tabs>
      <w:rPr>
        <w:color w:val="BFBF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0DF63" w14:textId="77777777" w:rsidR="00085838" w:rsidRDefault="00085838">
      <w:r>
        <w:t>____________________</w:t>
      </w:r>
    </w:p>
  </w:footnote>
  <w:footnote w:type="continuationSeparator" w:id="0">
    <w:p w14:paraId="6ABFE879" w14:textId="77777777" w:rsidR="00085838" w:rsidRDefault="00085838">
      <w:r>
        <w:continuationSeparator/>
      </w:r>
    </w:p>
  </w:footnote>
  <w:footnote w:type="continuationNotice" w:id="1">
    <w:p w14:paraId="2907D3BA" w14:textId="77777777" w:rsidR="00085838" w:rsidRDefault="0008583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F969" w14:textId="77777777" w:rsidR="00DC6D2A" w:rsidRPr="008120C2" w:rsidRDefault="00DC6D2A" w:rsidP="00CE433C">
    <w:pPr>
      <w:pStyle w:val="Header"/>
      <w:rPr>
        <w:sz w:val="22"/>
        <w:szCs w:val="22"/>
      </w:rPr>
    </w:pPr>
    <w:r w:rsidRPr="008120C2">
      <w:rPr>
        <w:sz w:val="22"/>
        <w:szCs w:val="22"/>
      </w:rPr>
      <w:fldChar w:fldCharType="begin"/>
    </w:r>
    <w:r w:rsidRPr="008120C2">
      <w:rPr>
        <w:sz w:val="22"/>
        <w:szCs w:val="22"/>
      </w:rPr>
      <w:instrText>PAGE</w:instrText>
    </w:r>
    <w:r w:rsidRPr="008120C2">
      <w:rPr>
        <w:sz w:val="22"/>
        <w:szCs w:val="22"/>
      </w:rPr>
      <w:fldChar w:fldCharType="separate"/>
    </w:r>
    <w:r w:rsidRPr="008120C2">
      <w:rPr>
        <w:noProof/>
        <w:sz w:val="22"/>
        <w:szCs w:val="22"/>
      </w:rPr>
      <w:t>2</w:t>
    </w:r>
    <w:r w:rsidRPr="008120C2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A0BBBA0"/>
    <w:multiLevelType w:val="hybridMultilevel"/>
    <w:tmpl w:val="4977D2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32F40"/>
    <w:multiLevelType w:val="hybridMultilevel"/>
    <w:tmpl w:val="D042F6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26006B"/>
    <w:multiLevelType w:val="hybridMultilevel"/>
    <w:tmpl w:val="3996799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17B5"/>
    <w:multiLevelType w:val="hybridMultilevel"/>
    <w:tmpl w:val="815AD030"/>
    <w:lvl w:ilvl="0" w:tplc="04090003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5" w15:restartNumberingAfterBreak="0">
    <w:nsid w:val="0D8B3C7D"/>
    <w:multiLevelType w:val="hybridMultilevel"/>
    <w:tmpl w:val="E1D2EC26"/>
    <w:lvl w:ilvl="0" w:tplc="BE8ED83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4FF2"/>
    <w:multiLevelType w:val="hybridMultilevel"/>
    <w:tmpl w:val="963E2E04"/>
    <w:lvl w:ilvl="0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7" w15:restartNumberingAfterBreak="0">
    <w:nsid w:val="10E004E0"/>
    <w:multiLevelType w:val="hybridMultilevel"/>
    <w:tmpl w:val="185E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547D"/>
    <w:multiLevelType w:val="hybridMultilevel"/>
    <w:tmpl w:val="E7AE7F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1244C"/>
    <w:multiLevelType w:val="hybridMultilevel"/>
    <w:tmpl w:val="4C26E0C0"/>
    <w:lvl w:ilvl="0" w:tplc="11289C5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F32E6"/>
    <w:multiLevelType w:val="hybridMultilevel"/>
    <w:tmpl w:val="8EF00058"/>
    <w:lvl w:ilvl="0" w:tplc="E014DB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EB122F"/>
    <w:multiLevelType w:val="hybridMultilevel"/>
    <w:tmpl w:val="33C45834"/>
    <w:lvl w:ilvl="0" w:tplc="A1CA3D96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012A7"/>
    <w:multiLevelType w:val="hybridMultilevel"/>
    <w:tmpl w:val="AD5C4D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30890"/>
    <w:multiLevelType w:val="hybridMultilevel"/>
    <w:tmpl w:val="BEBA9DC0"/>
    <w:lvl w:ilvl="0" w:tplc="D766065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1487D"/>
    <w:multiLevelType w:val="multilevel"/>
    <w:tmpl w:val="B464E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285ED0"/>
    <w:multiLevelType w:val="hybridMultilevel"/>
    <w:tmpl w:val="C5A85F3A"/>
    <w:lvl w:ilvl="0" w:tplc="502E6A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93079"/>
    <w:multiLevelType w:val="hybridMultilevel"/>
    <w:tmpl w:val="E22689E8"/>
    <w:lvl w:ilvl="0" w:tplc="075A565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C374A"/>
    <w:multiLevelType w:val="multilevel"/>
    <w:tmpl w:val="AD50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C1667"/>
    <w:multiLevelType w:val="multilevel"/>
    <w:tmpl w:val="E196B7CA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19" w15:restartNumberingAfterBreak="0">
    <w:nsid w:val="5302DBE5"/>
    <w:multiLevelType w:val="hybridMultilevel"/>
    <w:tmpl w:val="51A86C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6997E6F"/>
    <w:multiLevelType w:val="hybridMultilevel"/>
    <w:tmpl w:val="20780FDC"/>
    <w:lvl w:ilvl="0" w:tplc="D8667258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A4B53"/>
    <w:multiLevelType w:val="hybridMultilevel"/>
    <w:tmpl w:val="799E47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D75D17"/>
    <w:multiLevelType w:val="hybridMultilevel"/>
    <w:tmpl w:val="05968CC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985367"/>
    <w:multiLevelType w:val="hybridMultilevel"/>
    <w:tmpl w:val="A970B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710B8E"/>
    <w:multiLevelType w:val="hybridMultilevel"/>
    <w:tmpl w:val="696002C6"/>
    <w:lvl w:ilvl="0" w:tplc="35546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9"/>
  </w:num>
  <w:num w:numId="10">
    <w:abstractNumId w:val="21"/>
  </w:num>
  <w:num w:numId="11">
    <w:abstractNumId w:val="5"/>
  </w:num>
  <w:num w:numId="12">
    <w:abstractNumId w:val="17"/>
    <w:lvlOverride w:ilvl="0">
      <w:startOverride w:val="1"/>
    </w:lvlOverride>
  </w:num>
  <w:num w:numId="13">
    <w:abstractNumId w:val="0"/>
  </w:num>
  <w:num w:numId="14">
    <w:abstractNumId w:val="19"/>
  </w:num>
  <w:num w:numId="15">
    <w:abstractNumId w:val="12"/>
  </w:num>
  <w:num w:numId="16">
    <w:abstractNumId w:val="2"/>
  </w:num>
  <w:num w:numId="17">
    <w:abstractNumId w:val="15"/>
  </w:num>
  <w:num w:numId="18">
    <w:abstractNumId w:val="24"/>
  </w:num>
  <w:num w:numId="19">
    <w:abstractNumId w:val="8"/>
  </w:num>
  <w:num w:numId="20">
    <w:abstractNumId w:val="23"/>
  </w:num>
  <w:num w:numId="21">
    <w:abstractNumId w:val="6"/>
  </w:num>
  <w:num w:numId="22">
    <w:abstractNumId w:val="10"/>
  </w:num>
  <w:num w:numId="23">
    <w:abstractNumId w:val="22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69"/>
    <w:rsid w:val="00005813"/>
    <w:rsid w:val="00005DE3"/>
    <w:rsid w:val="0002025B"/>
    <w:rsid w:val="000210D4"/>
    <w:rsid w:val="00025470"/>
    <w:rsid w:val="0002780F"/>
    <w:rsid w:val="00027D22"/>
    <w:rsid w:val="00031706"/>
    <w:rsid w:val="00044619"/>
    <w:rsid w:val="00051904"/>
    <w:rsid w:val="00051DDF"/>
    <w:rsid w:val="000568D1"/>
    <w:rsid w:val="00063016"/>
    <w:rsid w:val="0006536D"/>
    <w:rsid w:val="00066795"/>
    <w:rsid w:val="00076AF6"/>
    <w:rsid w:val="00085751"/>
    <w:rsid w:val="00085838"/>
    <w:rsid w:val="00085CF2"/>
    <w:rsid w:val="000906A9"/>
    <w:rsid w:val="000A27D0"/>
    <w:rsid w:val="000B15B8"/>
    <w:rsid w:val="000B1705"/>
    <w:rsid w:val="000B4F81"/>
    <w:rsid w:val="000B5A4A"/>
    <w:rsid w:val="000B77EA"/>
    <w:rsid w:val="000C064A"/>
    <w:rsid w:val="000C0BA1"/>
    <w:rsid w:val="000C1948"/>
    <w:rsid w:val="000C4AA9"/>
    <w:rsid w:val="000D56F7"/>
    <w:rsid w:val="000D75B2"/>
    <w:rsid w:val="000E7514"/>
    <w:rsid w:val="000E7E55"/>
    <w:rsid w:val="000F16D8"/>
    <w:rsid w:val="00103C48"/>
    <w:rsid w:val="00105DF9"/>
    <w:rsid w:val="001121F5"/>
    <w:rsid w:val="0012513D"/>
    <w:rsid w:val="00125ACE"/>
    <w:rsid w:val="001400DC"/>
    <w:rsid w:val="00140CE1"/>
    <w:rsid w:val="0014178C"/>
    <w:rsid w:val="001432A9"/>
    <w:rsid w:val="00143543"/>
    <w:rsid w:val="00152D64"/>
    <w:rsid w:val="00153765"/>
    <w:rsid w:val="001540CF"/>
    <w:rsid w:val="00163F27"/>
    <w:rsid w:val="0016447C"/>
    <w:rsid w:val="00173CBA"/>
    <w:rsid w:val="00174D8F"/>
    <w:rsid w:val="0017539C"/>
    <w:rsid w:val="00175844"/>
    <w:rsid w:val="00175AC2"/>
    <w:rsid w:val="00175E9A"/>
    <w:rsid w:val="0017609F"/>
    <w:rsid w:val="00181315"/>
    <w:rsid w:val="00183DD5"/>
    <w:rsid w:val="001842FB"/>
    <w:rsid w:val="00184715"/>
    <w:rsid w:val="0019125D"/>
    <w:rsid w:val="00196908"/>
    <w:rsid w:val="00196F15"/>
    <w:rsid w:val="001A6B84"/>
    <w:rsid w:val="001B02EA"/>
    <w:rsid w:val="001B4620"/>
    <w:rsid w:val="001B4BCC"/>
    <w:rsid w:val="001B4D53"/>
    <w:rsid w:val="001B7C95"/>
    <w:rsid w:val="001C1E47"/>
    <w:rsid w:val="001C2C3E"/>
    <w:rsid w:val="001C4DE4"/>
    <w:rsid w:val="001C5069"/>
    <w:rsid w:val="001C628E"/>
    <w:rsid w:val="001C69EF"/>
    <w:rsid w:val="001C7307"/>
    <w:rsid w:val="001C7EBD"/>
    <w:rsid w:val="001E0F7B"/>
    <w:rsid w:val="001E7AF7"/>
    <w:rsid w:val="001F2C3D"/>
    <w:rsid w:val="001F43C9"/>
    <w:rsid w:val="001F607F"/>
    <w:rsid w:val="001F6C39"/>
    <w:rsid w:val="00203FB8"/>
    <w:rsid w:val="00204551"/>
    <w:rsid w:val="002119FD"/>
    <w:rsid w:val="002130E0"/>
    <w:rsid w:val="00220C74"/>
    <w:rsid w:val="00221178"/>
    <w:rsid w:val="00221E7E"/>
    <w:rsid w:val="00222D2D"/>
    <w:rsid w:val="002245EE"/>
    <w:rsid w:val="0023178A"/>
    <w:rsid w:val="00233373"/>
    <w:rsid w:val="00236951"/>
    <w:rsid w:val="00237AA9"/>
    <w:rsid w:val="00245174"/>
    <w:rsid w:val="0024570E"/>
    <w:rsid w:val="0026131B"/>
    <w:rsid w:val="00261786"/>
    <w:rsid w:val="002641B7"/>
    <w:rsid w:val="00264425"/>
    <w:rsid w:val="00265875"/>
    <w:rsid w:val="0027303B"/>
    <w:rsid w:val="00274CD8"/>
    <w:rsid w:val="0028109B"/>
    <w:rsid w:val="00283A7E"/>
    <w:rsid w:val="00284A65"/>
    <w:rsid w:val="00291E12"/>
    <w:rsid w:val="00293854"/>
    <w:rsid w:val="002A1A71"/>
    <w:rsid w:val="002A2188"/>
    <w:rsid w:val="002A5ADA"/>
    <w:rsid w:val="002B1F58"/>
    <w:rsid w:val="002B4DFA"/>
    <w:rsid w:val="002C0632"/>
    <w:rsid w:val="002C1C7A"/>
    <w:rsid w:val="002C1DEE"/>
    <w:rsid w:val="002D2592"/>
    <w:rsid w:val="002F4A14"/>
    <w:rsid w:val="002F649C"/>
    <w:rsid w:val="0030160F"/>
    <w:rsid w:val="00301698"/>
    <w:rsid w:val="00301E1E"/>
    <w:rsid w:val="00307886"/>
    <w:rsid w:val="00307AAE"/>
    <w:rsid w:val="003107B7"/>
    <w:rsid w:val="00310E98"/>
    <w:rsid w:val="00311BCE"/>
    <w:rsid w:val="00314F6F"/>
    <w:rsid w:val="00315F4D"/>
    <w:rsid w:val="0032249F"/>
    <w:rsid w:val="00322D0D"/>
    <w:rsid w:val="00330CC6"/>
    <w:rsid w:val="00331E5C"/>
    <w:rsid w:val="0033708D"/>
    <w:rsid w:val="0034004D"/>
    <w:rsid w:val="00343222"/>
    <w:rsid w:val="00345893"/>
    <w:rsid w:val="00350166"/>
    <w:rsid w:val="00357DE9"/>
    <w:rsid w:val="0036086F"/>
    <w:rsid w:val="003662D1"/>
    <w:rsid w:val="00367E1A"/>
    <w:rsid w:val="0037613F"/>
    <w:rsid w:val="00385E13"/>
    <w:rsid w:val="003928C5"/>
    <w:rsid w:val="003942D4"/>
    <w:rsid w:val="003958A8"/>
    <w:rsid w:val="003970BC"/>
    <w:rsid w:val="003A0613"/>
    <w:rsid w:val="003A2071"/>
    <w:rsid w:val="003A385C"/>
    <w:rsid w:val="003B4259"/>
    <w:rsid w:val="003C1EFF"/>
    <w:rsid w:val="003C2533"/>
    <w:rsid w:val="003C2734"/>
    <w:rsid w:val="003C6A36"/>
    <w:rsid w:val="003C7FC7"/>
    <w:rsid w:val="003D080C"/>
    <w:rsid w:val="003D3E69"/>
    <w:rsid w:val="003E4793"/>
    <w:rsid w:val="003E5D0A"/>
    <w:rsid w:val="003F1B4E"/>
    <w:rsid w:val="0040435A"/>
    <w:rsid w:val="00404EC4"/>
    <w:rsid w:val="004111D4"/>
    <w:rsid w:val="004117BA"/>
    <w:rsid w:val="004122E6"/>
    <w:rsid w:val="00413DA7"/>
    <w:rsid w:val="00414A00"/>
    <w:rsid w:val="004153FF"/>
    <w:rsid w:val="00416A24"/>
    <w:rsid w:val="00423CD4"/>
    <w:rsid w:val="00431C2B"/>
    <w:rsid w:val="00431D9E"/>
    <w:rsid w:val="00433CE8"/>
    <w:rsid w:val="00434A5C"/>
    <w:rsid w:val="004402F1"/>
    <w:rsid w:val="00441FAD"/>
    <w:rsid w:val="004420A8"/>
    <w:rsid w:val="004426CF"/>
    <w:rsid w:val="00445CC3"/>
    <w:rsid w:val="004544D9"/>
    <w:rsid w:val="00456745"/>
    <w:rsid w:val="00462A87"/>
    <w:rsid w:val="00463230"/>
    <w:rsid w:val="00473C64"/>
    <w:rsid w:val="00474D52"/>
    <w:rsid w:val="00477F2C"/>
    <w:rsid w:val="00477F90"/>
    <w:rsid w:val="00480652"/>
    <w:rsid w:val="004877CC"/>
    <w:rsid w:val="004907F9"/>
    <w:rsid w:val="00490AA5"/>
    <w:rsid w:val="00490E72"/>
    <w:rsid w:val="00491157"/>
    <w:rsid w:val="004921C8"/>
    <w:rsid w:val="00492A33"/>
    <w:rsid w:val="00494605"/>
    <w:rsid w:val="00495672"/>
    <w:rsid w:val="00497B31"/>
    <w:rsid w:val="004A0E2F"/>
    <w:rsid w:val="004A0E35"/>
    <w:rsid w:val="004A1201"/>
    <w:rsid w:val="004A2719"/>
    <w:rsid w:val="004A6570"/>
    <w:rsid w:val="004A6F47"/>
    <w:rsid w:val="004A7FA5"/>
    <w:rsid w:val="004B3812"/>
    <w:rsid w:val="004B63C1"/>
    <w:rsid w:val="004D1851"/>
    <w:rsid w:val="004D400B"/>
    <w:rsid w:val="004D599D"/>
    <w:rsid w:val="004E1C56"/>
    <w:rsid w:val="004E2EA5"/>
    <w:rsid w:val="004E3AEB"/>
    <w:rsid w:val="004E57AD"/>
    <w:rsid w:val="004E5F37"/>
    <w:rsid w:val="004E75DC"/>
    <w:rsid w:val="004E79E2"/>
    <w:rsid w:val="004F6955"/>
    <w:rsid w:val="0050223C"/>
    <w:rsid w:val="005030D1"/>
    <w:rsid w:val="00504DF0"/>
    <w:rsid w:val="005074A8"/>
    <w:rsid w:val="0051339C"/>
    <w:rsid w:val="00513C57"/>
    <w:rsid w:val="00516750"/>
    <w:rsid w:val="005225D0"/>
    <w:rsid w:val="00523EF5"/>
    <w:rsid w:val="005243FF"/>
    <w:rsid w:val="00526F62"/>
    <w:rsid w:val="00527E0F"/>
    <w:rsid w:val="00533F6D"/>
    <w:rsid w:val="00543C62"/>
    <w:rsid w:val="00550F04"/>
    <w:rsid w:val="00552FB0"/>
    <w:rsid w:val="005537FC"/>
    <w:rsid w:val="00553E0D"/>
    <w:rsid w:val="00554573"/>
    <w:rsid w:val="00555536"/>
    <w:rsid w:val="00555630"/>
    <w:rsid w:val="00564FBC"/>
    <w:rsid w:val="00573229"/>
    <w:rsid w:val="0057549A"/>
    <w:rsid w:val="00582442"/>
    <w:rsid w:val="00585958"/>
    <w:rsid w:val="00596CE6"/>
    <w:rsid w:val="005A339F"/>
    <w:rsid w:val="005A4558"/>
    <w:rsid w:val="005B0E59"/>
    <w:rsid w:val="005C057B"/>
    <w:rsid w:val="005C1EAB"/>
    <w:rsid w:val="005C52E1"/>
    <w:rsid w:val="005D2B0F"/>
    <w:rsid w:val="005F3269"/>
    <w:rsid w:val="005F5E47"/>
    <w:rsid w:val="005F6D5A"/>
    <w:rsid w:val="0060032A"/>
    <w:rsid w:val="00601790"/>
    <w:rsid w:val="00603327"/>
    <w:rsid w:val="00603787"/>
    <w:rsid w:val="006040E8"/>
    <w:rsid w:val="0060531F"/>
    <w:rsid w:val="00605D20"/>
    <w:rsid w:val="0061032E"/>
    <w:rsid w:val="00617ED1"/>
    <w:rsid w:val="00620F0F"/>
    <w:rsid w:val="00623AE3"/>
    <w:rsid w:val="00623DB3"/>
    <w:rsid w:val="006250A6"/>
    <w:rsid w:val="00627D72"/>
    <w:rsid w:val="006339D2"/>
    <w:rsid w:val="00635837"/>
    <w:rsid w:val="006371EA"/>
    <w:rsid w:val="00637730"/>
    <w:rsid w:val="00640B8A"/>
    <w:rsid w:val="006465B0"/>
    <w:rsid w:val="0064737F"/>
    <w:rsid w:val="00647461"/>
    <w:rsid w:val="006535F1"/>
    <w:rsid w:val="0065557D"/>
    <w:rsid w:val="00655A39"/>
    <w:rsid w:val="00661DE5"/>
    <w:rsid w:val="00662984"/>
    <w:rsid w:val="006716BB"/>
    <w:rsid w:val="006716C7"/>
    <w:rsid w:val="00673D6D"/>
    <w:rsid w:val="00674BD6"/>
    <w:rsid w:val="00675885"/>
    <w:rsid w:val="00675CF8"/>
    <w:rsid w:val="00681AAE"/>
    <w:rsid w:val="006821A1"/>
    <w:rsid w:val="006900AA"/>
    <w:rsid w:val="00692D45"/>
    <w:rsid w:val="006A1EF1"/>
    <w:rsid w:val="006A400A"/>
    <w:rsid w:val="006A7C43"/>
    <w:rsid w:val="006B0EDE"/>
    <w:rsid w:val="006B1777"/>
    <w:rsid w:val="006B1B90"/>
    <w:rsid w:val="006B3AE0"/>
    <w:rsid w:val="006B6680"/>
    <w:rsid w:val="006B6DCC"/>
    <w:rsid w:val="006C2535"/>
    <w:rsid w:val="006C46AC"/>
    <w:rsid w:val="006D1B2D"/>
    <w:rsid w:val="006D3011"/>
    <w:rsid w:val="006D34CB"/>
    <w:rsid w:val="006D3598"/>
    <w:rsid w:val="006D4D4E"/>
    <w:rsid w:val="006D6D44"/>
    <w:rsid w:val="006D75F0"/>
    <w:rsid w:val="006E5144"/>
    <w:rsid w:val="006E6A8A"/>
    <w:rsid w:val="006F072A"/>
    <w:rsid w:val="006F3E75"/>
    <w:rsid w:val="00702DEF"/>
    <w:rsid w:val="00706861"/>
    <w:rsid w:val="00706A38"/>
    <w:rsid w:val="00714124"/>
    <w:rsid w:val="00716006"/>
    <w:rsid w:val="0073077A"/>
    <w:rsid w:val="00730883"/>
    <w:rsid w:val="00730C16"/>
    <w:rsid w:val="0073374B"/>
    <w:rsid w:val="0073418C"/>
    <w:rsid w:val="00740C62"/>
    <w:rsid w:val="00740FE3"/>
    <w:rsid w:val="00742571"/>
    <w:rsid w:val="00743107"/>
    <w:rsid w:val="0075051B"/>
    <w:rsid w:val="007542FE"/>
    <w:rsid w:val="00771B3A"/>
    <w:rsid w:val="00774875"/>
    <w:rsid w:val="00781DE9"/>
    <w:rsid w:val="007833BF"/>
    <w:rsid w:val="0079087A"/>
    <w:rsid w:val="00791E30"/>
    <w:rsid w:val="00793188"/>
    <w:rsid w:val="00794D34"/>
    <w:rsid w:val="007957E7"/>
    <w:rsid w:val="007A5DFE"/>
    <w:rsid w:val="007B0EC1"/>
    <w:rsid w:val="007B35CB"/>
    <w:rsid w:val="007C1BDC"/>
    <w:rsid w:val="007C1EF0"/>
    <w:rsid w:val="007C2458"/>
    <w:rsid w:val="007D1A26"/>
    <w:rsid w:val="007E03C5"/>
    <w:rsid w:val="007E483A"/>
    <w:rsid w:val="007E6736"/>
    <w:rsid w:val="007F23FF"/>
    <w:rsid w:val="00800302"/>
    <w:rsid w:val="00804CEA"/>
    <w:rsid w:val="008076F6"/>
    <w:rsid w:val="008120C2"/>
    <w:rsid w:val="00813601"/>
    <w:rsid w:val="00813E5E"/>
    <w:rsid w:val="00813FC0"/>
    <w:rsid w:val="00816942"/>
    <w:rsid w:val="00817D1D"/>
    <w:rsid w:val="008267DB"/>
    <w:rsid w:val="008315DA"/>
    <w:rsid w:val="00832394"/>
    <w:rsid w:val="0083581B"/>
    <w:rsid w:val="00835B71"/>
    <w:rsid w:val="00836F90"/>
    <w:rsid w:val="00837F3C"/>
    <w:rsid w:val="0085112E"/>
    <w:rsid w:val="0085217D"/>
    <w:rsid w:val="0085462D"/>
    <w:rsid w:val="008624E5"/>
    <w:rsid w:val="00863296"/>
    <w:rsid w:val="00863914"/>
    <w:rsid w:val="008643AE"/>
    <w:rsid w:val="00864AFF"/>
    <w:rsid w:val="00873EB5"/>
    <w:rsid w:val="008758C8"/>
    <w:rsid w:val="008808C5"/>
    <w:rsid w:val="00881AD1"/>
    <w:rsid w:val="00881F4F"/>
    <w:rsid w:val="0088243B"/>
    <w:rsid w:val="0088344A"/>
    <w:rsid w:val="00892D29"/>
    <w:rsid w:val="0089337B"/>
    <w:rsid w:val="00897151"/>
    <w:rsid w:val="008A2CB2"/>
    <w:rsid w:val="008B057C"/>
    <w:rsid w:val="008B4A6A"/>
    <w:rsid w:val="008B4DA0"/>
    <w:rsid w:val="008C2361"/>
    <w:rsid w:val="008C2B25"/>
    <w:rsid w:val="008C4CCC"/>
    <w:rsid w:val="008C5096"/>
    <w:rsid w:val="008C7892"/>
    <w:rsid w:val="008C7E27"/>
    <w:rsid w:val="008D2740"/>
    <w:rsid w:val="008E093D"/>
    <w:rsid w:val="008F1C90"/>
    <w:rsid w:val="008F657B"/>
    <w:rsid w:val="00904933"/>
    <w:rsid w:val="009052D6"/>
    <w:rsid w:val="00914625"/>
    <w:rsid w:val="009173EF"/>
    <w:rsid w:val="00926560"/>
    <w:rsid w:val="0092792E"/>
    <w:rsid w:val="00927D0C"/>
    <w:rsid w:val="009311F7"/>
    <w:rsid w:val="00932906"/>
    <w:rsid w:val="00934482"/>
    <w:rsid w:val="009348C9"/>
    <w:rsid w:val="009464DB"/>
    <w:rsid w:val="00947B47"/>
    <w:rsid w:val="00951251"/>
    <w:rsid w:val="00955363"/>
    <w:rsid w:val="00961B0B"/>
    <w:rsid w:val="0096381A"/>
    <w:rsid w:val="009669EF"/>
    <w:rsid w:val="00974805"/>
    <w:rsid w:val="00975778"/>
    <w:rsid w:val="00976DC9"/>
    <w:rsid w:val="009817B5"/>
    <w:rsid w:val="009873EC"/>
    <w:rsid w:val="00993121"/>
    <w:rsid w:val="0099314D"/>
    <w:rsid w:val="00993697"/>
    <w:rsid w:val="009A14FF"/>
    <w:rsid w:val="009A5449"/>
    <w:rsid w:val="009A6397"/>
    <w:rsid w:val="009A7740"/>
    <w:rsid w:val="009B38C3"/>
    <w:rsid w:val="009B5A29"/>
    <w:rsid w:val="009B6316"/>
    <w:rsid w:val="009C0EC6"/>
    <w:rsid w:val="009C14A5"/>
    <w:rsid w:val="009D23DC"/>
    <w:rsid w:val="009E17BD"/>
    <w:rsid w:val="009E1EB9"/>
    <w:rsid w:val="009E485A"/>
    <w:rsid w:val="009E60F2"/>
    <w:rsid w:val="009E7F47"/>
    <w:rsid w:val="009F0DC4"/>
    <w:rsid w:val="009F4E1A"/>
    <w:rsid w:val="009F66A3"/>
    <w:rsid w:val="00A04CEC"/>
    <w:rsid w:val="00A16329"/>
    <w:rsid w:val="00A23AEA"/>
    <w:rsid w:val="00A27F92"/>
    <w:rsid w:val="00A32257"/>
    <w:rsid w:val="00A332C3"/>
    <w:rsid w:val="00A359E2"/>
    <w:rsid w:val="00A36789"/>
    <w:rsid w:val="00A36988"/>
    <w:rsid w:val="00A36D20"/>
    <w:rsid w:val="00A4542C"/>
    <w:rsid w:val="00A46B4C"/>
    <w:rsid w:val="00A53892"/>
    <w:rsid w:val="00A5455D"/>
    <w:rsid w:val="00A55622"/>
    <w:rsid w:val="00A56763"/>
    <w:rsid w:val="00A751BA"/>
    <w:rsid w:val="00A76CAF"/>
    <w:rsid w:val="00A83502"/>
    <w:rsid w:val="00A8382F"/>
    <w:rsid w:val="00A84652"/>
    <w:rsid w:val="00A86A4C"/>
    <w:rsid w:val="00A87893"/>
    <w:rsid w:val="00A91859"/>
    <w:rsid w:val="00A95767"/>
    <w:rsid w:val="00A96EA2"/>
    <w:rsid w:val="00AA042C"/>
    <w:rsid w:val="00AA1723"/>
    <w:rsid w:val="00AA3674"/>
    <w:rsid w:val="00AB7B6C"/>
    <w:rsid w:val="00AC47C8"/>
    <w:rsid w:val="00AC5C51"/>
    <w:rsid w:val="00AC62F7"/>
    <w:rsid w:val="00AD15B3"/>
    <w:rsid w:val="00AD34EB"/>
    <w:rsid w:val="00AD73A8"/>
    <w:rsid w:val="00AE14F9"/>
    <w:rsid w:val="00AE5B12"/>
    <w:rsid w:val="00AF05EF"/>
    <w:rsid w:val="00AF6E49"/>
    <w:rsid w:val="00B0012C"/>
    <w:rsid w:val="00B03FB5"/>
    <w:rsid w:val="00B04095"/>
    <w:rsid w:val="00B04A67"/>
    <w:rsid w:val="00B0583C"/>
    <w:rsid w:val="00B0787D"/>
    <w:rsid w:val="00B11B0A"/>
    <w:rsid w:val="00B13D18"/>
    <w:rsid w:val="00B140F7"/>
    <w:rsid w:val="00B15892"/>
    <w:rsid w:val="00B17FFD"/>
    <w:rsid w:val="00B20031"/>
    <w:rsid w:val="00B21EEE"/>
    <w:rsid w:val="00B21F3A"/>
    <w:rsid w:val="00B23859"/>
    <w:rsid w:val="00B2528B"/>
    <w:rsid w:val="00B30F59"/>
    <w:rsid w:val="00B310EF"/>
    <w:rsid w:val="00B32377"/>
    <w:rsid w:val="00B3330E"/>
    <w:rsid w:val="00B400B6"/>
    <w:rsid w:val="00B40A81"/>
    <w:rsid w:val="00B4109E"/>
    <w:rsid w:val="00B4129E"/>
    <w:rsid w:val="00B44910"/>
    <w:rsid w:val="00B474E9"/>
    <w:rsid w:val="00B4797D"/>
    <w:rsid w:val="00B70FE9"/>
    <w:rsid w:val="00B72267"/>
    <w:rsid w:val="00B76EB6"/>
    <w:rsid w:val="00B7737B"/>
    <w:rsid w:val="00B7759F"/>
    <w:rsid w:val="00B80720"/>
    <w:rsid w:val="00B80CCB"/>
    <w:rsid w:val="00B824C8"/>
    <w:rsid w:val="00B907ED"/>
    <w:rsid w:val="00B915BB"/>
    <w:rsid w:val="00B940A7"/>
    <w:rsid w:val="00B951E6"/>
    <w:rsid w:val="00B9581C"/>
    <w:rsid w:val="00B96B33"/>
    <w:rsid w:val="00B97D87"/>
    <w:rsid w:val="00BA452E"/>
    <w:rsid w:val="00BA4BBD"/>
    <w:rsid w:val="00BB299A"/>
    <w:rsid w:val="00BB2E62"/>
    <w:rsid w:val="00BB76E2"/>
    <w:rsid w:val="00BC0A84"/>
    <w:rsid w:val="00BC251A"/>
    <w:rsid w:val="00BC26E0"/>
    <w:rsid w:val="00BC6FF4"/>
    <w:rsid w:val="00BD032B"/>
    <w:rsid w:val="00BD2441"/>
    <w:rsid w:val="00BD5379"/>
    <w:rsid w:val="00BD74C3"/>
    <w:rsid w:val="00BE2640"/>
    <w:rsid w:val="00BF0B00"/>
    <w:rsid w:val="00BF13A1"/>
    <w:rsid w:val="00BF199B"/>
    <w:rsid w:val="00BF2761"/>
    <w:rsid w:val="00BF2FBC"/>
    <w:rsid w:val="00BF528A"/>
    <w:rsid w:val="00BF6CEC"/>
    <w:rsid w:val="00C00E58"/>
    <w:rsid w:val="00C01189"/>
    <w:rsid w:val="00C01846"/>
    <w:rsid w:val="00C01A84"/>
    <w:rsid w:val="00C046FF"/>
    <w:rsid w:val="00C0623C"/>
    <w:rsid w:val="00C11EC8"/>
    <w:rsid w:val="00C14A7B"/>
    <w:rsid w:val="00C20052"/>
    <w:rsid w:val="00C26218"/>
    <w:rsid w:val="00C26260"/>
    <w:rsid w:val="00C330BD"/>
    <w:rsid w:val="00C374DE"/>
    <w:rsid w:val="00C47AD4"/>
    <w:rsid w:val="00C51D58"/>
    <w:rsid w:val="00C52D81"/>
    <w:rsid w:val="00C545BD"/>
    <w:rsid w:val="00C55198"/>
    <w:rsid w:val="00C6777D"/>
    <w:rsid w:val="00C70229"/>
    <w:rsid w:val="00C73E48"/>
    <w:rsid w:val="00C7540E"/>
    <w:rsid w:val="00C80DDD"/>
    <w:rsid w:val="00C91191"/>
    <w:rsid w:val="00C96322"/>
    <w:rsid w:val="00C975D7"/>
    <w:rsid w:val="00CA3F8A"/>
    <w:rsid w:val="00CA6393"/>
    <w:rsid w:val="00CB18FF"/>
    <w:rsid w:val="00CC35C1"/>
    <w:rsid w:val="00CD0C08"/>
    <w:rsid w:val="00CD1A48"/>
    <w:rsid w:val="00CD2052"/>
    <w:rsid w:val="00CD6241"/>
    <w:rsid w:val="00CE03FB"/>
    <w:rsid w:val="00CE093B"/>
    <w:rsid w:val="00CE1279"/>
    <w:rsid w:val="00CE2F8D"/>
    <w:rsid w:val="00CE3729"/>
    <w:rsid w:val="00CE433C"/>
    <w:rsid w:val="00CE7A03"/>
    <w:rsid w:val="00CE7A14"/>
    <w:rsid w:val="00CF037A"/>
    <w:rsid w:val="00CF33F3"/>
    <w:rsid w:val="00CF3A90"/>
    <w:rsid w:val="00CF4E25"/>
    <w:rsid w:val="00CF56C0"/>
    <w:rsid w:val="00D01A56"/>
    <w:rsid w:val="00D01BE8"/>
    <w:rsid w:val="00D022FD"/>
    <w:rsid w:val="00D02FF1"/>
    <w:rsid w:val="00D0428B"/>
    <w:rsid w:val="00D05966"/>
    <w:rsid w:val="00D06183"/>
    <w:rsid w:val="00D11FAB"/>
    <w:rsid w:val="00D1228B"/>
    <w:rsid w:val="00D13EB8"/>
    <w:rsid w:val="00D15B53"/>
    <w:rsid w:val="00D15C7B"/>
    <w:rsid w:val="00D22C42"/>
    <w:rsid w:val="00D32467"/>
    <w:rsid w:val="00D338E0"/>
    <w:rsid w:val="00D4088F"/>
    <w:rsid w:val="00D45C56"/>
    <w:rsid w:val="00D51D81"/>
    <w:rsid w:val="00D531AE"/>
    <w:rsid w:val="00D63A9C"/>
    <w:rsid w:val="00D65041"/>
    <w:rsid w:val="00D66A27"/>
    <w:rsid w:val="00D677FA"/>
    <w:rsid w:val="00D71A7A"/>
    <w:rsid w:val="00D768F4"/>
    <w:rsid w:val="00D831D3"/>
    <w:rsid w:val="00D93E50"/>
    <w:rsid w:val="00D977DF"/>
    <w:rsid w:val="00DA0955"/>
    <w:rsid w:val="00DA0B41"/>
    <w:rsid w:val="00DB264D"/>
    <w:rsid w:val="00DB384B"/>
    <w:rsid w:val="00DB422C"/>
    <w:rsid w:val="00DC047F"/>
    <w:rsid w:val="00DC0ADB"/>
    <w:rsid w:val="00DC5612"/>
    <w:rsid w:val="00DC6D2A"/>
    <w:rsid w:val="00DC7E36"/>
    <w:rsid w:val="00DD41C5"/>
    <w:rsid w:val="00DE024F"/>
    <w:rsid w:val="00DE6531"/>
    <w:rsid w:val="00DF523A"/>
    <w:rsid w:val="00E07E12"/>
    <w:rsid w:val="00E10E80"/>
    <w:rsid w:val="00E124F0"/>
    <w:rsid w:val="00E13DD7"/>
    <w:rsid w:val="00E16521"/>
    <w:rsid w:val="00E25673"/>
    <w:rsid w:val="00E26524"/>
    <w:rsid w:val="00E3074E"/>
    <w:rsid w:val="00E37E0B"/>
    <w:rsid w:val="00E41980"/>
    <w:rsid w:val="00E51D55"/>
    <w:rsid w:val="00E55DA9"/>
    <w:rsid w:val="00E56B64"/>
    <w:rsid w:val="00E5741D"/>
    <w:rsid w:val="00E6015B"/>
    <w:rsid w:val="00E60F04"/>
    <w:rsid w:val="00E6307E"/>
    <w:rsid w:val="00E674DE"/>
    <w:rsid w:val="00E70FD9"/>
    <w:rsid w:val="00E73975"/>
    <w:rsid w:val="00E74B30"/>
    <w:rsid w:val="00E80E9F"/>
    <w:rsid w:val="00E847F7"/>
    <w:rsid w:val="00E84FCC"/>
    <w:rsid w:val="00E854E4"/>
    <w:rsid w:val="00EA47A2"/>
    <w:rsid w:val="00EA7061"/>
    <w:rsid w:val="00EB0401"/>
    <w:rsid w:val="00EB0D6F"/>
    <w:rsid w:val="00EB2232"/>
    <w:rsid w:val="00EB473A"/>
    <w:rsid w:val="00EB4875"/>
    <w:rsid w:val="00EC2195"/>
    <w:rsid w:val="00EC3E5D"/>
    <w:rsid w:val="00EC5337"/>
    <w:rsid w:val="00ED3A28"/>
    <w:rsid w:val="00ED7682"/>
    <w:rsid w:val="00EE1855"/>
    <w:rsid w:val="00EF046F"/>
    <w:rsid w:val="00EF3EE4"/>
    <w:rsid w:val="00F01DB8"/>
    <w:rsid w:val="00F047E7"/>
    <w:rsid w:val="00F05C80"/>
    <w:rsid w:val="00F07156"/>
    <w:rsid w:val="00F10B06"/>
    <w:rsid w:val="00F12374"/>
    <w:rsid w:val="00F12EC9"/>
    <w:rsid w:val="00F13A2B"/>
    <w:rsid w:val="00F15B39"/>
    <w:rsid w:val="00F16C1F"/>
    <w:rsid w:val="00F2150A"/>
    <w:rsid w:val="00F231D8"/>
    <w:rsid w:val="00F23E5D"/>
    <w:rsid w:val="00F35751"/>
    <w:rsid w:val="00F36DA5"/>
    <w:rsid w:val="00F3767C"/>
    <w:rsid w:val="00F42182"/>
    <w:rsid w:val="00F46774"/>
    <w:rsid w:val="00F46C5F"/>
    <w:rsid w:val="00F530A0"/>
    <w:rsid w:val="00F53A3E"/>
    <w:rsid w:val="00F550E1"/>
    <w:rsid w:val="00F60605"/>
    <w:rsid w:val="00F73085"/>
    <w:rsid w:val="00F74941"/>
    <w:rsid w:val="00F76B4C"/>
    <w:rsid w:val="00F80CAB"/>
    <w:rsid w:val="00F83833"/>
    <w:rsid w:val="00F857C7"/>
    <w:rsid w:val="00F86752"/>
    <w:rsid w:val="00F94A63"/>
    <w:rsid w:val="00F967A3"/>
    <w:rsid w:val="00F96983"/>
    <w:rsid w:val="00FA1C28"/>
    <w:rsid w:val="00FA1CBB"/>
    <w:rsid w:val="00FA24A2"/>
    <w:rsid w:val="00FB1279"/>
    <w:rsid w:val="00FB151F"/>
    <w:rsid w:val="00FB7596"/>
    <w:rsid w:val="00FC0132"/>
    <w:rsid w:val="00FC36D8"/>
    <w:rsid w:val="00FC3840"/>
    <w:rsid w:val="00FC4647"/>
    <w:rsid w:val="00FC7361"/>
    <w:rsid w:val="00FD2628"/>
    <w:rsid w:val="00FE4077"/>
    <w:rsid w:val="00FE5119"/>
    <w:rsid w:val="00FE5B02"/>
    <w:rsid w:val="00FE77D2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9CF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20C2"/>
    <w:pPr>
      <w:framePr w:hSpace="180" w:wrap="around" w:hAnchor="margin" w:y="-675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aliases w:val="超级链接,Style 58,超?级链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ListParagraph">
    <w:name w:val="List Paragraph"/>
    <w:basedOn w:val="Normal"/>
    <w:link w:val="ListParagraphChar"/>
    <w:uiPriority w:val="34"/>
    <w:qFormat/>
    <w:rsid w:val="003A061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A061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06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3662D1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62D1"/>
    <w:rPr>
      <w:rFonts w:ascii="Times New Roman" w:hAnsi="Times New Roman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807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072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0720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0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0720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uiPriority w:val="39"/>
    <w:rsid w:val="00F967A3"/>
    <w:rPr>
      <w:rFonts w:ascii="Calibri" w:eastAsia="SimSun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rsid w:val="00F967A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967A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F60605"/>
    <w:rPr>
      <w:rFonts w:ascii="Calibri" w:hAnsi="Calibri"/>
      <w:b/>
      <w:sz w:val="28"/>
      <w:lang w:val="en-GB" w:eastAsia="en-US"/>
    </w:rPr>
  </w:style>
  <w:style w:type="table" w:styleId="ListTable1Light-Accent1">
    <w:name w:val="List Table 1 Light Accent 1"/>
    <w:basedOn w:val="TableNormal"/>
    <w:uiPriority w:val="46"/>
    <w:rsid w:val="00F60605"/>
    <w:rPr>
      <w:rFonts w:ascii="Times New Roman" w:eastAsia="SimSun" w:hAnsi="Times New Roman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paragraph" w:customStyle="1" w:styleId="TEXTENORMAL">
    <w:name w:val="TEXTE NORMAL"/>
    <w:basedOn w:val="Default"/>
    <w:next w:val="Default"/>
    <w:uiPriority w:val="99"/>
    <w:rsid w:val="00781DE9"/>
    <w:rPr>
      <w:color w:val="auto"/>
    </w:rPr>
  </w:style>
  <w:style w:type="paragraph" w:styleId="Revision">
    <w:name w:val="Revision"/>
    <w:hidden/>
    <w:uiPriority w:val="99"/>
    <w:semiHidden/>
    <w:rsid w:val="00005813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17-CL-C-0074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0-CWGFHR11-C-0012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0-CL-C-0043/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S20-CL-C-0061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17-CL-C-0073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0BCD90392CE4983D33C8AE8606CB9" ma:contentTypeVersion="4" ma:contentTypeDescription="Create a new document." ma:contentTypeScope="" ma:versionID="ab0278a19d79d79aba07f0fc42ad4ff1">
  <xsd:schema xmlns:xsd="http://www.w3.org/2001/XMLSchema" xmlns:xs="http://www.w3.org/2001/XMLSchema" xmlns:p="http://schemas.microsoft.com/office/2006/metadata/properties" xmlns:ns2="4c272582-4164-40b3-8c4b-3c1a04c8dc1b" targetNamespace="http://schemas.microsoft.com/office/2006/metadata/properties" ma:root="true" ma:fieldsID="350f63e12ddd2528da1f5e323684cf9d" ns2:_="">
    <xsd:import namespace="4c272582-4164-40b3-8c4b-3c1a04c8d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2582-4164-40b3-8c4b-3c1a04c8d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45FB4-F8BD-4CD1-ADA5-4933A2C5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54442-14C7-488A-A22F-84BC08D43C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E124D2-C7FF-48CA-A3EF-6E2F2F990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01C8B-8D68-4542-82E7-067DFB34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2582-4164-40b3-8c4b-3c1a04c8d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1709</Words>
  <Characters>9703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the implementation of the risk management action plan</vt:lpstr>
    </vt:vector>
  </TitlesOfParts>
  <Manager/>
  <Company/>
  <LinksUpToDate>false</LinksUpToDate>
  <CharactersWithSpaces>11390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implementation of the risk management action plan</dc:title>
  <dc:subject>Council 2020, second virtual consultation for councillors</dc:subject>
  <dc:creator/>
  <cp:keywords>C2020, C20, VC, VCC-2</cp:keywords>
  <dc:description/>
  <cp:lastModifiedBy/>
  <cp:revision>1</cp:revision>
  <cp:lastPrinted>2000-07-18T13:30:00Z</cp:lastPrinted>
  <dcterms:created xsi:type="dcterms:W3CDTF">2020-12-18T08:08:00Z</dcterms:created>
  <dcterms:modified xsi:type="dcterms:W3CDTF">2020-12-18T08:08:00Z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0x0101003A20BCD90392CE4983D33C8AE8606CB9</vt:lpwstr>
  </property>
</Properties>
</file>