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69361076" w14:textId="77777777" w:rsidTr="213152FF">
        <w:trPr>
          <w:cantSplit/>
          <w:trHeight w:val="1276"/>
        </w:trPr>
        <w:tc>
          <w:tcPr>
            <w:tcW w:w="6911" w:type="dxa"/>
          </w:tcPr>
          <w:p w14:paraId="5EE71C71" w14:textId="3970E49B" w:rsidR="002A2188" w:rsidRPr="00813E5E" w:rsidRDefault="00D403B2" w:rsidP="009F66A3">
            <w:pPr>
              <w:spacing w:before="360" w:after="48" w:line="240" w:lineRule="atLeast"/>
              <w:rPr>
                <w:position w:val="6"/>
              </w:rPr>
            </w:pPr>
            <w:bookmarkStart w:id="0" w:name="dc06"/>
            <w:bookmarkEnd w:id="0"/>
            <w:r w:rsidRPr="00235D10">
              <w:rPr>
                <w:b/>
                <w:bCs/>
                <w:position w:val="6"/>
                <w:sz w:val="30"/>
                <w:szCs w:val="30"/>
              </w:rPr>
              <w:t>Council</w:t>
            </w:r>
            <w:r w:rsidRPr="00235D10">
              <w:rPr>
                <w:b/>
                <w:bCs/>
                <w:position w:val="6"/>
                <w:sz w:val="30"/>
                <w:szCs w:val="30"/>
              </w:rPr>
              <w:br/>
            </w:r>
            <w:r w:rsidR="00CA03CD" w:rsidRPr="00235D10">
              <w:rPr>
                <w:b/>
                <w:bCs/>
                <w:position w:val="6"/>
                <w:sz w:val="28"/>
                <w:szCs w:val="28"/>
              </w:rPr>
              <w:t xml:space="preserve">Virtual consultation of councillors, </w:t>
            </w:r>
            <w:r w:rsidR="00CA03CD" w:rsidRPr="00EA6A57">
              <w:rPr>
                <w:b/>
                <w:bCs/>
                <w:position w:val="6"/>
                <w:sz w:val="28"/>
                <w:szCs w:val="28"/>
              </w:rPr>
              <w:t>8-18</w:t>
            </w:r>
            <w:r w:rsidR="00CA03CD" w:rsidRPr="00235D10">
              <w:rPr>
                <w:b/>
                <w:bCs/>
                <w:position w:val="6"/>
                <w:sz w:val="28"/>
                <w:szCs w:val="28"/>
              </w:rPr>
              <w:t xml:space="preserve"> June 2021</w:t>
            </w:r>
          </w:p>
        </w:tc>
        <w:tc>
          <w:tcPr>
            <w:tcW w:w="3120" w:type="dxa"/>
            <w:vAlign w:val="center"/>
          </w:tcPr>
          <w:p w14:paraId="633AFE2E" w14:textId="77777777" w:rsidR="002A2188" w:rsidRPr="00813E5E" w:rsidRDefault="009F66A3" w:rsidP="009F66A3">
            <w:pPr>
              <w:spacing w:before="0" w:line="240" w:lineRule="atLeast"/>
            </w:pPr>
            <w:bookmarkStart w:id="1" w:name="ditulogo"/>
            <w:bookmarkEnd w:id="1"/>
            <w:r>
              <w:rPr>
                <w:noProof/>
                <w:lang w:val="en-US"/>
              </w:rPr>
              <w:drawing>
                <wp:inline distT="0" distB="0" distL="0" distR="0" wp14:anchorId="20213DF0" wp14:editId="3622D57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00664A99" w14:textId="77777777" w:rsidTr="213152FF">
        <w:trPr>
          <w:cantSplit/>
        </w:trPr>
        <w:tc>
          <w:tcPr>
            <w:tcW w:w="6911" w:type="dxa"/>
            <w:tcBorders>
              <w:bottom w:val="single" w:sz="12" w:space="0" w:color="auto"/>
            </w:tcBorders>
          </w:tcPr>
          <w:p w14:paraId="5A227255" w14:textId="77777777" w:rsidR="002A2188" w:rsidRPr="00813E5E" w:rsidRDefault="002A2188" w:rsidP="00235D10">
            <w:pPr>
              <w:spacing w:before="0" w:line="240" w:lineRule="atLeast"/>
              <w:rPr>
                <w:b/>
                <w:smallCaps/>
                <w:szCs w:val="24"/>
              </w:rPr>
            </w:pPr>
          </w:p>
        </w:tc>
        <w:tc>
          <w:tcPr>
            <w:tcW w:w="3120" w:type="dxa"/>
            <w:tcBorders>
              <w:bottom w:val="single" w:sz="12" w:space="0" w:color="auto"/>
            </w:tcBorders>
          </w:tcPr>
          <w:p w14:paraId="7688FD31" w14:textId="77777777" w:rsidR="002A2188" w:rsidRPr="00813E5E" w:rsidRDefault="002A2188" w:rsidP="00235D10">
            <w:pPr>
              <w:spacing w:before="0" w:line="240" w:lineRule="atLeast"/>
              <w:rPr>
                <w:szCs w:val="24"/>
              </w:rPr>
            </w:pPr>
          </w:p>
        </w:tc>
      </w:tr>
      <w:tr w:rsidR="002A2188" w:rsidRPr="00813E5E" w14:paraId="6F36DAD9" w14:textId="77777777" w:rsidTr="213152FF">
        <w:trPr>
          <w:cantSplit/>
        </w:trPr>
        <w:tc>
          <w:tcPr>
            <w:tcW w:w="6911" w:type="dxa"/>
            <w:tcBorders>
              <w:top w:val="single" w:sz="12" w:space="0" w:color="auto"/>
            </w:tcBorders>
          </w:tcPr>
          <w:p w14:paraId="6F48848E" w14:textId="77777777" w:rsidR="002A2188" w:rsidRPr="00813E5E" w:rsidRDefault="002A2188" w:rsidP="00235D10">
            <w:pPr>
              <w:spacing w:before="0" w:line="240" w:lineRule="atLeast"/>
              <w:rPr>
                <w:b/>
                <w:smallCaps/>
                <w:szCs w:val="24"/>
              </w:rPr>
            </w:pPr>
          </w:p>
        </w:tc>
        <w:tc>
          <w:tcPr>
            <w:tcW w:w="3120" w:type="dxa"/>
            <w:tcBorders>
              <w:top w:val="single" w:sz="12" w:space="0" w:color="auto"/>
            </w:tcBorders>
          </w:tcPr>
          <w:p w14:paraId="4C122589" w14:textId="77777777" w:rsidR="002A2188" w:rsidRPr="00813E5E" w:rsidRDefault="002A2188" w:rsidP="00235D10">
            <w:pPr>
              <w:spacing w:before="0" w:line="240" w:lineRule="atLeast"/>
              <w:rPr>
                <w:szCs w:val="24"/>
              </w:rPr>
            </w:pPr>
          </w:p>
        </w:tc>
      </w:tr>
      <w:tr w:rsidR="002A2188" w:rsidRPr="00EA6A57" w14:paraId="2827AEF4" w14:textId="77777777" w:rsidTr="213152FF">
        <w:trPr>
          <w:cantSplit/>
          <w:trHeight w:val="23"/>
        </w:trPr>
        <w:tc>
          <w:tcPr>
            <w:tcW w:w="6911" w:type="dxa"/>
            <w:vMerge w:val="restart"/>
          </w:tcPr>
          <w:p w14:paraId="2676AE1F" w14:textId="77777777" w:rsidR="002A2188" w:rsidRPr="00E85629" w:rsidRDefault="002A2188" w:rsidP="00235D10">
            <w:pPr>
              <w:tabs>
                <w:tab w:val="left" w:pos="851"/>
              </w:tabs>
              <w:spacing w:before="0" w:line="240" w:lineRule="atLeast"/>
              <w:rPr>
                <w:b/>
              </w:rPr>
            </w:pPr>
            <w:bookmarkStart w:id="2" w:name="dmeeting" w:colFirst="0" w:colLast="0"/>
            <w:bookmarkStart w:id="3" w:name="dnum" w:colFirst="1" w:colLast="1"/>
          </w:p>
        </w:tc>
        <w:tc>
          <w:tcPr>
            <w:tcW w:w="3120" w:type="dxa"/>
          </w:tcPr>
          <w:p w14:paraId="32029555" w14:textId="498F2784" w:rsidR="002A2188" w:rsidRPr="00E45616" w:rsidRDefault="009F66A3" w:rsidP="00235D10">
            <w:pPr>
              <w:tabs>
                <w:tab w:val="left" w:pos="851"/>
              </w:tabs>
              <w:spacing w:before="0" w:line="240" w:lineRule="atLeast"/>
              <w:rPr>
                <w:b/>
                <w:lang w:val="it-IT"/>
              </w:rPr>
            </w:pPr>
            <w:r w:rsidRPr="00E45616">
              <w:rPr>
                <w:b/>
                <w:lang w:val="it-IT"/>
              </w:rPr>
              <w:t>Document C2</w:t>
            </w:r>
            <w:r w:rsidR="00D403B2" w:rsidRPr="00E45616">
              <w:rPr>
                <w:b/>
                <w:lang w:val="it-IT"/>
              </w:rPr>
              <w:t>1</w:t>
            </w:r>
            <w:r w:rsidR="002A2188" w:rsidRPr="00E45616">
              <w:rPr>
                <w:b/>
                <w:lang w:val="it-IT"/>
              </w:rPr>
              <w:t>/</w:t>
            </w:r>
            <w:r w:rsidR="00587B4F" w:rsidRPr="00E45616">
              <w:rPr>
                <w:b/>
                <w:lang w:val="it-IT"/>
              </w:rPr>
              <w:t>INF/</w:t>
            </w:r>
            <w:r w:rsidR="00EA6A57">
              <w:rPr>
                <w:b/>
                <w:lang w:val="it-IT"/>
              </w:rPr>
              <w:t>12</w:t>
            </w:r>
            <w:r w:rsidR="002A2188" w:rsidRPr="00E45616">
              <w:rPr>
                <w:b/>
                <w:lang w:val="it-IT"/>
              </w:rPr>
              <w:t>-E</w:t>
            </w:r>
          </w:p>
        </w:tc>
      </w:tr>
      <w:tr w:rsidR="002A2188" w:rsidRPr="00813E5E" w14:paraId="3142EA79" w14:textId="77777777" w:rsidTr="213152FF">
        <w:trPr>
          <w:cantSplit/>
          <w:trHeight w:val="23"/>
        </w:trPr>
        <w:tc>
          <w:tcPr>
            <w:tcW w:w="6911" w:type="dxa"/>
            <w:vMerge/>
          </w:tcPr>
          <w:p w14:paraId="156F8EA6" w14:textId="77777777" w:rsidR="002A2188" w:rsidRPr="00E45616" w:rsidRDefault="002A2188" w:rsidP="00235D10">
            <w:pPr>
              <w:tabs>
                <w:tab w:val="left" w:pos="851"/>
              </w:tabs>
              <w:spacing w:before="0" w:line="240" w:lineRule="atLeast"/>
              <w:rPr>
                <w:b/>
                <w:lang w:val="it-IT"/>
              </w:rPr>
            </w:pPr>
            <w:bookmarkStart w:id="4" w:name="ddate" w:colFirst="1" w:colLast="1"/>
            <w:bookmarkEnd w:id="2"/>
            <w:bookmarkEnd w:id="3"/>
          </w:p>
        </w:tc>
        <w:tc>
          <w:tcPr>
            <w:tcW w:w="3120" w:type="dxa"/>
          </w:tcPr>
          <w:p w14:paraId="73C03F22" w14:textId="28EF3471" w:rsidR="002A2188" w:rsidRPr="00E85629" w:rsidRDefault="00EA6A57" w:rsidP="00235D10">
            <w:pPr>
              <w:tabs>
                <w:tab w:val="left" w:pos="993"/>
              </w:tabs>
              <w:spacing w:before="0"/>
              <w:rPr>
                <w:b/>
              </w:rPr>
            </w:pPr>
            <w:r>
              <w:rPr>
                <w:b/>
              </w:rPr>
              <w:t>22 April</w:t>
            </w:r>
            <w:r w:rsidR="002A2188">
              <w:rPr>
                <w:b/>
              </w:rPr>
              <w:t xml:space="preserve"> 20</w:t>
            </w:r>
            <w:r w:rsidR="009F66A3">
              <w:rPr>
                <w:b/>
              </w:rPr>
              <w:t>2</w:t>
            </w:r>
            <w:r w:rsidR="00D403B2">
              <w:rPr>
                <w:b/>
              </w:rPr>
              <w:t>1</w:t>
            </w:r>
          </w:p>
        </w:tc>
      </w:tr>
      <w:tr w:rsidR="002A2188" w:rsidRPr="00813E5E" w14:paraId="1D5C1130" w14:textId="77777777" w:rsidTr="213152FF">
        <w:trPr>
          <w:cantSplit/>
          <w:trHeight w:val="23"/>
        </w:trPr>
        <w:tc>
          <w:tcPr>
            <w:tcW w:w="6911" w:type="dxa"/>
            <w:vMerge/>
          </w:tcPr>
          <w:p w14:paraId="6F29E5D1" w14:textId="77777777" w:rsidR="002A2188" w:rsidRPr="00813E5E" w:rsidRDefault="002A2188" w:rsidP="00235D10">
            <w:pPr>
              <w:tabs>
                <w:tab w:val="left" w:pos="851"/>
              </w:tabs>
              <w:spacing w:before="0" w:line="240" w:lineRule="atLeast"/>
              <w:rPr>
                <w:b/>
              </w:rPr>
            </w:pPr>
            <w:bookmarkStart w:id="5" w:name="dorlang" w:colFirst="1" w:colLast="1"/>
            <w:bookmarkEnd w:id="4"/>
          </w:p>
        </w:tc>
        <w:tc>
          <w:tcPr>
            <w:tcW w:w="3120" w:type="dxa"/>
          </w:tcPr>
          <w:p w14:paraId="3562762B" w14:textId="2B0695A3" w:rsidR="002A2188" w:rsidRPr="00E85629" w:rsidRDefault="002A2188" w:rsidP="00235D10">
            <w:pPr>
              <w:tabs>
                <w:tab w:val="left" w:pos="993"/>
              </w:tabs>
              <w:spacing w:before="0"/>
              <w:rPr>
                <w:b/>
              </w:rPr>
            </w:pPr>
            <w:r>
              <w:rPr>
                <w:b/>
              </w:rPr>
              <w:t>English</w:t>
            </w:r>
            <w:r w:rsidR="005E19DB">
              <w:rPr>
                <w:b/>
              </w:rPr>
              <w:t xml:space="preserve"> only</w:t>
            </w:r>
          </w:p>
        </w:tc>
      </w:tr>
      <w:tr w:rsidR="002A2188" w:rsidRPr="00813E5E" w14:paraId="19B933F3" w14:textId="77777777" w:rsidTr="213152FF">
        <w:trPr>
          <w:cantSplit/>
        </w:trPr>
        <w:tc>
          <w:tcPr>
            <w:tcW w:w="10031" w:type="dxa"/>
            <w:gridSpan w:val="2"/>
          </w:tcPr>
          <w:p w14:paraId="700C0F70" w14:textId="1BCB47CF" w:rsidR="002A2188" w:rsidRPr="00813E5E" w:rsidRDefault="00DF52FC" w:rsidP="00464B6C">
            <w:pPr>
              <w:pStyle w:val="Source"/>
            </w:pPr>
            <w:bookmarkStart w:id="6" w:name="dsource" w:colFirst="0" w:colLast="0"/>
            <w:bookmarkEnd w:id="5"/>
            <w:r>
              <w:t xml:space="preserve">Note by the </w:t>
            </w:r>
            <w:r w:rsidR="00A54B18">
              <w:t>Secretary-General</w:t>
            </w:r>
          </w:p>
        </w:tc>
      </w:tr>
      <w:tr w:rsidR="002A2188" w:rsidRPr="00813E5E" w14:paraId="4372EE5A" w14:textId="77777777" w:rsidTr="213152FF">
        <w:trPr>
          <w:cantSplit/>
        </w:trPr>
        <w:tc>
          <w:tcPr>
            <w:tcW w:w="10031" w:type="dxa"/>
            <w:gridSpan w:val="2"/>
          </w:tcPr>
          <w:p w14:paraId="710AB948" w14:textId="144CC8A6" w:rsidR="002A2188" w:rsidRPr="00813E5E" w:rsidRDefault="005A41AA" w:rsidP="00464B6C">
            <w:pPr>
              <w:pStyle w:val="Title1"/>
            </w:pPr>
            <w:bookmarkStart w:id="7" w:name="dtitle1" w:colFirst="0" w:colLast="0"/>
            <w:bookmarkEnd w:id="6"/>
            <w:r>
              <w:t xml:space="preserve">Business continuity </w:t>
            </w:r>
            <w:r w:rsidR="00FE4770">
              <w:t>- new ITU website</w:t>
            </w:r>
          </w:p>
        </w:tc>
      </w:tr>
      <w:bookmarkEnd w:id="7"/>
    </w:tbl>
    <w:p w14:paraId="2B2EBB74" w14:textId="77777777"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14:paraId="55E30F95" w14:textId="77777777"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14:paraId="3ADA12EE" w14:textId="77777777" w:rsidR="002A2188" w:rsidRPr="00813E5E" w:rsidRDefault="002A2188" w:rsidP="00464B6C">
            <w:pPr>
              <w:pStyle w:val="Headingb"/>
            </w:pPr>
            <w:r w:rsidRPr="00813E5E">
              <w:t>Summary</w:t>
            </w:r>
          </w:p>
          <w:p w14:paraId="1D3768C0" w14:textId="30A30915" w:rsidR="00446B28" w:rsidRPr="00446B28" w:rsidRDefault="00446B28" w:rsidP="00EA6A57">
            <w:pPr>
              <w:jc w:val="both"/>
              <w:rPr>
                <w:rStyle w:val="tlid-translation"/>
                <w:rFonts w:eastAsiaTheme="minorEastAsia"/>
                <w:lang w:val="en-US"/>
              </w:rPr>
            </w:pPr>
            <w:r>
              <w:rPr>
                <w:lang w:val="en-US"/>
              </w:rPr>
              <w:t xml:space="preserve">The ITU </w:t>
            </w:r>
            <w:r w:rsidR="00EA6A57">
              <w:rPr>
                <w:lang w:val="en-US"/>
              </w:rPr>
              <w:t>s</w:t>
            </w:r>
            <w:r>
              <w:rPr>
                <w:lang w:val="en-US"/>
              </w:rPr>
              <w:t xml:space="preserve">ecretariat is seeking a CHF 2 million investment to give ITU members, </w:t>
            </w:r>
            <w:r w:rsidRPr="0647D145">
              <w:rPr>
                <w:lang w:val="en-US"/>
              </w:rPr>
              <w:t>staff,</w:t>
            </w:r>
            <w:r>
              <w:rPr>
                <w:lang w:val="en-US"/>
              </w:rPr>
              <w:t xml:space="preserve"> and other visitors a secure, mobile-first website </w:t>
            </w:r>
            <w:r w:rsidR="00620C8D">
              <w:rPr>
                <w:lang w:val="en-US"/>
              </w:rPr>
              <w:t xml:space="preserve">which supports content </w:t>
            </w:r>
            <w:r>
              <w:rPr>
                <w:lang w:val="en-US"/>
              </w:rPr>
              <w:t xml:space="preserve">in the six languages of the Union on an equal footing, with a consistent structure and One ITU look and feel across all activities of the Union. A new website is </w:t>
            </w:r>
            <w:r w:rsidR="25928D7E" w:rsidRPr="0647D145">
              <w:rPr>
                <w:lang w:val="en-US"/>
              </w:rPr>
              <w:t>essential</w:t>
            </w:r>
            <w:r>
              <w:rPr>
                <w:lang w:val="en-US"/>
              </w:rPr>
              <w:t xml:space="preserve"> to </w:t>
            </w:r>
            <w:r w:rsidRPr="0647D145">
              <w:rPr>
                <w:rStyle w:val="tlid-translation"/>
                <w:rFonts w:eastAsiaTheme="minorEastAsia"/>
                <w:lang w:val="en"/>
              </w:rPr>
              <w:t>ensur</w:t>
            </w:r>
            <w:r w:rsidR="46401AE5" w:rsidRPr="0647D145">
              <w:rPr>
                <w:rStyle w:val="tlid-translation"/>
                <w:rFonts w:eastAsiaTheme="minorEastAsia"/>
                <w:lang w:val="en"/>
              </w:rPr>
              <w:t>e</w:t>
            </w:r>
            <w:r w:rsidRPr="0647D145">
              <w:rPr>
                <w:rStyle w:val="tlid-translation"/>
                <w:rFonts w:eastAsiaTheme="minorEastAsia"/>
                <w:lang w:val="en"/>
              </w:rPr>
              <w:t xml:space="preserve"> business continuity and security a</w:t>
            </w:r>
            <w:r w:rsidR="47224518" w:rsidRPr="0647D145">
              <w:rPr>
                <w:rStyle w:val="tlid-translation"/>
                <w:rFonts w:eastAsiaTheme="minorEastAsia"/>
                <w:lang w:val="en"/>
              </w:rPr>
              <w:t>s well as</w:t>
            </w:r>
            <w:r w:rsidR="00F11C16">
              <w:rPr>
                <w:rStyle w:val="tlid-translation"/>
                <w:rFonts w:eastAsiaTheme="minorEastAsia"/>
                <w:lang w:val="en"/>
              </w:rPr>
              <w:t xml:space="preserve"> </w:t>
            </w:r>
            <w:r w:rsidRPr="0647D145">
              <w:rPr>
                <w:lang w:val="en-US"/>
              </w:rPr>
              <w:t>safeguard</w:t>
            </w:r>
            <w:r w:rsidR="005A41AA" w:rsidRPr="0647D145">
              <w:rPr>
                <w:lang w:val="en-US"/>
              </w:rPr>
              <w:t>ing</w:t>
            </w:r>
            <w:r>
              <w:rPr>
                <w:lang w:val="en-US"/>
              </w:rPr>
              <w:t xml:space="preserve"> ITU</w:t>
            </w:r>
            <w:r w:rsidR="00CE1CD2">
              <w:rPr>
                <w:lang w:val="en-US"/>
              </w:rPr>
              <w:t>’</w:t>
            </w:r>
            <w:r>
              <w:rPr>
                <w:lang w:val="en-US"/>
              </w:rPr>
              <w:t xml:space="preserve">s reputation (and trust) as the </w:t>
            </w:r>
            <w:r w:rsidRPr="0647D145">
              <w:rPr>
                <w:rStyle w:val="tlid-translation"/>
                <w:rFonts w:eastAsiaTheme="minorEastAsia"/>
                <w:lang w:val="en"/>
              </w:rPr>
              <w:t xml:space="preserve">United Nations specialized agency for information and communication technology. This document provides </w:t>
            </w:r>
            <w:r w:rsidR="00D16E12" w:rsidRPr="0647D145">
              <w:rPr>
                <w:rStyle w:val="tlid-translation"/>
                <w:rFonts w:eastAsiaTheme="minorEastAsia"/>
                <w:lang w:val="en"/>
              </w:rPr>
              <w:t xml:space="preserve">background on </w:t>
            </w:r>
            <w:r w:rsidRPr="0647D145">
              <w:rPr>
                <w:rStyle w:val="tlid-translation"/>
                <w:rFonts w:eastAsiaTheme="minorEastAsia"/>
                <w:lang w:val="en"/>
              </w:rPr>
              <w:t>the progress achieved so far</w:t>
            </w:r>
            <w:r w:rsidR="005A41AA" w:rsidRPr="0647D145">
              <w:rPr>
                <w:rStyle w:val="tlid-translation"/>
                <w:rFonts w:eastAsiaTheme="minorEastAsia"/>
                <w:lang w:val="en"/>
              </w:rPr>
              <w:t xml:space="preserve"> and</w:t>
            </w:r>
            <w:r w:rsidRPr="0647D145">
              <w:rPr>
                <w:rStyle w:val="tlid-translation"/>
                <w:rFonts w:eastAsiaTheme="minorEastAsia"/>
                <w:lang w:val="en"/>
              </w:rPr>
              <w:t xml:space="preserve"> the </w:t>
            </w:r>
            <w:r w:rsidR="7A4B6D68" w:rsidRPr="228D5310">
              <w:rPr>
                <w:rStyle w:val="tlid-translation"/>
                <w:rFonts w:eastAsiaTheme="minorEastAsia"/>
                <w:lang w:val="en"/>
              </w:rPr>
              <w:t xml:space="preserve">requested </w:t>
            </w:r>
            <w:r w:rsidR="005A41AA" w:rsidRPr="0647D145">
              <w:rPr>
                <w:rStyle w:val="tlid-translation"/>
                <w:rFonts w:eastAsiaTheme="minorEastAsia"/>
                <w:lang w:val="en"/>
              </w:rPr>
              <w:t xml:space="preserve">budget commensurate with the </w:t>
            </w:r>
            <w:r w:rsidR="00D16E12" w:rsidRPr="0647D145">
              <w:rPr>
                <w:rStyle w:val="tlid-translation"/>
                <w:rFonts w:eastAsiaTheme="minorEastAsia"/>
                <w:lang w:val="en"/>
              </w:rPr>
              <w:t>project timeline.</w:t>
            </w:r>
          </w:p>
          <w:p w14:paraId="4ED5D40B" w14:textId="693B2641" w:rsidR="002A2188" w:rsidRPr="00813E5E" w:rsidRDefault="002A2188" w:rsidP="00464B6C">
            <w:pPr>
              <w:pStyle w:val="Headingb"/>
            </w:pPr>
            <w:r w:rsidRPr="00813E5E">
              <w:t>Action required</w:t>
            </w:r>
          </w:p>
          <w:p w14:paraId="11BEDF88" w14:textId="77777777" w:rsidR="005E19DB" w:rsidRPr="00813E5E" w:rsidRDefault="005E19DB" w:rsidP="005E19DB">
            <w:pPr>
              <w:spacing w:after="120"/>
            </w:pPr>
            <w:r w:rsidRPr="00A160E3">
              <w:rPr>
                <w:rFonts w:asciiTheme="minorHAnsi" w:hAnsiTheme="minorHAnsi"/>
                <w:szCs w:val="24"/>
              </w:rPr>
              <w:t xml:space="preserve">This report is transmitted to </w:t>
            </w:r>
            <w:r>
              <w:rPr>
                <w:rFonts w:asciiTheme="minorHAnsi" w:hAnsiTheme="minorHAnsi"/>
                <w:szCs w:val="24"/>
              </w:rPr>
              <w:t xml:space="preserve">the </w:t>
            </w:r>
            <w:r w:rsidRPr="00A160E3">
              <w:rPr>
                <w:rFonts w:asciiTheme="minorHAnsi" w:hAnsiTheme="minorHAnsi"/>
                <w:szCs w:val="24"/>
              </w:rPr>
              <w:t xml:space="preserve">Council </w:t>
            </w:r>
            <w:r w:rsidRPr="00D403B2">
              <w:rPr>
                <w:rFonts w:asciiTheme="minorHAnsi" w:hAnsiTheme="minorHAnsi"/>
                <w:b/>
                <w:bCs/>
                <w:szCs w:val="24"/>
              </w:rPr>
              <w:t>for information</w:t>
            </w:r>
            <w:r>
              <w:rPr>
                <w:rFonts w:asciiTheme="minorHAnsi" w:hAnsiTheme="minorHAnsi"/>
                <w:szCs w:val="24"/>
              </w:rPr>
              <w:t>.</w:t>
            </w:r>
          </w:p>
          <w:p w14:paraId="08EE552C" w14:textId="77777777" w:rsidR="002A2188" w:rsidRPr="001928E7" w:rsidRDefault="002A2188" w:rsidP="00464B6C">
            <w:pPr>
              <w:pStyle w:val="Table"/>
              <w:keepNext w:val="0"/>
              <w:spacing w:before="0" w:after="0"/>
              <w:rPr>
                <w:rFonts w:ascii="Calibri" w:hAnsi="Calibri"/>
                <w:caps w:val="0"/>
                <w:sz w:val="22"/>
                <w:lang w:val="de-DE"/>
              </w:rPr>
            </w:pPr>
            <w:r w:rsidRPr="001928E7">
              <w:rPr>
                <w:rFonts w:ascii="Calibri" w:hAnsi="Calibri"/>
                <w:caps w:val="0"/>
                <w:sz w:val="22"/>
                <w:lang w:val="de-DE"/>
              </w:rPr>
              <w:t>____________</w:t>
            </w:r>
          </w:p>
          <w:p w14:paraId="3A462E8F" w14:textId="037A118B" w:rsidR="002A2188" w:rsidRPr="001928E7" w:rsidRDefault="002A2188" w:rsidP="00464B6C">
            <w:pPr>
              <w:pStyle w:val="Headingb"/>
              <w:rPr>
                <w:lang w:val="de-DE"/>
              </w:rPr>
            </w:pPr>
            <w:r w:rsidRPr="001928E7">
              <w:rPr>
                <w:lang w:val="de-DE"/>
              </w:rPr>
              <w:t>References</w:t>
            </w:r>
          </w:p>
          <w:p w14:paraId="1577BC94" w14:textId="477B91B1" w:rsidR="00920553" w:rsidRPr="006752BA" w:rsidRDefault="007C4718" w:rsidP="00920553">
            <w:pPr>
              <w:rPr>
                <w:rFonts w:asciiTheme="minorHAnsi" w:hAnsiTheme="minorHAnsi"/>
                <w:color w:val="000000"/>
                <w:szCs w:val="24"/>
                <w:shd w:val="clear" w:color="auto" w:fill="FFFFFF"/>
                <w:lang w:val="de-DE"/>
              </w:rPr>
            </w:pPr>
            <w:hyperlink r:id="rId12" w:history="1">
              <w:r w:rsidR="00920553" w:rsidRPr="001928E7">
                <w:rPr>
                  <w:rStyle w:val="Hyperlink"/>
                  <w:rFonts w:asciiTheme="minorHAnsi" w:hAnsiTheme="minorHAnsi"/>
                  <w:shd w:val="clear" w:color="auto" w:fill="FFFFFF"/>
                  <w:lang w:val="de-DE"/>
                </w:rPr>
                <w:t>Resolution 154 (Rev. Dubai, 2018)</w:t>
              </w:r>
            </w:hyperlink>
            <w:r w:rsidR="00EA6A57" w:rsidRPr="00EA6A57">
              <w:rPr>
                <w:rStyle w:val="Hyperlink"/>
                <w:rFonts w:asciiTheme="minorHAnsi" w:hAnsiTheme="minorHAnsi"/>
                <w:color w:val="auto"/>
                <w:u w:val="none"/>
                <w:shd w:val="clear" w:color="auto" w:fill="FFFFFF"/>
                <w:lang w:val="de-DE"/>
              </w:rPr>
              <w:t xml:space="preserve">; </w:t>
            </w:r>
            <w:hyperlink r:id="rId13" w:history="1">
              <w:r w:rsidR="00EA6A57" w:rsidRPr="00EA6A57">
                <w:rPr>
                  <w:rStyle w:val="Hyperlink"/>
                  <w:rFonts w:asciiTheme="minorHAnsi" w:hAnsiTheme="minorHAnsi"/>
                  <w:shd w:val="clear" w:color="auto" w:fill="FFFFFF"/>
                  <w:lang w:val="de-DE"/>
                </w:rPr>
                <w:t xml:space="preserve">Council </w:t>
              </w:r>
              <w:r w:rsidR="00920553" w:rsidRPr="00EA6A57">
                <w:rPr>
                  <w:rStyle w:val="Hyperlink"/>
                  <w:lang w:val="de-DE"/>
                </w:rPr>
                <w:t>Document C20/53</w:t>
              </w:r>
            </w:hyperlink>
            <w:r w:rsidR="00EA6A57" w:rsidRPr="00EA6A57">
              <w:rPr>
                <w:rStyle w:val="Hyperlink"/>
                <w:color w:val="auto"/>
                <w:u w:val="none"/>
                <w:lang w:val="de-DE"/>
              </w:rPr>
              <w:t xml:space="preserve">; </w:t>
            </w:r>
            <w:hyperlink r:id="rId14" w:history="1">
              <w:r w:rsidR="00920553" w:rsidRPr="006752BA">
                <w:rPr>
                  <w:rStyle w:val="Hyperlink"/>
                  <w:rFonts w:asciiTheme="minorHAnsi" w:eastAsia="SimSun" w:hAnsiTheme="minorHAnsi" w:cs="Times New Roman Bold"/>
                  <w:bCs/>
                  <w:spacing w:val="-4"/>
                  <w:szCs w:val="24"/>
                  <w:lang w:val="de-DE" w:eastAsia="zh-CN"/>
                </w:rPr>
                <w:t>CWG-FHR 12/3</w:t>
              </w:r>
            </w:hyperlink>
            <w:r w:rsidR="00EA6A57" w:rsidRPr="00EA6A57">
              <w:rPr>
                <w:rStyle w:val="Hyperlink"/>
                <w:rFonts w:asciiTheme="minorHAnsi" w:eastAsia="SimSun" w:hAnsiTheme="minorHAnsi" w:cs="Times New Roman Bold"/>
                <w:bCs/>
                <w:color w:val="auto"/>
                <w:spacing w:val="-4"/>
                <w:szCs w:val="24"/>
                <w:u w:val="none"/>
                <w:lang w:val="de-DE" w:eastAsia="zh-CN"/>
              </w:rPr>
              <w:t xml:space="preserve">; </w:t>
            </w:r>
            <w:r w:rsidR="00920553" w:rsidRPr="006752BA">
              <w:rPr>
                <w:rFonts w:asciiTheme="minorHAnsi" w:hAnsiTheme="minorHAnsi"/>
                <w:color w:val="FF0000"/>
                <w:szCs w:val="24"/>
                <w:shd w:val="clear" w:color="auto" w:fill="FFFFFF"/>
                <w:lang w:val="de-DE"/>
              </w:rPr>
              <w:t>  </w:t>
            </w:r>
          </w:p>
          <w:p w14:paraId="67F93465" w14:textId="6F78ED8F" w:rsidR="00920553" w:rsidRPr="00813E5E" w:rsidRDefault="007C4718" w:rsidP="00920553">
            <w:pPr>
              <w:rPr>
                <w:i/>
                <w:iCs/>
              </w:rPr>
            </w:pPr>
            <w:hyperlink r:id="rId15" w:history="1">
              <w:r w:rsidR="00920553" w:rsidRPr="006752BA">
                <w:rPr>
                  <w:rStyle w:val="Hyperlink"/>
                  <w:rFonts w:asciiTheme="minorHAnsi" w:hAnsiTheme="minorHAnsi" w:cstheme="minorHAnsi"/>
                  <w:bCs/>
                  <w:szCs w:val="24"/>
                  <w:lang w:val="de-DE"/>
                </w:rPr>
                <w:t>CWG-FHR-12/17</w:t>
              </w:r>
            </w:hyperlink>
            <w:r w:rsidR="00EA6A57" w:rsidRPr="00EA6A57">
              <w:rPr>
                <w:rStyle w:val="Hyperlink"/>
                <w:rFonts w:asciiTheme="minorHAnsi" w:hAnsiTheme="minorHAnsi" w:cstheme="minorHAnsi"/>
                <w:bCs/>
                <w:color w:val="auto"/>
                <w:szCs w:val="24"/>
                <w:u w:val="none"/>
                <w:lang w:val="de-DE"/>
              </w:rPr>
              <w:t xml:space="preserve">; </w:t>
            </w:r>
            <w:hyperlink r:id="rId16" w:history="1">
              <w:r w:rsidR="00920553" w:rsidRPr="006752BA">
                <w:rPr>
                  <w:rStyle w:val="Hyperlink"/>
                  <w:rFonts w:asciiTheme="minorHAnsi" w:hAnsiTheme="minorHAnsi"/>
                  <w:bCs/>
                  <w:szCs w:val="24"/>
                  <w:lang w:val="de-DE"/>
                </w:rPr>
                <w:t>CWG-LANG/11/5</w:t>
              </w:r>
            </w:hyperlink>
            <w:r w:rsidR="00EA6A57" w:rsidRPr="00EA6A57">
              <w:rPr>
                <w:rStyle w:val="Hyperlink"/>
                <w:rFonts w:asciiTheme="minorHAnsi" w:hAnsiTheme="minorHAnsi"/>
                <w:bCs/>
                <w:color w:val="auto"/>
                <w:szCs w:val="24"/>
                <w:u w:val="none"/>
                <w:lang w:val="de-DE"/>
              </w:rPr>
              <w:t xml:space="preserve">; </w:t>
            </w:r>
            <w:hyperlink r:id="rId17">
              <w:r w:rsidR="00920553" w:rsidRPr="0647D145">
                <w:rPr>
                  <w:rStyle w:val="Hyperlink"/>
                  <w:rFonts w:asciiTheme="minorHAnsi" w:hAnsiTheme="minorHAnsi"/>
                </w:rPr>
                <w:t>ISCG/21-1/INF/1</w:t>
              </w:r>
            </w:hyperlink>
            <w:r w:rsidR="00984FA5" w:rsidRPr="00984FA5">
              <w:rPr>
                <w:rStyle w:val="Hyperlink"/>
                <w:rFonts w:asciiTheme="minorHAnsi" w:hAnsiTheme="minorHAnsi"/>
                <w:color w:val="auto"/>
                <w:u w:val="none"/>
              </w:rPr>
              <w:t xml:space="preserve">; </w:t>
            </w:r>
            <w:hyperlink r:id="rId18" w:history="1">
              <w:r w:rsidR="00984FA5">
                <w:rPr>
                  <w:rStyle w:val="Hyperlink"/>
                </w:rPr>
                <w:t>C21/49</w:t>
              </w:r>
            </w:hyperlink>
          </w:p>
          <w:p w14:paraId="6F7E2875" w14:textId="77777777" w:rsidR="002A2188" w:rsidRPr="00813E5E" w:rsidRDefault="002A2188" w:rsidP="00464B6C">
            <w:pPr>
              <w:rPr>
                <w:i/>
                <w:iCs/>
              </w:rPr>
            </w:pPr>
          </w:p>
        </w:tc>
      </w:tr>
    </w:tbl>
    <w:p w14:paraId="02D9A35F" w14:textId="77777777" w:rsidR="00264425" w:rsidRDefault="00264425" w:rsidP="00DB384B">
      <w:pPr>
        <w:rPr>
          <w:lang w:val="en-US"/>
        </w:rPr>
      </w:pPr>
      <w:bookmarkStart w:id="8" w:name="dstart"/>
      <w:bookmarkStart w:id="9" w:name="dbreak"/>
      <w:bookmarkEnd w:id="8"/>
      <w:bookmarkEnd w:id="9"/>
    </w:p>
    <w:p w14:paraId="52144BE2" w14:textId="77777777" w:rsidR="00EA6A57" w:rsidRPr="00EA6A57" w:rsidRDefault="00EA6A57">
      <w:pPr>
        <w:tabs>
          <w:tab w:val="clear" w:pos="567"/>
          <w:tab w:val="clear" w:pos="1134"/>
          <w:tab w:val="clear" w:pos="1701"/>
          <w:tab w:val="clear" w:pos="2268"/>
          <w:tab w:val="clear" w:pos="2835"/>
        </w:tabs>
        <w:overflowPunct/>
        <w:autoSpaceDE/>
        <w:autoSpaceDN/>
        <w:adjustRightInd/>
        <w:spacing w:before="0"/>
        <w:textAlignment w:val="auto"/>
        <w:rPr>
          <w:rFonts w:cs="Calibri"/>
          <w:color w:val="201F1E"/>
          <w:szCs w:val="24"/>
          <w:bdr w:val="none" w:sz="0" w:space="0" w:color="auto" w:frame="1"/>
          <w:lang w:eastAsia="en-GB"/>
        </w:rPr>
      </w:pPr>
      <w:r w:rsidRPr="00EA6A57">
        <w:rPr>
          <w:rFonts w:cs="Calibri"/>
          <w:color w:val="201F1E"/>
          <w:bdr w:val="none" w:sz="0" w:space="0" w:color="auto" w:frame="1"/>
        </w:rPr>
        <w:br w:type="page"/>
      </w:r>
    </w:p>
    <w:p w14:paraId="2E2B2788" w14:textId="0E00DC68" w:rsidR="006D278D" w:rsidRPr="00EA6A57" w:rsidRDefault="006D278D" w:rsidP="000255A1">
      <w:pPr>
        <w:pStyle w:val="xmsonormal"/>
        <w:shd w:val="clear" w:color="auto" w:fill="FFFFFF"/>
        <w:spacing w:before="120" w:beforeAutospacing="0" w:after="120" w:afterAutospacing="0"/>
        <w:rPr>
          <w:rFonts w:asciiTheme="minorHAnsi" w:hAnsiTheme="minorHAnsi" w:cstheme="minorHAnsi"/>
          <w:color w:val="201F1E"/>
          <w:u w:val="single"/>
          <w:bdr w:val="none" w:sz="0" w:space="0" w:color="auto" w:frame="1"/>
        </w:rPr>
      </w:pPr>
      <w:r w:rsidRPr="00EA6A57">
        <w:rPr>
          <w:rFonts w:asciiTheme="minorHAnsi" w:hAnsiTheme="minorHAnsi" w:cstheme="minorHAnsi"/>
          <w:color w:val="201F1E"/>
          <w:u w:val="single"/>
          <w:bdr w:val="none" w:sz="0" w:space="0" w:color="auto" w:frame="1"/>
        </w:rPr>
        <w:lastRenderedPageBreak/>
        <w:t>Proposal</w:t>
      </w:r>
    </w:p>
    <w:p w14:paraId="01EB6DC6" w14:textId="507B70B5" w:rsidR="006D278D" w:rsidRPr="00EA6A57" w:rsidRDefault="006D278D" w:rsidP="00CE1CD2">
      <w:pPr>
        <w:jc w:val="both"/>
        <w:rPr>
          <w:rFonts w:asciiTheme="minorHAnsi" w:hAnsiTheme="minorHAnsi" w:cstheme="minorHAnsi"/>
          <w:lang w:val="en-US"/>
        </w:rPr>
      </w:pPr>
      <w:r w:rsidRPr="00EA6A57">
        <w:rPr>
          <w:rFonts w:asciiTheme="minorHAnsi" w:hAnsiTheme="minorHAnsi" w:cstheme="minorHAnsi"/>
          <w:lang w:val="en-US"/>
        </w:rPr>
        <w:t xml:space="preserve">The </w:t>
      </w:r>
      <w:r w:rsidR="00AD0863" w:rsidRPr="00EA6A57">
        <w:rPr>
          <w:rFonts w:asciiTheme="minorHAnsi" w:hAnsiTheme="minorHAnsi" w:cstheme="minorHAnsi"/>
          <w:lang w:val="en-US"/>
        </w:rPr>
        <w:t xml:space="preserve">ITU </w:t>
      </w:r>
      <w:r w:rsidR="00EA6A57">
        <w:rPr>
          <w:rFonts w:asciiTheme="minorHAnsi" w:hAnsiTheme="minorHAnsi" w:cstheme="minorHAnsi"/>
          <w:lang w:val="en-US"/>
        </w:rPr>
        <w:t>s</w:t>
      </w:r>
      <w:r w:rsidRPr="00EA6A57">
        <w:rPr>
          <w:rFonts w:asciiTheme="minorHAnsi" w:hAnsiTheme="minorHAnsi" w:cstheme="minorHAnsi"/>
          <w:lang w:val="en-US"/>
        </w:rPr>
        <w:t xml:space="preserve">ecretariat is seeking a CHF 2 million investment to give ITU </w:t>
      </w:r>
      <w:r w:rsidR="007B1BDD" w:rsidRPr="00EA6A57">
        <w:rPr>
          <w:rFonts w:asciiTheme="minorHAnsi" w:hAnsiTheme="minorHAnsi" w:cstheme="minorHAnsi"/>
          <w:lang w:val="en-US"/>
        </w:rPr>
        <w:t>members</w:t>
      </w:r>
      <w:r w:rsidR="7F2B8788" w:rsidRPr="00EA6A57">
        <w:rPr>
          <w:rFonts w:asciiTheme="minorHAnsi" w:hAnsiTheme="minorHAnsi" w:cstheme="minorHAnsi"/>
          <w:lang w:val="en-US"/>
        </w:rPr>
        <w:t xml:space="preserve"> and</w:t>
      </w:r>
      <w:r w:rsidR="007B1BDD" w:rsidRPr="00EA6A57">
        <w:rPr>
          <w:rFonts w:asciiTheme="minorHAnsi" w:hAnsiTheme="minorHAnsi" w:cstheme="minorHAnsi"/>
          <w:lang w:val="en-US"/>
        </w:rPr>
        <w:t xml:space="preserve"> </w:t>
      </w:r>
      <w:r w:rsidRPr="00EA6A57">
        <w:rPr>
          <w:rFonts w:asciiTheme="minorHAnsi" w:hAnsiTheme="minorHAnsi" w:cstheme="minorHAnsi"/>
          <w:lang w:val="en-US"/>
        </w:rPr>
        <w:t>other visitors a secure, mobile</w:t>
      </w:r>
      <w:r w:rsidR="004A028A" w:rsidRPr="00EA6A57">
        <w:rPr>
          <w:rFonts w:asciiTheme="minorHAnsi" w:hAnsiTheme="minorHAnsi" w:cstheme="minorHAnsi"/>
          <w:lang w:val="en-US"/>
        </w:rPr>
        <w:t>-first</w:t>
      </w:r>
      <w:r w:rsidRPr="00EA6A57">
        <w:rPr>
          <w:rFonts w:asciiTheme="minorHAnsi" w:hAnsiTheme="minorHAnsi" w:cstheme="minorHAnsi"/>
          <w:lang w:val="en-US"/>
        </w:rPr>
        <w:t xml:space="preserve"> website </w:t>
      </w:r>
      <w:r w:rsidR="00620C8D">
        <w:rPr>
          <w:rFonts w:asciiTheme="minorHAnsi" w:hAnsiTheme="minorHAnsi" w:cstheme="minorHAnsi"/>
          <w:lang w:val="en-US"/>
        </w:rPr>
        <w:t xml:space="preserve">which supports content </w:t>
      </w:r>
      <w:r w:rsidRPr="00EA6A57">
        <w:rPr>
          <w:rFonts w:asciiTheme="minorHAnsi" w:hAnsiTheme="minorHAnsi" w:cstheme="minorHAnsi"/>
          <w:lang w:val="en-US"/>
        </w:rPr>
        <w:t xml:space="preserve">in </w:t>
      </w:r>
      <w:r w:rsidR="004A028A" w:rsidRPr="00EA6A57">
        <w:rPr>
          <w:rFonts w:asciiTheme="minorHAnsi" w:hAnsiTheme="minorHAnsi" w:cstheme="minorHAnsi"/>
          <w:lang w:val="en-US"/>
        </w:rPr>
        <w:t xml:space="preserve">the </w:t>
      </w:r>
      <w:r w:rsidRPr="00EA6A57">
        <w:rPr>
          <w:rFonts w:asciiTheme="minorHAnsi" w:hAnsiTheme="minorHAnsi" w:cstheme="minorHAnsi"/>
          <w:lang w:val="en-US"/>
        </w:rPr>
        <w:t xml:space="preserve">six languages </w:t>
      </w:r>
      <w:r w:rsidR="004A028A" w:rsidRPr="00EA6A57">
        <w:rPr>
          <w:rFonts w:asciiTheme="minorHAnsi" w:hAnsiTheme="minorHAnsi" w:cstheme="minorHAnsi"/>
          <w:lang w:val="en-US"/>
        </w:rPr>
        <w:t xml:space="preserve">of the Union on an equal footing, </w:t>
      </w:r>
      <w:r w:rsidRPr="00EA6A57">
        <w:rPr>
          <w:rFonts w:asciiTheme="minorHAnsi" w:hAnsiTheme="minorHAnsi" w:cstheme="minorHAnsi"/>
          <w:lang w:val="en-US"/>
        </w:rPr>
        <w:t>with a consistent structure</w:t>
      </w:r>
      <w:r w:rsidR="00D16E12" w:rsidRPr="00EA6A57">
        <w:rPr>
          <w:rFonts w:asciiTheme="minorHAnsi" w:hAnsiTheme="minorHAnsi" w:cstheme="minorHAnsi"/>
          <w:lang w:val="en-US"/>
        </w:rPr>
        <w:t xml:space="preserve"> and </w:t>
      </w:r>
      <w:r w:rsidR="00744406" w:rsidRPr="00EA6A57">
        <w:rPr>
          <w:rFonts w:asciiTheme="minorHAnsi" w:hAnsiTheme="minorHAnsi" w:cstheme="minorHAnsi"/>
          <w:lang w:val="en-US"/>
        </w:rPr>
        <w:t>One</w:t>
      </w:r>
      <w:r w:rsidR="00446B28" w:rsidRPr="00EA6A57">
        <w:rPr>
          <w:rFonts w:asciiTheme="minorHAnsi" w:hAnsiTheme="minorHAnsi" w:cstheme="minorHAnsi"/>
          <w:lang w:val="en-US"/>
        </w:rPr>
        <w:t xml:space="preserve"> </w:t>
      </w:r>
      <w:r w:rsidR="00744406" w:rsidRPr="00EA6A57">
        <w:rPr>
          <w:rFonts w:asciiTheme="minorHAnsi" w:hAnsiTheme="minorHAnsi" w:cstheme="minorHAnsi"/>
          <w:lang w:val="en-US"/>
        </w:rPr>
        <w:t xml:space="preserve">ITU </w:t>
      </w:r>
      <w:r w:rsidRPr="00EA6A57">
        <w:rPr>
          <w:rFonts w:asciiTheme="minorHAnsi" w:hAnsiTheme="minorHAnsi" w:cstheme="minorHAnsi"/>
          <w:lang w:val="en-US"/>
        </w:rPr>
        <w:t>look and feel across all activities of the Union</w:t>
      </w:r>
      <w:r w:rsidR="004A028A" w:rsidRPr="00EA6A57">
        <w:rPr>
          <w:rFonts w:asciiTheme="minorHAnsi" w:hAnsiTheme="minorHAnsi" w:cstheme="minorHAnsi"/>
          <w:lang w:val="en-US"/>
        </w:rPr>
        <w:t>.</w:t>
      </w:r>
    </w:p>
    <w:p w14:paraId="1FADB443" w14:textId="18E9A51C" w:rsidR="00C450EF" w:rsidRPr="00EA6A57" w:rsidRDefault="006752BA" w:rsidP="00CE1CD2">
      <w:pPr>
        <w:pStyle w:val="xmsonormal"/>
        <w:shd w:val="clear" w:color="auto" w:fill="FFFFFF"/>
        <w:spacing w:before="120" w:beforeAutospacing="0" w:after="120" w:afterAutospacing="0"/>
        <w:jc w:val="both"/>
        <w:rPr>
          <w:rFonts w:asciiTheme="minorHAnsi" w:hAnsiTheme="minorHAnsi" w:cstheme="minorHAnsi"/>
          <w:color w:val="201F1E"/>
          <w:u w:val="single"/>
          <w:bdr w:val="none" w:sz="0" w:space="0" w:color="auto" w:frame="1"/>
        </w:rPr>
      </w:pPr>
      <w:r w:rsidRPr="00EA6A57">
        <w:rPr>
          <w:rFonts w:asciiTheme="minorHAnsi" w:hAnsiTheme="minorHAnsi" w:cstheme="minorHAnsi"/>
          <w:color w:val="201F1E"/>
          <w:u w:val="single"/>
          <w:bdr w:val="none" w:sz="0" w:space="0" w:color="auto" w:frame="1"/>
        </w:rPr>
        <w:t>Background</w:t>
      </w:r>
    </w:p>
    <w:p w14:paraId="21E07DEB" w14:textId="73AD05D0" w:rsidR="00165AF9" w:rsidRPr="00EA6A57" w:rsidRDefault="00C450EF" w:rsidP="00CE1CD2">
      <w:pPr>
        <w:jc w:val="both"/>
        <w:rPr>
          <w:rFonts w:asciiTheme="minorHAnsi" w:hAnsiTheme="minorHAnsi" w:cstheme="minorHAnsi"/>
        </w:rPr>
      </w:pPr>
      <w:r w:rsidRPr="00EA6A57">
        <w:rPr>
          <w:rFonts w:asciiTheme="minorHAnsi" w:hAnsiTheme="minorHAnsi" w:cstheme="minorHAnsi"/>
          <w:lang w:val="en-US"/>
        </w:rPr>
        <w:t>ITU</w:t>
      </w:r>
      <w:r w:rsidR="00CE1CD2">
        <w:rPr>
          <w:rFonts w:asciiTheme="minorHAnsi" w:hAnsiTheme="minorHAnsi" w:cstheme="minorHAnsi"/>
          <w:lang w:val="en-US"/>
        </w:rPr>
        <w:t>’</w:t>
      </w:r>
      <w:r w:rsidRPr="00EA6A57">
        <w:rPr>
          <w:rFonts w:asciiTheme="minorHAnsi" w:hAnsiTheme="minorHAnsi" w:cstheme="minorHAnsi"/>
          <w:lang w:val="en-US"/>
        </w:rPr>
        <w:t xml:space="preserve">s current website is built on a legacy platform that </w:t>
      </w:r>
      <w:r w:rsidR="00165AF9" w:rsidRPr="00EA6A57">
        <w:rPr>
          <w:rFonts w:asciiTheme="minorHAnsi" w:hAnsiTheme="minorHAnsi" w:cstheme="minorHAnsi"/>
          <w:lang w:val="en-US"/>
        </w:rPr>
        <w:t xml:space="preserve">is more than 10 years old and </w:t>
      </w:r>
      <w:r w:rsidRPr="00EA6A57">
        <w:rPr>
          <w:rFonts w:asciiTheme="minorHAnsi" w:hAnsiTheme="minorHAnsi" w:cstheme="minorHAnsi"/>
          <w:lang w:val="en-US"/>
        </w:rPr>
        <w:t>will no longer be supported by the vendor</w:t>
      </w:r>
      <w:r w:rsidR="00B64F35" w:rsidRPr="00EA6A57">
        <w:rPr>
          <w:rFonts w:asciiTheme="minorHAnsi" w:hAnsiTheme="minorHAnsi" w:cstheme="minorHAnsi"/>
          <w:lang w:val="en-US"/>
        </w:rPr>
        <w:t xml:space="preserve"> </w:t>
      </w:r>
      <w:r w:rsidR="002A6502" w:rsidRPr="00EA6A57">
        <w:rPr>
          <w:rFonts w:asciiTheme="minorHAnsi" w:hAnsiTheme="minorHAnsi" w:cstheme="minorHAnsi"/>
          <w:lang w:val="en-US"/>
        </w:rPr>
        <w:t>in</w:t>
      </w:r>
      <w:r w:rsidR="00B64F35" w:rsidRPr="00EA6A57">
        <w:rPr>
          <w:rFonts w:asciiTheme="minorHAnsi" w:hAnsiTheme="minorHAnsi" w:cstheme="minorHAnsi"/>
          <w:lang w:val="en-US"/>
        </w:rPr>
        <w:t xml:space="preserve"> 2023</w:t>
      </w:r>
      <w:r w:rsidR="00165AF9" w:rsidRPr="00EA6A57">
        <w:rPr>
          <w:rFonts w:asciiTheme="minorHAnsi" w:hAnsiTheme="minorHAnsi" w:cstheme="minorHAnsi"/>
          <w:lang w:val="en-US"/>
        </w:rPr>
        <w:t xml:space="preserve">. The current site also lacks modern security features making it vulnerable to cyber-attacks, which could have a significant disruptive impact during major conferences or study groups, especially as such meetings are now paperless. </w:t>
      </w:r>
      <w:r w:rsidR="00165AF9" w:rsidRPr="00EA6A57">
        <w:rPr>
          <w:rFonts w:asciiTheme="minorHAnsi" w:eastAsia="Calibri" w:hAnsiTheme="minorHAnsi" w:cstheme="minorHAnsi"/>
          <w:color w:val="000000" w:themeColor="text1"/>
        </w:rPr>
        <w:t xml:space="preserve">This exposes ITU to business continuity, security and reputational risks as the UN specialized agency for ICT. </w:t>
      </w:r>
      <w:r w:rsidR="00FD450B" w:rsidRPr="00EA6A57">
        <w:rPr>
          <w:rFonts w:asciiTheme="minorHAnsi" w:eastAsia="Calibri" w:hAnsiTheme="minorHAnsi" w:cstheme="minorHAnsi"/>
          <w:color w:val="000000" w:themeColor="text1"/>
        </w:rPr>
        <w:t>F</w:t>
      </w:r>
      <w:r w:rsidR="00165AF9" w:rsidRPr="00EA6A57">
        <w:rPr>
          <w:rFonts w:asciiTheme="minorHAnsi" w:eastAsia="Calibri" w:hAnsiTheme="minorHAnsi" w:cstheme="minorHAnsi"/>
          <w:color w:val="000000" w:themeColor="text1"/>
        </w:rPr>
        <w:t xml:space="preserve">urthermore, </w:t>
      </w:r>
      <w:r w:rsidR="00FD450B" w:rsidRPr="00EA6A57">
        <w:rPr>
          <w:rFonts w:asciiTheme="minorHAnsi" w:eastAsia="Calibri" w:hAnsiTheme="minorHAnsi" w:cstheme="minorHAnsi"/>
          <w:color w:val="000000" w:themeColor="text1"/>
        </w:rPr>
        <w:t xml:space="preserve">while </w:t>
      </w:r>
      <w:r w:rsidR="00165AF9" w:rsidRPr="00EA6A57">
        <w:rPr>
          <w:rFonts w:asciiTheme="minorHAnsi" w:eastAsia="Calibri" w:hAnsiTheme="minorHAnsi" w:cstheme="minorHAnsi"/>
          <w:color w:val="000000" w:themeColor="text1"/>
        </w:rPr>
        <w:t>Member States request implementation of 6 language content across the website,</w:t>
      </w:r>
      <w:r w:rsidR="00FD450B" w:rsidRPr="00EA6A57">
        <w:rPr>
          <w:rFonts w:asciiTheme="minorHAnsi" w:eastAsia="Calibri" w:hAnsiTheme="minorHAnsi" w:cstheme="minorHAnsi"/>
          <w:color w:val="000000" w:themeColor="text1"/>
        </w:rPr>
        <w:t xml:space="preserve"> the current platform does</w:t>
      </w:r>
      <w:r w:rsidR="00FE1D3E" w:rsidRPr="00EA6A57">
        <w:rPr>
          <w:rFonts w:asciiTheme="minorHAnsi" w:eastAsia="Calibri" w:hAnsiTheme="minorHAnsi" w:cstheme="minorHAnsi"/>
          <w:color w:val="000000" w:themeColor="text1"/>
        </w:rPr>
        <w:t xml:space="preserve"> not allow to take advantage of alternative translation procedures. F</w:t>
      </w:r>
      <w:r w:rsidR="3C998303" w:rsidRPr="00EA6A57">
        <w:rPr>
          <w:rFonts w:asciiTheme="minorHAnsi" w:eastAsia="Calibri" w:hAnsiTheme="minorHAnsi" w:cstheme="minorHAnsi"/>
          <w:color w:val="000000" w:themeColor="text1"/>
        </w:rPr>
        <w:t>urthermore</w:t>
      </w:r>
      <w:r w:rsidR="00FE1D3E" w:rsidRPr="00EA6A57">
        <w:rPr>
          <w:rFonts w:asciiTheme="minorHAnsi" w:eastAsia="Calibri" w:hAnsiTheme="minorHAnsi" w:cstheme="minorHAnsi"/>
          <w:color w:val="000000" w:themeColor="text1"/>
        </w:rPr>
        <w:t>,</w:t>
      </w:r>
      <w:r w:rsidR="00165AF9" w:rsidRPr="00EA6A57">
        <w:rPr>
          <w:rFonts w:asciiTheme="minorHAnsi" w:eastAsia="Calibri" w:hAnsiTheme="minorHAnsi" w:cstheme="minorHAnsi"/>
          <w:color w:val="000000" w:themeColor="text1"/>
        </w:rPr>
        <w:t xml:space="preserve"> </w:t>
      </w:r>
      <w:r w:rsidR="005969B6" w:rsidRPr="00EA6A57">
        <w:rPr>
          <w:rFonts w:asciiTheme="minorHAnsi" w:hAnsiTheme="minorHAnsi" w:cstheme="minorHAnsi"/>
          <w:lang w:val="en-US"/>
        </w:rPr>
        <w:t>the organization of information is not consistent across the Sectors and the General Secretariat making it difficult for delegates to find the information they need. It is also not easy to use on mobile devices.</w:t>
      </w:r>
      <w:r w:rsidR="32423402" w:rsidRPr="00EA6A57">
        <w:rPr>
          <w:rFonts w:asciiTheme="minorHAnsi" w:hAnsiTheme="minorHAnsi" w:cstheme="minorHAnsi"/>
          <w:lang w:val="en-US"/>
        </w:rPr>
        <w:t xml:space="preserve"> F</w:t>
      </w:r>
      <w:r w:rsidR="4712CF51" w:rsidRPr="00EA6A57">
        <w:rPr>
          <w:rFonts w:asciiTheme="minorHAnsi" w:hAnsiTheme="minorHAnsi" w:cstheme="minorHAnsi"/>
          <w:lang w:val="en-US"/>
        </w:rPr>
        <w:t>inally</w:t>
      </w:r>
      <w:r w:rsidR="32423402" w:rsidRPr="00EA6A57">
        <w:rPr>
          <w:rFonts w:asciiTheme="minorHAnsi" w:hAnsiTheme="minorHAnsi" w:cstheme="minorHAnsi"/>
          <w:lang w:val="en-US"/>
        </w:rPr>
        <w:t>, the COVID-19 crisis has demonstrated the importance of a modern</w:t>
      </w:r>
      <w:r w:rsidR="61F70E78" w:rsidRPr="00EA6A57">
        <w:rPr>
          <w:rFonts w:asciiTheme="minorHAnsi" w:hAnsiTheme="minorHAnsi" w:cstheme="minorHAnsi"/>
          <w:lang w:val="en-US"/>
        </w:rPr>
        <w:t>, secure</w:t>
      </w:r>
      <w:r w:rsidR="32423402" w:rsidRPr="00EA6A57">
        <w:rPr>
          <w:rFonts w:asciiTheme="minorHAnsi" w:hAnsiTheme="minorHAnsi" w:cstheme="minorHAnsi"/>
          <w:lang w:val="en-US"/>
        </w:rPr>
        <w:t xml:space="preserve"> website which allows for efficient translation</w:t>
      </w:r>
      <w:r w:rsidR="347DEAE8" w:rsidRPr="00EA6A57">
        <w:rPr>
          <w:rFonts w:asciiTheme="minorHAnsi" w:hAnsiTheme="minorHAnsi" w:cstheme="minorHAnsi"/>
          <w:lang w:val="en-US"/>
        </w:rPr>
        <w:t>, publishing</w:t>
      </w:r>
      <w:r w:rsidR="32423402" w:rsidRPr="00EA6A57">
        <w:rPr>
          <w:rFonts w:asciiTheme="minorHAnsi" w:hAnsiTheme="minorHAnsi" w:cstheme="minorHAnsi"/>
          <w:lang w:val="en-US"/>
        </w:rPr>
        <w:t xml:space="preserve"> and work processes.</w:t>
      </w:r>
    </w:p>
    <w:p w14:paraId="44902CB2" w14:textId="2174FA29" w:rsidR="000255A1" w:rsidRPr="00EA6A57" w:rsidRDefault="000255A1" w:rsidP="00CE1CD2">
      <w:pPr>
        <w:pStyle w:val="xmsonormal"/>
        <w:shd w:val="clear" w:color="auto" w:fill="FFFFFF"/>
        <w:spacing w:before="120" w:beforeAutospacing="0" w:after="120" w:afterAutospacing="0"/>
        <w:jc w:val="both"/>
        <w:rPr>
          <w:rFonts w:asciiTheme="minorHAnsi" w:hAnsiTheme="minorHAnsi" w:cstheme="minorHAnsi"/>
          <w:color w:val="201F1E"/>
          <w:u w:val="single"/>
          <w:bdr w:val="none" w:sz="0" w:space="0" w:color="auto" w:frame="1"/>
        </w:rPr>
      </w:pPr>
      <w:r w:rsidRPr="00EA6A57">
        <w:rPr>
          <w:rFonts w:asciiTheme="minorHAnsi" w:hAnsiTheme="minorHAnsi" w:cstheme="minorHAnsi"/>
          <w:color w:val="201F1E"/>
          <w:u w:val="single"/>
          <w:bdr w:val="none" w:sz="0" w:space="0" w:color="auto" w:frame="1"/>
        </w:rPr>
        <w:t>Objectives</w:t>
      </w:r>
    </w:p>
    <w:p w14:paraId="6A0F8E91" w14:textId="52DCC00E" w:rsidR="000255A1" w:rsidRPr="00EA6A57" w:rsidRDefault="000255A1" w:rsidP="00CE1CD2">
      <w:pPr>
        <w:pStyle w:val="xmsonormal"/>
        <w:numPr>
          <w:ilvl w:val="0"/>
          <w:numId w:val="4"/>
        </w:numPr>
        <w:shd w:val="clear" w:color="auto" w:fill="FFFFFF" w:themeFill="background1"/>
        <w:spacing w:before="120" w:beforeAutospacing="0" w:after="120" w:afterAutospacing="0"/>
        <w:jc w:val="both"/>
        <w:rPr>
          <w:rFonts w:asciiTheme="minorHAnsi" w:hAnsiTheme="minorHAnsi" w:cstheme="minorHAnsi"/>
          <w:bdr w:val="none" w:sz="0" w:space="0" w:color="auto" w:frame="1"/>
        </w:rPr>
      </w:pPr>
      <w:r w:rsidRPr="00EA6A57">
        <w:rPr>
          <w:rFonts w:asciiTheme="minorHAnsi" w:hAnsiTheme="minorHAnsi" w:cstheme="minorHAnsi"/>
          <w:bdr w:val="none" w:sz="0" w:space="0" w:color="auto" w:frame="1"/>
        </w:rPr>
        <w:t xml:space="preserve">Business continuity. </w:t>
      </w:r>
      <w:r w:rsidR="006752BA" w:rsidRPr="00EA6A57">
        <w:rPr>
          <w:rFonts w:asciiTheme="minorHAnsi" w:hAnsiTheme="minorHAnsi" w:cstheme="minorHAnsi"/>
          <w:bdr w:val="none" w:sz="0" w:space="0" w:color="auto" w:frame="1"/>
        </w:rPr>
        <w:t>Utiliz</w:t>
      </w:r>
      <w:r w:rsidR="3D1DB525" w:rsidRPr="00EA6A57">
        <w:rPr>
          <w:rFonts w:asciiTheme="minorHAnsi" w:hAnsiTheme="minorHAnsi" w:cstheme="minorHAnsi"/>
          <w:bdr w:val="none" w:sz="0" w:space="0" w:color="auto" w:frame="1"/>
        </w:rPr>
        <w:t>ing</w:t>
      </w:r>
      <w:r w:rsidR="006752BA" w:rsidRPr="00EA6A57">
        <w:rPr>
          <w:rFonts w:asciiTheme="minorHAnsi" w:hAnsiTheme="minorHAnsi" w:cstheme="minorHAnsi"/>
          <w:bdr w:val="none" w:sz="0" w:space="0" w:color="auto" w:frame="1"/>
        </w:rPr>
        <w:t xml:space="preserve"> </w:t>
      </w:r>
      <w:r w:rsidR="006752BA" w:rsidRPr="00EA6A57">
        <w:rPr>
          <w:rFonts w:asciiTheme="minorHAnsi" w:hAnsiTheme="minorHAnsi" w:cstheme="minorHAnsi"/>
          <w:shd w:val="clear" w:color="auto" w:fill="FFFFFF"/>
        </w:rPr>
        <w:t>a modern cloud-based IT platform to reduce business process costs when compared to current on-premise IT hosting and management, making better use limited ITU resources and ensuring 24-hour reliable service for ITU</w:t>
      </w:r>
      <w:r w:rsidR="00CE1CD2">
        <w:rPr>
          <w:rFonts w:asciiTheme="minorHAnsi" w:hAnsiTheme="minorHAnsi" w:cstheme="minorHAnsi"/>
          <w:shd w:val="clear" w:color="auto" w:fill="FFFFFF"/>
        </w:rPr>
        <w:t>’</w:t>
      </w:r>
      <w:r w:rsidR="006752BA" w:rsidRPr="00EA6A57">
        <w:rPr>
          <w:rFonts w:asciiTheme="minorHAnsi" w:hAnsiTheme="minorHAnsi" w:cstheme="minorHAnsi"/>
          <w:shd w:val="clear" w:color="auto" w:fill="FFFFFF"/>
        </w:rPr>
        <w:t xml:space="preserve">s global membership and visitors, as well as Regional and Area </w:t>
      </w:r>
      <w:r w:rsidR="4774F193" w:rsidRPr="00EA6A57">
        <w:rPr>
          <w:rFonts w:asciiTheme="minorHAnsi" w:hAnsiTheme="minorHAnsi" w:cstheme="minorHAnsi"/>
          <w:shd w:val="clear" w:color="auto" w:fill="FFFFFF"/>
        </w:rPr>
        <w:t>O</w:t>
      </w:r>
      <w:r w:rsidR="006752BA" w:rsidRPr="00EA6A57">
        <w:rPr>
          <w:rFonts w:asciiTheme="minorHAnsi" w:hAnsiTheme="minorHAnsi" w:cstheme="minorHAnsi"/>
          <w:shd w:val="clear" w:color="auto" w:fill="FFFFFF"/>
        </w:rPr>
        <w:t>ffices.</w:t>
      </w:r>
    </w:p>
    <w:p w14:paraId="04FAF0E1" w14:textId="6F2A3073" w:rsidR="002D40BF" w:rsidRPr="00EA6A57" w:rsidRDefault="000255A1" w:rsidP="00CE1CD2">
      <w:pPr>
        <w:pStyle w:val="xmsonormal"/>
        <w:numPr>
          <w:ilvl w:val="0"/>
          <w:numId w:val="4"/>
        </w:numPr>
        <w:shd w:val="clear" w:color="auto" w:fill="FFFFFF"/>
        <w:spacing w:before="120" w:beforeAutospacing="0" w:after="120" w:afterAutospacing="0"/>
        <w:jc w:val="both"/>
        <w:rPr>
          <w:rFonts w:asciiTheme="minorHAnsi" w:eastAsia="SimSun" w:hAnsiTheme="minorHAnsi" w:cstheme="minorHAnsi"/>
          <w:lang w:eastAsia="zh-CN"/>
        </w:rPr>
      </w:pPr>
      <w:r w:rsidRPr="00EA6A57">
        <w:rPr>
          <w:rFonts w:asciiTheme="minorHAnsi" w:hAnsiTheme="minorHAnsi" w:cstheme="minorHAnsi"/>
          <w:bdr w:val="none" w:sz="0" w:space="0" w:color="auto" w:frame="1"/>
        </w:rPr>
        <w:t xml:space="preserve">Security. </w:t>
      </w:r>
      <w:r w:rsidRPr="00EA6A57">
        <w:rPr>
          <w:rFonts w:asciiTheme="minorHAnsi" w:hAnsiTheme="minorHAnsi" w:cstheme="minorHAnsi"/>
          <w:shd w:val="clear" w:color="auto" w:fill="FFFFFF"/>
        </w:rPr>
        <w:t>Ensuring cyber security (and, therefore, business continuity) as well as security of user data.</w:t>
      </w:r>
      <w:r w:rsidR="00AE5CF9" w:rsidRPr="00EA6A57">
        <w:rPr>
          <w:rFonts w:asciiTheme="minorHAnsi" w:hAnsiTheme="minorHAnsi" w:cstheme="minorHAnsi"/>
          <w:shd w:val="clear" w:color="auto" w:fill="FFFFFF"/>
        </w:rPr>
        <w:t xml:space="preserve"> </w:t>
      </w:r>
      <w:r w:rsidR="00AE5CF9" w:rsidRPr="00EA6A57">
        <w:rPr>
          <w:rFonts w:asciiTheme="minorHAnsi" w:eastAsiaTheme="minorEastAsia" w:hAnsiTheme="minorHAnsi" w:cstheme="minorHAnsi"/>
          <w:color w:val="000000" w:themeColor="text1"/>
        </w:rPr>
        <w:t>As the UN</w:t>
      </w:r>
      <w:r w:rsidR="00CE1CD2">
        <w:rPr>
          <w:rFonts w:asciiTheme="minorHAnsi" w:eastAsiaTheme="minorEastAsia" w:hAnsiTheme="minorHAnsi" w:cstheme="minorHAnsi"/>
          <w:color w:val="000000" w:themeColor="text1"/>
        </w:rPr>
        <w:t>’</w:t>
      </w:r>
      <w:r w:rsidR="00AE5CF9" w:rsidRPr="00EA6A57">
        <w:rPr>
          <w:rFonts w:asciiTheme="minorHAnsi" w:eastAsiaTheme="minorEastAsia" w:hAnsiTheme="minorHAnsi" w:cstheme="minorHAnsi"/>
          <w:color w:val="000000" w:themeColor="text1"/>
        </w:rPr>
        <w:t>s specialized agency for information and communication technology, the Organization is particularly prone to reputational damage and loss of credibility in case of a security breach that may arise due to a platform that the vendor no longer adapts to rapidly evolving cybersecurity threats (</w:t>
      </w:r>
      <w:hyperlink r:id="rId19" w:history="1">
        <w:r w:rsidR="00AE5CF9" w:rsidRPr="00EA6A57">
          <w:rPr>
            <w:rStyle w:val="Hyperlink"/>
            <w:rFonts w:asciiTheme="minorHAnsi" w:hAnsiTheme="minorHAnsi" w:cstheme="minorHAnsi"/>
          </w:rPr>
          <w:t>United Nations suffers major data breach | TechRadar</w:t>
        </w:r>
      </w:hyperlink>
      <w:r w:rsidR="00AE5CF9" w:rsidRPr="00EA6A57">
        <w:rPr>
          <w:rFonts w:asciiTheme="minorHAnsi" w:hAnsiTheme="minorHAnsi" w:cstheme="minorHAnsi"/>
        </w:rPr>
        <w:t>).</w:t>
      </w:r>
    </w:p>
    <w:p w14:paraId="20E30035" w14:textId="0060605F" w:rsidR="002D40BF" w:rsidRPr="00EA6A57" w:rsidRDefault="000255A1" w:rsidP="00CE1CD2">
      <w:pPr>
        <w:pStyle w:val="xmsonormal"/>
        <w:numPr>
          <w:ilvl w:val="0"/>
          <w:numId w:val="4"/>
        </w:numPr>
        <w:shd w:val="clear" w:color="auto" w:fill="FFFFFF" w:themeFill="background1"/>
        <w:spacing w:before="120" w:beforeAutospacing="0" w:after="120" w:afterAutospacing="0"/>
        <w:jc w:val="both"/>
        <w:rPr>
          <w:rFonts w:asciiTheme="minorHAnsi" w:hAnsiTheme="minorHAnsi" w:cstheme="minorHAnsi"/>
        </w:rPr>
      </w:pPr>
      <w:r w:rsidRPr="00EA6A57">
        <w:rPr>
          <w:rFonts w:asciiTheme="minorHAnsi" w:hAnsiTheme="minorHAnsi" w:cstheme="minorHAnsi"/>
          <w:color w:val="201F1E"/>
          <w:bdr w:val="none" w:sz="0" w:space="0" w:color="auto" w:frame="1"/>
        </w:rPr>
        <w:t xml:space="preserve">Multilingual. </w:t>
      </w:r>
      <w:r w:rsidR="00792384" w:rsidRPr="00EA6A57">
        <w:rPr>
          <w:rFonts w:asciiTheme="minorHAnsi" w:eastAsiaTheme="minorEastAsia" w:hAnsiTheme="minorHAnsi" w:cstheme="minorHAnsi"/>
          <w:color w:val="000000" w:themeColor="text1"/>
        </w:rPr>
        <w:t xml:space="preserve">New technologies for more efficient work processes such as </w:t>
      </w:r>
      <w:r w:rsidR="5A90DACD" w:rsidRPr="00EA6A57">
        <w:rPr>
          <w:rFonts w:asciiTheme="minorHAnsi" w:eastAsiaTheme="minorEastAsia" w:hAnsiTheme="minorHAnsi" w:cstheme="minorHAnsi"/>
          <w:color w:val="000000" w:themeColor="text1"/>
        </w:rPr>
        <w:t>M</w:t>
      </w:r>
      <w:r w:rsidR="00792384" w:rsidRPr="00EA6A57">
        <w:rPr>
          <w:rFonts w:asciiTheme="minorHAnsi" w:eastAsiaTheme="minorEastAsia" w:hAnsiTheme="minorHAnsi" w:cstheme="minorHAnsi"/>
          <w:color w:val="000000" w:themeColor="text1"/>
        </w:rPr>
        <w:t xml:space="preserve">achine </w:t>
      </w:r>
      <w:r w:rsidR="0E9B7232" w:rsidRPr="00EA6A57">
        <w:rPr>
          <w:rFonts w:asciiTheme="minorHAnsi" w:eastAsiaTheme="minorEastAsia" w:hAnsiTheme="minorHAnsi" w:cstheme="minorHAnsi"/>
          <w:color w:val="000000" w:themeColor="text1"/>
        </w:rPr>
        <w:t>L</w:t>
      </w:r>
      <w:r w:rsidR="00792384" w:rsidRPr="00EA6A57">
        <w:rPr>
          <w:rFonts w:asciiTheme="minorHAnsi" w:eastAsiaTheme="minorEastAsia" w:hAnsiTheme="minorHAnsi" w:cstheme="minorHAnsi"/>
          <w:color w:val="000000" w:themeColor="text1"/>
        </w:rPr>
        <w:t xml:space="preserve">earning and AI for automated translation are coming to the market which ITU </w:t>
      </w:r>
      <w:r w:rsidR="21DAFC59" w:rsidRPr="00EA6A57">
        <w:rPr>
          <w:rFonts w:asciiTheme="minorHAnsi" w:eastAsiaTheme="minorEastAsia" w:hAnsiTheme="minorHAnsi" w:cstheme="minorHAnsi"/>
          <w:color w:val="000000" w:themeColor="text1"/>
        </w:rPr>
        <w:t>can</w:t>
      </w:r>
      <w:r w:rsidR="00792384" w:rsidRPr="00EA6A57">
        <w:rPr>
          <w:rFonts w:asciiTheme="minorHAnsi" w:eastAsiaTheme="minorEastAsia" w:hAnsiTheme="minorHAnsi" w:cstheme="minorHAnsi"/>
          <w:color w:val="000000" w:themeColor="text1"/>
        </w:rPr>
        <w:t xml:space="preserve">not integrate on the current platform. New technologies are expected to help control translation costs and </w:t>
      </w:r>
      <w:r w:rsidR="006864C3" w:rsidRPr="00EA6A57">
        <w:rPr>
          <w:rFonts w:asciiTheme="minorHAnsi" w:eastAsiaTheme="minorEastAsia" w:hAnsiTheme="minorHAnsi" w:cstheme="minorHAnsi"/>
          <w:color w:val="000000" w:themeColor="text1"/>
        </w:rPr>
        <w:t xml:space="preserve">offer </w:t>
      </w:r>
      <w:r w:rsidR="006864C3" w:rsidRPr="00EA6A57">
        <w:rPr>
          <w:rFonts w:asciiTheme="minorHAnsi" w:eastAsia="SimSun" w:hAnsiTheme="minorHAnsi" w:cstheme="minorHAnsi"/>
          <w:lang w:eastAsia="zh-CN"/>
        </w:rPr>
        <w:t xml:space="preserve">more content in the six languages of the Union on an equal footing, including timely </w:t>
      </w:r>
      <w:r w:rsidR="006864C3" w:rsidRPr="00EA6A57">
        <w:rPr>
          <w:rFonts w:asciiTheme="minorHAnsi" w:hAnsiTheme="minorHAnsi" w:cstheme="minorHAnsi"/>
        </w:rPr>
        <w:t>updates of the pages of the ITU website</w:t>
      </w:r>
      <w:r w:rsidR="0031664A" w:rsidRPr="00EA6A57">
        <w:rPr>
          <w:rFonts w:asciiTheme="minorHAnsi" w:hAnsiTheme="minorHAnsi" w:cstheme="minorHAnsi"/>
        </w:rPr>
        <w:t>.</w:t>
      </w:r>
    </w:p>
    <w:p w14:paraId="773D57A7" w14:textId="51DDAF12" w:rsidR="006433AB" w:rsidRPr="00EA6A57" w:rsidRDefault="006433AB" w:rsidP="00CE1CD2">
      <w:pPr>
        <w:pStyle w:val="xmsonormal"/>
        <w:numPr>
          <w:ilvl w:val="0"/>
          <w:numId w:val="4"/>
        </w:numPr>
        <w:shd w:val="clear" w:color="auto" w:fill="FFFFFF" w:themeFill="background1"/>
        <w:spacing w:before="120" w:beforeAutospacing="0" w:after="120" w:afterAutospacing="0"/>
        <w:jc w:val="both"/>
        <w:rPr>
          <w:rFonts w:asciiTheme="minorHAnsi" w:hAnsiTheme="minorHAnsi" w:cstheme="minorHAnsi"/>
        </w:rPr>
      </w:pPr>
      <w:r w:rsidRPr="00EA6A57">
        <w:rPr>
          <w:rFonts w:asciiTheme="minorHAnsi" w:hAnsiTheme="minorHAnsi" w:cstheme="minorHAnsi"/>
        </w:rPr>
        <w:t>Harmonization</w:t>
      </w:r>
      <w:r w:rsidR="00BA1C1F" w:rsidRPr="00EA6A57">
        <w:rPr>
          <w:rFonts w:asciiTheme="minorHAnsi" w:hAnsiTheme="minorHAnsi" w:cstheme="minorHAnsi"/>
        </w:rPr>
        <w:t>.</w:t>
      </w:r>
      <w:r w:rsidR="00446B28" w:rsidRPr="00EA6A57">
        <w:rPr>
          <w:rFonts w:asciiTheme="minorHAnsi" w:hAnsiTheme="minorHAnsi" w:cstheme="minorHAnsi"/>
        </w:rPr>
        <w:t xml:space="preserve"> A common architecture, look and feel</w:t>
      </w:r>
      <w:r w:rsidRPr="00EA6A57">
        <w:rPr>
          <w:rFonts w:asciiTheme="minorHAnsi" w:hAnsiTheme="minorHAnsi" w:cstheme="minorHAnsi"/>
        </w:rPr>
        <w:t xml:space="preserve"> of the</w:t>
      </w:r>
      <w:r w:rsidR="00446B28" w:rsidRPr="00EA6A57">
        <w:rPr>
          <w:rFonts w:asciiTheme="minorHAnsi" w:hAnsiTheme="minorHAnsi" w:cstheme="minorHAnsi"/>
        </w:rPr>
        <w:t xml:space="preserve"> General Secretariat and</w:t>
      </w:r>
      <w:r w:rsidRPr="00EA6A57">
        <w:rPr>
          <w:rFonts w:asciiTheme="minorHAnsi" w:hAnsiTheme="minorHAnsi" w:cstheme="minorHAnsi"/>
        </w:rPr>
        <w:t xml:space="preserve"> Sector websites </w:t>
      </w:r>
      <w:r w:rsidR="00446B28" w:rsidRPr="00EA6A57">
        <w:rPr>
          <w:rFonts w:asciiTheme="minorHAnsi" w:hAnsiTheme="minorHAnsi" w:cstheme="minorHAnsi"/>
        </w:rPr>
        <w:t xml:space="preserve">helps to </w:t>
      </w:r>
      <w:r w:rsidR="00424BF0" w:rsidRPr="00EA6A57">
        <w:rPr>
          <w:rFonts w:asciiTheme="minorHAnsi" w:hAnsiTheme="minorHAnsi" w:cstheme="minorHAnsi"/>
        </w:rPr>
        <w:t xml:space="preserve">improve usability for </w:t>
      </w:r>
      <w:r w:rsidR="00446B28" w:rsidRPr="00EA6A57">
        <w:rPr>
          <w:rFonts w:asciiTheme="minorHAnsi" w:hAnsiTheme="minorHAnsi" w:cstheme="minorHAnsi"/>
        </w:rPr>
        <w:t>members</w:t>
      </w:r>
      <w:r w:rsidR="00424BF0" w:rsidRPr="00EA6A57">
        <w:rPr>
          <w:rFonts w:asciiTheme="minorHAnsi" w:hAnsiTheme="minorHAnsi" w:cstheme="minorHAnsi"/>
        </w:rPr>
        <w:t xml:space="preserve"> and </w:t>
      </w:r>
      <w:r w:rsidR="00446B28" w:rsidRPr="00EA6A57">
        <w:rPr>
          <w:rFonts w:asciiTheme="minorHAnsi" w:hAnsiTheme="minorHAnsi" w:cstheme="minorHAnsi"/>
        </w:rPr>
        <w:t xml:space="preserve">other </w:t>
      </w:r>
      <w:r w:rsidR="00424BF0" w:rsidRPr="00EA6A57">
        <w:rPr>
          <w:rFonts w:asciiTheme="minorHAnsi" w:hAnsiTheme="minorHAnsi" w:cstheme="minorHAnsi"/>
        </w:rPr>
        <w:t xml:space="preserve">visitors and </w:t>
      </w:r>
      <w:r w:rsidR="00446B28" w:rsidRPr="00EA6A57">
        <w:rPr>
          <w:rFonts w:asciiTheme="minorHAnsi" w:hAnsiTheme="minorHAnsi" w:cstheme="minorHAnsi"/>
        </w:rPr>
        <w:t xml:space="preserve">convey </w:t>
      </w:r>
      <w:r w:rsidR="00424BF0" w:rsidRPr="00EA6A57">
        <w:rPr>
          <w:rFonts w:asciiTheme="minorHAnsi" w:hAnsiTheme="minorHAnsi" w:cstheme="minorHAnsi"/>
        </w:rPr>
        <w:t>an image of One ITU.</w:t>
      </w:r>
    </w:p>
    <w:p w14:paraId="77E08EDF" w14:textId="77777777" w:rsidR="006433AB" w:rsidRPr="00C53C40" w:rsidRDefault="006433AB" w:rsidP="006433AB">
      <w:pPr>
        <w:pStyle w:val="ListParagraph"/>
      </w:pPr>
    </w:p>
    <w:p w14:paraId="7385DE57" w14:textId="77777777" w:rsidR="00625BFD" w:rsidRPr="00EA6A57" w:rsidRDefault="00625BFD">
      <w:pPr>
        <w:tabs>
          <w:tab w:val="clear" w:pos="567"/>
          <w:tab w:val="clear" w:pos="1134"/>
          <w:tab w:val="clear" w:pos="1701"/>
          <w:tab w:val="clear" w:pos="2268"/>
          <w:tab w:val="clear" w:pos="2835"/>
        </w:tabs>
        <w:overflowPunct/>
        <w:autoSpaceDE/>
        <w:autoSpaceDN/>
        <w:adjustRightInd/>
        <w:spacing w:before="0"/>
        <w:textAlignment w:val="auto"/>
      </w:pPr>
      <w:r w:rsidRPr="00EA6A57">
        <w:br w:type="page"/>
      </w:r>
    </w:p>
    <w:p w14:paraId="725D17A0" w14:textId="41B262D2" w:rsidR="00D338E0" w:rsidRPr="007F6924" w:rsidRDefault="00BA530E">
      <w:pPr>
        <w:tabs>
          <w:tab w:val="clear" w:pos="567"/>
          <w:tab w:val="clear" w:pos="1134"/>
          <w:tab w:val="clear" w:pos="1701"/>
          <w:tab w:val="clear" w:pos="2268"/>
          <w:tab w:val="clear" w:pos="2835"/>
        </w:tabs>
        <w:overflowPunct/>
        <w:autoSpaceDE/>
        <w:autoSpaceDN/>
        <w:adjustRightInd/>
        <w:spacing w:before="0"/>
        <w:textAlignment w:val="auto"/>
        <w:rPr>
          <w:u w:val="single"/>
        </w:rPr>
      </w:pPr>
      <w:r>
        <w:rPr>
          <w:u w:val="single"/>
        </w:rPr>
        <w:lastRenderedPageBreak/>
        <w:t>Progress</w:t>
      </w:r>
    </w:p>
    <w:p w14:paraId="4E3A6546" w14:textId="77777777" w:rsidR="009E4C3F" w:rsidRDefault="009E4C3F">
      <w:pPr>
        <w:tabs>
          <w:tab w:val="clear" w:pos="567"/>
          <w:tab w:val="clear" w:pos="1134"/>
          <w:tab w:val="clear" w:pos="1701"/>
          <w:tab w:val="clear" w:pos="2268"/>
          <w:tab w:val="clear" w:pos="2835"/>
        </w:tabs>
        <w:overflowPunct/>
        <w:autoSpaceDE/>
        <w:autoSpaceDN/>
        <w:adjustRightInd/>
        <w:spacing w:before="0"/>
        <w:textAlignment w:val="auto"/>
      </w:pPr>
    </w:p>
    <w:p w14:paraId="76A857CB" w14:textId="7FCC02B7" w:rsidR="004F3332" w:rsidRPr="00875801" w:rsidRDefault="00AE2CF1" w:rsidP="00CE1CD2">
      <w:pPr>
        <w:jc w:val="both"/>
      </w:pPr>
      <w:r>
        <w:t>The work on a new website beg</w:t>
      </w:r>
      <w:r w:rsidR="5A614107">
        <w:t>a</w:t>
      </w:r>
      <w:r>
        <w:t xml:space="preserve">n in December 2018 with the </w:t>
      </w:r>
      <w:r w:rsidR="00C514EF">
        <w:t>establishment</w:t>
      </w:r>
      <w:r w:rsidR="00DF7AE8">
        <w:t xml:space="preserve"> of an ITU-wide Web Project Team. Since then, </w:t>
      </w:r>
      <w:r w:rsidR="00C514EF">
        <w:t>extensive research has led to website prototype iterations 1 and 2</w:t>
      </w:r>
      <w:r w:rsidR="00141DFF">
        <w:t>.</w:t>
      </w:r>
      <w:r w:rsidR="00C514EF">
        <w:t xml:space="preserve"> </w:t>
      </w:r>
      <w:r w:rsidR="00875801" w:rsidRPr="00875801">
        <w:rPr>
          <w:rFonts w:cstheme="minorHAnsi"/>
          <w:szCs w:val="24"/>
          <w:lang w:val="en-US"/>
        </w:rPr>
        <w:t xml:space="preserve">A minimum viable site is planned to go live in Q4 2021/Q1 2022, pending dedicated resources which the ITU </w:t>
      </w:r>
      <w:r w:rsidR="00EA6A57">
        <w:rPr>
          <w:rFonts w:cstheme="minorHAnsi"/>
          <w:szCs w:val="24"/>
          <w:lang w:val="en-US"/>
        </w:rPr>
        <w:t>s</w:t>
      </w:r>
      <w:r w:rsidR="00875801" w:rsidRPr="00875801">
        <w:rPr>
          <w:rFonts w:cstheme="minorHAnsi"/>
          <w:szCs w:val="24"/>
          <w:lang w:val="en-US"/>
        </w:rPr>
        <w:t xml:space="preserve">ecretariat has requested in </w:t>
      </w:r>
      <w:hyperlink r:id="rId20">
        <w:r w:rsidR="00875801" w:rsidRPr="00875801">
          <w:rPr>
            <w:rStyle w:val="Hyperlink"/>
            <w:szCs w:val="24"/>
          </w:rPr>
          <w:t>Document C20/53</w:t>
        </w:r>
      </w:hyperlink>
      <w:r w:rsidR="00875801" w:rsidRPr="00EA6A57">
        <w:rPr>
          <w:rStyle w:val="Hyperlink"/>
          <w:color w:val="auto"/>
          <w:szCs w:val="24"/>
          <w:u w:val="none"/>
        </w:rPr>
        <w:t>.</w:t>
      </w:r>
    </w:p>
    <w:p w14:paraId="79D6C9A7" w14:textId="77777777" w:rsidR="009E4C3F" w:rsidRDefault="009E4C3F">
      <w:pPr>
        <w:tabs>
          <w:tab w:val="clear" w:pos="567"/>
          <w:tab w:val="clear" w:pos="1134"/>
          <w:tab w:val="clear" w:pos="1701"/>
          <w:tab w:val="clear" w:pos="2268"/>
          <w:tab w:val="clear" w:pos="2835"/>
        </w:tabs>
        <w:overflowPunct/>
        <w:autoSpaceDE/>
        <w:autoSpaceDN/>
        <w:adjustRightInd/>
        <w:spacing w:before="0"/>
        <w:textAlignment w:val="auto"/>
      </w:pPr>
    </w:p>
    <w:p w14:paraId="1F987A46" w14:textId="4120CF31" w:rsidR="009E4C3F" w:rsidRDefault="00AF4D7E">
      <w:pPr>
        <w:tabs>
          <w:tab w:val="clear" w:pos="567"/>
          <w:tab w:val="clear" w:pos="1134"/>
          <w:tab w:val="clear" w:pos="1701"/>
          <w:tab w:val="clear" w:pos="2268"/>
          <w:tab w:val="clear" w:pos="2835"/>
        </w:tabs>
        <w:overflowPunct/>
        <w:autoSpaceDE/>
        <w:autoSpaceDN/>
        <w:adjustRightInd/>
        <w:spacing w:before="0"/>
        <w:textAlignment w:val="auto"/>
      </w:pPr>
      <w:r>
        <w:rPr>
          <w:noProof/>
          <w:lang w:val="en-US"/>
        </w:rPr>
        <w:drawing>
          <wp:inline distT="0" distB="0" distL="0" distR="0" wp14:anchorId="22B96265" wp14:editId="566E10A5">
            <wp:extent cx="6120765" cy="4013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1">
                      <a:extLst>
                        <a:ext uri="{28A0092B-C50C-407E-A947-70E740481C1C}">
                          <a14:useLocalDpi xmlns:a14="http://schemas.microsoft.com/office/drawing/2010/main" val="0"/>
                        </a:ext>
                      </a:extLst>
                    </a:blip>
                    <a:stretch>
                      <a:fillRect/>
                    </a:stretch>
                  </pic:blipFill>
                  <pic:spPr>
                    <a:xfrm>
                      <a:off x="0" y="0"/>
                      <a:ext cx="6120765" cy="4013200"/>
                    </a:xfrm>
                    <a:prstGeom prst="rect">
                      <a:avLst/>
                    </a:prstGeom>
                  </pic:spPr>
                </pic:pic>
              </a:graphicData>
            </a:graphic>
          </wp:inline>
        </w:drawing>
      </w:r>
    </w:p>
    <w:p w14:paraId="7852340C" w14:textId="2398D651" w:rsidR="00F20E80" w:rsidRDefault="00141DFF">
      <w:pPr>
        <w:tabs>
          <w:tab w:val="clear" w:pos="567"/>
          <w:tab w:val="clear" w:pos="1134"/>
          <w:tab w:val="clear" w:pos="1701"/>
          <w:tab w:val="clear" w:pos="2268"/>
          <w:tab w:val="clear" w:pos="2835"/>
        </w:tabs>
        <w:overflowPunct/>
        <w:autoSpaceDE/>
        <w:autoSpaceDN/>
        <w:adjustRightInd/>
        <w:spacing w:before="0"/>
        <w:textAlignment w:val="auto"/>
      </w:pPr>
      <w:r>
        <w:t>Prototype iteration 3 includes the harmonized homepages of ITU-R, ITU-T</w:t>
      </w:r>
      <w:r w:rsidR="00CE1CD2">
        <w:t>,</w:t>
      </w:r>
      <w:r>
        <w:t xml:space="preserve"> and ITU-D</w:t>
      </w:r>
      <w:r w:rsidR="00D16E12">
        <w:t xml:space="preserve">. </w:t>
      </w:r>
      <w:r w:rsidR="005A41AA">
        <w:t xml:space="preserve">The video prototype can be </w:t>
      </w:r>
      <w:r w:rsidR="00A14B66">
        <w:t xml:space="preserve">viewed </w:t>
      </w:r>
      <w:hyperlink r:id="rId22" w:history="1">
        <w:r w:rsidR="00A14B66" w:rsidRPr="00620C8D">
          <w:rPr>
            <w:rStyle w:val="Hyperlink"/>
          </w:rPr>
          <w:t>here</w:t>
        </w:r>
      </w:hyperlink>
      <w:r w:rsidR="00A14B66">
        <w:t xml:space="preserve">. </w:t>
      </w:r>
    </w:p>
    <w:p w14:paraId="18404479" w14:textId="77777777" w:rsidR="00625BFD" w:rsidRDefault="00625BFD">
      <w:pPr>
        <w:tabs>
          <w:tab w:val="clear" w:pos="567"/>
          <w:tab w:val="clear" w:pos="1134"/>
          <w:tab w:val="clear" w:pos="1701"/>
          <w:tab w:val="clear" w:pos="2268"/>
          <w:tab w:val="clear" w:pos="2835"/>
        </w:tabs>
        <w:overflowPunct/>
        <w:autoSpaceDE/>
        <w:autoSpaceDN/>
        <w:adjustRightInd/>
        <w:spacing w:before="0"/>
        <w:textAlignment w:val="auto"/>
      </w:pPr>
    </w:p>
    <w:p w14:paraId="7C1049EF" w14:textId="51385080" w:rsidR="00625BFD" w:rsidRDefault="00F2246A" w:rsidP="005D7388">
      <w:pPr>
        <w:tabs>
          <w:tab w:val="clear" w:pos="567"/>
          <w:tab w:val="clear" w:pos="1134"/>
          <w:tab w:val="clear" w:pos="1701"/>
          <w:tab w:val="clear" w:pos="2268"/>
          <w:tab w:val="clear" w:pos="2835"/>
        </w:tabs>
        <w:overflowPunct/>
        <w:autoSpaceDE/>
        <w:autoSpaceDN/>
        <w:adjustRightInd/>
        <w:spacing w:before="0"/>
        <w:jc w:val="center"/>
        <w:textAlignment w:val="auto"/>
        <w:sectPr w:rsidR="00625BFD" w:rsidSect="004D1851">
          <w:headerReference w:type="default" r:id="rId23"/>
          <w:footerReference w:type="first" r:id="rId24"/>
          <w:pgSz w:w="11907" w:h="16834"/>
          <w:pgMar w:top="1418" w:right="1134" w:bottom="1418" w:left="1134" w:header="720" w:footer="720" w:gutter="0"/>
          <w:paperSrc w:first="15" w:other="15"/>
          <w:cols w:space="720"/>
          <w:titlePg/>
        </w:sectPr>
      </w:pPr>
      <w:r>
        <w:rPr>
          <w:noProof/>
          <w:lang w:val="en-US"/>
        </w:rPr>
        <w:drawing>
          <wp:inline distT="0" distB="0" distL="0" distR="0" wp14:anchorId="78752586" wp14:editId="163FAAFE">
            <wp:extent cx="3924172" cy="2802978"/>
            <wp:effectExtent l="0" t="0" r="0" b="0"/>
            <wp:docPr id="3" name="Picture 3" descr="A picture containing text, electron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936333" cy="2811664"/>
                    </a:xfrm>
                    <a:prstGeom prst="rect">
                      <a:avLst/>
                    </a:prstGeom>
                  </pic:spPr>
                </pic:pic>
              </a:graphicData>
            </a:graphic>
          </wp:inline>
        </w:drawing>
      </w:r>
    </w:p>
    <w:p w14:paraId="58E24FD8" w14:textId="33676CB7" w:rsidR="008C1807" w:rsidRDefault="0068352B" w:rsidP="00BD78A5">
      <w:pPr>
        <w:tabs>
          <w:tab w:val="clear" w:pos="567"/>
          <w:tab w:val="clear" w:pos="1134"/>
          <w:tab w:val="clear" w:pos="1701"/>
          <w:tab w:val="clear" w:pos="2268"/>
          <w:tab w:val="clear" w:pos="2835"/>
        </w:tabs>
        <w:overflowPunct/>
        <w:autoSpaceDE/>
        <w:autoSpaceDN/>
        <w:adjustRightInd/>
        <w:spacing w:before="0"/>
        <w:textAlignment w:val="auto"/>
        <w:rPr>
          <w:u w:val="single"/>
        </w:rPr>
      </w:pPr>
      <w:r>
        <w:rPr>
          <w:u w:val="single"/>
        </w:rPr>
        <w:lastRenderedPageBreak/>
        <w:t>Deliverables 2021 to 2025</w:t>
      </w:r>
    </w:p>
    <w:p w14:paraId="58A34E5D" w14:textId="7E88B110" w:rsidR="001928E7" w:rsidRDefault="0068352B" w:rsidP="00EA6A57">
      <w:pPr>
        <w:tabs>
          <w:tab w:val="clear" w:pos="567"/>
          <w:tab w:val="clear" w:pos="1134"/>
          <w:tab w:val="clear" w:pos="1701"/>
          <w:tab w:val="clear" w:pos="2268"/>
          <w:tab w:val="clear" w:pos="2835"/>
        </w:tabs>
        <w:overflowPunct/>
        <w:autoSpaceDE/>
        <w:autoSpaceDN/>
        <w:adjustRightInd/>
        <w:spacing w:before="240" w:after="120"/>
        <w:textAlignment w:val="auto"/>
      </w:pPr>
      <w:r>
        <w:t xml:space="preserve">The table below summarizes the deliverables expected </w:t>
      </w:r>
      <w:r w:rsidR="00DC45BE">
        <w:t>from 2021 to 2025</w:t>
      </w:r>
      <w:r w:rsidR="005D7388">
        <w:t>, commensurate with the budget</w:t>
      </w:r>
      <w:r w:rsidR="00DC45BE">
        <w:t xml:space="preserve">. </w:t>
      </w:r>
    </w:p>
    <w:tbl>
      <w:tblPr>
        <w:tblW w:w="14390" w:type="dxa"/>
        <w:tblLook w:val="04A0" w:firstRow="1" w:lastRow="0" w:firstColumn="1" w:lastColumn="0" w:noHBand="0" w:noVBand="1"/>
      </w:tblPr>
      <w:tblGrid>
        <w:gridCol w:w="3860"/>
        <w:gridCol w:w="431"/>
        <w:gridCol w:w="571"/>
        <w:gridCol w:w="571"/>
        <w:gridCol w:w="571"/>
        <w:gridCol w:w="520"/>
        <w:gridCol w:w="520"/>
        <w:gridCol w:w="520"/>
        <w:gridCol w:w="520"/>
        <w:gridCol w:w="520"/>
        <w:gridCol w:w="586"/>
        <w:gridCol w:w="520"/>
        <w:gridCol w:w="520"/>
        <w:gridCol w:w="520"/>
        <w:gridCol w:w="520"/>
        <w:gridCol w:w="520"/>
        <w:gridCol w:w="520"/>
        <w:gridCol w:w="520"/>
        <w:gridCol w:w="520"/>
        <w:gridCol w:w="520"/>
        <w:gridCol w:w="520"/>
      </w:tblGrid>
      <w:tr w:rsidR="001928E7" w:rsidRPr="001928E7" w14:paraId="67E6F7BC" w14:textId="77777777" w:rsidTr="007B274A">
        <w:trPr>
          <w:trHeight w:val="290"/>
        </w:trPr>
        <w:tc>
          <w:tcPr>
            <w:tcW w:w="3860" w:type="dxa"/>
            <w:tcBorders>
              <w:top w:val="nil"/>
              <w:left w:val="nil"/>
              <w:bottom w:val="nil"/>
              <w:right w:val="nil"/>
            </w:tcBorders>
            <w:shd w:val="clear" w:color="auto" w:fill="auto"/>
            <w:noWrap/>
            <w:vAlign w:val="bottom"/>
            <w:hideMark/>
          </w:tcPr>
          <w:p w14:paraId="0C022BB1"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szCs w:val="24"/>
                <w:lang w:eastAsia="en-GB"/>
              </w:rPr>
            </w:pPr>
          </w:p>
        </w:tc>
        <w:tc>
          <w:tcPr>
            <w:tcW w:w="2144" w:type="dxa"/>
            <w:gridSpan w:val="4"/>
            <w:tcBorders>
              <w:top w:val="single" w:sz="8" w:space="0" w:color="auto"/>
              <w:left w:val="single" w:sz="8" w:space="0" w:color="auto"/>
              <w:bottom w:val="nil"/>
              <w:right w:val="single" w:sz="8" w:space="0" w:color="000000"/>
            </w:tcBorders>
            <w:shd w:val="clear" w:color="000000" w:fill="8EA9DB"/>
            <w:noWrap/>
            <w:vAlign w:val="bottom"/>
            <w:hideMark/>
          </w:tcPr>
          <w:p w14:paraId="4A52D9FA"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1928E7">
              <w:rPr>
                <w:rFonts w:cs="Calibri"/>
                <w:b/>
                <w:bCs/>
                <w:color w:val="000000"/>
                <w:sz w:val="18"/>
                <w:szCs w:val="18"/>
                <w:lang w:eastAsia="en-GB"/>
              </w:rPr>
              <w:t>2021</w:t>
            </w:r>
          </w:p>
        </w:tc>
        <w:tc>
          <w:tcPr>
            <w:tcW w:w="2080" w:type="dxa"/>
            <w:gridSpan w:val="4"/>
            <w:tcBorders>
              <w:top w:val="single" w:sz="8" w:space="0" w:color="auto"/>
              <w:left w:val="nil"/>
              <w:bottom w:val="nil"/>
              <w:right w:val="single" w:sz="8" w:space="0" w:color="000000"/>
            </w:tcBorders>
            <w:shd w:val="clear" w:color="000000" w:fill="8EA9DB"/>
            <w:noWrap/>
            <w:vAlign w:val="bottom"/>
            <w:hideMark/>
          </w:tcPr>
          <w:p w14:paraId="678119E5"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1928E7">
              <w:rPr>
                <w:rFonts w:cs="Calibri"/>
                <w:b/>
                <w:bCs/>
                <w:color w:val="000000"/>
                <w:sz w:val="18"/>
                <w:szCs w:val="18"/>
                <w:lang w:eastAsia="en-GB"/>
              </w:rPr>
              <w:t>2022</w:t>
            </w:r>
          </w:p>
        </w:tc>
        <w:tc>
          <w:tcPr>
            <w:tcW w:w="2146" w:type="dxa"/>
            <w:gridSpan w:val="4"/>
            <w:tcBorders>
              <w:top w:val="single" w:sz="8" w:space="0" w:color="auto"/>
              <w:left w:val="nil"/>
              <w:bottom w:val="nil"/>
              <w:right w:val="single" w:sz="8" w:space="0" w:color="000000"/>
            </w:tcBorders>
            <w:shd w:val="clear" w:color="000000" w:fill="8EA9DB"/>
            <w:noWrap/>
            <w:vAlign w:val="bottom"/>
            <w:hideMark/>
          </w:tcPr>
          <w:p w14:paraId="5ECB4A5E"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1928E7">
              <w:rPr>
                <w:rFonts w:cs="Calibri"/>
                <w:b/>
                <w:bCs/>
                <w:color w:val="000000"/>
                <w:sz w:val="18"/>
                <w:szCs w:val="18"/>
                <w:lang w:eastAsia="en-GB"/>
              </w:rPr>
              <w:t>2023</w:t>
            </w:r>
          </w:p>
        </w:tc>
        <w:tc>
          <w:tcPr>
            <w:tcW w:w="2080" w:type="dxa"/>
            <w:gridSpan w:val="4"/>
            <w:tcBorders>
              <w:top w:val="single" w:sz="8" w:space="0" w:color="auto"/>
              <w:left w:val="nil"/>
              <w:bottom w:val="nil"/>
              <w:right w:val="single" w:sz="8" w:space="0" w:color="000000"/>
            </w:tcBorders>
            <w:shd w:val="clear" w:color="000000" w:fill="8EA9DB"/>
            <w:noWrap/>
            <w:vAlign w:val="bottom"/>
            <w:hideMark/>
          </w:tcPr>
          <w:p w14:paraId="37F0F2B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1928E7">
              <w:rPr>
                <w:rFonts w:cs="Calibri"/>
                <w:b/>
                <w:bCs/>
                <w:color w:val="000000"/>
                <w:sz w:val="18"/>
                <w:szCs w:val="18"/>
                <w:lang w:eastAsia="en-GB"/>
              </w:rPr>
              <w:t>2024</w:t>
            </w:r>
          </w:p>
        </w:tc>
        <w:tc>
          <w:tcPr>
            <w:tcW w:w="2080" w:type="dxa"/>
            <w:gridSpan w:val="4"/>
            <w:tcBorders>
              <w:top w:val="single" w:sz="8" w:space="0" w:color="auto"/>
              <w:left w:val="nil"/>
              <w:bottom w:val="nil"/>
              <w:right w:val="single" w:sz="8" w:space="0" w:color="000000"/>
            </w:tcBorders>
            <w:shd w:val="clear" w:color="000000" w:fill="8EA9DB"/>
            <w:noWrap/>
            <w:vAlign w:val="bottom"/>
            <w:hideMark/>
          </w:tcPr>
          <w:p w14:paraId="319CD011"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1928E7">
              <w:rPr>
                <w:rFonts w:cs="Calibri"/>
                <w:b/>
                <w:bCs/>
                <w:color w:val="000000"/>
                <w:sz w:val="18"/>
                <w:szCs w:val="18"/>
                <w:lang w:eastAsia="en-GB"/>
              </w:rPr>
              <w:t>2025</w:t>
            </w:r>
          </w:p>
        </w:tc>
      </w:tr>
      <w:tr w:rsidR="001928E7" w:rsidRPr="001928E7" w14:paraId="5BBBE5F6" w14:textId="77777777" w:rsidTr="007B274A">
        <w:trPr>
          <w:trHeight w:val="300"/>
        </w:trPr>
        <w:tc>
          <w:tcPr>
            <w:tcW w:w="3860" w:type="dxa"/>
            <w:tcBorders>
              <w:top w:val="nil"/>
              <w:left w:val="nil"/>
              <w:bottom w:val="nil"/>
              <w:right w:val="nil"/>
            </w:tcBorders>
            <w:shd w:val="clear" w:color="auto" w:fill="auto"/>
            <w:noWrap/>
            <w:vAlign w:val="bottom"/>
            <w:hideMark/>
          </w:tcPr>
          <w:p w14:paraId="22BAE627"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p>
        </w:tc>
        <w:tc>
          <w:tcPr>
            <w:tcW w:w="431" w:type="dxa"/>
            <w:tcBorders>
              <w:top w:val="nil"/>
              <w:left w:val="single" w:sz="8" w:space="0" w:color="auto"/>
              <w:bottom w:val="single" w:sz="8" w:space="0" w:color="auto"/>
              <w:right w:val="nil"/>
            </w:tcBorders>
            <w:shd w:val="clear" w:color="000000" w:fill="8EA9DB"/>
            <w:noWrap/>
            <w:vAlign w:val="bottom"/>
            <w:hideMark/>
          </w:tcPr>
          <w:p w14:paraId="771C2D7F"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Q1</w:t>
            </w:r>
          </w:p>
        </w:tc>
        <w:tc>
          <w:tcPr>
            <w:tcW w:w="571" w:type="dxa"/>
            <w:tcBorders>
              <w:top w:val="nil"/>
              <w:left w:val="nil"/>
              <w:bottom w:val="single" w:sz="8" w:space="0" w:color="auto"/>
              <w:right w:val="nil"/>
            </w:tcBorders>
            <w:shd w:val="clear" w:color="000000" w:fill="8EA9DB"/>
            <w:noWrap/>
            <w:vAlign w:val="bottom"/>
            <w:hideMark/>
          </w:tcPr>
          <w:p w14:paraId="0F0A5E58"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Q2</w:t>
            </w:r>
          </w:p>
        </w:tc>
        <w:tc>
          <w:tcPr>
            <w:tcW w:w="571" w:type="dxa"/>
            <w:tcBorders>
              <w:top w:val="nil"/>
              <w:left w:val="nil"/>
              <w:bottom w:val="single" w:sz="8" w:space="0" w:color="auto"/>
              <w:right w:val="nil"/>
            </w:tcBorders>
            <w:shd w:val="clear" w:color="000000" w:fill="8EA9DB"/>
            <w:noWrap/>
            <w:vAlign w:val="bottom"/>
            <w:hideMark/>
          </w:tcPr>
          <w:p w14:paraId="1BD21D87"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Q3</w:t>
            </w:r>
          </w:p>
        </w:tc>
        <w:tc>
          <w:tcPr>
            <w:tcW w:w="571" w:type="dxa"/>
            <w:tcBorders>
              <w:top w:val="nil"/>
              <w:left w:val="nil"/>
              <w:bottom w:val="single" w:sz="8" w:space="0" w:color="auto"/>
              <w:right w:val="single" w:sz="8" w:space="0" w:color="auto"/>
            </w:tcBorders>
            <w:shd w:val="clear" w:color="000000" w:fill="8EA9DB"/>
            <w:noWrap/>
            <w:vAlign w:val="bottom"/>
            <w:hideMark/>
          </w:tcPr>
          <w:p w14:paraId="66C3896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Q4</w:t>
            </w:r>
          </w:p>
        </w:tc>
        <w:tc>
          <w:tcPr>
            <w:tcW w:w="520" w:type="dxa"/>
            <w:tcBorders>
              <w:top w:val="nil"/>
              <w:left w:val="nil"/>
              <w:bottom w:val="single" w:sz="8" w:space="0" w:color="auto"/>
              <w:right w:val="nil"/>
            </w:tcBorders>
            <w:shd w:val="clear" w:color="000000" w:fill="8EA9DB"/>
            <w:noWrap/>
            <w:vAlign w:val="bottom"/>
            <w:hideMark/>
          </w:tcPr>
          <w:p w14:paraId="767BFC14"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Q1</w:t>
            </w:r>
          </w:p>
        </w:tc>
        <w:tc>
          <w:tcPr>
            <w:tcW w:w="520" w:type="dxa"/>
            <w:tcBorders>
              <w:top w:val="nil"/>
              <w:left w:val="nil"/>
              <w:bottom w:val="single" w:sz="8" w:space="0" w:color="auto"/>
              <w:right w:val="nil"/>
            </w:tcBorders>
            <w:shd w:val="clear" w:color="000000" w:fill="8EA9DB"/>
            <w:noWrap/>
            <w:vAlign w:val="bottom"/>
            <w:hideMark/>
          </w:tcPr>
          <w:p w14:paraId="0D82712C"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Q2</w:t>
            </w:r>
          </w:p>
        </w:tc>
        <w:tc>
          <w:tcPr>
            <w:tcW w:w="520" w:type="dxa"/>
            <w:tcBorders>
              <w:top w:val="nil"/>
              <w:left w:val="nil"/>
              <w:bottom w:val="single" w:sz="8" w:space="0" w:color="auto"/>
              <w:right w:val="nil"/>
            </w:tcBorders>
            <w:shd w:val="clear" w:color="000000" w:fill="8EA9DB"/>
            <w:noWrap/>
            <w:vAlign w:val="bottom"/>
            <w:hideMark/>
          </w:tcPr>
          <w:p w14:paraId="603C59A8"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Q3</w:t>
            </w:r>
          </w:p>
        </w:tc>
        <w:tc>
          <w:tcPr>
            <w:tcW w:w="520" w:type="dxa"/>
            <w:tcBorders>
              <w:top w:val="nil"/>
              <w:left w:val="nil"/>
              <w:bottom w:val="single" w:sz="8" w:space="0" w:color="auto"/>
              <w:right w:val="single" w:sz="8" w:space="0" w:color="auto"/>
            </w:tcBorders>
            <w:shd w:val="clear" w:color="000000" w:fill="8EA9DB"/>
            <w:noWrap/>
            <w:vAlign w:val="bottom"/>
            <w:hideMark/>
          </w:tcPr>
          <w:p w14:paraId="06487679"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Q4</w:t>
            </w:r>
          </w:p>
        </w:tc>
        <w:tc>
          <w:tcPr>
            <w:tcW w:w="520" w:type="dxa"/>
            <w:tcBorders>
              <w:top w:val="nil"/>
              <w:left w:val="nil"/>
              <w:bottom w:val="single" w:sz="8" w:space="0" w:color="auto"/>
              <w:right w:val="nil"/>
            </w:tcBorders>
            <w:shd w:val="clear" w:color="000000" w:fill="8EA9DB"/>
            <w:noWrap/>
            <w:vAlign w:val="bottom"/>
            <w:hideMark/>
          </w:tcPr>
          <w:p w14:paraId="24F5BDC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Q1</w:t>
            </w:r>
          </w:p>
        </w:tc>
        <w:tc>
          <w:tcPr>
            <w:tcW w:w="586" w:type="dxa"/>
            <w:tcBorders>
              <w:top w:val="nil"/>
              <w:left w:val="nil"/>
              <w:bottom w:val="single" w:sz="8" w:space="0" w:color="auto"/>
              <w:right w:val="nil"/>
            </w:tcBorders>
            <w:shd w:val="clear" w:color="000000" w:fill="8EA9DB"/>
            <w:noWrap/>
            <w:vAlign w:val="bottom"/>
            <w:hideMark/>
          </w:tcPr>
          <w:p w14:paraId="027E2927"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Q2</w:t>
            </w:r>
          </w:p>
        </w:tc>
        <w:tc>
          <w:tcPr>
            <w:tcW w:w="520" w:type="dxa"/>
            <w:tcBorders>
              <w:top w:val="nil"/>
              <w:left w:val="nil"/>
              <w:bottom w:val="single" w:sz="8" w:space="0" w:color="auto"/>
              <w:right w:val="nil"/>
            </w:tcBorders>
            <w:shd w:val="clear" w:color="000000" w:fill="8EA9DB"/>
            <w:noWrap/>
            <w:vAlign w:val="bottom"/>
            <w:hideMark/>
          </w:tcPr>
          <w:p w14:paraId="3CFD76F0"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Q3</w:t>
            </w:r>
          </w:p>
        </w:tc>
        <w:tc>
          <w:tcPr>
            <w:tcW w:w="520" w:type="dxa"/>
            <w:tcBorders>
              <w:top w:val="nil"/>
              <w:left w:val="nil"/>
              <w:bottom w:val="single" w:sz="8" w:space="0" w:color="auto"/>
              <w:right w:val="single" w:sz="8" w:space="0" w:color="auto"/>
            </w:tcBorders>
            <w:shd w:val="clear" w:color="000000" w:fill="8EA9DB"/>
            <w:noWrap/>
            <w:vAlign w:val="bottom"/>
            <w:hideMark/>
          </w:tcPr>
          <w:p w14:paraId="62C8B0C0"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Q4</w:t>
            </w:r>
          </w:p>
        </w:tc>
        <w:tc>
          <w:tcPr>
            <w:tcW w:w="520" w:type="dxa"/>
            <w:tcBorders>
              <w:top w:val="nil"/>
              <w:left w:val="nil"/>
              <w:bottom w:val="single" w:sz="8" w:space="0" w:color="auto"/>
              <w:right w:val="nil"/>
            </w:tcBorders>
            <w:shd w:val="clear" w:color="000000" w:fill="8EA9DB"/>
            <w:noWrap/>
            <w:vAlign w:val="bottom"/>
            <w:hideMark/>
          </w:tcPr>
          <w:p w14:paraId="4831A53E"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Q1</w:t>
            </w:r>
          </w:p>
        </w:tc>
        <w:tc>
          <w:tcPr>
            <w:tcW w:w="520" w:type="dxa"/>
            <w:tcBorders>
              <w:top w:val="nil"/>
              <w:left w:val="nil"/>
              <w:bottom w:val="single" w:sz="8" w:space="0" w:color="auto"/>
              <w:right w:val="nil"/>
            </w:tcBorders>
            <w:shd w:val="clear" w:color="000000" w:fill="8EA9DB"/>
            <w:noWrap/>
            <w:vAlign w:val="bottom"/>
            <w:hideMark/>
          </w:tcPr>
          <w:p w14:paraId="339D2027"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Q2</w:t>
            </w:r>
          </w:p>
        </w:tc>
        <w:tc>
          <w:tcPr>
            <w:tcW w:w="520" w:type="dxa"/>
            <w:tcBorders>
              <w:top w:val="nil"/>
              <w:left w:val="nil"/>
              <w:bottom w:val="single" w:sz="8" w:space="0" w:color="auto"/>
              <w:right w:val="nil"/>
            </w:tcBorders>
            <w:shd w:val="clear" w:color="000000" w:fill="8EA9DB"/>
            <w:noWrap/>
            <w:vAlign w:val="bottom"/>
            <w:hideMark/>
          </w:tcPr>
          <w:p w14:paraId="2DE74FD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Q3</w:t>
            </w:r>
          </w:p>
        </w:tc>
        <w:tc>
          <w:tcPr>
            <w:tcW w:w="520" w:type="dxa"/>
            <w:tcBorders>
              <w:top w:val="nil"/>
              <w:left w:val="nil"/>
              <w:bottom w:val="single" w:sz="8" w:space="0" w:color="auto"/>
              <w:right w:val="single" w:sz="8" w:space="0" w:color="auto"/>
            </w:tcBorders>
            <w:shd w:val="clear" w:color="000000" w:fill="8EA9DB"/>
            <w:noWrap/>
            <w:vAlign w:val="bottom"/>
            <w:hideMark/>
          </w:tcPr>
          <w:p w14:paraId="1DEE8C27"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Q4</w:t>
            </w:r>
          </w:p>
        </w:tc>
        <w:tc>
          <w:tcPr>
            <w:tcW w:w="520" w:type="dxa"/>
            <w:tcBorders>
              <w:top w:val="nil"/>
              <w:left w:val="nil"/>
              <w:bottom w:val="single" w:sz="8" w:space="0" w:color="auto"/>
              <w:right w:val="nil"/>
            </w:tcBorders>
            <w:shd w:val="clear" w:color="000000" w:fill="8EA9DB"/>
            <w:noWrap/>
            <w:vAlign w:val="bottom"/>
            <w:hideMark/>
          </w:tcPr>
          <w:p w14:paraId="63836B9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Q1</w:t>
            </w:r>
          </w:p>
        </w:tc>
        <w:tc>
          <w:tcPr>
            <w:tcW w:w="520" w:type="dxa"/>
            <w:tcBorders>
              <w:top w:val="nil"/>
              <w:left w:val="nil"/>
              <w:bottom w:val="single" w:sz="8" w:space="0" w:color="auto"/>
              <w:right w:val="nil"/>
            </w:tcBorders>
            <w:shd w:val="clear" w:color="000000" w:fill="8EA9DB"/>
            <w:noWrap/>
            <w:vAlign w:val="bottom"/>
            <w:hideMark/>
          </w:tcPr>
          <w:p w14:paraId="43C44FC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Q2</w:t>
            </w:r>
          </w:p>
        </w:tc>
        <w:tc>
          <w:tcPr>
            <w:tcW w:w="520" w:type="dxa"/>
            <w:tcBorders>
              <w:top w:val="nil"/>
              <w:left w:val="nil"/>
              <w:bottom w:val="single" w:sz="8" w:space="0" w:color="auto"/>
              <w:right w:val="nil"/>
            </w:tcBorders>
            <w:shd w:val="clear" w:color="000000" w:fill="8EA9DB"/>
            <w:noWrap/>
            <w:vAlign w:val="bottom"/>
            <w:hideMark/>
          </w:tcPr>
          <w:p w14:paraId="5D34AAA1"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Q3</w:t>
            </w:r>
          </w:p>
        </w:tc>
        <w:tc>
          <w:tcPr>
            <w:tcW w:w="520" w:type="dxa"/>
            <w:tcBorders>
              <w:top w:val="nil"/>
              <w:left w:val="nil"/>
              <w:bottom w:val="single" w:sz="8" w:space="0" w:color="auto"/>
              <w:right w:val="single" w:sz="8" w:space="0" w:color="auto"/>
            </w:tcBorders>
            <w:shd w:val="clear" w:color="000000" w:fill="8EA9DB"/>
            <w:noWrap/>
            <w:vAlign w:val="bottom"/>
            <w:hideMark/>
          </w:tcPr>
          <w:p w14:paraId="4882C49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Q4</w:t>
            </w:r>
          </w:p>
        </w:tc>
      </w:tr>
      <w:tr w:rsidR="001928E7" w:rsidRPr="001928E7" w14:paraId="7B569F32" w14:textId="77777777" w:rsidTr="007B274A">
        <w:trPr>
          <w:trHeight w:val="290"/>
        </w:trPr>
        <w:tc>
          <w:tcPr>
            <w:tcW w:w="3860" w:type="dxa"/>
            <w:tcBorders>
              <w:top w:val="nil"/>
              <w:left w:val="nil"/>
              <w:bottom w:val="nil"/>
              <w:right w:val="nil"/>
            </w:tcBorders>
            <w:shd w:val="clear" w:color="000000" w:fill="8EA9DB"/>
            <w:vAlign w:val="bottom"/>
            <w:hideMark/>
          </w:tcPr>
          <w:p w14:paraId="5271EEC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1. Business continuity</w:t>
            </w:r>
          </w:p>
        </w:tc>
        <w:tc>
          <w:tcPr>
            <w:tcW w:w="431" w:type="dxa"/>
            <w:tcBorders>
              <w:top w:val="nil"/>
              <w:left w:val="single" w:sz="4" w:space="0" w:color="auto"/>
              <w:bottom w:val="nil"/>
              <w:right w:val="nil"/>
            </w:tcBorders>
            <w:shd w:val="clear" w:color="auto" w:fill="auto"/>
            <w:noWrap/>
            <w:vAlign w:val="bottom"/>
            <w:hideMark/>
          </w:tcPr>
          <w:p w14:paraId="77E2FF8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nil"/>
              <w:left w:val="nil"/>
              <w:bottom w:val="nil"/>
              <w:right w:val="nil"/>
            </w:tcBorders>
            <w:shd w:val="clear" w:color="auto" w:fill="auto"/>
            <w:noWrap/>
            <w:vAlign w:val="bottom"/>
            <w:hideMark/>
          </w:tcPr>
          <w:p w14:paraId="5A7265D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71" w:type="dxa"/>
            <w:tcBorders>
              <w:top w:val="nil"/>
              <w:left w:val="nil"/>
              <w:bottom w:val="nil"/>
              <w:right w:val="nil"/>
            </w:tcBorders>
            <w:shd w:val="clear" w:color="auto" w:fill="auto"/>
            <w:noWrap/>
            <w:vAlign w:val="bottom"/>
            <w:hideMark/>
          </w:tcPr>
          <w:p w14:paraId="71BABE8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71" w:type="dxa"/>
            <w:tcBorders>
              <w:top w:val="nil"/>
              <w:left w:val="nil"/>
              <w:bottom w:val="nil"/>
              <w:right w:val="single" w:sz="4" w:space="0" w:color="auto"/>
            </w:tcBorders>
            <w:shd w:val="clear" w:color="auto" w:fill="auto"/>
            <w:noWrap/>
            <w:vAlign w:val="bottom"/>
            <w:hideMark/>
          </w:tcPr>
          <w:p w14:paraId="242D1D50"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71CA43BA"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hideMark/>
          </w:tcPr>
          <w:p w14:paraId="77952337"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2F74DD8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single" w:sz="4" w:space="0" w:color="auto"/>
            </w:tcBorders>
            <w:shd w:val="clear" w:color="auto" w:fill="auto"/>
            <w:noWrap/>
            <w:vAlign w:val="bottom"/>
            <w:hideMark/>
          </w:tcPr>
          <w:p w14:paraId="316286B0"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2BD5EC33"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86" w:type="dxa"/>
            <w:tcBorders>
              <w:top w:val="nil"/>
              <w:left w:val="nil"/>
              <w:bottom w:val="nil"/>
              <w:right w:val="nil"/>
            </w:tcBorders>
            <w:shd w:val="clear" w:color="auto" w:fill="auto"/>
            <w:noWrap/>
            <w:vAlign w:val="bottom"/>
            <w:hideMark/>
          </w:tcPr>
          <w:p w14:paraId="48D3275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6798DAA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6E09B673"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single" w:sz="4" w:space="0" w:color="auto"/>
              <w:bottom w:val="nil"/>
              <w:right w:val="nil"/>
            </w:tcBorders>
            <w:shd w:val="clear" w:color="auto" w:fill="auto"/>
            <w:noWrap/>
            <w:vAlign w:val="bottom"/>
            <w:hideMark/>
          </w:tcPr>
          <w:p w14:paraId="05A93BF0"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486D17D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hideMark/>
          </w:tcPr>
          <w:p w14:paraId="1C396389"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single" w:sz="4" w:space="0" w:color="auto"/>
            </w:tcBorders>
            <w:shd w:val="clear" w:color="auto" w:fill="auto"/>
            <w:noWrap/>
            <w:vAlign w:val="bottom"/>
            <w:hideMark/>
          </w:tcPr>
          <w:p w14:paraId="60AC47F9"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4C52070E"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hideMark/>
          </w:tcPr>
          <w:p w14:paraId="01E577A3"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5B2B49A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single" w:sz="4" w:space="0" w:color="auto"/>
            </w:tcBorders>
            <w:shd w:val="clear" w:color="auto" w:fill="auto"/>
            <w:noWrap/>
            <w:vAlign w:val="bottom"/>
            <w:hideMark/>
          </w:tcPr>
          <w:p w14:paraId="26B4A625"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r>
      <w:tr w:rsidR="001928E7" w:rsidRPr="001928E7" w14:paraId="32DAF0B3" w14:textId="77777777" w:rsidTr="007B274A">
        <w:trPr>
          <w:trHeight w:val="530"/>
        </w:trPr>
        <w:tc>
          <w:tcPr>
            <w:tcW w:w="3860" w:type="dxa"/>
            <w:tcBorders>
              <w:top w:val="nil"/>
              <w:left w:val="nil"/>
              <w:bottom w:val="nil"/>
              <w:right w:val="nil"/>
            </w:tcBorders>
            <w:shd w:val="clear" w:color="000000" w:fill="D9E1F2"/>
            <w:vAlign w:val="bottom"/>
            <w:hideMark/>
          </w:tcPr>
          <w:p w14:paraId="4526457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1.1 Migration, hosting, web governance, upskilling, additional staffing</w:t>
            </w:r>
          </w:p>
        </w:tc>
        <w:tc>
          <w:tcPr>
            <w:tcW w:w="431" w:type="dxa"/>
            <w:tcBorders>
              <w:top w:val="nil"/>
              <w:left w:val="single" w:sz="4" w:space="0" w:color="auto"/>
              <w:bottom w:val="nil"/>
              <w:right w:val="nil"/>
            </w:tcBorders>
            <w:shd w:val="clear" w:color="auto" w:fill="auto"/>
            <w:noWrap/>
            <w:vAlign w:val="bottom"/>
            <w:hideMark/>
          </w:tcPr>
          <w:p w14:paraId="68449DD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nil"/>
              <w:left w:val="nil"/>
              <w:bottom w:val="nil"/>
              <w:right w:val="nil"/>
            </w:tcBorders>
            <w:shd w:val="clear" w:color="auto" w:fill="auto"/>
            <w:noWrap/>
            <w:vAlign w:val="bottom"/>
            <w:hideMark/>
          </w:tcPr>
          <w:p w14:paraId="2B68C568"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71" w:type="dxa"/>
            <w:tcBorders>
              <w:top w:val="nil"/>
              <w:left w:val="nil"/>
              <w:bottom w:val="nil"/>
              <w:right w:val="nil"/>
            </w:tcBorders>
            <w:shd w:val="clear" w:color="000000" w:fill="D9E1F2"/>
            <w:noWrap/>
            <w:vAlign w:val="bottom"/>
            <w:hideMark/>
          </w:tcPr>
          <w:p w14:paraId="6D6A015E"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nil"/>
              <w:left w:val="nil"/>
              <w:bottom w:val="nil"/>
              <w:right w:val="single" w:sz="4" w:space="0" w:color="auto"/>
            </w:tcBorders>
            <w:shd w:val="clear" w:color="000000" w:fill="D9E1F2"/>
            <w:noWrap/>
            <w:vAlign w:val="bottom"/>
            <w:hideMark/>
          </w:tcPr>
          <w:p w14:paraId="16C36425"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60E58F9E"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61C398B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27C73333"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single" w:sz="4" w:space="0" w:color="auto"/>
            </w:tcBorders>
            <w:shd w:val="clear" w:color="000000" w:fill="D9E1F2"/>
            <w:noWrap/>
            <w:vAlign w:val="bottom"/>
            <w:hideMark/>
          </w:tcPr>
          <w:p w14:paraId="2003E945"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5118C951"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86" w:type="dxa"/>
            <w:tcBorders>
              <w:top w:val="nil"/>
              <w:left w:val="nil"/>
              <w:bottom w:val="nil"/>
              <w:right w:val="nil"/>
            </w:tcBorders>
            <w:shd w:val="clear" w:color="000000" w:fill="D9E1F2"/>
            <w:noWrap/>
            <w:vAlign w:val="bottom"/>
            <w:hideMark/>
          </w:tcPr>
          <w:p w14:paraId="3EF00CAE"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1A234A67"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single" w:sz="4" w:space="0" w:color="auto"/>
            </w:tcBorders>
            <w:shd w:val="clear" w:color="000000" w:fill="D9E1F2"/>
            <w:noWrap/>
            <w:vAlign w:val="bottom"/>
            <w:hideMark/>
          </w:tcPr>
          <w:p w14:paraId="56EA0711"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6B1DF31C"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77047480"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00F6521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single" w:sz="4" w:space="0" w:color="auto"/>
            </w:tcBorders>
            <w:shd w:val="clear" w:color="000000" w:fill="D9E1F2"/>
            <w:noWrap/>
            <w:vAlign w:val="bottom"/>
            <w:hideMark/>
          </w:tcPr>
          <w:p w14:paraId="04B8962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3865F0F3"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39D96CE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6532E314"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single" w:sz="4" w:space="0" w:color="auto"/>
            </w:tcBorders>
            <w:shd w:val="clear" w:color="000000" w:fill="D9E1F2"/>
            <w:noWrap/>
            <w:vAlign w:val="bottom"/>
            <w:hideMark/>
          </w:tcPr>
          <w:p w14:paraId="6C3E735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r>
      <w:tr w:rsidR="001928E7" w:rsidRPr="001928E7" w14:paraId="747DF616" w14:textId="77777777" w:rsidTr="007B274A">
        <w:trPr>
          <w:trHeight w:val="540"/>
        </w:trPr>
        <w:tc>
          <w:tcPr>
            <w:tcW w:w="3860" w:type="dxa"/>
            <w:tcBorders>
              <w:top w:val="nil"/>
              <w:left w:val="nil"/>
              <w:bottom w:val="nil"/>
              <w:right w:val="nil"/>
            </w:tcBorders>
            <w:shd w:val="clear" w:color="000000" w:fill="D9E1F2"/>
            <w:hideMark/>
          </w:tcPr>
          <w:p w14:paraId="1450C9B0"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1.2 Procurement &amp; set-up 24/7 cloud-hosted open-source IT infrastructure</w:t>
            </w:r>
          </w:p>
        </w:tc>
        <w:tc>
          <w:tcPr>
            <w:tcW w:w="431" w:type="dxa"/>
            <w:tcBorders>
              <w:top w:val="nil"/>
              <w:left w:val="single" w:sz="4" w:space="0" w:color="auto"/>
              <w:bottom w:val="nil"/>
              <w:right w:val="nil"/>
            </w:tcBorders>
            <w:shd w:val="clear" w:color="auto" w:fill="auto"/>
            <w:noWrap/>
            <w:vAlign w:val="bottom"/>
            <w:hideMark/>
          </w:tcPr>
          <w:p w14:paraId="7A56236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nil"/>
              <w:left w:val="nil"/>
              <w:bottom w:val="nil"/>
              <w:right w:val="nil"/>
            </w:tcBorders>
            <w:shd w:val="clear" w:color="000000" w:fill="D9E1F2"/>
            <w:noWrap/>
            <w:vAlign w:val="bottom"/>
            <w:hideMark/>
          </w:tcPr>
          <w:p w14:paraId="5599F92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nil"/>
              <w:left w:val="nil"/>
              <w:bottom w:val="nil"/>
              <w:right w:val="nil"/>
            </w:tcBorders>
            <w:shd w:val="clear" w:color="000000" w:fill="D9E1F2"/>
            <w:noWrap/>
            <w:vAlign w:val="bottom"/>
            <w:hideMark/>
          </w:tcPr>
          <w:p w14:paraId="0EF8C81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nil"/>
              <w:left w:val="nil"/>
              <w:bottom w:val="nil"/>
              <w:right w:val="single" w:sz="4" w:space="0" w:color="auto"/>
            </w:tcBorders>
            <w:shd w:val="clear" w:color="000000" w:fill="D9E1F2"/>
            <w:noWrap/>
            <w:vAlign w:val="bottom"/>
            <w:hideMark/>
          </w:tcPr>
          <w:p w14:paraId="79217358"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1352F85F"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hideMark/>
          </w:tcPr>
          <w:p w14:paraId="710F22A9"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6CB1988A"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single" w:sz="4" w:space="0" w:color="auto"/>
            </w:tcBorders>
            <w:shd w:val="clear" w:color="auto" w:fill="auto"/>
            <w:noWrap/>
            <w:vAlign w:val="bottom"/>
            <w:hideMark/>
          </w:tcPr>
          <w:p w14:paraId="7435DCBE"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5162538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86" w:type="dxa"/>
            <w:tcBorders>
              <w:top w:val="nil"/>
              <w:left w:val="nil"/>
              <w:bottom w:val="nil"/>
              <w:right w:val="nil"/>
            </w:tcBorders>
            <w:shd w:val="clear" w:color="auto" w:fill="auto"/>
            <w:noWrap/>
            <w:vAlign w:val="bottom"/>
            <w:hideMark/>
          </w:tcPr>
          <w:p w14:paraId="442BD257"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60311B1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56E8FFC5"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single" w:sz="4" w:space="0" w:color="auto"/>
              <w:bottom w:val="nil"/>
              <w:right w:val="nil"/>
            </w:tcBorders>
            <w:shd w:val="clear" w:color="auto" w:fill="auto"/>
            <w:noWrap/>
            <w:vAlign w:val="bottom"/>
            <w:hideMark/>
          </w:tcPr>
          <w:p w14:paraId="43A90E2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47916D2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hideMark/>
          </w:tcPr>
          <w:p w14:paraId="3115295E"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single" w:sz="4" w:space="0" w:color="auto"/>
            </w:tcBorders>
            <w:shd w:val="clear" w:color="auto" w:fill="auto"/>
            <w:noWrap/>
            <w:vAlign w:val="bottom"/>
            <w:hideMark/>
          </w:tcPr>
          <w:p w14:paraId="13E0B778"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2EEB328A"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hideMark/>
          </w:tcPr>
          <w:p w14:paraId="0FFE979A"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350A9CA7"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single" w:sz="4" w:space="0" w:color="auto"/>
            </w:tcBorders>
            <w:shd w:val="clear" w:color="auto" w:fill="auto"/>
            <w:noWrap/>
            <w:vAlign w:val="bottom"/>
            <w:hideMark/>
          </w:tcPr>
          <w:p w14:paraId="732884D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r>
      <w:tr w:rsidR="001928E7" w:rsidRPr="001928E7" w14:paraId="22F18F26" w14:textId="77777777" w:rsidTr="007B274A">
        <w:trPr>
          <w:trHeight w:val="220"/>
        </w:trPr>
        <w:tc>
          <w:tcPr>
            <w:tcW w:w="3860" w:type="dxa"/>
            <w:tcBorders>
              <w:top w:val="nil"/>
              <w:left w:val="nil"/>
              <w:bottom w:val="nil"/>
              <w:right w:val="nil"/>
            </w:tcBorders>
            <w:shd w:val="clear" w:color="000000" w:fill="D9E1F2"/>
            <w:noWrap/>
            <w:vAlign w:val="bottom"/>
            <w:hideMark/>
          </w:tcPr>
          <w:p w14:paraId="1F56A819"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1.3 Content management system</w:t>
            </w:r>
          </w:p>
        </w:tc>
        <w:tc>
          <w:tcPr>
            <w:tcW w:w="431" w:type="dxa"/>
            <w:tcBorders>
              <w:top w:val="nil"/>
              <w:left w:val="single" w:sz="4" w:space="0" w:color="auto"/>
              <w:bottom w:val="nil"/>
              <w:right w:val="nil"/>
            </w:tcBorders>
            <w:shd w:val="clear" w:color="auto" w:fill="auto"/>
            <w:noWrap/>
            <w:vAlign w:val="bottom"/>
            <w:hideMark/>
          </w:tcPr>
          <w:p w14:paraId="5A7B9588"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nil"/>
              <w:left w:val="nil"/>
              <w:bottom w:val="nil"/>
              <w:right w:val="nil"/>
            </w:tcBorders>
            <w:shd w:val="clear" w:color="auto" w:fill="auto"/>
            <w:noWrap/>
            <w:vAlign w:val="bottom"/>
            <w:hideMark/>
          </w:tcPr>
          <w:p w14:paraId="52246310"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71" w:type="dxa"/>
            <w:tcBorders>
              <w:top w:val="nil"/>
              <w:left w:val="nil"/>
              <w:bottom w:val="nil"/>
              <w:right w:val="nil"/>
            </w:tcBorders>
            <w:shd w:val="clear" w:color="auto" w:fill="auto"/>
            <w:noWrap/>
            <w:vAlign w:val="bottom"/>
            <w:hideMark/>
          </w:tcPr>
          <w:p w14:paraId="58F942CA"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71" w:type="dxa"/>
            <w:tcBorders>
              <w:top w:val="nil"/>
              <w:left w:val="nil"/>
              <w:bottom w:val="nil"/>
              <w:right w:val="single" w:sz="4" w:space="0" w:color="auto"/>
            </w:tcBorders>
            <w:shd w:val="clear" w:color="000000" w:fill="D9E1F2"/>
            <w:noWrap/>
            <w:vAlign w:val="bottom"/>
            <w:hideMark/>
          </w:tcPr>
          <w:p w14:paraId="6D842163"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0101C349"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3BAD85C9"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0AF247B1"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single" w:sz="4" w:space="0" w:color="auto"/>
            </w:tcBorders>
            <w:shd w:val="clear" w:color="auto" w:fill="auto"/>
            <w:noWrap/>
            <w:vAlign w:val="bottom"/>
            <w:hideMark/>
          </w:tcPr>
          <w:p w14:paraId="0BB4FDD0"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3979C3FE"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86" w:type="dxa"/>
            <w:tcBorders>
              <w:top w:val="nil"/>
              <w:left w:val="nil"/>
              <w:bottom w:val="nil"/>
              <w:right w:val="nil"/>
            </w:tcBorders>
            <w:shd w:val="clear" w:color="auto" w:fill="auto"/>
            <w:noWrap/>
            <w:vAlign w:val="bottom"/>
            <w:hideMark/>
          </w:tcPr>
          <w:p w14:paraId="0F60C04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0DBDA8A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3FFB08D9"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single" w:sz="4" w:space="0" w:color="auto"/>
              <w:bottom w:val="nil"/>
              <w:right w:val="nil"/>
            </w:tcBorders>
            <w:shd w:val="clear" w:color="auto" w:fill="auto"/>
            <w:noWrap/>
            <w:vAlign w:val="bottom"/>
            <w:hideMark/>
          </w:tcPr>
          <w:p w14:paraId="1C8F36F0"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3D3B6151"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hideMark/>
          </w:tcPr>
          <w:p w14:paraId="2A1128E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single" w:sz="4" w:space="0" w:color="auto"/>
            </w:tcBorders>
            <w:shd w:val="clear" w:color="auto" w:fill="auto"/>
            <w:noWrap/>
            <w:vAlign w:val="bottom"/>
            <w:hideMark/>
          </w:tcPr>
          <w:p w14:paraId="6F5A3260"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724B89A1"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hideMark/>
          </w:tcPr>
          <w:p w14:paraId="56EBCFF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2F95EE8E"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single" w:sz="4" w:space="0" w:color="auto"/>
            </w:tcBorders>
            <w:shd w:val="clear" w:color="auto" w:fill="auto"/>
            <w:noWrap/>
            <w:vAlign w:val="bottom"/>
            <w:hideMark/>
          </w:tcPr>
          <w:p w14:paraId="25ED7D6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r>
      <w:tr w:rsidR="001928E7" w:rsidRPr="001928E7" w14:paraId="45673934" w14:textId="77777777" w:rsidTr="007B274A">
        <w:trPr>
          <w:trHeight w:val="460"/>
        </w:trPr>
        <w:tc>
          <w:tcPr>
            <w:tcW w:w="3860" w:type="dxa"/>
            <w:tcBorders>
              <w:top w:val="nil"/>
              <w:left w:val="nil"/>
              <w:bottom w:val="nil"/>
              <w:right w:val="nil"/>
            </w:tcBorders>
            <w:shd w:val="clear" w:color="000000" w:fill="D9E1F2"/>
            <w:vAlign w:val="bottom"/>
            <w:hideMark/>
          </w:tcPr>
          <w:p w14:paraId="280D626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1.4 Content deletion, unpublishing, archiving or migration</w:t>
            </w:r>
          </w:p>
        </w:tc>
        <w:tc>
          <w:tcPr>
            <w:tcW w:w="431" w:type="dxa"/>
            <w:tcBorders>
              <w:top w:val="nil"/>
              <w:left w:val="single" w:sz="4" w:space="0" w:color="auto"/>
              <w:bottom w:val="nil"/>
              <w:right w:val="nil"/>
            </w:tcBorders>
            <w:shd w:val="clear" w:color="auto" w:fill="auto"/>
            <w:noWrap/>
            <w:vAlign w:val="bottom"/>
            <w:hideMark/>
          </w:tcPr>
          <w:p w14:paraId="2484A25F"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nil"/>
              <w:left w:val="nil"/>
              <w:bottom w:val="nil"/>
              <w:right w:val="nil"/>
            </w:tcBorders>
            <w:shd w:val="clear" w:color="auto" w:fill="auto"/>
            <w:noWrap/>
            <w:vAlign w:val="bottom"/>
            <w:hideMark/>
          </w:tcPr>
          <w:p w14:paraId="0F55DCA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71" w:type="dxa"/>
            <w:tcBorders>
              <w:top w:val="nil"/>
              <w:left w:val="nil"/>
              <w:bottom w:val="nil"/>
              <w:right w:val="nil"/>
            </w:tcBorders>
            <w:shd w:val="clear" w:color="auto" w:fill="auto"/>
            <w:noWrap/>
            <w:vAlign w:val="bottom"/>
            <w:hideMark/>
          </w:tcPr>
          <w:p w14:paraId="6BFE8061"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71" w:type="dxa"/>
            <w:tcBorders>
              <w:top w:val="nil"/>
              <w:left w:val="nil"/>
              <w:bottom w:val="nil"/>
              <w:right w:val="single" w:sz="4" w:space="0" w:color="auto"/>
            </w:tcBorders>
            <w:shd w:val="clear" w:color="auto" w:fill="auto"/>
            <w:noWrap/>
            <w:vAlign w:val="bottom"/>
            <w:hideMark/>
          </w:tcPr>
          <w:p w14:paraId="1D8FEC4C"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3568D82E"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hideMark/>
          </w:tcPr>
          <w:p w14:paraId="123A3BDF"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000000" w:fill="D9E1F2"/>
            <w:noWrap/>
            <w:vAlign w:val="bottom"/>
            <w:hideMark/>
          </w:tcPr>
          <w:p w14:paraId="5F17A7B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single" w:sz="4" w:space="0" w:color="auto"/>
            </w:tcBorders>
            <w:shd w:val="clear" w:color="000000" w:fill="D9E1F2"/>
            <w:noWrap/>
            <w:vAlign w:val="bottom"/>
            <w:hideMark/>
          </w:tcPr>
          <w:p w14:paraId="2989D8D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284FB2C1"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86" w:type="dxa"/>
            <w:tcBorders>
              <w:top w:val="nil"/>
              <w:left w:val="nil"/>
              <w:bottom w:val="nil"/>
              <w:right w:val="nil"/>
            </w:tcBorders>
            <w:shd w:val="clear" w:color="000000" w:fill="D9E1F2"/>
            <w:noWrap/>
            <w:vAlign w:val="bottom"/>
            <w:hideMark/>
          </w:tcPr>
          <w:p w14:paraId="14894E03"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72828FE5"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single" w:sz="4" w:space="0" w:color="auto"/>
            </w:tcBorders>
            <w:shd w:val="clear" w:color="000000" w:fill="D9E1F2"/>
            <w:noWrap/>
            <w:vAlign w:val="bottom"/>
            <w:hideMark/>
          </w:tcPr>
          <w:p w14:paraId="15D736FC"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7C651F8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hideMark/>
          </w:tcPr>
          <w:p w14:paraId="4E76C6BF"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3DB3656E"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single" w:sz="4" w:space="0" w:color="auto"/>
            </w:tcBorders>
            <w:shd w:val="clear" w:color="auto" w:fill="auto"/>
            <w:noWrap/>
            <w:vAlign w:val="bottom"/>
            <w:hideMark/>
          </w:tcPr>
          <w:p w14:paraId="2646F0D9"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0A927E0A"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hideMark/>
          </w:tcPr>
          <w:p w14:paraId="30FA0ADE"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037FBA33"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single" w:sz="4" w:space="0" w:color="auto"/>
            </w:tcBorders>
            <w:shd w:val="clear" w:color="auto" w:fill="auto"/>
            <w:noWrap/>
            <w:vAlign w:val="bottom"/>
            <w:hideMark/>
          </w:tcPr>
          <w:p w14:paraId="5616D7F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r>
      <w:tr w:rsidR="001928E7" w:rsidRPr="001928E7" w14:paraId="447A225D" w14:textId="77777777" w:rsidTr="007B274A">
        <w:trPr>
          <w:trHeight w:val="450"/>
        </w:trPr>
        <w:tc>
          <w:tcPr>
            <w:tcW w:w="3860" w:type="dxa"/>
            <w:tcBorders>
              <w:top w:val="nil"/>
              <w:left w:val="nil"/>
              <w:bottom w:val="nil"/>
              <w:right w:val="nil"/>
            </w:tcBorders>
            <w:shd w:val="clear" w:color="000000" w:fill="D9E1F2"/>
            <w:vAlign w:val="bottom"/>
            <w:hideMark/>
          </w:tcPr>
          <w:p w14:paraId="240A5503"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1.5 Connecting to existing ITU systems, workspaces and new software/plug-ins</w:t>
            </w:r>
          </w:p>
        </w:tc>
        <w:tc>
          <w:tcPr>
            <w:tcW w:w="431" w:type="dxa"/>
            <w:tcBorders>
              <w:top w:val="nil"/>
              <w:left w:val="single" w:sz="4" w:space="0" w:color="auto"/>
              <w:bottom w:val="nil"/>
              <w:right w:val="nil"/>
            </w:tcBorders>
            <w:shd w:val="clear" w:color="auto" w:fill="auto"/>
            <w:noWrap/>
            <w:vAlign w:val="bottom"/>
            <w:hideMark/>
          </w:tcPr>
          <w:p w14:paraId="3B6C14C1"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nil"/>
              <w:left w:val="nil"/>
              <w:bottom w:val="nil"/>
              <w:right w:val="nil"/>
            </w:tcBorders>
            <w:shd w:val="clear" w:color="auto" w:fill="auto"/>
            <w:noWrap/>
            <w:vAlign w:val="bottom"/>
            <w:hideMark/>
          </w:tcPr>
          <w:p w14:paraId="3C65009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71" w:type="dxa"/>
            <w:tcBorders>
              <w:top w:val="nil"/>
              <w:left w:val="nil"/>
              <w:bottom w:val="nil"/>
              <w:right w:val="nil"/>
            </w:tcBorders>
            <w:shd w:val="clear" w:color="auto" w:fill="auto"/>
            <w:noWrap/>
            <w:vAlign w:val="bottom"/>
            <w:hideMark/>
          </w:tcPr>
          <w:p w14:paraId="09D4577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71" w:type="dxa"/>
            <w:tcBorders>
              <w:top w:val="nil"/>
              <w:left w:val="nil"/>
              <w:bottom w:val="nil"/>
              <w:right w:val="single" w:sz="4" w:space="0" w:color="auto"/>
            </w:tcBorders>
            <w:shd w:val="clear" w:color="auto" w:fill="auto"/>
            <w:noWrap/>
            <w:vAlign w:val="bottom"/>
            <w:hideMark/>
          </w:tcPr>
          <w:p w14:paraId="322CCD1F"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7BC5E404"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000000" w:fill="D9E1F2"/>
            <w:noWrap/>
            <w:vAlign w:val="bottom"/>
            <w:hideMark/>
          </w:tcPr>
          <w:p w14:paraId="71C971C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581EB0B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single" w:sz="4" w:space="0" w:color="auto"/>
            </w:tcBorders>
            <w:shd w:val="clear" w:color="000000" w:fill="D9E1F2"/>
            <w:noWrap/>
            <w:vAlign w:val="bottom"/>
            <w:hideMark/>
          </w:tcPr>
          <w:p w14:paraId="2C6F2D9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40348EB0"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86" w:type="dxa"/>
            <w:tcBorders>
              <w:top w:val="nil"/>
              <w:left w:val="nil"/>
              <w:bottom w:val="nil"/>
              <w:right w:val="nil"/>
            </w:tcBorders>
            <w:shd w:val="clear" w:color="000000" w:fill="D9E1F2"/>
            <w:noWrap/>
            <w:vAlign w:val="bottom"/>
            <w:hideMark/>
          </w:tcPr>
          <w:p w14:paraId="3B52BC7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70143854"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52C1E354"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733AEE3F"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36D2D3D5"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5115706A"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single" w:sz="4" w:space="0" w:color="auto"/>
            </w:tcBorders>
            <w:shd w:val="clear" w:color="000000" w:fill="D9E1F2"/>
            <w:noWrap/>
            <w:vAlign w:val="bottom"/>
            <w:hideMark/>
          </w:tcPr>
          <w:p w14:paraId="3E866AC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45BB06B8"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32FDA40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478B4D15"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single" w:sz="4" w:space="0" w:color="auto"/>
            </w:tcBorders>
            <w:shd w:val="clear" w:color="000000" w:fill="D9E1F2"/>
            <w:noWrap/>
            <w:vAlign w:val="bottom"/>
            <w:hideMark/>
          </w:tcPr>
          <w:p w14:paraId="4618E79C"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r>
      <w:tr w:rsidR="001928E7" w:rsidRPr="001928E7" w14:paraId="68AD1F03" w14:textId="77777777" w:rsidTr="007B274A">
        <w:trPr>
          <w:trHeight w:val="220"/>
        </w:trPr>
        <w:tc>
          <w:tcPr>
            <w:tcW w:w="3860" w:type="dxa"/>
            <w:tcBorders>
              <w:top w:val="nil"/>
              <w:left w:val="nil"/>
              <w:bottom w:val="nil"/>
              <w:right w:val="nil"/>
            </w:tcBorders>
            <w:shd w:val="clear" w:color="000000" w:fill="D9E1F2"/>
            <w:vAlign w:val="bottom"/>
            <w:hideMark/>
          </w:tcPr>
          <w:p w14:paraId="1C8529B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1.6 Bug-fixing and maintenance</w:t>
            </w:r>
          </w:p>
        </w:tc>
        <w:tc>
          <w:tcPr>
            <w:tcW w:w="431" w:type="dxa"/>
            <w:tcBorders>
              <w:top w:val="nil"/>
              <w:left w:val="single" w:sz="4" w:space="0" w:color="auto"/>
              <w:bottom w:val="nil"/>
              <w:right w:val="nil"/>
            </w:tcBorders>
            <w:shd w:val="clear" w:color="auto" w:fill="auto"/>
            <w:noWrap/>
            <w:vAlign w:val="bottom"/>
            <w:hideMark/>
          </w:tcPr>
          <w:p w14:paraId="3B9D585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nil"/>
              <w:left w:val="nil"/>
              <w:bottom w:val="nil"/>
              <w:right w:val="nil"/>
            </w:tcBorders>
            <w:shd w:val="clear" w:color="000000" w:fill="D9E1F2"/>
            <w:noWrap/>
            <w:vAlign w:val="bottom"/>
            <w:hideMark/>
          </w:tcPr>
          <w:p w14:paraId="1E5226A5"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nil"/>
              <w:left w:val="nil"/>
              <w:bottom w:val="nil"/>
              <w:right w:val="nil"/>
            </w:tcBorders>
            <w:shd w:val="clear" w:color="000000" w:fill="D9E1F2"/>
            <w:noWrap/>
            <w:vAlign w:val="bottom"/>
            <w:hideMark/>
          </w:tcPr>
          <w:p w14:paraId="50A14E2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nil"/>
              <w:left w:val="nil"/>
              <w:bottom w:val="nil"/>
              <w:right w:val="nil"/>
            </w:tcBorders>
            <w:shd w:val="clear" w:color="000000" w:fill="D9E1F2"/>
            <w:noWrap/>
            <w:vAlign w:val="bottom"/>
            <w:hideMark/>
          </w:tcPr>
          <w:p w14:paraId="573FE93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single" w:sz="4" w:space="0" w:color="auto"/>
              <w:bottom w:val="nil"/>
              <w:right w:val="nil"/>
            </w:tcBorders>
            <w:shd w:val="clear" w:color="000000" w:fill="D9E1F2"/>
            <w:noWrap/>
            <w:vAlign w:val="bottom"/>
            <w:hideMark/>
          </w:tcPr>
          <w:p w14:paraId="49E29B8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15764F6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76D0304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single" w:sz="4" w:space="0" w:color="auto"/>
            </w:tcBorders>
            <w:shd w:val="clear" w:color="000000" w:fill="D9E1F2"/>
            <w:noWrap/>
            <w:vAlign w:val="bottom"/>
            <w:hideMark/>
          </w:tcPr>
          <w:p w14:paraId="2BD9E1A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60B36C4F"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86" w:type="dxa"/>
            <w:tcBorders>
              <w:top w:val="nil"/>
              <w:left w:val="nil"/>
              <w:bottom w:val="nil"/>
              <w:right w:val="nil"/>
            </w:tcBorders>
            <w:shd w:val="clear" w:color="000000" w:fill="D9E1F2"/>
            <w:noWrap/>
            <w:vAlign w:val="bottom"/>
            <w:hideMark/>
          </w:tcPr>
          <w:p w14:paraId="5E4EF0F5"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157ED42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3D9E8EC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06D82643"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2D40942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217FB43F"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single" w:sz="4" w:space="0" w:color="auto"/>
            </w:tcBorders>
            <w:shd w:val="clear" w:color="000000" w:fill="D9E1F2"/>
            <w:noWrap/>
            <w:vAlign w:val="bottom"/>
            <w:hideMark/>
          </w:tcPr>
          <w:p w14:paraId="3B328AD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1D050531"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64A4ED49"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262FE41C"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single" w:sz="4" w:space="0" w:color="auto"/>
            </w:tcBorders>
            <w:shd w:val="clear" w:color="000000" w:fill="D9E1F2"/>
            <w:noWrap/>
            <w:vAlign w:val="bottom"/>
            <w:hideMark/>
          </w:tcPr>
          <w:p w14:paraId="164ED0CE"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r>
      <w:tr w:rsidR="001928E7" w:rsidRPr="001928E7" w14:paraId="226BD150" w14:textId="77777777" w:rsidTr="007B274A">
        <w:trPr>
          <w:trHeight w:val="290"/>
        </w:trPr>
        <w:tc>
          <w:tcPr>
            <w:tcW w:w="3860" w:type="dxa"/>
            <w:tcBorders>
              <w:top w:val="nil"/>
              <w:left w:val="nil"/>
              <w:bottom w:val="nil"/>
              <w:right w:val="nil"/>
            </w:tcBorders>
            <w:shd w:val="clear" w:color="000000" w:fill="8EA9DB"/>
            <w:vAlign w:val="bottom"/>
            <w:hideMark/>
          </w:tcPr>
          <w:p w14:paraId="548BAE6C"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2. Security</w:t>
            </w:r>
          </w:p>
        </w:tc>
        <w:tc>
          <w:tcPr>
            <w:tcW w:w="431" w:type="dxa"/>
            <w:tcBorders>
              <w:top w:val="single" w:sz="4" w:space="0" w:color="auto"/>
              <w:left w:val="single" w:sz="4" w:space="0" w:color="auto"/>
              <w:bottom w:val="nil"/>
              <w:right w:val="nil"/>
            </w:tcBorders>
            <w:shd w:val="clear" w:color="auto" w:fill="auto"/>
            <w:noWrap/>
            <w:vAlign w:val="bottom"/>
            <w:hideMark/>
          </w:tcPr>
          <w:p w14:paraId="0DAF5A80"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single" w:sz="4" w:space="0" w:color="auto"/>
              <w:left w:val="nil"/>
              <w:bottom w:val="nil"/>
              <w:right w:val="nil"/>
            </w:tcBorders>
            <w:shd w:val="clear" w:color="auto" w:fill="auto"/>
            <w:noWrap/>
            <w:vAlign w:val="bottom"/>
            <w:hideMark/>
          </w:tcPr>
          <w:p w14:paraId="1B2F9E3E"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single" w:sz="4" w:space="0" w:color="auto"/>
              <w:left w:val="nil"/>
              <w:bottom w:val="nil"/>
              <w:right w:val="nil"/>
            </w:tcBorders>
            <w:shd w:val="clear" w:color="auto" w:fill="auto"/>
            <w:noWrap/>
            <w:vAlign w:val="bottom"/>
            <w:hideMark/>
          </w:tcPr>
          <w:p w14:paraId="0CD67DC7"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single" w:sz="4" w:space="0" w:color="auto"/>
              <w:left w:val="nil"/>
              <w:bottom w:val="nil"/>
              <w:right w:val="single" w:sz="4" w:space="0" w:color="auto"/>
            </w:tcBorders>
            <w:shd w:val="clear" w:color="auto" w:fill="auto"/>
            <w:noWrap/>
            <w:vAlign w:val="bottom"/>
            <w:hideMark/>
          </w:tcPr>
          <w:p w14:paraId="1BA3F930"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nil"/>
            </w:tcBorders>
            <w:shd w:val="clear" w:color="auto" w:fill="auto"/>
            <w:noWrap/>
            <w:vAlign w:val="bottom"/>
            <w:hideMark/>
          </w:tcPr>
          <w:p w14:paraId="7C9B5B4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nil"/>
            </w:tcBorders>
            <w:shd w:val="clear" w:color="auto" w:fill="auto"/>
            <w:noWrap/>
            <w:vAlign w:val="bottom"/>
            <w:hideMark/>
          </w:tcPr>
          <w:p w14:paraId="6F08F559"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nil"/>
            </w:tcBorders>
            <w:shd w:val="clear" w:color="auto" w:fill="auto"/>
            <w:noWrap/>
            <w:vAlign w:val="bottom"/>
            <w:hideMark/>
          </w:tcPr>
          <w:p w14:paraId="45B959A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single" w:sz="4" w:space="0" w:color="auto"/>
            </w:tcBorders>
            <w:shd w:val="clear" w:color="auto" w:fill="auto"/>
            <w:noWrap/>
            <w:vAlign w:val="bottom"/>
            <w:hideMark/>
          </w:tcPr>
          <w:p w14:paraId="72B070E4"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nil"/>
            </w:tcBorders>
            <w:shd w:val="clear" w:color="auto" w:fill="auto"/>
            <w:noWrap/>
            <w:vAlign w:val="bottom"/>
            <w:hideMark/>
          </w:tcPr>
          <w:p w14:paraId="75E7E13F"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86" w:type="dxa"/>
            <w:tcBorders>
              <w:top w:val="single" w:sz="4" w:space="0" w:color="auto"/>
              <w:left w:val="nil"/>
              <w:bottom w:val="nil"/>
              <w:right w:val="nil"/>
            </w:tcBorders>
            <w:shd w:val="clear" w:color="auto" w:fill="auto"/>
            <w:noWrap/>
            <w:vAlign w:val="bottom"/>
            <w:hideMark/>
          </w:tcPr>
          <w:p w14:paraId="5BB928FE"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nil"/>
            </w:tcBorders>
            <w:shd w:val="clear" w:color="auto" w:fill="auto"/>
            <w:noWrap/>
            <w:vAlign w:val="bottom"/>
            <w:hideMark/>
          </w:tcPr>
          <w:p w14:paraId="696682E5"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nil"/>
            </w:tcBorders>
            <w:shd w:val="clear" w:color="auto" w:fill="auto"/>
            <w:noWrap/>
            <w:vAlign w:val="bottom"/>
            <w:hideMark/>
          </w:tcPr>
          <w:p w14:paraId="1CB8773E"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single" w:sz="4" w:space="0" w:color="auto"/>
              <w:bottom w:val="nil"/>
              <w:right w:val="nil"/>
            </w:tcBorders>
            <w:shd w:val="clear" w:color="auto" w:fill="auto"/>
            <w:noWrap/>
            <w:vAlign w:val="bottom"/>
            <w:hideMark/>
          </w:tcPr>
          <w:p w14:paraId="6BC3362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nil"/>
            </w:tcBorders>
            <w:shd w:val="clear" w:color="auto" w:fill="auto"/>
            <w:noWrap/>
            <w:vAlign w:val="bottom"/>
            <w:hideMark/>
          </w:tcPr>
          <w:p w14:paraId="3B014B9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nil"/>
            </w:tcBorders>
            <w:shd w:val="clear" w:color="auto" w:fill="auto"/>
            <w:noWrap/>
            <w:vAlign w:val="bottom"/>
            <w:hideMark/>
          </w:tcPr>
          <w:p w14:paraId="3BBD9607"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single" w:sz="4" w:space="0" w:color="auto"/>
            </w:tcBorders>
            <w:shd w:val="clear" w:color="auto" w:fill="auto"/>
            <w:noWrap/>
            <w:vAlign w:val="bottom"/>
            <w:hideMark/>
          </w:tcPr>
          <w:p w14:paraId="733170E4"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nil"/>
            </w:tcBorders>
            <w:shd w:val="clear" w:color="auto" w:fill="auto"/>
            <w:noWrap/>
            <w:vAlign w:val="bottom"/>
            <w:hideMark/>
          </w:tcPr>
          <w:p w14:paraId="4AC4DFA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nil"/>
            </w:tcBorders>
            <w:shd w:val="clear" w:color="auto" w:fill="auto"/>
            <w:noWrap/>
            <w:vAlign w:val="bottom"/>
            <w:hideMark/>
          </w:tcPr>
          <w:p w14:paraId="7DC5CBA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nil"/>
            </w:tcBorders>
            <w:shd w:val="clear" w:color="auto" w:fill="auto"/>
            <w:noWrap/>
            <w:vAlign w:val="bottom"/>
            <w:hideMark/>
          </w:tcPr>
          <w:p w14:paraId="2821F340"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single" w:sz="4" w:space="0" w:color="auto"/>
            </w:tcBorders>
            <w:shd w:val="clear" w:color="auto" w:fill="auto"/>
            <w:noWrap/>
            <w:vAlign w:val="bottom"/>
            <w:hideMark/>
          </w:tcPr>
          <w:p w14:paraId="397D9938"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r>
      <w:tr w:rsidR="001928E7" w:rsidRPr="001928E7" w14:paraId="44FB70A3" w14:textId="77777777" w:rsidTr="007B274A">
        <w:trPr>
          <w:trHeight w:val="260"/>
        </w:trPr>
        <w:tc>
          <w:tcPr>
            <w:tcW w:w="3860" w:type="dxa"/>
            <w:tcBorders>
              <w:top w:val="nil"/>
              <w:left w:val="nil"/>
              <w:bottom w:val="nil"/>
              <w:right w:val="nil"/>
            </w:tcBorders>
            <w:shd w:val="clear" w:color="000000" w:fill="D9E1F2"/>
            <w:vAlign w:val="bottom"/>
            <w:hideMark/>
          </w:tcPr>
          <w:p w14:paraId="1D49A6F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2.1 One single user sign-on</w:t>
            </w:r>
          </w:p>
        </w:tc>
        <w:tc>
          <w:tcPr>
            <w:tcW w:w="431" w:type="dxa"/>
            <w:tcBorders>
              <w:top w:val="nil"/>
              <w:left w:val="single" w:sz="4" w:space="0" w:color="auto"/>
              <w:bottom w:val="nil"/>
              <w:right w:val="nil"/>
            </w:tcBorders>
            <w:shd w:val="clear" w:color="auto" w:fill="auto"/>
            <w:noWrap/>
            <w:vAlign w:val="bottom"/>
            <w:hideMark/>
          </w:tcPr>
          <w:p w14:paraId="2D97B883"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nil"/>
              <w:left w:val="nil"/>
              <w:bottom w:val="nil"/>
              <w:right w:val="nil"/>
            </w:tcBorders>
            <w:shd w:val="clear" w:color="auto" w:fill="auto"/>
            <w:noWrap/>
            <w:vAlign w:val="bottom"/>
            <w:hideMark/>
          </w:tcPr>
          <w:p w14:paraId="308E3E73"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71" w:type="dxa"/>
            <w:tcBorders>
              <w:top w:val="nil"/>
              <w:left w:val="nil"/>
              <w:bottom w:val="nil"/>
              <w:right w:val="nil"/>
            </w:tcBorders>
            <w:shd w:val="clear" w:color="auto" w:fill="auto"/>
            <w:noWrap/>
            <w:vAlign w:val="bottom"/>
            <w:hideMark/>
          </w:tcPr>
          <w:p w14:paraId="5BFE98D8"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71" w:type="dxa"/>
            <w:tcBorders>
              <w:top w:val="nil"/>
              <w:left w:val="nil"/>
              <w:bottom w:val="nil"/>
              <w:right w:val="single" w:sz="4" w:space="0" w:color="auto"/>
            </w:tcBorders>
            <w:shd w:val="clear" w:color="000000" w:fill="D9E1F2"/>
            <w:noWrap/>
            <w:vAlign w:val="bottom"/>
            <w:hideMark/>
          </w:tcPr>
          <w:p w14:paraId="513A72D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4A5513F9"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3CEC1E2F"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494ECC09"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single" w:sz="4" w:space="0" w:color="auto"/>
            </w:tcBorders>
            <w:shd w:val="clear" w:color="auto" w:fill="auto"/>
            <w:noWrap/>
            <w:vAlign w:val="bottom"/>
            <w:hideMark/>
          </w:tcPr>
          <w:p w14:paraId="6EF662B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7D36D4F5"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86" w:type="dxa"/>
            <w:tcBorders>
              <w:top w:val="nil"/>
              <w:left w:val="nil"/>
              <w:bottom w:val="nil"/>
              <w:right w:val="nil"/>
            </w:tcBorders>
            <w:shd w:val="clear" w:color="auto" w:fill="auto"/>
            <w:noWrap/>
            <w:vAlign w:val="bottom"/>
            <w:hideMark/>
          </w:tcPr>
          <w:p w14:paraId="3B94B53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52F8BC59"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2B5E731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single" w:sz="4" w:space="0" w:color="auto"/>
              <w:bottom w:val="nil"/>
              <w:right w:val="nil"/>
            </w:tcBorders>
            <w:shd w:val="clear" w:color="auto" w:fill="auto"/>
            <w:noWrap/>
            <w:vAlign w:val="bottom"/>
            <w:hideMark/>
          </w:tcPr>
          <w:p w14:paraId="6172A54E"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063C7AA8"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hideMark/>
          </w:tcPr>
          <w:p w14:paraId="593A1FEC"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single" w:sz="4" w:space="0" w:color="auto"/>
            </w:tcBorders>
            <w:shd w:val="clear" w:color="auto" w:fill="auto"/>
            <w:noWrap/>
            <w:vAlign w:val="bottom"/>
            <w:hideMark/>
          </w:tcPr>
          <w:p w14:paraId="25E796F9"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40979A0F"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hideMark/>
          </w:tcPr>
          <w:p w14:paraId="12FE15D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3899355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single" w:sz="4" w:space="0" w:color="auto"/>
            </w:tcBorders>
            <w:shd w:val="clear" w:color="auto" w:fill="auto"/>
            <w:noWrap/>
            <w:vAlign w:val="bottom"/>
            <w:hideMark/>
          </w:tcPr>
          <w:p w14:paraId="689F5E8F"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r>
      <w:tr w:rsidR="001928E7" w:rsidRPr="001928E7" w14:paraId="5640ED5E" w14:textId="77777777" w:rsidTr="007B274A">
        <w:trPr>
          <w:trHeight w:val="260"/>
        </w:trPr>
        <w:tc>
          <w:tcPr>
            <w:tcW w:w="3860" w:type="dxa"/>
            <w:tcBorders>
              <w:top w:val="nil"/>
              <w:left w:val="nil"/>
              <w:bottom w:val="nil"/>
              <w:right w:val="nil"/>
            </w:tcBorders>
            <w:shd w:val="clear" w:color="000000" w:fill="D9E1F2"/>
            <w:vAlign w:val="bottom"/>
            <w:hideMark/>
          </w:tcPr>
          <w:p w14:paraId="7D1CEB23"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2.2 Multi-factor authentication</w:t>
            </w:r>
          </w:p>
        </w:tc>
        <w:tc>
          <w:tcPr>
            <w:tcW w:w="431" w:type="dxa"/>
            <w:tcBorders>
              <w:top w:val="nil"/>
              <w:left w:val="single" w:sz="4" w:space="0" w:color="auto"/>
              <w:bottom w:val="nil"/>
              <w:right w:val="nil"/>
            </w:tcBorders>
            <w:shd w:val="clear" w:color="auto" w:fill="auto"/>
            <w:noWrap/>
            <w:vAlign w:val="bottom"/>
            <w:hideMark/>
          </w:tcPr>
          <w:p w14:paraId="59759A5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nil"/>
              <w:left w:val="nil"/>
              <w:bottom w:val="nil"/>
              <w:right w:val="nil"/>
            </w:tcBorders>
            <w:shd w:val="clear" w:color="auto" w:fill="auto"/>
            <w:noWrap/>
            <w:vAlign w:val="bottom"/>
            <w:hideMark/>
          </w:tcPr>
          <w:p w14:paraId="0FAE1854"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71" w:type="dxa"/>
            <w:tcBorders>
              <w:top w:val="nil"/>
              <w:left w:val="nil"/>
              <w:bottom w:val="nil"/>
              <w:right w:val="nil"/>
            </w:tcBorders>
            <w:shd w:val="clear" w:color="auto" w:fill="auto"/>
            <w:noWrap/>
            <w:vAlign w:val="bottom"/>
            <w:hideMark/>
          </w:tcPr>
          <w:p w14:paraId="24E80E8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71" w:type="dxa"/>
            <w:tcBorders>
              <w:top w:val="nil"/>
              <w:left w:val="nil"/>
              <w:bottom w:val="nil"/>
              <w:right w:val="single" w:sz="4" w:space="0" w:color="auto"/>
            </w:tcBorders>
            <w:shd w:val="clear" w:color="000000" w:fill="D9E1F2"/>
            <w:noWrap/>
            <w:vAlign w:val="bottom"/>
            <w:hideMark/>
          </w:tcPr>
          <w:p w14:paraId="75814958"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7BE7B70A"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0366076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7C379FC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single" w:sz="4" w:space="0" w:color="auto"/>
            </w:tcBorders>
            <w:shd w:val="clear" w:color="auto" w:fill="auto"/>
            <w:noWrap/>
            <w:vAlign w:val="bottom"/>
            <w:hideMark/>
          </w:tcPr>
          <w:p w14:paraId="7CF8DA65"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71DF5DE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86" w:type="dxa"/>
            <w:tcBorders>
              <w:top w:val="nil"/>
              <w:left w:val="nil"/>
              <w:bottom w:val="nil"/>
              <w:right w:val="nil"/>
            </w:tcBorders>
            <w:shd w:val="clear" w:color="auto" w:fill="auto"/>
            <w:noWrap/>
            <w:vAlign w:val="bottom"/>
            <w:hideMark/>
          </w:tcPr>
          <w:p w14:paraId="2121976C"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20BAC881"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38AAAE2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single" w:sz="4" w:space="0" w:color="auto"/>
              <w:bottom w:val="nil"/>
              <w:right w:val="nil"/>
            </w:tcBorders>
            <w:shd w:val="clear" w:color="auto" w:fill="auto"/>
            <w:noWrap/>
            <w:vAlign w:val="bottom"/>
            <w:hideMark/>
          </w:tcPr>
          <w:p w14:paraId="06E86F08"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1DF83D5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hideMark/>
          </w:tcPr>
          <w:p w14:paraId="57568F6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single" w:sz="4" w:space="0" w:color="auto"/>
            </w:tcBorders>
            <w:shd w:val="clear" w:color="auto" w:fill="auto"/>
            <w:noWrap/>
            <w:vAlign w:val="bottom"/>
            <w:hideMark/>
          </w:tcPr>
          <w:p w14:paraId="2EC8E107"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6B6D854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hideMark/>
          </w:tcPr>
          <w:p w14:paraId="639E2C43"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4614E6C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single" w:sz="4" w:space="0" w:color="auto"/>
            </w:tcBorders>
            <w:shd w:val="clear" w:color="auto" w:fill="auto"/>
            <w:noWrap/>
            <w:vAlign w:val="bottom"/>
            <w:hideMark/>
          </w:tcPr>
          <w:p w14:paraId="2AE60B01"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r>
      <w:tr w:rsidR="001928E7" w:rsidRPr="001928E7" w14:paraId="7C9E2AE8" w14:textId="77777777" w:rsidTr="007B274A">
        <w:trPr>
          <w:trHeight w:val="250"/>
        </w:trPr>
        <w:tc>
          <w:tcPr>
            <w:tcW w:w="3860" w:type="dxa"/>
            <w:tcBorders>
              <w:top w:val="nil"/>
              <w:left w:val="nil"/>
              <w:bottom w:val="nil"/>
              <w:right w:val="nil"/>
            </w:tcBorders>
            <w:shd w:val="clear" w:color="000000" w:fill="D9E1F2"/>
            <w:vAlign w:val="bottom"/>
            <w:hideMark/>
          </w:tcPr>
          <w:p w14:paraId="13DF1E58"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2.3 Identity management</w:t>
            </w:r>
          </w:p>
        </w:tc>
        <w:tc>
          <w:tcPr>
            <w:tcW w:w="431" w:type="dxa"/>
            <w:tcBorders>
              <w:top w:val="nil"/>
              <w:left w:val="single" w:sz="4" w:space="0" w:color="auto"/>
              <w:bottom w:val="nil"/>
              <w:right w:val="nil"/>
            </w:tcBorders>
            <w:shd w:val="clear" w:color="auto" w:fill="auto"/>
            <w:noWrap/>
            <w:vAlign w:val="bottom"/>
            <w:hideMark/>
          </w:tcPr>
          <w:p w14:paraId="719BDEB9"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nil"/>
              <w:left w:val="nil"/>
              <w:bottom w:val="nil"/>
              <w:right w:val="nil"/>
            </w:tcBorders>
            <w:shd w:val="clear" w:color="auto" w:fill="auto"/>
            <w:noWrap/>
            <w:vAlign w:val="bottom"/>
            <w:hideMark/>
          </w:tcPr>
          <w:p w14:paraId="03BC475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71" w:type="dxa"/>
            <w:tcBorders>
              <w:top w:val="nil"/>
              <w:left w:val="nil"/>
              <w:bottom w:val="nil"/>
              <w:right w:val="nil"/>
            </w:tcBorders>
            <w:shd w:val="clear" w:color="auto" w:fill="auto"/>
            <w:noWrap/>
            <w:vAlign w:val="bottom"/>
            <w:hideMark/>
          </w:tcPr>
          <w:p w14:paraId="690A5A7A"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71" w:type="dxa"/>
            <w:tcBorders>
              <w:top w:val="nil"/>
              <w:left w:val="nil"/>
              <w:bottom w:val="nil"/>
              <w:right w:val="single" w:sz="4" w:space="0" w:color="auto"/>
            </w:tcBorders>
            <w:shd w:val="clear" w:color="auto" w:fill="auto"/>
            <w:noWrap/>
            <w:vAlign w:val="bottom"/>
            <w:hideMark/>
          </w:tcPr>
          <w:p w14:paraId="4D3DF427"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5CCC6358"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000000" w:fill="D9E1F2"/>
            <w:noWrap/>
            <w:vAlign w:val="bottom"/>
            <w:hideMark/>
          </w:tcPr>
          <w:p w14:paraId="280C0561"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70372EF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single" w:sz="4" w:space="0" w:color="auto"/>
            </w:tcBorders>
            <w:shd w:val="clear" w:color="auto" w:fill="auto"/>
            <w:noWrap/>
            <w:vAlign w:val="bottom"/>
            <w:hideMark/>
          </w:tcPr>
          <w:p w14:paraId="10123DBC"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26D7142A"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86" w:type="dxa"/>
            <w:tcBorders>
              <w:top w:val="nil"/>
              <w:left w:val="nil"/>
              <w:bottom w:val="nil"/>
              <w:right w:val="nil"/>
            </w:tcBorders>
            <w:shd w:val="clear" w:color="auto" w:fill="auto"/>
            <w:noWrap/>
            <w:vAlign w:val="bottom"/>
            <w:hideMark/>
          </w:tcPr>
          <w:p w14:paraId="242D51F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79AD7DB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0FBCB64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single" w:sz="4" w:space="0" w:color="auto"/>
              <w:bottom w:val="nil"/>
              <w:right w:val="nil"/>
            </w:tcBorders>
            <w:shd w:val="clear" w:color="auto" w:fill="auto"/>
            <w:noWrap/>
            <w:vAlign w:val="bottom"/>
            <w:hideMark/>
          </w:tcPr>
          <w:p w14:paraId="55AA026F"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762C361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hideMark/>
          </w:tcPr>
          <w:p w14:paraId="1923DB10"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single" w:sz="4" w:space="0" w:color="auto"/>
            </w:tcBorders>
            <w:shd w:val="clear" w:color="auto" w:fill="auto"/>
            <w:noWrap/>
            <w:vAlign w:val="bottom"/>
            <w:hideMark/>
          </w:tcPr>
          <w:p w14:paraId="0F97AC0A"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48AFAA17"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hideMark/>
          </w:tcPr>
          <w:p w14:paraId="161CFF83"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7182FF2E"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single" w:sz="4" w:space="0" w:color="auto"/>
            </w:tcBorders>
            <w:shd w:val="clear" w:color="auto" w:fill="auto"/>
            <w:noWrap/>
            <w:vAlign w:val="bottom"/>
            <w:hideMark/>
          </w:tcPr>
          <w:p w14:paraId="49848990"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r>
      <w:tr w:rsidR="009F0526" w:rsidRPr="00F157F9" w14:paraId="32CBA688" w14:textId="77777777" w:rsidTr="00F157F9">
        <w:trPr>
          <w:trHeight w:val="250"/>
        </w:trPr>
        <w:tc>
          <w:tcPr>
            <w:tcW w:w="3860" w:type="dxa"/>
            <w:tcBorders>
              <w:top w:val="nil"/>
              <w:left w:val="nil"/>
              <w:bottom w:val="nil"/>
              <w:right w:val="nil"/>
            </w:tcBorders>
            <w:shd w:val="clear" w:color="000000" w:fill="D9E1F2"/>
            <w:vAlign w:val="bottom"/>
          </w:tcPr>
          <w:p w14:paraId="0D7CC4C7" w14:textId="1E3D6D23" w:rsidR="009F0526" w:rsidRPr="00F157F9" w:rsidRDefault="009F0526"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F157F9">
              <w:rPr>
                <w:rFonts w:cs="Calibri"/>
                <w:color w:val="000000"/>
                <w:sz w:val="18"/>
                <w:szCs w:val="18"/>
                <w:lang w:eastAsia="en-GB"/>
              </w:rPr>
              <w:t>2.4 ISO certifications</w:t>
            </w:r>
            <w:r w:rsidR="00671F4B">
              <w:rPr>
                <w:rFonts w:cs="Calibri"/>
                <w:color w:val="000000"/>
                <w:sz w:val="18"/>
                <w:szCs w:val="18"/>
                <w:lang w:eastAsia="en-GB"/>
              </w:rPr>
              <w:t>:</w:t>
            </w:r>
            <w:r w:rsidRPr="00F157F9">
              <w:rPr>
                <w:rFonts w:cs="Calibri"/>
                <w:color w:val="000000"/>
                <w:sz w:val="18"/>
                <w:szCs w:val="18"/>
                <w:lang w:eastAsia="en-GB"/>
              </w:rPr>
              <w:t xml:space="preserve"> </w:t>
            </w:r>
            <w:r w:rsidR="00F157F9" w:rsidRPr="00F157F9">
              <w:rPr>
                <w:rFonts w:cs="Calibri"/>
                <w:color w:val="000000"/>
                <w:sz w:val="18"/>
                <w:szCs w:val="18"/>
                <w:lang w:eastAsia="en-GB"/>
              </w:rPr>
              <w:t>information security</w:t>
            </w:r>
            <w:r w:rsidR="003D1B53">
              <w:rPr>
                <w:rFonts w:cs="Calibri"/>
                <w:color w:val="000000"/>
                <w:sz w:val="18"/>
                <w:szCs w:val="18"/>
                <w:lang w:eastAsia="en-GB"/>
              </w:rPr>
              <w:t xml:space="preserve"> ISO/IEC 27001</w:t>
            </w:r>
            <w:r w:rsidR="00671F4B">
              <w:rPr>
                <w:rFonts w:cs="Calibri"/>
                <w:color w:val="000000"/>
                <w:sz w:val="18"/>
                <w:szCs w:val="18"/>
                <w:lang w:eastAsia="en-GB"/>
              </w:rPr>
              <w:t xml:space="preserve">, </w:t>
            </w:r>
            <w:r w:rsidR="003D1B53">
              <w:rPr>
                <w:rFonts w:cs="Calibri"/>
                <w:color w:val="000000"/>
                <w:sz w:val="18"/>
                <w:szCs w:val="18"/>
                <w:lang w:eastAsia="en-GB"/>
              </w:rPr>
              <w:t xml:space="preserve">business continuity ISO </w:t>
            </w:r>
            <w:r w:rsidR="00671F4B">
              <w:rPr>
                <w:rFonts w:cs="Calibri"/>
                <w:color w:val="000000"/>
                <w:sz w:val="18"/>
                <w:szCs w:val="18"/>
                <w:lang w:eastAsia="en-GB"/>
              </w:rPr>
              <w:t>22301</w:t>
            </w:r>
          </w:p>
        </w:tc>
        <w:tc>
          <w:tcPr>
            <w:tcW w:w="431" w:type="dxa"/>
            <w:tcBorders>
              <w:top w:val="nil"/>
              <w:left w:val="single" w:sz="4" w:space="0" w:color="auto"/>
              <w:bottom w:val="nil"/>
              <w:right w:val="nil"/>
            </w:tcBorders>
            <w:shd w:val="clear" w:color="auto" w:fill="auto"/>
            <w:noWrap/>
            <w:vAlign w:val="bottom"/>
          </w:tcPr>
          <w:p w14:paraId="0695D113" w14:textId="77777777" w:rsidR="009F0526" w:rsidRPr="00F157F9" w:rsidRDefault="009F0526"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71" w:type="dxa"/>
            <w:tcBorders>
              <w:top w:val="nil"/>
              <w:left w:val="nil"/>
              <w:bottom w:val="nil"/>
              <w:right w:val="nil"/>
            </w:tcBorders>
            <w:shd w:val="clear" w:color="auto" w:fill="auto"/>
            <w:noWrap/>
            <w:vAlign w:val="bottom"/>
          </w:tcPr>
          <w:p w14:paraId="3C828405" w14:textId="77777777" w:rsidR="009F0526" w:rsidRPr="00F157F9" w:rsidRDefault="009F0526"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71" w:type="dxa"/>
            <w:tcBorders>
              <w:top w:val="nil"/>
              <w:left w:val="nil"/>
              <w:bottom w:val="nil"/>
              <w:right w:val="nil"/>
            </w:tcBorders>
            <w:shd w:val="clear" w:color="auto" w:fill="auto"/>
            <w:noWrap/>
            <w:vAlign w:val="bottom"/>
          </w:tcPr>
          <w:p w14:paraId="760F7D8B" w14:textId="77777777" w:rsidR="009F0526" w:rsidRPr="00F157F9" w:rsidRDefault="009F0526"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71" w:type="dxa"/>
            <w:tcBorders>
              <w:top w:val="nil"/>
              <w:left w:val="nil"/>
              <w:bottom w:val="nil"/>
              <w:right w:val="single" w:sz="4" w:space="0" w:color="auto"/>
            </w:tcBorders>
            <w:shd w:val="clear" w:color="auto" w:fill="auto"/>
            <w:noWrap/>
            <w:vAlign w:val="bottom"/>
          </w:tcPr>
          <w:p w14:paraId="4B503382" w14:textId="77777777" w:rsidR="009F0526" w:rsidRPr="00F157F9" w:rsidRDefault="009F0526"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tcPr>
          <w:p w14:paraId="5ED4DF5C" w14:textId="77777777" w:rsidR="009F0526" w:rsidRPr="00F157F9" w:rsidRDefault="009F0526"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tcPr>
          <w:p w14:paraId="2789C429" w14:textId="77777777" w:rsidR="009F0526" w:rsidRPr="00F157F9" w:rsidRDefault="009F0526"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tcPr>
          <w:p w14:paraId="6B371669" w14:textId="77777777" w:rsidR="009F0526" w:rsidRPr="00F157F9" w:rsidRDefault="009F0526"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single" w:sz="4" w:space="0" w:color="auto"/>
            </w:tcBorders>
            <w:shd w:val="clear" w:color="auto" w:fill="auto"/>
            <w:noWrap/>
            <w:vAlign w:val="bottom"/>
          </w:tcPr>
          <w:p w14:paraId="3B6398DB" w14:textId="77777777" w:rsidR="009F0526" w:rsidRPr="00F157F9" w:rsidRDefault="009F0526"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DBE5F1" w:themeFill="accent1" w:themeFillTint="33"/>
            <w:noWrap/>
            <w:vAlign w:val="bottom"/>
          </w:tcPr>
          <w:p w14:paraId="76EBD3CF" w14:textId="77777777" w:rsidR="009F0526" w:rsidRPr="00F157F9" w:rsidRDefault="009F0526"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86" w:type="dxa"/>
            <w:tcBorders>
              <w:top w:val="nil"/>
              <w:left w:val="nil"/>
              <w:bottom w:val="nil"/>
              <w:right w:val="nil"/>
            </w:tcBorders>
            <w:shd w:val="clear" w:color="auto" w:fill="auto"/>
            <w:noWrap/>
            <w:vAlign w:val="bottom"/>
          </w:tcPr>
          <w:p w14:paraId="5029ACA0" w14:textId="77777777" w:rsidR="009F0526" w:rsidRPr="00F157F9" w:rsidRDefault="009F0526"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tcPr>
          <w:p w14:paraId="69D05CD9" w14:textId="77777777" w:rsidR="009F0526" w:rsidRPr="00F157F9" w:rsidRDefault="009F0526"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tcPr>
          <w:p w14:paraId="7986F228" w14:textId="77777777" w:rsidR="009F0526" w:rsidRPr="00F157F9" w:rsidRDefault="009F0526"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single" w:sz="4" w:space="0" w:color="auto"/>
              <w:bottom w:val="nil"/>
              <w:right w:val="nil"/>
            </w:tcBorders>
            <w:shd w:val="clear" w:color="auto" w:fill="auto"/>
            <w:noWrap/>
            <w:vAlign w:val="bottom"/>
          </w:tcPr>
          <w:p w14:paraId="4904D600" w14:textId="77777777" w:rsidR="009F0526" w:rsidRPr="00F157F9" w:rsidRDefault="009F0526"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tcPr>
          <w:p w14:paraId="5992A660" w14:textId="77777777" w:rsidR="009F0526" w:rsidRPr="00F157F9" w:rsidRDefault="009F0526"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tcPr>
          <w:p w14:paraId="6A058BB0" w14:textId="77777777" w:rsidR="009F0526" w:rsidRPr="00F157F9" w:rsidRDefault="009F0526"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single" w:sz="4" w:space="0" w:color="auto"/>
            </w:tcBorders>
            <w:shd w:val="clear" w:color="auto" w:fill="auto"/>
            <w:noWrap/>
            <w:vAlign w:val="bottom"/>
          </w:tcPr>
          <w:p w14:paraId="71CCBE78" w14:textId="77777777" w:rsidR="009F0526" w:rsidRPr="00F157F9" w:rsidRDefault="009F0526"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tcPr>
          <w:p w14:paraId="56B3F223" w14:textId="77777777" w:rsidR="009F0526" w:rsidRPr="00F157F9" w:rsidRDefault="009F0526"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tcPr>
          <w:p w14:paraId="505CFBF6" w14:textId="77777777" w:rsidR="009F0526" w:rsidRPr="00F157F9" w:rsidRDefault="009F0526"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tcPr>
          <w:p w14:paraId="1A3ADEA4" w14:textId="77777777" w:rsidR="009F0526" w:rsidRPr="00F157F9" w:rsidRDefault="009F0526"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single" w:sz="4" w:space="0" w:color="auto"/>
            </w:tcBorders>
            <w:shd w:val="clear" w:color="auto" w:fill="auto"/>
            <w:noWrap/>
            <w:vAlign w:val="bottom"/>
          </w:tcPr>
          <w:p w14:paraId="5F7BFDFC" w14:textId="77777777" w:rsidR="009F0526" w:rsidRPr="00F157F9" w:rsidRDefault="009F0526"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r>
      <w:tr w:rsidR="001928E7" w:rsidRPr="001928E7" w14:paraId="5325333A" w14:textId="77777777" w:rsidTr="007B274A">
        <w:trPr>
          <w:trHeight w:val="290"/>
        </w:trPr>
        <w:tc>
          <w:tcPr>
            <w:tcW w:w="3860" w:type="dxa"/>
            <w:tcBorders>
              <w:top w:val="nil"/>
              <w:left w:val="nil"/>
              <w:bottom w:val="nil"/>
              <w:right w:val="nil"/>
            </w:tcBorders>
            <w:shd w:val="clear" w:color="000000" w:fill="8EA9DB"/>
            <w:vAlign w:val="bottom"/>
            <w:hideMark/>
          </w:tcPr>
          <w:p w14:paraId="5AE0FF10"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3. Multilingual</w:t>
            </w:r>
          </w:p>
        </w:tc>
        <w:tc>
          <w:tcPr>
            <w:tcW w:w="431" w:type="dxa"/>
            <w:tcBorders>
              <w:top w:val="single" w:sz="4" w:space="0" w:color="auto"/>
              <w:left w:val="single" w:sz="4" w:space="0" w:color="auto"/>
              <w:bottom w:val="nil"/>
              <w:right w:val="nil"/>
            </w:tcBorders>
            <w:shd w:val="clear" w:color="auto" w:fill="auto"/>
            <w:noWrap/>
            <w:vAlign w:val="bottom"/>
            <w:hideMark/>
          </w:tcPr>
          <w:p w14:paraId="04A60187"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single" w:sz="4" w:space="0" w:color="auto"/>
              <w:left w:val="nil"/>
              <w:right w:val="nil"/>
            </w:tcBorders>
            <w:shd w:val="clear" w:color="auto" w:fill="auto"/>
            <w:noWrap/>
            <w:vAlign w:val="bottom"/>
            <w:hideMark/>
          </w:tcPr>
          <w:p w14:paraId="6F953D0E"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single" w:sz="4" w:space="0" w:color="auto"/>
              <w:left w:val="nil"/>
              <w:right w:val="nil"/>
            </w:tcBorders>
            <w:shd w:val="clear" w:color="auto" w:fill="auto"/>
            <w:noWrap/>
            <w:vAlign w:val="bottom"/>
            <w:hideMark/>
          </w:tcPr>
          <w:p w14:paraId="4B5437F3"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single" w:sz="4" w:space="0" w:color="auto"/>
              <w:left w:val="nil"/>
              <w:right w:val="single" w:sz="4" w:space="0" w:color="auto"/>
            </w:tcBorders>
            <w:shd w:val="clear" w:color="auto" w:fill="auto"/>
            <w:noWrap/>
            <w:vAlign w:val="bottom"/>
            <w:hideMark/>
          </w:tcPr>
          <w:p w14:paraId="78F33479"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right w:val="nil"/>
            </w:tcBorders>
            <w:shd w:val="clear" w:color="auto" w:fill="auto"/>
            <w:noWrap/>
            <w:vAlign w:val="bottom"/>
            <w:hideMark/>
          </w:tcPr>
          <w:p w14:paraId="253105F0"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right w:val="nil"/>
            </w:tcBorders>
            <w:shd w:val="clear" w:color="auto" w:fill="auto"/>
            <w:noWrap/>
            <w:vAlign w:val="bottom"/>
            <w:hideMark/>
          </w:tcPr>
          <w:p w14:paraId="64BD84F4"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right w:val="nil"/>
            </w:tcBorders>
            <w:shd w:val="clear" w:color="auto" w:fill="auto"/>
            <w:noWrap/>
            <w:vAlign w:val="bottom"/>
            <w:hideMark/>
          </w:tcPr>
          <w:p w14:paraId="55A26A64"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right w:val="single" w:sz="4" w:space="0" w:color="auto"/>
            </w:tcBorders>
            <w:shd w:val="clear" w:color="auto" w:fill="auto"/>
            <w:noWrap/>
            <w:vAlign w:val="bottom"/>
            <w:hideMark/>
          </w:tcPr>
          <w:p w14:paraId="52D871C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right w:val="nil"/>
            </w:tcBorders>
            <w:shd w:val="clear" w:color="auto" w:fill="auto"/>
            <w:noWrap/>
            <w:vAlign w:val="bottom"/>
            <w:hideMark/>
          </w:tcPr>
          <w:p w14:paraId="54924F10"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86" w:type="dxa"/>
            <w:tcBorders>
              <w:top w:val="single" w:sz="4" w:space="0" w:color="auto"/>
              <w:left w:val="nil"/>
              <w:right w:val="nil"/>
            </w:tcBorders>
            <w:shd w:val="clear" w:color="auto" w:fill="auto"/>
            <w:noWrap/>
            <w:vAlign w:val="bottom"/>
            <w:hideMark/>
          </w:tcPr>
          <w:p w14:paraId="0BEFFC3F"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right w:val="nil"/>
            </w:tcBorders>
            <w:shd w:val="clear" w:color="auto" w:fill="auto"/>
            <w:noWrap/>
            <w:vAlign w:val="bottom"/>
            <w:hideMark/>
          </w:tcPr>
          <w:p w14:paraId="10ACB1CA"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right w:val="nil"/>
            </w:tcBorders>
            <w:shd w:val="clear" w:color="auto" w:fill="auto"/>
            <w:noWrap/>
            <w:vAlign w:val="bottom"/>
            <w:hideMark/>
          </w:tcPr>
          <w:p w14:paraId="4C2D4F00"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single" w:sz="4" w:space="0" w:color="auto"/>
              <w:right w:val="nil"/>
            </w:tcBorders>
            <w:shd w:val="clear" w:color="auto" w:fill="auto"/>
            <w:noWrap/>
            <w:vAlign w:val="bottom"/>
            <w:hideMark/>
          </w:tcPr>
          <w:p w14:paraId="013C8AD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right w:val="nil"/>
            </w:tcBorders>
            <w:shd w:val="clear" w:color="auto" w:fill="auto"/>
            <w:noWrap/>
            <w:vAlign w:val="bottom"/>
            <w:hideMark/>
          </w:tcPr>
          <w:p w14:paraId="0AA6494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right w:val="nil"/>
            </w:tcBorders>
            <w:shd w:val="clear" w:color="auto" w:fill="auto"/>
            <w:noWrap/>
            <w:vAlign w:val="bottom"/>
            <w:hideMark/>
          </w:tcPr>
          <w:p w14:paraId="2855B1A3"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right w:val="single" w:sz="4" w:space="0" w:color="auto"/>
            </w:tcBorders>
            <w:shd w:val="clear" w:color="auto" w:fill="auto"/>
            <w:noWrap/>
            <w:vAlign w:val="bottom"/>
            <w:hideMark/>
          </w:tcPr>
          <w:p w14:paraId="7A8C89D3"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right w:val="nil"/>
            </w:tcBorders>
            <w:shd w:val="clear" w:color="auto" w:fill="auto"/>
            <w:noWrap/>
            <w:vAlign w:val="bottom"/>
            <w:hideMark/>
          </w:tcPr>
          <w:p w14:paraId="7C905068"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right w:val="nil"/>
            </w:tcBorders>
            <w:shd w:val="clear" w:color="auto" w:fill="auto"/>
            <w:noWrap/>
            <w:vAlign w:val="bottom"/>
            <w:hideMark/>
          </w:tcPr>
          <w:p w14:paraId="4769ABD4"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right w:val="nil"/>
            </w:tcBorders>
            <w:shd w:val="clear" w:color="auto" w:fill="auto"/>
            <w:noWrap/>
            <w:vAlign w:val="bottom"/>
            <w:hideMark/>
          </w:tcPr>
          <w:p w14:paraId="3BF1BC35"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right w:val="single" w:sz="4" w:space="0" w:color="auto"/>
            </w:tcBorders>
            <w:shd w:val="clear" w:color="auto" w:fill="auto"/>
            <w:noWrap/>
            <w:vAlign w:val="bottom"/>
            <w:hideMark/>
          </w:tcPr>
          <w:p w14:paraId="43CE0F13"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r>
      <w:tr w:rsidR="001928E7" w:rsidRPr="001928E7" w14:paraId="0C43F753" w14:textId="77777777" w:rsidTr="007B274A">
        <w:trPr>
          <w:trHeight w:val="534"/>
        </w:trPr>
        <w:tc>
          <w:tcPr>
            <w:tcW w:w="3860" w:type="dxa"/>
            <w:tcBorders>
              <w:top w:val="nil"/>
              <w:left w:val="nil"/>
              <w:bottom w:val="nil"/>
              <w:right w:val="nil"/>
            </w:tcBorders>
            <w:shd w:val="clear" w:color="000000" w:fill="D9E1F2"/>
            <w:vAlign w:val="bottom"/>
            <w:hideMark/>
          </w:tcPr>
          <w:p w14:paraId="552B246A"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3.1 Proof of concept of machine translation using AI and Machine Learning</w:t>
            </w:r>
          </w:p>
        </w:tc>
        <w:tc>
          <w:tcPr>
            <w:tcW w:w="431" w:type="dxa"/>
            <w:tcBorders>
              <w:top w:val="nil"/>
              <w:left w:val="single" w:sz="4" w:space="0" w:color="auto"/>
              <w:right w:val="nil"/>
            </w:tcBorders>
            <w:shd w:val="clear" w:color="auto" w:fill="auto"/>
            <w:noWrap/>
            <w:vAlign w:val="bottom"/>
            <w:hideMark/>
          </w:tcPr>
          <w:p w14:paraId="7320E95F"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nil"/>
              <w:left w:val="nil"/>
              <w:right w:val="nil"/>
            </w:tcBorders>
            <w:shd w:val="clear" w:color="auto" w:fill="auto"/>
            <w:noWrap/>
            <w:vAlign w:val="bottom"/>
            <w:hideMark/>
          </w:tcPr>
          <w:p w14:paraId="50A5CCCF"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71" w:type="dxa"/>
            <w:tcBorders>
              <w:top w:val="nil"/>
              <w:left w:val="nil"/>
              <w:right w:val="nil"/>
            </w:tcBorders>
            <w:shd w:val="clear" w:color="auto" w:fill="auto"/>
            <w:noWrap/>
            <w:vAlign w:val="bottom"/>
            <w:hideMark/>
          </w:tcPr>
          <w:p w14:paraId="03AEFF3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71" w:type="dxa"/>
            <w:tcBorders>
              <w:top w:val="nil"/>
              <w:left w:val="nil"/>
              <w:right w:val="single" w:sz="4" w:space="0" w:color="auto"/>
            </w:tcBorders>
            <w:shd w:val="clear" w:color="000000" w:fill="D9E1F2"/>
            <w:noWrap/>
            <w:vAlign w:val="bottom"/>
            <w:hideMark/>
          </w:tcPr>
          <w:p w14:paraId="6B82790F"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right w:val="nil"/>
            </w:tcBorders>
            <w:shd w:val="clear" w:color="000000" w:fill="D9E1F2"/>
            <w:noWrap/>
            <w:vAlign w:val="bottom"/>
            <w:hideMark/>
          </w:tcPr>
          <w:p w14:paraId="076B339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right w:val="nil"/>
            </w:tcBorders>
            <w:shd w:val="clear" w:color="000000" w:fill="D9E1F2"/>
            <w:noWrap/>
            <w:vAlign w:val="bottom"/>
            <w:hideMark/>
          </w:tcPr>
          <w:p w14:paraId="36A77E3A"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right w:val="nil"/>
            </w:tcBorders>
            <w:shd w:val="clear" w:color="auto" w:fill="auto"/>
            <w:noWrap/>
            <w:vAlign w:val="bottom"/>
            <w:hideMark/>
          </w:tcPr>
          <w:p w14:paraId="52A24465"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right w:val="single" w:sz="4" w:space="0" w:color="auto"/>
            </w:tcBorders>
            <w:shd w:val="clear" w:color="auto" w:fill="auto"/>
            <w:noWrap/>
            <w:vAlign w:val="bottom"/>
            <w:hideMark/>
          </w:tcPr>
          <w:p w14:paraId="3626C1EA"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right w:val="nil"/>
            </w:tcBorders>
            <w:shd w:val="clear" w:color="auto" w:fill="auto"/>
            <w:noWrap/>
            <w:vAlign w:val="bottom"/>
            <w:hideMark/>
          </w:tcPr>
          <w:p w14:paraId="07EA0514"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86" w:type="dxa"/>
            <w:tcBorders>
              <w:top w:val="nil"/>
              <w:left w:val="nil"/>
              <w:right w:val="nil"/>
            </w:tcBorders>
            <w:shd w:val="clear" w:color="auto" w:fill="auto"/>
            <w:noWrap/>
            <w:vAlign w:val="bottom"/>
            <w:hideMark/>
          </w:tcPr>
          <w:p w14:paraId="37D1864A"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right w:val="nil"/>
            </w:tcBorders>
            <w:shd w:val="clear" w:color="auto" w:fill="auto"/>
            <w:noWrap/>
            <w:vAlign w:val="bottom"/>
            <w:hideMark/>
          </w:tcPr>
          <w:p w14:paraId="7C199D4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right w:val="nil"/>
            </w:tcBorders>
            <w:shd w:val="clear" w:color="auto" w:fill="auto"/>
            <w:noWrap/>
            <w:vAlign w:val="bottom"/>
            <w:hideMark/>
          </w:tcPr>
          <w:p w14:paraId="7DB45355"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single" w:sz="4" w:space="0" w:color="auto"/>
              <w:right w:val="nil"/>
            </w:tcBorders>
            <w:shd w:val="clear" w:color="auto" w:fill="auto"/>
            <w:noWrap/>
            <w:vAlign w:val="bottom"/>
            <w:hideMark/>
          </w:tcPr>
          <w:p w14:paraId="09EDE549"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right w:val="nil"/>
            </w:tcBorders>
            <w:shd w:val="clear" w:color="auto" w:fill="auto"/>
            <w:noWrap/>
            <w:vAlign w:val="bottom"/>
            <w:hideMark/>
          </w:tcPr>
          <w:p w14:paraId="0681C94F"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right w:val="nil"/>
            </w:tcBorders>
            <w:shd w:val="clear" w:color="auto" w:fill="auto"/>
            <w:noWrap/>
            <w:vAlign w:val="bottom"/>
            <w:hideMark/>
          </w:tcPr>
          <w:p w14:paraId="3C14A07C"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right w:val="single" w:sz="4" w:space="0" w:color="auto"/>
            </w:tcBorders>
            <w:shd w:val="clear" w:color="auto" w:fill="auto"/>
            <w:noWrap/>
            <w:vAlign w:val="bottom"/>
            <w:hideMark/>
          </w:tcPr>
          <w:p w14:paraId="7E5D8524"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right w:val="nil"/>
            </w:tcBorders>
            <w:shd w:val="clear" w:color="auto" w:fill="auto"/>
            <w:noWrap/>
            <w:vAlign w:val="bottom"/>
            <w:hideMark/>
          </w:tcPr>
          <w:p w14:paraId="64C9BCF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right w:val="nil"/>
            </w:tcBorders>
            <w:shd w:val="clear" w:color="auto" w:fill="auto"/>
            <w:noWrap/>
            <w:vAlign w:val="bottom"/>
            <w:hideMark/>
          </w:tcPr>
          <w:p w14:paraId="2A628E5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right w:val="nil"/>
            </w:tcBorders>
            <w:shd w:val="clear" w:color="auto" w:fill="auto"/>
            <w:noWrap/>
            <w:vAlign w:val="bottom"/>
            <w:hideMark/>
          </w:tcPr>
          <w:p w14:paraId="21FAA3A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right w:val="single" w:sz="4" w:space="0" w:color="auto"/>
            </w:tcBorders>
            <w:shd w:val="clear" w:color="auto" w:fill="auto"/>
            <w:noWrap/>
            <w:vAlign w:val="bottom"/>
            <w:hideMark/>
          </w:tcPr>
          <w:p w14:paraId="2765ED0E"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r>
      <w:tr w:rsidR="001928E7" w:rsidRPr="001928E7" w14:paraId="291181DC" w14:textId="77777777" w:rsidTr="007B274A">
        <w:trPr>
          <w:trHeight w:val="270"/>
        </w:trPr>
        <w:tc>
          <w:tcPr>
            <w:tcW w:w="3860" w:type="dxa"/>
            <w:tcBorders>
              <w:top w:val="nil"/>
              <w:left w:val="nil"/>
              <w:bottom w:val="nil"/>
              <w:right w:val="single" w:sz="4" w:space="0" w:color="auto"/>
            </w:tcBorders>
            <w:shd w:val="clear" w:color="000000" w:fill="D9E1F2"/>
            <w:vAlign w:val="bottom"/>
            <w:hideMark/>
          </w:tcPr>
          <w:p w14:paraId="2673D85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3.2 Optimizing back-end workflow</w:t>
            </w:r>
          </w:p>
        </w:tc>
        <w:tc>
          <w:tcPr>
            <w:tcW w:w="431" w:type="dxa"/>
            <w:tcBorders>
              <w:top w:val="nil"/>
              <w:left w:val="single" w:sz="4" w:space="0" w:color="auto"/>
              <w:bottom w:val="nil"/>
            </w:tcBorders>
            <w:shd w:val="clear" w:color="auto" w:fill="auto"/>
            <w:noWrap/>
            <w:vAlign w:val="bottom"/>
            <w:hideMark/>
          </w:tcPr>
          <w:p w14:paraId="453F230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nil"/>
              <w:bottom w:val="nil"/>
            </w:tcBorders>
            <w:shd w:val="clear" w:color="auto" w:fill="auto"/>
            <w:noWrap/>
            <w:vAlign w:val="bottom"/>
            <w:hideMark/>
          </w:tcPr>
          <w:p w14:paraId="222F7778"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71" w:type="dxa"/>
            <w:tcBorders>
              <w:top w:val="nil"/>
              <w:bottom w:val="nil"/>
            </w:tcBorders>
            <w:shd w:val="clear" w:color="auto" w:fill="auto"/>
            <w:noWrap/>
            <w:vAlign w:val="bottom"/>
            <w:hideMark/>
          </w:tcPr>
          <w:p w14:paraId="12070BB7"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71" w:type="dxa"/>
            <w:tcBorders>
              <w:top w:val="nil"/>
              <w:bottom w:val="nil"/>
              <w:right w:val="single" w:sz="4" w:space="0" w:color="auto"/>
            </w:tcBorders>
            <w:shd w:val="clear" w:color="000000" w:fill="D9E1F2"/>
            <w:noWrap/>
            <w:vAlign w:val="bottom"/>
            <w:hideMark/>
          </w:tcPr>
          <w:p w14:paraId="33592C25"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single" w:sz="4" w:space="0" w:color="auto"/>
              <w:bottom w:val="nil"/>
            </w:tcBorders>
            <w:shd w:val="clear" w:color="000000" w:fill="D9E1F2"/>
            <w:noWrap/>
            <w:vAlign w:val="bottom"/>
            <w:hideMark/>
          </w:tcPr>
          <w:p w14:paraId="7EFF57E9" w14:textId="77777777" w:rsidR="001928E7" w:rsidRPr="001928E7" w:rsidRDefault="001928E7" w:rsidP="005B7B46">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bottom w:val="nil"/>
            </w:tcBorders>
            <w:shd w:val="clear" w:color="000000" w:fill="D9E1F2"/>
            <w:noWrap/>
            <w:vAlign w:val="bottom"/>
            <w:hideMark/>
          </w:tcPr>
          <w:p w14:paraId="24DC88FF"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bottom w:val="nil"/>
            </w:tcBorders>
            <w:shd w:val="clear" w:color="auto" w:fill="auto"/>
            <w:noWrap/>
            <w:vAlign w:val="bottom"/>
            <w:hideMark/>
          </w:tcPr>
          <w:p w14:paraId="3B80622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bottom w:val="nil"/>
              <w:right w:val="single" w:sz="4" w:space="0" w:color="auto"/>
            </w:tcBorders>
            <w:shd w:val="clear" w:color="auto" w:fill="auto"/>
            <w:noWrap/>
            <w:vAlign w:val="bottom"/>
            <w:hideMark/>
          </w:tcPr>
          <w:p w14:paraId="47421888"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single" w:sz="4" w:space="0" w:color="auto"/>
              <w:bottom w:val="nil"/>
            </w:tcBorders>
            <w:shd w:val="clear" w:color="auto" w:fill="auto"/>
            <w:noWrap/>
            <w:vAlign w:val="bottom"/>
            <w:hideMark/>
          </w:tcPr>
          <w:p w14:paraId="4DB3F33F"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86" w:type="dxa"/>
            <w:tcBorders>
              <w:top w:val="nil"/>
              <w:bottom w:val="nil"/>
            </w:tcBorders>
            <w:shd w:val="clear" w:color="auto" w:fill="auto"/>
            <w:noWrap/>
            <w:vAlign w:val="bottom"/>
            <w:hideMark/>
          </w:tcPr>
          <w:p w14:paraId="0B878990"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bottom w:val="nil"/>
            </w:tcBorders>
            <w:shd w:val="clear" w:color="auto" w:fill="auto"/>
            <w:noWrap/>
            <w:vAlign w:val="bottom"/>
            <w:hideMark/>
          </w:tcPr>
          <w:p w14:paraId="69B50C56"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bottom w:val="nil"/>
              <w:right w:val="single" w:sz="4" w:space="0" w:color="auto"/>
            </w:tcBorders>
            <w:shd w:val="clear" w:color="auto" w:fill="auto"/>
            <w:noWrap/>
            <w:vAlign w:val="bottom"/>
            <w:hideMark/>
          </w:tcPr>
          <w:p w14:paraId="61A733D4"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single" w:sz="4" w:space="0" w:color="auto"/>
              <w:bottom w:val="nil"/>
            </w:tcBorders>
            <w:shd w:val="clear" w:color="auto" w:fill="auto"/>
            <w:noWrap/>
            <w:vAlign w:val="bottom"/>
            <w:hideMark/>
          </w:tcPr>
          <w:p w14:paraId="667C3E21"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bottom w:val="nil"/>
            </w:tcBorders>
            <w:shd w:val="clear" w:color="auto" w:fill="auto"/>
            <w:noWrap/>
            <w:vAlign w:val="bottom"/>
            <w:hideMark/>
          </w:tcPr>
          <w:p w14:paraId="47686A54"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bottom w:val="nil"/>
            </w:tcBorders>
            <w:shd w:val="clear" w:color="auto" w:fill="auto"/>
            <w:noWrap/>
            <w:vAlign w:val="bottom"/>
            <w:hideMark/>
          </w:tcPr>
          <w:p w14:paraId="0BC3F967"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bottom w:val="nil"/>
              <w:right w:val="single" w:sz="4" w:space="0" w:color="auto"/>
            </w:tcBorders>
            <w:shd w:val="clear" w:color="auto" w:fill="auto"/>
            <w:noWrap/>
            <w:vAlign w:val="bottom"/>
            <w:hideMark/>
          </w:tcPr>
          <w:p w14:paraId="78439292"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single" w:sz="4" w:space="0" w:color="auto"/>
              <w:bottom w:val="nil"/>
            </w:tcBorders>
            <w:shd w:val="clear" w:color="auto" w:fill="auto"/>
            <w:noWrap/>
            <w:vAlign w:val="bottom"/>
            <w:hideMark/>
          </w:tcPr>
          <w:p w14:paraId="535AE70B"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bottom w:val="nil"/>
            </w:tcBorders>
            <w:shd w:val="clear" w:color="auto" w:fill="auto"/>
            <w:noWrap/>
            <w:vAlign w:val="bottom"/>
            <w:hideMark/>
          </w:tcPr>
          <w:p w14:paraId="615E8283"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bottom w:val="nil"/>
            </w:tcBorders>
            <w:shd w:val="clear" w:color="auto" w:fill="auto"/>
            <w:noWrap/>
            <w:vAlign w:val="bottom"/>
            <w:hideMark/>
          </w:tcPr>
          <w:p w14:paraId="01C1BC8D"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right w:val="single" w:sz="4" w:space="0" w:color="auto"/>
            </w:tcBorders>
            <w:shd w:val="clear" w:color="auto" w:fill="auto"/>
            <w:noWrap/>
            <w:vAlign w:val="bottom"/>
            <w:hideMark/>
          </w:tcPr>
          <w:p w14:paraId="006B225A" w14:textId="77777777" w:rsidR="001928E7" w:rsidRPr="001928E7" w:rsidRDefault="001928E7" w:rsidP="001928E7">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r>
      <w:tr w:rsidR="007B274A" w:rsidRPr="001928E7" w14:paraId="7F3A1E4B" w14:textId="77777777" w:rsidTr="007B274A">
        <w:trPr>
          <w:trHeight w:val="290"/>
        </w:trPr>
        <w:tc>
          <w:tcPr>
            <w:tcW w:w="3860" w:type="dxa"/>
            <w:tcBorders>
              <w:top w:val="nil"/>
              <w:left w:val="nil"/>
              <w:bottom w:val="nil"/>
              <w:right w:val="single" w:sz="4" w:space="0" w:color="auto"/>
            </w:tcBorders>
            <w:shd w:val="clear" w:color="auto" w:fill="DBE5F1" w:themeFill="accent1" w:themeFillTint="33"/>
            <w:vAlign w:val="bottom"/>
          </w:tcPr>
          <w:p w14:paraId="676B9524" w14:textId="12B9666A" w:rsidR="007B274A" w:rsidRPr="005B7B46"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5B7B46">
              <w:rPr>
                <w:rFonts w:cs="Calibri"/>
                <w:sz w:val="18"/>
                <w:szCs w:val="18"/>
                <w:lang w:eastAsia="en-GB"/>
              </w:rPr>
              <w:t>3.3</w:t>
            </w:r>
            <w:r w:rsidRPr="005B7B46">
              <w:rPr>
                <w:rFonts w:cs="Calibri"/>
                <w:b/>
                <w:bCs/>
                <w:sz w:val="18"/>
                <w:szCs w:val="18"/>
                <w:lang w:eastAsia="en-GB"/>
              </w:rPr>
              <w:t xml:space="preserve"> </w:t>
            </w:r>
            <w:r w:rsidRPr="005B7B46">
              <w:rPr>
                <w:rFonts w:asciiTheme="minorHAnsi" w:hAnsiTheme="minorHAnsi" w:cstheme="minorHAnsi"/>
                <w:sz w:val="18"/>
                <w:szCs w:val="18"/>
                <w:lang w:val="en-US"/>
              </w:rPr>
              <w:t>ITU policy on multilingualism</w:t>
            </w:r>
          </w:p>
        </w:tc>
        <w:tc>
          <w:tcPr>
            <w:tcW w:w="431" w:type="dxa"/>
            <w:tcBorders>
              <w:left w:val="single" w:sz="4" w:space="0" w:color="auto"/>
              <w:bottom w:val="single" w:sz="4" w:space="0" w:color="auto"/>
            </w:tcBorders>
            <w:shd w:val="clear" w:color="auto" w:fill="auto"/>
            <w:noWrap/>
            <w:vAlign w:val="bottom"/>
          </w:tcPr>
          <w:p w14:paraId="254565EA"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71" w:type="dxa"/>
            <w:tcBorders>
              <w:bottom w:val="single" w:sz="4" w:space="0" w:color="auto"/>
            </w:tcBorders>
            <w:shd w:val="clear" w:color="auto" w:fill="auto"/>
            <w:noWrap/>
            <w:vAlign w:val="bottom"/>
          </w:tcPr>
          <w:p w14:paraId="726381B2"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71" w:type="dxa"/>
            <w:tcBorders>
              <w:bottom w:val="single" w:sz="4" w:space="0" w:color="auto"/>
            </w:tcBorders>
            <w:shd w:val="clear" w:color="auto" w:fill="auto"/>
            <w:noWrap/>
            <w:vAlign w:val="bottom"/>
          </w:tcPr>
          <w:p w14:paraId="6E7372A3"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71" w:type="dxa"/>
            <w:tcBorders>
              <w:bottom w:val="nil"/>
              <w:right w:val="single" w:sz="4" w:space="0" w:color="auto"/>
            </w:tcBorders>
            <w:shd w:val="clear" w:color="auto" w:fill="auto"/>
            <w:noWrap/>
            <w:vAlign w:val="bottom"/>
          </w:tcPr>
          <w:p w14:paraId="5E01C37C"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left w:val="single" w:sz="4" w:space="0" w:color="auto"/>
              <w:bottom w:val="single" w:sz="4" w:space="0" w:color="auto"/>
            </w:tcBorders>
            <w:shd w:val="clear" w:color="auto" w:fill="auto"/>
            <w:noWrap/>
            <w:vAlign w:val="bottom"/>
          </w:tcPr>
          <w:p w14:paraId="04B55806"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jc w:val="right"/>
              <w:textAlignment w:val="auto"/>
              <w:rPr>
                <w:rFonts w:cs="Calibri"/>
                <w:color w:val="000000"/>
                <w:sz w:val="18"/>
                <w:szCs w:val="18"/>
                <w:lang w:eastAsia="en-GB"/>
              </w:rPr>
            </w:pPr>
          </w:p>
        </w:tc>
        <w:tc>
          <w:tcPr>
            <w:tcW w:w="520" w:type="dxa"/>
            <w:tcBorders>
              <w:bottom w:val="nil"/>
            </w:tcBorders>
            <w:shd w:val="clear" w:color="auto" w:fill="DBE5F1" w:themeFill="accent1" w:themeFillTint="33"/>
            <w:noWrap/>
            <w:vAlign w:val="bottom"/>
          </w:tcPr>
          <w:p w14:paraId="3BFE87D7" w14:textId="5A95DA0A"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bottom w:val="nil"/>
            </w:tcBorders>
            <w:shd w:val="clear" w:color="auto" w:fill="auto"/>
            <w:noWrap/>
            <w:vAlign w:val="bottom"/>
          </w:tcPr>
          <w:p w14:paraId="2EAE1CA5"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bottom w:val="nil"/>
              <w:right w:val="single" w:sz="4" w:space="0" w:color="auto"/>
            </w:tcBorders>
            <w:shd w:val="clear" w:color="auto" w:fill="auto"/>
            <w:noWrap/>
            <w:vAlign w:val="bottom"/>
          </w:tcPr>
          <w:p w14:paraId="688DC21A"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left w:val="single" w:sz="4" w:space="0" w:color="auto"/>
              <w:bottom w:val="single" w:sz="4" w:space="0" w:color="auto"/>
            </w:tcBorders>
            <w:shd w:val="clear" w:color="auto" w:fill="auto"/>
            <w:noWrap/>
            <w:vAlign w:val="bottom"/>
          </w:tcPr>
          <w:p w14:paraId="215C4952"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86" w:type="dxa"/>
            <w:tcBorders>
              <w:bottom w:val="single" w:sz="4" w:space="0" w:color="auto"/>
            </w:tcBorders>
            <w:shd w:val="clear" w:color="auto" w:fill="auto"/>
            <w:noWrap/>
            <w:vAlign w:val="bottom"/>
          </w:tcPr>
          <w:p w14:paraId="6C759B83"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bottom w:val="nil"/>
            </w:tcBorders>
            <w:shd w:val="clear" w:color="auto" w:fill="auto"/>
            <w:noWrap/>
            <w:vAlign w:val="bottom"/>
          </w:tcPr>
          <w:p w14:paraId="76DBF0CA"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bottom w:val="nil"/>
              <w:right w:val="single" w:sz="4" w:space="0" w:color="auto"/>
            </w:tcBorders>
            <w:shd w:val="clear" w:color="auto" w:fill="auto"/>
            <w:noWrap/>
            <w:vAlign w:val="bottom"/>
          </w:tcPr>
          <w:p w14:paraId="6EB16D7E"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left w:val="single" w:sz="4" w:space="0" w:color="auto"/>
              <w:bottom w:val="single" w:sz="4" w:space="0" w:color="auto"/>
            </w:tcBorders>
            <w:shd w:val="clear" w:color="auto" w:fill="auto"/>
            <w:noWrap/>
            <w:vAlign w:val="bottom"/>
          </w:tcPr>
          <w:p w14:paraId="27C25B35"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bottom w:val="nil"/>
            </w:tcBorders>
            <w:shd w:val="clear" w:color="auto" w:fill="auto"/>
            <w:noWrap/>
            <w:vAlign w:val="bottom"/>
          </w:tcPr>
          <w:p w14:paraId="6631D166"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bottom w:val="nil"/>
            </w:tcBorders>
            <w:shd w:val="clear" w:color="auto" w:fill="auto"/>
            <w:noWrap/>
            <w:vAlign w:val="bottom"/>
          </w:tcPr>
          <w:p w14:paraId="203B2B65"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bottom w:val="nil"/>
              <w:right w:val="single" w:sz="4" w:space="0" w:color="auto"/>
            </w:tcBorders>
            <w:shd w:val="clear" w:color="auto" w:fill="auto"/>
            <w:noWrap/>
            <w:vAlign w:val="bottom"/>
          </w:tcPr>
          <w:p w14:paraId="18FC8667"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left w:val="single" w:sz="4" w:space="0" w:color="auto"/>
              <w:bottom w:val="single" w:sz="4" w:space="0" w:color="auto"/>
            </w:tcBorders>
            <w:shd w:val="clear" w:color="auto" w:fill="auto"/>
            <w:noWrap/>
            <w:vAlign w:val="bottom"/>
          </w:tcPr>
          <w:p w14:paraId="2ABCE68D"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bottom w:val="nil"/>
            </w:tcBorders>
            <w:shd w:val="clear" w:color="auto" w:fill="auto"/>
            <w:noWrap/>
            <w:vAlign w:val="bottom"/>
          </w:tcPr>
          <w:p w14:paraId="2BE56D7D"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bottom w:val="nil"/>
            </w:tcBorders>
            <w:shd w:val="clear" w:color="auto" w:fill="auto"/>
            <w:noWrap/>
            <w:vAlign w:val="bottom"/>
          </w:tcPr>
          <w:p w14:paraId="1BA62C14"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bottom w:val="single" w:sz="4" w:space="0" w:color="auto"/>
              <w:right w:val="single" w:sz="4" w:space="0" w:color="auto"/>
            </w:tcBorders>
            <w:shd w:val="clear" w:color="auto" w:fill="auto"/>
            <w:noWrap/>
            <w:vAlign w:val="bottom"/>
          </w:tcPr>
          <w:p w14:paraId="50F5C2AC"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r>
      <w:tr w:rsidR="007B274A" w:rsidRPr="001928E7" w14:paraId="2F0B7A65" w14:textId="77777777" w:rsidTr="007B274A">
        <w:trPr>
          <w:trHeight w:val="290"/>
        </w:trPr>
        <w:tc>
          <w:tcPr>
            <w:tcW w:w="3860" w:type="dxa"/>
            <w:tcBorders>
              <w:top w:val="nil"/>
              <w:left w:val="nil"/>
              <w:bottom w:val="nil"/>
              <w:right w:val="nil"/>
            </w:tcBorders>
            <w:shd w:val="clear" w:color="000000" w:fill="8EA9DB"/>
            <w:vAlign w:val="bottom"/>
            <w:hideMark/>
          </w:tcPr>
          <w:p w14:paraId="1FAF9103"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sidRPr="001928E7">
              <w:rPr>
                <w:rFonts w:cs="Calibri"/>
                <w:b/>
                <w:bCs/>
                <w:color w:val="000000"/>
                <w:sz w:val="18"/>
                <w:szCs w:val="18"/>
                <w:lang w:eastAsia="en-GB"/>
              </w:rPr>
              <w:t>4. Harmonization</w:t>
            </w:r>
          </w:p>
        </w:tc>
        <w:tc>
          <w:tcPr>
            <w:tcW w:w="431" w:type="dxa"/>
            <w:tcBorders>
              <w:top w:val="single" w:sz="4" w:space="0" w:color="auto"/>
              <w:left w:val="single" w:sz="4" w:space="0" w:color="auto"/>
              <w:bottom w:val="nil"/>
              <w:right w:val="nil"/>
            </w:tcBorders>
            <w:shd w:val="clear" w:color="auto" w:fill="auto"/>
            <w:noWrap/>
            <w:vAlign w:val="bottom"/>
            <w:hideMark/>
          </w:tcPr>
          <w:p w14:paraId="2D5ADA59"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single" w:sz="4" w:space="0" w:color="auto"/>
              <w:left w:val="nil"/>
              <w:bottom w:val="nil"/>
              <w:right w:val="nil"/>
            </w:tcBorders>
            <w:shd w:val="clear" w:color="auto" w:fill="auto"/>
            <w:noWrap/>
            <w:vAlign w:val="bottom"/>
            <w:hideMark/>
          </w:tcPr>
          <w:p w14:paraId="117757A6"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single" w:sz="4" w:space="0" w:color="auto"/>
              <w:left w:val="nil"/>
              <w:bottom w:val="nil"/>
              <w:right w:val="nil"/>
            </w:tcBorders>
            <w:shd w:val="clear" w:color="auto" w:fill="auto"/>
            <w:noWrap/>
            <w:vAlign w:val="bottom"/>
            <w:hideMark/>
          </w:tcPr>
          <w:p w14:paraId="2A6A25D4"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single" w:sz="4" w:space="0" w:color="auto"/>
              <w:left w:val="nil"/>
              <w:bottom w:val="nil"/>
              <w:right w:val="single" w:sz="4" w:space="0" w:color="auto"/>
            </w:tcBorders>
            <w:shd w:val="clear" w:color="auto" w:fill="auto"/>
            <w:noWrap/>
            <w:vAlign w:val="bottom"/>
            <w:hideMark/>
          </w:tcPr>
          <w:p w14:paraId="4539FFC8"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nil"/>
            </w:tcBorders>
            <w:shd w:val="clear" w:color="auto" w:fill="auto"/>
            <w:noWrap/>
            <w:vAlign w:val="bottom"/>
            <w:hideMark/>
          </w:tcPr>
          <w:p w14:paraId="5D1681F8"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nil"/>
            </w:tcBorders>
            <w:shd w:val="clear" w:color="auto" w:fill="auto"/>
            <w:noWrap/>
            <w:vAlign w:val="bottom"/>
            <w:hideMark/>
          </w:tcPr>
          <w:p w14:paraId="4384F53D"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nil"/>
            </w:tcBorders>
            <w:shd w:val="clear" w:color="auto" w:fill="auto"/>
            <w:noWrap/>
            <w:vAlign w:val="bottom"/>
            <w:hideMark/>
          </w:tcPr>
          <w:p w14:paraId="5EC0FF72"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single" w:sz="4" w:space="0" w:color="auto"/>
            </w:tcBorders>
            <w:shd w:val="clear" w:color="auto" w:fill="auto"/>
            <w:noWrap/>
            <w:vAlign w:val="bottom"/>
            <w:hideMark/>
          </w:tcPr>
          <w:p w14:paraId="2D14B3E6"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nil"/>
            </w:tcBorders>
            <w:shd w:val="clear" w:color="auto" w:fill="auto"/>
            <w:noWrap/>
            <w:vAlign w:val="bottom"/>
            <w:hideMark/>
          </w:tcPr>
          <w:p w14:paraId="0E463F39"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86" w:type="dxa"/>
            <w:tcBorders>
              <w:top w:val="single" w:sz="4" w:space="0" w:color="auto"/>
              <w:left w:val="nil"/>
              <w:bottom w:val="nil"/>
              <w:right w:val="nil"/>
            </w:tcBorders>
            <w:shd w:val="clear" w:color="auto" w:fill="auto"/>
            <w:noWrap/>
            <w:vAlign w:val="bottom"/>
            <w:hideMark/>
          </w:tcPr>
          <w:p w14:paraId="37F417D1"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nil"/>
            </w:tcBorders>
            <w:shd w:val="clear" w:color="auto" w:fill="auto"/>
            <w:noWrap/>
            <w:vAlign w:val="bottom"/>
            <w:hideMark/>
          </w:tcPr>
          <w:p w14:paraId="2A4289EA"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nil"/>
            </w:tcBorders>
            <w:shd w:val="clear" w:color="auto" w:fill="auto"/>
            <w:noWrap/>
            <w:vAlign w:val="bottom"/>
            <w:hideMark/>
          </w:tcPr>
          <w:p w14:paraId="55B19971"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single" w:sz="4" w:space="0" w:color="auto"/>
              <w:bottom w:val="nil"/>
              <w:right w:val="nil"/>
            </w:tcBorders>
            <w:shd w:val="clear" w:color="auto" w:fill="auto"/>
            <w:noWrap/>
            <w:vAlign w:val="bottom"/>
            <w:hideMark/>
          </w:tcPr>
          <w:p w14:paraId="1958702D"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nil"/>
            </w:tcBorders>
            <w:shd w:val="clear" w:color="auto" w:fill="auto"/>
            <w:noWrap/>
            <w:vAlign w:val="bottom"/>
            <w:hideMark/>
          </w:tcPr>
          <w:p w14:paraId="70D425F1"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nil"/>
            </w:tcBorders>
            <w:shd w:val="clear" w:color="auto" w:fill="auto"/>
            <w:noWrap/>
            <w:vAlign w:val="bottom"/>
            <w:hideMark/>
          </w:tcPr>
          <w:p w14:paraId="15C08637"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single" w:sz="4" w:space="0" w:color="auto"/>
            </w:tcBorders>
            <w:shd w:val="clear" w:color="auto" w:fill="auto"/>
            <w:noWrap/>
            <w:vAlign w:val="bottom"/>
            <w:hideMark/>
          </w:tcPr>
          <w:p w14:paraId="15E9A29B"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nil"/>
            </w:tcBorders>
            <w:shd w:val="clear" w:color="auto" w:fill="auto"/>
            <w:noWrap/>
            <w:vAlign w:val="bottom"/>
            <w:hideMark/>
          </w:tcPr>
          <w:p w14:paraId="3F0FD7BF"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nil"/>
            </w:tcBorders>
            <w:shd w:val="clear" w:color="auto" w:fill="auto"/>
            <w:noWrap/>
            <w:vAlign w:val="bottom"/>
            <w:hideMark/>
          </w:tcPr>
          <w:p w14:paraId="5DD48025"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nil"/>
            </w:tcBorders>
            <w:shd w:val="clear" w:color="auto" w:fill="auto"/>
            <w:noWrap/>
            <w:vAlign w:val="bottom"/>
            <w:hideMark/>
          </w:tcPr>
          <w:p w14:paraId="3C44E967"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single" w:sz="4" w:space="0" w:color="auto"/>
              <w:left w:val="nil"/>
              <w:bottom w:val="nil"/>
              <w:right w:val="single" w:sz="4" w:space="0" w:color="auto"/>
            </w:tcBorders>
            <w:shd w:val="clear" w:color="auto" w:fill="auto"/>
            <w:noWrap/>
            <w:vAlign w:val="bottom"/>
            <w:hideMark/>
          </w:tcPr>
          <w:p w14:paraId="3ABAE5B7"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r>
      <w:tr w:rsidR="007B274A" w:rsidRPr="001928E7" w14:paraId="54305CDB" w14:textId="77777777" w:rsidTr="007B274A">
        <w:trPr>
          <w:trHeight w:val="490"/>
        </w:trPr>
        <w:tc>
          <w:tcPr>
            <w:tcW w:w="3860" w:type="dxa"/>
            <w:tcBorders>
              <w:top w:val="nil"/>
              <w:left w:val="nil"/>
              <w:bottom w:val="nil"/>
              <w:right w:val="nil"/>
            </w:tcBorders>
            <w:shd w:val="clear" w:color="000000" w:fill="D9E1F2"/>
            <w:hideMark/>
          </w:tcPr>
          <w:p w14:paraId="66633128"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4.1 Harmonization of ITU visual identity and graphic design for key ITU conferences and events</w:t>
            </w:r>
          </w:p>
        </w:tc>
        <w:tc>
          <w:tcPr>
            <w:tcW w:w="431" w:type="dxa"/>
            <w:tcBorders>
              <w:top w:val="nil"/>
              <w:left w:val="single" w:sz="4" w:space="0" w:color="auto"/>
              <w:bottom w:val="nil"/>
              <w:right w:val="nil"/>
            </w:tcBorders>
            <w:shd w:val="clear" w:color="auto" w:fill="auto"/>
            <w:noWrap/>
            <w:vAlign w:val="bottom"/>
            <w:hideMark/>
          </w:tcPr>
          <w:p w14:paraId="0661BBC7"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nil"/>
              <w:left w:val="nil"/>
              <w:bottom w:val="nil"/>
              <w:right w:val="nil"/>
            </w:tcBorders>
            <w:shd w:val="clear" w:color="auto" w:fill="auto"/>
            <w:vAlign w:val="bottom"/>
            <w:hideMark/>
          </w:tcPr>
          <w:p w14:paraId="6E6D7883"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71" w:type="dxa"/>
            <w:tcBorders>
              <w:top w:val="nil"/>
              <w:left w:val="nil"/>
              <w:bottom w:val="nil"/>
              <w:right w:val="nil"/>
            </w:tcBorders>
            <w:shd w:val="clear" w:color="auto" w:fill="auto"/>
            <w:vAlign w:val="bottom"/>
            <w:hideMark/>
          </w:tcPr>
          <w:p w14:paraId="78B534C5"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71" w:type="dxa"/>
            <w:tcBorders>
              <w:top w:val="nil"/>
              <w:left w:val="nil"/>
              <w:bottom w:val="nil"/>
              <w:right w:val="nil"/>
            </w:tcBorders>
            <w:shd w:val="clear" w:color="auto" w:fill="auto"/>
            <w:vAlign w:val="bottom"/>
            <w:hideMark/>
          </w:tcPr>
          <w:p w14:paraId="5AB65B15"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single" w:sz="4" w:space="0" w:color="auto"/>
              <w:bottom w:val="nil"/>
              <w:right w:val="nil"/>
            </w:tcBorders>
            <w:shd w:val="clear" w:color="000000" w:fill="D9E1F2"/>
            <w:vAlign w:val="bottom"/>
            <w:hideMark/>
          </w:tcPr>
          <w:p w14:paraId="20D115AA"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vAlign w:val="bottom"/>
            <w:hideMark/>
          </w:tcPr>
          <w:p w14:paraId="1038D6DB"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vAlign w:val="center"/>
            <w:hideMark/>
          </w:tcPr>
          <w:p w14:paraId="6F973698"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PP-22</w:t>
            </w:r>
          </w:p>
        </w:tc>
        <w:tc>
          <w:tcPr>
            <w:tcW w:w="520" w:type="dxa"/>
            <w:tcBorders>
              <w:top w:val="nil"/>
              <w:left w:val="nil"/>
              <w:bottom w:val="nil"/>
              <w:right w:val="single" w:sz="4" w:space="0" w:color="auto"/>
            </w:tcBorders>
            <w:shd w:val="clear" w:color="000000" w:fill="D9E1F2"/>
            <w:vAlign w:val="bottom"/>
            <w:hideMark/>
          </w:tcPr>
          <w:p w14:paraId="1716576A"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vAlign w:val="bottom"/>
            <w:hideMark/>
          </w:tcPr>
          <w:p w14:paraId="4F242A17"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1928E7">
              <w:rPr>
                <w:rFonts w:cs="Calibri"/>
                <w:color w:val="000000"/>
                <w:sz w:val="18"/>
                <w:szCs w:val="18"/>
                <w:lang w:eastAsia="en-GB"/>
              </w:rPr>
              <w:t> </w:t>
            </w:r>
          </w:p>
        </w:tc>
        <w:tc>
          <w:tcPr>
            <w:tcW w:w="586" w:type="dxa"/>
            <w:tcBorders>
              <w:top w:val="nil"/>
              <w:left w:val="nil"/>
              <w:bottom w:val="nil"/>
              <w:right w:val="nil"/>
            </w:tcBorders>
            <w:shd w:val="clear" w:color="000000" w:fill="D9E1F2"/>
            <w:vAlign w:val="bottom"/>
            <w:hideMark/>
          </w:tcPr>
          <w:p w14:paraId="396F911E"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vAlign w:val="bottom"/>
            <w:hideMark/>
          </w:tcPr>
          <w:p w14:paraId="081F00CC"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vAlign w:val="bottom"/>
            <w:hideMark/>
          </w:tcPr>
          <w:p w14:paraId="286E3DDF"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single" w:sz="4" w:space="0" w:color="auto"/>
              <w:bottom w:val="nil"/>
              <w:right w:val="nil"/>
            </w:tcBorders>
            <w:shd w:val="clear" w:color="000000" w:fill="D9E1F2"/>
            <w:vAlign w:val="bottom"/>
            <w:hideMark/>
          </w:tcPr>
          <w:p w14:paraId="28484A7D"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vAlign w:val="bottom"/>
            <w:hideMark/>
          </w:tcPr>
          <w:p w14:paraId="785E52E8"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vAlign w:val="bottom"/>
            <w:hideMark/>
          </w:tcPr>
          <w:p w14:paraId="559F82A5"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single" w:sz="4" w:space="0" w:color="auto"/>
            </w:tcBorders>
            <w:shd w:val="clear" w:color="000000" w:fill="D9E1F2"/>
            <w:vAlign w:val="bottom"/>
            <w:hideMark/>
          </w:tcPr>
          <w:p w14:paraId="6363D13A"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jc w:val="center"/>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vAlign w:val="bottom"/>
            <w:hideMark/>
          </w:tcPr>
          <w:p w14:paraId="075E7D62"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vAlign w:val="bottom"/>
            <w:hideMark/>
          </w:tcPr>
          <w:p w14:paraId="4EFCCDE0"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vAlign w:val="bottom"/>
            <w:hideMark/>
          </w:tcPr>
          <w:p w14:paraId="5372E9D5"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single" w:sz="4" w:space="0" w:color="auto"/>
            </w:tcBorders>
            <w:shd w:val="clear" w:color="000000" w:fill="D9E1F2"/>
            <w:vAlign w:val="bottom"/>
            <w:hideMark/>
          </w:tcPr>
          <w:p w14:paraId="7A8179F3"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r>
      <w:tr w:rsidR="007B274A" w:rsidRPr="001928E7" w14:paraId="1259A62D" w14:textId="77777777" w:rsidTr="00B152B7">
        <w:trPr>
          <w:trHeight w:val="455"/>
        </w:trPr>
        <w:tc>
          <w:tcPr>
            <w:tcW w:w="3860" w:type="dxa"/>
            <w:tcBorders>
              <w:top w:val="nil"/>
              <w:left w:val="nil"/>
              <w:bottom w:val="nil"/>
              <w:right w:val="nil"/>
            </w:tcBorders>
            <w:shd w:val="clear" w:color="000000" w:fill="D9E1F2"/>
            <w:hideMark/>
          </w:tcPr>
          <w:p w14:paraId="5E6727E1"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4.2 Harmonized personalization and automated content feeds for delegates and other visitors</w:t>
            </w:r>
          </w:p>
        </w:tc>
        <w:tc>
          <w:tcPr>
            <w:tcW w:w="431" w:type="dxa"/>
            <w:tcBorders>
              <w:top w:val="nil"/>
              <w:left w:val="single" w:sz="4" w:space="0" w:color="auto"/>
              <w:bottom w:val="nil"/>
              <w:right w:val="nil"/>
            </w:tcBorders>
            <w:shd w:val="clear" w:color="auto" w:fill="auto"/>
            <w:noWrap/>
            <w:vAlign w:val="bottom"/>
            <w:hideMark/>
          </w:tcPr>
          <w:p w14:paraId="3671D947"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nil"/>
              <w:left w:val="nil"/>
              <w:bottom w:val="nil"/>
              <w:right w:val="nil"/>
            </w:tcBorders>
            <w:shd w:val="clear" w:color="auto" w:fill="auto"/>
            <w:vAlign w:val="bottom"/>
            <w:hideMark/>
          </w:tcPr>
          <w:p w14:paraId="48A939E8"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71" w:type="dxa"/>
            <w:tcBorders>
              <w:top w:val="nil"/>
              <w:left w:val="nil"/>
              <w:bottom w:val="nil"/>
              <w:right w:val="nil"/>
            </w:tcBorders>
            <w:shd w:val="clear" w:color="auto" w:fill="auto"/>
            <w:vAlign w:val="bottom"/>
            <w:hideMark/>
          </w:tcPr>
          <w:p w14:paraId="1F1F4D34"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71" w:type="dxa"/>
            <w:tcBorders>
              <w:top w:val="nil"/>
              <w:left w:val="nil"/>
              <w:bottom w:val="nil"/>
              <w:right w:val="nil"/>
            </w:tcBorders>
            <w:shd w:val="clear" w:color="auto" w:fill="auto"/>
            <w:vAlign w:val="bottom"/>
            <w:hideMark/>
          </w:tcPr>
          <w:p w14:paraId="0EE18827"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single" w:sz="4" w:space="0" w:color="auto"/>
              <w:bottom w:val="nil"/>
              <w:right w:val="nil"/>
            </w:tcBorders>
            <w:shd w:val="clear" w:color="auto" w:fill="auto"/>
            <w:vAlign w:val="bottom"/>
            <w:hideMark/>
          </w:tcPr>
          <w:p w14:paraId="7D3105D9"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vAlign w:val="bottom"/>
            <w:hideMark/>
          </w:tcPr>
          <w:p w14:paraId="5CBA5330"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vAlign w:val="bottom"/>
            <w:hideMark/>
          </w:tcPr>
          <w:p w14:paraId="73162DEE"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vAlign w:val="bottom"/>
            <w:hideMark/>
          </w:tcPr>
          <w:p w14:paraId="34ECE6F7"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single" w:sz="4" w:space="0" w:color="auto"/>
              <w:bottom w:val="nil"/>
              <w:right w:val="nil"/>
            </w:tcBorders>
            <w:shd w:val="clear" w:color="000000" w:fill="D9E1F2"/>
            <w:vAlign w:val="bottom"/>
            <w:hideMark/>
          </w:tcPr>
          <w:p w14:paraId="7F6573F5"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86" w:type="dxa"/>
            <w:tcBorders>
              <w:top w:val="nil"/>
              <w:left w:val="nil"/>
              <w:bottom w:val="nil"/>
              <w:right w:val="nil"/>
            </w:tcBorders>
            <w:shd w:val="clear" w:color="000000" w:fill="D9E1F2"/>
            <w:noWrap/>
            <w:vAlign w:val="bottom"/>
            <w:hideMark/>
          </w:tcPr>
          <w:p w14:paraId="721E8339"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vAlign w:val="bottom"/>
            <w:hideMark/>
          </w:tcPr>
          <w:p w14:paraId="179D206A"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vAlign w:val="bottom"/>
            <w:hideMark/>
          </w:tcPr>
          <w:p w14:paraId="01F13BFB"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single" w:sz="4" w:space="0" w:color="auto"/>
              <w:bottom w:val="nil"/>
              <w:right w:val="nil"/>
            </w:tcBorders>
            <w:shd w:val="clear" w:color="auto" w:fill="auto"/>
            <w:vAlign w:val="bottom"/>
            <w:hideMark/>
          </w:tcPr>
          <w:p w14:paraId="1E96CBE0"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vAlign w:val="bottom"/>
            <w:hideMark/>
          </w:tcPr>
          <w:p w14:paraId="1A1812FE"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vAlign w:val="bottom"/>
            <w:hideMark/>
          </w:tcPr>
          <w:p w14:paraId="289D50C0"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vAlign w:val="bottom"/>
            <w:hideMark/>
          </w:tcPr>
          <w:p w14:paraId="362F8B40"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single" w:sz="4" w:space="0" w:color="auto"/>
              <w:bottom w:val="nil"/>
              <w:right w:val="nil"/>
            </w:tcBorders>
            <w:shd w:val="clear" w:color="auto" w:fill="auto"/>
            <w:vAlign w:val="bottom"/>
            <w:hideMark/>
          </w:tcPr>
          <w:p w14:paraId="58FDE440"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vAlign w:val="bottom"/>
            <w:hideMark/>
          </w:tcPr>
          <w:p w14:paraId="1F2A4877"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vAlign w:val="bottom"/>
            <w:hideMark/>
          </w:tcPr>
          <w:p w14:paraId="342AAF35"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single" w:sz="4" w:space="0" w:color="auto"/>
            </w:tcBorders>
            <w:shd w:val="clear" w:color="auto" w:fill="auto"/>
            <w:vAlign w:val="bottom"/>
            <w:hideMark/>
          </w:tcPr>
          <w:p w14:paraId="64906403"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r>
      <w:tr w:rsidR="007B274A" w:rsidRPr="001928E7" w14:paraId="7DA4F7DD" w14:textId="77777777" w:rsidTr="007B274A">
        <w:trPr>
          <w:trHeight w:val="450"/>
        </w:trPr>
        <w:tc>
          <w:tcPr>
            <w:tcW w:w="3860" w:type="dxa"/>
            <w:tcBorders>
              <w:top w:val="nil"/>
              <w:left w:val="nil"/>
              <w:bottom w:val="nil"/>
              <w:right w:val="nil"/>
            </w:tcBorders>
            <w:shd w:val="clear" w:color="000000" w:fill="D9E1F2"/>
            <w:vAlign w:val="bottom"/>
            <w:hideMark/>
          </w:tcPr>
          <w:p w14:paraId="1448D315"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4.3 Harmonization of delegate workspaces for enhanced effectiveness and collaboration</w:t>
            </w:r>
          </w:p>
        </w:tc>
        <w:tc>
          <w:tcPr>
            <w:tcW w:w="431" w:type="dxa"/>
            <w:tcBorders>
              <w:top w:val="nil"/>
              <w:left w:val="single" w:sz="4" w:space="0" w:color="auto"/>
              <w:bottom w:val="nil"/>
              <w:right w:val="nil"/>
            </w:tcBorders>
            <w:shd w:val="clear" w:color="auto" w:fill="auto"/>
            <w:noWrap/>
            <w:vAlign w:val="bottom"/>
            <w:hideMark/>
          </w:tcPr>
          <w:p w14:paraId="48D69216"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71" w:type="dxa"/>
            <w:tcBorders>
              <w:top w:val="nil"/>
              <w:left w:val="nil"/>
              <w:bottom w:val="nil"/>
              <w:right w:val="nil"/>
            </w:tcBorders>
            <w:shd w:val="clear" w:color="auto" w:fill="auto"/>
            <w:noWrap/>
            <w:vAlign w:val="bottom"/>
            <w:hideMark/>
          </w:tcPr>
          <w:p w14:paraId="6AAF3E71"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71" w:type="dxa"/>
            <w:tcBorders>
              <w:top w:val="nil"/>
              <w:left w:val="nil"/>
              <w:bottom w:val="nil"/>
              <w:right w:val="nil"/>
            </w:tcBorders>
            <w:shd w:val="clear" w:color="auto" w:fill="auto"/>
            <w:noWrap/>
            <w:vAlign w:val="bottom"/>
            <w:hideMark/>
          </w:tcPr>
          <w:p w14:paraId="5FFB56D5"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71" w:type="dxa"/>
            <w:tcBorders>
              <w:top w:val="nil"/>
              <w:left w:val="nil"/>
              <w:bottom w:val="nil"/>
              <w:right w:val="single" w:sz="4" w:space="0" w:color="auto"/>
            </w:tcBorders>
            <w:shd w:val="clear" w:color="auto" w:fill="auto"/>
            <w:noWrap/>
            <w:vAlign w:val="bottom"/>
            <w:hideMark/>
          </w:tcPr>
          <w:p w14:paraId="483F04CB"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34A7AA4D"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hideMark/>
          </w:tcPr>
          <w:p w14:paraId="1F3D1B8D"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06569FF5"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single" w:sz="4" w:space="0" w:color="auto"/>
            </w:tcBorders>
            <w:shd w:val="clear" w:color="auto" w:fill="auto"/>
            <w:noWrap/>
            <w:vAlign w:val="bottom"/>
            <w:hideMark/>
          </w:tcPr>
          <w:p w14:paraId="4443222A"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5E828CE2"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86" w:type="dxa"/>
            <w:tcBorders>
              <w:top w:val="nil"/>
              <w:left w:val="nil"/>
              <w:bottom w:val="nil"/>
              <w:right w:val="nil"/>
            </w:tcBorders>
            <w:shd w:val="clear" w:color="000000" w:fill="D9E1F2"/>
            <w:vAlign w:val="bottom"/>
            <w:hideMark/>
          </w:tcPr>
          <w:p w14:paraId="51639BF5"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CWG</w:t>
            </w:r>
          </w:p>
        </w:tc>
        <w:tc>
          <w:tcPr>
            <w:tcW w:w="520" w:type="dxa"/>
            <w:tcBorders>
              <w:top w:val="nil"/>
              <w:left w:val="nil"/>
              <w:bottom w:val="nil"/>
              <w:right w:val="nil"/>
            </w:tcBorders>
            <w:shd w:val="clear" w:color="000000" w:fill="D9E1F2"/>
            <w:noWrap/>
            <w:vAlign w:val="bottom"/>
            <w:hideMark/>
          </w:tcPr>
          <w:p w14:paraId="7562E862"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noWrap/>
            <w:vAlign w:val="bottom"/>
            <w:hideMark/>
          </w:tcPr>
          <w:p w14:paraId="6E79E465"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single" w:sz="4" w:space="0" w:color="auto"/>
              <w:bottom w:val="nil"/>
              <w:right w:val="nil"/>
            </w:tcBorders>
            <w:shd w:val="clear" w:color="000000" w:fill="D9E1F2"/>
            <w:noWrap/>
            <w:vAlign w:val="bottom"/>
            <w:hideMark/>
          </w:tcPr>
          <w:p w14:paraId="553BED01"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000000" w:fill="D9E1F2"/>
            <w:vAlign w:val="bottom"/>
            <w:hideMark/>
          </w:tcPr>
          <w:p w14:paraId="77001202"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PP</w:t>
            </w:r>
          </w:p>
        </w:tc>
        <w:tc>
          <w:tcPr>
            <w:tcW w:w="520" w:type="dxa"/>
            <w:tcBorders>
              <w:top w:val="nil"/>
              <w:left w:val="nil"/>
              <w:bottom w:val="nil"/>
              <w:right w:val="nil"/>
            </w:tcBorders>
            <w:shd w:val="clear" w:color="000000" w:fill="D9E1F2"/>
            <w:noWrap/>
            <w:vAlign w:val="bottom"/>
            <w:hideMark/>
          </w:tcPr>
          <w:p w14:paraId="58BFBDFA"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single" w:sz="4" w:space="0" w:color="auto"/>
            </w:tcBorders>
            <w:shd w:val="clear" w:color="000000" w:fill="D9E1F2"/>
            <w:noWrap/>
            <w:vAlign w:val="bottom"/>
            <w:hideMark/>
          </w:tcPr>
          <w:p w14:paraId="4EE80559"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c>
          <w:tcPr>
            <w:tcW w:w="520" w:type="dxa"/>
            <w:tcBorders>
              <w:top w:val="nil"/>
              <w:left w:val="nil"/>
              <w:bottom w:val="nil"/>
              <w:right w:val="nil"/>
            </w:tcBorders>
            <w:shd w:val="clear" w:color="auto" w:fill="auto"/>
            <w:noWrap/>
            <w:vAlign w:val="bottom"/>
            <w:hideMark/>
          </w:tcPr>
          <w:p w14:paraId="362205E4"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p>
        </w:tc>
        <w:tc>
          <w:tcPr>
            <w:tcW w:w="520" w:type="dxa"/>
            <w:tcBorders>
              <w:top w:val="nil"/>
              <w:left w:val="nil"/>
              <w:bottom w:val="nil"/>
              <w:right w:val="nil"/>
            </w:tcBorders>
            <w:shd w:val="clear" w:color="auto" w:fill="auto"/>
            <w:noWrap/>
            <w:vAlign w:val="bottom"/>
            <w:hideMark/>
          </w:tcPr>
          <w:p w14:paraId="5248DE82"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nil"/>
            </w:tcBorders>
            <w:shd w:val="clear" w:color="auto" w:fill="auto"/>
            <w:noWrap/>
            <w:vAlign w:val="bottom"/>
            <w:hideMark/>
          </w:tcPr>
          <w:p w14:paraId="508D0388"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ascii="Times New Roman" w:hAnsi="Times New Roman"/>
                <w:sz w:val="20"/>
                <w:lang w:eastAsia="en-GB"/>
              </w:rPr>
            </w:pPr>
          </w:p>
        </w:tc>
        <w:tc>
          <w:tcPr>
            <w:tcW w:w="520" w:type="dxa"/>
            <w:tcBorders>
              <w:top w:val="nil"/>
              <w:left w:val="nil"/>
              <w:bottom w:val="nil"/>
              <w:right w:val="single" w:sz="4" w:space="0" w:color="auto"/>
            </w:tcBorders>
            <w:shd w:val="clear" w:color="auto" w:fill="auto"/>
            <w:noWrap/>
            <w:vAlign w:val="bottom"/>
            <w:hideMark/>
          </w:tcPr>
          <w:p w14:paraId="4CCD5E3C"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textAlignment w:val="auto"/>
              <w:rPr>
                <w:rFonts w:cs="Calibri"/>
                <w:color w:val="000000"/>
                <w:sz w:val="18"/>
                <w:szCs w:val="18"/>
                <w:lang w:eastAsia="en-GB"/>
              </w:rPr>
            </w:pPr>
            <w:r w:rsidRPr="001928E7">
              <w:rPr>
                <w:rFonts w:cs="Calibri"/>
                <w:color w:val="000000"/>
                <w:sz w:val="18"/>
                <w:szCs w:val="18"/>
                <w:lang w:eastAsia="en-GB"/>
              </w:rPr>
              <w:t> </w:t>
            </w:r>
          </w:p>
        </w:tc>
      </w:tr>
      <w:tr w:rsidR="007B274A" w:rsidRPr="001928E7" w14:paraId="2A1648A4" w14:textId="77777777" w:rsidTr="007B274A">
        <w:trPr>
          <w:trHeight w:val="290"/>
        </w:trPr>
        <w:tc>
          <w:tcPr>
            <w:tcW w:w="3860" w:type="dxa"/>
            <w:tcBorders>
              <w:top w:val="nil"/>
              <w:left w:val="nil"/>
              <w:bottom w:val="single" w:sz="4" w:space="0" w:color="auto"/>
              <w:right w:val="nil"/>
            </w:tcBorders>
            <w:shd w:val="clear" w:color="000000" w:fill="8EA9DB"/>
            <w:vAlign w:val="bottom"/>
            <w:hideMark/>
          </w:tcPr>
          <w:p w14:paraId="3CC5D1D8" w14:textId="012B49B2" w:rsidR="007B274A" w:rsidRPr="001928E7" w:rsidRDefault="009C1266" w:rsidP="007B274A">
            <w:pPr>
              <w:tabs>
                <w:tab w:val="clear" w:pos="567"/>
                <w:tab w:val="clear" w:pos="1134"/>
                <w:tab w:val="clear" w:pos="1701"/>
                <w:tab w:val="clear" w:pos="2268"/>
                <w:tab w:val="clear" w:pos="2835"/>
              </w:tabs>
              <w:overflowPunct/>
              <w:autoSpaceDE/>
              <w:autoSpaceDN/>
              <w:adjustRightInd/>
              <w:spacing w:before="0"/>
              <w:textAlignment w:val="auto"/>
              <w:rPr>
                <w:rFonts w:cs="Calibri"/>
                <w:b/>
                <w:bCs/>
                <w:color w:val="000000"/>
                <w:sz w:val="18"/>
                <w:szCs w:val="18"/>
                <w:lang w:eastAsia="en-GB"/>
              </w:rPr>
            </w:pPr>
            <w:r>
              <w:rPr>
                <w:rFonts w:cs="Calibri"/>
                <w:b/>
                <w:bCs/>
                <w:color w:val="000000"/>
                <w:sz w:val="18"/>
                <w:szCs w:val="18"/>
                <w:lang w:eastAsia="en-GB"/>
              </w:rPr>
              <w:t>Bu</w:t>
            </w:r>
            <w:r w:rsidR="007B274A" w:rsidRPr="001928E7">
              <w:rPr>
                <w:rFonts w:cs="Calibri"/>
                <w:b/>
                <w:bCs/>
                <w:color w:val="000000"/>
                <w:sz w:val="18"/>
                <w:szCs w:val="18"/>
                <w:lang w:eastAsia="en-GB"/>
              </w:rPr>
              <w:t>dget CHF(000)</w:t>
            </w:r>
          </w:p>
        </w:tc>
        <w:tc>
          <w:tcPr>
            <w:tcW w:w="2144" w:type="dxa"/>
            <w:gridSpan w:val="4"/>
            <w:tcBorders>
              <w:top w:val="single" w:sz="4" w:space="0" w:color="auto"/>
              <w:left w:val="single" w:sz="4" w:space="0" w:color="auto"/>
              <w:bottom w:val="single" w:sz="4" w:space="0" w:color="auto"/>
              <w:right w:val="single" w:sz="4" w:space="0" w:color="000000"/>
            </w:tcBorders>
            <w:shd w:val="clear" w:color="000000" w:fill="8EA9DB"/>
            <w:noWrap/>
            <w:vAlign w:val="bottom"/>
            <w:hideMark/>
          </w:tcPr>
          <w:p w14:paraId="0C102F5A"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1928E7">
              <w:rPr>
                <w:rFonts w:cs="Calibri"/>
                <w:b/>
                <w:bCs/>
                <w:color w:val="000000"/>
                <w:sz w:val="18"/>
                <w:szCs w:val="18"/>
                <w:lang w:eastAsia="en-GB"/>
              </w:rPr>
              <w:t>400</w:t>
            </w:r>
          </w:p>
        </w:tc>
        <w:tc>
          <w:tcPr>
            <w:tcW w:w="2080" w:type="dxa"/>
            <w:gridSpan w:val="4"/>
            <w:tcBorders>
              <w:top w:val="single" w:sz="4" w:space="0" w:color="auto"/>
              <w:left w:val="nil"/>
              <w:bottom w:val="single" w:sz="4" w:space="0" w:color="auto"/>
              <w:right w:val="single" w:sz="4" w:space="0" w:color="000000"/>
            </w:tcBorders>
            <w:shd w:val="clear" w:color="000000" w:fill="8EA9DB"/>
            <w:noWrap/>
            <w:vAlign w:val="bottom"/>
            <w:hideMark/>
          </w:tcPr>
          <w:p w14:paraId="63F5480A"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1928E7">
              <w:rPr>
                <w:rFonts w:cs="Calibri"/>
                <w:b/>
                <w:bCs/>
                <w:color w:val="000000"/>
                <w:sz w:val="18"/>
                <w:szCs w:val="18"/>
                <w:lang w:eastAsia="en-GB"/>
              </w:rPr>
              <w:t>200</w:t>
            </w:r>
          </w:p>
        </w:tc>
        <w:tc>
          <w:tcPr>
            <w:tcW w:w="2146" w:type="dxa"/>
            <w:gridSpan w:val="4"/>
            <w:tcBorders>
              <w:top w:val="single" w:sz="4" w:space="0" w:color="auto"/>
              <w:left w:val="nil"/>
              <w:bottom w:val="single" w:sz="4" w:space="0" w:color="auto"/>
              <w:right w:val="single" w:sz="4" w:space="0" w:color="000000"/>
            </w:tcBorders>
            <w:shd w:val="clear" w:color="000000" w:fill="8EA9DB"/>
            <w:noWrap/>
            <w:vAlign w:val="bottom"/>
            <w:hideMark/>
          </w:tcPr>
          <w:p w14:paraId="53D99840"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1928E7">
              <w:rPr>
                <w:rFonts w:cs="Calibri"/>
                <w:b/>
                <w:bCs/>
                <w:color w:val="000000"/>
                <w:sz w:val="18"/>
                <w:szCs w:val="18"/>
                <w:lang w:eastAsia="en-GB"/>
              </w:rPr>
              <w:t>200</w:t>
            </w:r>
          </w:p>
        </w:tc>
        <w:tc>
          <w:tcPr>
            <w:tcW w:w="4160" w:type="dxa"/>
            <w:gridSpan w:val="8"/>
            <w:tcBorders>
              <w:top w:val="nil"/>
              <w:left w:val="nil"/>
              <w:bottom w:val="single" w:sz="4" w:space="0" w:color="auto"/>
              <w:right w:val="single" w:sz="4" w:space="0" w:color="000000"/>
            </w:tcBorders>
            <w:shd w:val="clear" w:color="000000" w:fill="8EA9DB"/>
            <w:noWrap/>
            <w:vAlign w:val="bottom"/>
            <w:hideMark/>
          </w:tcPr>
          <w:p w14:paraId="5DB2A950" w14:textId="77777777" w:rsidR="007B274A" w:rsidRPr="001928E7" w:rsidRDefault="007B274A" w:rsidP="007B274A">
            <w:pPr>
              <w:tabs>
                <w:tab w:val="clear" w:pos="567"/>
                <w:tab w:val="clear" w:pos="1134"/>
                <w:tab w:val="clear" w:pos="1701"/>
                <w:tab w:val="clear" w:pos="2268"/>
                <w:tab w:val="clear" w:pos="2835"/>
              </w:tabs>
              <w:overflowPunct/>
              <w:autoSpaceDE/>
              <w:autoSpaceDN/>
              <w:adjustRightInd/>
              <w:spacing w:before="0"/>
              <w:jc w:val="center"/>
              <w:textAlignment w:val="auto"/>
              <w:rPr>
                <w:rFonts w:cs="Calibri"/>
                <w:b/>
                <w:bCs/>
                <w:color w:val="000000"/>
                <w:sz w:val="18"/>
                <w:szCs w:val="18"/>
                <w:lang w:eastAsia="en-GB"/>
              </w:rPr>
            </w:pPr>
            <w:r w:rsidRPr="001928E7">
              <w:rPr>
                <w:rFonts w:cs="Calibri"/>
                <w:b/>
                <w:bCs/>
                <w:color w:val="000000"/>
                <w:sz w:val="18"/>
                <w:szCs w:val="18"/>
                <w:lang w:eastAsia="en-GB"/>
              </w:rPr>
              <w:t>1200</w:t>
            </w:r>
          </w:p>
        </w:tc>
      </w:tr>
    </w:tbl>
    <w:p w14:paraId="77F80634" w14:textId="45974E4A" w:rsidR="00BD7E17" w:rsidRPr="00EA6A57" w:rsidRDefault="00BD7E17" w:rsidP="00EA6A57">
      <w:pPr>
        <w:tabs>
          <w:tab w:val="clear" w:pos="567"/>
          <w:tab w:val="clear" w:pos="1134"/>
          <w:tab w:val="clear" w:pos="1701"/>
          <w:tab w:val="clear" w:pos="2268"/>
          <w:tab w:val="clear" w:pos="2835"/>
        </w:tabs>
        <w:overflowPunct/>
        <w:autoSpaceDE/>
        <w:autoSpaceDN/>
        <w:adjustRightInd/>
        <w:spacing w:before="0"/>
        <w:textAlignment w:val="auto"/>
        <w:rPr>
          <w:sz w:val="8"/>
          <w:szCs w:val="8"/>
        </w:rPr>
      </w:pPr>
    </w:p>
    <w:sectPr w:rsidR="00BD7E17" w:rsidRPr="00EA6A57" w:rsidSect="009C5967">
      <w:headerReference w:type="first" r:id="rId26"/>
      <w:footerReference w:type="first" r:id="rId27"/>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B361E" w14:textId="77777777" w:rsidR="009924E0" w:rsidRDefault="009924E0">
      <w:r>
        <w:separator/>
      </w:r>
    </w:p>
  </w:endnote>
  <w:endnote w:type="continuationSeparator" w:id="0">
    <w:p w14:paraId="00D2091E" w14:textId="77777777" w:rsidR="009924E0" w:rsidRDefault="009924E0">
      <w:r>
        <w:continuationSeparator/>
      </w:r>
    </w:p>
  </w:endnote>
  <w:endnote w:type="continuationNotice" w:id="1">
    <w:p w14:paraId="6A90CCD4" w14:textId="77777777" w:rsidR="009924E0" w:rsidRDefault="009924E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1E76" w14:textId="2E970CEC" w:rsidR="00322D0D" w:rsidRDefault="00322D0D" w:rsidP="00A95CBB">
    <w:pPr>
      <w:spacing w:after="120"/>
      <w:jc w:val="center"/>
    </w:pPr>
    <w:r>
      <w:t xml:space="preserve">• </w:t>
    </w:r>
    <w:hyperlink r:id="rId1" w:history="1">
      <w:r>
        <w:rPr>
          <w:rStyle w:val="Hyperlink"/>
        </w:rPr>
        <w:t>http://www.itu.int/council</w:t>
      </w:r>
    </w:hyperlink>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60BC0" w14:textId="5391E38C" w:rsidR="00EA6A57" w:rsidRPr="00EA6A57" w:rsidRDefault="00EA6A57" w:rsidP="00EA6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08988" w14:textId="77777777" w:rsidR="009924E0" w:rsidRDefault="009924E0">
      <w:r>
        <w:t>____________________</w:t>
      </w:r>
    </w:p>
  </w:footnote>
  <w:footnote w:type="continuationSeparator" w:id="0">
    <w:p w14:paraId="3C2C9CBD" w14:textId="77777777" w:rsidR="009924E0" w:rsidRDefault="009924E0">
      <w:r>
        <w:continuationSeparator/>
      </w:r>
    </w:p>
  </w:footnote>
  <w:footnote w:type="continuationNotice" w:id="1">
    <w:p w14:paraId="28B28DF5" w14:textId="77777777" w:rsidR="009924E0" w:rsidRDefault="009924E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33BEA" w14:textId="1ECFB900" w:rsidR="00322D0D" w:rsidRDefault="006535F1" w:rsidP="00CE433C">
    <w:pPr>
      <w:pStyle w:val="Header"/>
    </w:pPr>
    <w:r>
      <w:fldChar w:fldCharType="begin"/>
    </w:r>
    <w:r>
      <w:instrText>PAGE</w:instrText>
    </w:r>
    <w:r>
      <w:fldChar w:fldCharType="separate"/>
    </w:r>
    <w:r w:rsidR="00F11C16">
      <w:rPr>
        <w:noProof/>
      </w:rPr>
      <w:t>3</w:t>
    </w:r>
    <w:r>
      <w:rPr>
        <w:noProof/>
      </w:rPr>
      <w:fldChar w:fldCharType="end"/>
    </w:r>
  </w:p>
  <w:p w14:paraId="0F4E7486" w14:textId="12A89F81" w:rsidR="00322D0D" w:rsidRPr="00623AE3" w:rsidRDefault="00D338E0" w:rsidP="00D338E0">
    <w:pPr>
      <w:pStyle w:val="Header"/>
      <w:rPr>
        <w:bCs/>
      </w:rPr>
    </w:pPr>
    <w:r>
      <w:rPr>
        <w:bCs/>
      </w:rPr>
      <w:t>C2</w:t>
    </w:r>
    <w:r w:rsidR="00D403B2">
      <w:rPr>
        <w:bCs/>
      </w:rPr>
      <w:t>1</w:t>
    </w:r>
    <w:r w:rsidR="00623AE3" w:rsidRPr="00623AE3">
      <w:rPr>
        <w:bCs/>
      </w:rPr>
      <w:t>/</w:t>
    </w:r>
    <w:r w:rsidR="00A95CBB">
      <w:rPr>
        <w:bCs/>
      </w:rPr>
      <w:t>INF/</w:t>
    </w:r>
    <w:r w:rsidR="00EA6A57">
      <w:rPr>
        <w:bCs/>
      </w:rPr>
      <w:t>12</w:t>
    </w:r>
    <w:r w:rsidR="00623AE3" w:rsidRPr="00623AE3">
      <w:rPr>
        <w:bC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0349" w14:textId="573D1E21" w:rsidR="00EA6A57" w:rsidRDefault="00EA6A57" w:rsidP="00EA6A57">
    <w:pPr>
      <w:pStyle w:val="Header"/>
    </w:pPr>
    <w:r>
      <w:fldChar w:fldCharType="begin"/>
    </w:r>
    <w:r>
      <w:instrText>PAGE</w:instrText>
    </w:r>
    <w:r>
      <w:fldChar w:fldCharType="separate"/>
    </w:r>
    <w:r w:rsidR="00F11C16">
      <w:rPr>
        <w:noProof/>
      </w:rPr>
      <w:t>4</w:t>
    </w:r>
    <w:r>
      <w:rPr>
        <w:noProof/>
      </w:rPr>
      <w:fldChar w:fldCharType="end"/>
    </w:r>
  </w:p>
  <w:p w14:paraId="6BC7E513" w14:textId="1C7BC71A" w:rsidR="00EA6A57" w:rsidRPr="00EA6A57" w:rsidRDefault="00EA6A57" w:rsidP="00EA6A57">
    <w:pPr>
      <w:pStyle w:val="Header"/>
      <w:spacing w:after="120"/>
      <w:rPr>
        <w:bCs/>
      </w:rPr>
    </w:pPr>
    <w:r>
      <w:rPr>
        <w:bCs/>
      </w:rPr>
      <w:t>C21</w:t>
    </w:r>
    <w:r w:rsidRPr="00623AE3">
      <w:rPr>
        <w:bCs/>
      </w:rPr>
      <w:t>/</w:t>
    </w:r>
    <w:r>
      <w:rPr>
        <w:bCs/>
      </w:rPr>
      <w:t>INF/12</w:t>
    </w:r>
    <w:r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4604E1"/>
    <w:multiLevelType w:val="hybridMultilevel"/>
    <w:tmpl w:val="B7D4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4D2645"/>
    <w:multiLevelType w:val="hybridMultilevel"/>
    <w:tmpl w:val="ECE253A8"/>
    <w:lvl w:ilvl="0" w:tplc="EDFC7B02">
      <w:start w:val="4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692C69"/>
    <w:multiLevelType w:val="hybridMultilevel"/>
    <w:tmpl w:val="E0967D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220EA"/>
    <w:rsid w:val="000237EE"/>
    <w:rsid w:val="000255A1"/>
    <w:rsid w:val="00055F94"/>
    <w:rsid w:val="00063016"/>
    <w:rsid w:val="00066795"/>
    <w:rsid w:val="00076AF6"/>
    <w:rsid w:val="00085CF2"/>
    <w:rsid w:val="000B1705"/>
    <w:rsid w:val="000D75B2"/>
    <w:rsid w:val="000F3044"/>
    <w:rsid w:val="001121F5"/>
    <w:rsid w:val="00121E1E"/>
    <w:rsid w:val="00122B2A"/>
    <w:rsid w:val="0012479F"/>
    <w:rsid w:val="001400DC"/>
    <w:rsid w:val="00140CE1"/>
    <w:rsid w:val="00141DFF"/>
    <w:rsid w:val="00165AF9"/>
    <w:rsid w:val="0017539C"/>
    <w:rsid w:val="00175AC2"/>
    <w:rsid w:val="0017609F"/>
    <w:rsid w:val="0017618D"/>
    <w:rsid w:val="001928E7"/>
    <w:rsid w:val="00195BB7"/>
    <w:rsid w:val="001C1741"/>
    <w:rsid w:val="001C3B05"/>
    <w:rsid w:val="001C628E"/>
    <w:rsid w:val="001E0F7B"/>
    <w:rsid w:val="002119FD"/>
    <w:rsid w:val="002130E0"/>
    <w:rsid w:val="0022118E"/>
    <w:rsid w:val="002304A5"/>
    <w:rsid w:val="00235D10"/>
    <w:rsid w:val="00236055"/>
    <w:rsid w:val="00264425"/>
    <w:rsid w:val="00265875"/>
    <w:rsid w:val="0027303B"/>
    <w:rsid w:val="0028109B"/>
    <w:rsid w:val="00295D72"/>
    <w:rsid w:val="002A2188"/>
    <w:rsid w:val="002A6502"/>
    <w:rsid w:val="002B1F58"/>
    <w:rsid w:val="002B4A83"/>
    <w:rsid w:val="002C1C7A"/>
    <w:rsid w:val="002C3B56"/>
    <w:rsid w:val="002D40BF"/>
    <w:rsid w:val="002E5CB5"/>
    <w:rsid w:val="002E727E"/>
    <w:rsid w:val="002F6BB9"/>
    <w:rsid w:val="0030160F"/>
    <w:rsid w:val="0031664A"/>
    <w:rsid w:val="00322D0D"/>
    <w:rsid w:val="00345095"/>
    <w:rsid w:val="0034730C"/>
    <w:rsid w:val="003942D4"/>
    <w:rsid w:val="003958A8"/>
    <w:rsid w:val="003A6411"/>
    <w:rsid w:val="003C2533"/>
    <w:rsid w:val="003C4B47"/>
    <w:rsid w:val="003C651C"/>
    <w:rsid w:val="003D024F"/>
    <w:rsid w:val="003D1B53"/>
    <w:rsid w:val="003F0B6F"/>
    <w:rsid w:val="0040435A"/>
    <w:rsid w:val="004125E8"/>
    <w:rsid w:val="00416A24"/>
    <w:rsid w:val="00424BF0"/>
    <w:rsid w:val="004318A2"/>
    <w:rsid w:val="00431D9E"/>
    <w:rsid w:val="00433CE8"/>
    <w:rsid w:val="00434A5C"/>
    <w:rsid w:val="00446B28"/>
    <w:rsid w:val="00450DDB"/>
    <w:rsid w:val="004544D9"/>
    <w:rsid w:val="00490E72"/>
    <w:rsid w:val="00491157"/>
    <w:rsid w:val="004921C8"/>
    <w:rsid w:val="004A028A"/>
    <w:rsid w:val="004A5DAE"/>
    <w:rsid w:val="004B5513"/>
    <w:rsid w:val="004C4D60"/>
    <w:rsid w:val="004D1851"/>
    <w:rsid w:val="004D599D"/>
    <w:rsid w:val="004E2EA5"/>
    <w:rsid w:val="004E3AEB"/>
    <w:rsid w:val="004E3CF5"/>
    <w:rsid w:val="004F3332"/>
    <w:rsid w:val="0050223C"/>
    <w:rsid w:val="005243FF"/>
    <w:rsid w:val="00525845"/>
    <w:rsid w:val="00564FBC"/>
    <w:rsid w:val="00582442"/>
    <w:rsid w:val="00587B4F"/>
    <w:rsid w:val="005969B6"/>
    <w:rsid w:val="005A41AA"/>
    <w:rsid w:val="005B7B46"/>
    <w:rsid w:val="005C396E"/>
    <w:rsid w:val="005D7388"/>
    <w:rsid w:val="005E19DB"/>
    <w:rsid w:val="005F3269"/>
    <w:rsid w:val="00620C8D"/>
    <w:rsid w:val="00623AE3"/>
    <w:rsid w:val="00625BFD"/>
    <w:rsid w:val="006433AB"/>
    <w:rsid w:val="00645D9E"/>
    <w:rsid w:val="006469AC"/>
    <w:rsid w:val="0064737F"/>
    <w:rsid w:val="006535F1"/>
    <w:rsid w:val="0065557D"/>
    <w:rsid w:val="006566B2"/>
    <w:rsid w:val="00662984"/>
    <w:rsid w:val="00670E4B"/>
    <w:rsid w:val="006716BB"/>
    <w:rsid w:val="00671F4B"/>
    <w:rsid w:val="006752BA"/>
    <w:rsid w:val="0068352B"/>
    <w:rsid w:val="006864C3"/>
    <w:rsid w:val="006B6680"/>
    <w:rsid w:val="006B6DCC"/>
    <w:rsid w:val="006D278D"/>
    <w:rsid w:val="006E491E"/>
    <w:rsid w:val="006F0966"/>
    <w:rsid w:val="006F7057"/>
    <w:rsid w:val="0070099E"/>
    <w:rsid w:val="00702DEF"/>
    <w:rsid w:val="00706861"/>
    <w:rsid w:val="00740FE3"/>
    <w:rsid w:val="00744406"/>
    <w:rsid w:val="0075051B"/>
    <w:rsid w:val="007567C6"/>
    <w:rsid w:val="00792384"/>
    <w:rsid w:val="00793188"/>
    <w:rsid w:val="00794D34"/>
    <w:rsid w:val="007A7732"/>
    <w:rsid w:val="007B1BDD"/>
    <w:rsid w:val="007B274A"/>
    <w:rsid w:val="007C4718"/>
    <w:rsid w:val="007D7179"/>
    <w:rsid w:val="007F6924"/>
    <w:rsid w:val="00806D14"/>
    <w:rsid w:val="00813E5E"/>
    <w:rsid w:val="0083581B"/>
    <w:rsid w:val="0084625E"/>
    <w:rsid w:val="00864AFF"/>
    <w:rsid w:val="00872DC0"/>
    <w:rsid w:val="00875801"/>
    <w:rsid w:val="00877A12"/>
    <w:rsid w:val="008B4A6A"/>
    <w:rsid w:val="008B7EF8"/>
    <w:rsid w:val="008C1807"/>
    <w:rsid w:val="008C7E27"/>
    <w:rsid w:val="00911088"/>
    <w:rsid w:val="009173EF"/>
    <w:rsid w:val="00920553"/>
    <w:rsid w:val="00920792"/>
    <w:rsid w:val="00932906"/>
    <w:rsid w:val="00961B0B"/>
    <w:rsid w:val="00971063"/>
    <w:rsid w:val="00984FA5"/>
    <w:rsid w:val="009924E0"/>
    <w:rsid w:val="009A7606"/>
    <w:rsid w:val="009B38C3"/>
    <w:rsid w:val="009C1266"/>
    <w:rsid w:val="009C5967"/>
    <w:rsid w:val="009E17BD"/>
    <w:rsid w:val="009E485A"/>
    <w:rsid w:val="009E4C3F"/>
    <w:rsid w:val="009F0526"/>
    <w:rsid w:val="009F66A3"/>
    <w:rsid w:val="00A04CEC"/>
    <w:rsid w:val="00A14B66"/>
    <w:rsid w:val="00A27F92"/>
    <w:rsid w:val="00A302AF"/>
    <w:rsid w:val="00A32257"/>
    <w:rsid w:val="00A36D20"/>
    <w:rsid w:val="00A54B18"/>
    <w:rsid w:val="00A55622"/>
    <w:rsid w:val="00A610EB"/>
    <w:rsid w:val="00A657F1"/>
    <w:rsid w:val="00A83502"/>
    <w:rsid w:val="00A8382F"/>
    <w:rsid w:val="00A95CBB"/>
    <w:rsid w:val="00A95DAE"/>
    <w:rsid w:val="00AB71B4"/>
    <w:rsid w:val="00AC367E"/>
    <w:rsid w:val="00AC47C8"/>
    <w:rsid w:val="00AD0863"/>
    <w:rsid w:val="00AD15B3"/>
    <w:rsid w:val="00AD5AFE"/>
    <w:rsid w:val="00AD5BA1"/>
    <w:rsid w:val="00AE2CF1"/>
    <w:rsid w:val="00AE5CF9"/>
    <w:rsid w:val="00AF4D7E"/>
    <w:rsid w:val="00AF6E49"/>
    <w:rsid w:val="00B04A67"/>
    <w:rsid w:val="00B0583C"/>
    <w:rsid w:val="00B152B7"/>
    <w:rsid w:val="00B40A81"/>
    <w:rsid w:val="00B44910"/>
    <w:rsid w:val="00B52B68"/>
    <w:rsid w:val="00B64F35"/>
    <w:rsid w:val="00B72267"/>
    <w:rsid w:val="00B76EB6"/>
    <w:rsid w:val="00B7737B"/>
    <w:rsid w:val="00B824C8"/>
    <w:rsid w:val="00B9171D"/>
    <w:rsid w:val="00BA1C1F"/>
    <w:rsid w:val="00BA530E"/>
    <w:rsid w:val="00BC251A"/>
    <w:rsid w:val="00BD032B"/>
    <w:rsid w:val="00BD78A5"/>
    <w:rsid w:val="00BD7E17"/>
    <w:rsid w:val="00BE2640"/>
    <w:rsid w:val="00C01189"/>
    <w:rsid w:val="00C374DE"/>
    <w:rsid w:val="00C450EF"/>
    <w:rsid w:val="00C47AD4"/>
    <w:rsid w:val="00C514EF"/>
    <w:rsid w:val="00C52D81"/>
    <w:rsid w:val="00C55198"/>
    <w:rsid w:val="00C952DA"/>
    <w:rsid w:val="00C95C84"/>
    <w:rsid w:val="00CA03CD"/>
    <w:rsid w:val="00CA6393"/>
    <w:rsid w:val="00CB18FF"/>
    <w:rsid w:val="00CD0C08"/>
    <w:rsid w:val="00CD4E49"/>
    <w:rsid w:val="00CE03FB"/>
    <w:rsid w:val="00CE1CD2"/>
    <w:rsid w:val="00CE433C"/>
    <w:rsid w:val="00CF125A"/>
    <w:rsid w:val="00CF33F3"/>
    <w:rsid w:val="00CF5211"/>
    <w:rsid w:val="00D00CE2"/>
    <w:rsid w:val="00D06183"/>
    <w:rsid w:val="00D16E12"/>
    <w:rsid w:val="00D22C42"/>
    <w:rsid w:val="00D338E0"/>
    <w:rsid w:val="00D403B2"/>
    <w:rsid w:val="00D631B3"/>
    <w:rsid w:val="00D65041"/>
    <w:rsid w:val="00D658FE"/>
    <w:rsid w:val="00D73863"/>
    <w:rsid w:val="00D9750B"/>
    <w:rsid w:val="00DB384B"/>
    <w:rsid w:val="00DC45BE"/>
    <w:rsid w:val="00DF52FC"/>
    <w:rsid w:val="00DF7AE8"/>
    <w:rsid w:val="00E10E80"/>
    <w:rsid w:val="00E124F0"/>
    <w:rsid w:val="00E22309"/>
    <w:rsid w:val="00E3085F"/>
    <w:rsid w:val="00E45616"/>
    <w:rsid w:val="00E60F04"/>
    <w:rsid w:val="00E6538E"/>
    <w:rsid w:val="00E65D22"/>
    <w:rsid w:val="00E813F4"/>
    <w:rsid w:val="00E854E4"/>
    <w:rsid w:val="00EA6A57"/>
    <w:rsid w:val="00EA7D56"/>
    <w:rsid w:val="00EB0D6F"/>
    <w:rsid w:val="00EB2232"/>
    <w:rsid w:val="00EB7FA7"/>
    <w:rsid w:val="00EC5337"/>
    <w:rsid w:val="00EE16FB"/>
    <w:rsid w:val="00F11C16"/>
    <w:rsid w:val="00F157F9"/>
    <w:rsid w:val="00F20E80"/>
    <w:rsid w:val="00F2150A"/>
    <w:rsid w:val="00F2246A"/>
    <w:rsid w:val="00F231D8"/>
    <w:rsid w:val="00F307EB"/>
    <w:rsid w:val="00F46C5F"/>
    <w:rsid w:val="00F94A63"/>
    <w:rsid w:val="00F94CA1"/>
    <w:rsid w:val="00FA1C28"/>
    <w:rsid w:val="00FB1279"/>
    <w:rsid w:val="00FB7596"/>
    <w:rsid w:val="00FD450B"/>
    <w:rsid w:val="00FE1D3E"/>
    <w:rsid w:val="00FE4077"/>
    <w:rsid w:val="00FE4770"/>
    <w:rsid w:val="00FE77D2"/>
    <w:rsid w:val="0647D145"/>
    <w:rsid w:val="0BEDEF78"/>
    <w:rsid w:val="0C9D8B31"/>
    <w:rsid w:val="0E9B7232"/>
    <w:rsid w:val="150AB9D4"/>
    <w:rsid w:val="1A0D40E3"/>
    <w:rsid w:val="1E4C69EB"/>
    <w:rsid w:val="1EA88479"/>
    <w:rsid w:val="20806941"/>
    <w:rsid w:val="213152FF"/>
    <w:rsid w:val="21DAFC59"/>
    <w:rsid w:val="228D5310"/>
    <w:rsid w:val="25928D7E"/>
    <w:rsid w:val="29AF5CA7"/>
    <w:rsid w:val="2BF5108B"/>
    <w:rsid w:val="30F1D20E"/>
    <w:rsid w:val="32423402"/>
    <w:rsid w:val="33A9C983"/>
    <w:rsid w:val="34034584"/>
    <w:rsid w:val="347DEAE8"/>
    <w:rsid w:val="39C6006F"/>
    <w:rsid w:val="3A889B06"/>
    <w:rsid w:val="3B48A873"/>
    <w:rsid w:val="3B771291"/>
    <w:rsid w:val="3BC9BDEE"/>
    <w:rsid w:val="3C998303"/>
    <w:rsid w:val="3D1DB525"/>
    <w:rsid w:val="3E8C1B16"/>
    <w:rsid w:val="3FA2170B"/>
    <w:rsid w:val="46401AE5"/>
    <w:rsid w:val="4712CF51"/>
    <w:rsid w:val="47224518"/>
    <w:rsid w:val="4774F193"/>
    <w:rsid w:val="4C8A1773"/>
    <w:rsid w:val="4D028A24"/>
    <w:rsid w:val="4F2D3F96"/>
    <w:rsid w:val="56151AA3"/>
    <w:rsid w:val="5917E9DB"/>
    <w:rsid w:val="59C7E4CF"/>
    <w:rsid w:val="5A614107"/>
    <w:rsid w:val="5A90DACD"/>
    <w:rsid w:val="5E9B55F2"/>
    <w:rsid w:val="61F70E78"/>
    <w:rsid w:val="639716B4"/>
    <w:rsid w:val="65F13C4B"/>
    <w:rsid w:val="685F9955"/>
    <w:rsid w:val="693D34E7"/>
    <w:rsid w:val="6B15138D"/>
    <w:rsid w:val="6C4B98E9"/>
    <w:rsid w:val="6D24D09D"/>
    <w:rsid w:val="6D68B3F3"/>
    <w:rsid w:val="6E37D66C"/>
    <w:rsid w:val="6F048454"/>
    <w:rsid w:val="6FE884B0"/>
    <w:rsid w:val="7629BFF4"/>
    <w:rsid w:val="78F71C1F"/>
    <w:rsid w:val="79763E99"/>
    <w:rsid w:val="7A4B6D68"/>
    <w:rsid w:val="7D5E5A4D"/>
    <w:rsid w:val="7EE4CCCD"/>
    <w:rsid w:val="7F2B87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41291E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813E5E"/>
    <w:rPr>
      <w:rFonts w:ascii="Calibri" w:hAnsi="Calibri"/>
      <w:position w:val="6"/>
      <w:sz w:val="16"/>
    </w:rPr>
  </w:style>
  <w:style w:type="paragraph" w:styleId="FootnoteText">
    <w:name w:val="footnote text"/>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xmsonormal">
    <w:name w:val="x_msonormal"/>
    <w:basedOn w:val="Normal"/>
    <w:rsid w:val="000255A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customStyle="1" w:styleId="UnresolvedMention1">
    <w:name w:val="Unresolved Mention1"/>
    <w:basedOn w:val="DefaultParagraphFont"/>
    <w:uiPriority w:val="99"/>
    <w:semiHidden/>
    <w:unhideWhenUsed/>
    <w:rsid w:val="00EB7FA7"/>
    <w:rPr>
      <w:color w:val="605E5C"/>
      <w:shd w:val="clear" w:color="auto" w:fill="E1DFDD"/>
    </w:rPr>
  </w:style>
  <w:style w:type="paragraph" w:styleId="ListParagraph">
    <w:name w:val="List Paragraph"/>
    <w:basedOn w:val="Normal"/>
    <w:uiPriority w:val="34"/>
    <w:qFormat/>
    <w:rsid w:val="006433AB"/>
    <w:pPr>
      <w:ind w:left="720"/>
      <w:contextualSpacing/>
    </w:pPr>
  </w:style>
  <w:style w:type="character" w:customStyle="1" w:styleId="FootnoteTextChar">
    <w:name w:val="Footnote Text Char"/>
    <w:basedOn w:val="DefaultParagraphFont"/>
    <w:link w:val="FootnoteText"/>
    <w:uiPriority w:val="99"/>
    <w:rsid w:val="00165AF9"/>
    <w:rPr>
      <w:rFonts w:ascii="Calibri" w:hAnsi="Calibri"/>
      <w:sz w:val="24"/>
      <w:lang w:val="en-GB" w:eastAsia="en-US"/>
    </w:rPr>
  </w:style>
  <w:style w:type="character" w:customStyle="1" w:styleId="tlid-translation">
    <w:name w:val="tlid-translation"/>
    <w:basedOn w:val="DefaultParagraphFont"/>
    <w:rsid w:val="004B5513"/>
  </w:style>
  <w:style w:type="character" w:styleId="CommentReference">
    <w:name w:val="annotation reference"/>
    <w:basedOn w:val="DefaultParagraphFont"/>
    <w:semiHidden/>
    <w:unhideWhenUsed/>
    <w:rsid w:val="0031664A"/>
    <w:rPr>
      <w:sz w:val="16"/>
      <w:szCs w:val="16"/>
    </w:rPr>
  </w:style>
  <w:style w:type="paragraph" w:styleId="CommentText">
    <w:name w:val="annotation text"/>
    <w:basedOn w:val="Normal"/>
    <w:link w:val="CommentTextChar"/>
    <w:semiHidden/>
    <w:unhideWhenUsed/>
    <w:rsid w:val="0031664A"/>
    <w:rPr>
      <w:sz w:val="20"/>
    </w:rPr>
  </w:style>
  <w:style w:type="character" w:customStyle="1" w:styleId="CommentTextChar">
    <w:name w:val="Comment Text Char"/>
    <w:basedOn w:val="DefaultParagraphFont"/>
    <w:link w:val="CommentText"/>
    <w:semiHidden/>
    <w:rsid w:val="0031664A"/>
    <w:rPr>
      <w:rFonts w:ascii="Calibri" w:hAnsi="Calibri"/>
      <w:lang w:val="en-GB" w:eastAsia="en-US"/>
    </w:rPr>
  </w:style>
  <w:style w:type="paragraph" w:styleId="CommentSubject">
    <w:name w:val="annotation subject"/>
    <w:basedOn w:val="CommentText"/>
    <w:next w:val="CommentText"/>
    <w:link w:val="CommentSubjectChar"/>
    <w:semiHidden/>
    <w:unhideWhenUsed/>
    <w:rsid w:val="0031664A"/>
    <w:rPr>
      <w:b/>
      <w:bCs/>
    </w:rPr>
  </w:style>
  <w:style w:type="character" w:customStyle="1" w:styleId="CommentSubjectChar">
    <w:name w:val="Comment Subject Char"/>
    <w:basedOn w:val="CommentTextChar"/>
    <w:link w:val="CommentSubject"/>
    <w:semiHidden/>
    <w:rsid w:val="0031664A"/>
    <w:rPr>
      <w:rFonts w:ascii="Calibri" w:hAnsi="Calibri"/>
      <w:b/>
      <w:bCs/>
      <w:lang w:val="en-GB"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20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5406">
      <w:bodyDiv w:val="1"/>
      <w:marLeft w:val="0"/>
      <w:marRight w:val="0"/>
      <w:marTop w:val="0"/>
      <w:marBottom w:val="0"/>
      <w:divBdr>
        <w:top w:val="none" w:sz="0" w:space="0" w:color="auto"/>
        <w:left w:val="none" w:sz="0" w:space="0" w:color="auto"/>
        <w:bottom w:val="none" w:sz="0" w:space="0" w:color="auto"/>
        <w:right w:val="none" w:sz="0" w:space="0" w:color="auto"/>
      </w:divBdr>
    </w:div>
    <w:div w:id="243684517">
      <w:bodyDiv w:val="1"/>
      <w:marLeft w:val="0"/>
      <w:marRight w:val="0"/>
      <w:marTop w:val="0"/>
      <w:marBottom w:val="0"/>
      <w:divBdr>
        <w:top w:val="none" w:sz="0" w:space="0" w:color="auto"/>
        <w:left w:val="none" w:sz="0" w:space="0" w:color="auto"/>
        <w:bottom w:val="none" w:sz="0" w:space="0" w:color="auto"/>
        <w:right w:val="none" w:sz="0" w:space="0" w:color="auto"/>
      </w:divBdr>
    </w:div>
    <w:div w:id="285622828">
      <w:bodyDiv w:val="1"/>
      <w:marLeft w:val="0"/>
      <w:marRight w:val="0"/>
      <w:marTop w:val="0"/>
      <w:marBottom w:val="0"/>
      <w:divBdr>
        <w:top w:val="none" w:sz="0" w:space="0" w:color="auto"/>
        <w:left w:val="none" w:sz="0" w:space="0" w:color="auto"/>
        <w:bottom w:val="none" w:sz="0" w:space="0" w:color="auto"/>
        <w:right w:val="none" w:sz="0" w:space="0" w:color="auto"/>
      </w:divBdr>
    </w:div>
    <w:div w:id="448743182">
      <w:bodyDiv w:val="1"/>
      <w:marLeft w:val="0"/>
      <w:marRight w:val="0"/>
      <w:marTop w:val="0"/>
      <w:marBottom w:val="0"/>
      <w:divBdr>
        <w:top w:val="none" w:sz="0" w:space="0" w:color="auto"/>
        <w:left w:val="none" w:sz="0" w:space="0" w:color="auto"/>
        <w:bottom w:val="none" w:sz="0" w:space="0" w:color="auto"/>
        <w:right w:val="none" w:sz="0" w:space="0" w:color="auto"/>
      </w:divBdr>
    </w:div>
    <w:div w:id="626089150">
      <w:bodyDiv w:val="1"/>
      <w:marLeft w:val="0"/>
      <w:marRight w:val="0"/>
      <w:marTop w:val="0"/>
      <w:marBottom w:val="0"/>
      <w:divBdr>
        <w:top w:val="none" w:sz="0" w:space="0" w:color="auto"/>
        <w:left w:val="none" w:sz="0" w:space="0" w:color="auto"/>
        <w:bottom w:val="none" w:sz="0" w:space="0" w:color="auto"/>
        <w:right w:val="none" w:sz="0" w:space="0" w:color="auto"/>
      </w:divBdr>
    </w:div>
    <w:div w:id="685521124">
      <w:bodyDiv w:val="1"/>
      <w:marLeft w:val="0"/>
      <w:marRight w:val="0"/>
      <w:marTop w:val="0"/>
      <w:marBottom w:val="0"/>
      <w:divBdr>
        <w:top w:val="none" w:sz="0" w:space="0" w:color="auto"/>
        <w:left w:val="none" w:sz="0" w:space="0" w:color="auto"/>
        <w:bottom w:val="none" w:sz="0" w:space="0" w:color="auto"/>
        <w:right w:val="none" w:sz="0" w:space="0" w:color="auto"/>
      </w:divBdr>
    </w:div>
    <w:div w:id="735708599">
      <w:bodyDiv w:val="1"/>
      <w:marLeft w:val="0"/>
      <w:marRight w:val="0"/>
      <w:marTop w:val="0"/>
      <w:marBottom w:val="0"/>
      <w:divBdr>
        <w:top w:val="none" w:sz="0" w:space="0" w:color="auto"/>
        <w:left w:val="none" w:sz="0" w:space="0" w:color="auto"/>
        <w:bottom w:val="none" w:sz="0" w:space="0" w:color="auto"/>
        <w:right w:val="none" w:sz="0" w:space="0" w:color="auto"/>
      </w:divBdr>
    </w:div>
    <w:div w:id="824779897">
      <w:bodyDiv w:val="1"/>
      <w:marLeft w:val="0"/>
      <w:marRight w:val="0"/>
      <w:marTop w:val="0"/>
      <w:marBottom w:val="0"/>
      <w:divBdr>
        <w:top w:val="none" w:sz="0" w:space="0" w:color="auto"/>
        <w:left w:val="none" w:sz="0" w:space="0" w:color="auto"/>
        <w:bottom w:val="none" w:sz="0" w:space="0" w:color="auto"/>
        <w:right w:val="none" w:sz="0" w:space="0" w:color="auto"/>
      </w:divBdr>
    </w:div>
    <w:div w:id="894511864">
      <w:bodyDiv w:val="1"/>
      <w:marLeft w:val="0"/>
      <w:marRight w:val="0"/>
      <w:marTop w:val="0"/>
      <w:marBottom w:val="0"/>
      <w:divBdr>
        <w:top w:val="none" w:sz="0" w:space="0" w:color="auto"/>
        <w:left w:val="none" w:sz="0" w:space="0" w:color="auto"/>
        <w:bottom w:val="none" w:sz="0" w:space="0" w:color="auto"/>
        <w:right w:val="none" w:sz="0" w:space="0" w:color="auto"/>
      </w:divBdr>
    </w:div>
    <w:div w:id="1027678263">
      <w:bodyDiv w:val="1"/>
      <w:marLeft w:val="0"/>
      <w:marRight w:val="0"/>
      <w:marTop w:val="0"/>
      <w:marBottom w:val="0"/>
      <w:divBdr>
        <w:top w:val="none" w:sz="0" w:space="0" w:color="auto"/>
        <w:left w:val="none" w:sz="0" w:space="0" w:color="auto"/>
        <w:bottom w:val="none" w:sz="0" w:space="0" w:color="auto"/>
        <w:right w:val="none" w:sz="0" w:space="0" w:color="auto"/>
      </w:divBdr>
    </w:div>
    <w:div w:id="1056054492">
      <w:bodyDiv w:val="1"/>
      <w:marLeft w:val="0"/>
      <w:marRight w:val="0"/>
      <w:marTop w:val="0"/>
      <w:marBottom w:val="0"/>
      <w:divBdr>
        <w:top w:val="none" w:sz="0" w:space="0" w:color="auto"/>
        <w:left w:val="none" w:sz="0" w:space="0" w:color="auto"/>
        <w:bottom w:val="none" w:sz="0" w:space="0" w:color="auto"/>
        <w:right w:val="none" w:sz="0" w:space="0" w:color="auto"/>
      </w:divBdr>
    </w:div>
    <w:div w:id="1099988431">
      <w:bodyDiv w:val="1"/>
      <w:marLeft w:val="0"/>
      <w:marRight w:val="0"/>
      <w:marTop w:val="0"/>
      <w:marBottom w:val="0"/>
      <w:divBdr>
        <w:top w:val="none" w:sz="0" w:space="0" w:color="auto"/>
        <w:left w:val="none" w:sz="0" w:space="0" w:color="auto"/>
        <w:bottom w:val="none" w:sz="0" w:space="0" w:color="auto"/>
        <w:right w:val="none" w:sz="0" w:space="0" w:color="auto"/>
      </w:divBdr>
    </w:div>
    <w:div w:id="1163202059">
      <w:bodyDiv w:val="1"/>
      <w:marLeft w:val="0"/>
      <w:marRight w:val="0"/>
      <w:marTop w:val="0"/>
      <w:marBottom w:val="0"/>
      <w:divBdr>
        <w:top w:val="none" w:sz="0" w:space="0" w:color="auto"/>
        <w:left w:val="none" w:sz="0" w:space="0" w:color="auto"/>
        <w:bottom w:val="none" w:sz="0" w:space="0" w:color="auto"/>
        <w:right w:val="none" w:sz="0" w:space="0" w:color="auto"/>
      </w:divBdr>
    </w:div>
    <w:div w:id="1767579734">
      <w:bodyDiv w:val="1"/>
      <w:marLeft w:val="0"/>
      <w:marRight w:val="0"/>
      <w:marTop w:val="0"/>
      <w:marBottom w:val="0"/>
      <w:divBdr>
        <w:top w:val="none" w:sz="0" w:space="0" w:color="auto"/>
        <w:left w:val="none" w:sz="0" w:space="0" w:color="auto"/>
        <w:bottom w:val="none" w:sz="0" w:space="0" w:color="auto"/>
        <w:right w:val="none" w:sz="0" w:space="0" w:color="auto"/>
      </w:divBdr>
    </w:div>
    <w:div w:id="1807626163">
      <w:bodyDiv w:val="1"/>
      <w:marLeft w:val="0"/>
      <w:marRight w:val="0"/>
      <w:marTop w:val="0"/>
      <w:marBottom w:val="0"/>
      <w:divBdr>
        <w:top w:val="none" w:sz="0" w:space="0" w:color="auto"/>
        <w:left w:val="none" w:sz="0" w:space="0" w:color="auto"/>
        <w:bottom w:val="none" w:sz="0" w:space="0" w:color="auto"/>
        <w:right w:val="none" w:sz="0" w:space="0" w:color="auto"/>
      </w:divBdr>
    </w:div>
    <w:div w:id="1993363017">
      <w:bodyDiv w:val="1"/>
      <w:marLeft w:val="0"/>
      <w:marRight w:val="0"/>
      <w:marTop w:val="0"/>
      <w:marBottom w:val="0"/>
      <w:divBdr>
        <w:top w:val="none" w:sz="0" w:space="0" w:color="auto"/>
        <w:left w:val="none" w:sz="0" w:space="0" w:color="auto"/>
        <w:bottom w:val="none" w:sz="0" w:space="0" w:color="auto"/>
        <w:right w:val="none" w:sz="0" w:space="0" w:color="auto"/>
      </w:divBdr>
    </w:div>
    <w:div w:id="2060086671">
      <w:bodyDiv w:val="1"/>
      <w:marLeft w:val="0"/>
      <w:marRight w:val="0"/>
      <w:marTop w:val="0"/>
      <w:marBottom w:val="0"/>
      <w:divBdr>
        <w:top w:val="none" w:sz="0" w:space="0" w:color="auto"/>
        <w:left w:val="none" w:sz="0" w:space="0" w:color="auto"/>
        <w:bottom w:val="none" w:sz="0" w:space="0" w:color="auto"/>
        <w:right w:val="none" w:sz="0" w:space="0" w:color="auto"/>
      </w:divBdr>
    </w:div>
    <w:div w:id="206182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S20-CL-C-0053/en" TargetMode="External"/><Relationship Id="rId18" Type="http://schemas.openxmlformats.org/officeDocument/2006/relationships/hyperlink" Target="https://www.itu.int/md/S21-CL-C-0049/e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itu.int/pub/S-CONF-ACTF" TargetMode="External"/><Relationship Id="rId17" Type="http://schemas.openxmlformats.org/officeDocument/2006/relationships/hyperlink" Target="https://www.itu.int/en/general-secretariat/ties/Pages/ISCG-documents.aspx"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itu.int/md/S21-RCLCWGLANG11-C-0005/en" TargetMode="External"/><Relationship Id="rId20" Type="http://schemas.openxmlformats.org/officeDocument/2006/relationships/hyperlink" Target="https://www.itu.int/md/S20-CL-C-0053/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S21-CWGFHR12-C-0017/en"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echradar.com/news/united-nations-suffers-major-data-brea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S21-CWGFHR12-C-0003/en" TargetMode="External"/><Relationship Id="rId22" Type="http://schemas.openxmlformats.org/officeDocument/2006/relationships/hyperlink" Target="https://youtu.be/e3J3JVChBZ0"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51D10B4CCC443ABCBAD5EC0D62289" ma:contentTypeVersion="13" ma:contentTypeDescription="Create a new document." ma:contentTypeScope="" ma:versionID="d0ab94a6e7f3358e4f50977b2e165287">
  <xsd:schema xmlns:xsd="http://www.w3.org/2001/XMLSchema" xmlns:xs="http://www.w3.org/2001/XMLSchema" xmlns:p="http://schemas.microsoft.com/office/2006/metadata/properties" xmlns:ns2="5a6723c9-8ebb-4a9c-a5e7-f977989cb01d" xmlns:ns3="7c837d80-3145-4384-b03c-264de863f126" targetNamespace="http://schemas.microsoft.com/office/2006/metadata/properties" ma:root="true" ma:fieldsID="740a55e14eb0cbebc9777ccf67f60c2e" ns2:_="" ns3:_="">
    <xsd:import namespace="5a6723c9-8ebb-4a9c-a5e7-f977989cb01d"/>
    <xsd:import namespace="7c837d80-3145-4384-b03c-264de863f126"/>
    <xsd:element name="properties">
      <xsd:complexType>
        <xsd:sequence>
          <xsd:element name="documentManagement">
            <xsd:complexType>
              <xsd:all>
                <xsd:element ref="ns2:Date"/>
                <xsd:element ref="ns2:leiw"/>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723c9-8ebb-4a9c-a5e7-f977989cb01d" elementFormDefault="qualified">
    <xsd:import namespace="http://schemas.microsoft.com/office/2006/documentManagement/types"/>
    <xsd:import namespace="http://schemas.microsoft.com/office/infopath/2007/PartnerControls"/>
    <xsd:element name="Date" ma:index="8" ma:displayName="Date" ma:default="[today]" ma:format="DateOnly" ma:internalName="Date">
      <xsd:simpleType>
        <xsd:restriction base="dms:DateTime"/>
      </xsd:simpleType>
    </xsd:element>
    <xsd:element name="leiw" ma:index="9" ma:displayName="Date" ma:default="[today]" ma:format="DateOnly" ma:internalName="leiw">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37d80-3145-4384-b03c-264de863f12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5a6723c9-8ebb-4a9c-a5e7-f977989cb01d">2021-04-14T09:29:24+00:00</Date>
    <leiw xmlns="5a6723c9-8ebb-4a9c-a5e7-f977989cb01d">2021-04-14T09:29:24+00:00</lei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025E0C-98CA-40C0-B283-A287592A9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723c9-8ebb-4a9c-a5e7-f977989cb01d"/>
    <ds:schemaRef ds:uri="7c837d80-3145-4384-b03c-264de863f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01D77-2BEF-41D8-8C60-3B093A5B9DBA}">
  <ds:schemaRefs>
    <ds:schemaRef ds:uri="http://purl.org/dc/elements/1.1/"/>
    <ds:schemaRef ds:uri="5a6723c9-8ebb-4a9c-a5e7-f977989cb01d"/>
    <ds:schemaRef ds:uri="http://schemas.microsoft.com/office/infopath/2007/PartnerControls"/>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7c837d80-3145-4384-b03c-264de863f126"/>
    <ds:schemaRef ds:uri="http://purl.org/dc/terms/"/>
  </ds:schemaRefs>
</ds:datastoreItem>
</file>

<file path=customXml/itemProps3.xml><?xml version="1.0" encoding="utf-8"?>
<ds:datastoreItem xmlns:ds="http://schemas.openxmlformats.org/officeDocument/2006/customXml" ds:itemID="{4BE2CDEF-6FD1-4C48-B651-1592A78C658B}">
  <ds:schemaRefs>
    <ds:schemaRef ds:uri="http://schemas.openxmlformats.org/officeDocument/2006/bibliography"/>
  </ds:schemaRefs>
</ds:datastoreItem>
</file>

<file path=customXml/itemProps4.xml><?xml version="1.0" encoding="utf-8"?>
<ds:datastoreItem xmlns:ds="http://schemas.openxmlformats.org/officeDocument/2006/customXml" ds:itemID="{5F91D817-9F98-49C2-A7D8-0D2D6868C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843</Words>
  <Characters>6015</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Business continuity - New ITU website</vt:lpstr>
    </vt:vector>
  </TitlesOfParts>
  <Manager>General Secretariat - Pool</Manager>
  <Company>International Telecommunication Union (ITU)</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continuity - New ITU website</dc:title>
  <dc:subject>Council 2021, Virtual consultation of councillors</dc:subject>
  <dc:creator>Brouard, Ricarda</dc:creator>
  <cp:keywords>C2021, C21, VCC, C21-VCC-1</cp:keywords>
  <dc:description/>
  <cp:lastModifiedBy>Xue, Kun</cp:lastModifiedBy>
  <cp:revision>8</cp:revision>
  <cp:lastPrinted>2000-07-18T13:30:00Z</cp:lastPrinted>
  <dcterms:created xsi:type="dcterms:W3CDTF">2021-04-16T15:05:00Z</dcterms:created>
  <dcterms:modified xsi:type="dcterms:W3CDTF">2021-05-06T09:13:00Z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0x010100D4B51D10B4CCC443ABCBAD5EC0D62289</vt:lpwstr>
  </property>
</Properties>
</file>