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r w:rsidRPr="001C3B64">
              <w:rPr>
                <w:b/>
                <w:bCs/>
                <w:position w:val="6"/>
                <w:sz w:val="30"/>
                <w:szCs w:val="30"/>
                <w:lang w:val="en-US"/>
              </w:rPr>
              <w:t>C</w:t>
            </w:r>
            <w:r w:rsidR="009F66A3" w:rsidRPr="001C3B64">
              <w:rPr>
                <w:b/>
                <w:bCs/>
                <w:position w:val="6"/>
                <w:sz w:val="30"/>
                <w:szCs w:val="30"/>
                <w:lang w:val="en-US"/>
              </w:rPr>
              <w:t>ouncil 202</w:t>
            </w:r>
            <w:r w:rsidR="00F56668" w:rsidRPr="001C3B64">
              <w:rPr>
                <w:b/>
                <w:bCs/>
                <w:position w:val="6"/>
                <w:sz w:val="30"/>
                <w:szCs w:val="30"/>
                <w:lang w:val="en-US"/>
              </w:rPr>
              <w:t>1</w:t>
            </w:r>
            <w:r w:rsidR="00F56668" w:rsidRPr="001C3B64">
              <w:rPr>
                <w:b/>
                <w:bCs/>
                <w:position w:val="6"/>
                <w:sz w:val="30"/>
                <w:szCs w:val="30"/>
                <w:lang w:val="en-US"/>
              </w:rPr>
              <w:br/>
            </w:r>
            <w:r w:rsidR="00EA2120" w:rsidRPr="001C3B64">
              <w:rPr>
                <w:b/>
                <w:bCs/>
                <w:position w:val="6"/>
                <w:sz w:val="28"/>
                <w:szCs w:val="28"/>
                <w:lang w:val="en-US"/>
              </w:rPr>
              <w:t>Virtual consultation of councillors</w:t>
            </w:r>
            <w:r w:rsidR="00F56668" w:rsidRPr="001C3B64">
              <w:rPr>
                <w:b/>
                <w:bCs/>
                <w:position w:val="6"/>
                <w:sz w:val="28"/>
                <w:szCs w:val="28"/>
                <w:lang w:val="en-US"/>
              </w:rPr>
              <w:t>, 8-18 June 2021</w:t>
            </w:r>
          </w:p>
        </w:tc>
        <w:tc>
          <w:tcPr>
            <w:tcW w:w="3120" w:type="dxa"/>
            <w:vAlign w:val="center"/>
          </w:tcPr>
          <w:p w14:paraId="049BF09C" w14:textId="77777777" w:rsidR="002A2188" w:rsidRPr="00813E5E" w:rsidRDefault="009F66A3" w:rsidP="009F66A3">
            <w:pPr>
              <w:spacing w:before="0" w:line="240" w:lineRule="atLeast"/>
            </w:pPr>
            <w:bookmarkStart w:id="0" w:name="ditulogo"/>
            <w:bookmarkEnd w:id="0"/>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464B6C">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22C9147A" w14:textId="77777777" w:rsidR="002A2188" w:rsidRPr="00813E5E" w:rsidRDefault="002A2188" w:rsidP="00464B6C">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77777777" w:rsidR="002A2188" w:rsidRPr="00E85629" w:rsidRDefault="002A2188" w:rsidP="00464B6C">
            <w:pPr>
              <w:tabs>
                <w:tab w:val="left" w:pos="851"/>
              </w:tabs>
              <w:spacing w:line="240" w:lineRule="atLeast"/>
              <w:rPr>
                <w:b/>
              </w:rPr>
            </w:pPr>
            <w:bookmarkStart w:id="1" w:name="dmeeting" w:colFirst="0" w:colLast="0"/>
            <w:bookmarkStart w:id="2" w:name="dnum" w:colFirst="1" w:colLast="1"/>
          </w:p>
        </w:tc>
        <w:tc>
          <w:tcPr>
            <w:tcW w:w="3120" w:type="dxa"/>
          </w:tcPr>
          <w:p w14:paraId="1727AC2C" w14:textId="256FE842" w:rsidR="002A2188" w:rsidRPr="00E85629" w:rsidRDefault="009F66A3" w:rsidP="009F66A3">
            <w:pPr>
              <w:tabs>
                <w:tab w:val="left" w:pos="851"/>
              </w:tabs>
              <w:spacing w:before="0" w:line="240" w:lineRule="atLeast"/>
              <w:rPr>
                <w:b/>
              </w:rPr>
            </w:pPr>
            <w:r>
              <w:rPr>
                <w:b/>
              </w:rPr>
              <w:t>Document C2</w:t>
            </w:r>
            <w:r w:rsidR="00F56668">
              <w:rPr>
                <w:b/>
              </w:rPr>
              <w:t>1</w:t>
            </w:r>
            <w:r w:rsidR="002A2188">
              <w:rPr>
                <w:b/>
              </w:rPr>
              <w:t>/</w:t>
            </w:r>
            <w:r w:rsidR="000A300B">
              <w:rPr>
                <w:b/>
              </w:rPr>
              <w:t>INF/9</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3" w:name="ddate" w:colFirst="1" w:colLast="1"/>
            <w:bookmarkEnd w:id="1"/>
            <w:bookmarkEnd w:id="2"/>
          </w:p>
        </w:tc>
        <w:tc>
          <w:tcPr>
            <w:tcW w:w="3120" w:type="dxa"/>
          </w:tcPr>
          <w:p w14:paraId="257DEE08" w14:textId="4D4D8E70" w:rsidR="002A2188" w:rsidRPr="00E85629" w:rsidRDefault="00CA22F5" w:rsidP="009F66A3">
            <w:pPr>
              <w:tabs>
                <w:tab w:val="left" w:pos="993"/>
              </w:tabs>
              <w:spacing w:before="0"/>
              <w:rPr>
                <w:b/>
              </w:rPr>
            </w:pPr>
            <w:r>
              <w:rPr>
                <w:b/>
              </w:rPr>
              <w:t>12</w:t>
            </w:r>
            <w:r w:rsidR="001C3B64">
              <w:rPr>
                <w:b/>
              </w:rPr>
              <w:t xml:space="preserve"> </w:t>
            </w:r>
            <w:r w:rsidR="00002360">
              <w:rPr>
                <w:b/>
              </w:rPr>
              <w:t xml:space="preserve">April </w:t>
            </w:r>
            <w:r w:rsidR="002A2188">
              <w:rPr>
                <w:b/>
              </w:rPr>
              <w:t>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4" w:name="dorlang" w:colFirst="1" w:colLast="1"/>
            <w:bookmarkEnd w:id="3"/>
          </w:p>
        </w:tc>
        <w:tc>
          <w:tcPr>
            <w:tcW w:w="3120" w:type="dxa"/>
          </w:tcPr>
          <w:p w14:paraId="0DF1D05E" w14:textId="48C51314" w:rsidR="002A2188" w:rsidRPr="00E85629" w:rsidRDefault="00002360" w:rsidP="00464B6C">
            <w:pPr>
              <w:tabs>
                <w:tab w:val="left" w:pos="993"/>
              </w:tabs>
              <w:spacing w:before="0"/>
              <w:rPr>
                <w:b/>
              </w:rPr>
            </w:pPr>
            <w:r>
              <w:rPr>
                <w:b/>
              </w:rPr>
              <w:t>English only</w:t>
            </w:r>
          </w:p>
        </w:tc>
      </w:tr>
      <w:tr w:rsidR="001C3B64" w:rsidRPr="00813E5E" w14:paraId="46399271" w14:textId="77777777" w:rsidTr="00464B6C">
        <w:trPr>
          <w:cantSplit/>
        </w:trPr>
        <w:tc>
          <w:tcPr>
            <w:tcW w:w="10031" w:type="dxa"/>
            <w:gridSpan w:val="2"/>
          </w:tcPr>
          <w:p w14:paraId="18E28CA0" w14:textId="2BEA8580" w:rsidR="001C3B64" w:rsidRPr="00EA2120" w:rsidRDefault="001C3B64" w:rsidP="001C3B64">
            <w:pPr>
              <w:pStyle w:val="Title1"/>
            </w:pPr>
            <w:bookmarkStart w:id="5" w:name="dsource" w:colFirst="0" w:colLast="0"/>
            <w:bookmarkEnd w:id="4"/>
          </w:p>
        </w:tc>
      </w:tr>
      <w:tr w:rsidR="00002360" w:rsidRPr="00813E5E" w14:paraId="54D46F7C" w14:textId="77777777" w:rsidTr="00464B6C">
        <w:trPr>
          <w:cantSplit/>
        </w:trPr>
        <w:tc>
          <w:tcPr>
            <w:tcW w:w="10031" w:type="dxa"/>
            <w:gridSpan w:val="2"/>
          </w:tcPr>
          <w:p w14:paraId="3200694D" w14:textId="642C128E" w:rsidR="00002360" w:rsidRPr="00002360" w:rsidRDefault="00002360" w:rsidP="001C3B64">
            <w:pPr>
              <w:pStyle w:val="Title1"/>
              <w:rPr>
                <w:b/>
                <w:bCs/>
                <w:caps w:val="0"/>
              </w:rPr>
            </w:pPr>
            <w:r w:rsidRPr="00002360">
              <w:rPr>
                <w:rFonts w:asciiTheme="minorHAnsi" w:hAnsiTheme="minorHAnsi"/>
                <w:b/>
                <w:bCs/>
                <w:caps w:val="0"/>
              </w:rPr>
              <w:t>Note by the Secretary-General</w:t>
            </w:r>
          </w:p>
        </w:tc>
      </w:tr>
      <w:tr w:rsidR="00002360" w:rsidRPr="00813E5E" w14:paraId="73F317E2" w14:textId="77777777" w:rsidTr="00464B6C">
        <w:trPr>
          <w:cantSplit/>
        </w:trPr>
        <w:tc>
          <w:tcPr>
            <w:tcW w:w="10031" w:type="dxa"/>
            <w:gridSpan w:val="2"/>
          </w:tcPr>
          <w:p w14:paraId="29B3DB5C" w14:textId="447C279C" w:rsidR="00002360" w:rsidRPr="00813E5E" w:rsidRDefault="00002360" w:rsidP="00002360">
            <w:pPr>
              <w:pStyle w:val="Title1"/>
            </w:pPr>
            <w:bookmarkStart w:id="6" w:name="_Hlk69150050"/>
            <w:bookmarkStart w:id="7" w:name="dtitle1" w:colFirst="0" w:colLast="0"/>
            <w:bookmarkEnd w:id="5"/>
            <w:r>
              <w:t>ADDITIONAL INFORMATION ON THE UNFUNDED MANDATORY ACTIVITIES (UMAC</w:t>
            </w:r>
            <w:r w:rsidR="0055430A">
              <w:rPr>
                <w:caps w:val="0"/>
              </w:rPr>
              <w:t>s</w:t>
            </w:r>
            <w:r>
              <w:t>)</w:t>
            </w:r>
            <w:bookmarkEnd w:id="6"/>
          </w:p>
        </w:tc>
      </w:tr>
      <w:bookmarkEnd w:id="7"/>
    </w:tbl>
    <w:p w14:paraId="4FE8338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A0DE11E" w14:textId="77777777" w:rsidR="002A2188" w:rsidRPr="00CF5A9F" w:rsidRDefault="002A2188" w:rsidP="00B75CA0">
            <w:pPr>
              <w:pStyle w:val="Headingb"/>
              <w:tabs>
                <w:tab w:val="clear" w:pos="567"/>
                <w:tab w:val="left" w:pos="0"/>
              </w:tabs>
              <w:ind w:hanging="518"/>
              <w:rPr>
                <w:szCs w:val="24"/>
              </w:rPr>
            </w:pPr>
            <w:r w:rsidRPr="00CF5A9F">
              <w:rPr>
                <w:szCs w:val="24"/>
              </w:rPr>
              <w:t>Summary</w:t>
            </w:r>
          </w:p>
          <w:p w14:paraId="003BBBC6" w14:textId="3489C000" w:rsidR="001C3B64" w:rsidRDefault="000A300B" w:rsidP="001C3B64">
            <w:pPr>
              <w:keepNext/>
              <w:keepLines/>
              <w:spacing w:after="120"/>
              <w:ind w:left="49"/>
              <w:jc w:val="both"/>
              <w:outlineLvl w:val="0"/>
              <w:rPr>
                <w:szCs w:val="24"/>
              </w:rPr>
            </w:pPr>
            <w:r>
              <w:rPr>
                <w:szCs w:val="24"/>
              </w:rPr>
              <w:t xml:space="preserve">This document sets forth details on the Unfunded Mandatory Activities (UMACs) presented in </w:t>
            </w:r>
            <w:r w:rsidR="00C34D86">
              <w:rPr>
                <w:szCs w:val="24"/>
              </w:rPr>
              <w:t>T</w:t>
            </w:r>
            <w:r w:rsidR="00225DDD">
              <w:rPr>
                <w:szCs w:val="24"/>
              </w:rPr>
              <w:t xml:space="preserve">able 1 of </w:t>
            </w:r>
            <w:r w:rsidR="00B75CA0">
              <w:rPr>
                <w:szCs w:val="24"/>
              </w:rPr>
              <w:t>D</w:t>
            </w:r>
            <w:r>
              <w:rPr>
                <w:szCs w:val="24"/>
              </w:rPr>
              <w:t>ocument C21/49.</w:t>
            </w:r>
          </w:p>
          <w:p w14:paraId="145DFE4B" w14:textId="77777777" w:rsidR="002A2188" w:rsidRPr="00CF5A9F" w:rsidRDefault="002A2188" w:rsidP="00B75CA0">
            <w:pPr>
              <w:pStyle w:val="Headingb"/>
              <w:spacing w:before="120" w:after="120"/>
              <w:ind w:hanging="518"/>
              <w:rPr>
                <w:szCs w:val="24"/>
              </w:rPr>
            </w:pPr>
            <w:r w:rsidRPr="00CF5A9F">
              <w:rPr>
                <w:szCs w:val="24"/>
              </w:rPr>
              <w:t>Action required</w:t>
            </w:r>
          </w:p>
          <w:p w14:paraId="5094DB23" w14:textId="03689B93" w:rsidR="001C3B64" w:rsidRPr="003834E5" w:rsidRDefault="009C61E1" w:rsidP="00B75CA0">
            <w:pPr>
              <w:spacing w:after="120"/>
              <w:ind w:firstLine="49"/>
              <w:jc w:val="both"/>
              <w:rPr>
                <w:szCs w:val="24"/>
              </w:rPr>
            </w:pPr>
            <w:r w:rsidRPr="00A160E3">
              <w:rPr>
                <w:rFonts w:asciiTheme="minorHAnsi" w:hAnsiTheme="minorHAnsi"/>
                <w:szCs w:val="24"/>
              </w:rPr>
              <w:t xml:space="preserve"> This report is transmitted to </w:t>
            </w:r>
            <w:r>
              <w:rPr>
                <w:rFonts w:asciiTheme="minorHAnsi" w:hAnsiTheme="minorHAnsi"/>
                <w:szCs w:val="24"/>
              </w:rPr>
              <w:t xml:space="preserve">the </w:t>
            </w:r>
            <w:r w:rsidRPr="00A160E3">
              <w:rPr>
                <w:rFonts w:asciiTheme="minorHAnsi" w:hAnsiTheme="minorHAnsi"/>
                <w:szCs w:val="24"/>
              </w:rPr>
              <w:t xml:space="preserve">Council </w:t>
            </w:r>
            <w:r w:rsidRPr="00DF2C2F">
              <w:rPr>
                <w:rFonts w:asciiTheme="minorHAnsi" w:hAnsiTheme="minorHAnsi"/>
                <w:b/>
                <w:bCs/>
                <w:szCs w:val="24"/>
              </w:rPr>
              <w:t>for information</w:t>
            </w:r>
            <w:r w:rsidR="000A300B" w:rsidRPr="000A300B">
              <w:rPr>
                <w:szCs w:val="24"/>
              </w:rPr>
              <w:t>.</w:t>
            </w:r>
          </w:p>
          <w:p w14:paraId="74F1525E" w14:textId="719F4684" w:rsidR="002A2188" w:rsidRPr="001C3B64" w:rsidRDefault="0050490A" w:rsidP="0050490A">
            <w:pPr>
              <w:spacing w:after="120"/>
              <w:ind w:firstLine="49"/>
              <w:jc w:val="center"/>
              <w:rPr>
                <w:rFonts w:asciiTheme="minorHAnsi" w:hAnsiTheme="minorHAnsi"/>
                <w:szCs w:val="24"/>
              </w:rPr>
            </w:pPr>
            <w:r>
              <w:rPr>
                <w:rFonts w:asciiTheme="minorHAnsi" w:hAnsiTheme="minorHAnsi"/>
                <w:szCs w:val="24"/>
              </w:rPr>
              <w:t>_______________</w:t>
            </w:r>
          </w:p>
          <w:p w14:paraId="2124BADC" w14:textId="2105E7B6" w:rsidR="002A2188" w:rsidRPr="00CF5A9F" w:rsidRDefault="002A2188" w:rsidP="00B75CA0">
            <w:pPr>
              <w:pStyle w:val="Headingb"/>
              <w:spacing w:before="120" w:after="120"/>
              <w:ind w:hanging="518"/>
              <w:rPr>
                <w:szCs w:val="24"/>
              </w:rPr>
            </w:pPr>
            <w:r w:rsidRPr="00CF5A9F">
              <w:rPr>
                <w:szCs w:val="24"/>
              </w:rPr>
              <w:t>Reference</w:t>
            </w:r>
          </w:p>
          <w:p w14:paraId="2E0343C9" w14:textId="2C03F1F4" w:rsidR="002A2188" w:rsidRPr="00F85A7B" w:rsidRDefault="00FC627B" w:rsidP="00B75CA0">
            <w:pPr>
              <w:pStyle w:val="NoSpacing"/>
              <w:spacing w:before="120" w:after="120"/>
              <w:ind w:firstLine="49"/>
              <w:rPr>
                <w:sz w:val="24"/>
                <w:szCs w:val="24"/>
              </w:rPr>
            </w:pPr>
            <w:hyperlink r:id="rId12" w:history="1">
              <w:r w:rsidR="000A300B" w:rsidRPr="00F85A7B">
                <w:rPr>
                  <w:color w:val="0000FF"/>
                  <w:u w:val="single"/>
                </w:rPr>
                <w:t>C21/49</w:t>
              </w:r>
            </w:hyperlink>
            <w:r w:rsidRPr="00FC627B">
              <w:t xml:space="preserve">; </w:t>
            </w:r>
            <w:hyperlink r:id="rId13" w:history="1">
              <w:r>
                <w:rPr>
                  <w:rStyle w:val="Hyperlink"/>
                  <w:rFonts w:cs="Calibri"/>
                </w:rPr>
                <w:t>C21/INF/12</w:t>
              </w:r>
            </w:hyperlink>
          </w:p>
        </w:tc>
      </w:tr>
    </w:tbl>
    <w:p w14:paraId="53B795C9" w14:textId="77777777" w:rsidR="00C94C95" w:rsidRDefault="00C94C95">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8" w:name="dstart"/>
      <w:bookmarkStart w:id="9" w:name="dbreak"/>
      <w:bookmarkEnd w:id="8"/>
      <w:bookmarkEnd w:id="9"/>
      <w:r>
        <w:rPr>
          <w:lang w:val="en-US"/>
        </w:rPr>
        <w:br w:type="page"/>
      </w:r>
    </w:p>
    <w:p w14:paraId="77DBA48A" w14:textId="284A9533" w:rsidR="00CF134B" w:rsidRPr="00C90047" w:rsidRDefault="00225DDD" w:rsidP="0050490A">
      <w:pPr>
        <w:tabs>
          <w:tab w:val="clear" w:pos="567"/>
          <w:tab w:val="clear" w:pos="1134"/>
          <w:tab w:val="clear" w:pos="1701"/>
          <w:tab w:val="clear" w:pos="2268"/>
          <w:tab w:val="clear" w:pos="2835"/>
        </w:tabs>
        <w:overflowPunct/>
        <w:autoSpaceDE/>
        <w:autoSpaceDN/>
        <w:adjustRightInd/>
        <w:spacing w:after="120"/>
        <w:textAlignment w:val="auto"/>
        <w:rPr>
          <w:b/>
          <w:bCs/>
          <w:lang w:val="en-US"/>
        </w:rPr>
      </w:pPr>
      <w:r w:rsidRPr="00C90047">
        <w:rPr>
          <w:b/>
          <w:bCs/>
          <w:lang w:val="en-US"/>
        </w:rPr>
        <w:lastRenderedPageBreak/>
        <w:t xml:space="preserve">Description of the Unfunded Mandatory Activities (UMACs) for the 2021-2027 </w:t>
      </w:r>
      <w:proofErr w:type="gramStart"/>
      <w:r w:rsidRPr="00C90047">
        <w:rPr>
          <w:b/>
          <w:bCs/>
          <w:lang w:val="en-US"/>
        </w:rPr>
        <w:t>time</w:t>
      </w:r>
      <w:r w:rsidR="00286558">
        <w:rPr>
          <w:b/>
          <w:bCs/>
          <w:lang w:val="en-US"/>
        </w:rPr>
        <w:t>-</w:t>
      </w:r>
      <w:r w:rsidRPr="00C90047">
        <w:rPr>
          <w:b/>
          <w:bCs/>
          <w:lang w:val="en-US"/>
        </w:rPr>
        <w:t>frame</w:t>
      </w:r>
      <w:proofErr w:type="gramEnd"/>
    </w:p>
    <w:p w14:paraId="167B25A3" w14:textId="26C97DE7" w:rsidR="00225DDD" w:rsidRPr="00C94C95" w:rsidRDefault="00225DDD" w:rsidP="0050490A">
      <w:pPr>
        <w:tabs>
          <w:tab w:val="clear" w:pos="567"/>
          <w:tab w:val="clear" w:pos="1134"/>
          <w:tab w:val="clear" w:pos="1701"/>
          <w:tab w:val="clear" w:pos="2268"/>
          <w:tab w:val="clear" w:pos="2835"/>
        </w:tabs>
        <w:overflowPunct/>
        <w:autoSpaceDE/>
        <w:autoSpaceDN/>
        <w:adjustRightInd/>
        <w:spacing w:before="360" w:after="120"/>
        <w:textAlignment w:val="auto"/>
        <w:rPr>
          <w:rFonts w:asciiTheme="minorHAnsi" w:hAnsiTheme="minorHAnsi" w:cstheme="minorHAnsi"/>
          <w:b/>
          <w:bCs/>
          <w:color w:val="1F497D" w:themeColor="text2"/>
          <w:szCs w:val="24"/>
        </w:rPr>
      </w:pPr>
      <w:r w:rsidRPr="00C94C95">
        <w:rPr>
          <w:b/>
          <w:bCs/>
          <w:color w:val="1F497D" w:themeColor="text2"/>
          <w:lang w:val="en-US"/>
        </w:rPr>
        <w:t>A</w:t>
      </w:r>
      <w:r w:rsidRPr="00C94C95">
        <w:rPr>
          <w:color w:val="1F497D" w:themeColor="text2"/>
          <w:lang w:val="en-US"/>
        </w:rPr>
        <w:tab/>
      </w:r>
      <w:r w:rsidRPr="00C94C95">
        <w:rPr>
          <w:rFonts w:asciiTheme="minorHAnsi" w:hAnsiTheme="minorHAnsi" w:cstheme="minorHAnsi"/>
          <w:b/>
          <w:bCs/>
          <w:color w:val="1F497D" w:themeColor="text2"/>
          <w:szCs w:val="24"/>
        </w:rPr>
        <w:t>Business continuity – Information Management</w:t>
      </w:r>
    </w:p>
    <w:p w14:paraId="153112F4" w14:textId="5F25035C" w:rsidR="00F71FC1" w:rsidRPr="00A56F82" w:rsidRDefault="00225DDD" w:rsidP="00AC3E1C">
      <w:pPr>
        <w:spacing w:after="120"/>
        <w:jc w:val="both"/>
        <w:rPr>
          <w:rFonts w:asciiTheme="minorHAnsi" w:hAnsiTheme="minorHAnsi" w:cstheme="minorHAnsi"/>
          <w:szCs w:val="24"/>
        </w:rPr>
      </w:pPr>
      <w:r w:rsidRPr="00A56F82">
        <w:rPr>
          <w:rFonts w:asciiTheme="minorHAnsi" w:hAnsiTheme="minorHAnsi" w:cstheme="minorHAnsi"/>
          <w:szCs w:val="24"/>
        </w:rPr>
        <w:t xml:space="preserve">During VCC-2, several </w:t>
      </w:r>
      <w:r w:rsidR="007464F7">
        <w:rPr>
          <w:rFonts w:asciiTheme="minorHAnsi" w:hAnsiTheme="minorHAnsi" w:cstheme="minorHAnsi"/>
          <w:szCs w:val="24"/>
        </w:rPr>
        <w:t>c</w:t>
      </w:r>
      <w:r w:rsidRPr="00A56F82">
        <w:rPr>
          <w:rFonts w:asciiTheme="minorHAnsi" w:hAnsiTheme="minorHAnsi" w:cstheme="minorHAnsi"/>
          <w:szCs w:val="24"/>
        </w:rPr>
        <w:t>ouncillors supported, in principle, the proposals for investment in three areas</w:t>
      </w:r>
      <w:r w:rsidR="007464F7">
        <w:rPr>
          <w:rFonts w:asciiTheme="minorHAnsi" w:hAnsiTheme="minorHAnsi" w:cstheme="minorHAnsi"/>
          <w:szCs w:val="24"/>
        </w:rPr>
        <w:t xml:space="preserve">: </w:t>
      </w:r>
      <w:r w:rsidRPr="00A56F82">
        <w:rPr>
          <w:rFonts w:asciiTheme="minorHAnsi" w:hAnsiTheme="minorHAnsi" w:cstheme="minorHAnsi"/>
          <w:szCs w:val="24"/>
        </w:rPr>
        <w:t>information and records management, ITU working tools of the Union</w:t>
      </w:r>
      <w:r w:rsidR="00286558">
        <w:rPr>
          <w:rFonts w:asciiTheme="minorHAnsi" w:hAnsiTheme="minorHAnsi" w:cstheme="minorHAnsi"/>
          <w:szCs w:val="24"/>
        </w:rPr>
        <w:t>,</w:t>
      </w:r>
      <w:r w:rsidRPr="00A56F82">
        <w:rPr>
          <w:rFonts w:asciiTheme="minorHAnsi" w:hAnsiTheme="minorHAnsi" w:cstheme="minorHAnsi"/>
          <w:szCs w:val="24"/>
        </w:rPr>
        <w:t xml:space="preserve"> and </w:t>
      </w:r>
      <w:r w:rsidR="00286558">
        <w:rPr>
          <w:rFonts w:asciiTheme="minorHAnsi" w:hAnsiTheme="minorHAnsi" w:cstheme="minorHAnsi"/>
          <w:szCs w:val="24"/>
        </w:rPr>
        <w:t xml:space="preserve">the </w:t>
      </w:r>
      <w:r w:rsidRPr="00A56F82">
        <w:rPr>
          <w:rFonts w:asciiTheme="minorHAnsi" w:hAnsiTheme="minorHAnsi" w:cstheme="minorHAnsi"/>
          <w:szCs w:val="24"/>
        </w:rPr>
        <w:t>ITU website</w:t>
      </w:r>
      <w:r w:rsidR="007464F7">
        <w:rPr>
          <w:rFonts w:asciiTheme="minorHAnsi" w:hAnsiTheme="minorHAnsi" w:cstheme="minorHAnsi"/>
          <w:szCs w:val="24"/>
        </w:rPr>
        <w:t xml:space="preserve"> (see </w:t>
      </w:r>
      <w:r w:rsidRPr="00A56F82">
        <w:rPr>
          <w:rFonts w:asciiTheme="minorHAnsi" w:hAnsiTheme="minorHAnsi" w:cstheme="minorHAnsi"/>
          <w:szCs w:val="24"/>
        </w:rPr>
        <w:t xml:space="preserve">document </w:t>
      </w:r>
      <w:hyperlink r:id="rId14">
        <w:r w:rsidRPr="00C90047">
          <w:rPr>
            <w:rStyle w:val="Hyperlink"/>
            <w:rFonts w:asciiTheme="minorHAnsi" w:hAnsiTheme="minorHAnsi" w:cstheme="minorHAnsi"/>
            <w:szCs w:val="24"/>
          </w:rPr>
          <w:t>C20/53</w:t>
        </w:r>
      </w:hyperlink>
      <w:r w:rsidR="007464F7">
        <w:rPr>
          <w:rStyle w:val="Hyperlink"/>
          <w:rFonts w:asciiTheme="minorHAnsi" w:hAnsiTheme="minorHAnsi" w:cstheme="minorHAnsi"/>
          <w:szCs w:val="24"/>
        </w:rPr>
        <w:t>)</w:t>
      </w:r>
      <w:r w:rsidR="00C90047">
        <w:rPr>
          <w:rStyle w:val="Hyperlink"/>
          <w:rFonts w:asciiTheme="minorHAnsi" w:hAnsiTheme="minorHAnsi" w:cstheme="minorHAnsi"/>
          <w:szCs w:val="24"/>
          <w:u w:val="none"/>
        </w:rPr>
        <w:t>.</w:t>
      </w:r>
      <w:r w:rsidR="00C90047" w:rsidRPr="007464F7">
        <w:rPr>
          <w:rStyle w:val="Hyperlink"/>
          <w:rFonts w:asciiTheme="minorHAnsi" w:hAnsiTheme="minorHAnsi" w:cstheme="minorHAnsi"/>
          <w:color w:val="auto"/>
          <w:szCs w:val="24"/>
          <w:u w:val="none"/>
        </w:rPr>
        <w:t xml:space="preserve"> </w:t>
      </w:r>
      <w:r w:rsidR="00F71FC1" w:rsidRPr="00C90047">
        <w:rPr>
          <w:rFonts w:asciiTheme="minorHAnsi" w:hAnsiTheme="minorHAnsi" w:cstheme="minorHAnsi"/>
          <w:szCs w:val="24"/>
        </w:rPr>
        <w:t>The</w:t>
      </w:r>
      <w:r w:rsidR="00F71FC1" w:rsidRPr="00A56F82">
        <w:rPr>
          <w:rFonts w:asciiTheme="minorHAnsi" w:hAnsiTheme="minorHAnsi" w:cstheme="minorHAnsi"/>
          <w:szCs w:val="24"/>
        </w:rPr>
        <w:t xml:space="preserve"> detail</w:t>
      </w:r>
      <w:r w:rsidR="007464F7">
        <w:rPr>
          <w:rFonts w:asciiTheme="minorHAnsi" w:hAnsiTheme="minorHAnsi" w:cstheme="minorHAnsi"/>
          <w:szCs w:val="24"/>
        </w:rPr>
        <w:t>s</w:t>
      </w:r>
      <w:r w:rsidR="00F71FC1" w:rsidRPr="00A56F82">
        <w:rPr>
          <w:rFonts w:asciiTheme="minorHAnsi" w:hAnsiTheme="minorHAnsi" w:cstheme="minorHAnsi"/>
          <w:szCs w:val="24"/>
        </w:rPr>
        <w:t xml:space="preserve"> of each project c</w:t>
      </w:r>
      <w:r w:rsidR="007464F7">
        <w:rPr>
          <w:rFonts w:asciiTheme="minorHAnsi" w:hAnsiTheme="minorHAnsi" w:cstheme="minorHAnsi"/>
          <w:szCs w:val="24"/>
        </w:rPr>
        <w:t>an</w:t>
      </w:r>
      <w:r w:rsidR="00F71FC1" w:rsidRPr="00A56F82">
        <w:rPr>
          <w:rFonts w:asciiTheme="minorHAnsi" w:hAnsiTheme="minorHAnsi" w:cstheme="minorHAnsi"/>
          <w:szCs w:val="24"/>
        </w:rPr>
        <w:t xml:space="preserve"> be found t</w:t>
      </w:r>
      <w:r w:rsidR="00286558">
        <w:rPr>
          <w:rFonts w:asciiTheme="minorHAnsi" w:hAnsiTheme="minorHAnsi" w:cstheme="minorHAnsi"/>
          <w:szCs w:val="24"/>
        </w:rPr>
        <w:t>h</w:t>
      </w:r>
      <w:r w:rsidR="00F71FC1" w:rsidRPr="00A56F82">
        <w:rPr>
          <w:rFonts w:asciiTheme="minorHAnsi" w:hAnsiTheme="minorHAnsi" w:cstheme="minorHAnsi"/>
          <w:szCs w:val="24"/>
        </w:rPr>
        <w:t xml:space="preserve">rough this link </w:t>
      </w:r>
      <w:r w:rsidR="00F71FC1" w:rsidRPr="007464F7">
        <w:rPr>
          <w:rFonts w:asciiTheme="minorHAnsi" w:hAnsiTheme="minorHAnsi" w:cstheme="minorHAnsi"/>
          <w:szCs w:val="24"/>
        </w:rPr>
        <w:t>(</w:t>
      </w:r>
      <w:hyperlink r:id="rId15" w:history="1">
        <w:r w:rsidR="00F71FC1" w:rsidRPr="007464F7">
          <w:rPr>
            <w:rStyle w:val="Hyperlink"/>
            <w:rFonts w:asciiTheme="minorHAnsi" w:hAnsiTheme="minorHAnsi" w:cstheme="minorHAnsi"/>
            <w:szCs w:val="24"/>
          </w:rPr>
          <w:t>CWG-FHR 12/3</w:t>
        </w:r>
      </w:hyperlink>
      <w:r w:rsidR="00F71FC1">
        <w:rPr>
          <w:rFonts w:asciiTheme="minorHAnsi" w:hAnsiTheme="minorHAnsi" w:cstheme="minorHAnsi"/>
          <w:szCs w:val="24"/>
        </w:rPr>
        <w:t>)</w:t>
      </w:r>
      <w:r w:rsidR="0091707D">
        <w:rPr>
          <w:rFonts w:asciiTheme="minorHAnsi" w:hAnsiTheme="minorHAnsi" w:cstheme="minorHAnsi"/>
          <w:szCs w:val="24"/>
        </w:rPr>
        <w:t>.</w:t>
      </w:r>
    </w:p>
    <w:p w14:paraId="6AFBE229" w14:textId="504AA0B7" w:rsidR="00225DDD" w:rsidRDefault="00225DDD"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bCs/>
          <w:szCs w:val="24"/>
        </w:rPr>
      </w:pPr>
      <w:r w:rsidRPr="00A56F82">
        <w:rPr>
          <w:rFonts w:asciiTheme="minorHAnsi" w:hAnsiTheme="minorHAnsi" w:cstheme="minorHAnsi"/>
          <w:szCs w:val="24"/>
        </w:rPr>
        <w:t>The over-arching goal of all three projects is effective business continuity, by investing in mitigating risks, reducing the cost and impact of disruptions</w:t>
      </w:r>
      <w:r w:rsidR="00286558">
        <w:rPr>
          <w:rFonts w:asciiTheme="minorHAnsi" w:hAnsiTheme="minorHAnsi" w:cstheme="minorHAnsi"/>
          <w:szCs w:val="24"/>
        </w:rPr>
        <w:t>,</w:t>
      </w:r>
      <w:r w:rsidRPr="00A56F82">
        <w:rPr>
          <w:rFonts w:asciiTheme="minorHAnsi" w:hAnsiTheme="minorHAnsi" w:cstheme="minorHAnsi"/>
          <w:szCs w:val="24"/>
        </w:rPr>
        <w:t xml:space="preserve"> and ensuring confidence and trust in ITU and new working methods, even more urgent in the light of the Covid-19 pandemic</w:t>
      </w:r>
      <w:r>
        <w:rPr>
          <w:rFonts w:asciiTheme="minorHAnsi" w:hAnsiTheme="minorHAnsi" w:cstheme="minorHAnsi"/>
          <w:szCs w:val="24"/>
        </w:rPr>
        <w:t>.</w:t>
      </w:r>
    </w:p>
    <w:p w14:paraId="0BE0C567" w14:textId="2E86E861" w:rsidR="00225DDD" w:rsidRPr="00C94C95" w:rsidRDefault="00225DDD" w:rsidP="0050490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color w:val="1F497D" w:themeColor="text2"/>
          <w:szCs w:val="24"/>
        </w:rPr>
      </w:pPr>
      <w:r w:rsidRPr="00C94C95">
        <w:rPr>
          <w:rFonts w:asciiTheme="minorHAnsi" w:hAnsiTheme="minorHAnsi" w:cstheme="minorHAnsi"/>
          <w:color w:val="1F497D" w:themeColor="text2"/>
          <w:szCs w:val="24"/>
        </w:rPr>
        <w:t>A-1</w:t>
      </w:r>
      <w:r w:rsidRPr="00C94C95">
        <w:rPr>
          <w:rFonts w:asciiTheme="minorHAnsi" w:hAnsiTheme="minorHAnsi" w:cstheme="minorHAnsi"/>
          <w:color w:val="1F497D" w:themeColor="text2"/>
          <w:szCs w:val="24"/>
        </w:rPr>
        <w:tab/>
        <w:t>Information and record management</w:t>
      </w:r>
    </w:p>
    <w:p w14:paraId="2871C31F" w14:textId="63C90E99" w:rsidR="00225DDD" w:rsidRPr="00225DDD" w:rsidRDefault="00225DDD" w:rsidP="00AC3E1C">
      <w:pPr>
        <w:spacing w:after="120"/>
        <w:jc w:val="both"/>
        <w:rPr>
          <w:rFonts w:cstheme="minorHAnsi"/>
          <w:szCs w:val="24"/>
        </w:rPr>
      </w:pPr>
      <w:r w:rsidRPr="00225DDD">
        <w:rPr>
          <w:rFonts w:cstheme="minorHAnsi"/>
          <w:szCs w:val="24"/>
        </w:rPr>
        <w:t xml:space="preserve">Preparation of the Tower and </w:t>
      </w:r>
      <w:proofErr w:type="spellStart"/>
      <w:r w:rsidRPr="00225DDD">
        <w:rPr>
          <w:rFonts w:cstheme="minorHAnsi"/>
          <w:szCs w:val="24"/>
        </w:rPr>
        <w:t>Montbrillant</w:t>
      </w:r>
      <w:proofErr w:type="spellEnd"/>
      <w:r w:rsidRPr="00225DDD">
        <w:rPr>
          <w:rFonts w:cstheme="minorHAnsi"/>
          <w:szCs w:val="24"/>
        </w:rPr>
        <w:t xml:space="preserve"> buildings for the relocation of staff will need to begin in 2021 and may have to take into consideration social distancing requirements and support for teleworking</w:t>
      </w:r>
      <w:r>
        <w:rPr>
          <w:rFonts w:cstheme="minorHAnsi"/>
          <w:szCs w:val="24"/>
        </w:rPr>
        <w:t>.</w:t>
      </w:r>
      <w:r w:rsidRPr="00225DDD">
        <w:rPr>
          <w:rFonts w:cstheme="minorHAnsi"/>
          <w:szCs w:val="24"/>
        </w:rPr>
        <w:t xml:space="preserve"> </w:t>
      </w:r>
      <w:r>
        <w:rPr>
          <w:rFonts w:cstheme="minorHAnsi"/>
          <w:szCs w:val="24"/>
        </w:rPr>
        <w:t>This course of action</w:t>
      </w:r>
      <w:r w:rsidR="00286558" w:rsidRPr="00286558">
        <w:rPr>
          <w:rFonts w:cstheme="minorHAnsi"/>
          <w:szCs w:val="24"/>
        </w:rPr>
        <w:t xml:space="preserve"> </w:t>
      </w:r>
      <w:r w:rsidR="00286558" w:rsidRPr="00225DDD">
        <w:rPr>
          <w:rFonts w:cstheme="minorHAnsi"/>
          <w:szCs w:val="24"/>
        </w:rPr>
        <w:t>directly</w:t>
      </w:r>
      <w:r w:rsidRPr="00225DDD">
        <w:rPr>
          <w:rFonts w:cstheme="minorHAnsi"/>
          <w:szCs w:val="24"/>
        </w:rPr>
        <w:t xml:space="preserve"> impacts the initial plans for information management and safeguarding information collections (</w:t>
      </w:r>
      <w:proofErr w:type="gramStart"/>
      <w:r w:rsidRPr="00225DDD">
        <w:rPr>
          <w:rFonts w:cstheme="minorHAnsi"/>
          <w:szCs w:val="24"/>
        </w:rPr>
        <w:t>e.g.</w:t>
      </w:r>
      <w:proofErr w:type="gramEnd"/>
      <w:r w:rsidRPr="00225DDD">
        <w:rPr>
          <w:rFonts w:cstheme="minorHAnsi"/>
          <w:szCs w:val="24"/>
        </w:rPr>
        <w:t xml:space="preserve"> limited space for physical archives) and the number of staff that can be relocated to the two buildings. This was not foreseen in </w:t>
      </w:r>
      <w:r w:rsidR="007464F7">
        <w:rPr>
          <w:rFonts w:cstheme="minorHAnsi"/>
          <w:szCs w:val="24"/>
        </w:rPr>
        <w:t xml:space="preserve">Document </w:t>
      </w:r>
      <w:r w:rsidRPr="00225DDD">
        <w:rPr>
          <w:rFonts w:cstheme="minorHAnsi"/>
          <w:szCs w:val="24"/>
        </w:rPr>
        <w:t xml:space="preserve">C20/53 when the document was issued in spring 2020. With respect to the new ITU building, it is important to reduce the likelihood that the </w:t>
      </w:r>
      <w:hyperlink r:id="rId16">
        <w:r w:rsidRPr="00225DDD">
          <w:rPr>
            <w:rStyle w:val="Hyperlink"/>
            <w:rFonts w:cstheme="minorHAnsi"/>
            <w:szCs w:val="24"/>
          </w:rPr>
          <w:t>building project risks</w:t>
        </w:r>
      </w:hyperlink>
      <w:r w:rsidRPr="00225DDD">
        <w:rPr>
          <w:rFonts w:cstheme="minorHAnsi"/>
          <w:szCs w:val="24"/>
        </w:rPr>
        <w:t xml:space="preserve"> will materialize and impact the building risk fund.</w:t>
      </w:r>
    </w:p>
    <w:p w14:paraId="2F5750DB" w14:textId="70E825A3" w:rsidR="00225DDD" w:rsidRPr="00225DDD" w:rsidRDefault="00225DDD" w:rsidP="00AC3E1C">
      <w:pPr>
        <w:spacing w:after="120"/>
        <w:jc w:val="both"/>
        <w:rPr>
          <w:rFonts w:cstheme="minorHAnsi"/>
          <w:szCs w:val="24"/>
        </w:rPr>
      </w:pPr>
      <w:r w:rsidRPr="00225DDD">
        <w:rPr>
          <w:rFonts w:cstheme="minorHAnsi"/>
          <w:szCs w:val="24"/>
        </w:rPr>
        <w:t>Teleworking, virtual meetings</w:t>
      </w:r>
      <w:r w:rsidR="00286558">
        <w:rPr>
          <w:rFonts w:cstheme="minorHAnsi"/>
          <w:szCs w:val="24"/>
        </w:rPr>
        <w:t>,</w:t>
      </w:r>
      <w:r w:rsidRPr="00225DDD">
        <w:rPr>
          <w:rFonts w:cstheme="minorHAnsi"/>
          <w:szCs w:val="24"/>
        </w:rPr>
        <w:t xml:space="preserve"> and new working methods will have to be supported and secured access to information will have to be provided, independent of </w:t>
      </w:r>
      <w:r w:rsidR="00950D0A">
        <w:rPr>
          <w:rFonts w:cstheme="minorHAnsi"/>
          <w:szCs w:val="24"/>
        </w:rPr>
        <w:t xml:space="preserve">the </w:t>
      </w:r>
      <w:r w:rsidRPr="00225DDD">
        <w:rPr>
          <w:rFonts w:cstheme="minorHAnsi"/>
          <w:szCs w:val="24"/>
        </w:rPr>
        <w:t>location.</w:t>
      </w:r>
    </w:p>
    <w:p w14:paraId="1BE9948B" w14:textId="5B16FE46" w:rsidR="00225DDD" w:rsidRPr="00C94C95" w:rsidRDefault="00225DDD" w:rsidP="0050490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color w:val="1F497D" w:themeColor="text2"/>
          <w:szCs w:val="24"/>
        </w:rPr>
      </w:pPr>
      <w:r w:rsidRPr="00C94C95">
        <w:rPr>
          <w:rFonts w:asciiTheme="minorHAnsi" w:hAnsiTheme="minorHAnsi" w:cstheme="minorHAnsi"/>
          <w:color w:val="1F497D" w:themeColor="text2"/>
          <w:szCs w:val="24"/>
        </w:rPr>
        <w:t>A-2</w:t>
      </w:r>
      <w:r w:rsidRPr="00C94C95">
        <w:rPr>
          <w:rFonts w:asciiTheme="minorHAnsi" w:hAnsiTheme="minorHAnsi" w:cstheme="minorHAnsi"/>
          <w:color w:val="1F497D" w:themeColor="text2"/>
          <w:szCs w:val="24"/>
        </w:rPr>
        <w:tab/>
        <w:t>Working tools of the Union</w:t>
      </w:r>
    </w:p>
    <w:p w14:paraId="720422A5" w14:textId="3341F1CD" w:rsidR="00C94C95" w:rsidRPr="00C94C95" w:rsidRDefault="00C94C95" w:rsidP="00AC3E1C">
      <w:pPr>
        <w:spacing w:after="120"/>
        <w:jc w:val="both"/>
        <w:rPr>
          <w:rFonts w:cstheme="minorHAnsi"/>
          <w:szCs w:val="24"/>
        </w:rPr>
      </w:pPr>
      <w:r w:rsidRPr="00C94C95">
        <w:rPr>
          <w:rFonts w:cstheme="minorHAnsi"/>
          <w:szCs w:val="24"/>
        </w:rPr>
        <w:t xml:space="preserve">As </w:t>
      </w:r>
      <w:r w:rsidR="00286558">
        <w:rPr>
          <w:rFonts w:cstheme="minorHAnsi"/>
          <w:szCs w:val="24"/>
        </w:rPr>
        <w:t xml:space="preserve">the </w:t>
      </w:r>
      <w:r w:rsidRPr="00C94C95">
        <w:rPr>
          <w:rFonts w:cstheme="minorHAnsi"/>
          <w:szCs w:val="24"/>
        </w:rPr>
        <w:t>Council was informed back in 2017, the Organization</w:t>
      </w:r>
      <w:r w:rsidR="0093221E">
        <w:rPr>
          <w:rFonts w:cstheme="minorHAnsi"/>
          <w:szCs w:val="24"/>
        </w:rPr>
        <w:t>’</w:t>
      </w:r>
      <w:r w:rsidRPr="00C94C95">
        <w:rPr>
          <w:rFonts w:cstheme="minorHAnsi"/>
          <w:szCs w:val="24"/>
        </w:rPr>
        <w:t xml:space="preserve">s administrative systems (EPR/CRM) need to be replaced by 2025 as the vendor will cease support of the current platform. </w:t>
      </w:r>
      <w:r w:rsidR="00286558">
        <w:rPr>
          <w:rFonts w:cstheme="minorHAnsi"/>
          <w:szCs w:val="24"/>
        </w:rPr>
        <w:t xml:space="preserve">The </w:t>
      </w:r>
      <w:r w:rsidRPr="00C94C95">
        <w:rPr>
          <w:rFonts w:cstheme="minorHAnsi"/>
          <w:szCs w:val="24"/>
        </w:rPr>
        <w:t xml:space="preserve">Council already allocated </w:t>
      </w:r>
      <w:r w:rsidR="00950D0A">
        <w:rPr>
          <w:rFonts w:cstheme="minorHAnsi"/>
          <w:szCs w:val="24"/>
        </w:rPr>
        <w:t xml:space="preserve">CHF </w:t>
      </w:r>
      <w:r w:rsidRPr="00C94C95">
        <w:rPr>
          <w:rFonts w:cstheme="minorHAnsi"/>
          <w:szCs w:val="24"/>
        </w:rPr>
        <w:t xml:space="preserve">3 million of the </w:t>
      </w:r>
      <w:r w:rsidR="00950D0A">
        <w:rPr>
          <w:rFonts w:cstheme="minorHAnsi"/>
          <w:szCs w:val="24"/>
        </w:rPr>
        <w:t xml:space="preserve">CHF </w:t>
      </w:r>
      <w:r w:rsidRPr="00C94C95">
        <w:rPr>
          <w:rFonts w:cstheme="minorHAnsi"/>
          <w:szCs w:val="24"/>
        </w:rPr>
        <w:t xml:space="preserve">5 million needed for this migration. The remaining </w:t>
      </w:r>
      <w:r w:rsidR="00950D0A">
        <w:rPr>
          <w:rFonts w:cstheme="minorHAnsi"/>
          <w:szCs w:val="24"/>
        </w:rPr>
        <w:t xml:space="preserve">CHF </w:t>
      </w:r>
      <w:r w:rsidRPr="00C94C95">
        <w:rPr>
          <w:rFonts w:cstheme="minorHAnsi"/>
          <w:szCs w:val="24"/>
        </w:rPr>
        <w:t xml:space="preserve">2 million will be included in the 2024-2027 Strategic and Financial </w:t>
      </w:r>
      <w:r w:rsidR="00950D0A">
        <w:rPr>
          <w:rFonts w:cstheme="minorHAnsi"/>
          <w:szCs w:val="24"/>
        </w:rPr>
        <w:t>P</w:t>
      </w:r>
      <w:r w:rsidRPr="00C94C95">
        <w:rPr>
          <w:rFonts w:cstheme="minorHAnsi"/>
          <w:szCs w:val="24"/>
        </w:rPr>
        <w:t xml:space="preserve">lan or from </w:t>
      </w:r>
      <w:r w:rsidR="00950D0A">
        <w:rPr>
          <w:rFonts w:cstheme="minorHAnsi"/>
          <w:szCs w:val="24"/>
        </w:rPr>
        <w:t>r</w:t>
      </w:r>
      <w:r w:rsidRPr="00C94C95">
        <w:rPr>
          <w:rFonts w:cstheme="minorHAnsi"/>
          <w:szCs w:val="24"/>
        </w:rPr>
        <w:t xml:space="preserve">egular </w:t>
      </w:r>
      <w:r w:rsidR="00950D0A">
        <w:rPr>
          <w:rFonts w:cstheme="minorHAnsi"/>
          <w:szCs w:val="24"/>
        </w:rPr>
        <w:t>b</w:t>
      </w:r>
      <w:r w:rsidRPr="00C94C95">
        <w:rPr>
          <w:rFonts w:cstheme="minorHAnsi"/>
          <w:szCs w:val="24"/>
        </w:rPr>
        <w:t xml:space="preserve">udget savings in </w:t>
      </w:r>
      <w:r w:rsidR="00950D0A">
        <w:rPr>
          <w:rFonts w:cstheme="minorHAnsi"/>
          <w:szCs w:val="24"/>
        </w:rPr>
        <w:t xml:space="preserve">the </w:t>
      </w:r>
      <w:r w:rsidRPr="00C94C95">
        <w:rPr>
          <w:rFonts w:cstheme="minorHAnsi"/>
          <w:szCs w:val="24"/>
        </w:rPr>
        <w:t>coming years.</w:t>
      </w:r>
    </w:p>
    <w:p w14:paraId="4456E647" w14:textId="07955C3E" w:rsidR="00225DDD" w:rsidRDefault="00C94C95" w:rsidP="00AC3E1C">
      <w:pPr>
        <w:tabs>
          <w:tab w:val="clear" w:pos="567"/>
          <w:tab w:val="clear" w:pos="1134"/>
          <w:tab w:val="clear" w:pos="1701"/>
          <w:tab w:val="clear" w:pos="2268"/>
          <w:tab w:val="clear" w:pos="2835"/>
        </w:tabs>
        <w:overflowPunct/>
        <w:autoSpaceDE/>
        <w:autoSpaceDN/>
        <w:adjustRightInd/>
        <w:spacing w:after="120"/>
        <w:jc w:val="both"/>
        <w:textAlignment w:val="auto"/>
        <w:rPr>
          <w:rFonts w:cstheme="minorHAnsi"/>
          <w:szCs w:val="24"/>
        </w:rPr>
      </w:pPr>
      <w:r w:rsidRPr="00A56F82">
        <w:rPr>
          <w:rFonts w:cstheme="minorHAnsi"/>
          <w:szCs w:val="24"/>
        </w:rPr>
        <w:t>ITU</w:t>
      </w:r>
      <w:r w:rsidR="0093221E">
        <w:rPr>
          <w:rFonts w:cstheme="minorHAnsi"/>
          <w:szCs w:val="24"/>
        </w:rPr>
        <w:t>’</w:t>
      </w:r>
      <w:r w:rsidRPr="00A56F82">
        <w:rPr>
          <w:rFonts w:cstheme="minorHAnsi"/>
          <w:szCs w:val="24"/>
        </w:rPr>
        <w:t>s website and the document management system (Documentum and SharePoint) are running on platforms which have reached end-of-life support by the vendors. Operating obsolete platforms will also prevent ITU from benefiting from new technological developments (introduction of AI/ML supported processes) and creating efficiency gains. The operational risks are critical and should be eliminated.</w:t>
      </w:r>
    </w:p>
    <w:p w14:paraId="071CA22A" w14:textId="4A4053AD" w:rsidR="00C94C95" w:rsidRDefault="00C94C95" w:rsidP="0050490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color w:val="1F497D" w:themeColor="text2"/>
          <w:szCs w:val="24"/>
        </w:rPr>
      </w:pPr>
      <w:r w:rsidRPr="00C94C95">
        <w:rPr>
          <w:rFonts w:asciiTheme="minorHAnsi" w:hAnsiTheme="minorHAnsi" w:cstheme="minorHAnsi"/>
          <w:color w:val="1F497D" w:themeColor="text2"/>
          <w:szCs w:val="24"/>
        </w:rPr>
        <w:t>A-</w:t>
      </w:r>
      <w:r>
        <w:rPr>
          <w:rFonts w:asciiTheme="minorHAnsi" w:hAnsiTheme="minorHAnsi" w:cstheme="minorHAnsi"/>
          <w:color w:val="1F497D" w:themeColor="text2"/>
          <w:szCs w:val="24"/>
        </w:rPr>
        <w:t>3</w:t>
      </w:r>
      <w:r w:rsidRPr="00C94C95">
        <w:rPr>
          <w:rFonts w:asciiTheme="minorHAnsi" w:hAnsiTheme="minorHAnsi" w:cstheme="minorHAnsi"/>
          <w:color w:val="1F497D" w:themeColor="text2"/>
          <w:szCs w:val="24"/>
        </w:rPr>
        <w:tab/>
      </w:r>
      <w:r>
        <w:rPr>
          <w:rFonts w:asciiTheme="minorHAnsi" w:hAnsiTheme="minorHAnsi" w:cstheme="minorHAnsi"/>
          <w:color w:val="1F497D" w:themeColor="text2"/>
          <w:szCs w:val="24"/>
        </w:rPr>
        <w:t>ITU website</w:t>
      </w:r>
      <w:r w:rsidR="0040252E">
        <w:rPr>
          <w:rFonts w:asciiTheme="minorHAnsi" w:hAnsiTheme="minorHAnsi" w:cstheme="minorHAnsi"/>
          <w:color w:val="1F497D" w:themeColor="text2"/>
          <w:szCs w:val="24"/>
        </w:rPr>
        <w:t xml:space="preserve"> (See document C21/INF/12)</w:t>
      </w:r>
    </w:p>
    <w:p w14:paraId="1F64F34F" w14:textId="620C5835" w:rsidR="00F71FC1" w:rsidRPr="00F71FC1" w:rsidRDefault="00F71FC1" w:rsidP="00AC3E1C">
      <w:pPr>
        <w:spacing w:after="120"/>
        <w:jc w:val="both"/>
        <w:rPr>
          <w:rFonts w:cstheme="minorHAnsi"/>
          <w:szCs w:val="24"/>
        </w:rPr>
      </w:pPr>
      <w:bookmarkStart w:id="10" w:name="_Hlk68784405"/>
      <w:r w:rsidRPr="00F71FC1">
        <w:rPr>
          <w:rFonts w:cstheme="minorHAnsi"/>
          <w:szCs w:val="24"/>
        </w:rPr>
        <w:t xml:space="preserve">To fully address the risk mentioned above, ITU will need to migrate its entire website to a new platform, thus ensuring business continuity, and address requests from Member States for full implementation of </w:t>
      </w:r>
      <w:r w:rsidR="00950D0A">
        <w:rPr>
          <w:rFonts w:cstheme="minorHAnsi"/>
          <w:szCs w:val="24"/>
        </w:rPr>
        <w:t xml:space="preserve">the six </w:t>
      </w:r>
      <w:r w:rsidRPr="00F71FC1">
        <w:rPr>
          <w:rFonts w:cstheme="minorHAnsi"/>
          <w:szCs w:val="24"/>
        </w:rPr>
        <w:t>language</w:t>
      </w:r>
      <w:r w:rsidR="002B5E64">
        <w:rPr>
          <w:rFonts w:cstheme="minorHAnsi"/>
          <w:szCs w:val="24"/>
        </w:rPr>
        <w:t>s</w:t>
      </w:r>
      <w:r w:rsidRPr="00F71FC1">
        <w:rPr>
          <w:rFonts w:cstheme="minorHAnsi"/>
          <w:szCs w:val="24"/>
        </w:rPr>
        <w:t xml:space="preserve"> </w:t>
      </w:r>
      <w:r w:rsidR="002B5E64">
        <w:rPr>
          <w:rFonts w:cstheme="minorHAnsi"/>
          <w:szCs w:val="24"/>
        </w:rPr>
        <w:t xml:space="preserve">of the </w:t>
      </w:r>
      <w:r w:rsidRPr="00F71FC1">
        <w:rPr>
          <w:rFonts w:cstheme="minorHAnsi"/>
          <w:szCs w:val="24"/>
        </w:rPr>
        <w:t>content across the website, as well as harmonization and improved usability for delegates and visitors (Res</w:t>
      </w:r>
      <w:r w:rsidR="00950D0A">
        <w:rPr>
          <w:rFonts w:cstheme="minorHAnsi"/>
          <w:szCs w:val="24"/>
        </w:rPr>
        <w:t>olution </w:t>
      </w:r>
      <w:r w:rsidRPr="00F71FC1">
        <w:rPr>
          <w:rFonts w:cstheme="minorHAnsi"/>
          <w:szCs w:val="24"/>
        </w:rPr>
        <w:t>154</w:t>
      </w:r>
      <w:r w:rsidR="00950D0A">
        <w:rPr>
          <w:rFonts w:cstheme="minorHAnsi"/>
          <w:szCs w:val="24"/>
        </w:rPr>
        <w:t xml:space="preserve"> (Rev. Dubai, 2018)</w:t>
      </w:r>
      <w:r w:rsidRPr="00F71FC1">
        <w:rPr>
          <w:rFonts w:cstheme="minorHAnsi"/>
          <w:szCs w:val="24"/>
        </w:rPr>
        <w:t>)</w:t>
      </w:r>
      <w:r w:rsidR="00950D0A">
        <w:rPr>
          <w:rFonts w:cstheme="minorHAnsi"/>
          <w:szCs w:val="24"/>
        </w:rPr>
        <w:t>.</w:t>
      </w:r>
    </w:p>
    <w:bookmarkEnd w:id="10"/>
    <w:p w14:paraId="0EDF163E" w14:textId="11C30131" w:rsidR="00F71FC1" w:rsidRDefault="00F71FC1" w:rsidP="0050490A">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szCs w:val="24"/>
        </w:rPr>
      </w:pPr>
      <w:r>
        <w:rPr>
          <w:rFonts w:asciiTheme="minorHAnsi" w:hAnsiTheme="minorHAnsi" w:cstheme="minorHAnsi"/>
          <w:szCs w:val="24"/>
        </w:rPr>
        <w:br w:type="page"/>
      </w:r>
    </w:p>
    <w:p w14:paraId="2FA26088" w14:textId="77777777" w:rsidR="00F71FC1" w:rsidRDefault="00F71FC1" w:rsidP="0050490A">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b/>
          <w:bCs/>
          <w:color w:val="1F497D" w:themeColor="text2"/>
          <w:szCs w:val="24"/>
        </w:rPr>
      </w:pPr>
      <w:r w:rsidRPr="00F71FC1">
        <w:rPr>
          <w:b/>
          <w:bCs/>
          <w:color w:val="1F497D" w:themeColor="text2"/>
          <w:lang w:val="en-US"/>
        </w:rPr>
        <w:lastRenderedPageBreak/>
        <w:t>B</w:t>
      </w:r>
      <w:r w:rsidRPr="00C94C95">
        <w:rPr>
          <w:color w:val="1F497D" w:themeColor="text2"/>
          <w:lang w:val="en-US"/>
        </w:rPr>
        <w:tab/>
      </w:r>
      <w:r>
        <w:rPr>
          <w:rFonts w:asciiTheme="minorHAnsi" w:hAnsiTheme="minorHAnsi" w:cstheme="minorHAnsi"/>
          <w:b/>
          <w:bCs/>
          <w:color w:val="1F497D" w:themeColor="text2"/>
          <w:szCs w:val="24"/>
        </w:rPr>
        <w:t>Risk and internal control (ITU Risk Management Framework)</w:t>
      </w:r>
    </w:p>
    <w:p w14:paraId="5B8478C5" w14:textId="2E8A4E5B" w:rsidR="00F71FC1" w:rsidRPr="00A56F82" w:rsidRDefault="00F71FC1"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A56F82">
        <w:rPr>
          <w:rFonts w:asciiTheme="minorHAnsi" w:hAnsiTheme="minorHAnsi" w:cstheme="minorHAnsi"/>
          <w:szCs w:val="24"/>
        </w:rPr>
        <w:t>A key element of an organization</w:t>
      </w:r>
      <w:r w:rsidR="0093221E">
        <w:rPr>
          <w:rFonts w:asciiTheme="minorHAnsi" w:hAnsiTheme="minorHAnsi" w:cstheme="minorHAnsi"/>
          <w:szCs w:val="24"/>
        </w:rPr>
        <w:t>’</w:t>
      </w:r>
      <w:r w:rsidRPr="00A56F82">
        <w:rPr>
          <w:rFonts w:asciiTheme="minorHAnsi" w:hAnsiTheme="minorHAnsi" w:cstheme="minorHAnsi"/>
          <w:szCs w:val="24"/>
        </w:rPr>
        <w:t>s accountability framework is a robust system of risk management and internal control. This policy sets out ITU</w:t>
      </w:r>
      <w:r w:rsidR="0093221E">
        <w:rPr>
          <w:rFonts w:asciiTheme="minorHAnsi" w:hAnsiTheme="minorHAnsi" w:cstheme="minorHAnsi"/>
          <w:szCs w:val="24"/>
        </w:rPr>
        <w:t>’</w:t>
      </w:r>
      <w:r w:rsidRPr="00A56F82">
        <w:rPr>
          <w:rFonts w:asciiTheme="minorHAnsi" w:hAnsiTheme="minorHAnsi" w:cstheme="minorHAnsi"/>
          <w:szCs w:val="24"/>
        </w:rPr>
        <w:t>s approach to managing risks and controls in a consistent and business-oriented manner, in order to support the achievement of its strategic goals, expected results and project objectives.</w:t>
      </w:r>
    </w:p>
    <w:p w14:paraId="041A0B91" w14:textId="0AECD3BA" w:rsidR="00F71FC1" w:rsidRPr="00A56F82" w:rsidRDefault="00F71FC1" w:rsidP="00AC3E1C">
      <w:pPr>
        <w:snapToGrid w:val="0"/>
        <w:spacing w:after="120"/>
        <w:jc w:val="both"/>
        <w:rPr>
          <w:rFonts w:asciiTheme="minorHAnsi" w:hAnsiTheme="minorHAnsi" w:cstheme="minorHAnsi"/>
          <w:szCs w:val="24"/>
        </w:rPr>
      </w:pPr>
      <w:r w:rsidRPr="00A56F82">
        <w:rPr>
          <w:rFonts w:asciiTheme="minorHAnsi" w:hAnsiTheme="minorHAnsi" w:cstheme="minorHAnsi"/>
          <w:szCs w:val="24"/>
        </w:rPr>
        <w:t>A Risk Management Manual, which covers the day-to-day operational details of risk and control management at ITU, complements this policy document. Both documents, together with the Risk Appetite Policy, represent ITU</w:t>
      </w:r>
      <w:r w:rsidR="0093221E">
        <w:rPr>
          <w:rFonts w:asciiTheme="minorHAnsi" w:hAnsiTheme="minorHAnsi" w:cstheme="minorHAnsi"/>
          <w:szCs w:val="24"/>
        </w:rPr>
        <w:t>’</w:t>
      </w:r>
      <w:r w:rsidRPr="00A56F82">
        <w:rPr>
          <w:rFonts w:asciiTheme="minorHAnsi" w:hAnsiTheme="minorHAnsi" w:cstheme="minorHAnsi"/>
          <w:szCs w:val="24"/>
        </w:rPr>
        <w:t>s Risk Management Framework.</w:t>
      </w:r>
    </w:p>
    <w:p w14:paraId="763A5FA9" w14:textId="77777777" w:rsidR="00F71FC1" w:rsidRPr="00A56F82" w:rsidRDefault="00F71FC1" w:rsidP="00AC3E1C">
      <w:pPr>
        <w:snapToGrid w:val="0"/>
        <w:spacing w:after="120"/>
        <w:jc w:val="both"/>
        <w:rPr>
          <w:rFonts w:asciiTheme="minorHAnsi" w:hAnsiTheme="minorHAnsi" w:cstheme="minorHAnsi"/>
          <w:szCs w:val="24"/>
        </w:rPr>
      </w:pPr>
      <w:r w:rsidRPr="00A56F82">
        <w:rPr>
          <w:rFonts w:asciiTheme="minorHAnsi" w:hAnsiTheme="minorHAnsi" w:cstheme="minorHAnsi"/>
          <w:szCs w:val="24"/>
        </w:rPr>
        <w:t>The main objectives of the risk management policy in ITU are as follows:</w:t>
      </w:r>
    </w:p>
    <w:p w14:paraId="3874DA1F" w14:textId="5F56E09C" w:rsidR="00F71FC1" w:rsidRPr="00A56F82" w:rsidRDefault="001E0694" w:rsidP="00AC3E1C">
      <w:pPr>
        <w:pStyle w:val="ListParagraph"/>
        <w:numPr>
          <w:ilvl w:val="0"/>
          <w:numId w:val="6"/>
        </w:numPr>
        <w:snapToGrid w:val="0"/>
        <w:spacing w:before="120" w:after="120" w:line="240" w:lineRule="auto"/>
        <w:ind w:left="426" w:hanging="426"/>
        <w:contextualSpacing w:val="0"/>
        <w:rPr>
          <w:rFonts w:cstheme="minorHAnsi"/>
          <w:spacing w:val="-2"/>
          <w:sz w:val="24"/>
          <w:szCs w:val="24"/>
        </w:rPr>
      </w:pPr>
      <w:r>
        <w:rPr>
          <w:rFonts w:cstheme="minorHAnsi"/>
          <w:spacing w:val="-2"/>
          <w:sz w:val="24"/>
          <w:szCs w:val="24"/>
        </w:rPr>
        <w:t>e</w:t>
      </w:r>
      <w:r w:rsidR="00F71FC1" w:rsidRPr="00A56F82">
        <w:rPr>
          <w:rFonts w:cstheme="minorHAnsi"/>
          <w:spacing w:val="-2"/>
          <w:sz w:val="24"/>
          <w:szCs w:val="24"/>
        </w:rPr>
        <w:t xml:space="preserve">mbed risk management into the business processes of the organization, drawing from the best </w:t>
      </w:r>
      <w:proofErr w:type="gramStart"/>
      <w:r w:rsidR="00F71FC1" w:rsidRPr="00A56F82">
        <w:rPr>
          <w:rFonts w:cstheme="minorHAnsi"/>
          <w:spacing w:val="-2"/>
          <w:sz w:val="24"/>
          <w:szCs w:val="24"/>
        </w:rPr>
        <w:t>practices</w:t>
      </w:r>
      <w:r>
        <w:rPr>
          <w:rFonts w:cstheme="minorHAnsi"/>
          <w:spacing w:val="-2"/>
          <w:sz w:val="24"/>
          <w:szCs w:val="24"/>
        </w:rPr>
        <w:t>;</w:t>
      </w:r>
      <w:proofErr w:type="gramEnd"/>
    </w:p>
    <w:p w14:paraId="75E09753" w14:textId="362D7AD4" w:rsidR="00F71FC1" w:rsidRPr="00A56F82" w:rsidRDefault="001E0694" w:rsidP="00AC3E1C">
      <w:pPr>
        <w:pStyle w:val="ListParagraph"/>
        <w:numPr>
          <w:ilvl w:val="0"/>
          <w:numId w:val="6"/>
        </w:numPr>
        <w:snapToGrid w:val="0"/>
        <w:spacing w:before="120" w:after="120" w:line="240" w:lineRule="auto"/>
        <w:ind w:left="426" w:hanging="426"/>
        <w:contextualSpacing w:val="0"/>
        <w:rPr>
          <w:rFonts w:cstheme="minorHAnsi"/>
          <w:sz w:val="24"/>
          <w:szCs w:val="24"/>
        </w:rPr>
      </w:pPr>
      <w:r>
        <w:rPr>
          <w:rFonts w:cstheme="minorHAnsi"/>
          <w:spacing w:val="-2"/>
          <w:sz w:val="24"/>
          <w:szCs w:val="24"/>
        </w:rPr>
        <w:t>a</w:t>
      </w:r>
      <w:r w:rsidR="00F71FC1" w:rsidRPr="00A56F82">
        <w:rPr>
          <w:rFonts w:cstheme="minorHAnsi"/>
          <w:spacing w:val="-2"/>
          <w:sz w:val="24"/>
          <w:szCs w:val="24"/>
        </w:rPr>
        <w:t>llow for the achievement of the organizational goals and objectives, fostering a culture of risk awareness</w:t>
      </w:r>
      <w:r w:rsidR="00F71FC1" w:rsidRPr="00A56F82">
        <w:rPr>
          <w:rFonts w:cstheme="minorHAnsi"/>
          <w:sz w:val="24"/>
          <w:szCs w:val="24"/>
        </w:rPr>
        <w:t xml:space="preserve"> and organizational resilience</w:t>
      </w:r>
      <w:r>
        <w:rPr>
          <w:rFonts w:cstheme="minorHAnsi"/>
          <w:sz w:val="24"/>
          <w:szCs w:val="24"/>
        </w:rPr>
        <w:t>; and</w:t>
      </w:r>
    </w:p>
    <w:p w14:paraId="441A309B" w14:textId="010D1112" w:rsidR="00F71FC1" w:rsidRPr="00A56F82" w:rsidRDefault="001E0694" w:rsidP="00AC3E1C">
      <w:pPr>
        <w:pStyle w:val="ListParagraph"/>
        <w:numPr>
          <w:ilvl w:val="0"/>
          <w:numId w:val="6"/>
        </w:numPr>
        <w:snapToGrid w:val="0"/>
        <w:spacing w:before="120" w:after="120" w:line="240" w:lineRule="auto"/>
        <w:ind w:left="426" w:hanging="426"/>
        <w:contextualSpacing w:val="0"/>
        <w:rPr>
          <w:rFonts w:cstheme="minorHAnsi"/>
          <w:sz w:val="24"/>
          <w:szCs w:val="24"/>
        </w:rPr>
      </w:pPr>
      <w:r>
        <w:rPr>
          <w:rFonts w:cstheme="minorHAnsi"/>
          <w:sz w:val="24"/>
          <w:szCs w:val="24"/>
        </w:rPr>
        <w:t>a</w:t>
      </w:r>
      <w:r w:rsidR="00F71FC1" w:rsidRPr="00A56F82">
        <w:rPr>
          <w:rFonts w:cstheme="minorHAnsi"/>
          <w:sz w:val="24"/>
          <w:szCs w:val="24"/>
        </w:rPr>
        <w:t>llow for a balance of innovations and change with associated risks, within the stated risk boundaries of the organization.</w:t>
      </w:r>
    </w:p>
    <w:p w14:paraId="3BC7820D" w14:textId="561A7E42" w:rsidR="00F71FC1" w:rsidRPr="00A56F82" w:rsidRDefault="00F71FC1" w:rsidP="00AC3E1C">
      <w:pPr>
        <w:snapToGrid w:val="0"/>
        <w:spacing w:before="240" w:after="120"/>
        <w:jc w:val="both"/>
        <w:rPr>
          <w:rFonts w:asciiTheme="minorHAnsi" w:hAnsiTheme="minorHAnsi" w:cstheme="minorHAnsi"/>
          <w:szCs w:val="24"/>
        </w:rPr>
      </w:pPr>
      <w:r w:rsidRPr="00A56F82">
        <w:rPr>
          <w:rFonts w:asciiTheme="minorHAnsi" w:hAnsiTheme="minorHAnsi" w:cstheme="minorHAnsi"/>
          <w:szCs w:val="24"/>
        </w:rPr>
        <w:t>Approval of risk assessment and response ensures the appropriate level of review and that the risk response (mitigation and control) measure is reflected in workplans, as applicable. The approval process for risk assessment and risk responses is as follows (defined in detail in the Risk Management Manual): MCG/C</w:t>
      </w:r>
      <w:r>
        <w:rPr>
          <w:rFonts w:asciiTheme="minorHAnsi" w:hAnsiTheme="minorHAnsi" w:cstheme="minorHAnsi"/>
          <w:szCs w:val="24"/>
        </w:rPr>
        <w:t>oordination Committee</w:t>
      </w:r>
      <w:r w:rsidRPr="00A56F82">
        <w:rPr>
          <w:rFonts w:asciiTheme="minorHAnsi" w:hAnsiTheme="minorHAnsi" w:cstheme="minorHAnsi"/>
          <w:szCs w:val="24"/>
        </w:rPr>
        <w:t xml:space="preserve"> endorses the assessment of and response to all risks within the red zone of ITU risk scale chart; Directors of the Bureaux endorse</w:t>
      </w:r>
      <w:r w:rsidR="00286558">
        <w:rPr>
          <w:rFonts w:asciiTheme="minorHAnsi" w:hAnsiTheme="minorHAnsi" w:cstheme="minorHAnsi"/>
          <w:szCs w:val="24"/>
        </w:rPr>
        <w:t xml:space="preserve"> the</w:t>
      </w:r>
      <w:r w:rsidRPr="00A56F82">
        <w:rPr>
          <w:rFonts w:asciiTheme="minorHAnsi" w:hAnsiTheme="minorHAnsi" w:cstheme="minorHAnsi"/>
          <w:szCs w:val="24"/>
        </w:rPr>
        <w:t xml:space="preserve"> assessment of and response to single-Sector risks</w:t>
      </w:r>
      <w:r w:rsidR="00286558">
        <w:rPr>
          <w:rFonts w:asciiTheme="minorHAnsi" w:hAnsiTheme="minorHAnsi" w:cstheme="minorHAnsi"/>
          <w:szCs w:val="24"/>
        </w:rPr>
        <w:t>,</w:t>
      </w:r>
      <w:r w:rsidRPr="00A56F82">
        <w:rPr>
          <w:rFonts w:asciiTheme="minorHAnsi" w:hAnsiTheme="minorHAnsi" w:cstheme="minorHAnsi"/>
          <w:szCs w:val="24"/>
        </w:rPr>
        <w:t xml:space="preserve"> and risk owners can manage risks and risk responses, which are assessed to be in the green zone, into the risk register without additional approval required. ISC-TF is being consulted for cross-sector risks and escalation to MCG/C</w:t>
      </w:r>
      <w:r>
        <w:rPr>
          <w:rFonts w:asciiTheme="minorHAnsi" w:hAnsiTheme="minorHAnsi" w:cstheme="minorHAnsi"/>
          <w:szCs w:val="24"/>
        </w:rPr>
        <w:t>oordination Committee</w:t>
      </w:r>
      <w:r w:rsidRPr="00A56F82">
        <w:rPr>
          <w:rFonts w:asciiTheme="minorHAnsi" w:hAnsiTheme="minorHAnsi" w:cstheme="minorHAnsi"/>
          <w:szCs w:val="24"/>
        </w:rPr>
        <w:t xml:space="preserve"> is required for decisions.</w:t>
      </w:r>
    </w:p>
    <w:p w14:paraId="6FD4FB18" w14:textId="71DCBFB9" w:rsidR="00F71FC1" w:rsidRPr="00A56F82" w:rsidRDefault="00F71FC1" w:rsidP="00AC3E1C">
      <w:pPr>
        <w:overflowPunct/>
        <w:autoSpaceDE/>
        <w:autoSpaceDN/>
        <w:adjustRightInd/>
        <w:snapToGrid w:val="0"/>
        <w:spacing w:after="120"/>
        <w:jc w:val="both"/>
        <w:textAlignment w:val="auto"/>
        <w:rPr>
          <w:rFonts w:asciiTheme="minorHAnsi" w:hAnsiTheme="minorHAnsi" w:cstheme="minorHAnsi"/>
          <w:szCs w:val="24"/>
          <w:lang w:val="en-US"/>
        </w:rPr>
      </w:pPr>
      <w:r w:rsidRPr="00A56F82">
        <w:rPr>
          <w:rFonts w:asciiTheme="minorHAnsi" w:hAnsiTheme="minorHAnsi" w:cstheme="minorHAnsi"/>
          <w:szCs w:val="24"/>
        </w:rPr>
        <w:t>The report for the implementation of the Action Plan to strengthen the ITU Risk Management Framework was presented to VCC-2 in 2020 and to CWG-FHR in January 2021 and has resulted in the following recommendations:</w:t>
      </w:r>
    </w:p>
    <w:p w14:paraId="58B1C7C5" w14:textId="0E08376F" w:rsidR="00F71FC1" w:rsidRPr="00A56F82" w:rsidRDefault="001E0694" w:rsidP="00AC3E1C">
      <w:pPr>
        <w:pStyle w:val="ListParagraph"/>
        <w:numPr>
          <w:ilvl w:val="0"/>
          <w:numId w:val="4"/>
        </w:numPr>
        <w:snapToGrid w:val="0"/>
        <w:spacing w:before="120" w:after="120" w:line="240" w:lineRule="auto"/>
        <w:ind w:left="567" w:hanging="567"/>
        <w:contextualSpacing w:val="0"/>
        <w:rPr>
          <w:rFonts w:cstheme="minorHAnsi"/>
          <w:sz w:val="24"/>
          <w:szCs w:val="24"/>
        </w:rPr>
      </w:pPr>
      <w:r>
        <w:rPr>
          <w:rFonts w:cstheme="minorHAnsi"/>
          <w:sz w:val="24"/>
          <w:szCs w:val="24"/>
        </w:rPr>
        <w:t>A</w:t>
      </w:r>
      <w:r w:rsidR="00F71FC1" w:rsidRPr="00A56F82">
        <w:rPr>
          <w:rFonts w:cstheme="minorHAnsi"/>
          <w:sz w:val="24"/>
          <w:szCs w:val="24"/>
        </w:rPr>
        <w:t>doption of the revised ITU Risk Management Policy</w:t>
      </w:r>
      <w:r>
        <w:rPr>
          <w:rFonts w:cstheme="minorHAnsi"/>
          <w:sz w:val="24"/>
          <w:szCs w:val="24"/>
        </w:rPr>
        <w:t>.</w:t>
      </w:r>
    </w:p>
    <w:p w14:paraId="3749BABE" w14:textId="70EC52B3" w:rsidR="00F71FC1" w:rsidRPr="00A56F82" w:rsidRDefault="00F71FC1" w:rsidP="00AC3E1C">
      <w:pPr>
        <w:pStyle w:val="ListParagraph"/>
        <w:numPr>
          <w:ilvl w:val="0"/>
          <w:numId w:val="4"/>
        </w:numPr>
        <w:snapToGrid w:val="0"/>
        <w:spacing w:before="120" w:after="120" w:line="240" w:lineRule="auto"/>
        <w:ind w:left="567" w:hanging="567"/>
        <w:contextualSpacing w:val="0"/>
        <w:rPr>
          <w:rFonts w:cstheme="minorHAnsi"/>
          <w:sz w:val="24"/>
          <w:szCs w:val="24"/>
        </w:rPr>
      </w:pPr>
      <w:r w:rsidRPr="00A56F82">
        <w:rPr>
          <w:rFonts w:cstheme="minorHAnsi"/>
          <w:sz w:val="24"/>
          <w:szCs w:val="24"/>
        </w:rPr>
        <w:t>Adoption of the revised ITU Risk Appetite Statement</w:t>
      </w:r>
      <w:r w:rsidR="001E0694">
        <w:rPr>
          <w:rFonts w:cstheme="minorHAnsi"/>
          <w:sz w:val="24"/>
          <w:szCs w:val="24"/>
        </w:rPr>
        <w:t>.</w:t>
      </w:r>
    </w:p>
    <w:p w14:paraId="228DCD43" w14:textId="32C2BF59" w:rsidR="00F71FC1" w:rsidRPr="00A56F82" w:rsidRDefault="00F71FC1" w:rsidP="00AC3E1C">
      <w:pPr>
        <w:pStyle w:val="ListParagraph"/>
        <w:numPr>
          <w:ilvl w:val="0"/>
          <w:numId w:val="4"/>
        </w:numPr>
        <w:snapToGrid w:val="0"/>
        <w:spacing w:before="120" w:after="120" w:line="240" w:lineRule="auto"/>
        <w:ind w:left="567" w:hanging="567"/>
        <w:contextualSpacing w:val="0"/>
        <w:rPr>
          <w:rFonts w:cstheme="minorHAnsi"/>
          <w:sz w:val="24"/>
          <w:szCs w:val="24"/>
        </w:rPr>
      </w:pPr>
      <w:r w:rsidRPr="00A56F82">
        <w:rPr>
          <w:rFonts w:cstheme="minorHAnsi"/>
          <w:sz w:val="24"/>
          <w:szCs w:val="24"/>
        </w:rPr>
        <w:t xml:space="preserve">Creation of a new function at P4 level within the General Secretariat on Risk and Internal Control, within </w:t>
      </w:r>
      <w:r w:rsidR="001E0694">
        <w:rPr>
          <w:rFonts w:cstheme="minorHAnsi"/>
          <w:sz w:val="24"/>
          <w:szCs w:val="24"/>
        </w:rPr>
        <w:t xml:space="preserve">the </w:t>
      </w:r>
      <w:r w:rsidRPr="00A56F82">
        <w:rPr>
          <w:rFonts w:cstheme="minorHAnsi"/>
          <w:sz w:val="24"/>
          <w:szCs w:val="24"/>
        </w:rPr>
        <w:t>available budget. The main responsibilities of the function should be:</w:t>
      </w:r>
    </w:p>
    <w:p w14:paraId="35084CB2" w14:textId="516A7C52" w:rsidR="00F71FC1" w:rsidRPr="00A56F82" w:rsidRDefault="00F71FC1" w:rsidP="00AC3E1C">
      <w:pPr>
        <w:pStyle w:val="ListParagraph"/>
        <w:numPr>
          <w:ilvl w:val="0"/>
          <w:numId w:val="7"/>
        </w:numPr>
        <w:snapToGrid w:val="0"/>
        <w:spacing w:before="120" w:after="120" w:line="240" w:lineRule="auto"/>
        <w:ind w:left="851" w:hanging="284"/>
        <w:contextualSpacing w:val="0"/>
        <w:rPr>
          <w:rFonts w:cstheme="minorHAnsi"/>
          <w:sz w:val="24"/>
          <w:szCs w:val="24"/>
        </w:rPr>
      </w:pPr>
      <w:r>
        <w:rPr>
          <w:rFonts w:cstheme="minorHAnsi"/>
          <w:sz w:val="24"/>
          <w:szCs w:val="24"/>
        </w:rPr>
        <w:t>P</w:t>
      </w:r>
      <w:r w:rsidRPr="00A56F82">
        <w:rPr>
          <w:rFonts w:cstheme="minorHAnsi"/>
          <w:sz w:val="24"/>
          <w:szCs w:val="24"/>
        </w:rPr>
        <w:t>roviding recommendations for the organization</w:t>
      </w:r>
      <w:r w:rsidR="0093221E">
        <w:rPr>
          <w:rFonts w:cstheme="minorHAnsi"/>
          <w:sz w:val="24"/>
          <w:szCs w:val="24"/>
        </w:rPr>
        <w:t>’</w:t>
      </w:r>
      <w:r w:rsidRPr="00A56F82">
        <w:rPr>
          <w:rFonts w:cstheme="minorHAnsi"/>
          <w:sz w:val="24"/>
          <w:szCs w:val="24"/>
        </w:rPr>
        <w:t>s adoption of best risk management practices and the continuous improvement of its internal control environment</w:t>
      </w:r>
      <w:r>
        <w:rPr>
          <w:rFonts w:cstheme="minorHAnsi"/>
          <w:sz w:val="24"/>
          <w:szCs w:val="24"/>
        </w:rPr>
        <w:t>.</w:t>
      </w:r>
    </w:p>
    <w:p w14:paraId="1A731BD6" w14:textId="7D304787" w:rsidR="00F71FC1" w:rsidRPr="00A56F82" w:rsidRDefault="00F71FC1" w:rsidP="00AC3E1C">
      <w:pPr>
        <w:pStyle w:val="ListParagraph"/>
        <w:numPr>
          <w:ilvl w:val="0"/>
          <w:numId w:val="7"/>
        </w:numPr>
        <w:snapToGrid w:val="0"/>
        <w:spacing w:before="120" w:after="120" w:line="240" w:lineRule="auto"/>
        <w:ind w:left="851" w:hanging="284"/>
        <w:contextualSpacing w:val="0"/>
        <w:rPr>
          <w:rFonts w:cstheme="minorHAnsi"/>
          <w:sz w:val="24"/>
          <w:szCs w:val="24"/>
        </w:rPr>
      </w:pPr>
      <w:r>
        <w:rPr>
          <w:rFonts w:cstheme="minorHAnsi"/>
          <w:sz w:val="24"/>
          <w:szCs w:val="24"/>
        </w:rPr>
        <w:t>Re</w:t>
      </w:r>
      <w:r w:rsidRPr="00A56F82">
        <w:rPr>
          <w:rFonts w:cstheme="minorHAnsi"/>
          <w:sz w:val="24"/>
          <w:szCs w:val="24"/>
        </w:rPr>
        <w:t>commending the adoption of risk policies, appetite statements, manuals</w:t>
      </w:r>
      <w:r w:rsidR="00286558">
        <w:rPr>
          <w:rFonts w:cstheme="minorHAnsi"/>
          <w:sz w:val="24"/>
          <w:szCs w:val="24"/>
        </w:rPr>
        <w:t>,</w:t>
      </w:r>
      <w:r w:rsidRPr="00A56F82">
        <w:rPr>
          <w:rFonts w:cstheme="minorHAnsi"/>
          <w:sz w:val="24"/>
          <w:szCs w:val="24"/>
        </w:rPr>
        <w:t xml:space="preserve"> and protocols for reporting and escalation and de-escalation of risk exposures to ITU</w:t>
      </w:r>
      <w:r w:rsidR="0093221E">
        <w:rPr>
          <w:rFonts w:cstheme="minorHAnsi"/>
          <w:sz w:val="24"/>
          <w:szCs w:val="24"/>
        </w:rPr>
        <w:t>’</w:t>
      </w:r>
      <w:r w:rsidRPr="00A56F82">
        <w:rPr>
          <w:rFonts w:cstheme="minorHAnsi"/>
          <w:sz w:val="24"/>
          <w:szCs w:val="24"/>
        </w:rPr>
        <w:t>s Senior Management Team</w:t>
      </w:r>
      <w:r>
        <w:rPr>
          <w:rFonts w:cstheme="minorHAnsi"/>
          <w:sz w:val="24"/>
          <w:szCs w:val="24"/>
        </w:rPr>
        <w:t>.</w:t>
      </w:r>
    </w:p>
    <w:p w14:paraId="4CFFAC0B" w14:textId="4034FBE8" w:rsidR="00F71FC1" w:rsidRPr="00A56F82" w:rsidRDefault="00F71FC1" w:rsidP="00AC3E1C">
      <w:pPr>
        <w:pStyle w:val="ListParagraph"/>
        <w:numPr>
          <w:ilvl w:val="0"/>
          <w:numId w:val="7"/>
        </w:numPr>
        <w:snapToGrid w:val="0"/>
        <w:spacing w:before="120" w:after="120" w:line="240" w:lineRule="auto"/>
        <w:ind w:left="851" w:hanging="284"/>
        <w:contextualSpacing w:val="0"/>
        <w:rPr>
          <w:rFonts w:cstheme="minorHAnsi"/>
          <w:sz w:val="24"/>
          <w:szCs w:val="24"/>
        </w:rPr>
      </w:pPr>
      <w:r>
        <w:rPr>
          <w:rFonts w:cstheme="minorHAnsi"/>
          <w:sz w:val="24"/>
          <w:szCs w:val="24"/>
        </w:rPr>
        <w:t>E</w:t>
      </w:r>
      <w:r w:rsidRPr="00A56F82">
        <w:rPr>
          <w:rFonts w:cstheme="minorHAnsi"/>
          <w:sz w:val="24"/>
          <w:szCs w:val="24"/>
        </w:rPr>
        <w:t>stablishing the methodologies and tools for identifying, assessing, monitoring</w:t>
      </w:r>
      <w:r w:rsidR="00286558">
        <w:rPr>
          <w:rFonts w:cstheme="minorHAnsi"/>
          <w:sz w:val="24"/>
          <w:szCs w:val="24"/>
        </w:rPr>
        <w:t>,</w:t>
      </w:r>
      <w:r w:rsidRPr="00A56F82">
        <w:rPr>
          <w:rFonts w:cstheme="minorHAnsi"/>
          <w:sz w:val="24"/>
          <w:szCs w:val="24"/>
        </w:rPr>
        <w:t xml:space="preserve"> and reporting on ITU</w:t>
      </w:r>
      <w:r w:rsidR="0093221E">
        <w:rPr>
          <w:rFonts w:cstheme="minorHAnsi"/>
          <w:sz w:val="24"/>
          <w:szCs w:val="24"/>
        </w:rPr>
        <w:t>’</w:t>
      </w:r>
      <w:r w:rsidRPr="00A56F82">
        <w:rPr>
          <w:rFonts w:cstheme="minorHAnsi"/>
          <w:sz w:val="24"/>
          <w:szCs w:val="24"/>
        </w:rPr>
        <w:t xml:space="preserve">s risk exposures, including those related </w:t>
      </w:r>
      <w:r w:rsidR="001E0694">
        <w:rPr>
          <w:rFonts w:cstheme="minorHAnsi"/>
          <w:sz w:val="24"/>
          <w:szCs w:val="24"/>
        </w:rPr>
        <w:t>to</w:t>
      </w:r>
      <w:r w:rsidRPr="00A56F82">
        <w:rPr>
          <w:rFonts w:cstheme="minorHAnsi"/>
          <w:sz w:val="24"/>
          <w:szCs w:val="24"/>
        </w:rPr>
        <w:t xml:space="preserve"> Business continuity and Crisis Management (ORMS project)</w:t>
      </w:r>
      <w:r>
        <w:rPr>
          <w:rFonts w:cstheme="minorHAnsi"/>
          <w:sz w:val="24"/>
          <w:szCs w:val="24"/>
        </w:rPr>
        <w:t>.</w:t>
      </w:r>
    </w:p>
    <w:p w14:paraId="077810E5" w14:textId="643B230A" w:rsidR="00F71FC1" w:rsidRPr="00A56F82" w:rsidRDefault="00F71FC1" w:rsidP="00AC3E1C">
      <w:pPr>
        <w:pStyle w:val="ListParagraph"/>
        <w:numPr>
          <w:ilvl w:val="0"/>
          <w:numId w:val="7"/>
        </w:numPr>
        <w:snapToGrid w:val="0"/>
        <w:spacing w:before="120" w:after="120" w:line="240" w:lineRule="auto"/>
        <w:ind w:left="851" w:hanging="284"/>
        <w:contextualSpacing w:val="0"/>
        <w:rPr>
          <w:rFonts w:cstheme="minorHAnsi"/>
          <w:sz w:val="24"/>
          <w:szCs w:val="24"/>
        </w:rPr>
      </w:pPr>
      <w:r>
        <w:rPr>
          <w:rFonts w:cstheme="minorHAnsi"/>
          <w:sz w:val="24"/>
          <w:szCs w:val="24"/>
        </w:rPr>
        <w:lastRenderedPageBreak/>
        <w:t>A</w:t>
      </w:r>
      <w:r w:rsidRPr="00A56F82">
        <w:rPr>
          <w:rFonts w:cstheme="minorHAnsi"/>
          <w:sz w:val="24"/>
          <w:szCs w:val="24"/>
        </w:rPr>
        <w:t>ssessing the operating effectiveness (whether controls operate effectively over a period of time so as to actually result in the mitigation of the relevant risk(s)) of controls as recorded</w:t>
      </w:r>
      <w:r>
        <w:rPr>
          <w:rFonts w:cstheme="minorHAnsi"/>
          <w:sz w:val="24"/>
          <w:szCs w:val="24"/>
        </w:rPr>
        <w:t>.</w:t>
      </w:r>
    </w:p>
    <w:p w14:paraId="242CCE13" w14:textId="0932963D" w:rsidR="00F71FC1" w:rsidRPr="00A56F82" w:rsidRDefault="00F71FC1" w:rsidP="00AC3E1C">
      <w:pPr>
        <w:pStyle w:val="ListParagraph"/>
        <w:numPr>
          <w:ilvl w:val="0"/>
          <w:numId w:val="7"/>
        </w:numPr>
        <w:snapToGrid w:val="0"/>
        <w:spacing w:before="120" w:after="120" w:line="240" w:lineRule="auto"/>
        <w:ind w:left="851" w:hanging="284"/>
        <w:contextualSpacing w:val="0"/>
        <w:rPr>
          <w:rFonts w:cstheme="minorHAnsi"/>
          <w:sz w:val="24"/>
          <w:szCs w:val="24"/>
        </w:rPr>
      </w:pPr>
      <w:r>
        <w:rPr>
          <w:rFonts w:cstheme="minorHAnsi"/>
          <w:sz w:val="24"/>
          <w:szCs w:val="24"/>
        </w:rPr>
        <w:t>S</w:t>
      </w:r>
      <w:r w:rsidRPr="00A56F82">
        <w:rPr>
          <w:rFonts w:cstheme="minorHAnsi"/>
          <w:sz w:val="24"/>
          <w:szCs w:val="24"/>
        </w:rPr>
        <w:t>ponsoring the enterprise risk management and control framework, including the operation of the three lines of defense and the adherence to and use of risk appetite measures</w:t>
      </w:r>
      <w:r>
        <w:rPr>
          <w:rFonts w:cstheme="minorHAnsi"/>
          <w:sz w:val="24"/>
          <w:szCs w:val="24"/>
        </w:rPr>
        <w:t>.</w:t>
      </w:r>
    </w:p>
    <w:p w14:paraId="65EA812C" w14:textId="5721C24C" w:rsidR="00F71FC1" w:rsidRPr="00A56F82" w:rsidRDefault="00F71FC1" w:rsidP="00AC3E1C">
      <w:pPr>
        <w:pStyle w:val="ListParagraph"/>
        <w:numPr>
          <w:ilvl w:val="0"/>
          <w:numId w:val="7"/>
        </w:numPr>
        <w:snapToGrid w:val="0"/>
        <w:spacing w:before="120" w:after="120" w:line="240" w:lineRule="auto"/>
        <w:ind w:left="851" w:hanging="284"/>
        <w:contextualSpacing w:val="0"/>
        <w:rPr>
          <w:rFonts w:cstheme="minorHAnsi"/>
          <w:sz w:val="24"/>
          <w:szCs w:val="24"/>
        </w:rPr>
      </w:pPr>
      <w:r>
        <w:rPr>
          <w:rFonts w:cstheme="minorHAnsi"/>
          <w:sz w:val="24"/>
          <w:szCs w:val="24"/>
        </w:rPr>
        <w:t>L</w:t>
      </w:r>
      <w:r w:rsidRPr="00A56F82">
        <w:rPr>
          <w:rFonts w:cstheme="minorHAnsi"/>
          <w:sz w:val="24"/>
          <w:szCs w:val="24"/>
        </w:rPr>
        <w:t>eading efforts to embed risk management across the organization and evolv</w:t>
      </w:r>
      <w:r w:rsidR="00286558">
        <w:rPr>
          <w:rFonts w:cstheme="minorHAnsi"/>
          <w:sz w:val="24"/>
          <w:szCs w:val="24"/>
        </w:rPr>
        <w:t>ing</w:t>
      </w:r>
      <w:r w:rsidRPr="00A56F82">
        <w:rPr>
          <w:rFonts w:cstheme="minorHAnsi"/>
          <w:sz w:val="24"/>
          <w:szCs w:val="24"/>
        </w:rPr>
        <w:t xml:space="preserve"> enterprise risk management tools and competencies to continually develop risk management in line with leading best practice</w:t>
      </w:r>
      <w:r>
        <w:rPr>
          <w:rFonts w:cstheme="minorHAnsi"/>
          <w:sz w:val="24"/>
          <w:szCs w:val="24"/>
        </w:rPr>
        <w:t>.</w:t>
      </w:r>
    </w:p>
    <w:p w14:paraId="706A5FC1" w14:textId="3E4D1BDD" w:rsidR="00F71FC1" w:rsidRPr="00A56F82" w:rsidRDefault="00F71FC1" w:rsidP="00AC3E1C">
      <w:pPr>
        <w:pStyle w:val="ListParagraph"/>
        <w:numPr>
          <w:ilvl w:val="0"/>
          <w:numId w:val="7"/>
        </w:numPr>
        <w:snapToGrid w:val="0"/>
        <w:spacing w:before="120" w:after="120" w:line="240" w:lineRule="auto"/>
        <w:ind w:left="851" w:hanging="284"/>
        <w:contextualSpacing w:val="0"/>
        <w:rPr>
          <w:rFonts w:cstheme="minorHAnsi"/>
          <w:sz w:val="24"/>
          <w:szCs w:val="24"/>
        </w:rPr>
      </w:pPr>
      <w:r>
        <w:rPr>
          <w:rFonts w:cstheme="minorHAnsi"/>
          <w:sz w:val="24"/>
          <w:szCs w:val="24"/>
        </w:rPr>
        <w:t>A</w:t>
      </w:r>
      <w:r w:rsidRPr="00A56F82">
        <w:rPr>
          <w:rFonts w:cstheme="minorHAnsi"/>
          <w:sz w:val="24"/>
          <w:szCs w:val="24"/>
        </w:rPr>
        <w:t>cting as the contact point for best practice sharing on enterprise risk management at the inter-agency level</w:t>
      </w:r>
      <w:r w:rsidR="00286558">
        <w:rPr>
          <w:rFonts w:cstheme="minorHAnsi"/>
          <w:sz w:val="24"/>
          <w:szCs w:val="24"/>
        </w:rPr>
        <w:t>,</w:t>
      </w:r>
      <w:r w:rsidRPr="00A56F82">
        <w:rPr>
          <w:rFonts w:cstheme="minorHAnsi"/>
          <w:sz w:val="24"/>
          <w:szCs w:val="24"/>
        </w:rPr>
        <w:t xml:space="preserve"> embracing both security and business risk management analysis, judgements</w:t>
      </w:r>
      <w:r w:rsidR="00286558">
        <w:rPr>
          <w:rFonts w:cstheme="minorHAnsi"/>
          <w:sz w:val="24"/>
          <w:szCs w:val="24"/>
        </w:rPr>
        <w:t>,</w:t>
      </w:r>
      <w:r w:rsidRPr="00A56F82">
        <w:rPr>
          <w:rFonts w:cstheme="minorHAnsi"/>
          <w:sz w:val="24"/>
          <w:szCs w:val="24"/>
        </w:rPr>
        <w:t xml:space="preserve"> and decision-making</w:t>
      </w:r>
      <w:r>
        <w:rPr>
          <w:rFonts w:cstheme="minorHAnsi"/>
          <w:sz w:val="24"/>
          <w:szCs w:val="24"/>
        </w:rPr>
        <w:t>.</w:t>
      </w:r>
    </w:p>
    <w:p w14:paraId="3BE86919" w14:textId="2F32D5E3" w:rsidR="00F71FC1" w:rsidRPr="00A56F82" w:rsidRDefault="00F71FC1" w:rsidP="00AC3E1C">
      <w:pPr>
        <w:pStyle w:val="ListParagraph"/>
        <w:numPr>
          <w:ilvl w:val="0"/>
          <w:numId w:val="7"/>
        </w:numPr>
        <w:snapToGrid w:val="0"/>
        <w:spacing w:before="120" w:after="120" w:line="240" w:lineRule="auto"/>
        <w:ind w:left="851" w:hanging="284"/>
        <w:contextualSpacing w:val="0"/>
        <w:rPr>
          <w:rFonts w:cstheme="minorHAnsi"/>
          <w:sz w:val="24"/>
          <w:szCs w:val="24"/>
        </w:rPr>
      </w:pPr>
      <w:r>
        <w:rPr>
          <w:rFonts w:cstheme="minorHAnsi"/>
          <w:sz w:val="24"/>
          <w:szCs w:val="24"/>
        </w:rPr>
        <w:t>M</w:t>
      </w:r>
      <w:r w:rsidRPr="00A56F82">
        <w:rPr>
          <w:rFonts w:cstheme="minorHAnsi"/>
          <w:sz w:val="24"/>
          <w:szCs w:val="24"/>
        </w:rPr>
        <w:t>anaging the interface with the third line of defense on the corporate implementation of risk management</w:t>
      </w:r>
      <w:r>
        <w:rPr>
          <w:rFonts w:cstheme="minorHAnsi"/>
          <w:sz w:val="24"/>
          <w:szCs w:val="24"/>
        </w:rPr>
        <w:t xml:space="preserve"> </w:t>
      </w:r>
      <w:r w:rsidRPr="00A56F82">
        <w:rPr>
          <w:rFonts w:cstheme="minorHAnsi"/>
          <w:sz w:val="24"/>
          <w:szCs w:val="24"/>
        </w:rPr>
        <w:t>and responding to scrutiny concerning risk management from external parties, including the External Auditor, the Joint Inspection Unit</w:t>
      </w:r>
      <w:r w:rsidR="00286558">
        <w:rPr>
          <w:rFonts w:cstheme="minorHAnsi"/>
          <w:sz w:val="24"/>
          <w:szCs w:val="24"/>
        </w:rPr>
        <w:t>,</w:t>
      </w:r>
      <w:r w:rsidRPr="00A56F82">
        <w:rPr>
          <w:rFonts w:cstheme="minorHAnsi"/>
          <w:sz w:val="24"/>
          <w:szCs w:val="24"/>
        </w:rPr>
        <w:t xml:space="preserve"> and donors</w:t>
      </w:r>
      <w:r>
        <w:rPr>
          <w:rFonts w:cstheme="minorHAnsi"/>
          <w:sz w:val="24"/>
          <w:szCs w:val="24"/>
        </w:rPr>
        <w:t>.</w:t>
      </w:r>
    </w:p>
    <w:p w14:paraId="5E14B2D5" w14:textId="16B1F681" w:rsidR="00F71FC1" w:rsidRPr="00A56F82" w:rsidRDefault="00F71FC1" w:rsidP="00AC3E1C">
      <w:pPr>
        <w:pStyle w:val="ListParagraph"/>
        <w:numPr>
          <w:ilvl w:val="0"/>
          <w:numId w:val="7"/>
        </w:numPr>
        <w:snapToGrid w:val="0"/>
        <w:spacing w:before="120" w:after="120" w:line="240" w:lineRule="auto"/>
        <w:ind w:left="851" w:hanging="284"/>
        <w:contextualSpacing w:val="0"/>
        <w:rPr>
          <w:rFonts w:cstheme="minorHAnsi"/>
          <w:sz w:val="24"/>
          <w:szCs w:val="24"/>
        </w:rPr>
      </w:pPr>
      <w:r>
        <w:rPr>
          <w:rFonts w:cstheme="minorHAnsi"/>
          <w:sz w:val="24"/>
          <w:szCs w:val="24"/>
        </w:rPr>
        <w:t>C</w:t>
      </w:r>
      <w:r w:rsidRPr="00A56F82">
        <w:rPr>
          <w:rFonts w:cstheme="minorHAnsi"/>
          <w:sz w:val="24"/>
          <w:szCs w:val="24"/>
        </w:rPr>
        <w:t>onsolidate best practices and experiences in risk management and organizational resilience management</w:t>
      </w:r>
      <w:r>
        <w:rPr>
          <w:rFonts w:cstheme="minorHAnsi"/>
          <w:sz w:val="24"/>
          <w:szCs w:val="24"/>
        </w:rPr>
        <w:t>.</w:t>
      </w:r>
    </w:p>
    <w:p w14:paraId="5B1D6B8C" w14:textId="79A5F6D6" w:rsidR="00F71FC1" w:rsidRPr="00A56F82" w:rsidRDefault="00F71FC1" w:rsidP="00AC3E1C">
      <w:pPr>
        <w:pStyle w:val="ListParagraph"/>
        <w:numPr>
          <w:ilvl w:val="0"/>
          <w:numId w:val="7"/>
        </w:numPr>
        <w:snapToGrid w:val="0"/>
        <w:spacing w:before="120" w:after="120" w:line="240" w:lineRule="auto"/>
        <w:ind w:left="851" w:hanging="284"/>
        <w:contextualSpacing w:val="0"/>
        <w:rPr>
          <w:rFonts w:cstheme="minorHAnsi"/>
          <w:sz w:val="24"/>
          <w:szCs w:val="24"/>
        </w:rPr>
      </w:pPr>
      <w:r>
        <w:rPr>
          <w:rFonts w:cstheme="minorHAnsi"/>
          <w:sz w:val="24"/>
          <w:szCs w:val="24"/>
        </w:rPr>
        <w:t>W</w:t>
      </w:r>
      <w:r w:rsidRPr="00A56F82">
        <w:rPr>
          <w:rFonts w:cstheme="minorHAnsi"/>
          <w:sz w:val="24"/>
          <w:szCs w:val="24"/>
        </w:rPr>
        <w:t>ork closely with the ORMS Coordinator and IT BC/DR Manager who are under the supervision of the Head of SSD who has responsibility for Security Risk Management within the Union.</w:t>
      </w:r>
    </w:p>
    <w:p w14:paraId="70B2C9DB" w14:textId="0700F3AD" w:rsidR="00F7697B" w:rsidRDefault="00F7697B" w:rsidP="00AC3E1C">
      <w:pPr>
        <w:tabs>
          <w:tab w:val="clear" w:pos="567"/>
          <w:tab w:val="clear" w:pos="1134"/>
          <w:tab w:val="clear" w:pos="1701"/>
          <w:tab w:val="clear" w:pos="2268"/>
          <w:tab w:val="clear" w:pos="2835"/>
        </w:tabs>
        <w:overflowPunct/>
        <w:autoSpaceDE/>
        <w:autoSpaceDN/>
        <w:adjustRightInd/>
        <w:spacing w:before="360" w:after="120"/>
        <w:jc w:val="both"/>
        <w:textAlignment w:val="auto"/>
        <w:rPr>
          <w:rFonts w:asciiTheme="minorHAnsi" w:hAnsiTheme="minorHAnsi" w:cstheme="minorHAnsi"/>
          <w:b/>
          <w:bCs/>
          <w:color w:val="1F497D" w:themeColor="text2"/>
          <w:szCs w:val="24"/>
        </w:rPr>
      </w:pPr>
      <w:r>
        <w:rPr>
          <w:b/>
          <w:bCs/>
          <w:color w:val="1F497D" w:themeColor="text2"/>
          <w:lang w:val="en-US"/>
        </w:rPr>
        <w:t>C</w:t>
      </w:r>
      <w:r w:rsidRPr="00C94C95">
        <w:rPr>
          <w:color w:val="1F497D" w:themeColor="text2"/>
          <w:lang w:val="en-US"/>
        </w:rPr>
        <w:tab/>
      </w:r>
      <w:r w:rsidRPr="00F7697B">
        <w:rPr>
          <w:rFonts w:asciiTheme="minorHAnsi" w:hAnsiTheme="minorHAnsi" w:cstheme="minorHAnsi"/>
          <w:b/>
          <w:bCs/>
          <w:color w:val="1F497D" w:themeColor="text2"/>
          <w:szCs w:val="24"/>
        </w:rPr>
        <w:t>Partnerships and resource mobilization in order to attract extra-budgetary resources</w:t>
      </w:r>
    </w:p>
    <w:p w14:paraId="54720CDE" w14:textId="4C442ED2" w:rsidR="00F7697B" w:rsidRPr="00A56F82" w:rsidRDefault="00F7697B" w:rsidP="00AC3E1C">
      <w:pPr>
        <w:spacing w:after="120"/>
        <w:jc w:val="both"/>
        <w:rPr>
          <w:rFonts w:asciiTheme="minorHAnsi" w:hAnsiTheme="minorHAnsi" w:cstheme="minorHAnsi"/>
          <w:szCs w:val="24"/>
        </w:rPr>
      </w:pPr>
      <w:r w:rsidRPr="00A56F82">
        <w:rPr>
          <w:rFonts w:asciiTheme="minorHAnsi" w:hAnsiTheme="minorHAnsi" w:cstheme="minorHAnsi"/>
          <w:szCs w:val="24"/>
        </w:rPr>
        <w:t>BDT has fully adopted the Results Based Management which focusses on results and impact rather than activities. As available resources allocated in the regular budget has proved to be limited in addressing Membership expectations for impactful projects and initiatives, BDT is focusing on partnerships and resource mobilization in order to attract extra-budgetary resources. A P5</w:t>
      </w:r>
      <w:r w:rsidR="001E0694">
        <w:rPr>
          <w:rFonts w:asciiTheme="minorHAnsi" w:hAnsiTheme="minorHAnsi" w:cstheme="minorHAnsi"/>
          <w:szCs w:val="24"/>
        </w:rPr>
        <w:t> </w:t>
      </w:r>
      <w:r w:rsidRPr="00A56F82">
        <w:rPr>
          <w:rFonts w:asciiTheme="minorHAnsi" w:hAnsiTheme="minorHAnsi" w:cstheme="minorHAnsi"/>
          <w:szCs w:val="24"/>
        </w:rPr>
        <w:t>position is required to lead this effort. As negotiations, stewardship</w:t>
      </w:r>
      <w:r w:rsidR="00286558">
        <w:rPr>
          <w:rFonts w:asciiTheme="minorHAnsi" w:hAnsiTheme="minorHAnsi" w:cstheme="minorHAnsi"/>
          <w:szCs w:val="24"/>
        </w:rPr>
        <w:t>,</w:t>
      </w:r>
      <w:r w:rsidRPr="00A56F82">
        <w:rPr>
          <w:rFonts w:asciiTheme="minorHAnsi" w:hAnsiTheme="minorHAnsi" w:cstheme="minorHAnsi"/>
          <w:szCs w:val="24"/>
        </w:rPr>
        <w:t xml:space="preserve"> and representation at the senior level is required, it is necessary to have a P5 lead and give direction to the BDT team. To pave way for effective resource mobilization, BDT has developed a Resource Mobilization strategy and is currently running training for all staff in resource mobilization. However, without a specialist to coordinate and direct resource mobilization activities, targets may not be made and the culture in resource mobilization might not be fully adopted.</w:t>
      </w:r>
    </w:p>
    <w:p w14:paraId="18B27C8A" w14:textId="73850ACA" w:rsidR="00F7697B" w:rsidRDefault="00F7697B" w:rsidP="00AC3E1C">
      <w:pPr>
        <w:tabs>
          <w:tab w:val="clear" w:pos="567"/>
          <w:tab w:val="clear" w:pos="1134"/>
          <w:tab w:val="clear" w:pos="1701"/>
          <w:tab w:val="clear" w:pos="2268"/>
          <w:tab w:val="clear" w:pos="2835"/>
        </w:tabs>
        <w:overflowPunct/>
        <w:autoSpaceDE/>
        <w:autoSpaceDN/>
        <w:adjustRightInd/>
        <w:spacing w:before="360" w:after="120"/>
        <w:jc w:val="both"/>
        <w:textAlignment w:val="auto"/>
        <w:rPr>
          <w:rFonts w:asciiTheme="minorHAnsi" w:hAnsiTheme="minorHAnsi" w:cstheme="minorHAnsi"/>
          <w:b/>
          <w:bCs/>
          <w:color w:val="1F497D" w:themeColor="text2"/>
          <w:szCs w:val="24"/>
        </w:rPr>
      </w:pPr>
      <w:r>
        <w:rPr>
          <w:b/>
          <w:bCs/>
          <w:color w:val="1F497D" w:themeColor="text2"/>
          <w:lang w:val="en-US"/>
        </w:rPr>
        <w:t>D</w:t>
      </w:r>
      <w:r w:rsidRPr="00C94C95">
        <w:rPr>
          <w:color w:val="1F497D" w:themeColor="text2"/>
          <w:lang w:val="en-US"/>
        </w:rPr>
        <w:tab/>
      </w:r>
      <w:r w:rsidRPr="00F7697B">
        <w:rPr>
          <w:rFonts w:asciiTheme="minorHAnsi" w:hAnsiTheme="minorHAnsi" w:cstheme="minorHAnsi"/>
          <w:b/>
          <w:bCs/>
          <w:color w:val="1F497D" w:themeColor="text2"/>
          <w:szCs w:val="24"/>
        </w:rPr>
        <w:t>New ICT Eye, using modern technologies</w:t>
      </w:r>
    </w:p>
    <w:p w14:paraId="72E7CB0A" w14:textId="4527C0BD" w:rsidR="00F7697B" w:rsidRPr="00F7697B" w:rsidRDefault="00F7697B"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7697B">
        <w:rPr>
          <w:rFonts w:asciiTheme="minorHAnsi" w:hAnsiTheme="minorHAnsi" w:cstheme="minorHAnsi"/>
          <w:szCs w:val="24"/>
        </w:rPr>
        <w:t xml:space="preserve">The ICT Eye is an IT solution consisting of a suite of interfaces, databases, tools, and processes used by two divisions in BDT: </w:t>
      </w:r>
      <w:r>
        <w:rPr>
          <w:rFonts w:asciiTheme="minorHAnsi" w:hAnsiTheme="minorHAnsi" w:cstheme="minorHAnsi"/>
          <w:szCs w:val="24"/>
        </w:rPr>
        <w:t>T</w:t>
      </w:r>
      <w:r w:rsidRPr="00F7697B">
        <w:rPr>
          <w:rFonts w:asciiTheme="minorHAnsi" w:hAnsiTheme="minorHAnsi" w:cstheme="minorHAnsi"/>
          <w:szCs w:val="24"/>
        </w:rPr>
        <w:t>he Data and Analytics Division (IDA) and Regulatory and Market Environment Division (RME). The ICT Eye is currently used to submit, collect, store, validate, analyse, and publish data related to information and communication technologies (ICTs). The data include</w:t>
      </w:r>
      <w:r w:rsidR="009B0625">
        <w:rPr>
          <w:rFonts w:asciiTheme="minorHAnsi" w:hAnsiTheme="minorHAnsi" w:cstheme="minorHAnsi"/>
          <w:szCs w:val="24"/>
        </w:rPr>
        <w:t>s</w:t>
      </w:r>
      <w:r w:rsidRPr="00F7697B">
        <w:rPr>
          <w:rFonts w:asciiTheme="minorHAnsi" w:hAnsiTheme="minorHAnsi" w:cstheme="minorHAnsi"/>
          <w:szCs w:val="24"/>
        </w:rPr>
        <w:t xml:space="preserve"> statistics, micro-data, meta-data, and qualitative information related to market development, regulatory environments</w:t>
      </w:r>
      <w:r w:rsidR="00286558">
        <w:rPr>
          <w:rFonts w:asciiTheme="minorHAnsi" w:hAnsiTheme="minorHAnsi" w:cstheme="minorHAnsi"/>
          <w:szCs w:val="24"/>
        </w:rPr>
        <w:t>,</w:t>
      </w:r>
      <w:r w:rsidRPr="00F7697B">
        <w:rPr>
          <w:rFonts w:asciiTheme="minorHAnsi" w:hAnsiTheme="minorHAnsi" w:cstheme="minorHAnsi"/>
          <w:szCs w:val="24"/>
        </w:rPr>
        <w:t xml:space="preserve"> and tariff policies.</w:t>
      </w:r>
    </w:p>
    <w:p w14:paraId="41653BC3" w14:textId="7C5BC79B" w:rsidR="00F7697B" w:rsidRPr="00F7697B" w:rsidRDefault="00F7697B"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7697B">
        <w:rPr>
          <w:rFonts w:asciiTheme="minorHAnsi" w:hAnsiTheme="minorHAnsi" w:cstheme="minorHAnsi"/>
          <w:szCs w:val="24"/>
        </w:rPr>
        <w:t>The current ICT Eye relies on decades-old obsolete technologies, which requires bespoke effort from a few speciali</w:t>
      </w:r>
      <w:r w:rsidR="00286558">
        <w:rPr>
          <w:rFonts w:asciiTheme="minorHAnsi" w:hAnsiTheme="minorHAnsi" w:cstheme="minorHAnsi"/>
          <w:szCs w:val="24"/>
        </w:rPr>
        <w:t>z</w:t>
      </w:r>
      <w:r w:rsidRPr="00F7697B">
        <w:rPr>
          <w:rFonts w:asciiTheme="minorHAnsi" w:hAnsiTheme="minorHAnsi" w:cstheme="minorHAnsi"/>
          <w:szCs w:val="24"/>
        </w:rPr>
        <w:t>ed consultants for ongoing maintenance at relatively high cost. It does not meet the evolving needs of ITU</w:t>
      </w:r>
      <w:r w:rsidR="0093221E">
        <w:rPr>
          <w:rFonts w:asciiTheme="minorHAnsi" w:hAnsiTheme="minorHAnsi" w:cstheme="minorHAnsi"/>
          <w:szCs w:val="24"/>
        </w:rPr>
        <w:t>’</w:t>
      </w:r>
      <w:r w:rsidRPr="00F7697B">
        <w:rPr>
          <w:rFonts w:asciiTheme="minorHAnsi" w:hAnsiTheme="minorHAnsi" w:cstheme="minorHAnsi"/>
          <w:szCs w:val="24"/>
        </w:rPr>
        <w:t xml:space="preserve">s large and diverse stakeholder community, including staff, researchers, </w:t>
      </w:r>
      <w:r w:rsidRPr="00F7697B">
        <w:rPr>
          <w:rFonts w:asciiTheme="minorHAnsi" w:hAnsiTheme="minorHAnsi" w:cstheme="minorHAnsi"/>
          <w:szCs w:val="24"/>
        </w:rPr>
        <w:lastRenderedPageBreak/>
        <w:t>policymakers, media, and the public at large. Further, due to its slow user interfaces and the high level of manual intervention required to update and maintain the portal, the solution adversely affects staff productivity and work quality.</w:t>
      </w:r>
    </w:p>
    <w:p w14:paraId="541FAB1F" w14:textId="680581FD" w:rsidR="00F7697B" w:rsidRPr="00F7697B" w:rsidRDefault="00F7697B"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7697B">
        <w:rPr>
          <w:rFonts w:asciiTheme="minorHAnsi" w:hAnsiTheme="minorHAnsi" w:cstheme="minorHAnsi"/>
          <w:szCs w:val="24"/>
        </w:rPr>
        <w:t>A New ICT Eye, using modern technologies, will support ITU and its partners in every step of the data life cycle, change behaviours</w:t>
      </w:r>
      <w:r w:rsidR="009B0625">
        <w:rPr>
          <w:rFonts w:asciiTheme="minorHAnsi" w:hAnsiTheme="minorHAnsi" w:cstheme="minorHAnsi"/>
          <w:szCs w:val="24"/>
        </w:rPr>
        <w:t>,</w:t>
      </w:r>
      <w:r w:rsidRPr="00F7697B">
        <w:rPr>
          <w:rFonts w:asciiTheme="minorHAnsi" w:hAnsiTheme="minorHAnsi" w:cstheme="minorHAnsi"/>
          <w:szCs w:val="24"/>
        </w:rPr>
        <w:t xml:space="preserve"> and enable the community of users to significantly contribute to ITU</w:t>
      </w:r>
      <w:r w:rsidR="0093221E">
        <w:rPr>
          <w:rFonts w:asciiTheme="minorHAnsi" w:hAnsiTheme="minorHAnsi" w:cstheme="minorHAnsi"/>
          <w:szCs w:val="24"/>
        </w:rPr>
        <w:t>’</w:t>
      </w:r>
      <w:r w:rsidRPr="00F7697B">
        <w:rPr>
          <w:rFonts w:asciiTheme="minorHAnsi" w:hAnsiTheme="minorHAnsi" w:cstheme="minorHAnsi"/>
          <w:szCs w:val="24"/>
        </w:rPr>
        <w:t>s mission of connecting the world. The new solution will be a state-of-the-art, modular, evolutive, lean, user-centric IT solution that optimizes every step of the data life cycle, and significantly enhance analytical capabilities, productivity, and work quality of ITU staff and partners, including data providers.</w:t>
      </w:r>
    </w:p>
    <w:p w14:paraId="5DF4A13F" w14:textId="77777777" w:rsidR="00F7697B" w:rsidRPr="00F7697B" w:rsidRDefault="00F7697B"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7697B">
        <w:rPr>
          <w:rFonts w:asciiTheme="minorHAnsi" w:hAnsiTheme="minorHAnsi" w:cstheme="minorHAnsi"/>
          <w:szCs w:val="24"/>
        </w:rPr>
        <w:t>It is expected that the New ICT Eye will:</w:t>
      </w:r>
    </w:p>
    <w:p w14:paraId="0CDAD7B0" w14:textId="6A9A974F" w:rsidR="00F7697B" w:rsidRPr="00F7697B" w:rsidRDefault="00F7697B" w:rsidP="00AC3E1C">
      <w:pPr>
        <w:tabs>
          <w:tab w:val="clear" w:pos="567"/>
          <w:tab w:val="clear" w:pos="1134"/>
          <w:tab w:val="clear" w:pos="1701"/>
          <w:tab w:val="clear" w:pos="2268"/>
          <w:tab w:val="clear" w:pos="2835"/>
        </w:tabs>
        <w:overflowPunct/>
        <w:autoSpaceDE/>
        <w:autoSpaceDN/>
        <w:adjustRightInd/>
        <w:spacing w:after="120"/>
        <w:ind w:left="851" w:hanging="284"/>
        <w:jc w:val="both"/>
        <w:textAlignment w:val="auto"/>
        <w:rPr>
          <w:rFonts w:asciiTheme="minorHAnsi" w:hAnsiTheme="minorHAnsi" w:cstheme="minorHAnsi"/>
          <w:szCs w:val="24"/>
        </w:rPr>
      </w:pPr>
      <w:r w:rsidRPr="00F7697B">
        <w:rPr>
          <w:rFonts w:asciiTheme="minorHAnsi" w:hAnsiTheme="minorHAnsi" w:cstheme="minorHAnsi"/>
          <w:szCs w:val="24"/>
        </w:rPr>
        <w:t>•</w:t>
      </w:r>
      <w:r w:rsidRPr="00F7697B">
        <w:rPr>
          <w:rFonts w:asciiTheme="minorHAnsi" w:hAnsiTheme="minorHAnsi" w:cstheme="minorHAnsi"/>
          <w:szCs w:val="24"/>
        </w:rPr>
        <w:tab/>
        <w:t>Significantly improve the user experience, including ITU Member States - that are both the main submitters and main users of ITU data.</w:t>
      </w:r>
    </w:p>
    <w:p w14:paraId="429140B2" w14:textId="47AB94C1" w:rsidR="00F7697B" w:rsidRPr="00F7697B" w:rsidRDefault="00F7697B" w:rsidP="00AC3E1C">
      <w:pPr>
        <w:tabs>
          <w:tab w:val="clear" w:pos="567"/>
          <w:tab w:val="clear" w:pos="1134"/>
          <w:tab w:val="clear" w:pos="1701"/>
          <w:tab w:val="clear" w:pos="2268"/>
          <w:tab w:val="clear" w:pos="2835"/>
        </w:tabs>
        <w:overflowPunct/>
        <w:autoSpaceDE/>
        <w:autoSpaceDN/>
        <w:adjustRightInd/>
        <w:spacing w:after="120"/>
        <w:ind w:left="851" w:hanging="284"/>
        <w:jc w:val="both"/>
        <w:textAlignment w:val="auto"/>
        <w:rPr>
          <w:rFonts w:asciiTheme="minorHAnsi" w:hAnsiTheme="minorHAnsi" w:cstheme="minorHAnsi"/>
          <w:szCs w:val="24"/>
        </w:rPr>
      </w:pPr>
      <w:r w:rsidRPr="00F7697B">
        <w:rPr>
          <w:rFonts w:asciiTheme="minorHAnsi" w:hAnsiTheme="minorHAnsi" w:cstheme="minorHAnsi"/>
          <w:szCs w:val="24"/>
        </w:rPr>
        <w:t>•</w:t>
      </w:r>
      <w:r w:rsidRPr="00F7697B">
        <w:rPr>
          <w:rFonts w:asciiTheme="minorHAnsi" w:hAnsiTheme="minorHAnsi" w:cstheme="minorHAnsi"/>
          <w:szCs w:val="24"/>
        </w:rPr>
        <w:tab/>
        <w:t>Enhance analytical capabilities and improve the productivity of RME and IDA staff.</w:t>
      </w:r>
    </w:p>
    <w:p w14:paraId="596BCA9F" w14:textId="1C768EE6" w:rsidR="00F7697B" w:rsidRPr="00F7697B" w:rsidRDefault="00F7697B" w:rsidP="00AC3E1C">
      <w:pPr>
        <w:tabs>
          <w:tab w:val="clear" w:pos="567"/>
          <w:tab w:val="clear" w:pos="1134"/>
          <w:tab w:val="clear" w:pos="1701"/>
          <w:tab w:val="clear" w:pos="2268"/>
          <w:tab w:val="clear" w:pos="2835"/>
        </w:tabs>
        <w:overflowPunct/>
        <w:autoSpaceDE/>
        <w:autoSpaceDN/>
        <w:adjustRightInd/>
        <w:spacing w:after="120"/>
        <w:ind w:left="851" w:hanging="284"/>
        <w:jc w:val="both"/>
        <w:textAlignment w:val="auto"/>
        <w:rPr>
          <w:rFonts w:asciiTheme="minorHAnsi" w:hAnsiTheme="minorHAnsi" w:cstheme="minorHAnsi"/>
          <w:szCs w:val="24"/>
        </w:rPr>
      </w:pPr>
      <w:r w:rsidRPr="00F7697B">
        <w:rPr>
          <w:rFonts w:asciiTheme="minorHAnsi" w:hAnsiTheme="minorHAnsi" w:cstheme="minorHAnsi"/>
          <w:szCs w:val="24"/>
        </w:rPr>
        <w:t>•</w:t>
      </w:r>
      <w:r w:rsidRPr="00F7697B">
        <w:rPr>
          <w:rFonts w:asciiTheme="minorHAnsi" w:hAnsiTheme="minorHAnsi" w:cstheme="minorHAnsi"/>
          <w:szCs w:val="24"/>
        </w:rPr>
        <w:tab/>
        <w:t>Raise ITU standing and visibility thanks to increased traffic and use of ITU data.</w:t>
      </w:r>
    </w:p>
    <w:p w14:paraId="31F4D595" w14:textId="57B74EA4" w:rsidR="00F7697B" w:rsidRDefault="00F7697B" w:rsidP="00AC3E1C">
      <w:pPr>
        <w:tabs>
          <w:tab w:val="clear" w:pos="567"/>
          <w:tab w:val="clear" w:pos="1134"/>
          <w:tab w:val="clear" w:pos="1701"/>
          <w:tab w:val="clear" w:pos="2268"/>
          <w:tab w:val="clear" w:pos="2835"/>
        </w:tabs>
        <w:overflowPunct/>
        <w:autoSpaceDE/>
        <w:autoSpaceDN/>
        <w:adjustRightInd/>
        <w:spacing w:after="120"/>
        <w:ind w:left="851" w:hanging="284"/>
        <w:jc w:val="both"/>
        <w:textAlignment w:val="auto"/>
        <w:rPr>
          <w:rFonts w:asciiTheme="minorHAnsi" w:hAnsiTheme="minorHAnsi" w:cstheme="minorHAnsi"/>
          <w:szCs w:val="24"/>
        </w:rPr>
      </w:pPr>
      <w:r w:rsidRPr="00F7697B">
        <w:rPr>
          <w:rFonts w:asciiTheme="minorHAnsi" w:hAnsiTheme="minorHAnsi" w:cstheme="minorHAnsi"/>
          <w:szCs w:val="24"/>
        </w:rPr>
        <w:t>•</w:t>
      </w:r>
      <w:r w:rsidRPr="00F7697B">
        <w:rPr>
          <w:rFonts w:asciiTheme="minorHAnsi" w:hAnsiTheme="minorHAnsi" w:cstheme="minorHAnsi"/>
          <w:szCs w:val="24"/>
        </w:rPr>
        <w:tab/>
        <w:t>Generate significant economies of scale for BDT as the new solution can meet most of BDT data storage and dissemination needs.</w:t>
      </w:r>
    </w:p>
    <w:p w14:paraId="32413EF5" w14:textId="511114E8" w:rsidR="00F7697B" w:rsidRDefault="00F7697B" w:rsidP="00AC3E1C">
      <w:pPr>
        <w:tabs>
          <w:tab w:val="clear" w:pos="567"/>
          <w:tab w:val="clear" w:pos="1134"/>
          <w:tab w:val="clear" w:pos="1701"/>
          <w:tab w:val="clear" w:pos="2268"/>
          <w:tab w:val="clear" w:pos="2835"/>
        </w:tabs>
        <w:overflowPunct/>
        <w:autoSpaceDE/>
        <w:autoSpaceDN/>
        <w:adjustRightInd/>
        <w:spacing w:before="360" w:after="120"/>
        <w:jc w:val="both"/>
        <w:textAlignment w:val="auto"/>
        <w:rPr>
          <w:rFonts w:asciiTheme="minorHAnsi" w:hAnsiTheme="minorHAnsi" w:cstheme="minorHAnsi"/>
          <w:b/>
          <w:bCs/>
          <w:color w:val="1F497D" w:themeColor="text2"/>
          <w:szCs w:val="24"/>
        </w:rPr>
      </w:pPr>
      <w:r>
        <w:rPr>
          <w:b/>
          <w:bCs/>
          <w:color w:val="1F497D" w:themeColor="text2"/>
          <w:lang w:val="en-US"/>
        </w:rPr>
        <w:t>E</w:t>
      </w:r>
      <w:r w:rsidRPr="00C94C95">
        <w:rPr>
          <w:color w:val="1F497D" w:themeColor="text2"/>
          <w:lang w:val="en-US"/>
        </w:rPr>
        <w:tab/>
      </w:r>
      <w:r>
        <w:rPr>
          <w:rFonts w:asciiTheme="minorHAnsi" w:hAnsiTheme="minorHAnsi" w:cstheme="minorHAnsi"/>
          <w:b/>
          <w:bCs/>
          <w:color w:val="1F497D" w:themeColor="text2"/>
          <w:szCs w:val="24"/>
        </w:rPr>
        <w:t>Additional resources for ITU-T Study Group activities</w:t>
      </w:r>
      <w:r w:rsidR="00F85A7B">
        <w:rPr>
          <w:rFonts w:asciiTheme="minorHAnsi" w:hAnsiTheme="minorHAnsi" w:cstheme="minorHAnsi"/>
          <w:b/>
          <w:bCs/>
          <w:color w:val="1F497D" w:themeColor="text2"/>
          <w:szCs w:val="24"/>
        </w:rPr>
        <w:t xml:space="preserve"> (</w:t>
      </w:r>
      <w:hyperlink r:id="rId17" w:history="1">
        <w:r w:rsidR="00F85A7B" w:rsidRPr="00F85A7B">
          <w:rPr>
            <w:rStyle w:val="Hyperlink"/>
            <w:rFonts w:asciiTheme="minorHAnsi" w:hAnsiTheme="minorHAnsi" w:cstheme="minorHAnsi"/>
            <w:b/>
            <w:bCs/>
            <w:szCs w:val="24"/>
          </w:rPr>
          <w:t>C20/14</w:t>
        </w:r>
        <w:r w:rsidR="009B0625">
          <w:rPr>
            <w:rStyle w:val="Hyperlink"/>
            <w:rFonts w:asciiTheme="minorHAnsi" w:hAnsiTheme="minorHAnsi" w:cstheme="minorHAnsi"/>
            <w:b/>
            <w:bCs/>
            <w:szCs w:val="24"/>
          </w:rPr>
          <w:t xml:space="preserve"> </w:t>
        </w:r>
        <w:r w:rsidR="00F85A7B" w:rsidRPr="00F85A7B">
          <w:rPr>
            <w:rStyle w:val="Hyperlink"/>
            <w:rFonts w:asciiTheme="minorHAnsi" w:hAnsiTheme="minorHAnsi" w:cstheme="minorHAnsi"/>
            <w:b/>
            <w:bCs/>
            <w:szCs w:val="24"/>
          </w:rPr>
          <w:t>(Rev.1)</w:t>
        </w:r>
      </w:hyperlink>
      <w:r w:rsidR="00F85A7B">
        <w:rPr>
          <w:rFonts w:asciiTheme="minorHAnsi" w:hAnsiTheme="minorHAnsi" w:cstheme="minorHAnsi"/>
          <w:b/>
          <w:bCs/>
          <w:color w:val="1F497D" w:themeColor="text2"/>
          <w:szCs w:val="24"/>
        </w:rPr>
        <w:t>)</w:t>
      </w:r>
    </w:p>
    <w:p w14:paraId="7E1D8411" w14:textId="3658AA57" w:rsidR="00F7697B" w:rsidRPr="00C94C95" w:rsidRDefault="00F7697B" w:rsidP="00AC3E1C">
      <w:p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hAnsiTheme="minorHAnsi" w:cstheme="minorHAnsi"/>
          <w:color w:val="1F497D" w:themeColor="text2"/>
          <w:szCs w:val="24"/>
        </w:rPr>
      </w:pPr>
      <w:r>
        <w:rPr>
          <w:rFonts w:asciiTheme="minorHAnsi" w:hAnsiTheme="minorHAnsi" w:cstheme="minorHAnsi"/>
          <w:color w:val="1F497D" w:themeColor="text2"/>
          <w:szCs w:val="24"/>
        </w:rPr>
        <w:t>E</w:t>
      </w:r>
      <w:r w:rsidRPr="00C94C95">
        <w:rPr>
          <w:rFonts w:asciiTheme="minorHAnsi" w:hAnsiTheme="minorHAnsi" w:cstheme="minorHAnsi"/>
          <w:color w:val="1F497D" w:themeColor="text2"/>
          <w:szCs w:val="24"/>
        </w:rPr>
        <w:t>-</w:t>
      </w:r>
      <w:r>
        <w:rPr>
          <w:rFonts w:asciiTheme="minorHAnsi" w:hAnsiTheme="minorHAnsi" w:cstheme="minorHAnsi"/>
          <w:color w:val="1F497D" w:themeColor="text2"/>
          <w:szCs w:val="24"/>
        </w:rPr>
        <w:t>1</w:t>
      </w:r>
      <w:r w:rsidRPr="00C94C95">
        <w:rPr>
          <w:rFonts w:asciiTheme="minorHAnsi" w:hAnsiTheme="minorHAnsi" w:cstheme="minorHAnsi"/>
          <w:color w:val="1F497D" w:themeColor="text2"/>
          <w:szCs w:val="24"/>
        </w:rPr>
        <w:tab/>
      </w:r>
      <w:r w:rsidRPr="00F7697B">
        <w:rPr>
          <w:rFonts w:asciiTheme="minorHAnsi" w:hAnsiTheme="minorHAnsi" w:cstheme="minorHAnsi"/>
          <w:color w:val="1F497D" w:themeColor="text2"/>
          <w:szCs w:val="24"/>
        </w:rPr>
        <w:t>Cities around the world using ITU</w:t>
      </w:r>
      <w:r w:rsidR="0093221E">
        <w:rPr>
          <w:rFonts w:asciiTheme="minorHAnsi" w:hAnsiTheme="minorHAnsi" w:cstheme="minorHAnsi"/>
          <w:color w:val="1F497D" w:themeColor="text2"/>
          <w:szCs w:val="24"/>
        </w:rPr>
        <w:t>’</w:t>
      </w:r>
      <w:r w:rsidRPr="00F7697B">
        <w:rPr>
          <w:rFonts w:asciiTheme="minorHAnsi" w:hAnsiTheme="minorHAnsi" w:cstheme="minorHAnsi"/>
          <w:color w:val="1F497D" w:themeColor="text2"/>
          <w:szCs w:val="24"/>
        </w:rPr>
        <w:t>s Smart Sustainable City KPIs</w:t>
      </w:r>
    </w:p>
    <w:p w14:paraId="5CBE48E4" w14:textId="428D75A1" w:rsidR="00F7697B" w:rsidRPr="00A56F82" w:rsidRDefault="00F7697B" w:rsidP="00AC3E1C">
      <w:pPr>
        <w:pStyle w:val="paragraph"/>
        <w:spacing w:before="120" w:beforeAutospacing="0" w:after="120" w:afterAutospacing="0"/>
        <w:jc w:val="both"/>
        <w:textAlignment w:val="baseline"/>
        <w:rPr>
          <w:rFonts w:asciiTheme="minorHAnsi" w:hAnsiTheme="minorHAnsi" w:cstheme="minorHAnsi"/>
        </w:rPr>
      </w:pPr>
      <w:r w:rsidRPr="00A56F82">
        <w:rPr>
          <w:rFonts w:asciiTheme="minorHAnsi" w:hAnsiTheme="minorHAnsi" w:cstheme="minorHAnsi"/>
        </w:rPr>
        <w:t xml:space="preserve">More than 100 cities worldwide are measuring their progress towards becoming smart and sustainable cities and communities by using </w:t>
      </w:r>
      <w:r w:rsidR="0093221E">
        <w:rPr>
          <w:rFonts w:asciiTheme="minorHAnsi" w:hAnsiTheme="minorHAnsi" w:cstheme="minorHAnsi"/>
        </w:rPr>
        <w:t>‘</w:t>
      </w:r>
      <w:r w:rsidRPr="00A56F82">
        <w:rPr>
          <w:rFonts w:asciiTheme="minorHAnsi" w:hAnsiTheme="minorHAnsi" w:cstheme="minorHAnsi"/>
        </w:rPr>
        <w:t>Key Performance Indicators for Smart Sustainable Cities</w:t>
      </w:r>
      <w:r w:rsidR="0093221E">
        <w:rPr>
          <w:rFonts w:asciiTheme="minorHAnsi" w:hAnsiTheme="minorHAnsi" w:cstheme="minorHAnsi"/>
        </w:rPr>
        <w:t>’</w:t>
      </w:r>
      <w:r w:rsidRPr="00A56F82">
        <w:rPr>
          <w:rFonts w:asciiTheme="minorHAnsi" w:hAnsiTheme="minorHAnsi" w:cstheme="minorHAnsi"/>
        </w:rPr>
        <w:t xml:space="preserve"> based on ITU standards. ITU case studies have evaluated the progress achieved in the smart city projects of Dubai (UAE), Singapore, Moscow (Russian Federation), </w:t>
      </w:r>
      <w:proofErr w:type="spellStart"/>
      <w:r w:rsidRPr="00A56F82">
        <w:rPr>
          <w:rFonts w:asciiTheme="minorHAnsi" w:hAnsiTheme="minorHAnsi" w:cstheme="minorHAnsi"/>
        </w:rPr>
        <w:t>Ålesund</w:t>
      </w:r>
      <w:proofErr w:type="spellEnd"/>
      <w:r w:rsidRPr="00A56F82">
        <w:rPr>
          <w:rFonts w:asciiTheme="minorHAnsi" w:hAnsiTheme="minorHAnsi" w:cstheme="minorHAnsi"/>
        </w:rPr>
        <w:t xml:space="preserve"> (Norway), Bizerte (Tunisia), Riyadh (Saudi Arabia), and Pully (Switzerland), </w:t>
      </w:r>
      <w:r w:rsidR="0093221E">
        <w:rPr>
          <w:rFonts w:asciiTheme="minorHAnsi" w:hAnsiTheme="minorHAnsi" w:cstheme="minorHAnsi"/>
        </w:rPr>
        <w:t xml:space="preserve">with </w:t>
      </w:r>
      <w:r w:rsidRPr="00A56F82">
        <w:rPr>
          <w:rFonts w:asciiTheme="minorHAnsi" w:hAnsiTheme="minorHAnsi" w:cstheme="minorHAnsi"/>
        </w:rPr>
        <w:t>evaluations undertaken using the Key Performance Indicators.</w:t>
      </w:r>
    </w:p>
    <w:p w14:paraId="0AFF45EC" w14:textId="15C85358" w:rsidR="00F7697B" w:rsidRPr="00A56F82" w:rsidRDefault="00F7697B" w:rsidP="00AC3E1C">
      <w:pPr>
        <w:spacing w:after="120"/>
        <w:jc w:val="both"/>
        <w:rPr>
          <w:rFonts w:asciiTheme="minorHAnsi" w:hAnsiTheme="minorHAnsi" w:cstheme="minorHAnsi"/>
          <w:szCs w:val="24"/>
        </w:rPr>
      </w:pPr>
      <w:r w:rsidRPr="00A56F82">
        <w:rPr>
          <w:rFonts w:asciiTheme="minorHAnsi" w:hAnsiTheme="minorHAnsi" w:cstheme="minorHAnsi"/>
          <w:szCs w:val="24"/>
        </w:rPr>
        <w:t>ITU</w:t>
      </w:r>
      <w:r w:rsidR="0093221E">
        <w:rPr>
          <w:rFonts w:asciiTheme="minorHAnsi" w:hAnsiTheme="minorHAnsi" w:cstheme="minorHAnsi"/>
          <w:szCs w:val="24"/>
        </w:rPr>
        <w:t>’</w:t>
      </w:r>
      <w:r w:rsidRPr="00A56F82">
        <w:rPr>
          <w:rFonts w:asciiTheme="minorHAnsi" w:hAnsiTheme="minorHAnsi" w:cstheme="minorHAnsi"/>
          <w:szCs w:val="24"/>
        </w:rPr>
        <w:t xml:space="preserve">s key performance indicators are also promoted by the </w:t>
      </w:r>
      <w:r w:rsidR="0093221E">
        <w:rPr>
          <w:rFonts w:asciiTheme="minorHAnsi" w:hAnsiTheme="minorHAnsi" w:cstheme="minorHAnsi"/>
          <w:szCs w:val="24"/>
        </w:rPr>
        <w:t>‘</w:t>
      </w:r>
      <w:hyperlink r:id="rId18" w:history="1">
        <w:r w:rsidRPr="00A56F82">
          <w:rPr>
            <w:rStyle w:val="Hyperlink"/>
            <w:rFonts w:asciiTheme="minorHAnsi" w:hAnsiTheme="minorHAnsi" w:cstheme="minorHAnsi"/>
            <w:szCs w:val="24"/>
          </w:rPr>
          <w:t>United for Smart Sustainable Cities (U4SSC) initiative</w:t>
        </w:r>
      </w:hyperlink>
      <w:r w:rsidR="0093221E">
        <w:rPr>
          <w:rFonts w:asciiTheme="minorHAnsi" w:hAnsiTheme="minorHAnsi" w:cstheme="minorHAnsi"/>
          <w:szCs w:val="24"/>
        </w:rPr>
        <w:t>‘</w:t>
      </w:r>
      <w:r w:rsidRPr="00A56F82">
        <w:rPr>
          <w:rFonts w:asciiTheme="minorHAnsi" w:hAnsiTheme="minorHAnsi" w:cstheme="minorHAnsi"/>
          <w:szCs w:val="24"/>
        </w:rPr>
        <w:t>. The U4SSC initiative is</w:t>
      </w:r>
      <w:r w:rsidRPr="00A56F82">
        <w:rPr>
          <w:rFonts w:asciiTheme="minorHAnsi" w:hAnsiTheme="minorHAnsi" w:cstheme="minorHAnsi"/>
          <w:bCs/>
          <w:szCs w:val="24"/>
        </w:rPr>
        <w:t xml:space="preserve"> supported by 16 UN bodies, advocates for public policy to ensure that ICTs – and ICT standards in particular – play a definitive role in the transition to smart cities. A range of </w:t>
      </w:r>
      <w:r w:rsidRPr="00A56F82">
        <w:rPr>
          <w:rFonts w:asciiTheme="minorHAnsi" w:hAnsiTheme="minorHAnsi" w:cstheme="minorHAnsi"/>
          <w:szCs w:val="24"/>
        </w:rPr>
        <w:t xml:space="preserve">city </w:t>
      </w:r>
      <w:r w:rsidR="0093221E">
        <w:rPr>
          <w:rFonts w:asciiTheme="minorHAnsi" w:hAnsiTheme="minorHAnsi" w:cstheme="minorHAnsi"/>
          <w:szCs w:val="24"/>
        </w:rPr>
        <w:t>‘</w:t>
      </w:r>
      <w:r w:rsidRPr="00A56F82">
        <w:rPr>
          <w:rFonts w:asciiTheme="minorHAnsi" w:hAnsiTheme="minorHAnsi" w:cstheme="minorHAnsi"/>
          <w:szCs w:val="24"/>
        </w:rPr>
        <w:t>fact sheets</w:t>
      </w:r>
      <w:r w:rsidR="0093221E">
        <w:rPr>
          <w:rFonts w:asciiTheme="minorHAnsi" w:hAnsiTheme="minorHAnsi" w:cstheme="minorHAnsi"/>
          <w:szCs w:val="24"/>
        </w:rPr>
        <w:t>’</w:t>
      </w:r>
      <w:r w:rsidRPr="00A56F82">
        <w:rPr>
          <w:rFonts w:asciiTheme="minorHAnsi" w:hAnsiTheme="minorHAnsi" w:cstheme="minorHAnsi"/>
          <w:szCs w:val="24"/>
        </w:rPr>
        <w:t xml:space="preserve"> developed under the auspices of U4SSC was launched at the 9th ITU Green Standards Week. The fact sheets address the relationship between smart city </w:t>
      </w:r>
      <w:r w:rsidRPr="00A56F82">
        <w:rPr>
          <w:rFonts w:asciiTheme="minorHAnsi" w:hAnsiTheme="minorHAnsi" w:cstheme="minorHAnsi"/>
          <w:spacing w:val="-4"/>
          <w:szCs w:val="24"/>
        </w:rPr>
        <w:t>initiatives and the Sustainable Development Goals, sharing insight into cities</w:t>
      </w:r>
      <w:r w:rsidR="0093221E">
        <w:rPr>
          <w:rFonts w:asciiTheme="minorHAnsi" w:hAnsiTheme="minorHAnsi" w:cstheme="minorHAnsi"/>
          <w:spacing w:val="-4"/>
          <w:szCs w:val="24"/>
        </w:rPr>
        <w:t>’</w:t>
      </w:r>
      <w:r w:rsidRPr="00A56F82">
        <w:rPr>
          <w:rFonts w:asciiTheme="minorHAnsi" w:hAnsiTheme="minorHAnsi" w:cstheme="minorHAnsi"/>
          <w:spacing w:val="-4"/>
          <w:szCs w:val="24"/>
        </w:rPr>
        <w:t xml:space="preserve"> experiences in this regard.</w:t>
      </w:r>
    </w:p>
    <w:p w14:paraId="7E2A2235" w14:textId="553272D9" w:rsidR="00F7697B" w:rsidRPr="00A56F82" w:rsidRDefault="00F7697B" w:rsidP="00AC3E1C">
      <w:pPr>
        <w:spacing w:after="120"/>
        <w:jc w:val="both"/>
        <w:rPr>
          <w:rFonts w:asciiTheme="minorHAnsi" w:eastAsiaTheme="minorEastAsia" w:hAnsiTheme="minorHAnsi" w:cstheme="minorHAnsi"/>
          <w:szCs w:val="24"/>
          <w:lang w:eastAsia="zh-CN"/>
        </w:rPr>
      </w:pPr>
      <w:bookmarkStart w:id="11" w:name="_Hlk68785973"/>
      <w:r w:rsidRPr="00A56F82">
        <w:rPr>
          <w:rFonts w:asciiTheme="minorHAnsi" w:eastAsiaTheme="minorEastAsia" w:hAnsiTheme="minorHAnsi" w:cstheme="minorHAnsi"/>
          <w:szCs w:val="24"/>
          <w:lang w:eastAsia="zh-CN"/>
        </w:rPr>
        <w:t xml:space="preserve">WTSA-Resolution 98 </w:t>
      </w:r>
      <w:r w:rsidR="0093221E">
        <w:rPr>
          <w:rFonts w:asciiTheme="minorHAnsi" w:eastAsiaTheme="minorEastAsia" w:hAnsiTheme="minorHAnsi" w:cstheme="minorHAnsi"/>
          <w:szCs w:val="24"/>
          <w:lang w:eastAsia="zh-CN"/>
        </w:rPr>
        <w:t>“</w:t>
      </w:r>
      <w:r w:rsidRPr="00A56F82">
        <w:rPr>
          <w:rFonts w:asciiTheme="minorHAnsi" w:eastAsiaTheme="minorEastAsia" w:hAnsiTheme="minorHAnsi" w:cstheme="minorHAnsi"/>
          <w:szCs w:val="24"/>
          <w:lang w:eastAsia="zh-CN"/>
        </w:rPr>
        <w:t>Enhancing the standardization of Internet of things and smart cities and communities for global development</w:t>
      </w:r>
      <w:r w:rsidR="0093221E">
        <w:rPr>
          <w:rFonts w:asciiTheme="minorHAnsi" w:eastAsiaTheme="minorEastAsia" w:hAnsiTheme="minorHAnsi" w:cstheme="minorHAnsi"/>
          <w:szCs w:val="24"/>
          <w:lang w:eastAsia="zh-CN"/>
        </w:rPr>
        <w:t>”</w:t>
      </w:r>
      <w:r w:rsidRPr="00A56F82">
        <w:rPr>
          <w:rFonts w:asciiTheme="minorHAnsi" w:eastAsiaTheme="minorEastAsia" w:hAnsiTheme="minorHAnsi" w:cstheme="minorHAnsi"/>
          <w:szCs w:val="24"/>
          <w:lang w:eastAsia="zh-CN"/>
        </w:rPr>
        <w:t xml:space="preserve"> instructs the TSB Director </w:t>
      </w:r>
      <w:r w:rsidR="0093221E">
        <w:rPr>
          <w:rFonts w:asciiTheme="minorHAnsi" w:eastAsiaTheme="minorEastAsia" w:hAnsiTheme="minorHAnsi" w:cstheme="minorHAnsi"/>
          <w:szCs w:val="24"/>
          <w:lang w:eastAsia="zh-CN"/>
        </w:rPr>
        <w:t>“</w:t>
      </w:r>
      <w:r w:rsidRPr="00A56F82">
        <w:rPr>
          <w:rFonts w:asciiTheme="minorHAnsi" w:hAnsiTheme="minorHAnsi" w:cstheme="minorHAnsi"/>
          <w:szCs w:val="24"/>
        </w:rPr>
        <w:t xml:space="preserve">to continue to support the </w:t>
      </w:r>
      <w:r w:rsidRPr="000019C6">
        <w:rPr>
          <w:rFonts w:asciiTheme="minorHAnsi" w:hAnsiTheme="minorHAnsi" w:cstheme="minorHAnsi"/>
          <w:szCs w:val="24"/>
        </w:rPr>
        <w:t>United for Smart Sustainable Cities Initiative (U4SSC), launched by ITU together with the United</w:t>
      </w:r>
      <w:r w:rsidRPr="00A56F82">
        <w:rPr>
          <w:rFonts w:asciiTheme="minorHAnsi" w:hAnsiTheme="minorHAnsi" w:cstheme="minorHAnsi"/>
          <w:szCs w:val="24"/>
        </w:rPr>
        <w:t xml:space="preserve"> Nations Economic Commission for Europe (UNECE) in May 2016 […]</w:t>
      </w:r>
      <w:r w:rsidR="0093221E">
        <w:rPr>
          <w:rFonts w:asciiTheme="minorHAnsi" w:eastAsiaTheme="minorEastAsia" w:hAnsiTheme="minorHAnsi" w:cstheme="minorHAnsi"/>
          <w:szCs w:val="24"/>
          <w:lang w:eastAsia="zh-CN"/>
        </w:rPr>
        <w:t>”</w:t>
      </w:r>
      <w:r w:rsidRPr="00A56F82">
        <w:rPr>
          <w:rFonts w:asciiTheme="minorHAnsi" w:eastAsiaTheme="minorEastAsia" w:hAnsiTheme="minorHAnsi" w:cstheme="minorHAnsi"/>
          <w:szCs w:val="24"/>
          <w:lang w:eastAsia="zh-CN"/>
        </w:rPr>
        <w:t>.</w:t>
      </w:r>
    </w:p>
    <w:bookmarkEnd w:id="11"/>
    <w:p w14:paraId="316F434A" w14:textId="323CA37F" w:rsidR="00F7697B" w:rsidRPr="00A56F82" w:rsidRDefault="00F7697B" w:rsidP="00AC3E1C">
      <w:pPr>
        <w:spacing w:after="120"/>
        <w:jc w:val="both"/>
        <w:rPr>
          <w:rFonts w:asciiTheme="minorHAnsi" w:hAnsiTheme="minorHAnsi" w:cstheme="minorHAnsi"/>
          <w:szCs w:val="24"/>
        </w:rPr>
      </w:pPr>
      <w:r w:rsidRPr="00A56F82">
        <w:rPr>
          <w:rFonts w:asciiTheme="minorHAnsi" w:hAnsiTheme="minorHAnsi" w:cstheme="minorHAnsi"/>
          <w:szCs w:val="24"/>
        </w:rPr>
        <w:t>Additional resources are needed to manage the increasing requests for additional cities to implement the ITU-T</w:t>
      </w:r>
      <w:r w:rsidR="0093221E">
        <w:rPr>
          <w:rFonts w:asciiTheme="minorHAnsi" w:hAnsiTheme="minorHAnsi" w:cstheme="minorHAnsi"/>
          <w:szCs w:val="24"/>
        </w:rPr>
        <w:t>’</w:t>
      </w:r>
      <w:r w:rsidRPr="00A56F82">
        <w:rPr>
          <w:rFonts w:asciiTheme="minorHAnsi" w:hAnsiTheme="minorHAnsi" w:cstheme="minorHAnsi"/>
          <w:szCs w:val="24"/>
        </w:rPr>
        <w:t>s KPI standards in support of U4SSC, to provide adequate secretariat support to the U4SSC initiative, and to feedback the learnings and new requirements to the relevant ITU-T Study Groups.</w:t>
      </w:r>
    </w:p>
    <w:p w14:paraId="6C9A7F96" w14:textId="5B58FBAD" w:rsidR="00F7697B" w:rsidRDefault="00F7697B"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A56F82">
        <w:rPr>
          <w:rFonts w:asciiTheme="minorHAnsi" w:hAnsiTheme="minorHAnsi" w:cstheme="minorHAnsi"/>
          <w:szCs w:val="24"/>
        </w:rPr>
        <w:t xml:space="preserve">TSB is requesting one additional </w:t>
      </w:r>
      <w:r w:rsidRPr="00185E49">
        <w:rPr>
          <w:rFonts w:asciiTheme="minorHAnsi" w:hAnsiTheme="minorHAnsi" w:cstheme="minorHAnsi"/>
          <w:szCs w:val="24"/>
        </w:rPr>
        <w:t>P2 staff</w:t>
      </w:r>
      <w:r w:rsidRPr="00A56F82">
        <w:rPr>
          <w:rFonts w:asciiTheme="minorHAnsi" w:hAnsiTheme="minorHAnsi" w:cstheme="minorHAnsi"/>
          <w:szCs w:val="24"/>
        </w:rPr>
        <w:t xml:space="preserve"> to support the activities of </w:t>
      </w:r>
      <w:r w:rsidRPr="00A56F82">
        <w:rPr>
          <w:rFonts w:asciiTheme="minorHAnsi" w:eastAsiaTheme="minorEastAsia" w:hAnsiTheme="minorHAnsi" w:cstheme="minorHAnsi"/>
          <w:szCs w:val="24"/>
          <w:lang w:eastAsia="zh-CN"/>
        </w:rPr>
        <w:t>ITU</w:t>
      </w:r>
      <w:r w:rsidR="0093221E">
        <w:rPr>
          <w:rFonts w:asciiTheme="minorHAnsi" w:eastAsiaTheme="minorEastAsia" w:hAnsiTheme="minorHAnsi" w:cstheme="minorHAnsi"/>
          <w:szCs w:val="24"/>
          <w:lang w:eastAsia="zh-CN"/>
        </w:rPr>
        <w:t>’</w:t>
      </w:r>
      <w:r w:rsidRPr="00A56F82">
        <w:rPr>
          <w:rFonts w:asciiTheme="minorHAnsi" w:eastAsiaTheme="minorEastAsia" w:hAnsiTheme="minorHAnsi" w:cstheme="minorHAnsi"/>
          <w:szCs w:val="24"/>
          <w:lang w:eastAsia="zh-CN"/>
        </w:rPr>
        <w:t xml:space="preserve">s Smart Sustainable City KPIs and </w:t>
      </w:r>
      <w:r w:rsidRPr="00A56F82">
        <w:rPr>
          <w:rFonts w:asciiTheme="minorHAnsi" w:hAnsiTheme="minorHAnsi" w:cstheme="minorHAnsi"/>
          <w:szCs w:val="24"/>
        </w:rPr>
        <w:t>U4SSC.</w:t>
      </w:r>
    </w:p>
    <w:p w14:paraId="67E7C69B" w14:textId="0F9FA395" w:rsidR="00F7697B" w:rsidRPr="00C94C95" w:rsidRDefault="00F7697B" w:rsidP="0050490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color w:val="1F497D" w:themeColor="text2"/>
          <w:szCs w:val="24"/>
        </w:rPr>
      </w:pPr>
      <w:r>
        <w:rPr>
          <w:rFonts w:asciiTheme="minorHAnsi" w:hAnsiTheme="minorHAnsi" w:cstheme="minorHAnsi"/>
          <w:color w:val="1F497D" w:themeColor="text2"/>
          <w:szCs w:val="24"/>
        </w:rPr>
        <w:lastRenderedPageBreak/>
        <w:t>E</w:t>
      </w:r>
      <w:r w:rsidRPr="00C94C95">
        <w:rPr>
          <w:rFonts w:asciiTheme="minorHAnsi" w:hAnsiTheme="minorHAnsi" w:cstheme="minorHAnsi"/>
          <w:color w:val="1F497D" w:themeColor="text2"/>
          <w:szCs w:val="24"/>
        </w:rPr>
        <w:t>-</w:t>
      </w:r>
      <w:r>
        <w:rPr>
          <w:rFonts w:asciiTheme="minorHAnsi" w:hAnsiTheme="minorHAnsi" w:cstheme="minorHAnsi"/>
          <w:color w:val="1F497D" w:themeColor="text2"/>
          <w:szCs w:val="24"/>
        </w:rPr>
        <w:t>2</w:t>
      </w:r>
      <w:r w:rsidRPr="00C94C95">
        <w:rPr>
          <w:rFonts w:asciiTheme="minorHAnsi" w:hAnsiTheme="minorHAnsi" w:cstheme="minorHAnsi"/>
          <w:color w:val="1F497D" w:themeColor="text2"/>
          <w:szCs w:val="24"/>
        </w:rPr>
        <w:tab/>
      </w:r>
      <w:r w:rsidRPr="00F7697B">
        <w:rPr>
          <w:rFonts w:asciiTheme="minorHAnsi" w:hAnsiTheme="minorHAnsi" w:cstheme="minorHAnsi"/>
          <w:color w:val="1F497D" w:themeColor="text2"/>
          <w:szCs w:val="24"/>
        </w:rPr>
        <w:t>International Numbering Resources (INRs), the backbone of communication networks</w:t>
      </w:r>
    </w:p>
    <w:p w14:paraId="75A48CEA" w14:textId="0AE03727" w:rsidR="00F7697B" w:rsidRPr="00F7697B" w:rsidRDefault="00F7697B"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rPr>
      </w:pPr>
      <w:r w:rsidRPr="00F7697B">
        <w:rPr>
          <w:rFonts w:asciiTheme="minorHAnsi" w:hAnsiTheme="minorHAnsi" w:cstheme="minorHAnsi"/>
        </w:rPr>
        <w:t>ITU assigns about twenty types of International Numbering Resources (INRs), either directly or indirectly. Recommendation ITU-T E.195 proposes the formation and functions/responsibilities of the centralized ITU Numbering Administration Group (ITU-NAG) within TSB. It provides recommended procedures to ensure that all requests for resources are handled in an impartial, uniform, consistent, and effective manner.</w:t>
      </w:r>
    </w:p>
    <w:p w14:paraId="360D5E6E" w14:textId="39EC6B51" w:rsidR="00F7697B" w:rsidRPr="001E2BF3" w:rsidRDefault="00F7697B"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7697B">
        <w:rPr>
          <w:rFonts w:asciiTheme="minorHAnsi" w:hAnsiTheme="minorHAnsi" w:cstheme="minorHAnsi"/>
        </w:rPr>
        <w:t xml:space="preserve">Notifications of national numbering/identification plan updates and assignments or reclamations of national numbering/identification resources are received and published in the ITU Operational Bulletin. The ITU Operational Bulletin is published in the six official languages of the Union twice a month. Some 20 annexes are maintained on numbers and codes allocated in accordance with the </w:t>
      </w:r>
      <w:r w:rsidRPr="001E2BF3">
        <w:rPr>
          <w:rFonts w:asciiTheme="minorHAnsi" w:hAnsiTheme="minorHAnsi" w:cstheme="minorHAnsi"/>
          <w:szCs w:val="24"/>
        </w:rPr>
        <w:t>following recommendations:</w:t>
      </w:r>
    </w:p>
    <w:p w14:paraId="6A5D10D9" w14:textId="6D33FFE9" w:rsidR="00F7697B" w:rsidRPr="001E2BF3" w:rsidRDefault="00F7697B" w:rsidP="00AC3E1C">
      <w:pPr>
        <w:pStyle w:val="ListParagraph"/>
        <w:numPr>
          <w:ilvl w:val="0"/>
          <w:numId w:val="9"/>
        </w:numPr>
        <w:spacing w:before="120" w:after="120" w:line="240" w:lineRule="auto"/>
        <w:ind w:left="851" w:hanging="284"/>
        <w:contextualSpacing w:val="0"/>
        <w:rPr>
          <w:rFonts w:cstheme="minorHAnsi"/>
          <w:sz w:val="24"/>
          <w:szCs w:val="24"/>
        </w:rPr>
      </w:pPr>
      <w:r w:rsidRPr="001E2BF3">
        <w:rPr>
          <w:rFonts w:cstheme="minorHAnsi"/>
          <w:sz w:val="24"/>
          <w:szCs w:val="24"/>
        </w:rPr>
        <w:t xml:space="preserve">ITU-T E.164 </w:t>
      </w:r>
      <w:r w:rsidR="0093221E">
        <w:rPr>
          <w:rFonts w:cstheme="minorHAnsi"/>
          <w:sz w:val="24"/>
          <w:szCs w:val="24"/>
        </w:rPr>
        <w:t>“</w:t>
      </w:r>
      <w:r w:rsidRPr="001E2BF3">
        <w:rPr>
          <w:rFonts w:cstheme="minorHAnsi"/>
          <w:sz w:val="24"/>
          <w:szCs w:val="24"/>
        </w:rPr>
        <w:t>The international public telecommunication numbering plan</w:t>
      </w:r>
      <w:r w:rsidR="0093221E">
        <w:rPr>
          <w:rFonts w:cstheme="minorHAnsi"/>
          <w:sz w:val="24"/>
          <w:szCs w:val="24"/>
        </w:rPr>
        <w:t>”</w:t>
      </w:r>
      <w:r w:rsidR="001E2BF3">
        <w:rPr>
          <w:rFonts w:cstheme="minorHAnsi"/>
          <w:sz w:val="24"/>
          <w:szCs w:val="24"/>
        </w:rPr>
        <w:t>.</w:t>
      </w:r>
    </w:p>
    <w:p w14:paraId="0F5C3664" w14:textId="79BB1756" w:rsidR="00F7697B" w:rsidRPr="001E2BF3" w:rsidRDefault="00F7697B" w:rsidP="00AC3E1C">
      <w:pPr>
        <w:pStyle w:val="ListParagraph"/>
        <w:numPr>
          <w:ilvl w:val="0"/>
          <w:numId w:val="9"/>
        </w:numPr>
        <w:spacing w:before="120" w:after="120" w:line="240" w:lineRule="auto"/>
        <w:ind w:left="851" w:hanging="284"/>
        <w:contextualSpacing w:val="0"/>
        <w:rPr>
          <w:rFonts w:cstheme="minorHAnsi"/>
          <w:sz w:val="24"/>
          <w:szCs w:val="24"/>
        </w:rPr>
      </w:pPr>
      <w:r w:rsidRPr="001E2BF3">
        <w:rPr>
          <w:rFonts w:cstheme="minorHAnsi"/>
          <w:sz w:val="24"/>
          <w:szCs w:val="24"/>
        </w:rPr>
        <w:t xml:space="preserve">ITU-T E.118 </w:t>
      </w:r>
      <w:r w:rsidR="0093221E">
        <w:rPr>
          <w:rFonts w:cstheme="minorHAnsi"/>
          <w:sz w:val="24"/>
          <w:szCs w:val="24"/>
        </w:rPr>
        <w:t>“</w:t>
      </w:r>
      <w:r w:rsidRPr="001E2BF3">
        <w:rPr>
          <w:rFonts w:cstheme="minorHAnsi"/>
          <w:sz w:val="24"/>
          <w:szCs w:val="24"/>
        </w:rPr>
        <w:t>The international telecommunication charge card</w:t>
      </w:r>
      <w:r w:rsidR="0093221E">
        <w:rPr>
          <w:rFonts w:cstheme="minorHAnsi"/>
          <w:sz w:val="24"/>
          <w:szCs w:val="24"/>
        </w:rPr>
        <w:t>”</w:t>
      </w:r>
      <w:r w:rsidR="001E2BF3">
        <w:rPr>
          <w:rFonts w:cstheme="minorHAnsi"/>
          <w:sz w:val="24"/>
          <w:szCs w:val="24"/>
        </w:rPr>
        <w:t>.</w:t>
      </w:r>
    </w:p>
    <w:p w14:paraId="5F9F60D6" w14:textId="25E40683" w:rsidR="00F7697B" w:rsidRPr="001E2BF3" w:rsidRDefault="00F7697B" w:rsidP="00AC3E1C">
      <w:pPr>
        <w:pStyle w:val="ListParagraph"/>
        <w:numPr>
          <w:ilvl w:val="0"/>
          <w:numId w:val="9"/>
        </w:numPr>
        <w:spacing w:before="120" w:after="120" w:line="240" w:lineRule="auto"/>
        <w:ind w:left="851" w:hanging="284"/>
        <w:contextualSpacing w:val="0"/>
        <w:rPr>
          <w:rFonts w:cstheme="minorHAnsi"/>
          <w:sz w:val="24"/>
          <w:szCs w:val="24"/>
        </w:rPr>
      </w:pPr>
      <w:r w:rsidRPr="001E2BF3">
        <w:rPr>
          <w:rFonts w:cstheme="minorHAnsi"/>
          <w:sz w:val="24"/>
          <w:szCs w:val="24"/>
        </w:rPr>
        <w:t xml:space="preserve">ITU-T E.212 </w:t>
      </w:r>
      <w:r w:rsidR="0093221E">
        <w:rPr>
          <w:rFonts w:cstheme="minorHAnsi"/>
          <w:sz w:val="24"/>
          <w:szCs w:val="24"/>
        </w:rPr>
        <w:t>“</w:t>
      </w:r>
      <w:r w:rsidRPr="001E2BF3">
        <w:rPr>
          <w:rFonts w:cstheme="minorHAnsi"/>
          <w:sz w:val="24"/>
          <w:szCs w:val="24"/>
        </w:rPr>
        <w:t>The international identification plan for public networks and subscriptions</w:t>
      </w:r>
      <w:r w:rsidR="0093221E">
        <w:rPr>
          <w:rFonts w:cstheme="minorHAnsi"/>
          <w:sz w:val="24"/>
          <w:szCs w:val="24"/>
        </w:rPr>
        <w:t>”</w:t>
      </w:r>
      <w:r w:rsidR="001E2BF3">
        <w:rPr>
          <w:rFonts w:cstheme="minorHAnsi"/>
          <w:sz w:val="24"/>
          <w:szCs w:val="24"/>
        </w:rPr>
        <w:t>.</w:t>
      </w:r>
    </w:p>
    <w:p w14:paraId="0052C8AA" w14:textId="562D85F9" w:rsidR="00F7697B" w:rsidRPr="001E2BF3" w:rsidRDefault="00F7697B" w:rsidP="00AC3E1C">
      <w:pPr>
        <w:pStyle w:val="ListParagraph"/>
        <w:numPr>
          <w:ilvl w:val="0"/>
          <w:numId w:val="9"/>
        </w:numPr>
        <w:spacing w:before="120" w:after="120" w:line="240" w:lineRule="auto"/>
        <w:ind w:left="851" w:hanging="284"/>
        <w:contextualSpacing w:val="0"/>
        <w:rPr>
          <w:rFonts w:cstheme="minorHAnsi"/>
          <w:sz w:val="24"/>
          <w:szCs w:val="24"/>
        </w:rPr>
      </w:pPr>
      <w:r w:rsidRPr="001E2BF3">
        <w:rPr>
          <w:rFonts w:cstheme="minorHAnsi"/>
          <w:sz w:val="24"/>
          <w:szCs w:val="24"/>
        </w:rPr>
        <w:t xml:space="preserve">ITU-T E.218 </w:t>
      </w:r>
      <w:r w:rsidR="0093221E">
        <w:rPr>
          <w:rFonts w:cstheme="minorHAnsi"/>
          <w:sz w:val="24"/>
          <w:szCs w:val="24"/>
        </w:rPr>
        <w:t>“</w:t>
      </w:r>
      <w:r w:rsidRPr="001E2BF3">
        <w:rPr>
          <w:rFonts w:cstheme="minorHAnsi"/>
          <w:sz w:val="24"/>
          <w:szCs w:val="24"/>
        </w:rPr>
        <w:t>Management of the allocation of terrestrial trunk radio Mobile Country Codes</w:t>
      </w:r>
      <w:r w:rsidR="0093221E">
        <w:rPr>
          <w:rFonts w:cstheme="minorHAnsi"/>
          <w:sz w:val="24"/>
          <w:szCs w:val="24"/>
        </w:rPr>
        <w:t>”</w:t>
      </w:r>
      <w:r w:rsidR="001E2BF3">
        <w:rPr>
          <w:rFonts w:cstheme="minorHAnsi"/>
          <w:sz w:val="24"/>
          <w:szCs w:val="24"/>
        </w:rPr>
        <w:t>.</w:t>
      </w:r>
    </w:p>
    <w:p w14:paraId="02E8C9D9" w14:textId="72221A3F" w:rsidR="00F7697B" w:rsidRPr="001E2BF3" w:rsidRDefault="00F7697B" w:rsidP="00AC3E1C">
      <w:pPr>
        <w:pStyle w:val="ListParagraph"/>
        <w:numPr>
          <w:ilvl w:val="0"/>
          <w:numId w:val="9"/>
        </w:numPr>
        <w:spacing w:before="120" w:after="120" w:line="240" w:lineRule="auto"/>
        <w:ind w:left="851" w:hanging="284"/>
        <w:contextualSpacing w:val="0"/>
        <w:rPr>
          <w:rFonts w:cstheme="minorHAnsi"/>
          <w:sz w:val="24"/>
          <w:szCs w:val="24"/>
        </w:rPr>
      </w:pPr>
      <w:r w:rsidRPr="001E2BF3">
        <w:rPr>
          <w:rFonts w:cstheme="minorHAnsi"/>
          <w:sz w:val="24"/>
          <w:szCs w:val="24"/>
        </w:rPr>
        <w:t xml:space="preserve">ITU-T Q.708 </w:t>
      </w:r>
      <w:r w:rsidR="0093221E">
        <w:rPr>
          <w:rFonts w:cstheme="minorHAnsi"/>
          <w:sz w:val="24"/>
          <w:szCs w:val="24"/>
        </w:rPr>
        <w:t>“</w:t>
      </w:r>
      <w:r w:rsidRPr="001E2BF3">
        <w:rPr>
          <w:rFonts w:cstheme="minorHAnsi"/>
          <w:sz w:val="24"/>
          <w:szCs w:val="24"/>
        </w:rPr>
        <w:t xml:space="preserve">Assignment procedures for international </w:t>
      </w:r>
      <w:proofErr w:type="spellStart"/>
      <w:r w:rsidRPr="001E2BF3">
        <w:rPr>
          <w:rFonts w:cstheme="minorHAnsi"/>
          <w:sz w:val="24"/>
          <w:szCs w:val="24"/>
        </w:rPr>
        <w:t>signalling</w:t>
      </w:r>
      <w:proofErr w:type="spellEnd"/>
      <w:r w:rsidRPr="001E2BF3">
        <w:rPr>
          <w:rFonts w:cstheme="minorHAnsi"/>
          <w:sz w:val="24"/>
          <w:szCs w:val="24"/>
        </w:rPr>
        <w:t xml:space="preserve"> point codes</w:t>
      </w:r>
      <w:r w:rsidR="0093221E">
        <w:rPr>
          <w:rFonts w:cstheme="minorHAnsi"/>
          <w:sz w:val="24"/>
          <w:szCs w:val="24"/>
        </w:rPr>
        <w:t>”</w:t>
      </w:r>
      <w:r w:rsidRPr="001E2BF3">
        <w:rPr>
          <w:rFonts w:cstheme="minorHAnsi"/>
          <w:sz w:val="24"/>
          <w:szCs w:val="24"/>
        </w:rPr>
        <w:t>.</w:t>
      </w:r>
    </w:p>
    <w:p w14:paraId="37944421" w14:textId="7765D621" w:rsidR="00F7697B" w:rsidRPr="00F7697B" w:rsidRDefault="00F7697B"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rPr>
      </w:pPr>
      <w:r w:rsidRPr="00F7697B">
        <w:rPr>
          <w:rFonts w:asciiTheme="minorHAnsi" w:hAnsiTheme="minorHAnsi" w:cstheme="minorHAnsi"/>
        </w:rPr>
        <w:t xml:space="preserve">ITU-T E.156 </w:t>
      </w:r>
      <w:r w:rsidR="0093221E">
        <w:rPr>
          <w:rFonts w:asciiTheme="minorHAnsi" w:hAnsiTheme="minorHAnsi" w:cstheme="minorHAnsi"/>
        </w:rPr>
        <w:t>“</w:t>
      </w:r>
      <w:r w:rsidRPr="00F7697B">
        <w:rPr>
          <w:rFonts w:asciiTheme="minorHAnsi" w:hAnsiTheme="minorHAnsi" w:cstheme="minorHAnsi"/>
        </w:rPr>
        <w:t>Guidelines for ITU-T action on reported misuse of E.164 number resources</w:t>
      </w:r>
      <w:r w:rsidR="0093221E">
        <w:rPr>
          <w:rFonts w:asciiTheme="minorHAnsi" w:hAnsiTheme="minorHAnsi" w:cstheme="minorHAnsi"/>
        </w:rPr>
        <w:t>”</w:t>
      </w:r>
      <w:r w:rsidRPr="00F7697B">
        <w:rPr>
          <w:rFonts w:asciiTheme="minorHAnsi" w:hAnsiTheme="minorHAnsi" w:cstheme="minorHAnsi"/>
        </w:rPr>
        <w:t xml:space="preserve"> is under revision to include new cases of misuse and to investigate more efficient means of combating misuse.</w:t>
      </w:r>
    </w:p>
    <w:p w14:paraId="4E0673FA" w14:textId="3366AEE4" w:rsidR="00F7697B" w:rsidRPr="00F7697B" w:rsidRDefault="00F7697B"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rPr>
      </w:pPr>
      <w:r w:rsidRPr="00F7697B">
        <w:rPr>
          <w:rFonts w:asciiTheme="minorHAnsi" w:hAnsiTheme="minorHAnsi" w:cstheme="minorHAnsi"/>
        </w:rPr>
        <w:t xml:space="preserve">A prototype of a new repository of national numbering plans has been developed and is available at: </w:t>
      </w:r>
      <w:hyperlink r:id="rId19" w:history="1">
        <w:r w:rsidR="0093221E" w:rsidRPr="00BD2526">
          <w:rPr>
            <w:rStyle w:val="Hyperlink"/>
            <w:rFonts w:asciiTheme="minorHAnsi" w:hAnsiTheme="minorHAnsi" w:cstheme="minorHAnsi"/>
          </w:rPr>
          <w:t>https://www.itu.int/net4/itu-t/nnp</w:t>
        </w:r>
      </w:hyperlink>
      <w:r w:rsidRPr="00F7697B">
        <w:rPr>
          <w:rFonts w:asciiTheme="minorHAnsi" w:hAnsiTheme="minorHAnsi" w:cstheme="minorHAnsi"/>
        </w:rPr>
        <w:t>. The prototype responds to WTSA Resolution 91 (</w:t>
      </w:r>
      <w:proofErr w:type="spellStart"/>
      <w:r w:rsidRPr="00F7697B">
        <w:rPr>
          <w:rFonts w:asciiTheme="minorHAnsi" w:hAnsiTheme="minorHAnsi" w:cstheme="minorHAnsi"/>
        </w:rPr>
        <w:t>Hammamet</w:t>
      </w:r>
      <w:proofErr w:type="spellEnd"/>
      <w:r w:rsidRPr="00F7697B">
        <w:rPr>
          <w:rFonts w:asciiTheme="minorHAnsi" w:hAnsiTheme="minorHAnsi" w:cstheme="minorHAnsi"/>
        </w:rPr>
        <w:t xml:space="preserve">, 2016) on </w:t>
      </w:r>
      <w:r w:rsidR="0093221E">
        <w:rPr>
          <w:rFonts w:asciiTheme="minorHAnsi" w:hAnsiTheme="minorHAnsi" w:cstheme="minorHAnsi"/>
        </w:rPr>
        <w:t>“</w:t>
      </w:r>
      <w:r w:rsidRPr="00F7697B">
        <w:rPr>
          <w:rFonts w:asciiTheme="minorHAnsi" w:hAnsiTheme="minorHAnsi" w:cstheme="minorHAnsi"/>
        </w:rPr>
        <w:t>Enhancing access to an electronic repository of information on numbering plans published by the ITU Telecommunication Standardization Sector</w:t>
      </w:r>
      <w:r w:rsidR="0093221E">
        <w:rPr>
          <w:rFonts w:asciiTheme="minorHAnsi" w:hAnsiTheme="minorHAnsi" w:cstheme="minorHAnsi"/>
        </w:rPr>
        <w:t>”</w:t>
      </w:r>
      <w:r w:rsidRPr="00F7697B">
        <w:rPr>
          <w:rFonts w:asciiTheme="minorHAnsi" w:hAnsiTheme="minorHAnsi" w:cstheme="minorHAnsi"/>
        </w:rPr>
        <w:t>.</w:t>
      </w:r>
    </w:p>
    <w:p w14:paraId="689C1B1B" w14:textId="0692516D" w:rsidR="00F7697B" w:rsidRPr="00F7697B" w:rsidRDefault="00F7697B"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rPr>
      </w:pPr>
      <w:bookmarkStart w:id="12" w:name="_Hlk68787090"/>
      <w:r w:rsidRPr="00F7697B">
        <w:rPr>
          <w:rFonts w:asciiTheme="minorHAnsi" w:hAnsiTheme="minorHAnsi" w:cstheme="minorHAnsi"/>
        </w:rPr>
        <w:t>With the increasing number of companies applying for shared codes (E.212 and E.164), the Numbering Coordination Team (NCT) has experienced a significant increase in its workload. The NCT is supported by TSB where the SG2 Counsellor provides technical advice, and where TSB manages the application workflow from request to assignment within the time limits set by relevant ITU-T Recommendations in force.</w:t>
      </w:r>
    </w:p>
    <w:bookmarkEnd w:id="12"/>
    <w:p w14:paraId="47C8BA1E" w14:textId="0F7D6929" w:rsidR="00F7697B" w:rsidRPr="00F7697B" w:rsidRDefault="00F7697B"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rPr>
      </w:pPr>
      <w:r w:rsidRPr="00F7697B">
        <w:rPr>
          <w:rFonts w:asciiTheme="minorHAnsi" w:hAnsiTheme="minorHAnsi" w:cstheme="minorHAnsi"/>
        </w:rPr>
        <w:t xml:space="preserve">TSB has experienced a sharp rise in the resources required to provide timely response to notification requests by </w:t>
      </w:r>
      <w:r w:rsidR="00742AB9">
        <w:rPr>
          <w:rFonts w:asciiTheme="minorHAnsi" w:hAnsiTheme="minorHAnsi" w:cstheme="minorHAnsi"/>
        </w:rPr>
        <w:t>M</w:t>
      </w:r>
      <w:r w:rsidRPr="00F7697B">
        <w:rPr>
          <w:rFonts w:asciiTheme="minorHAnsi" w:hAnsiTheme="minorHAnsi" w:cstheme="minorHAnsi"/>
        </w:rPr>
        <w:t xml:space="preserve">ember </w:t>
      </w:r>
      <w:r w:rsidR="00742AB9">
        <w:rPr>
          <w:rFonts w:asciiTheme="minorHAnsi" w:hAnsiTheme="minorHAnsi" w:cstheme="minorHAnsi"/>
        </w:rPr>
        <w:t>S</w:t>
      </w:r>
      <w:r w:rsidRPr="00F7697B">
        <w:rPr>
          <w:rFonts w:asciiTheme="minorHAnsi" w:hAnsiTheme="minorHAnsi" w:cstheme="minorHAnsi"/>
        </w:rPr>
        <w:t xml:space="preserve">tates, publish operational bulletin publications in six languages every two weeks, implementing WTSA </w:t>
      </w:r>
      <w:r w:rsidR="00742AB9">
        <w:rPr>
          <w:rFonts w:asciiTheme="minorHAnsi" w:hAnsiTheme="minorHAnsi" w:cstheme="minorHAnsi"/>
        </w:rPr>
        <w:t xml:space="preserve">- </w:t>
      </w:r>
      <w:r w:rsidRPr="00F7697B">
        <w:rPr>
          <w:rFonts w:asciiTheme="minorHAnsi" w:hAnsiTheme="minorHAnsi" w:cstheme="minorHAnsi"/>
        </w:rPr>
        <w:t>Res. 91 on NNP, and manage new company applications through the NCT.</w:t>
      </w:r>
    </w:p>
    <w:p w14:paraId="44E050F1" w14:textId="1F8DD810" w:rsidR="00F7697B" w:rsidRPr="00185E49" w:rsidRDefault="00F7697B"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rPr>
      </w:pPr>
      <w:r w:rsidRPr="00F7697B">
        <w:rPr>
          <w:rFonts w:asciiTheme="minorHAnsi" w:hAnsiTheme="minorHAnsi" w:cstheme="minorHAnsi"/>
        </w:rPr>
        <w:t xml:space="preserve">TSB is requesting one additional </w:t>
      </w:r>
      <w:r w:rsidRPr="00185E49">
        <w:rPr>
          <w:rFonts w:asciiTheme="minorHAnsi" w:hAnsiTheme="minorHAnsi" w:cstheme="minorHAnsi"/>
        </w:rPr>
        <w:t>P2 staff to support the increasing numbering-related activities.</w:t>
      </w:r>
    </w:p>
    <w:p w14:paraId="6D18707B" w14:textId="3D0A8CE4" w:rsidR="00F7697B" w:rsidRPr="00C94C95" w:rsidRDefault="00F7697B" w:rsidP="00AC3E1C">
      <w:p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hAnsiTheme="minorHAnsi" w:cstheme="minorHAnsi"/>
          <w:color w:val="1F497D" w:themeColor="text2"/>
          <w:szCs w:val="24"/>
        </w:rPr>
      </w:pPr>
      <w:r>
        <w:rPr>
          <w:rFonts w:asciiTheme="minorHAnsi" w:hAnsiTheme="minorHAnsi" w:cstheme="minorHAnsi"/>
          <w:color w:val="1F497D" w:themeColor="text2"/>
          <w:szCs w:val="24"/>
        </w:rPr>
        <w:t>E</w:t>
      </w:r>
      <w:r w:rsidRPr="00C94C95">
        <w:rPr>
          <w:rFonts w:asciiTheme="minorHAnsi" w:hAnsiTheme="minorHAnsi" w:cstheme="minorHAnsi"/>
          <w:color w:val="1F497D" w:themeColor="text2"/>
          <w:szCs w:val="24"/>
        </w:rPr>
        <w:t>-</w:t>
      </w:r>
      <w:r>
        <w:rPr>
          <w:rFonts w:asciiTheme="minorHAnsi" w:hAnsiTheme="minorHAnsi" w:cstheme="minorHAnsi"/>
          <w:color w:val="1F497D" w:themeColor="text2"/>
          <w:szCs w:val="24"/>
        </w:rPr>
        <w:t>3</w:t>
      </w:r>
      <w:r w:rsidRPr="00C94C95">
        <w:rPr>
          <w:rFonts w:asciiTheme="minorHAnsi" w:hAnsiTheme="minorHAnsi" w:cstheme="minorHAnsi"/>
          <w:color w:val="1F497D" w:themeColor="text2"/>
          <w:szCs w:val="24"/>
        </w:rPr>
        <w:tab/>
      </w:r>
      <w:r w:rsidRPr="00F7697B">
        <w:rPr>
          <w:rFonts w:asciiTheme="minorHAnsi" w:hAnsiTheme="minorHAnsi" w:cstheme="minorHAnsi"/>
          <w:color w:val="1F497D" w:themeColor="text2"/>
          <w:szCs w:val="24"/>
        </w:rPr>
        <w:t xml:space="preserve">Digital financial services can include </w:t>
      </w:r>
      <w:r w:rsidR="005205AE">
        <w:rPr>
          <w:rFonts w:asciiTheme="minorHAnsi" w:hAnsiTheme="minorHAnsi" w:cstheme="minorHAnsi"/>
          <w:color w:val="1F497D" w:themeColor="text2"/>
          <w:szCs w:val="24"/>
        </w:rPr>
        <w:t xml:space="preserve">almost </w:t>
      </w:r>
      <w:r w:rsidRPr="00F7697B">
        <w:rPr>
          <w:rFonts w:asciiTheme="minorHAnsi" w:hAnsiTheme="minorHAnsi" w:cstheme="minorHAnsi"/>
          <w:color w:val="1F497D" w:themeColor="text2"/>
          <w:szCs w:val="24"/>
        </w:rPr>
        <w:t>2 billion unbanked people in the economy</w:t>
      </w:r>
    </w:p>
    <w:p w14:paraId="6856BAE2" w14:textId="346B62FE" w:rsidR="00F121C6" w:rsidRPr="00F121C6" w:rsidRDefault="002E70BE"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Pr>
          <w:rFonts w:asciiTheme="minorHAnsi" w:hAnsiTheme="minorHAnsi" w:cstheme="minorHAnsi"/>
          <w:szCs w:val="24"/>
        </w:rPr>
        <w:t xml:space="preserve">In 2017, 1.7 billion </w:t>
      </w:r>
      <w:proofErr w:type="spellStart"/>
      <w:r>
        <w:rPr>
          <w:rFonts w:asciiTheme="minorHAnsi" w:hAnsiTheme="minorHAnsi" w:cstheme="minorHAnsi"/>
          <w:szCs w:val="24"/>
        </w:rPr>
        <w:t>adulst</w:t>
      </w:r>
      <w:proofErr w:type="spellEnd"/>
      <w:r>
        <w:rPr>
          <w:rFonts w:asciiTheme="minorHAnsi" w:hAnsiTheme="minorHAnsi" w:cstheme="minorHAnsi"/>
          <w:szCs w:val="24"/>
        </w:rPr>
        <w:t xml:space="preserve"> worldwide were unba</w:t>
      </w:r>
      <w:r w:rsidR="005205AE">
        <w:rPr>
          <w:rFonts w:asciiTheme="minorHAnsi" w:hAnsiTheme="minorHAnsi" w:cstheme="minorHAnsi"/>
          <w:szCs w:val="24"/>
        </w:rPr>
        <w:t>nk</w:t>
      </w:r>
      <w:r>
        <w:rPr>
          <w:rFonts w:asciiTheme="minorHAnsi" w:hAnsiTheme="minorHAnsi" w:cstheme="minorHAnsi"/>
          <w:szCs w:val="24"/>
        </w:rPr>
        <w:t>ed. Of those, 1.1 billion have a mobile phone</w:t>
      </w:r>
      <w:r w:rsidR="00F121C6" w:rsidRPr="00F121C6">
        <w:rPr>
          <w:rFonts w:asciiTheme="minorHAnsi" w:hAnsiTheme="minorHAnsi" w:cstheme="minorHAnsi"/>
          <w:szCs w:val="24"/>
        </w:rPr>
        <w:t>. There is a huge opportunity to include the unbanked in the economy and make their life better – by using the mobile phone as a bank account.</w:t>
      </w:r>
    </w:p>
    <w:p w14:paraId="624C7061" w14:textId="79707FCB" w:rsidR="00F121C6" w:rsidRPr="00F121C6" w:rsidRDefault="00F121C6"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121C6">
        <w:rPr>
          <w:rFonts w:asciiTheme="minorHAnsi" w:hAnsiTheme="minorHAnsi" w:cstheme="minorHAnsi"/>
          <w:szCs w:val="24"/>
        </w:rPr>
        <w:t xml:space="preserve">About fifteen years ago, digital financial services (DFS) were pioneered in developing countries, first in the Philippines, then – and most famously – in Kenya with M-PESA. However, the take-up of digital financial services in developing countries around the world over the last dozen years has not (yet) </w:t>
      </w:r>
      <w:r w:rsidRPr="00F121C6">
        <w:rPr>
          <w:rFonts w:asciiTheme="minorHAnsi" w:hAnsiTheme="minorHAnsi" w:cstheme="minorHAnsi"/>
          <w:szCs w:val="24"/>
        </w:rPr>
        <w:lastRenderedPageBreak/>
        <w:t>shown the success that was expected. Some developing countries are more successful than others in building up a DFS infrastructure and DFS culture. Why is that? What is the secret to make DFS work in developing countries?</w:t>
      </w:r>
    </w:p>
    <w:p w14:paraId="298011E1" w14:textId="09786503" w:rsidR="00F121C6" w:rsidRDefault="00F121C6"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121C6">
        <w:rPr>
          <w:rFonts w:asciiTheme="minorHAnsi" w:hAnsiTheme="minorHAnsi" w:cstheme="minorHAnsi"/>
          <w:szCs w:val="24"/>
        </w:rPr>
        <w:t xml:space="preserve">ITU, supported by the Bill and Melinda Gates Foundation, is working to answer this question. WTSA-16 </w:t>
      </w:r>
      <w:r w:rsidR="00742AB9">
        <w:rPr>
          <w:rFonts w:asciiTheme="minorHAnsi" w:hAnsiTheme="minorHAnsi" w:cstheme="minorHAnsi"/>
          <w:szCs w:val="24"/>
        </w:rPr>
        <w:t xml:space="preserve">- </w:t>
      </w:r>
      <w:r w:rsidRPr="00F121C6">
        <w:rPr>
          <w:rFonts w:asciiTheme="minorHAnsi" w:hAnsiTheme="minorHAnsi" w:cstheme="minorHAnsi"/>
          <w:szCs w:val="24"/>
        </w:rPr>
        <w:t>Res</w:t>
      </w:r>
      <w:r w:rsidR="00742AB9">
        <w:rPr>
          <w:rFonts w:asciiTheme="minorHAnsi" w:hAnsiTheme="minorHAnsi" w:cstheme="minorHAnsi"/>
          <w:szCs w:val="24"/>
        </w:rPr>
        <w:t>. </w:t>
      </w:r>
      <w:r w:rsidRPr="00F121C6">
        <w:rPr>
          <w:rFonts w:asciiTheme="minorHAnsi" w:hAnsiTheme="minorHAnsi" w:cstheme="minorHAnsi"/>
          <w:szCs w:val="24"/>
        </w:rPr>
        <w:t>89 instructs the Director of the Telecommunication Standardization Bureau, in collaboration with the Directors of the other Bureaux</w:t>
      </w:r>
      <w:r>
        <w:rPr>
          <w:rFonts w:asciiTheme="minorHAnsi" w:hAnsiTheme="minorHAnsi" w:cstheme="minorHAnsi"/>
          <w:szCs w:val="24"/>
        </w:rPr>
        <w:t>:</w:t>
      </w:r>
    </w:p>
    <w:p w14:paraId="313ABA02" w14:textId="445E6E57" w:rsidR="00F121C6" w:rsidRPr="00F121C6" w:rsidRDefault="0093221E" w:rsidP="00AC3E1C">
      <w:pPr>
        <w:spacing w:after="120"/>
        <w:jc w:val="both"/>
        <w:rPr>
          <w:rFonts w:cstheme="minorHAnsi"/>
          <w:szCs w:val="28"/>
        </w:rPr>
      </w:pPr>
      <w:r>
        <w:rPr>
          <w:rFonts w:cstheme="minorHAnsi"/>
          <w:szCs w:val="28"/>
        </w:rPr>
        <w:t>“</w:t>
      </w:r>
      <w:r w:rsidR="00F121C6" w:rsidRPr="00F121C6">
        <w:rPr>
          <w:rFonts w:cstheme="minorHAnsi"/>
          <w:szCs w:val="28"/>
        </w:rPr>
        <w:t>2</w:t>
      </w:r>
      <w:r w:rsidR="00BE5965">
        <w:rPr>
          <w:rFonts w:cstheme="minorHAnsi"/>
          <w:szCs w:val="28"/>
        </w:rPr>
        <w:tab/>
      </w:r>
      <w:r w:rsidR="00F121C6" w:rsidRPr="00F121C6">
        <w:rPr>
          <w:rFonts w:cstheme="minorHAnsi"/>
          <w:szCs w:val="28"/>
        </w:rPr>
        <w:t>to support the development of reports and best practices on digital financial inclusion […]</w:t>
      </w:r>
      <w:r>
        <w:rPr>
          <w:rFonts w:cstheme="minorHAnsi"/>
          <w:szCs w:val="28"/>
        </w:rPr>
        <w:t>”</w:t>
      </w:r>
      <w:r w:rsidR="00F121C6" w:rsidRPr="00F121C6">
        <w:rPr>
          <w:rFonts w:cstheme="minorHAnsi"/>
          <w:szCs w:val="28"/>
        </w:rPr>
        <w:t xml:space="preserve">, </w:t>
      </w:r>
    </w:p>
    <w:p w14:paraId="34FEAD54" w14:textId="4380515A" w:rsidR="00F121C6" w:rsidRPr="00F121C6" w:rsidRDefault="0093221E" w:rsidP="00AC3E1C">
      <w:pPr>
        <w:spacing w:after="120"/>
        <w:jc w:val="both"/>
        <w:rPr>
          <w:rFonts w:cstheme="minorHAnsi"/>
          <w:szCs w:val="28"/>
        </w:rPr>
      </w:pPr>
      <w:r>
        <w:rPr>
          <w:rFonts w:cstheme="minorHAnsi"/>
          <w:szCs w:val="28"/>
        </w:rPr>
        <w:t>“</w:t>
      </w:r>
      <w:r w:rsidR="00F121C6" w:rsidRPr="00F121C6">
        <w:rPr>
          <w:rFonts w:cstheme="minorHAnsi"/>
          <w:szCs w:val="28"/>
        </w:rPr>
        <w:t>3</w:t>
      </w:r>
      <w:r w:rsidR="00BE5965">
        <w:rPr>
          <w:rFonts w:cstheme="minorHAnsi"/>
          <w:szCs w:val="28"/>
        </w:rPr>
        <w:tab/>
      </w:r>
      <w:r w:rsidR="00F121C6" w:rsidRPr="00F121C6">
        <w:rPr>
          <w:rFonts w:cstheme="minorHAnsi"/>
          <w:szCs w:val="28"/>
        </w:rPr>
        <w:t>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w:t>
      </w:r>
      <w:r>
        <w:rPr>
          <w:rFonts w:cstheme="minorHAnsi"/>
          <w:szCs w:val="28"/>
        </w:rPr>
        <w:t>”</w:t>
      </w:r>
      <w:r w:rsidR="00F121C6" w:rsidRPr="00F121C6">
        <w:rPr>
          <w:rFonts w:cstheme="minorHAnsi"/>
          <w:szCs w:val="28"/>
        </w:rPr>
        <w:t xml:space="preserve"> </w:t>
      </w:r>
    </w:p>
    <w:p w14:paraId="294C37C0" w14:textId="7ED9F048" w:rsidR="00F121C6" w:rsidRPr="00F121C6" w:rsidRDefault="0093221E" w:rsidP="00AC3E1C">
      <w:pPr>
        <w:spacing w:after="120"/>
        <w:jc w:val="both"/>
        <w:rPr>
          <w:rFonts w:cstheme="minorHAnsi"/>
          <w:szCs w:val="28"/>
        </w:rPr>
      </w:pPr>
      <w:r>
        <w:rPr>
          <w:rFonts w:cstheme="minorHAnsi"/>
          <w:szCs w:val="28"/>
        </w:rPr>
        <w:t>“</w:t>
      </w:r>
      <w:r w:rsidR="00F121C6" w:rsidRPr="00F121C6">
        <w:rPr>
          <w:rFonts w:cstheme="minorHAnsi"/>
          <w:szCs w:val="28"/>
        </w:rPr>
        <w:t>4</w:t>
      </w:r>
      <w:r w:rsidR="00BE5965">
        <w:rPr>
          <w:rFonts w:cstheme="minorHAnsi"/>
          <w:szCs w:val="28"/>
        </w:rPr>
        <w:tab/>
      </w:r>
      <w:r w:rsidR="00F121C6" w:rsidRPr="00F121C6">
        <w:rPr>
          <w:rFonts w:cstheme="minorHAnsi"/>
          <w:szCs w:val="28"/>
        </w:rPr>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w:t>
      </w:r>
      <w:r>
        <w:rPr>
          <w:rFonts w:cstheme="minorHAnsi"/>
          <w:szCs w:val="28"/>
        </w:rPr>
        <w:t>’</w:t>
      </w:r>
      <w:r w:rsidR="00F121C6" w:rsidRPr="00F121C6">
        <w:rPr>
          <w:rFonts w:cstheme="minorHAnsi"/>
          <w:szCs w:val="28"/>
        </w:rPr>
        <w:t xml:space="preserve"> particular needs and challenges in enhancing financial inclusion.</w:t>
      </w:r>
      <w:r>
        <w:rPr>
          <w:rFonts w:cstheme="minorHAnsi"/>
          <w:szCs w:val="28"/>
        </w:rPr>
        <w:t>”</w:t>
      </w:r>
    </w:p>
    <w:p w14:paraId="6C03781F" w14:textId="50F9EFE6" w:rsidR="00F121C6" w:rsidRPr="00F121C6" w:rsidRDefault="00F121C6"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121C6">
        <w:rPr>
          <w:rFonts w:asciiTheme="minorHAnsi" w:hAnsiTheme="minorHAnsi" w:cstheme="minorHAnsi"/>
          <w:szCs w:val="24"/>
        </w:rPr>
        <w:t>Resolution 204</w:t>
      </w:r>
      <w:r w:rsidR="00BE5965">
        <w:rPr>
          <w:rFonts w:asciiTheme="minorHAnsi" w:hAnsiTheme="minorHAnsi" w:cstheme="minorHAnsi"/>
          <w:szCs w:val="24"/>
        </w:rPr>
        <w:t xml:space="preserve"> (Dubai, 2018) </w:t>
      </w:r>
      <w:r w:rsidRPr="00F121C6">
        <w:rPr>
          <w:rFonts w:asciiTheme="minorHAnsi" w:hAnsiTheme="minorHAnsi" w:cstheme="minorHAnsi"/>
          <w:szCs w:val="24"/>
        </w:rPr>
        <w:t>instructs the Directors of TSB and BDT</w:t>
      </w:r>
      <w:r w:rsidR="00BE5965">
        <w:rPr>
          <w:rFonts w:asciiTheme="minorHAnsi" w:hAnsiTheme="minorHAnsi" w:cstheme="minorHAnsi"/>
          <w:szCs w:val="24"/>
        </w:rPr>
        <w:t>:</w:t>
      </w:r>
    </w:p>
    <w:p w14:paraId="5C242004" w14:textId="0A6D08B9" w:rsidR="00F121C6" w:rsidRPr="00F121C6" w:rsidRDefault="0093221E"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Pr>
          <w:rFonts w:asciiTheme="minorHAnsi" w:hAnsiTheme="minorHAnsi" w:cstheme="minorHAnsi"/>
          <w:szCs w:val="24"/>
        </w:rPr>
        <w:t>“</w:t>
      </w:r>
      <w:r w:rsidR="00F121C6" w:rsidRPr="00F121C6">
        <w:rPr>
          <w:rFonts w:asciiTheme="minorHAnsi" w:hAnsiTheme="minorHAnsi" w:cstheme="minorHAnsi"/>
          <w:szCs w:val="24"/>
        </w:rPr>
        <w:t>2</w:t>
      </w:r>
      <w:r w:rsidR="00BE5965">
        <w:rPr>
          <w:rFonts w:asciiTheme="minorHAnsi" w:hAnsiTheme="minorHAnsi" w:cstheme="minorHAnsi"/>
          <w:szCs w:val="24"/>
        </w:rPr>
        <w:tab/>
      </w:r>
      <w:r w:rsidR="00F121C6" w:rsidRPr="00F121C6">
        <w:rPr>
          <w:rFonts w:asciiTheme="minorHAnsi" w:hAnsiTheme="minorHAnsi" w:cstheme="minorHAnsi"/>
          <w:szCs w:val="24"/>
        </w:rPr>
        <w:t>to support the development of reports, studies and best practices on digital financial inclusion […]</w:t>
      </w:r>
      <w:r>
        <w:rPr>
          <w:rFonts w:asciiTheme="minorHAnsi" w:hAnsiTheme="minorHAnsi" w:cstheme="minorHAnsi"/>
          <w:szCs w:val="24"/>
        </w:rPr>
        <w:t>”</w:t>
      </w:r>
      <w:r w:rsidR="00F121C6" w:rsidRPr="00F121C6">
        <w:rPr>
          <w:rFonts w:asciiTheme="minorHAnsi" w:hAnsiTheme="minorHAnsi" w:cstheme="minorHAnsi"/>
          <w:szCs w:val="24"/>
        </w:rPr>
        <w:t>.</w:t>
      </w:r>
    </w:p>
    <w:p w14:paraId="70ED22E0" w14:textId="1D08CA47" w:rsidR="00F121C6" w:rsidRPr="00F121C6" w:rsidRDefault="0093221E"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Pr>
          <w:rFonts w:asciiTheme="minorHAnsi" w:hAnsiTheme="minorHAnsi" w:cstheme="minorHAnsi"/>
          <w:szCs w:val="24"/>
        </w:rPr>
        <w:t>“</w:t>
      </w:r>
      <w:r w:rsidR="00F121C6" w:rsidRPr="00F121C6">
        <w:rPr>
          <w:rFonts w:asciiTheme="minorHAnsi" w:hAnsiTheme="minorHAnsi" w:cstheme="minorHAnsi"/>
          <w:szCs w:val="24"/>
        </w:rPr>
        <w:t>3</w:t>
      </w:r>
      <w:r w:rsidR="00BE5965">
        <w:rPr>
          <w:rFonts w:asciiTheme="minorHAnsi" w:hAnsiTheme="minorHAnsi" w:cstheme="minorHAnsi"/>
          <w:szCs w:val="24"/>
        </w:rPr>
        <w:tab/>
      </w:r>
      <w:r w:rsidR="00F121C6" w:rsidRPr="00F121C6">
        <w:rPr>
          <w:rFonts w:asciiTheme="minorHAnsi" w:hAnsiTheme="minorHAnsi" w:cstheme="minorHAnsi"/>
          <w:szCs w:val="24"/>
        </w:rPr>
        <w:t>to support relevant platforms or, where possible, connect to those already existing, for peer learning, dialogue and experience-sharing in digital financial services among countries and regions, regulators from the telecommunication and financial services sectors, industry experts and international and regional organizations</w:t>
      </w:r>
      <w:r w:rsidR="001736F9">
        <w:rPr>
          <w:rFonts w:asciiTheme="minorHAnsi" w:hAnsiTheme="minorHAnsi" w:cstheme="minorHAnsi"/>
          <w:szCs w:val="24"/>
        </w:rPr>
        <w:t>;</w:t>
      </w:r>
      <w:r>
        <w:rPr>
          <w:rFonts w:asciiTheme="minorHAnsi" w:hAnsiTheme="minorHAnsi" w:cstheme="minorHAnsi"/>
          <w:szCs w:val="24"/>
        </w:rPr>
        <w:t>”</w:t>
      </w:r>
      <w:r w:rsidR="001736F9">
        <w:rPr>
          <w:rFonts w:asciiTheme="minorHAnsi" w:hAnsiTheme="minorHAnsi" w:cstheme="minorHAnsi"/>
          <w:szCs w:val="24"/>
        </w:rPr>
        <w:t>.</w:t>
      </w:r>
    </w:p>
    <w:p w14:paraId="545FDB04" w14:textId="24F00687" w:rsidR="00F121C6" w:rsidRPr="00F121C6" w:rsidRDefault="0093221E"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Pr>
          <w:rFonts w:asciiTheme="minorHAnsi" w:hAnsiTheme="minorHAnsi" w:cstheme="minorHAnsi"/>
          <w:szCs w:val="24"/>
        </w:rPr>
        <w:t>“</w:t>
      </w:r>
      <w:r w:rsidR="00F121C6" w:rsidRPr="00F121C6">
        <w:rPr>
          <w:rFonts w:asciiTheme="minorHAnsi" w:hAnsiTheme="minorHAnsi" w:cstheme="minorHAnsi"/>
          <w:szCs w:val="24"/>
        </w:rPr>
        <w:t>4</w:t>
      </w:r>
      <w:r w:rsidR="00BE5965">
        <w:rPr>
          <w:rFonts w:asciiTheme="minorHAnsi" w:hAnsiTheme="minorHAnsi" w:cstheme="minorHAnsi"/>
          <w:szCs w:val="24"/>
        </w:rPr>
        <w:tab/>
      </w:r>
      <w:r w:rsidR="00F121C6" w:rsidRPr="00F121C6">
        <w:rPr>
          <w:rFonts w:asciiTheme="minorHAnsi" w:hAnsiTheme="minorHAnsi" w:cstheme="minorHAnsi"/>
          <w:szCs w:val="24"/>
        </w:rPr>
        <w:t>to continue organizing workshops and seminars for the ITU membership in collaboration with other relevant SDOs and institutions in order to raise awareness and identify regulators</w:t>
      </w:r>
      <w:r>
        <w:rPr>
          <w:rFonts w:asciiTheme="minorHAnsi" w:hAnsiTheme="minorHAnsi" w:cstheme="minorHAnsi"/>
          <w:szCs w:val="24"/>
        </w:rPr>
        <w:t>’</w:t>
      </w:r>
      <w:r w:rsidR="00F121C6" w:rsidRPr="00F121C6">
        <w:rPr>
          <w:rFonts w:asciiTheme="minorHAnsi" w:hAnsiTheme="minorHAnsi" w:cstheme="minorHAnsi"/>
          <w:szCs w:val="24"/>
        </w:rPr>
        <w:t xml:space="preserve"> needs and challenges in enhancing financial inclusion,</w:t>
      </w:r>
      <w:r>
        <w:rPr>
          <w:rFonts w:asciiTheme="minorHAnsi" w:hAnsiTheme="minorHAnsi" w:cstheme="minorHAnsi"/>
          <w:szCs w:val="24"/>
        </w:rPr>
        <w:t>”</w:t>
      </w:r>
      <w:r w:rsidR="001736F9">
        <w:rPr>
          <w:rFonts w:asciiTheme="minorHAnsi" w:hAnsiTheme="minorHAnsi" w:cstheme="minorHAnsi"/>
          <w:szCs w:val="24"/>
        </w:rPr>
        <w:t>.</w:t>
      </w:r>
    </w:p>
    <w:p w14:paraId="7C621B2A" w14:textId="27371F85" w:rsidR="00F121C6" w:rsidRPr="00F121C6" w:rsidRDefault="00F121C6"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bookmarkStart w:id="13" w:name="_Hlk68790032"/>
      <w:r w:rsidRPr="00F121C6">
        <w:rPr>
          <w:rFonts w:asciiTheme="minorHAnsi" w:hAnsiTheme="minorHAnsi" w:cstheme="minorHAnsi"/>
          <w:szCs w:val="24"/>
        </w:rPr>
        <w:t xml:space="preserve">The Bill and Melinda Gates Foundation </w:t>
      </w:r>
      <w:r w:rsidR="00AD57B9">
        <w:rPr>
          <w:rFonts w:asciiTheme="minorHAnsi" w:hAnsiTheme="minorHAnsi" w:cstheme="minorHAnsi"/>
          <w:szCs w:val="24"/>
        </w:rPr>
        <w:t xml:space="preserve">had funded </w:t>
      </w:r>
      <w:proofErr w:type="gramStart"/>
      <w:r w:rsidR="00AD57B9">
        <w:rPr>
          <w:rFonts w:asciiTheme="minorHAnsi" w:hAnsiTheme="minorHAnsi" w:cstheme="minorHAnsi"/>
          <w:szCs w:val="24"/>
        </w:rPr>
        <w:t>during</w:t>
      </w:r>
      <w:proofErr w:type="gramEnd"/>
      <w:r w:rsidR="00AD57B9">
        <w:rPr>
          <w:rFonts w:asciiTheme="minorHAnsi" w:hAnsiTheme="minorHAnsi" w:cstheme="minorHAnsi"/>
          <w:szCs w:val="24"/>
        </w:rPr>
        <w:t xml:space="preserve"> </w:t>
      </w:r>
      <w:r w:rsidR="001736F9">
        <w:rPr>
          <w:rFonts w:asciiTheme="minorHAnsi" w:hAnsiTheme="minorHAnsi" w:cstheme="minorHAnsi"/>
          <w:szCs w:val="24"/>
        </w:rPr>
        <w:t xml:space="preserve">three years </w:t>
      </w:r>
      <w:r w:rsidRPr="00F121C6">
        <w:rPr>
          <w:rFonts w:asciiTheme="minorHAnsi" w:hAnsiTheme="minorHAnsi" w:cstheme="minorHAnsi"/>
          <w:szCs w:val="24"/>
        </w:rPr>
        <w:t xml:space="preserve">a P4 and a P2 </w:t>
      </w:r>
      <w:r w:rsidR="001736F9">
        <w:rPr>
          <w:rFonts w:asciiTheme="minorHAnsi" w:hAnsiTheme="minorHAnsi" w:cstheme="minorHAnsi"/>
          <w:szCs w:val="24"/>
        </w:rPr>
        <w:t xml:space="preserve">for </w:t>
      </w:r>
      <w:r w:rsidRPr="00F121C6">
        <w:rPr>
          <w:rFonts w:asciiTheme="minorHAnsi" w:hAnsiTheme="minorHAnsi" w:cstheme="minorHAnsi"/>
          <w:szCs w:val="24"/>
        </w:rPr>
        <w:t>current activities</w:t>
      </w:r>
      <w:r w:rsidR="001736F9">
        <w:rPr>
          <w:rFonts w:asciiTheme="minorHAnsi" w:hAnsiTheme="minorHAnsi" w:cstheme="minorHAnsi"/>
          <w:szCs w:val="24"/>
        </w:rPr>
        <w:t xml:space="preserve">. </w:t>
      </w:r>
      <w:r w:rsidRPr="00F121C6">
        <w:rPr>
          <w:rFonts w:asciiTheme="minorHAnsi" w:hAnsiTheme="minorHAnsi" w:cstheme="minorHAnsi"/>
          <w:szCs w:val="24"/>
        </w:rPr>
        <w:t>This funding end</w:t>
      </w:r>
      <w:r w:rsidR="00AD57B9">
        <w:rPr>
          <w:rFonts w:asciiTheme="minorHAnsi" w:hAnsiTheme="minorHAnsi" w:cstheme="minorHAnsi"/>
          <w:szCs w:val="24"/>
        </w:rPr>
        <w:t>ed</w:t>
      </w:r>
      <w:r w:rsidRPr="00F121C6">
        <w:rPr>
          <w:rFonts w:asciiTheme="minorHAnsi" w:hAnsiTheme="minorHAnsi" w:cstheme="minorHAnsi"/>
          <w:szCs w:val="24"/>
        </w:rPr>
        <w:t xml:space="preserve"> in June 2020.</w:t>
      </w:r>
    </w:p>
    <w:bookmarkEnd w:id="13"/>
    <w:p w14:paraId="1FA69D47" w14:textId="00F8FFE0" w:rsidR="00F7697B" w:rsidRDefault="00F121C6"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121C6">
        <w:rPr>
          <w:rFonts w:asciiTheme="minorHAnsi" w:hAnsiTheme="minorHAnsi" w:cstheme="minorHAnsi"/>
          <w:szCs w:val="24"/>
        </w:rPr>
        <w:t>TSB is requesting one additional P4 staff and one G6 staff to fulfil the instructions of Resolution</w:t>
      </w:r>
      <w:r w:rsidR="00AD57B9">
        <w:rPr>
          <w:rFonts w:asciiTheme="minorHAnsi" w:hAnsiTheme="minorHAnsi" w:cstheme="minorHAnsi"/>
          <w:szCs w:val="24"/>
        </w:rPr>
        <w:t> </w:t>
      </w:r>
      <w:r w:rsidRPr="00F121C6">
        <w:rPr>
          <w:rFonts w:asciiTheme="minorHAnsi" w:hAnsiTheme="minorHAnsi" w:cstheme="minorHAnsi"/>
          <w:szCs w:val="24"/>
        </w:rPr>
        <w:t xml:space="preserve">204 </w:t>
      </w:r>
      <w:r w:rsidR="00AD57B9">
        <w:rPr>
          <w:rFonts w:asciiTheme="minorHAnsi" w:hAnsiTheme="minorHAnsi" w:cstheme="minorHAnsi"/>
          <w:szCs w:val="24"/>
        </w:rPr>
        <w:t xml:space="preserve">(Dubai, 2018) </w:t>
      </w:r>
      <w:r w:rsidRPr="00F121C6">
        <w:rPr>
          <w:rFonts w:asciiTheme="minorHAnsi" w:hAnsiTheme="minorHAnsi" w:cstheme="minorHAnsi"/>
          <w:szCs w:val="24"/>
        </w:rPr>
        <w:t>and WTSA Resolution 89 to support the activities for financial inclusion.</w:t>
      </w:r>
    </w:p>
    <w:p w14:paraId="50BBF350" w14:textId="7C4A4A57" w:rsidR="00F121C6" w:rsidRPr="00C94C95" w:rsidRDefault="00F121C6" w:rsidP="00AC3E1C">
      <w:p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hAnsiTheme="minorHAnsi" w:cstheme="minorHAnsi"/>
          <w:color w:val="1F497D" w:themeColor="text2"/>
          <w:szCs w:val="24"/>
        </w:rPr>
      </w:pPr>
      <w:r>
        <w:rPr>
          <w:rFonts w:asciiTheme="minorHAnsi" w:hAnsiTheme="minorHAnsi" w:cstheme="minorHAnsi"/>
          <w:color w:val="1F497D" w:themeColor="text2"/>
          <w:szCs w:val="24"/>
        </w:rPr>
        <w:t>E</w:t>
      </w:r>
      <w:r w:rsidRPr="00C94C95">
        <w:rPr>
          <w:rFonts w:asciiTheme="minorHAnsi" w:hAnsiTheme="minorHAnsi" w:cstheme="minorHAnsi"/>
          <w:color w:val="1F497D" w:themeColor="text2"/>
          <w:szCs w:val="24"/>
        </w:rPr>
        <w:t>-</w:t>
      </w:r>
      <w:r>
        <w:rPr>
          <w:rFonts w:asciiTheme="minorHAnsi" w:hAnsiTheme="minorHAnsi" w:cstheme="minorHAnsi"/>
          <w:color w:val="1F497D" w:themeColor="text2"/>
          <w:szCs w:val="24"/>
        </w:rPr>
        <w:t>4</w:t>
      </w:r>
      <w:r w:rsidRPr="00C94C95">
        <w:rPr>
          <w:rFonts w:asciiTheme="minorHAnsi" w:hAnsiTheme="minorHAnsi" w:cstheme="minorHAnsi"/>
          <w:color w:val="1F497D" w:themeColor="text2"/>
          <w:szCs w:val="24"/>
        </w:rPr>
        <w:tab/>
      </w:r>
      <w:r w:rsidRPr="00F121C6">
        <w:rPr>
          <w:rFonts w:asciiTheme="minorHAnsi" w:hAnsiTheme="minorHAnsi" w:cstheme="minorHAnsi"/>
          <w:color w:val="1F497D" w:themeColor="text2"/>
          <w:szCs w:val="24"/>
        </w:rPr>
        <w:t>Expert in applying Machine Learning to ICT Infrastructure and services</w:t>
      </w:r>
    </w:p>
    <w:p w14:paraId="18BB5504" w14:textId="250DC10B" w:rsidR="00F121C6" w:rsidRPr="00F121C6" w:rsidRDefault="00F121C6"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121C6">
        <w:rPr>
          <w:rFonts w:asciiTheme="minorHAnsi" w:hAnsiTheme="minorHAnsi" w:cstheme="minorHAnsi"/>
          <w:szCs w:val="24"/>
        </w:rPr>
        <w:t xml:space="preserve">Artificial Intelligence (AI) will be the dominant technology of the future and will impact every corner of society. </w:t>
      </w:r>
      <w:proofErr w:type="gramStart"/>
      <w:r w:rsidRPr="00F121C6">
        <w:rPr>
          <w:rFonts w:asciiTheme="minorHAnsi" w:hAnsiTheme="minorHAnsi" w:cstheme="minorHAnsi"/>
          <w:szCs w:val="24"/>
        </w:rPr>
        <w:t>In particular AI/ML</w:t>
      </w:r>
      <w:proofErr w:type="gramEnd"/>
      <w:r w:rsidRPr="00F121C6">
        <w:rPr>
          <w:rFonts w:asciiTheme="minorHAnsi" w:hAnsiTheme="minorHAnsi" w:cstheme="minorHAnsi"/>
          <w:szCs w:val="24"/>
        </w:rPr>
        <w:t xml:space="preserve"> (machine learning) will shape how communication networks will be run and ICT services will be fit to user requirements. Many companies in the ICT sector are exploring how to make best use of AI/ML. </w:t>
      </w:r>
    </w:p>
    <w:p w14:paraId="65B945E7" w14:textId="5F05B3BB" w:rsidR="00F121C6" w:rsidRPr="00F121C6" w:rsidRDefault="00F121C6"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121C6">
        <w:rPr>
          <w:rFonts w:asciiTheme="minorHAnsi" w:hAnsiTheme="minorHAnsi" w:cstheme="minorHAnsi"/>
          <w:szCs w:val="24"/>
        </w:rPr>
        <w:t xml:space="preserve">ITU has been at the forefront of this endeavour exploring how to best apply AI/ML in future networks environments including 5G networks and industrial private networks and has already approved </w:t>
      </w:r>
      <w:r w:rsidR="00CF7B68">
        <w:rPr>
          <w:rFonts w:asciiTheme="minorHAnsi" w:hAnsiTheme="minorHAnsi" w:cstheme="minorHAnsi"/>
          <w:szCs w:val="24"/>
        </w:rPr>
        <w:t xml:space="preserve">a number of </w:t>
      </w:r>
      <w:r w:rsidRPr="00F121C6">
        <w:rPr>
          <w:rFonts w:asciiTheme="minorHAnsi" w:hAnsiTheme="minorHAnsi" w:cstheme="minorHAnsi"/>
          <w:szCs w:val="24"/>
        </w:rPr>
        <w:t>specifications which form part of a toolkit to build Machine Learning into communication networks</w:t>
      </w:r>
      <w:r w:rsidR="00CF7B68">
        <w:rPr>
          <w:rFonts w:asciiTheme="minorHAnsi" w:hAnsiTheme="minorHAnsi" w:cstheme="minorHAnsi"/>
          <w:szCs w:val="24"/>
        </w:rPr>
        <w:t>, including (but not limited to)</w:t>
      </w:r>
      <w:r w:rsidRPr="00F121C6">
        <w:rPr>
          <w:rFonts w:asciiTheme="minorHAnsi" w:hAnsiTheme="minorHAnsi" w:cstheme="minorHAnsi"/>
          <w:szCs w:val="24"/>
        </w:rPr>
        <w:t xml:space="preserve"> use cases (Supplement 55 to ITU-T Y.3170 series); frameworks for architecture (ITU-T Y.3172), intelligence level evaluation of networks (ITU-T Y.3173), data handling (ITU-T Y.3172)</w:t>
      </w:r>
      <w:r w:rsidR="00AA2753">
        <w:rPr>
          <w:rFonts w:asciiTheme="minorHAnsi" w:hAnsiTheme="minorHAnsi" w:cstheme="minorHAnsi"/>
          <w:szCs w:val="24"/>
        </w:rPr>
        <w:t>, and Machine Learning marketplace integration (ITU-T Y.3176)</w:t>
      </w:r>
      <w:r w:rsidRPr="00F121C6">
        <w:rPr>
          <w:rFonts w:asciiTheme="minorHAnsi" w:hAnsiTheme="minorHAnsi" w:cstheme="minorHAnsi"/>
          <w:szCs w:val="24"/>
        </w:rPr>
        <w:t>.</w:t>
      </w:r>
    </w:p>
    <w:p w14:paraId="0FBBABC0" w14:textId="6CBA522E" w:rsidR="00F121C6" w:rsidRPr="00F121C6" w:rsidRDefault="00F121C6"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121C6">
        <w:rPr>
          <w:rFonts w:asciiTheme="minorHAnsi" w:hAnsiTheme="minorHAnsi" w:cstheme="minorHAnsi"/>
          <w:szCs w:val="24"/>
        </w:rPr>
        <w:lastRenderedPageBreak/>
        <w:t xml:space="preserve">Further standards are in the pipeline: a standard describing </w:t>
      </w:r>
      <w:r w:rsidR="0093221E">
        <w:rPr>
          <w:rFonts w:asciiTheme="minorHAnsi" w:hAnsiTheme="minorHAnsi" w:cstheme="minorHAnsi"/>
          <w:szCs w:val="24"/>
        </w:rPr>
        <w:t>“</w:t>
      </w:r>
      <w:r w:rsidRPr="00F121C6">
        <w:rPr>
          <w:rFonts w:asciiTheme="minorHAnsi" w:hAnsiTheme="minorHAnsi" w:cstheme="minorHAnsi"/>
          <w:szCs w:val="24"/>
        </w:rPr>
        <w:t>Machine Learning Sandboxes</w:t>
      </w:r>
      <w:r w:rsidR="0093221E">
        <w:rPr>
          <w:rFonts w:asciiTheme="minorHAnsi" w:hAnsiTheme="minorHAnsi" w:cstheme="minorHAnsi"/>
          <w:szCs w:val="24"/>
        </w:rPr>
        <w:t>”</w:t>
      </w:r>
      <w:r w:rsidRPr="00F121C6">
        <w:rPr>
          <w:rFonts w:asciiTheme="minorHAnsi" w:hAnsiTheme="minorHAnsi" w:cstheme="minorHAnsi"/>
          <w:szCs w:val="24"/>
        </w:rPr>
        <w:t xml:space="preserve"> (</w:t>
      </w:r>
      <w:r w:rsidR="0093221E">
        <w:rPr>
          <w:rFonts w:asciiTheme="minorHAnsi" w:hAnsiTheme="minorHAnsi" w:cstheme="minorHAnsi"/>
          <w:szCs w:val="24"/>
        </w:rPr>
        <w:t>“</w:t>
      </w:r>
      <w:r w:rsidRPr="00F121C6">
        <w:rPr>
          <w:rFonts w:asciiTheme="minorHAnsi" w:hAnsiTheme="minorHAnsi" w:cstheme="minorHAnsi"/>
          <w:szCs w:val="24"/>
        </w:rPr>
        <w:t>sandboxes</w:t>
      </w:r>
      <w:r w:rsidR="0093221E">
        <w:rPr>
          <w:rFonts w:asciiTheme="minorHAnsi" w:hAnsiTheme="minorHAnsi" w:cstheme="minorHAnsi"/>
          <w:szCs w:val="24"/>
        </w:rPr>
        <w:t>”</w:t>
      </w:r>
      <w:r w:rsidRPr="00F121C6">
        <w:rPr>
          <w:rFonts w:asciiTheme="minorHAnsi" w:hAnsiTheme="minorHAnsi" w:cstheme="minorHAnsi"/>
          <w:szCs w:val="24"/>
        </w:rPr>
        <w:t xml:space="preserve"> offer isolated environments hosting separate Machine learning pipelines to train, test</w:t>
      </w:r>
      <w:r w:rsidR="0093221E">
        <w:rPr>
          <w:rFonts w:asciiTheme="minorHAnsi" w:hAnsiTheme="minorHAnsi" w:cstheme="minorHAnsi"/>
          <w:szCs w:val="24"/>
        </w:rPr>
        <w:t>,</w:t>
      </w:r>
      <w:r w:rsidRPr="00F121C6">
        <w:rPr>
          <w:rFonts w:asciiTheme="minorHAnsi" w:hAnsiTheme="minorHAnsi" w:cstheme="minorHAnsi"/>
          <w:szCs w:val="24"/>
        </w:rPr>
        <w:t xml:space="preserve"> and evaluate Machine Learning applications before deploying them in a live network); and a standard on the </w:t>
      </w:r>
      <w:r w:rsidR="0093221E">
        <w:rPr>
          <w:rFonts w:asciiTheme="minorHAnsi" w:hAnsiTheme="minorHAnsi" w:cstheme="minorHAnsi"/>
          <w:szCs w:val="24"/>
        </w:rPr>
        <w:t>‘</w:t>
      </w:r>
      <w:r w:rsidRPr="00F121C6">
        <w:rPr>
          <w:rFonts w:asciiTheme="minorHAnsi" w:hAnsiTheme="minorHAnsi" w:cstheme="minorHAnsi"/>
          <w:szCs w:val="24"/>
        </w:rPr>
        <w:t>Machine Learning Function Orchestrator</w:t>
      </w:r>
      <w:r w:rsidR="0093221E">
        <w:rPr>
          <w:rFonts w:asciiTheme="minorHAnsi" w:hAnsiTheme="minorHAnsi" w:cstheme="minorHAnsi"/>
          <w:szCs w:val="24"/>
        </w:rPr>
        <w:t>’</w:t>
      </w:r>
      <w:r w:rsidRPr="00F121C6">
        <w:rPr>
          <w:rFonts w:asciiTheme="minorHAnsi" w:hAnsiTheme="minorHAnsi" w:cstheme="minorHAnsi"/>
          <w:szCs w:val="24"/>
        </w:rPr>
        <w:t xml:space="preserve"> to help manage networks.</w:t>
      </w:r>
    </w:p>
    <w:p w14:paraId="2DB8AFC1" w14:textId="1638AF10" w:rsidR="00F121C6" w:rsidRPr="00F121C6" w:rsidRDefault="00F121C6"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121C6">
        <w:rPr>
          <w:rFonts w:asciiTheme="minorHAnsi" w:hAnsiTheme="minorHAnsi" w:cstheme="minorHAnsi"/>
          <w:szCs w:val="24"/>
        </w:rPr>
        <w:t xml:space="preserve">To solve relevant problems in 5G using Machine Learning, ITU </w:t>
      </w:r>
      <w:r w:rsidR="00AA2753">
        <w:rPr>
          <w:rFonts w:asciiTheme="minorHAnsi" w:hAnsiTheme="minorHAnsi" w:cstheme="minorHAnsi"/>
          <w:szCs w:val="24"/>
        </w:rPr>
        <w:t xml:space="preserve">has </w:t>
      </w:r>
      <w:r w:rsidRPr="00F121C6">
        <w:rPr>
          <w:rFonts w:asciiTheme="minorHAnsi" w:hAnsiTheme="minorHAnsi" w:cstheme="minorHAnsi"/>
          <w:szCs w:val="24"/>
        </w:rPr>
        <w:t>conduct</w:t>
      </w:r>
      <w:r w:rsidR="00AA2753">
        <w:rPr>
          <w:rFonts w:asciiTheme="minorHAnsi" w:hAnsiTheme="minorHAnsi" w:cstheme="minorHAnsi"/>
          <w:szCs w:val="24"/>
        </w:rPr>
        <w:t>ed</w:t>
      </w:r>
      <w:r w:rsidRPr="00F121C6">
        <w:rPr>
          <w:rFonts w:asciiTheme="minorHAnsi" w:hAnsiTheme="minorHAnsi" w:cstheme="minorHAnsi"/>
          <w:szCs w:val="24"/>
        </w:rPr>
        <w:t xml:space="preserve"> </w:t>
      </w:r>
      <w:r w:rsidR="00AA2753">
        <w:rPr>
          <w:rFonts w:asciiTheme="minorHAnsi" w:hAnsiTheme="minorHAnsi" w:cstheme="minorHAnsi"/>
          <w:szCs w:val="24"/>
        </w:rPr>
        <w:t>the</w:t>
      </w:r>
      <w:r w:rsidRPr="00F121C6">
        <w:rPr>
          <w:rFonts w:asciiTheme="minorHAnsi" w:hAnsiTheme="minorHAnsi" w:cstheme="minorHAnsi"/>
          <w:szCs w:val="24"/>
        </w:rPr>
        <w:t xml:space="preserve"> global ITU AI/ML 5G Challenge </w:t>
      </w:r>
      <w:r w:rsidR="00AA2753">
        <w:rPr>
          <w:rFonts w:asciiTheme="minorHAnsi" w:hAnsiTheme="minorHAnsi" w:cstheme="minorHAnsi"/>
          <w:szCs w:val="24"/>
        </w:rPr>
        <w:t xml:space="preserve">in 2020, a competition in which more than 1300 students and professionals participated from 62 </w:t>
      </w:r>
      <w:proofErr w:type="gramStart"/>
      <w:r w:rsidR="00AA2753">
        <w:rPr>
          <w:rFonts w:asciiTheme="minorHAnsi" w:hAnsiTheme="minorHAnsi" w:cstheme="minorHAnsi"/>
          <w:szCs w:val="24"/>
        </w:rPr>
        <w:t>countries.</w:t>
      </w:r>
      <w:r w:rsidRPr="00F121C6">
        <w:rPr>
          <w:rFonts w:asciiTheme="minorHAnsi" w:hAnsiTheme="minorHAnsi" w:cstheme="minorHAnsi"/>
          <w:szCs w:val="24"/>
        </w:rPr>
        <w:t>.</w:t>
      </w:r>
      <w:proofErr w:type="gramEnd"/>
      <w:r w:rsidRPr="00F121C6">
        <w:rPr>
          <w:rFonts w:asciiTheme="minorHAnsi" w:hAnsiTheme="minorHAnsi" w:cstheme="minorHAnsi"/>
          <w:szCs w:val="24"/>
        </w:rPr>
        <w:t xml:space="preserve"> Participants w</w:t>
      </w:r>
      <w:r w:rsidR="00AA2753">
        <w:rPr>
          <w:rFonts w:asciiTheme="minorHAnsi" w:hAnsiTheme="minorHAnsi" w:cstheme="minorHAnsi"/>
          <w:szCs w:val="24"/>
        </w:rPr>
        <w:t>ere</w:t>
      </w:r>
      <w:r w:rsidRPr="00F121C6">
        <w:rPr>
          <w:rFonts w:asciiTheme="minorHAnsi" w:hAnsiTheme="minorHAnsi" w:cstheme="minorHAnsi"/>
          <w:szCs w:val="24"/>
        </w:rPr>
        <w:t xml:space="preserve"> able to solve real world problems, based on standardized technologies developed for ML in 5G networks. Teams </w:t>
      </w:r>
      <w:r w:rsidR="00AA2753">
        <w:rPr>
          <w:rFonts w:asciiTheme="minorHAnsi" w:hAnsiTheme="minorHAnsi" w:cstheme="minorHAnsi"/>
          <w:szCs w:val="24"/>
        </w:rPr>
        <w:t xml:space="preserve">were </w:t>
      </w:r>
      <w:r w:rsidRPr="00F121C6">
        <w:rPr>
          <w:rFonts w:asciiTheme="minorHAnsi" w:hAnsiTheme="minorHAnsi" w:cstheme="minorHAnsi"/>
          <w:szCs w:val="24"/>
        </w:rPr>
        <w:t>required to enable, create, train</w:t>
      </w:r>
      <w:r w:rsidR="0093221E">
        <w:rPr>
          <w:rFonts w:asciiTheme="minorHAnsi" w:hAnsiTheme="minorHAnsi" w:cstheme="minorHAnsi"/>
          <w:szCs w:val="24"/>
        </w:rPr>
        <w:t>,</w:t>
      </w:r>
      <w:r w:rsidRPr="00F121C6">
        <w:rPr>
          <w:rFonts w:asciiTheme="minorHAnsi" w:hAnsiTheme="minorHAnsi" w:cstheme="minorHAnsi"/>
          <w:szCs w:val="24"/>
        </w:rPr>
        <w:t xml:space="preserve"> and deploy ML models such that participants will acquire hands-on experience in AI/ML in areas relevant to 5G. </w:t>
      </w:r>
      <w:r w:rsidR="00AA2753">
        <w:rPr>
          <w:rFonts w:asciiTheme="minorHAnsi" w:hAnsiTheme="minorHAnsi" w:cstheme="minorHAnsi"/>
          <w:szCs w:val="24"/>
        </w:rPr>
        <w:t>The 2021 edition of the ITU AI/ML in 5G Challenge is under way.</w:t>
      </w:r>
    </w:p>
    <w:p w14:paraId="792D0F96" w14:textId="441FCE0E" w:rsidR="00F121C6" w:rsidRDefault="00F121C6"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121C6">
        <w:rPr>
          <w:rFonts w:asciiTheme="minorHAnsi" w:hAnsiTheme="minorHAnsi" w:cstheme="minorHAnsi"/>
          <w:szCs w:val="24"/>
        </w:rPr>
        <w:t>To support ITU</w:t>
      </w:r>
      <w:r w:rsidR="0093221E">
        <w:rPr>
          <w:rFonts w:asciiTheme="minorHAnsi" w:hAnsiTheme="minorHAnsi" w:cstheme="minorHAnsi"/>
          <w:szCs w:val="24"/>
        </w:rPr>
        <w:t>’</w:t>
      </w:r>
      <w:r w:rsidRPr="00F121C6">
        <w:rPr>
          <w:rFonts w:asciiTheme="minorHAnsi" w:hAnsiTheme="minorHAnsi" w:cstheme="minorHAnsi"/>
          <w:szCs w:val="24"/>
        </w:rPr>
        <w:t>s AI/ML work, TSB is requesting one P4 staff for an expert in applying Machine Learning to communication networks.</w:t>
      </w:r>
    </w:p>
    <w:p w14:paraId="1E992923" w14:textId="0D515D13" w:rsidR="00F121C6" w:rsidRDefault="00F121C6" w:rsidP="00AC3E1C">
      <w:pPr>
        <w:tabs>
          <w:tab w:val="clear" w:pos="567"/>
          <w:tab w:val="clear" w:pos="1134"/>
          <w:tab w:val="clear" w:pos="1701"/>
          <w:tab w:val="clear" w:pos="2268"/>
          <w:tab w:val="clear" w:pos="2835"/>
        </w:tabs>
        <w:overflowPunct/>
        <w:autoSpaceDE/>
        <w:autoSpaceDN/>
        <w:adjustRightInd/>
        <w:spacing w:before="360" w:after="120"/>
        <w:jc w:val="both"/>
        <w:textAlignment w:val="auto"/>
        <w:rPr>
          <w:rFonts w:asciiTheme="minorHAnsi" w:hAnsiTheme="minorHAnsi" w:cstheme="minorHAnsi"/>
          <w:b/>
          <w:bCs/>
          <w:color w:val="1F497D" w:themeColor="text2"/>
          <w:szCs w:val="24"/>
        </w:rPr>
      </w:pPr>
      <w:r>
        <w:rPr>
          <w:b/>
          <w:bCs/>
          <w:color w:val="1F497D" w:themeColor="text2"/>
          <w:lang w:val="en-US"/>
        </w:rPr>
        <w:t>F</w:t>
      </w:r>
      <w:r w:rsidRPr="00C94C95">
        <w:rPr>
          <w:color w:val="1F497D" w:themeColor="text2"/>
          <w:lang w:val="en-US"/>
        </w:rPr>
        <w:tab/>
      </w:r>
      <w:r w:rsidR="003D76FB" w:rsidRPr="004F0CFC">
        <w:rPr>
          <w:b/>
          <w:bCs/>
          <w:color w:val="1F497D" w:themeColor="text2"/>
          <w:lang w:val="en-US"/>
        </w:rPr>
        <w:t>TSB</w:t>
      </w:r>
      <w:r w:rsidR="003D76FB">
        <w:rPr>
          <w:color w:val="1F497D" w:themeColor="text2"/>
          <w:lang w:val="en-US"/>
        </w:rPr>
        <w:t xml:space="preserve"> </w:t>
      </w:r>
      <w:r w:rsidR="003D76FB">
        <w:rPr>
          <w:rFonts w:asciiTheme="minorHAnsi" w:hAnsiTheme="minorHAnsi" w:cstheme="minorHAnsi"/>
          <w:b/>
          <w:bCs/>
          <w:color w:val="1F497D" w:themeColor="text2"/>
          <w:szCs w:val="24"/>
        </w:rPr>
        <w:t>IT tools and applications</w:t>
      </w:r>
    </w:p>
    <w:p w14:paraId="39505F1C" w14:textId="1330BAC4" w:rsidR="00F121C6" w:rsidRPr="00F121C6" w:rsidRDefault="00F121C6"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bookmarkStart w:id="14" w:name="_Hlk68791078"/>
      <w:r w:rsidRPr="00F121C6">
        <w:rPr>
          <w:rFonts w:asciiTheme="minorHAnsi" w:hAnsiTheme="minorHAnsi" w:cstheme="minorHAnsi"/>
          <w:szCs w:val="24"/>
        </w:rPr>
        <w:t>In th</w:t>
      </w:r>
      <w:r w:rsidR="001115BA">
        <w:rPr>
          <w:rFonts w:asciiTheme="minorHAnsi" w:hAnsiTheme="minorHAnsi" w:cstheme="minorHAnsi"/>
          <w:szCs w:val="24"/>
        </w:rPr>
        <w:t>ese</w:t>
      </w:r>
      <w:r w:rsidRPr="00F121C6">
        <w:rPr>
          <w:rFonts w:asciiTheme="minorHAnsi" w:hAnsiTheme="minorHAnsi" w:cstheme="minorHAnsi"/>
          <w:szCs w:val="24"/>
        </w:rPr>
        <w:t xml:space="preserve"> </w:t>
      </w:r>
      <w:r w:rsidR="001115BA">
        <w:rPr>
          <w:rFonts w:asciiTheme="minorHAnsi" w:hAnsiTheme="minorHAnsi" w:cstheme="minorHAnsi"/>
          <w:szCs w:val="24"/>
        </w:rPr>
        <w:t xml:space="preserve">times of </w:t>
      </w:r>
      <w:r w:rsidRPr="00F121C6">
        <w:rPr>
          <w:rFonts w:asciiTheme="minorHAnsi" w:hAnsiTheme="minorHAnsi" w:cstheme="minorHAnsi"/>
          <w:szCs w:val="24"/>
        </w:rPr>
        <w:t>Covid-19, ICTs offer the only opportunity to cope with social distancing while ensuring business continuity. Several sectors, such as the Healthcare systems, Education, Trade, Food Service</w:t>
      </w:r>
      <w:r w:rsidR="0093221E">
        <w:rPr>
          <w:rFonts w:asciiTheme="minorHAnsi" w:hAnsiTheme="minorHAnsi" w:cstheme="minorHAnsi"/>
          <w:szCs w:val="24"/>
        </w:rPr>
        <w:t>,</w:t>
      </w:r>
      <w:r w:rsidRPr="00F121C6">
        <w:rPr>
          <w:rFonts w:asciiTheme="minorHAnsi" w:hAnsiTheme="minorHAnsi" w:cstheme="minorHAnsi"/>
          <w:szCs w:val="24"/>
        </w:rPr>
        <w:t xml:space="preserve"> and Entertainment, have used one or several IT services to connect and communicate with people and access information. Since March 2020, TSB has been able to use various IT tools, many of which are developed in-house, to allow for a rapid transition of offline undertakings to online activities. The high dependency on these IT solutions within the framework of WTSA Resolution 32 and the need to provide services that are conformant with WTSA Resolution 69 ha</w:t>
      </w:r>
      <w:r w:rsidR="001115BA">
        <w:rPr>
          <w:rFonts w:asciiTheme="minorHAnsi" w:hAnsiTheme="minorHAnsi" w:cstheme="minorHAnsi"/>
          <w:szCs w:val="24"/>
        </w:rPr>
        <w:t>ve</w:t>
      </w:r>
      <w:r w:rsidRPr="00F121C6">
        <w:rPr>
          <w:rFonts w:asciiTheme="minorHAnsi" w:hAnsiTheme="minorHAnsi" w:cstheme="minorHAnsi"/>
          <w:szCs w:val="24"/>
        </w:rPr>
        <w:t xml:space="preserve"> never been greater than today. Further efforts need to be put in place to enhance and maintain ITU</w:t>
      </w:r>
      <w:r w:rsidR="0093221E">
        <w:rPr>
          <w:rFonts w:asciiTheme="minorHAnsi" w:hAnsiTheme="minorHAnsi" w:cstheme="minorHAnsi"/>
          <w:szCs w:val="24"/>
        </w:rPr>
        <w:t>’</w:t>
      </w:r>
      <w:r w:rsidRPr="00F121C6">
        <w:rPr>
          <w:rFonts w:asciiTheme="minorHAnsi" w:hAnsiTheme="minorHAnsi" w:cstheme="minorHAnsi"/>
          <w:szCs w:val="24"/>
        </w:rPr>
        <w:t xml:space="preserve">s IT solutions to meet the growing demands bought about by the COVID-19 pandemic. Therefore, the need to increase staff within the IT domain of critical importance </w:t>
      </w:r>
      <w:r w:rsidR="001115BA">
        <w:rPr>
          <w:rFonts w:asciiTheme="minorHAnsi" w:hAnsiTheme="minorHAnsi" w:cstheme="minorHAnsi"/>
          <w:szCs w:val="24"/>
        </w:rPr>
        <w:t xml:space="preserve">is </w:t>
      </w:r>
      <w:r w:rsidRPr="00F121C6">
        <w:rPr>
          <w:rFonts w:asciiTheme="minorHAnsi" w:hAnsiTheme="minorHAnsi" w:cstheme="minorHAnsi"/>
          <w:szCs w:val="24"/>
        </w:rPr>
        <w:t>a priority for TSB.</w:t>
      </w:r>
    </w:p>
    <w:bookmarkEnd w:id="14"/>
    <w:p w14:paraId="28763BA6" w14:textId="126A334A" w:rsidR="00F121C6" w:rsidRDefault="00F121C6"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121C6">
        <w:rPr>
          <w:rFonts w:asciiTheme="minorHAnsi" w:hAnsiTheme="minorHAnsi" w:cstheme="minorHAnsi"/>
          <w:szCs w:val="24"/>
        </w:rPr>
        <w:t>It is important for TSB to maintain and improve its tools and services to meet the demands of the Sector and maintain business continuity. Consequently, the Bureau requests for one P1 staff and one P2 staff to support the existing tools and services as well as to innovate, update</w:t>
      </w:r>
      <w:r w:rsidR="0093221E">
        <w:rPr>
          <w:rFonts w:asciiTheme="minorHAnsi" w:hAnsiTheme="minorHAnsi" w:cstheme="minorHAnsi"/>
          <w:szCs w:val="24"/>
        </w:rPr>
        <w:t>,</w:t>
      </w:r>
      <w:r w:rsidRPr="00F121C6">
        <w:rPr>
          <w:rFonts w:asciiTheme="minorHAnsi" w:hAnsiTheme="minorHAnsi" w:cstheme="minorHAnsi"/>
          <w:szCs w:val="24"/>
        </w:rPr>
        <w:t xml:space="preserve"> and continuously improve them, with the goal of providing the best support to the Membership and activities of the ITU-T.</w:t>
      </w:r>
    </w:p>
    <w:p w14:paraId="3C303A9D" w14:textId="1887D71A" w:rsidR="00146D3F" w:rsidRPr="000809CA" w:rsidRDefault="00146D3F" w:rsidP="00AC3E1C">
      <w:pPr>
        <w:tabs>
          <w:tab w:val="clear" w:pos="567"/>
          <w:tab w:val="clear" w:pos="1134"/>
          <w:tab w:val="clear" w:pos="1701"/>
          <w:tab w:val="clear" w:pos="2268"/>
          <w:tab w:val="clear" w:pos="2835"/>
        </w:tabs>
        <w:overflowPunct/>
        <w:autoSpaceDE/>
        <w:autoSpaceDN/>
        <w:adjustRightInd/>
        <w:spacing w:before="360" w:after="120"/>
        <w:jc w:val="both"/>
        <w:textAlignment w:val="auto"/>
        <w:rPr>
          <w:rFonts w:asciiTheme="minorHAnsi" w:hAnsiTheme="minorHAnsi" w:cstheme="minorHAnsi"/>
          <w:b/>
          <w:bCs/>
          <w:color w:val="1F497D" w:themeColor="text2"/>
          <w:szCs w:val="24"/>
        </w:rPr>
      </w:pPr>
      <w:r w:rsidRPr="000809CA">
        <w:rPr>
          <w:rFonts w:asciiTheme="minorHAnsi" w:hAnsiTheme="minorHAnsi" w:cstheme="minorHAnsi"/>
          <w:b/>
          <w:bCs/>
          <w:color w:val="1F497D" w:themeColor="text2"/>
          <w:szCs w:val="24"/>
        </w:rPr>
        <w:t>G</w:t>
      </w:r>
      <w:r w:rsidRPr="000809CA">
        <w:rPr>
          <w:rFonts w:asciiTheme="minorHAnsi" w:hAnsiTheme="minorHAnsi" w:cstheme="minorHAnsi"/>
          <w:b/>
          <w:bCs/>
          <w:color w:val="1F497D" w:themeColor="text2"/>
          <w:szCs w:val="24"/>
        </w:rPr>
        <w:tab/>
        <w:t>BR IT tools and applications for implementing the Radio Regulations</w:t>
      </w:r>
    </w:p>
    <w:p w14:paraId="47609284" w14:textId="5360B272" w:rsidR="004443EC" w:rsidRPr="000809CA" w:rsidRDefault="004443EC" w:rsidP="00AC3E1C">
      <w:pPr>
        <w:tabs>
          <w:tab w:val="clear" w:pos="567"/>
          <w:tab w:val="clear" w:pos="1134"/>
          <w:tab w:val="clear" w:pos="1701"/>
          <w:tab w:val="clear" w:pos="2268"/>
          <w:tab w:val="clear" w:pos="2835"/>
        </w:tabs>
        <w:overflowPunct/>
        <w:autoSpaceDE/>
        <w:autoSpaceDN/>
        <w:adjustRightInd/>
        <w:spacing w:before="240" w:after="120"/>
        <w:ind w:left="720" w:hanging="720"/>
        <w:jc w:val="both"/>
        <w:textAlignment w:val="auto"/>
        <w:rPr>
          <w:rFonts w:asciiTheme="minorHAnsi" w:hAnsiTheme="minorHAnsi" w:cstheme="minorHAnsi"/>
          <w:i/>
          <w:iCs/>
          <w:color w:val="1F497D" w:themeColor="text2"/>
          <w:szCs w:val="24"/>
        </w:rPr>
      </w:pPr>
      <w:r w:rsidRPr="000809CA">
        <w:rPr>
          <w:rFonts w:asciiTheme="minorHAnsi" w:hAnsiTheme="minorHAnsi" w:cstheme="minorHAnsi"/>
          <w:i/>
          <w:iCs/>
          <w:color w:val="1F497D" w:themeColor="text2"/>
          <w:szCs w:val="24"/>
        </w:rPr>
        <w:t>G-1</w:t>
      </w:r>
      <w:r w:rsidRPr="000809CA">
        <w:rPr>
          <w:rFonts w:asciiTheme="minorHAnsi" w:hAnsiTheme="minorHAnsi" w:cstheme="minorHAnsi"/>
          <w:i/>
          <w:iCs/>
          <w:color w:val="1F497D" w:themeColor="text2"/>
          <w:szCs w:val="24"/>
        </w:rPr>
        <w:tab/>
        <w:t>Implementation of Resolution 907 (Rev.WRC-15): Electronic communications for satellite network filings and Resolution 908 (Rev.WRC-15): Electronic submission and publication of satellite network filings</w:t>
      </w:r>
    </w:p>
    <w:p w14:paraId="5EE1AA71" w14:textId="0FA65A33" w:rsidR="004443EC" w:rsidRDefault="004443EC" w:rsidP="00AC3E1C">
      <w:pPr>
        <w:spacing w:after="120"/>
        <w:jc w:val="both"/>
        <w:rPr>
          <w:lang w:val="en-US"/>
        </w:rPr>
      </w:pPr>
      <w:r w:rsidRPr="007F0FF8">
        <w:rPr>
          <w:lang w:val="en-US"/>
        </w:rPr>
        <w:t xml:space="preserve">Resolution 907 (Rev. WRC-15) resolves that modern electronic means of communication shall be used whenever possible in the administrative correspondence between </w:t>
      </w:r>
      <w:r w:rsidR="00B06297">
        <w:rPr>
          <w:lang w:val="en-US"/>
        </w:rPr>
        <w:t>A</w:t>
      </w:r>
      <w:r w:rsidRPr="007F0FF8">
        <w:rPr>
          <w:lang w:val="en-US"/>
        </w:rPr>
        <w:t>dministrations and the Radiocommunication Bureau related to the advance publication, coordination, notification and recording processes, including correspondence related to Appendices 30, 30A and 30B, for satellite networks, earth stations</w:t>
      </w:r>
      <w:r w:rsidR="0093221E">
        <w:rPr>
          <w:lang w:val="en-US"/>
        </w:rPr>
        <w:t>,</w:t>
      </w:r>
      <w:r w:rsidRPr="007F0FF8">
        <w:rPr>
          <w:lang w:val="en-US"/>
        </w:rPr>
        <w:t xml:space="preserve"> and radio astronomy</w:t>
      </w:r>
      <w:r w:rsidRPr="005963E1">
        <w:rPr>
          <w:lang w:val="en-US"/>
        </w:rPr>
        <w:t xml:space="preserve"> stations</w:t>
      </w:r>
      <w:r>
        <w:rPr>
          <w:lang w:val="en-US"/>
        </w:rPr>
        <w:t xml:space="preserve">. At the same time, it requires that </w:t>
      </w:r>
      <w:r w:rsidRPr="007F0FF8">
        <w:rPr>
          <w:lang w:val="en-US"/>
        </w:rPr>
        <w:t xml:space="preserve">other traditional means of communication shall continue to be used unless the </w:t>
      </w:r>
      <w:r w:rsidR="00B06297">
        <w:rPr>
          <w:lang w:val="en-US"/>
        </w:rPr>
        <w:t>A</w:t>
      </w:r>
      <w:r w:rsidRPr="007F0FF8">
        <w:rPr>
          <w:lang w:val="en-US"/>
        </w:rPr>
        <w:t>dministration informs the Bureau of its willingness to discontinue such use</w:t>
      </w:r>
      <w:r>
        <w:rPr>
          <w:lang w:val="en-US"/>
        </w:rPr>
        <w:t xml:space="preserve">. </w:t>
      </w:r>
      <w:r w:rsidR="002D10BB">
        <w:rPr>
          <w:lang w:val="en-US"/>
        </w:rPr>
        <w:t xml:space="preserve">To fulfill these requirements, </w:t>
      </w:r>
      <w:r>
        <w:rPr>
          <w:lang w:val="en-US"/>
        </w:rPr>
        <w:t>Res</w:t>
      </w:r>
      <w:r w:rsidR="00185E49">
        <w:rPr>
          <w:lang w:val="en-US"/>
        </w:rPr>
        <w:t>. </w:t>
      </w:r>
      <w:r>
        <w:rPr>
          <w:lang w:val="en-US"/>
        </w:rPr>
        <w:t xml:space="preserve">907 instructs the BR </w:t>
      </w:r>
      <w:r w:rsidRPr="007F0FF8">
        <w:rPr>
          <w:lang w:val="en-US"/>
        </w:rPr>
        <w:t xml:space="preserve">to provide administrations with the necessary technical means to ensure that the modern electronic correspondence between </w:t>
      </w:r>
      <w:r w:rsidR="00B06297">
        <w:rPr>
          <w:lang w:val="en-US"/>
        </w:rPr>
        <w:t>A</w:t>
      </w:r>
      <w:r w:rsidRPr="007F0FF8">
        <w:rPr>
          <w:lang w:val="en-US"/>
        </w:rPr>
        <w:t>dministrations and the Radiocommunication Bureau is secure</w:t>
      </w:r>
      <w:r>
        <w:rPr>
          <w:lang w:val="en-US"/>
        </w:rPr>
        <w:t>.</w:t>
      </w:r>
    </w:p>
    <w:p w14:paraId="12549EC0" w14:textId="23E632B3" w:rsidR="004443EC" w:rsidRPr="001524BB" w:rsidRDefault="004443EC" w:rsidP="00AC3E1C">
      <w:pPr>
        <w:spacing w:after="120"/>
        <w:jc w:val="both"/>
        <w:rPr>
          <w:lang w:val="en-US"/>
        </w:rPr>
      </w:pPr>
      <w:r>
        <w:rPr>
          <w:lang w:val="en-US"/>
        </w:rPr>
        <w:lastRenderedPageBreak/>
        <w:t>Using funding from prior budget implementation surpluses</w:t>
      </w:r>
      <w:r w:rsidRPr="001524BB">
        <w:rPr>
          <w:lang w:val="en-US"/>
        </w:rPr>
        <w:t xml:space="preserve">, work </w:t>
      </w:r>
      <w:r>
        <w:rPr>
          <w:lang w:val="en-US"/>
        </w:rPr>
        <w:t xml:space="preserve">has </w:t>
      </w:r>
      <w:proofErr w:type="gramStart"/>
      <w:r w:rsidRPr="001524BB">
        <w:rPr>
          <w:lang w:val="en-US"/>
        </w:rPr>
        <w:t>continued on</w:t>
      </w:r>
      <w:proofErr w:type="gramEnd"/>
      <w:r w:rsidRPr="001524BB">
        <w:rPr>
          <w:lang w:val="en-US"/>
        </w:rPr>
        <w:t xml:space="preserve"> implementing Res</w:t>
      </w:r>
      <w:r w:rsidR="00185E49">
        <w:rPr>
          <w:lang w:val="en-US"/>
        </w:rPr>
        <w:t>. </w:t>
      </w:r>
      <w:r w:rsidRPr="001524BB">
        <w:rPr>
          <w:lang w:val="en-US"/>
        </w:rPr>
        <w:t xml:space="preserve">907 (Rev. WRC-15), to deliver a secure online system </w:t>
      </w:r>
      <w:r w:rsidR="0093221E">
        <w:rPr>
          <w:lang w:val="en-US"/>
        </w:rPr>
        <w:t>“</w:t>
      </w:r>
      <w:r w:rsidRPr="001524BB">
        <w:rPr>
          <w:lang w:val="en-US"/>
        </w:rPr>
        <w:t>e-Communications</w:t>
      </w:r>
      <w:r w:rsidR="0093221E">
        <w:rPr>
          <w:lang w:val="en-US"/>
        </w:rPr>
        <w:t>”</w:t>
      </w:r>
      <w:r w:rsidRPr="001524BB">
        <w:rPr>
          <w:lang w:val="en-US"/>
        </w:rPr>
        <w:t xml:space="preserve"> to modernize and enhance the current correspondence system between </w:t>
      </w:r>
      <w:r w:rsidR="00B06297">
        <w:rPr>
          <w:lang w:val="en-US"/>
        </w:rPr>
        <w:t>A</w:t>
      </w:r>
      <w:r w:rsidRPr="001524BB">
        <w:rPr>
          <w:lang w:val="en-US"/>
        </w:rPr>
        <w:t xml:space="preserve">dministrations and ITU as well as amongst </w:t>
      </w:r>
      <w:r w:rsidR="00B06297">
        <w:rPr>
          <w:lang w:val="en-US"/>
        </w:rPr>
        <w:t>A</w:t>
      </w:r>
      <w:r w:rsidRPr="001524BB">
        <w:rPr>
          <w:lang w:val="en-US"/>
        </w:rPr>
        <w:t>dministrations</w:t>
      </w:r>
      <w:r>
        <w:rPr>
          <w:lang w:val="en-US"/>
        </w:rPr>
        <w:t>.</w:t>
      </w:r>
      <w:r w:rsidR="00185E49">
        <w:rPr>
          <w:lang w:val="en-US"/>
        </w:rPr>
        <w:t xml:space="preserve"> </w:t>
      </w:r>
      <w:r>
        <w:rPr>
          <w:lang w:val="en-US"/>
        </w:rPr>
        <w:t xml:space="preserve">Recent enhancements </w:t>
      </w:r>
      <w:r w:rsidRPr="001524BB">
        <w:rPr>
          <w:lang w:val="en-US"/>
        </w:rPr>
        <w:t>improv</w:t>
      </w:r>
      <w:r>
        <w:rPr>
          <w:lang w:val="en-US"/>
        </w:rPr>
        <w:t>ed</w:t>
      </w:r>
      <w:r w:rsidRPr="001524BB">
        <w:rPr>
          <w:lang w:val="en-US"/>
        </w:rPr>
        <w:t xml:space="preserve"> the process for </w:t>
      </w:r>
      <w:r>
        <w:rPr>
          <w:lang w:val="en-US"/>
        </w:rPr>
        <w:t xml:space="preserve">sending </w:t>
      </w:r>
      <w:r w:rsidRPr="001524BB">
        <w:rPr>
          <w:lang w:val="en-US"/>
        </w:rPr>
        <w:t xml:space="preserve">comments from affected </w:t>
      </w:r>
      <w:r w:rsidR="00B06297">
        <w:rPr>
          <w:lang w:val="en-US"/>
        </w:rPr>
        <w:t>A</w:t>
      </w:r>
      <w:r w:rsidRPr="001524BB">
        <w:rPr>
          <w:lang w:val="en-US"/>
        </w:rPr>
        <w:t xml:space="preserve">dministrations to notifying </w:t>
      </w:r>
      <w:r w:rsidR="00B06297">
        <w:rPr>
          <w:lang w:val="en-US"/>
        </w:rPr>
        <w:t>A</w:t>
      </w:r>
      <w:r w:rsidRPr="001524BB">
        <w:rPr>
          <w:lang w:val="en-US"/>
        </w:rPr>
        <w:t>dministrations in the space services Planned bands and introduce</w:t>
      </w:r>
      <w:r>
        <w:rPr>
          <w:lang w:val="en-US"/>
        </w:rPr>
        <w:t>d</w:t>
      </w:r>
      <w:r w:rsidRPr="001524BB">
        <w:rPr>
          <w:lang w:val="en-US"/>
        </w:rPr>
        <w:t xml:space="preserve"> a more user-friendly layout. The Bureau</w:t>
      </w:r>
      <w:r>
        <w:rPr>
          <w:lang w:val="en-US"/>
        </w:rPr>
        <w:t xml:space="preserve"> has been encouraged by Member States to</w:t>
      </w:r>
      <w:r w:rsidRPr="001524BB">
        <w:rPr>
          <w:lang w:val="en-US"/>
        </w:rPr>
        <w:t xml:space="preserve"> continuously improv</w:t>
      </w:r>
      <w:r>
        <w:rPr>
          <w:lang w:val="en-US"/>
        </w:rPr>
        <w:t>e</w:t>
      </w:r>
      <w:r w:rsidRPr="001524BB">
        <w:rPr>
          <w:lang w:val="en-US"/>
        </w:rPr>
        <w:t xml:space="preserve"> the performance of the system.</w:t>
      </w:r>
    </w:p>
    <w:p w14:paraId="535ADC3A" w14:textId="77777777" w:rsidR="004443EC" w:rsidRPr="001524BB" w:rsidRDefault="004443EC" w:rsidP="00AC3E1C">
      <w:pPr>
        <w:spacing w:after="120"/>
        <w:jc w:val="both"/>
        <w:rPr>
          <w:lang w:val="en-US"/>
        </w:rPr>
      </w:pPr>
      <w:r w:rsidRPr="001524BB">
        <w:rPr>
          <w:lang w:val="en-US"/>
        </w:rPr>
        <w:t>This online system has been facilitating communications related to space services between Administrations and the Bureau, as well as between Administrations, despite the limitations caused by the COVID-19 outbreak and remote working environments implemented by most Administrations.</w:t>
      </w:r>
    </w:p>
    <w:p w14:paraId="524117C9" w14:textId="5133B4A0" w:rsidR="004443EC" w:rsidRPr="000809CA" w:rsidRDefault="004443EC" w:rsidP="00AC3E1C">
      <w:pPr>
        <w:spacing w:after="120"/>
        <w:jc w:val="both"/>
        <w:rPr>
          <w:i/>
          <w:iCs/>
          <w:lang w:val="en-US"/>
        </w:rPr>
      </w:pPr>
      <w:r w:rsidRPr="00E416B9">
        <w:rPr>
          <w:lang w:val="en-US"/>
        </w:rPr>
        <w:t xml:space="preserve">Resolution 908 (Rev. WRC-15) resolves that </w:t>
      </w:r>
      <w:r w:rsidR="00185E49">
        <w:rPr>
          <w:lang w:val="en-US"/>
        </w:rPr>
        <w:t>A</w:t>
      </w:r>
      <w:r w:rsidRPr="00E416B9">
        <w:rPr>
          <w:lang w:val="en-US"/>
        </w:rPr>
        <w:t xml:space="preserve">dministrations shall submit all satellite network filings and comments, if required, using a secure paperless electronic approach upon being advised that the means for such electronic submission of a satellite network filing for satellite networks or systems has been implemented and upon receiving assurances that such means are indeed secure. </w:t>
      </w:r>
      <w:r w:rsidR="002D10BB">
        <w:rPr>
          <w:lang w:val="en-US"/>
        </w:rPr>
        <w:t>To fulfill this requirement, i</w:t>
      </w:r>
      <w:r w:rsidRPr="00E416B9">
        <w:rPr>
          <w:lang w:val="en-US"/>
        </w:rPr>
        <w:t>t instructs the BR to implement a secure paperless electronic approach for the electronic submission and publication of satellite network filings and comments, if required, for satellite networks or systems.</w:t>
      </w:r>
    </w:p>
    <w:p w14:paraId="263A5FA0" w14:textId="47A52F6C" w:rsidR="004443EC" w:rsidRDefault="004443EC" w:rsidP="00AC3E1C">
      <w:pPr>
        <w:spacing w:after="120"/>
        <w:jc w:val="both"/>
        <w:rPr>
          <w:lang w:val="en-US"/>
        </w:rPr>
      </w:pPr>
      <w:r w:rsidRPr="001524BB">
        <w:rPr>
          <w:lang w:val="en-US"/>
        </w:rPr>
        <w:t>To assist in the development and testing</w:t>
      </w:r>
      <w:r>
        <w:rPr>
          <w:lang w:val="en-US"/>
        </w:rPr>
        <w:t xml:space="preserve"> of the e-Submission system</w:t>
      </w:r>
      <w:r w:rsidRPr="001524BB">
        <w:rPr>
          <w:lang w:val="en-US"/>
        </w:rPr>
        <w:t xml:space="preserve">, the Administration of Japan </w:t>
      </w:r>
      <w:r w:rsidR="002D10BB">
        <w:rPr>
          <w:lang w:val="en-US"/>
        </w:rPr>
        <w:t xml:space="preserve">generously </w:t>
      </w:r>
      <w:r w:rsidRPr="001524BB">
        <w:rPr>
          <w:lang w:val="en-US"/>
        </w:rPr>
        <w:t>made financial contribution</w:t>
      </w:r>
      <w:r>
        <w:rPr>
          <w:lang w:val="en-US"/>
        </w:rPr>
        <w:t>s</w:t>
      </w:r>
      <w:r w:rsidR="00185E49">
        <w:rPr>
          <w:lang w:val="en-US"/>
        </w:rPr>
        <w:t xml:space="preserve"> </w:t>
      </w:r>
      <w:r w:rsidR="002D10BB">
        <w:rPr>
          <w:lang w:val="en-US"/>
        </w:rPr>
        <w:t>to the project</w:t>
      </w:r>
      <w:r>
        <w:rPr>
          <w:lang w:val="en-US"/>
        </w:rPr>
        <w:t xml:space="preserve">, </w:t>
      </w:r>
      <w:r w:rsidR="002D10BB">
        <w:rPr>
          <w:lang w:val="en-US"/>
        </w:rPr>
        <w:t>including</w:t>
      </w:r>
      <w:r>
        <w:rPr>
          <w:lang w:val="en-US"/>
        </w:rPr>
        <w:t xml:space="preserve"> sending a </w:t>
      </w:r>
      <w:r w:rsidRPr="001524BB">
        <w:rPr>
          <w:lang w:val="en-US"/>
        </w:rPr>
        <w:t xml:space="preserve">space regulatory/technical expert </w:t>
      </w:r>
      <w:r>
        <w:rPr>
          <w:lang w:val="en-US"/>
        </w:rPr>
        <w:t xml:space="preserve">to work as a member of the BR staff </w:t>
      </w:r>
      <w:r w:rsidRPr="001524BB">
        <w:rPr>
          <w:lang w:val="en-US"/>
        </w:rPr>
        <w:t>in Geneva</w:t>
      </w:r>
      <w:r>
        <w:rPr>
          <w:lang w:val="en-US"/>
        </w:rPr>
        <w:t>.</w:t>
      </w:r>
      <w:r w:rsidRPr="001524BB">
        <w:rPr>
          <w:lang w:val="en-US"/>
        </w:rPr>
        <w:t xml:space="preserve"> The Radiocommunication Bureau renews its thanks to the Administration of Japan for the specific assistance in the development of this project.</w:t>
      </w:r>
    </w:p>
    <w:p w14:paraId="28733C4B" w14:textId="0CB99450" w:rsidR="004443EC" w:rsidRPr="001524BB" w:rsidRDefault="004443EC" w:rsidP="00AC3E1C">
      <w:pPr>
        <w:spacing w:after="120"/>
        <w:jc w:val="both"/>
        <w:rPr>
          <w:lang w:val="en-US"/>
        </w:rPr>
      </w:pPr>
      <w:r>
        <w:rPr>
          <w:lang w:val="en-US"/>
        </w:rPr>
        <w:t xml:space="preserve">The BR requested but was unable to secure funds from </w:t>
      </w:r>
      <w:r w:rsidR="00185E49">
        <w:rPr>
          <w:lang w:val="en-US"/>
        </w:rPr>
        <w:t xml:space="preserve">the </w:t>
      </w:r>
      <w:r>
        <w:rPr>
          <w:lang w:val="en-US"/>
        </w:rPr>
        <w:t xml:space="preserve">2020 budget implementation surpluses to continue to enhance the </w:t>
      </w:r>
      <w:proofErr w:type="spellStart"/>
      <w:r>
        <w:rPr>
          <w:lang w:val="en-US"/>
        </w:rPr>
        <w:t>eCommunications</w:t>
      </w:r>
      <w:proofErr w:type="spellEnd"/>
      <w:r>
        <w:rPr>
          <w:lang w:val="en-US"/>
        </w:rPr>
        <w:t xml:space="preserve"> and </w:t>
      </w:r>
      <w:proofErr w:type="spellStart"/>
      <w:r>
        <w:rPr>
          <w:lang w:val="en-US"/>
        </w:rPr>
        <w:t>eSubmission</w:t>
      </w:r>
      <w:r w:rsidR="00E25F09">
        <w:rPr>
          <w:lang w:val="en-US"/>
        </w:rPr>
        <w:t>s</w:t>
      </w:r>
      <w:proofErr w:type="spellEnd"/>
      <w:r>
        <w:rPr>
          <w:lang w:val="en-US"/>
        </w:rPr>
        <w:t xml:space="preserve"> systems that proved to be vital for continuity of service in 2020 during the COVID-19 pandemic. </w:t>
      </w:r>
      <w:r w:rsidRPr="001524BB">
        <w:rPr>
          <w:lang w:val="en-US"/>
        </w:rPr>
        <w:t>The</w:t>
      </w:r>
      <w:r>
        <w:rPr>
          <w:lang w:val="en-US"/>
        </w:rPr>
        <w:t xml:space="preserve"> lack of funding jeopardizes the continuation of work on </w:t>
      </w:r>
      <w:r w:rsidRPr="001524BB">
        <w:rPr>
          <w:lang w:val="en-US"/>
        </w:rPr>
        <w:t xml:space="preserve">improvements in internal processes and processing software </w:t>
      </w:r>
      <w:r>
        <w:rPr>
          <w:lang w:val="en-US"/>
        </w:rPr>
        <w:t>that is</w:t>
      </w:r>
      <w:r w:rsidRPr="001524BB">
        <w:rPr>
          <w:lang w:val="en-US"/>
        </w:rPr>
        <w:t xml:space="preserve"> being implemented concurrently with the above externally visible functionality.</w:t>
      </w:r>
    </w:p>
    <w:p w14:paraId="67DCC171" w14:textId="44482D57" w:rsidR="004443EC" w:rsidRDefault="004443EC" w:rsidP="00AC3E1C">
      <w:pPr>
        <w:tabs>
          <w:tab w:val="left" w:pos="2655"/>
        </w:tabs>
        <w:spacing w:after="240"/>
        <w:jc w:val="both"/>
        <w:rPr>
          <w:rFonts w:cstheme="minorHAnsi"/>
        </w:rPr>
      </w:pPr>
      <w:r w:rsidRPr="00B60C94">
        <w:rPr>
          <w:rFonts w:cstheme="minorHAnsi"/>
        </w:rPr>
        <w:t>The importance of work on e-Submissions and e-Communications, which were called for by WRC Res</w:t>
      </w:r>
      <w:r w:rsidR="00E25F09">
        <w:rPr>
          <w:rFonts w:cstheme="minorHAnsi"/>
        </w:rPr>
        <w:t>. </w:t>
      </w:r>
      <w:r w:rsidRPr="00B60C94">
        <w:rPr>
          <w:rFonts w:cstheme="minorHAnsi"/>
        </w:rPr>
        <w:t xml:space="preserve">908 and 907, respectively, gained elevated importance during this COVID-19 period where fax communications and postal delivery of DVDs was suspended. </w:t>
      </w:r>
      <w:r w:rsidRPr="004443EC">
        <w:rPr>
          <w:rFonts w:cstheme="minorHAnsi"/>
        </w:rPr>
        <w:t>Following the discussions and outcomes of the 2020 and 2021 RAG meetings, the Bureau is under pressure to further enhance it</w:t>
      </w:r>
      <w:r w:rsidR="00E25F09">
        <w:rPr>
          <w:rFonts w:cstheme="minorHAnsi"/>
        </w:rPr>
        <w:t>s</w:t>
      </w:r>
      <w:r w:rsidRPr="004443EC">
        <w:rPr>
          <w:rFonts w:cstheme="minorHAnsi"/>
        </w:rPr>
        <w:t xml:space="preserve"> </w:t>
      </w:r>
      <w:proofErr w:type="spellStart"/>
      <w:r w:rsidR="00406874" w:rsidRPr="004443EC">
        <w:rPr>
          <w:rFonts w:cstheme="minorHAnsi"/>
        </w:rPr>
        <w:t>eCommunications</w:t>
      </w:r>
      <w:proofErr w:type="spellEnd"/>
      <w:r w:rsidR="00406874" w:rsidRPr="004443EC">
        <w:rPr>
          <w:rFonts w:cstheme="minorHAnsi"/>
        </w:rPr>
        <w:t xml:space="preserve"> </w:t>
      </w:r>
      <w:r w:rsidRPr="004443EC">
        <w:rPr>
          <w:rFonts w:cstheme="minorHAnsi"/>
        </w:rPr>
        <w:t xml:space="preserve">and </w:t>
      </w:r>
      <w:proofErr w:type="spellStart"/>
      <w:r w:rsidR="00406874" w:rsidRPr="004443EC">
        <w:rPr>
          <w:rFonts w:cstheme="minorHAnsi"/>
        </w:rPr>
        <w:t>eSubmissions</w:t>
      </w:r>
      <w:proofErr w:type="spellEnd"/>
      <w:r w:rsidR="00406874" w:rsidRPr="004443EC">
        <w:rPr>
          <w:rFonts w:cstheme="minorHAnsi"/>
        </w:rPr>
        <w:t xml:space="preserve"> </w:t>
      </w:r>
      <w:r w:rsidRPr="004443EC">
        <w:rPr>
          <w:rFonts w:cstheme="minorHAnsi"/>
        </w:rPr>
        <w:t>platforms, which require additional work for IT developments for a total of CHF 412.5K as follows:</w:t>
      </w:r>
    </w:p>
    <w:tbl>
      <w:tblPr>
        <w:tblW w:w="7789"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119"/>
      </w:tblGrid>
      <w:tr w:rsidR="00612D18" w:rsidRPr="00B06297" w14:paraId="5993CE76" w14:textId="77777777" w:rsidTr="000809CA">
        <w:trPr>
          <w:trHeight w:val="494"/>
        </w:trPr>
        <w:tc>
          <w:tcPr>
            <w:tcW w:w="5670" w:type="dxa"/>
            <w:shd w:val="clear" w:color="auto" w:fill="DBE5F1" w:themeFill="accent1" w:themeFillTint="33"/>
            <w:noWrap/>
            <w:vAlign w:val="bottom"/>
            <w:hideMark/>
          </w:tcPr>
          <w:p w14:paraId="67B7F3D4" w14:textId="77777777" w:rsidR="00612D18" w:rsidRPr="00B06297" w:rsidRDefault="00612D18" w:rsidP="00F443AF">
            <w:pPr>
              <w:rPr>
                <w:rFonts w:cstheme="minorHAnsi"/>
                <w:b/>
                <w:bCs/>
                <w:sz w:val="20"/>
                <w:lang w:eastAsia="en-GB"/>
              </w:rPr>
            </w:pPr>
            <w:r w:rsidRPr="00B06297">
              <w:rPr>
                <w:rFonts w:cstheme="minorHAnsi"/>
                <w:b/>
                <w:bCs/>
                <w:sz w:val="20"/>
                <w:lang w:eastAsia="en-GB"/>
              </w:rPr>
              <w:t>WRC post conference work - IT developments</w:t>
            </w:r>
          </w:p>
        </w:tc>
        <w:tc>
          <w:tcPr>
            <w:tcW w:w="2119" w:type="dxa"/>
            <w:shd w:val="clear" w:color="auto" w:fill="DBE5F1" w:themeFill="accent1" w:themeFillTint="33"/>
            <w:noWrap/>
            <w:vAlign w:val="bottom"/>
            <w:hideMark/>
          </w:tcPr>
          <w:p w14:paraId="4B676B7F" w14:textId="467B7849" w:rsidR="00612D18" w:rsidRPr="00B06297" w:rsidRDefault="00612D18" w:rsidP="000809CA">
            <w:pPr>
              <w:jc w:val="center"/>
              <w:rPr>
                <w:rFonts w:cstheme="minorHAnsi"/>
                <w:b/>
                <w:bCs/>
                <w:sz w:val="20"/>
                <w:lang w:eastAsia="en-GB"/>
              </w:rPr>
            </w:pPr>
            <w:r w:rsidRPr="00B06297">
              <w:rPr>
                <w:rFonts w:cstheme="minorHAnsi"/>
                <w:b/>
                <w:bCs/>
                <w:sz w:val="20"/>
                <w:lang w:eastAsia="en-GB"/>
              </w:rPr>
              <w:t>41</w:t>
            </w:r>
            <w:r w:rsidR="000A01D8" w:rsidRPr="00B06297">
              <w:rPr>
                <w:rFonts w:cstheme="minorHAnsi"/>
                <w:b/>
                <w:bCs/>
                <w:sz w:val="20"/>
                <w:lang w:eastAsia="en-GB"/>
              </w:rPr>
              <w:t>3</w:t>
            </w:r>
            <w:r w:rsidR="0093221E">
              <w:rPr>
                <w:rFonts w:cstheme="minorHAnsi"/>
                <w:b/>
                <w:bCs/>
                <w:sz w:val="20"/>
                <w:lang w:eastAsia="en-GB"/>
              </w:rPr>
              <w:t>’</w:t>
            </w:r>
            <w:r w:rsidR="000A01D8" w:rsidRPr="00B06297">
              <w:rPr>
                <w:rFonts w:cstheme="minorHAnsi"/>
                <w:b/>
                <w:bCs/>
                <w:sz w:val="20"/>
                <w:lang w:eastAsia="en-GB"/>
              </w:rPr>
              <w:t>0</w:t>
            </w:r>
            <w:r w:rsidRPr="00B06297">
              <w:rPr>
                <w:rFonts w:cstheme="minorHAnsi"/>
                <w:b/>
                <w:bCs/>
                <w:sz w:val="20"/>
                <w:lang w:eastAsia="en-GB"/>
              </w:rPr>
              <w:t>00</w:t>
            </w:r>
          </w:p>
        </w:tc>
      </w:tr>
      <w:tr w:rsidR="00612D18" w:rsidRPr="00B06297" w14:paraId="58B03F9C" w14:textId="77777777" w:rsidTr="00831AC4">
        <w:trPr>
          <w:trHeight w:val="300"/>
        </w:trPr>
        <w:tc>
          <w:tcPr>
            <w:tcW w:w="5670" w:type="dxa"/>
            <w:shd w:val="clear" w:color="auto" w:fill="auto"/>
            <w:noWrap/>
            <w:vAlign w:val="bottom"/>
          </w:tcPr>
          <w:p w14:paraId="16647137" w14:textId="6A99CA56" w:rsidR="00612D18" w:rsidRPr="00B06297" w:rsidRDefault="00612D18" w:rsidP="00F443AF">
            <w:pPr>
              <w:rPr>
                <w:rFonts w:cstheme="minorHAnsi"/>
                <w:b/>
                <w:bCs/>
                <w:sz w:val="20"/>
                <w:lang w:eastAsia="en-GB"/>
              </w:rPr>
            </w:pPr>
            <w:r w:rsidRPr="00B06297">
              <w:rPr>
                <w:rFonts w:cstheme="minorHAnsi"/>
                <w:sz w:val="20"/>
                <w:lang w:eastAsia="en-GB"/>
              </w:rPr>
              <w:t>E-communications -Resolution 907</w:t>
            </w:r>
            <w:r w:rsidR="000A01D8" w:rsidRPr="00B06297">
              <w:rPr>
                <w:rFonts w:cstheme="minorHAnsi"/>
                <w:sz w:val="20"/>
                <w:lang w:eastAsia="en-GB"/>
              </w:rPr>
              <w:t xml:space="preserve"> </w:t>
            </w:r>
            <w:r w:rsidRPr="00B06297">
              <w:rPr>
                <w:rFonts w:cstheme="minorHAnsi"/>
                <w:sz w:val="20"/>
                <w:lang w:eastAsia="en-GB"/>
              </w:rPr>
              <w:t xml:space="preserve">(Rev. WRC-15) </w:t>
            </w:r>
          </w:p>
        </w:tc>
        <w:tc>
          <w:tcPr>
            <w:tcW w:w="2119" w:type="dxa"/>
            <w:shd w:val="clear" w:color="auto" w:fill="auto"/>
            <w:noWrap/>
            <w:vAlign w:val="bottom"/>
          </w:tcPr>
          <w:p w14:paraId="69F0DF37" w14:textId="09C25D58" w:rsidR="00612D18" w:rsidRPr="00B06297" w:rsidRDefault="00612D18" w:rsidP="000809CA">
            <w:pPr>
              <w:jc w:val="center"/>
              <w:rPr>
                <w:rFonts w:cstheme="minorHAnsi"/>
                <w:b/>
                <w:bCs/>
                <w:sz w:val="20"/>
                <w:lang w:eastAsia="en-GB"/>
              </w:rPr>
            </w:pPr>
            <w:r w:rsidRPr="00B06297">
              <w:rPr>
                <w:rFonts w:cstheme="minorHAnsi"/>
                <w:sz w:val="20"/>
                <w:lang w:eastAsia="en-GB"/>
              </w:rPr>
              <w:t>150</w:t>
            </w:r>
            <w:r w:rsidR="0093221E">
              <w:rPr>
                <w:rFonts w:cstheme="minorHAnsi"/>
                <w:sz w:val="20"/>
                <w:lang w:eastAsia="en-GB"/>
              </w:rPr>
              <w:t>’</w:t>
            </w:r>
            <w:r w:rsidRPr="00B06297">
              <w:rPr>
                <w:rFonts w:cstheme="minorHAnsi"/>
                <w:sz w:val="20"/>
                <w:lang w:eastAsia="en-GB"/>
              </w:rPr>
              <w:t>000</w:t>
            </w:r>
          </w:p>
        </w:tc>
      </w:tr>
      <w:tr w:rsidR="00612D18" w:rsidRPr="00B06297" w14:paraId="34F554A2" w14:textId="77777777" w:rsidTr="000809CA">
        <w:trPr>
          <w:trHeight w:val="409"/>
        </w:trPr>
        <w:tc>
          <w:tcPr>
            <w:tcW w:w="5670" w:type="dxa"/>
            <w:shd w:val="clear" w:color="auto" w:fill="auto"/>
            <w:noWrap/>
            <w:vAlign w:val="bottom"/>
            <w:hideMark/>
          </w:tcPr>
          <w:p w14:paraId="7C851C75" w14:textId="77777777" w:rsidR="00612D18" w:rsidRPr="00B06297" w:rsidRDefault="00612D18" w:rsidP="00F443AF">
            <w:pPr>
              <w:rPr>
                <w:rFonts w:cstheme="minorHAnsi"/>
                <w:sz w:val="20"/>
                <w:lang w:eastAsia="en-GB"/>
              </w:rPr>
            </w:pPr>
            <w:r w:rsidRPr="00B06297">
              <w:rPr>
                <w:rFonts w:cstheme="minorHAnsi"/>
                <w:sz w:val="20"/>
                <w:lang w:eastAsia="en-GB"/>
              </w:rPr>
              <w:t>E-submissions - Resolution 908 (WRC-15)</w:t>
            </w:r>
          </w:p>
        </w:tc>
        <w:tc>
          <w:tcPr>
            <w:tcW w:w="2119" w:type="dxa"/>
            <w:shd w:val="clear" w:color="auto" w:fill="auto"/>
            <w:noWrap/>
            <w:vAlign w:val="bottom"/>
            <w:hideMark/>
          </w:tcPr>
          <w:p w14:paraId="0CA1C453" w14:textId="00839DC3" w:rsidR="00612D18" w:rsidRPr="00B06297" w:rsidRDefault="00612D18" w:rsidP="000809CA">
            <w:pPr>
              <w:jc w:val="center"/>
              <w:rPr>
                <w:rFonts w:cstheme="minorHAnsi"/>
                <w:sz w:val="20"/>
                <w:lang w:eastAsia="en-GB"/>
              </w:rPr>
            </w:pPr>
            <w:r w:rsidRPr="00B06297">
              <w:rPr>
                <w:rFonts w:cstheme="minorHAnsi"/>
                <w:sz w:val="20"/>
                <w:lang w:eastAsia="en-GB"/>
              </w:rPr>
              <w:t>26</w:t>
            </w:r>
            <w:r w:rsidR="000A01D8" w:rsidRPr="00B06297">
              <w:rPr>
                <w:rFonts w:cstheme="minorHAnsi"/>
                <w:sz w:val="20"/>
                <w:lang w:eastAsia="en-GB"/>
              </w:rPr>
              <w:t>3</w:t>
            </w:r>
            <w:r w:rsidR="0093221E">
              <w:rPr>
                <w:rFonts w:cstheme="minorHAnsi"/>
                <w:sz w:val="20"/>
                <w:lang w:eastAsia="en-GB"/>
              </w:rPr>
              <w:t>’</w:t>
            </w:r>
            <w:r w:rsidR="000A01D8" w:rsidRPr="00B06297">
              <w:rPr>
                <w:rFonts w:cstheme="minorHAnsi"/>
                <w:sz w:val="20"/>
                <w:lang w:eastAsia="en-GB"/>
              </w:rPr>
              <w:t>0</w:t>
            </w:r>
            <w:r w:rsidRPr="00B06297">
              <w:rPr>
                <w:rFonts w:cstheme="minorHAnsi"/>
                <w:sz w:val="20"/>
                <w:lang w:eastAsia="en-GB"/>
              </w:rPr>
              <w:t>00</w:t>
            </w:r>
          </w:p>
        </w:tc>
      </w:tr>
    </w:tbl>
    <w:p w14:paraId="35B766D6" w14:textId="72EDFA87" w:rsidR="004443EC" w:rsidRPr="000809CA" w:rsidRDefault="004443EC" w:rsidP="00AC3E1C">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i/>
          <w:iCs/>
          <w:color w:val="1F497D" w:themeColor="text2"/>
          <w:szCs w:val="24"/>
        </w:rPr>
      </w:pPr>
      <w:r w:rsidRPr="000809CA">
        <w:rPr>
          <w:rFonts w:asciiTheme="minorHAnsi" w:hAnsiTheme="minorHAnsi" w:cstheme="minorHAnsi"/>
          <w:i/>
          <w:iCs/>
          <w:color w:val="1F497D" w:themeColor="text2"/>
          <w:szCs w:val="24"/>
        </w:rPr>
        <w:lastRenderedPageBreak/>
        <w:t>G-2</w:t>
      </w:r>
      <w:r w:rsidRPr="000809CA">
        <w:rPr>
          <w:rFonts w:asciiTheme="minorHAnsi" w:hAnsiTheme="minorHAnsi" w:cstheme="minorHAnsi"/>
          <w:i/>
          <w:iCs/>
          <w:color w:val="1F497D" w:themeColor="text2"/>
          <w:szCs w:val="24"/>
        </w:rPr>
        <w:tab/>
        <w:t>Replanning of Appendix 27 to the Radio Regulations:</w:t>
      </w:r>
    </w:p>
    <w:p w14:paraId="52E21AD9" w14:textId="0C82BE04" w:rsidR="004443EC" w:rsidRPr="006B38CD" w:rsidRDefault="004443EC" w:rsidP="00AC3E1C">
      <w:pPr>
        <w:keepNext/>
        <w:keepLines/>
        <w:spacing w:after="120"/>
        <w:jc w:val="both"/>
        <w:rPr>
          <w:lang w:val="en-US"/>
        </w:rPr>
      </w:pPr>
      <w:r w:rsidRPr="006B38CD">
        <w:rPr>
          <w:lang w:val="en-US"/>
        </w:rPr>
        <w:t>In accordance with Res</w:t>
      </w:r>
      <w:r w:rsidR="00E25F09">
        <w:rPr>
          <w:lang w:val="en-US"/>
        </w:rPr>
        <w:t>. </w:t>
      </w:r>
      <w:r w:rsidRPr="006B38CD">
        <w:rPr>
          <w:lang w:val="en-US"/>
        </w:rPr>
        <w:t xml:space="preserve">429 (WRC 19) replanning of the Appendix 27 frequency Plan to the Radio Regulations (RR) is required, under WRC-23 agenda item 1.9, in order to accommodate digital technologies for commercial aviation safety-of-life applications in existing </w:t>
      </w:r>
      <w:r w:rsidR="002D10BB">
        <w:rPr>
          <w:lang w:val="en-US"/>
        </w:rPr>
        <w:t>High Frequency (</w:t>
      </w:r>
      <w:r w:rsidRPr="006B38CD">
        <w:rPr>
          <w:lang w:val="en-US"/>
        </w:rPr>
        <w:t>HF</w:t>
      </w:r>
      <w:r w:rsidR="002D10BB">
        <w:rPr>
          <w:lang w:val="en-US"/>
        </w:rPr>
        <w:t xml:space="preserve">) </w:t>
      </w:r>
      <w:r w:rsidRPr="006B38CD">
        <w:rPr>
          <w:lang w:val="en-US"/>
        </w:rPr>
        <w:t>bands allocated to the aeronautical mobile (</w:t>
      </w:r>
      <w:r w:rsidR="002D10BB">
        <w:rPr>
          <w:lang w:val="en-US"/>
        </w:rPr>
        <w:t>route</w:t>
      </w:r>
      <w:r w:rsidRPr="006B38CD">
        <w:rPr>
          <w:lang w:val="en-US"/>
        </w:rPr>
        <w:t>) service and ensure coexistence of current HF</w:t>
      </w:r>
      <w:r w:rsidR="00E25F09">
        <w:rPr>
          <w:lang w:val="en-US"/>
        </w:rPr>
        <w:t> </w:t>
      </w:r>
      <w:r w:rsidRPr="006B38CD">
        <w:rPr>
          <w:lang w:val="en-US"/>
        </w:rPr>
        <w:t>systems with modernized HF systems.</w:t>
      </w:r>
    </w:p>
    <w:p w14:paraId="472CD53E" w14:textId="49B1BF18" w:rsidR="004443EC" w:rsidRPr="006B38CD" w:rsidRDefault="004443EC" w:rsidP="00AC3E1C">
      <w:pPr>
        <w:spacing w:after="120"/>
        <w:jc w:val="both"/>
        <w:rPr>
          <w:lang w:val="en-US"/>
        </w:rPr>
      </w:pPr>
      <w:r w:rsidRPr="006B38CD">
        <w:rPr>
          <w:lang w:val="en-US"/>
        </w:rPr>
        <w:t>It is expected that such replanning will be performed by joint efforts of the responsible ITU-R Working Party 5B (defining replanning principles) and the BR (assisting compatibility analysis and synthesis of the Plan). Currently, the BR is solely responsible for the update of the Appendix</w:t>
      </w:r>
      <w:r w:rsidR="00E25F09">
        <w:rPr>
          <w:lang w:val="en-US"/>
        </w:rPr>
        <w:t> </w:t>
      </w:r>
      <w:r w:rsidRPr="006B38CD">
        <w:rPr>
          <w:lang w:val="en-US"/>
        </w:rPr>
        <w:t xml:space="preserve">27 Plan by making compatibility calculations for all new stations submitted by administrations, and </w:t>
      </w:r>
      <w:r w:rsidR="002D10BB">
        <w:rPr>
          <w:lang w:val="en-US"/>
        </w:rPr>
        <w:t xml:space="preserve">by </w:t>
      </w:r>
      <w:r w:rsidRPr="006B38CD">
        <w:rPr>
          <w:lang w:val="en-US"/>
        </w:rPr>
        <w:t>maintain</w:t>
      </w:r>
      <w:r w:rsidR="002D10BB">
        <w:rPr>
          <w:lang w:val="en-US"/>
        </w:rPr>
        <w:t>ing</w:t>
      </w:r>
      <w:r w:rsidRPr="006B38CD">
        <w:rPr>
          <w:lang w:val="en-US"/>
        </w:rPr>
        <w:t xml:space="preserve"> this Plan.</w:t>
      </w:r>
    </w:p>
    <w:p w14:paraId="1DFD8045" w14:textId="06F16773" w:rsidR="004443EC" w:rsidRPr="006B38CD" w:rsidRDefault="004443EC" w:rsidP="00AC3E1C">
      <w:pPr>
        <w:spacing w:after="120"/>
        <w:jc w:val="both"/>
        <w:rPr>
          <w:lang w:val="en-US"/>
        </w:rPr>
      </w:pPr>
      <w:r w:rsidRPr="006B38CD">
        <w:rPr>
          <w:lang w:val="en-US"/>
        </w:rPr>
        <w:t>The purpose of the replanning is to take advantage of the various benefits that a modern wideband HF communication system could offer (</w:t>
      </w:r>
      <w:proofErr w:type="gramStart"/>
      <w:r w:rsidRPr="000809CA">
        <w:rPr>
          <w:i/>
          <w:iCs/>
          <w:lang w:val="en-US"/>
        </w:rPr>
        <w:t>e.g.</w:t>
      </w:r>
      <w:proofErr w:type="gramEnd"/>
      <w:r w:rsidRPr="006B38CD">
        <w:rPr>
          <w:lang w:val="en-US"/>
        </w:rPr>
        <w:t xml:space="preserve"> contiguous or non-contiguous channel aggregation, faster data rates, better voice communications</w:t>
      </w:r>
      <w:r w:rsidR="002D10BB">
        <w:rPr>
          <w:lang w:val="en-US"/>
        </w:rPr>
        <w:t>,</w:t>
      </w:r>
      <w:r w:rsidRPr="006B38CD">
        <w:rPr>
          <w:lang w:val="en-US"/>
        </w:rPr>
        <w:t xml:space="preserve"> </w:t>
      </w:r>
      <w:r w:rsidRPr="00AC3E1C">
        <w:rPr>
          <w:lang w:val="en-US"/>
        </w:rPr>
        <w:t>etc</w:t>
      </w:r>
      <w:r w:rsidRPr="002D10BB">
        <w:rPr>
          <w:i/>
          <w:iCs/>
          <w:lang w:val="en-US"/>
        </w:rPr>
        <w:t>.).</w:t>
      </w:r>
      <w:r w:rsidRPr="006B38CD">
        <w:rPr>
          <w:lang w:val="en-US"/>
        </w:rPr>
        <w:t xml:space="preserve"> RR Appendix 27 needs to be modified to allow the introduction of such wide-band systems and </w:t>
      </w:r>
      <w:r w:rsidR="002D10BB">
        <w:rPr>
          <w:lang w:val="en-US"/>
        </w:rPr>
        <w:t xml:space="preserve">also maintain </w:t>
      </w:r>
      <w:r w:rsidRPr="006B38CD">
        <w:rPr>
          <w:lang w:val="en-US"/>
        </w:rPr>
        <w:t xml:space="preserve">compatibility with existing narrow-band systems operating within or adjacent to those frequency bands </w:t>
      </w:r>
      <w:r w:rsidR="00E25F09">
        <w:rPr>
          <w:lang w:val="en-US"/>
        </w:rPr>
        <w:t xml:space="preserve">that </w:t>
      </w:r>
      <w:r w:rsidRPr="006B38CD">
        <w:rPr>
          <w:lang w:val="en-US"/>
        </w:rPr>
        <w:t>need to be ensured.</w:t>
      </w:r>
    </w:p>
    <w:p w14:paraId="34A682A8" w14:textId="68AC09D0" w:rsidR="00612D18" w:rsidRDefault="00612D18" w:rsidP="00AC3E1C">
      <w:pPr>
        <w:spacing w:after="120"/>
        <w:jc w:val="both"/>
        <w:rPr>
          <w:lang w:val="en-US"/>
        </w:rPr>
      </w:pPr>
      <w:r>
        <w:rPr>
          <w:lang w:val="en-US"/>
        </w:rPr>
        <w:t xml:space="preserve">This </w:t>
      </w:r>
      <w:r w:rsidR="004443EC">
        <w:rPr>
          <w:lang w:val="en-US"/>
        </w:rPr>
        <w:t xml:space="preserve">project will develop the </w:t>
      </w:r>
      <w:r w:rsidR="004443EC" w:rsidRPr="006B38CD">
        <w:rPr>
          <w:lang w:val="en-US"/>
        </w:rPr>
        <w:t>software tools need</w:t>
      </w:r>
      <w:r w:rsidR="004443EC">
        <w:rPr>
          <w:lang w:val="en-US"/>
        </w:rPr>
        <w:t>ed</w:t>
      </w:r>
      <w:r w:rsidR="00E25F09">
        <w:rPr>
          <w:lang w:val="en-US"/>
        </w:rPr>
        <w:t xml:space="preserve">, </w:t>
      </w:r>
      <w:r w:rsidR="004443EC" w:rsidRPr="006B38CD">
        <w:rPr>
          <w:lang w:val="en-US"/>
        </w:rPr>
        <w:t xml:space="preserve">firstly to ensure </w:t>
      </w:r>
      <w:r w:rsidR="00E25F09">
        <w:rPr>
          <w:lang w:val="en-US"/>
        </w:rPr>
        <w:t xml:space="preserve">that </w:t>
      </w:r>
      <w:r w:rsidR="004443EC" w:rsidRPr="006B38CD">
        <w:rPr>
          <w:lang w:val="en-US"/>
        </w:rPr>
        <w:t>replanning of RR Appendix 27 can be achieved and secondly for performing compatibility calculations after the replanning is finalized. It may be noted that the establishment of the original AP 27 Plan required three World Radiocommunication Conferences and software resources of the entire ITU Membership.</w:t>
      </w:r>
      <w:r>
        <w:rPr>
          <w:lang w:val="en-US"/>
        </w:rPr>
        <w:t xml:space="preserve"> The Bureau is requesting the </w:t>
      </w:r>
      <w:r w:rsidRPr="00612D18">
        <w:rPr>
          <w:lang w:val="en-US"/>
        </w:rPr>
        <w:t>amount of CHF 300</w:t>
      </w:r>
      <w:r w:rsidR="0093221E">
        <w:rPr>
          <w:lang w:val="en-US"/>
        </w:rPr>
        <w:t>’</w:t>
      </w:r>
      <w:r w:rsidRPr="00612D18">
        <w:rPr>
          <w:lang w:val="en-US"/>
        </w:rPr>
        <w:t>000</w:t>
      </w:r>
      <w:r>
        <w:rPr>
          <w:lang w:val="en-US"/>
        </w:rPr>
        <w:t>, which</w:t>
      </w:r>
      <w:r w:rsidRPr="00612D18">
        <w:rPr>
          <w:lang w:val="en-US"/>
        </w:rPr>
        <w:t xml:space="preserve"> is required to cover the costs of contracting a company to develop software required for replanning of RR Appendix 27.</w:t>
      </w:r>
    </w:p>
    <w:p w14:paraId="6C5D6588" w14:textId="74A2E466" w:rsidR="004443EC" w:rsidRPr="000809CA" w:rsidRDefault="00612D18" w:rsidP="00AC3E1C">
      <w:p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hAnsiTheme="minorHAnsi" w:cstheme="minorHAnsi"/>
          <w:i/>
          <w:iCs/>
          <w:color w:val="1F497D" w:themeColor="text2"/>
          <w:szCs w:val="24"/>
        </w:rPr>
      </w:pPr>
      <w:r w:rsidRPr="000809CA">
        <w:rPr>
          <w:rFonts w:asciiTheme="minorHAnsi" w:hAnsiTheme="minorHAnsi" w:cstheme="minorHAnsi"/>
          <w:i/>
          <w:iCs/>
          <w:color w:val="1F497D" w:themeColor="text2"/>
          <w:szCs w:val="24"/>
        </w:rPr>
        <w:t>G-</w:t>
      </w:r>
      <w:r w:rsidR="004443EC" w:rsidRPr="000809CA">
        <w:rPr>
          <w:rFonts w:asciiTheme="minorHAnsi" w:hAnsiTheme="minorHAnsi" w:cstheme="minorHAnsi"/>
          <w:i/>
          <w:iCs/>
          <w:color w:val="1F497D" w:themeColor="text2"/>
          <w:szCs w:val="24"/>
        </w:rPr>
        <w:t>3.</w:t>
      </w:r>
      <w:r w:rsidR="004443EC" w:rsidRPr="000809CA">
        <w:rPr>
          <w:rFonts w:asciiTheme="minorHAnsi" w:hAnsiTheme="minorHAnsi" w:cstheme="minorHAnsi"/>
          <w:i/>
          <w:iCs/>
          <w:color w:val="1F497D" w:themeColor="text2"/>
          <w:szCs w:val="24"/>
        </w:rPr>
        <w:tab/>
        <w:t>Modernization of High Frequency Broadcasting (HFBC) RR Article 12 software</w:t>
      </w:r>
    </w:p>
    <w:p w14:paraId="560CF277" w14:textId="0017B329" w:rsidR="004443EC" w:rsidRPr="00704708" w:rsidRDefault="004443EC" w:rsidP="00AC3E1C">
      <w:pPr>
        <w:spacing w:after="120"/>
        <w:jc w:val="both"/>
        <w:rPr>
          <w:lang w:val="en-US"/>
        </w:rPr>
      </w:pPr>
      <w:r w:rsidRPr="00704708">
        <w:rPr>
          <w:lang w:val="en-US"/>
        </w:rPr>
        <w:t>In accordance with provisions of Article 12 of the RR, the BR prepares and publishes the seasonal HFBC schedules together with compatibility analysis results. The schedules are currently made available on the BR website.</w:t>
      </w:r>
    </w:p>
    <w:p w14:paraId="49BE93F9" w14:textId="48464C77" w:rsidR="004443EC" w:rsidRPr="00704708" w:rsidRDefault="004443EC" w:rsidP="00AC3E1C">
      <w:pPr>
        <w:spacing w:after="120"/>
        <w:jc w:val="both"/>
        <w:rPr>
          <w:lang w:val="en-US"/>
        </w:rPr>
      </w:pPr>
      <w:r w:rsidRPr="00704708">
        <w:rPr>
          <w:lang w:val="en-US"/>
        </w:rPr>
        <w:t xml:space="preserve">For the preparation of the HFBC schedules, the BR processes the HFBC requirements submitted by the </w:t>
      </w:r>
      <w:r w:rsidR="00E25F09">
        <w:rPr>
          <w:lang w:val="en-US"/>
        </w:rPr>
        <w:t>A</w:t>
      </w:r>
      <w:r w:rsidRPr="00704708">
        <w:rPr>
          <w:lang w:val="en-US"/>
        </w:rPr>
        <w:t xml:space="preserve">dministrations making the corresponding propagation and compatibility calculations using an internal software (modules HFBCCAP and HFCD). The results of this process are made available to the </w:t>
      </w:r>
      <w:r w:rsidR="009815F2">
        <w:rPr>
          <w:lang w:val="en-US"/>
        </w:rPr>
        <w:t>A</w:t>
      </w:r>
      <w:r w:rsidRPr="00704708">
        <w:rPr>
          <w:lang w:val="en-US"/>
        </w:rPr>
        <w:t>dministrations in the form of an ex</w:t>
      </w:r>
      <w:r>
        <w:rPr>
          <w:lang w:val="en-US"/>
        </w:rPr>
        <w:t>e</w:t>
      </w:r>
      <w:r w:rsidRPr="00704708">
        <w:rPr>
          <w:lang w:val="en-US"/>
        </w:rPr>
        <w:t xml:space="preserve">cutable file published on </w:t>
      </w:r>
      <w:r w:rsidR="009815F2">
        <w:rPr>
          <w:lang w:val="en-US"/>
        </w:rPr>
        <w:t xml:space="preserve">the </w:t>
      </w:r>
      <w:r w:rsidRPr="00704708">
        <w:rPr>
          <w:lang w:val="en-US"/>
        </w:rPr>
        <w:t>BR website.</w:t>
      </w:r>
    </w:p>
    <w:p w14:paraId="3736E571" w14:textId="311F9615" w:rsidR="004443EC" w:rsidRDefault="004443EC" w:rsidP="00AC3E1C">
      <w:pPr>
        <w:spacing w:after="120"/>
        <w:jc w:val="both"/>
        <w:rPr>
          <w:lang w:val="en-US"/>
        </w:rPr>
      </w:pPr>
      <w:proofErr w:type="gramStart"/>
      <w:r w:rsidRPr="00704708">
        <w:rPr>
          <w:lang w:val="en-US"/>
        </w:rPr>
        <w:t>In order to</w:t>
      </w:r>
      <w:proofErr w:type="gramEnd"/>
      <w:r w:rsidRPr="00704708">
        <w:rPr>
          <w:lang w:val="en-US"/>
        </w:rPr>
        <w:t xml:space="preserve"> visualize and </w:t>
      </w:r>
      <w:proofErr w:type="spellStart"/>
      <w:r w:rsidRPr="00704708">
        <w:rPr>
          <w:lang w:val="en-US"/>
        </w:rPr>
        <w:t>analy</w:t>
      </w:r>
      <w:r w:rsidR="00A57E32">
        <w:rPr>
          <w:lang w:val="en-US"/>
        </w:rPr>
        <w:t>s</w:t>
      </w:r>
      <w:r w:rsidRPr="00704708">
        <w:rPr>
          <w:lang w:val="en-US"/>
        </w:rPr>
        <w:t>e</w:t>
      </w:r>
      <w:proofErr w:type="spellEnd"/>
      <w:r w:rsidRPr="00704708">
        <w:rPr>
          <w:lang w:val="en-US"/>
        </w:rPr>
        <w:t xml:space="preserve"> HFBC schedules and to do a number of simulations, the </w:t>
      </w:r>
      <w:r w:rsidR="009815F2">
        <w:rPr>
          <w:lang w:val="en-US"/>
        </w:rPr>
        <w:t>A</w:t>
      </w:r>
      <w:r w:rsidRPr="00704708">
        <w:rPr>
          <w:lang w:val="en-US"/>
        </w:rPr>
        <w:t>dministrations need to install in their computers HFBC software provided by the BR.</w:t>
      </w:r>
      <w:r>
        <w:rPr>
          <w:lang w:val="en-US"/>
        </w:rPr>
        <w:t xml:space="preserve"> </w:t>
      </w:r>
      <w:r w:rsidRPr="00704708">
        <w:rPr>
          <w:lang w:val="en-US"/>
        </w:rPr>
        <w:t xml:space="preserve">This software </w:t>
      </w:r>
      <w:r>
        <w:rPr>
          <w:lang w:val="en-US"/>
        </w:rPr>
        <w:t xml:space="preserve">is </w:t>
      </w:r>
      <w:r w:rsidRPr="00704708">
        <w:rPr>
          <w:lang w:val="en-US"/>
        </w:rPr>
        <w:t>comprise</w:t>
      </w:r>
      <w:r>
        <w:rPr>
          <w:lang w:val="en-US"/>
        </w:rPr>
        <w:t>d of</w:t>
      </w:r>
      <w:r w:rsidRPr="00704708">
        <w:rPr>
          <w:lang w:val="en-US"/>
        </w:rPr>
        <w:t xml:space="preserve"> 4 different programs: ITUHFBC, HFBCREQ, HFBCVAL, and HFBCCANT.</w:t>
      </w:r>
      <w:r w:rsidR="00612D18">
        <w:rPr>
          <w:lang w:val="en-US"/>
        </w:rPr>
        <w:t xml:space="preserve"> </w:t>
      </w:r>
      <w:r w:rsidRPr="00704708">
        <w:rPr>
          <w:lang w:val="en-US"/>
        </w:rPr>
        <w:t xml:space="preserve">All current HFBC software (internal and external) use </w:t>
      </w:r>
      <w:proofErr w:type="spellStart"/>
      <w:r w:rsidRPr="00704708">
        <w:rPr>
          <w:lang w:val="en-US"/>
        </w:rPr>
        <w:t>VisualBasic</w:t>
      </w:r>
      <w:proofErr w:type="spellEnd"/>
      <w:r w:rsidRPr="00704708">
        <w:rPr>
          <w:lang w:val="en-US"/>
        </w:rPr>
        <w:t xml:space="preserve"> and </w:t>
      </w:r>
      <w:r w:rsidR="002D10BB">
        <w:rPr>
          <w:lang w:val="en-US"/>
        </w:rPr>
        <w:t>are</w:t>
      </w:r>
      <w:r w:rsidRPr="00704708">
        <w:rPr>
          <w:lang w:val="en-US"/>
        </w:rPr>
        <w:t xml:space="preserve"> no longer supported by Windows10 systems</w:t>
      </w:r>
      <w:r w:rsidR="002D10BB">
        <w:rPr>
          <w:lang w:val="en-US"/>
        </w:rPr>
        <w:t>. As such</w:t>
      </w:r>
      <w:r w:rsidRPr="00704708">
        <w:rPr>
          <w:lang w:val="en-US"/>
        </w:rPr>
        <w:t>, a re-engineering of the software is needed in the short term.</w:t>
      </w:r>
    </w:p>
    <w:p w14:paraId="500CFB2A" w14:textId="0226D1D1" w:rsidR="004443EC" w:rsidRPr="00704708" w:rsidRDefault="004443EC" w:rsidP="00AC3E1C">
      <w:pPr>
        <w:spacing w:after="120"/>
        <w:jc w:val="both"/>
        <w:rPr>
          <w:lang w:val="en-US"/>
        </w:rPr>
      </w:pPr>
      <w:r w:rsidRPr="00704708">
        <w:rPr>
          <w:lang w:val="en-US"/>
        </w:rPr>
        <w:t xml:space="preserve">The preparation and publication of HFBC schedules by the Bureau is a mandatory task according to the provisions of Article 12 of the Radio Regulations. In its current </w:t>
      </w:r>
      <w:r>
        <w:rPr>
          <w:lang w:val="en-US"/>
        </w:rPr>
        <w:t>implementation,</w:t>
      </w:r>
      <w:r w:rsidRPr="00704708">
        <w:rPr>
          <w:lang w:val="en-US"/>
        </w:rPr>
        <w:t xml:space="preserve"> HFBC schedules might not be accessible to users with Windows10 operating system (and other future versions). This could make </w:t>
      </w:r>
      <w:r>
        <w:rPr>
          <w:lang w:val="en-US"/>
        </w:rPr>
        <w:t xml:space="preserve">it </w:t>
      </w:r>
      <w:r w:rsidRPr="00704708">
        <w:rPr>
          <w:lang w:val="en-US"/>
        </w:rPr>
        <w:t xml:space="preserve">impossible for some </w:t>
      </w:r>
      <w:r w:rsidR="009815F2">
        <w:rPr>
          <w:lang w:val="en-US"/>
        </w:rPr>
        <w:t>A</w:t>
      </w:r>
      <w:r w:rsidRPr="00704708">
        <w:rPr>
          <w:lang w:val="en-US"/>
        </w:rPr>
        <w:t>dministrations to use the schedules for frequency coordination with other countries and may lead to problems of interference between various HF broadcasting stations.</w:t>
      </w:r>
    </w:p>
    <w:p w14:paraId="2E53C681" w14:textId="23CD6531" w:rsidR="00146D3F" w:rsidRPr="000809CA" w:rsidRDefault="004443EC" w:rsidP="00AC3E1C">
      <w:pPr>
        <w:spacing w:after="120"/>
        <w:jc w:val="both"/>
        <w:rPr>
          <w:lang w:val="en-US"/>
        </w:rPr>
      </w:pPr>
      <w:r w:rsidRPr="00704708">
        <w:rPr>
          <w:lang w:val="en-US"/>
        </w:rPr>
        <w:t xml:space="preserve">The proposed project is to re-engineer HFBC software using technologies </w:t>
      </w:r>
      <w:r w:rsidR="00BB135B">
        <w:rPr>
          <w:lang w:val="en-US"/>
        </w:rPr>
        <w:t xml:space="preserve">that </w:t>
      </w:r>
      <w:r w:rsidRPr="00704708">
        <w:rPr>
          <w:lang w:val="en-US"/>
        </w:rPr>
        <w:t>allow</w:t>
      </w:r>
      <w:r w:rsidR="00BB135B">
        <w:rPr>
          <w:lang w:val="en-US"/>
        </w:rPr>
        <w:t xml:space="preserve"> for</w:t>
      </w:r>
      <w:r w:rsidRPr="00704708">
        <w:rPr>
          <w:lang w:val="en-US"/>
        </w:rPr>
        <w:t xml:space="preserve"> an online approach so that users do not need to install software in their computers. For consistency with other </w:t>
      </w:r>
      <w:r w:rsidRPr="00704708">
        <w:rPr>
          <w:lang w:val="en-US"/>
        </w:rPr>
        <w:lastRenderedPageBreak/>
        <w:t>existing online terrestrial applications</w:t>
      </w:r>
      <w:r w:rsidR="00BB135B">
        <w:rPr>
          <w:lang w:val="en-US"/>
        </w:rPr>
        <w:t>,</w:t>
      </w:r>
      <w:r w:rsidRPr="00704708">
        <w:rPr>
          <w:lang w:val="en-US"/>
        </w:rPr>
        <w:t xml:space="preserve"> the proposal is to use C# and MVC technologies.</w:t>
      </w:r>
      <w:r w:rsidR="00612D18">
        <w:rPr>
          <w:lang w:val="en-US"/>
        </w:rPr>
        <w:t xml:space="preserve"> </w:t>
      </w:r>
      <w:r>
        <w:rPr>
          <w:lang w:val="en-US"/>
        </w:rPr>
        <w:t xml:space="preserve">The </w:t>
      </w:r>
      <w:r w:rsidR="00612D18">
        <w:rPr>
          <w:lang w:val="en-US"/>
        </w:rPr>
        <w:t xml:space="preserve">Bureau is requesting the </w:t>
      </w:r>
      <w:r>
        <w:rPr>
          <w:lang w:val="en-US"/>
        </w:rPr>
        <w:t xml:space="preserve">amount of CHF </w:t>
      </w:r>
      <w:r w:rsidRPr="000E49D8">
        <w:rPr>
          <w:lang w:val="en-US"/>
        </w:rPr>
        <w:t>135</w:t>
      </w:r>
      <w:r w:rsidR="0093221E">
        <w:rPr>
          <w:lang w:val="en-US"/>
        </w:rPr>
        <w:t>’</w:t>
      </w:r>
      <w:r w:rsidRPr="000E49D8">
        <w:rPr>
          <w:lang w:val="en-US"/>
        </w:rPr>
        <w:t>000</w:t>
      </w:r>
      <w:r w:rsidR="00612D18">
        <w:rPr>
          <w:lang w:val="en-US"/>
        </w:rPr>
        <w:t>, which would</w:t>
      </w:r>
      <w:r>
        <w:rPr>
          <w:lang w:val="en-US"/>
        </w:rPr>
        <w:t xml:space="preserve"> be used to h</w:t>
      </w:r>
      <w:r w:rsidRPr="00704708">
        <w:rPr>
          <w:lang w:val="en-US"/>
        </w:rPr>
        <w:t>ire a consultant for the</w:t>
      </w:r>
      <w:r w:rsidR="00612D18" w:rsidRPr="00612D18">
        <w:t xml:space="preserve"> </w:t>
      </w:r>
      <w:r w:rsidR="00612D18" w:rsidRPr="00612D18">
        <w:rPr>
          <w:lang w:val="en-US"/>
        </w:rPr>
        <w:t>software development while keeping the management of the project under BR supervision.</w:t>
      </w:r>
    </w:p>
    <w:p w14:paraId="4F4318C7" w14:textId="0B621876" w:rsidR="005478D1" w:rsidRDefault="005478D1" w:rsidP="0048340D">
      <w:pPr>
        <w:tabs>
          <w:tab w:val="clear" w:pos="567"/>
          <w:tab w:val="clear" w:pos="1134"/>
          <w:tab w:val="clear" w:pos="1701"/>
          <w:tab w:val="clear" w:pos="2268"/>
          <w:tab w:val="clear" w:pos="2835"/>
        </w:tabs>
        <w:overflowPunct/>
        <w:autoSpaceDE/>
        <w:autoSpaceDN/>
        <w:adjustRightInd/>
        <w:spacing w:before="360" w:after="120"/>
        <w:jc w:val="both"/>
        <w:textAlignment w:val="auto"/>
        <w:rPr>
          <w:rFonts w:asciiTheme="minorHAnsi" w:hAnsiTheme="minorHAnsi" w:cstheme="minorHAnsi"/>
          <w:b/>
          <w:bCs/>
          <w:color w:val="1F497D" w:themeColor="text2"/>
          <w:szCs w:val="24"/>
        </w:rPr>
      </w:pPr>
      <w:r>
        <w:rPr>
          <w:b/>
          <w:bCs/>
          <w:color w:val="1F497D" w:themeColor="text2"/>
          <w:lang w:val="en-US"/>
        </w:rPr>
        <w:t>H</w:t>
      </w:r>
      <w:r w:rsidRPr="00C94C95">
        <w:rPr>
          <w:color w:val="1F497D" w:themeColor="text2"/>
          <w:lang w:val="en-US"/>
        </w:rPr>
        <w:tab/>
      </w:r>
      <w:r>
        <w:rPr>
          <w:b/>
          <w:bCs/>
          <w:color w:val="1F497D" w:themeColor="text2"/>
          <w:lang w:val="en-US"/>
        </w:rPr>
        <w:t>S</w:t>
      </w:r>
      <w:r w:rsidRPr="00450808">
        <w:rPr>
          <w:b/>
          <w:bCs/>
          <w:color w:val="1F497D" w:themeColor="text2"/>
          <w:lang w:val="en-US"/>
        </w:rPr>
        <w:t xml:space="preserve">trategic </w:t>
      </w:r>
      <w:r>
        <w:rPr>
          <w:b/>
          <w:bCs/>
          <w:color w:val="1F497D" w:themeColor="text2"/>
          <w:lang w:val="en-US"/>
        </w:rPr>
        <w:t>T</w:t>
      </w:r>
      <w:r w:rsidRPr="00450808">
        <w:rPr>
          <w:b/>
          <w:bCs/>
          <w:color w:val="1F497D" w:themeColor="text2"/>
          <w:lang w:val="en-US"/>
        </w:rPr>
        <w:t xml:space="preserve">arget on </w:t>
      </w:r>
      <w:r>
        <w:rPr>
          <w:b/>
          <w:bCs/>
          <w:color w:val="1F497D" w:themeColor="text2"/>
          <w:lang w:val="en-US"/>
        </w:rPr>
        <w:t>A</w:t>
      </w:r>
      <w:r w:rsidRPr="00450808">
        <w:rPr>
          <w:b/>
          <w:bCs/>
          <w:color w:val="1F497D" w:themeColor="text2"/>
          <w:lang w:val="en-US"/>
        </w:rPr>
        <w:t>ccessibility</w:t>
      </w:r>
    </w:p>
    <w:p w14:paraId="5C1A633B" w14:textId="42A5B1EF" w:rsidR="005478D1" w:rsidRPr="00450808" w:rsidRDefault="005478D1"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450808">
        <w:rPr>
          <w:rFonts w:asciiTheme="minorHAnsi" w:hAnsiTheme="minorHAnsi" w:cstheme="minorHAnsi"/>
          <w:szCs w:val="24"/>
        </w:rPr>
        <w:t xml:space="preserve">The SP 2020-2023 includes a strategic target on accessibility. </w:t>
      </w:r>
      <w:r w:rsidR="00B641F6">
        <w:rPr>
          <w:rFonts w:asciiTheme="minorHAnsi" w:hAnsiTheme="minorHAnsi" w:cstheme="minorHAnsi"/>
          <w:szCs w:val="24"/>
        </w:rPr>
        <w:t>PP R</w:t>
      </w:r>
      <w:r w:rsidRPr="00450808">
        <w:rPr>
          <w:rFonts w:asciiTheme="minorHAnsi" w:hAnsiTheme="minorHAnsi" w:cstheme="minorHAnsi"/>
          <w:szCs w:val="24"/>
        </w:rPr>
        <w:t>esolution 175 (</w:t>
      </w:r>
      <w:r w:rsidR="00B641F6">
        <w:rPr>
          <w:rFonts w:asciiTheme="minorHAnsi" w:hAnsiTheme="minorHAnsi" w:cstheme="minorHAnsi"/>
          <w:szCs w:val="24"/>
        </w:rPr>
        <w:t>R</w:t>
      </w:r>
      <w:r w:rsidRPr="00450808">
        <w:rPr>
          <w:rFonts w:asciiTheme="minorHAnsi" w:hAnsiTheme="minorHAnsi" w:cstheme="minorHAnsi"/>
          <w:szCs w:val="24"/>
        </w:rPr>
        <w:t>ev</w:t>
      </w:r>
      <w:r w:rsidR="00B641F6">
        <w:rPr>
          <w:rFonts w:asciiTheme="minorHAnsi" w:hAnsiTheme="minorHAnsi" w:cstheme="minorHAnsi"/>
          <w:szCs w:val="24"/>
        </w:rPr>
        <w:t>.</w:t>
      </w:r>
      <w:r w:rsidRPr="00450808">
        <w:rPr>
          <w:rFonts w:asciiTheme="minorHAnsi" w:hAnsiTheme="minorHAnsi" w:cstheme="minorHAnsi"/>
          <w:szCs w:val="24"/>
        </w:rPr>
        <w:t xml:space="preserve"> Dubai, 2018), WTDC Res. 58 (Rev</w:t>
      </w:r>
      <w:r w:rsidR="00B641F6">
        <w:rPr>
          <w:rFonts w:asciiTheme="minorHAnsi" w:hAnsiTheme="minorHAnsi" w:cstheme="minorHAnsi"/>
          <w:szCs w:val="24"/>
        </w:rPr>
        <w:t>.</w:t>
      </w:r>
      <w:r w:rsidRPr="00450808">
        <w:rPr>
          <w:rFonts w:asciiTheme="minorHAnsi" w:hAnsiTheme="minorHAnsi" w:cstheme="minorHAnsi"/>
          <w:szCs w:val="24"/>
        </w:rPr>
        <w:t xml:space="preserve"> Buenos Aires, 2017), WTSA Res. 70 (Rev. </w:t>
      </w:r>
      <w:proofErr w:type="spellStart"/>
      <w:r w:rsidRPr="00450808">
        <w:rPr>
          <w:rFonts w:asciiTheme="minorHAnsi" w:hAnsiTheme="minorHAnsi" w:cstheme="minorHAnsi"/>
          <w:szCs w:val="24"/>
        </w:rPr>
        <w:t>Hammamet</w:t>
      </w:r>
      <w:proofErr w:type="spellEnd"/>
      <w:r w:rsidRPr="00450808">
        <w:rPr>
          <w:rFonts w:asciiTheme="minorHAnsi" w:hAnsiTheme="minorHAnsi" w:cstheme="minorHAnsi"/>
          <w:szCs w:val="24"/>
        </w:rPr>
        <w:t>, 2016) and RA</w:t>
      </w:r>
      <w:r w:rsidR="00B641F6">
        <w:rPr>
          <w:rFonts w:asciiTheme="minorHAnsi" w:hAnsiTheme="minorHAnsi" w:cstheme="minorHAnsi"/>
          <w:szCs w:val="24"/>
        </w:rPr>
        <w:t> </w:t>
      </w:r>
      <w:r w:rsidRPr="00450808">
        <w:rPr>
          <w:rFonts w:asciiTheme="minorHAnsi" w:hAnsiTheme="minorHAnsi" w:cstheme="minorHAnsi"/>
          <w:szCs w:val="24"/>
        </w:rPr>
        <w:t>Res</w:t>
      </w:r>
      <w:r w:rsidR="00B641F6">
        <w:rPr>
          <w:rFonts w:asciiTheme="minorHAnsi" w:hAnsiTheme="minorHAnsi" w:cstheme="minorHAnsi"/>
          <w:szCs w:val="24"/>
        </w:rPr>
        <w:t>. </w:t>
      </w:r>
      <w:r w:rsidRPr="00450808">
        <w:rPr>
          <w:rFonts w:asciiTheme="minorHAnsi" w:hAnsiTheme="minorHAnsi" w:cstheme="minorHAnsi"/>
          <w:szCs w:val="24"/>
        </w:rPr>
        <w:t>67</w:t>
      </w:r>
      <w:r w:rsidR="00B641F6">
        <w:rPr>
          <w:rFonts w:asciiTheme="minorHAnsi" w:hAnsiTheme="minorHAnsi" w:cstheme="minorHAnsi"/>
          <w:szCs w:val="24"/>
        </w:rPr>
        <w:t> </w:t>
      </w:r>
      <w:r w:rsidRPr="00450808">
        <w:rPr>
          <w:rFonts w:asciiTheme="minorHAnsi" w:hAnsiTheme="minorHAnsi" w:cstheme="minorHAnsi"/>
          <w:szCs w:val="24"/>
        </w:rPr>
        <w:t>(2019) give a clear mandate to ITU to work on accessibility. ITU has committed to align its work activities with the UN Disability Inclusion Strategy (UNDIS) to ensure full inclusiveness of everyone.</w:t>
      </w:r>
    </w:p>
    <w:p w14:paraId="7B5DBF92" w14:textId="77777777" w:rsidR="005478D1" w:rsidRDefault="005478D1" w:rsidP="00AC3E1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450808">
        <w:rPr>
          <w:rFonts w:asciiTheme="minorHAnsi" w:hAnsiTheme="minorHAnsi" w:cstheme="minorHAnsi"/>
          <w:szCs w:val="24"/>
        </w:rPr>
        <w:t>Th</w:t>
      </w:r>
      <w:r>
        <w:rPr>
          <w:rFonts w:asciiTheme="minorHAnsi" w:hAnsiTheme="minorHAnsi" w:cstheme="minorHAnsi"/>
          <w:szCs w:val="24"/>
        </w:rPr>
        <w:t>e</w:t>
      </w:r>
      <w:r w:rsidRPr="00450808">
        <w:rPr>
          <w:rFonts w:asciiTheme="minorHAnsi" w:hAnsiTheme="minorHAnsi" w:cstheme="minorHAnsi"/>
          <w:szCs w:val="24"/>
        </w:rPr>
        <w:t xml:space="preserve"> </w:t>
      </w:r>
      <w:r>
        <w:rPr>
          <w:rFonts w:asciiTheme="minorHAnsi" w:hAnsiTheme="minorHAnsi" w:cstheme="minorHAnsi"/>
          <w:szCs w:val="24"/>
        </w:rPr>
        <w:t xml:space="preserve">KCHF </w:t>
      </w:r>
      <w:r w:rsidRPr="00450808">
        <w:rPr>
          <w:rFonts w:asciiTheme="minorHAnsi" w:hAnsiTheme="minorHAnsi" w:cstheme="minorHAnsi"/>
          <w:szCs w:val="24"/>
        </w:rPr>
        <w:t>100</w:t>
      </w:r>
      <w:r>
        <w:rPr>
          <w:rFonts w:asciiTheme="minorHAnsi" w:hAnsiTheme="minorHAnsi" w:cstheme="minorHAnsi"/>
          <w:szCs w:val="24"/>
        </w:rPr>
        <w:t xml:space="preserve"> per year</w:t>
      </w:r>
      <w:r w:rsidRPr="00450808">
        <w:rPr>
          <w:rFonts w:asciiTheme="minorHAnsi" w:hAnsiTheme="minorHAnsi" w:cstheme="minorHAnsi"/>
          <w:szCs w:val="24"/>
        </w:rPr>
        <w:t xml:space="preserve"> budget aims to cover:</w:t>
      </w:r>
    </w:p>
    <w:p w14:paraId="395DFDE8" w14:textId="5002721C" w:rsidR="005478D1" w:rsidRPr="00450808" w:rsidRDefault="005478D1" w:rsidP="00AC3E1C">
      <w:pPr>
        <w:pStyle w:val="ListParagraph"/>
        <w:numPr>
          <w:ilvl w:val="0"/>
          <w:numId w:val="11"/>
        </w:numPr>
        <w:spacing w:before="120" w:after="120" w:line="240" w:lineRule="auto"/>
        <w:ind w:left="851" w:hanging="284"/>
        <w:contextualSpacing w:val="0"/>
        <w:rPr>
          <w:rFonts w:cstheme="minorHAnsi"/>
          <w:sz w:val="24"/>
          <w:szCs w:val="28"/>
        </w:rPr>
      </w:pPr>
      <w:r w:rsidRPr="00450808">
        <w:rPr>
          <w:rFonts w:cstheme="minorHAnsi"/>
          <w:sz w:val="24"/>
          <w:szCs w:val="28"/>
        </w:rPr>
        <w:t>Captioning when required and event organizers cannot afford it. Indeed, since 2015, expenditure on captioning for ITU events amounts to an average of KCHF 100 / year. This has been covered by ad</w:t>
      </w:r>
      <w:r w:rsidR="00A57E32">
        <w:rPr>
          <w:rFonts w:cstheme="minorHAnsi"/>
          <w:sz w:val="24"/>
          <w:szCs w:val="28"/>
        </w:rPr>
        <w:t xml:space="preserve"> </w:t>
      </w:r>
      <w:r w:rsidRPr="00450808">
        <w:rPr>
          <w:rFonts w:cstheme="minorHAnsi"/>
          <w:sz w:val="24"/>
          <w:szCs w:val="28"/>
        </w:rPr>
        <w:t>hoc funds (</w:t>
      </w:r>
      <w:proofErr w:type="gramStart"/>
      <w:r w:rsidRPr="00450808">
        <w:rPr>
          <w:rFonts w:cstheme="minorHAnsi"/>
          <w:sz w:val="24"/>
          <w:szCs w:val="28"/>
        </w:rPr>
        <w:t>e.g.</w:t>
      </w:r>
      <w:proofErr w:type="gramEnd"/>
      <w:r w:rsidRPr="00450808">
        <w:rPr>
          <w:rFonts w:cstheme="minorHAnsi"/>
          <w:sz w:val="24"/>
          <w:szCs w:val="28"/>
        </w:rPr>
        <w:t xml:space="preserve"> an event organizers</w:t>
      </w:r>
      <w:r w:rsidR="0093221E">
        <w:rPr>
          <w:rFonts w:cstheme="minorHAnsi"/>
          <w:sz w:val="24"/>
          <w:szCs w:val="28"/>
        </w:rPr>
        <w:t>’</w:t>
      </w:r>
      <w:r w:rsidRPr="00450808">
        <w:rPr>
          <w:rFonts w:cstheme="minorHAnsi"/>
          <w:sz w:val="24"/>
          <w:szCs w:val="28"/>
        </w:rPr>
        <w:t xml:space="preserve"> budget). The cost of real-time captioning service is around USD 133 to USD 200 per hour.</w:t>
      </w:r>
    </w:p>
    <w:p w14:paraId="65E283E5" w14:textId="08E08F7D" w:rsidR="005478D1" w:rsidRPr="00450808" w:rsidRDefault="005478D1" w:rsidP="00AC3E1C">
      <w:pPr>
        <w:pStyle w:val="ListParagraph"/>
        <w:numPr>
          <w:ilvl w:val="0"/>
          <w:numId w:val="11"/>
        </w:numPr>
        <w:spacing w:before="120" w:after="120" w:line="240" w:lineRule="auto"/>
        <w:ind w:left="851" w:hanging="284"/>
        <w:contextualSpacing w:val="0"/>
        <w:rPr>
          <w:rFonts w:cstheme="minorHAnsi"/>
          <w:sz w:val="24"/>
          <w:szCs w:val="28"/>
        </w:rPr>
      </w:pPr>
      <w:r w:rsidRPr="00450808">
        <w:rPr>
          <w:rFonts w:cstheme="minorHAnsi"/>
          <w:sz w:val="24"/>
          <w:szCs w:val="28"/>
        </w:rPr>
        <w:t xml:space="preserve">Sign-language interpretation when required and event organizers cannot afford it (around CHF 620 per day per interpreter plus travel costs </w:t>
      </w:r>
      <w:r w:rsidR="000C2AD0">
        <w:rPr>
          <w:rFonts w:cstheme="minorHAnsi"/>
          <w:sz w:val="24"/>
          <w:szCs w:val="28"/>
        </w:rPr>
        <w:t>a</w:t>
      </w:r>
      <w:r w:rsidR="00A57E32">
        <w:rPr>
          <w:rFonts w:cstheme="minorHAnsi"/>
          <w:sz w:val="24"/>
          <w:szCs w:val="28"/>
        </w:rPr>
        <w:t>nd</w:t>
      </w:r>
      <w:r w:rsidRPr="00450808">
        <w:rPr>
          <w:rFonts w:cstheme="minorHAnsi"/>
          <w:sz w:val="24"/>
          <w:szCs w:val="28"/>
        </w:rPr>
        <w:t xml:space="preserve"> DSA; estimated total amount for the ITU: KCHF 10-20 per year).</w:t>
      </w:r>
    </w:p>
    <w:p w14:paraId="3DEAE77F" w14:textId="2D64E666" w:rsidR="005478D1" w:rsidRPr="00450808" w:rsidRDefault="005478D1" w:rsidP="00AC3E1C">
      <w:pPr>
        <w:pStyle w:val="ListParagraph"/>
        <w:numPr>
          <w:ilvl w:val="0"/>
          <w:numId w:val="11"/>
        </w:numPr>
        <w:spacing w:before="120" w:after="120" w:line="240" w:lineRule="auto"/>
        <w:ind w:left="851" w:hanging="284"/>
        <w:contextualSpacing w:val="0"/>
        <w:rPr>
          <w:rFonts w:cstheme="minorHAnsi"/>
          <w:sz w:val="24"/>
          <w:szCs w:val="28"/>
        </w:rPr>
      </w:pPr>
      <w:r w:rsidRPr="00450808">
        <w:rPr>
          <w:rFonts w:cstheme="minorHAnsi"/>
          <w:sz w:val="24"/>
          <w:szCs w:val="28"/>
        </w:rPr>
        <w:t>Guide for blind delegates, when required</w:t>
      </w:r>
      <w:r w:rsidR="00B641F6">
        <w:rPr>
          <w:rFonts w:cstheme="minorHAnsi"/>
          <w:sz w:val="24"/>
          <w:szCs w:val="28"/>
        </w:rPr>
        <w:t>.</w:t>
      </w:r>
    </w:p>
    <w:p w14:paraId="77BFBDE9" w14:textId="29ED76CB" w:rsidR="005478D1" w:rsidRPr="00450808" w:rsidRDefault="005478D1" w:rsidP="00AC3E1C">
      <w:pPr>
        <w:pStyle w:val="ListParagraph"/>
        <w:numPr>
          <w:ilvl w:val="0"/>
          <w:numId w:val="11"/>
        </w:numPr>
        <w:spacing w:before="120" w:after="120" w:line="240" w:lineRule="auto"/>
        <w:ind w:left="851" w:hanging="284"/>
        <w:contextualSpacing w:val="0"/>
        <w:rPr>
          <w:rFonts w:cstheme="minorHAnsi"/>
          <w:sz w:val="24"/>
          <w:szCs w:val="28"/>
        </w:rPr>
      </w:pPr>
      <w:r w:rsidRPr="00450808">
        <w:rPr>
          <w:rFonts w:cstheme="minorHAnsi"/>
          <w:sz w:val="24"/>
          <w:szCs w:val="28"/>
        </w:rPr>
        <w:t xml:space="preserve">Travel costs (+DSA) for some subject-matter expert </w:t>
      </w:r>
      <w:proofErr w:type="spellStart"/>
      <w:r w:rsidRPr="00450808">
        <w:rPr>
          <w:rFonts w:cstheme="minorHAnsi"/>
          <w:sz w:val="24"/>
          <w:szCs w:val="28"/>
        </w:rPr>
        <w:t>PwDs</w:t>
      </w:r>
      <w:proofErr w:type="spellEnd"/>
      <w:r w:rsidRPr="00450808">
        <w:rPr>
          <w:rFonts w:cstheme="minorHAnsi"/>
          <w:sz w:val="24"/>
          <w:szCs w:val="28"/>
        </w:rPr>
        <w:t>, including fellowships for delegates with disabilities and ITU member</w:t>
      </w:r>
      <w:r w:rsidR="0093221E">
        <w:rPr>
          <w:rFonts w:cstheme="minorHAnsi"/>
          <w:sz w:val="24"/>
          <w:szCs w:val="28"/>
        </w:rPr>
        <w:t>’</w:t>
      </w:r>
      <w:r w:rsidRPr="00450808">
        <w:rPr>
          <w:rFonts w:cstheme="minorHAnsi"/>
          <w:sz w:val="24"/>
          <w:szCs w:val="28"/>
        </w:rPr>
        <w:t xml:space="preserve">s representatives, </w:t>
      </w:r>
      <w:proofErr w:type="gramStart"/>
      <w:r w:rsidRPr="00450808">
        <w:rPr>
          <w:rFonts w:cstheme="minorHAnsi"/>
          <w:sz w:val="24"/>
          <w:szCs w:val="28"/>
        </w:rPr>
        <w:t>in particular those</w:t>
      </w:r>
      <w:proofErr w:type="gramEnd"/>
      <w:r w:rsidRPr="00450808">
        <w:rPr>
          <w:rFonts w:cstheme="minorHAnsi"/>
          <w:sz w:val="24"/>
          <w:szCs w:val="28"/>
        </w:rPr>
        <w:t xml:space="preserve"> coming from LDCs and low-income countries, to participate in the work of ITU (when not covered by ITU regular budget as per S</w:t>
      </w:r>
      <w:r w:rsidR="00B641F6">
        <w:rPr>
          <w:rFonts w:cstheme="minorHAnsi"/>
          <w:sz w:val="24"/>
          <w:szCs w:val="28"/>
        </w:rPr>
        <w:t xml:space="preserve">ervice Order </w:t>
      </w:r>
      <w:r w:rsidRPr="00450808">
        <w:rPr>
          <w:rFonts w:cstheme="minorHAnsi"/>
          <w:sz w:val="24"/>
          <w:szCs w:val="28"/>
        </w:rPr>
        <w:t>No. 21/02, Policy for awarding fellowships for events and activities).</w:t>
      </w:r>
    </w:p>
    <w:p w14:paraId="689BDF02" w14:textId="60AAFBF5" w:rsidR="008C70E5" w:rsidRPr="0048340D" w:rsidRDefault="005478D1" w:rsidP="00AC3E1C">
      <w:pPr>
        <w:pStyle w:val="ListParagraph"/>
        <w:numPr>
          <w:ilvl w:val="0"/>
          <w:numId w:val="11"/>
        </w:numPr>
        <w:spacing w:before="120" w:after="120" w:line="240" w:lineRule="auto"/>
        <w:ind w:left="851" w:hanging="284"/>
        <w:contextualSpacing w:val="0"/>
        <w:rPr>
          <w:rFonts w:cstheme="minorHAnsi"/>
          <w:szCs w:val="24"/>
        </w:rPr>
      </w:pPr>
      <w:r w:rsidRPr="0050490A">
        <w:rPr>
          <w:rFonts w:cstheme="minorHAnsi"/>
          <w:sz w:val="24"/>
          <w:szCs w:val="28"/>
        </w:rPr>
        <w:t>Training of staff on accessibility-related matters, when required and not covered by regular training budget (</w:t>
      </w:r>
      <w:proofErr w:type="gramStart"/>
      <w:r w:rsidRPr="0050490A">
        <w:rPr>
          <w:rFonts w:cstheme="minorHAnsi"/>
          <w:sz w:val="24"/>
          <w:szCs w:val="28"/>
        </w:rPr>
        <w:t>e.g.</w:t>
      </w:r>
      <w:proofErr w:type="gramEnd"/>
      <w:r w:rsidRPr="0050490A">
        <w:rPr>
          <w:rFonts w:cstheme="minorHAnsi"/>
          <w:sz w:val="24"/>
          <w:szCs w:val="28"/>
        </w:rPr>
        <w:t xml:space="preserve"> training web developers and web masters and communication officers as well as all relevant staff to ensure that structure and contents of ITU websites, videos, publications and whatever digital documents and digital information are digitally accessible and in line with the accessibility requirements and standards in force).</w:t>
      </w:r>
    </w:p>
    <w:p w14:paraId="1814AD1A" w14:textId="7046265D" w:rsidR="0048340D" w:rsidRPr="009C70B7" w:rsidRDefault="0048340D" w:rsidP="0048340D">
      <w:pPr>
        <w:tabs>
          <w:tab w:val="clear" w:pos="567"/>
          <w:tab w:val="clear" w:pos="1134"/>
          <w:tab w:val="clear" w:pos="1701"/>
          <w:tab w:val="clear" w:pos="2268"/>
          <w:tab w:val="clear" w:pos="2835"/>
        </w:tabs>
        <w:overflowPunct/>
        <w:autoSpaceDE/>
        <w:autoSpaceDN/>
        <w:adjustRightInd/>
        <w:spacing w:before="360"/>
        <w:textAlignment w:val="auto"/>
        <w:rPr>
          <w:b/>
          <w:bCs/>
          <w:color w:val="1F497D" w:themeColor="text2"/>
          <w:lang w:val="en-US"/>
        </w:rPr>
      </w:pPr>
      <w:r>
        <w:rPr>
          <w:b/>
          <w:bCs/>
          <w:color w:val="1F497D" w:themeColor="text2"/>
          <w:lang w:val="en-US"/>
        </w:rPr>
        <w:t>I</w:t>
      </w:r>
      <w:r>
        <w:rPr>
          <w:b/>
          <w:bCs/>
          <w:color w:val="1F497D" w:themeColor="text2"/>
          <w:lang w:val="en-US"/>
        </w:rPr>
        <w:tab/>
      </w:r>
      <w:r w:rsidRPr="009C70B7">
        <w:rPr>
          <w:b/>
          <w:bCs/>
          <w:color w:val="1F497D" w:themeColor="text2"/>
          <w:lang w:val="en-US"/>
        </w:rPr>
        <w:t>Digital Transformation Initiative (DT-I)</w:t>
      </w:r>
      <w:r>
        <w:rPr>
          <w:b/>
          <w:bCs/>
          <w:color w:val="1F497D" w:themeColor="text2"/>
          <w:lang w:val="en-US"/>
        </w:rPr>
        <w:t xml:space="preserve"> (Document </w:t>
      </w:r>
      <w:hyperlink r:id="rId20" w:history="1">
        <w:r w:rsidRPr="0048340D">
          <w:rPr>
            <w:rStyle w:val="Hyperlink"/>
            <w:b/>
            <w:bCs/>
            <w:lang w:val="en-US"/>
          </w:rPr>
          <w:t>C21/70</w:t>
        </w:r>
      </w:hyperlink>
      <w:r>
        <w:rPr>
          <w:b/>
          <w:bCs/>
          <w:color w:val="1F497D" w:themeColor="text2"/>
          <w:lang w:val="en-US"/>
        </w:rPr>
        <w:t>)</w:t>
      </w:r>
    </w:p>
    <w:p w14:paraId="6C416DF3" w14:textId="3B196CCE" w:rsidR="0048340D" w:rsidRPr="00202D57" w:rsidRDefault="0048340D" w:rsidP="0048340D">
      <w:pPr>
        <w:spacing w:after="120"/>
        <w:jc w:val="both"/>
      </w:pPr>
      <w:r w:rsidRPr="00202D57">
        <w:t xml:space="preserve">The importance of digital transformation in a holistic and well-organized manner within an organization like the ITU cannot be overemphasized. However, to make changes to something and especially within an organisation </w:t>
      </w:r>
      <w:r w:rsidRPr="00202D57">
        <w:rPr>
          <w:lang w:val="en-US"/>
        </w:rPr>
        <w:t xml:space="preserve">with three Sectors having specific mandates and a General Secretariat, </w:t>
      </w:r>
      <w:r w:rsidRPr="00202D57">
        <w:t>requires a phased approach which makes a clear distinction between 1-</w:t>
      </w:r>
      <w:r w:rsidRPr="00202D57">
        <w:rPr>
          <w:i/>
          <w:iCs/>
        </w:rPr>
        <w:t>what to transform</w:t>
      </w:r>
      <w:r w:rsidRPr="00202D57">
        <w:t xml:space="preserve"> and 2-</w:t>
      </w:r>
      <w:r w:rsidRPr="00202D57">
        <w:rPr>
          <w:i/>
          <w:iCs/>
        </w:rPr>
        <w:t>how to transform it</w:t>
      </w:r>
      <w:r w:rsidRPr="00202D57">
        <w:t>.</w:t>
      </w:r>
    </w:p>
    <w:p w14:paraId="6CD24F0A" w14:textId="77777777" w:rsidR="0048340D" w:rsidRPr="00BC0DFF" w:rsidRDefault="0048340D" w:rsidP="0048340D">
      <w:pPr>
        <w:pStyle w:val="CommentText"/>
        <w:spacing w:before="120" w:after="120"/>
        <w:jc w:val="both"/>
        <w:rPr>
          <w:rFonts w:asciiTheme="minorHAnsi" w:hAnsiTheme="minorHAnsi" w:cstheme="minorHAnsi"/>
          <w:sz w:val="24"/>
          <w:szCs w:val="24"/>
        </w:rPr>
      </w:pPr>
      <w:r w:rsidRPr="00BC0DFF">
        <w:rPr>
          <w:rFonts w:asciiTheme="minorHAnsi" w:hAnsiTheme="minorHAnsi" w:cstheme="minorHAnsi"/>
          <w:sz w:val="24"/>
          <w:szCs w:val="24"/>
        </w:rPr>
        <w:t xml:space="preserve">To ensure that the initiative renders ITU-wide improvements, the focus should be placed on those enabling processes, skills and functions that, if optimized, will facilitate the ITU’s achievement of its specific mandates. The enabling processes and functions are generally carried by General Secretariat departments, </w:t>
      </w:r>
      <w:proofErr w:type="gramStart"/>
      <w:r w:rsidRPr="00BC0DFF">
        <w:rPr>
          <w:rFonts w:asciiTheme="minorHAnsi" w:hAnsiTheme="minorHAnsi" w:cstheme="minorHAnsi"/>
          <w:sz w:val="24"/>
          <w:szCs w:val="24"/>
        </w:rPr>
        <w:t>and also</w:t>
      </w:r>
      <w:proofErr w:type="gramEnd"/>
      <w:r w:rsidRPr="00BC0DFF">
        <w:rPr>
          <w:rFonts w:asciiTheme="minorHAnsi" w:hAnsiTheme="minorHAnsi" w:cstheme="minorHAnsi"/>
          <w:sz w:val="24"/>
          <w:szCs w:val="24"/>
        </w:rPr>
        <w:t xml:space="preserve"> include intersectoral initiatives and those bureau processes that have organizational impact.</w:t>
      </w:r>
    </w:p>
    <w:p w14:paraId="5B2F1A55" w14:textId="77777777" w:rsidR="0048340D" w:rsidRPr="00202D57" w:rsidRDefault="0048340D" w:rsidP="0048340D">
      <w:pPr>
        <w:spacing w:after="120"/>
        <w:jc w:val="both"/>
      </w:pPr>
      <w:r w:rsidRPr="00202D57">
        <w:lastRenderedPageBreak/>
        <w:t>The new Digital Transformation Initiative (DT-I) should improve the key deliverables of ITU, as well as the efficiency of the internal business processes, and ensure that ITU becomes an employer of choice.</w:t>
      </w:r>
    </w:p>
    <w:p w14:paraId="1A90DBA5" w14:textId="357C60FA" w:rsidR="0048340D" w:rsidRPr="0048340D" w:rsidRDefault="0048340D" w:rsidP="0048340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9C70B7">
        <w:rPr>
          <w:rFonts w:asciiTheme="minorHAnsi" w:eastAsia="Batang" w:hAnsiTheme="minorHAnsi" w:cstheme="minorHAnsi"/>
          <w:szCs w:val="24"/>
        </w:rPr>
        <w:t xml:space="preserve">The initiative will need a dedicated resource </w:t>
      </w:r>
      <w:r>
        <w:rPr>
          <w:rFonts w:asciiTheme="minorHAnsi" w:eastAsia="Batang" w:hAnsiTheme="minorHAnsi" w:cstheme="minorHAnsi"/>
          <w:szCs w:val="24"/>
        </w:rPr>
        <w:t xml:space="preserve">(new P5 post) </w:t>
      </w:r>
      <w:r w:rsidRPr="009C70B7">
        <w:rPr>
          <w:rFonts w:asciiTheme="minorHAnsi" w:eastAsia="Batang" w:hAnsiTheme="minorHAnsi" w:cstheme="minorHAnsi"/>
          <w:szCs w:val="24"/>
        </w:rPr>
        <w:t>to drive it forward and coordinate cross-sector activities.</w:t>
      </w:r>
    </w:p>
    <w:p w14:paraId="2111ACCB" w14:textId="22C72BA9" w:rsidR="00F121C6" w:rsidRPr="00F71FC1" w:rsidRDefault="00C90047" w:rsidP="0050490A">
      <w:pPr>
        <w:tabs>
          <w:tab w:val="clear" w:pos="567"/>
          <w:tab w:val="clear" w:pos="1134"/>
          <w:tab w:val="clear" w:pos="1701"/>
          <w:tab w:val="clear" w:pos="2268"/>
          <w:tab w:val="clear" w:pos="2835"/>
        </w:tabs>
        <w:overflowPunct/>
        <w:autoSpaceDE/>
        <w:autoSpaceDN/>
        <w:adjustRightInd/>
        <w:spacing w:before="600"/>
        <w:jc w:val="center"/>
        <w:textAlignment w:val="auto"/>
        <w:rPr>
          <w:rFonts w:asciiTheme="minorHAnsi" w:hAnsiTheme="minorHAnsi" w:cstheme="minorHAnsi"/>
          <w:szCs w:val="24"/>
        </w:rPr>
      </w:pPr>
      <w:r>
        <w:rPr>
          <w:rFonts w:asciiTheme="minorHAnsi" w:hAnsiTheme="minorHAnsi" w:cstheme="minorHAnsi"/>
          <w:szCs w:val="24"/>
        </w:rPr>
        <w:t>_________________</w:t>
      </w:r>
    </w:p>
    <w:sectPr w:rsidR="00F121C6" w:rsidRPr="00F71FC1" w:rsidSect="00C94C95">
      <w:head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545B1" w14:textId="77777777" w:rsidR="002B17AC" w:rsidRDefault="002B17AC">
      <w:r>
        <w:separator/>
      </w:r>
    </w:p>
  </w:endnote>
  <w:endnote w:type="continuationSeparator" w:id="0">
    <w:p w14:paraId="72CEAF84" w14:textId="77777777" w:rsidR="002B17AC" w:rsidRDefault="002B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F4086" w14:textId="77777777" w:rsidR="002B17AC" w:rsidRDefault="002B17AC">
      <w:r>
        <w:t>____________________</w:t>
      </w:r>
    </w:p>
  </w:footnote>
  <w:footnote w:type="continuationSeparator" w:id="0">
    <w:p w14:paraId="16A56459" w14:textId="77777777" w:rsidR="002B17AC" w:rsidRDefault="002B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5600F00E" w:rsidR="00322D0D" w:rsidRDefault="00F76800" w:rsidP="00CE433C">
    <w:pPr>
      <w:pStyle w:val="Header"/>
    </w:pPr>
    <w:r>
      <w:t>- </w:t>
    </w:r>
    <w:r w:rsidR="006535F1">
      <w:fldChar w:fldCharType="begin"/>
    </w:r>
    <w:r w:rsidR="006535F1">
      <w:instrText>PAGE</w:instrText>
    </w:r>
    <w:r w:rsidR="006535F1">
      <w:fldChar w:fldCharType="separate"/>
    </w:r>
    <w:r w:rsidR="00D338E0">
      <w:rPr>
        <w:noProof/>
      </w:rPr>
      <w:t>2</w:t>
    </w:r>
    <w:r w:rsidR="006535F1">
      <w:rPr>
        <w:noProof/>
      </w:rPr>
      <w:fldChar w:fldCharType="end"/>
    </w:r>
    <w:r>
      <w:rPr>
        <w:noProof/>
      </w:rPr>
      <w:t> -</w:t>
    </w:r>
  </w:p>
  <w:p w14:paraId="34EC98F4" w14:textId="5820B441"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0A300B">
      <w:rPr>
        <w:bCs/>
      </w:rPr>
      <w:t>INF/9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8B3C7D"/>
    <w:multiLevelType w:val="hybridMultilevel"/>
    <w:tmpl w:val="E1D2EC26"/>
    <w:lvl w:ilvl="0" w:tplc="BE8ED83A">
      <w:start w:val="1"/>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004E0"/>
    <w:multiLevelType w:val="hybridMultilevel"/>
    <w:tmpl w:val="08866878"/>
    <w:lvl w:ilvl="0" w:tplc="0809000F">
      <w:start w:val="1"/>
      <w:numFmt w:val="decimal"/>
      <w:lvlText w:val="%1."/>
      <w:lvlJc w:val="left"/>
      <w:pPr>
        <w:ind w:left="720" w:hanging="360"/>
      </w:pPr>
      <w:rPr>
        <w:rFonts w:hint="default"/>
      </w:rPr>
    </w:lvl>
    <w:lvl w:ilvl="1" w:tplc="45D8D45C">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8845AF"/>
    <w:multiLevelType w:val="hybridMultilevel"/>
    <w:tmpl w:val="18C0FBA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63384"/>
    <w:multiLevelType w:val="hybridMultilevel"/>
    <w:tmpl w:val="3D2C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CC30A7"/>
    <w:multiLevelType w:val="hybridMultilevel"/>
    <w:tmpl w:val="51A8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93079"/>
    <w:multiLevelType w:val="hybridMultilevel"/>
    <w:tmpl w:val="E22689E8"/>
    <w:lvl w:ilvl="0" w:tplc="075A5652">
      <w:start w:val="1"/>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32346"/>
    <w:multiLevelType w:val="hybridMultilevel"/>
    <w:tmpl w:val="FDD451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71187246"/>
    <w:multiLevelType w:val="hybridMultilevel"/>
    <w:tmpl w:val="6AFC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E16E2"/>
    <w:multiLevelType w:val="hybridMultilevel"/>
    <w:tmpl w:val="126E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2"/>
  </w:num>
  <w:num w:numId="5">
    <w:abstractNumId w:val="1"/>
  </w:num>
  <w:num w:numId="6">
    <w:abstractNumId w:val="6"/>
  </w:num>
  <w:num w:numId="7">
    <w:abstractNumId w:val="3"/>
  </w:num>
  <w:num w:numId="8">
    <w:abstractNumId w:val="5"/>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0MDOxMDM3MzYxMDBR0lEKTi0uzszPAykwrgUAi7CrjCwAAAA="/>
  </w:docVars>
  <w:rsids>
    <w:rsidRoot w:val="005F3269"/>
    <w:rsid w:val="000019C6"/>
    <w:rsid w:val="00002360"/>
    <w:rsid w:val="000210D4"/>
    <w:rsid w:val="00063016"/>
    <w:rsid w:val="00066795"/>
    <w:rsid w:val="00076AF6"/>
    <w:rsid w:val="000809CA"/>
    <w:rsid w:val="00085CF2"/>
    <w:rsid w:val="000A01D8"/>
    <w:rsid w:val="000A300B"/>
    <w:rsid w:val="000A47D7"/>
    <w:rsid w:val="000B1705"/>
    <w:rsid w:val="000C2AD0"/>
    <w:rsid w:val="000D75B2"/>
    <w:rsid w:val="000F73D1"/>
    <w:rsid w:val="001115BA"/>
    <w:rsid w:val="001121F5"/>
    <w:rsid w:val="001243BD"/>
    <w:rsid w:val="001400DC"/>
    <w:rsid w:val="00140CE1"/>
    <w:rsid w:val="00146D3F"/>
    <w:rsid w:val="00155F74"/>
    <w:rsid w:val="001736F9"/>
    <w:rsid w:val="0017539C"/>
    <w:rsid w:val="00175AC2"/>
    <w:rsid w:val="0017609F"/>
    <w:rsid w:val="00185E49"/>
    <w:rsid w:val="001C3B64"/>
    <w:rsid w:val="001C628E"/>
    <w:rsid w:val="001E0694"/>
    <w:rsid w:val="001E0F7B"/>
    <w:rsid w:val="001E2BF3"/>
    <w:rsid w:val="002119FD"/>
    <w:rsid w:val="002130E0"/>
    <w:rsid w:val="00225DDD"/>
    <w:rsid w:val="00264425"/>
    <w:rsid w:val="00265875"/>
    <w:rsid w:val="0027303B"/>
    <w:rsid w:val="0028109B"/>
    <w:rsid w:val="00286558"/>
    <w:rsid w:val="002A2188"/>
    <w:rsid w:val="002B17AC"/>
    <w:rsid w:val="002B1F58"/>
    <w:rsid w:val="002B5E64"/>
    <w:rsid w:val="002C1C7A"/>
    <w:rsid w:val="002D10BB"/>
    <w:rsid w:val="002E70BE"/>
    <w:rsid w:val="0030160F"/>
    <w:rsid w:val="003210DC"/>
    <w:rsid w:val="00322D0D"/>
    <w:rsid w:val="003942D4"/>
    <w:rsid w:val="003958A8"/>
    <w:rsid w:val="003C2533"/>
    <w:rsid w:val="003D76FB"/>
    <w:rsid w:val="0040252E"/>
    <w:rsid w:val="0040435A"/>
    <w:rsid w:val="00406874"/>
    <w:rsid w:val="00416A24"/>
    <w:rsid w:val="00424117"/>
    <w:rsid w:val="00431D9E"/>
    <w:rsid w:val="00433CE8"/>
    <w:rsid w:val="00434A5C"/>
    <w:rsid w:val="004443EC"/>
    <w:rsid w:val="004544D9"/>
    <w:rsid w:val="00480483"/>
    <w:rsid w:val="0048340D"/>
    <w:rsid w:val="00490E72"/>
    <w:rsid w:val="00491157"/>
    <w:rsid w:val="004921C8"/>
    <w:rsid w:val="004D1851"/>
    <w:rsid w:val="004D599D"/>
    <w:rsid w:val="004D7712"/>
    <w:rsid w:val="004E2EA5"/>
    <w:rsid w:val="004E3AEB"/>
    <w:rsid w:val="004F0A69"/>
    <w:rsid w:val="004F0CFC"/>
    <w:rsid w:val="0050223C"/>
    <w:rsid w:val="0050490A"/>
    <w:rsid w:val="005205AE"/>
    <w:rsid w:val="005243FF"/>
    <w:rsid w:val="005478D1"/>
    <w:rsid w:val="0055430A"/>
    <w:rsid w:val="00564FBC"/>
    <w:rsid w:val="00582442"/>
    <w:rsid w:val="00594005"/>
    <w:rsid w:val="005C124D"/>
    <w:rsid w:val="005F3269"/>
    <w:rsid w:val="00612D18"/>
    <w:rsid w:val="00615305"/>
    <w:rsid w:val="00623AE3"/>
    <w:rsid w:val="00624609"/>
    <w:rsid w:val="0064737F"/>
    <w:rsid w:val="006535F1"/>
    <w:rsid w:val="0065557D"/>
    <w:rsid w:val="00662984"/>
    <w:rsid w:val="006716BB"/>
    <w:rsid w:val="006822B0"/>
    <w:rsid w:val="006848DD"/>
    <w:rsid w:val="00685CAF"/>
    <w:rsid w:val="006B6680"/>
    <w:rsid w:val="006B6DCC"/>
    <w:rsid w:val="006C6B64"/>
    <w:rsid w:val="00702DEF"/>
    <w:rsid w:val="00706861"/>
    <w:rsid w:val="00734391"/>
    <w:rsid w:val="00737637"/>
    <w:rsid w:val="00740FE3"/>
    <w:rsid w:val="00742AB9"/>
    <w:rsid w:val="007464F7"/>
    <w:rsid w:val="0075051B"/>
    <w:rsid w:val="00793188"/>
    <w:rsid w:val="00794D34"/>
    <w:rsid w:val="007B2378"/>
    <w:rsid w:val="007E6330"/>
    <w:rsid w:val="00813E5E"/>
    <w:rsid w:val="00830BE3"/>
    <w:rsid w:val="0083581B"/>
    <w:rsid w:val="00864AFF"/>
    <w:rsid w:val="008B4A6A"/>
    <w:rsid w:val="008C70E5"/>
    <w:rsid w:val="008C7E27"/>
    <w:rsid w:val="0091707D"/>
    <w:rsid w:val="009173EF"/>
    <w:rsid w:val="0093221E"/>
    <w:rsid w:val="00932906"/>
    <w:rsid w:val="009436CD"/>
    <w:rsid w:val="00943B3B"/>
    <w:rsid w:val="00950D0A"/>
    <w:rsid w:val="00961B0B"/>
    <w:rsid w:val="009815F2"/>
    <w:rsid w:val="009851B8"/>
    <w:rsid w:val="009B0625"/>
    <w:rsid w:val="009B38C3"/>
    <w:rsid w:val="009B6A9C"/>
    <w:rsid w:val="009C61E1"/>
    <w:rsid w:val="009E17BD"/>
    <w:rsid w:val="009E485A"/>
    <w:rsid w:val="009F66A3"/>
    <w:rsid w:val="00A04CEC"/>
    <w:rsid w:val="00A27F92"/>
    <w:rsid w:val="00A32257"/>
    <w:rsid w:val="00A36D20"/>
    <w:rsid w:val="00A55622"/>
    <w:rsid w:val="00A57E32"/>
    <w:rsid w:val="00A83502"/>
    <w:rsid w:val="00A8382F"/>
    <w:rsid w:val="00A93619"/>
    <w:rsid w:val="00AA2753"/>
    <w:rsid w:val="00AB5C3E"/>
    <w:rsid w:val="00AC3E1C"/>
    <w:rsid w:val="00AC47C8"/>
    <w:rsid w:val="00AD15B3"/>
    <w:rsid w:val="00AD39A0"/>
    <w:rsid w:val="00AD57B9"/>
    <w:rsid w:val="00AF6E49"/>
    <w:rsid w:val="00B04A67"/>
    <w:rsid w:val="00B0583C"/>
    <w:rsid w:val="00B06297"/>
    <w:rsid w:val="00B40A81"/>
    <w:rsid w:val="00B44910"/>
    <w:rsid w:val="00B641F6"/>
    <w:rsid w:val="00B72267"/>
    <w:rsid w:val="00B75CA0"/>
    <w:rsid w:val="00B76EB6"/>
    <w:rsid w:val="00B7737B"/>
    <w:rsid w:val="00B824C8"/>
    <w:rsid w:val="00BA4196"/>
    <w:rsid w:val="00BB135B"/>
    <w:rsid w:val="00BC251A"/>
    <w:rsid w:val="00BD032B"/>
    <w:rsid w:val="00BE2640"/>
    <w:rsid w:val="00BE5965"/>
    <w:rsid w:val="00BE6365"/>
    <w:rsid w:val="00BF1CA6"/>
    <w:rsid w:val="00C01189"/>
    <w:rsid w:val="00C34D86"/>
    <w:rsid w:val="00C374DE"/>
    <w:rsid w:val="00C47AD4"/>
    <w:rsid w:val="00C52D81"/>
    <w:rsid w:val="00C55198"/>
    <w:rsid w:val="00C90047"/>
    <w:rsid w:val="00C94C95"/>
    <w:rsid w:val="00CA22F5"/>
    <w:rsid w:val="00CA6393"/>
    <w:rsid w:val="00CB18FF"/>
    <w:rsid w:val="00CD0C08"/>
    <w:rsid w:val="00CD370A"/>
    <w:rsid w:val="00CE03FB"/>
    <w:rsid w:val="00CE433C"/>
    <w:rsid w:val="00CF134B"/>
    <w:rsid w:val="00CF33F3"/>
    <w:rsid w:val="00CF5A9F"/>
    <w:rsid w:val="00CF7B68"/>
    <w:rsid w:val="00D00A28"/>
    <w:rsid w:val="00D06183"/>
    <w:rsid w:val="00D22C42"/>
    <w:rsid w:val="00D338E0"/>
    <w:rsid w:val="00D40807"/>
    <w:rsid w:val="00D65041"/>
    <w:rsid w:val="00D8774A"/>
    <w:rsid w:val="00DA69BE"/>
    <w:rsid w:val="00DB384B"/>
    <w:rsid w:val="00DD1694"/>
    <w:rsid w:val="00DF3150"/>
    <w:rsid w:val="00E10E80"/>
    <w:rsid w:val="00E124F0"/>
    <w:rsid w:val="00E25F09"/>
    <w:rsid w:val="00E60F04"/>
    <w:rsid w:val="00E854E4"/>
    <w:rsid w:val="00EA2120"/>
    <w:rsid w:val="00EA2479"/>
    <w:rsid w:val="00EB0D6F"/>
    <w:rsid w:val="00EB2232"/>
    <w:rsid w:val="00EC5337"/>
    <w:rsid w:val="00EE1F42"/>
    <w:rsid w:val="00F121C6"/>
    <w:rsid w:val="00F2150A"/>
    <w:rsid w:val="00F231D8"/>
    <w:rsid w:val="00F46C5F"/>
    <w:rsid w:val="00F56668"/>
    <w:rsid w:val="00F71FC1"/>
    <w:rsid w:val="00F76800"/>
    <w:rsid w:val="00F7697B"/>
    <w:rsid w:val="00F84087"/>
    <w:rsid w:val="00F85A7B"/>
    <w:rsid w:val="00F94A63"/>
    <w:rsid w:val="00FA1C28"/>
    <w:rsid w:val="00FB1279"/>
    <w:rsid w:val="00FB7596"/>
    <w:rsid w:val="00FC627B"/>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aliases w:val="ACMA 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ACMA Footnote Text Char1"/>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basedOn w:val="Normal"/>
    <w:link w:val="ListParagraphChar"/>
    <w:uiPriority w:val="34"/>
    <w:qFormat/>
    <w:rsid w:val="00225DDD"/>
    <w:pPr>
      <w:tabs>
        <w:tab w:val="clear" w:pos="567"/>
        <w:tab w:val="clear" w:pos="1134"/>
        <w:tab w:val="clear" w:pos="1701"/>
        <w:tab w:val="clear" w:pos="2268"/>
        <w:tab w:val="clear" w:pos="2835"/>
      </w:tabs>
      <w:overflowPunct/>
      <w:autoSpaceDE/>
      <w:autoSpaceDN/>
      <w:adjustRightInd/>
      <w:spacing w:before="0" w:after="200" w:line="276" w:lineRule="auto"/>
      <w:ind w:left="720"/>
      <w:contextualSpacing/>
      <w:jc w:val="both"/>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basedOn w:val="DefaultParagraphFont"/>
    <w:link w:val="ListParagraph"/>
    <w:uiPriority w:val="34"/>
    <w:rsid w:val="00225DDD"/>
    <w:rPr>
      <w:rFonts w:asciiTheme="minorHAnsi" w:eastAsiaTheme="minorEastAsia" w:hAnsiTheme="minorHAnsi" w:cstheme="minorBidi"/>
      <w:sz w:val="22"/>
      <w:szCs w:val="22"/>
    </w:rPr>
  </w:style>
  <w:style w:type="character" w:customStyle="1" w:styleId="FootnoteTextChar1">
    <w:name w:val="Footnote Text Char1"/>
    <w:aliases w:val="ACMA Footnote Text Char"/>
    <w:basedOn w:val="DefaultParagraphFont"/>
    <w:uiPriority w:val="99"/>
    <w:semiHidden/>
    <w:rsid w:val="00C94C95"/>
    <w:rPr>
      <w:rFonts w:ascii="Times New Roman" w:eastAsia="Times New Roman" w:hAnsi="Times New Roman" w:cs="Times New Roman"/>
      <w:sz w:val="24"/>
      <w:szCs w:val="20"/>
      <w:lang w:val="en-GB" w:eastAsia="en-US"/>
    </w:rPr>
  </w:style>
  <w:style w:type="paragraph" w:customStyle="1" w:styleId="paragraph">
    <w:name w:val="paragraph"/>
    <w:basedOn w:val="Normal"/>
    <w:rsid w:val="00F7697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ja-JP"/>
    </w:rPr>
  </w:style>
  <w:style w:type="paragraph" w:styleId="CommentText">
    <w:name w:val="annotation text"/>
    <w:basedOn w:val="Normal"/>
    <w:link w:val="CommentTextChar"/>
    <w:uiPriority w:val="99"/>
    <w:rsid w:val="0048340D"/>
    <w:pPr>
      <w:tabs>
        <w:tab w:val="clear" w:pos="567"/>
        <w:tab w:val="clear" w:pos="1134"/>
        <w:tab w:val="clear" w:pos="1701"/>
        <w:tab w:val="clear" w:pos="2268"/>
        <w:tab w:val="clear" w:pos="2835"/>
      </w:tabs>
      <w:overflowPunct/>
      <w:autoSpaceDE/>
      <w:autoSpaceDN/>
      <w:adjustRightInd/>
      <w:spacing w:before="0"/>
      <w:textAlignment w:val="auto"/>
    </w:pPr>
    <w:rPr>
      <w:rFonts w:ascii="Arial" w:eastAsia="Batang" w:hAnsi="Arial"/>
      <w:sz w:val="20"/>
    </w:rPr>
  </w:style>
  <w:style w:type="character" w:customStyle="1" w:styleId="CommentTextChar">
    <w:name w:val="Comment Text Char"/>
    <w:basedOn w:val="DefaultParagraphFont"/>
    <w:link w:val="CommentText"/>
    <w:uiPriority w:val="99"/>
    <w:rsid w:val="0048340D"/>
    <w:rPr>
      <w:rFonts w:ascii="Arial" w:eastAsia="Batang"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1-CL-INF-0012/en" TargetMode="External"/><Relationship Id="rId18" Type="http://schemas.openxmlformats.org/officeDocument/2006/relationships/hyperlink" Target="https://www.itu.int/en/ITU-T/ssc/united/Pages/default.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S21-CL-C-0049/en" TargetMode="External"/><Relationship Id="rId17" Type="http://schemas.openxmlformats.org/officeDocument/2006/relationships/hyperlink" Target="https://www.itu.int/md/S20-CL-C-0014/en" TargetMode="External"/><Relationship Id="rId2" Type="http://schemas.openxmlformats.org/officeDocument/2006/relationships/customXml" Target="../customXml/item2.xml"/><Relationship Id="rId16" Type="http://schemas.openxmlformats.org/officeDocument/2006/relationships/hyperlink" Target="https://www.itu.int/en/council/2020/Documents/007/007R1e-Complete-updated-Risk-Register.pdf" TargetMode="External"/><Relationship Id="rId20" Type="http://schemas.openxmlformats.org/officeDocument/2006/relationships/hyperlink" Target="https://www.itu.int/md/S21-CL-C-007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1-CWGFHR12-C-0003/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net4/itu-t/nn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C-0053/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0E0B8F8A61BC45AE3DDF53674B50FA" ma:contentTypeVersion="2" ma:contentTypeDescription="Create a new document." ma:contentTypeScope="" ma:versionID="7f53629bfab506d3b291dd70fd207efc">
  <xsd:schema xmlns:xsd="http://www.w3.org/2001/XMLSchema" xmlns:xs="http://www.w3.org/2001/XMLSchema" xmlns:p="http://schemas.microsoft.com/office/2006/metadata/properties" xmlns:ns2="f413e73c-0d45-446a-a106-728708596ba9" targetNamespace="http://schemas.microsoft.com/office/2006/metadata/properties" ma:root="true" ma:fieldsID="de58a5e8b24d6c34caa9dd3905b617a8" ns2:_="">
    <xsd:import namespace="f413e73c-0d45-446a-a106-728708596ba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customXml/itemProps2.xml><?xml version="1.0" encoding="utf-8"?>
<ds:datastoreItem xmlns:ds="http://schemas.openxmlformats.org/officeDocument/2006/customXml" ds:itemID="{C0D00870-C557-46E7-8319-99638D058B1A}">
  <ds:schemaRefs>
    <ds:schemaRef ds:uri="http://schemas.microsoft.com/sharepoint/v3/contenttype/forms"/>
  </ds:schemaRefs>
</ds:datastoreItem>
</file>

<file path=customXml/itemProps3.xml><?xml version="1.0" encoding="utf-8"?>
<ds:datastoreItem xmlns:ds="http://schemas.openxmlformats.org/officeDocument/2006/customXml" ds:itemID="{DCC1C612-6092-42B7-8040-191C61C5AEC1}">
  <ds:schemaRefs>
    <ds:schemaRef ds:uri="http://schemas.openxmlformats.org/package/2006/metadata/core-properties"/>
    <ds:schemaRef ds:uri="http://www.w3.org/XML/1998/namespace"/>
    <ds:schemaRef ds:uri="http://purl.org/dc/elements/1.1/"/>
    <ds:schemaRef ds:uri="f413e73c-0d45-446a-a106-728708596ba9"/>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7CFDA4CC-FEE5-40E6-8EB8-1DE55D9B0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4889</Words>
  <Characters>28715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Additional information on the unfunded mandatory activities (UMACs)</vt:lpstr>
    </vt:vector>
  </TitlesOfParts>
  <Manager>General Secretariat - Pool</Manager>
  <Company>International Telecommunication Union (ITU)</Company>
  <LinksUpToDate>false</LinksUpToDate>
  <CharactersWithSpaces>33537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information on the unfunded mandatory activities (UMACs)</dc:title>
  <dc:subject>Council 2021, Virtual consultation of councillors</dc:subject>
  <dc:creator>Brouard, Ricarda</dc:creator>
  <cp:keywords>C2021, C21, VCC, C21-VCC-1</cp:keywords>
  <dc:description/>
  <cp:lastModifiedBy>Brouard, Ricarda</cp:lastModifiedBy>
  <cp:revision>3</cp:revision>
  <cp:lastPrinted>2000-07-18T13:30:00Z</cp:lastPrinted>
  <dcterms:created xsi:type="dcterms:W3CDTF">2021-04-23T06:46:00Z</dcterms:created>
  <dcterms:modified xsi:type="dcterms:W3CDTF">2021-04-23T07:26:00Z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0x0101007A0E0B8F8A61BC45AE3DDF53674B50FA</vt:lpwstr>
  </property>
</Properties>
</file>