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9361076" w14:textId="77777777" w:rsidTr="009F66A3">
        <w:trPr>
          <w:cantSplit/>
          <w:trHeight w:val="1276"/>
        </w:trPr>
        <w:tc>
          <w:tcPr>
            <w:tcW w:w="6911" w:type="dxa"/>
          </w:tcPr>
          <w:p w14:paraId="5EE71C71" w14:textId="3970E49B" w:rsidR="002A2188" w:rsidRPr="00813E5E" w:rsidRDefault="00D403B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235D10">
              <w:rPr>
                <w:b/>
                <w:bCs/>
                <w:position w:val="6"/>
                <w:sz w:val="30"/>
                <w:szCs w:val="30"/>
              </w:rPr>
              <w:t>Council</w:t>
            </w:r>
            <w:r w:rsidRPr="00235D10">
              <w:rPr>
                <w:b/>
                <w:bCs/>
                <w:position w:val="6"/>
                <w:sz w:val="30"/>
                <w:szCs w:val="30"/>
              </w:rPr>
              <w:br/>
            </w:r>
            <w:r w:rsidR="00CA03CD" w:rsidRPr="00235D10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CA03CD" w:rsidRPr="00E2586F">
              <w:rPr>
                <w:b/>
                <w:bCs/>
                <w:position w:val="6"/>
                <w:sz w:val="28"/>
                <w:szCs w:val="28"/>
              </w:rPr>
              <w:t>, 8-18 June</w:t>
            </w:r>
            <w:r w:rsidR="00CA03CD" w:rsidRPr="00235D10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633AFE2E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0213DF0" wp14:editId="3651E5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0664A99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227255" w14:textId="77777777" w:rsidR="002A2188" w:rsidRPr="00813E5E" w:rsidRDefault="002A2188" w:rsidP="00235D1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88FD31" w14:textId="77777777" w:rsidR="002A2188" w:rsidRPr="00813E5E" w:rsidRDefault="002A2188" w:rsidP="00235D10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F36DAD9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48848E" w14:textId="77777777" w:rsidR="002A2188" w:rsidRPr="00813E5E" w:rsidRDefault="002A2188" w:rsidP="00235D1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122589" w14:textId="77777777" w:rsidR="002A2188" w:rsidRPr="00813E5E" w:rsidRDefault="002A2188" w:rsidP="00235D10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4B6AF7" w14:paraId="2827AEF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676AE1F" w14:textId="77777777" w:rsidR="002A2188" w:rsidRPr="00E85629" w:rsidRDefault="002A2188" w:rsidP="00235D1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32029555" w14:textId="3BF2D9C9" w:rsidR="002A2188" w:rsidRPr="005E19DB" w:rsidRDefault="009F66A3" w:rsidP="00235D10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r w:rsidRPr="005E19DB">
              <w:rPr>
                <w:b/>
                <w:lang w:val="fr-CH"/>
              </w:rPr>
              <w:t>Document C2</w:t>
            </w:r>
            <w:r w:rsidR="00D403B2">
              <w:rPr>
                <w:b/>
                <w:lang w:val="fr-CH"/>
              </w:rPr>
              <w:t>1</w:t>
            </w:r>
            <w:r w:rsidR="002A2188" w:rsidRPr="005E19DB">
              <w:rPr>
                <w:b/>
                <w:lang w:val="fr-CH"/>
              </w:rPr>
              <w:t>/</w:t>
            </w:r>
            <w:r w:rsidR="00587B4F">
              <w:rPr>
                <w:b/>
                <w:lang w:val="fr-CH"/>
              </w:rPr>
              <w:t>INF/</w:t>
            </w:r>
            <w:r w:rsidR="004B6AF7">
              <w:rPr>
                <w:b/>
                <w:lang w:val="fr-CH"/>
              </w:rPr>
              <w:t>1</w:t>
            </w:r>
            <w:r w:rsidR="002A2188" w:rsidRPr="005E19DB">
              <w:rPr>
                <w:b/>
                <w:lang w:val="fr-CH"/>
              </w:rPr>
              <w:t>-E</w:t>
            </w:r>
          </w:p>
        </w:tc>
      </w:tr>
      <w:tr w:rsidR="002A2188" w:rsidRPr="00813E5E" w14:paraId="3142EA79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56F8EA6" w14:textId="77777777" w:rsidR="002A2188" w:rsidRPr="005E19DB" w:rsidRDefault="002A2188" w:rsidP="00235D10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3C03F22" w14:textId="6145CAEB" w:rsidR="002A2188" w:rsidRPr="00E85629" w:rsidRDefault="004B6AF7" w:rsidP="00235D1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February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D403B2">
              <w:rPr>
                <w:b/>
              </w:rPr>
              <w:t>1</w:t>
            </w:r>
          </w:p>
        </w:tc>
      </w:tr>
      <w:tr w:rsidR="002A2188" w:rsidRPr="00813E5E" w14:paraId="1D5C1130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F29E5D1" w14:textId="77777777" w:rsidR="002A2188" w:rsidRPr="00813E5E" w:rsidRDefault="002A2188" w:rsidP="00235D1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562762B" w14:textId="2B0695A3" w:rsidR="002A2188" w:rsidRPr="00E85629" w:rsidRDefault="002A2188" w:rsidP="00235D1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5E19DB">
              <w:rPr>
                <w:b/>
              </w:rPr>
              <w:t xml:space="preserve"> only</w:t>
            </w:r>
          </w:p>
        </w:tc>
      </w:tr>
      <w:tr w:rsidR="002A2188" w:rsidRPr="00813E5E" w14:paraId="19B933F3" w14:textId="77777777" w:rsidTr="00464B6C">
        <w:trPr>
          <w:cantSplit/>
        </w:trPr>
        <w:tc>
          <w:tcPr>
            <w:tcW w:w="10031" w:type="dxa"/>
            <w:gridSpan w:val="2"/>
          </w:tcPr>
          <w:p w14:paraId="700C0F70" w14:textId="4455AE86" w:rsidR="002A2188" w:rsidRPr="00813E5E" w:rsidRDefault="004B6AF7" w:rsidP="00464B6C">
            <w:pPr>
              <w:pStyle w:val="Source"/>
            </w:pPr>
            <w:bookmarkStart w:id="6" w:name="dsource" w:colFirst="0" w:colLast="0"/>
            <w:bookmarkEnd w:id="5"/>
            <w:r w:rsidRPr="004B6AF7">
              <w:t>Report by the Secretary-General</w:t>
            </w:r>
          </w:p>
        </w:tc>
      </w:tr>
      <w:tr w:rsidR="002A2188" w:rsidRPr="00813E5E" w14:paraId="4372EE5A" w14:textId="77777777" w:rsidTr="00464B6C">
        <w:trPr>
          <w:cantSplit/>
        </w:trPr>
        <w:tc>
          <w:tcPr>
            <w:tcW w:w="10031" w:type="dxa"/>
            <w:gridSpan w:val="2"/>
          </w:tcPr>
          <w:p w14:paraId="710AB948" w14:textId="46D171C1" w:rsidR="002A2188" w:rsidRPr="00813E5E" w:rsidRDefault="004B6AF7" w:rsidP="00464B6C">
            <w:pPr>
              <w:pStyle w:val="Title1"/>
            </w:pPr>
            <w:bookmarkStart w:id="7" w:name="dtitle1" w:colFirst="0" w:colLast="0"/>
            <w:bookmarkEnd w:id="6"/>
            <w:r w:rsidRPr="004B6AF7">
              <w:t>TASKS AND FUNCTIONS OF THE DEPUTY SECRETARY-GENERAL</w:t>
            </w:r>
          </w:p>
        </w:tc>
      </w:tr>
      <w:bookmarkEnd w:id="7"/>
    </w:tbl>
    <w:p w14:paraId="2B2EBB74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55E30F95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12EE" w14:textId="77777777" w:rsidR="002A2188" w:rsidRPr="007E178F" w:rsidRDefault="002A2188" w:rsidP="00464B6C">
            <w:pPr>
              <w:pStyle w:val="Headingb"/>
              <w:rPr>
                <w:szCs w:val="24"/>
              </w:rPr>
            </w:pPr>
            <w:r w:rsidRPr="007E178F">
              <w:rPr>
                <w:szCs w:val="24"/>
              </w:rPr>
              <w:t>Summary</w:t>
            </w:r>
          </w:p>
          <w:p w14:paraId="01DF6698" w14:textId="05DB4759" w:rsidR="0014333E" w:rsidRPr="007E178F" w:rsidRDefault="004B6AF7" w:rsidP="007E178F">
            <w:pPr>
              <w:jc w:val="both"/>
              <w:rPr>
                <w:rFonts w:asciiTheme="minorHAnsi" w:hAnsiTheme="minorHAnsi"/>
                <w:szCs w:val="24"/>
              </w:rPr>
            </w:pPr>
            <w:r w:rsidRPr="007E178F">
              <w:rPr>
                <w:szCs w:val="24"/>
              </w:rPr>
              <w:t>This is a report on the implementation of Resolution 148 (Antalya, 2006) of the Plenipotentiary Conference.</w:t>
            </w:r>
            <w:r w:rsidR="0014333E" w:rsidRPr="007E178F">
              <w:rPr>
                <w:szCs w:val="24"/>
              </w:rPr>
              <w:t xml:space="preserve"> </w:t>
            </w:r>
            <w:r w:rsidR="0014333E" w:rsidRPr="007E178F">
              <w:rPr>
                <w:rFonts w:asciiTheme="minorHAnsi" w:hAnsiTheme="minorHAnsi"/>
                <w:caps/>
                <w:szCs w:val="24"/>
              </w:rPr>
              <w:t>I</w:t>
            </w:r>
            <w:r w:rsidR="0014333E" w:rsidRPr="007E178F">
              <w:rPr>
                <w:rFonts w:asciiTheme="minorHAnsi" w:hAnsiTheme="minorHAnsi"/>
                <w:szCs w:val="24"/>
              </w:rPr>
              <w:t>t contains changes to the directives issued on the tasks delegated to the Deputy Secretary-General pursuant to Resolution 148 (Antalya, 2006) since March 2015.</w:t>
            </w:r>
          </w:p>
          <w:p w14:paraId="5A1A30F3" w14:textId="1975980A" w:rsidR="002A2111" w:rsidRPr="007E178F" w:rsidRDefault="002A2111" w:rsidP="007E178F">
            <w:pPr>
              <w:jc w:val="both"/>
              <w:rPr>
                <w:szCs w:val="24"/>
              </w:rPr>
            </w:pPr>
            <w:r w:rsidRPr="007E178F">
              <w:rPr>
                <w:szCs w:val="24"/>
                <w:lang w:val="en-US"/>
              </w:rPr>
              <w:t>This document was originally prepared as C20/INF/19 for submission to the 2020 session of the Council</w:t>
            </w:r>
            <w:r w:rsidR="0014333E" w:rsidRPr="007E178F">
              <w:rPr>
                <w:szCs w:val="24"/>
                <w:lang w:val="en-US"/>
              </w:rPr>
              <w:t xml:space="preserve">, but it was not </w:t>
            </w:r>
            <w:r w:rsidR="00C314B7">
              <w:rPr>
                <w:szCs w:val="24"/>
                <w:lang w:val="en-US"/>
              </w:rPr>
              <w:t>included in the agenda that was circulated to Council Member States</w:t>
            </w:r>
            <w:r w:rsidR="0014333E" w:rsidRPr="007E178F">
              <w:rPr>
                <w:szCs w:val="24"/>
                <w:lang w:val="en-US"/>
              </w:rPr>
              <w:t>.</w:t>
            </w:r>
            <w:r w:rsidRPr="007E178F">
              <w:rPr>
                <w:szCs w:val="24"/>
                <w:lang w:val="en-US"/>
              </w:rPr>
              <w:t xml:space="preserve"> </w:t>
            </w:r>
          </w:p>
          <w:p w14:paraId="4ED5D40B" w14:textId="0C1EBF3F" w:rsidR="002A2188" w:rsidRDefault="002A2188" w:rsidP="00464B6C">
            <w:pPr>
              <w:pStyle w:val="Headingb"/>
              <w:rPr>
                <w:szCs w:val="24"/>
              </w:rPr>
            </w:pPr>
            <w:r w:rsidRPr="007E178F">
              <w:rPr>
                <w:szCs w:val="24"/>
              </w:rPr>
              <w:t>Action required</w:t>
            </w:r>
          </w:p>
          <w:p w14:paraId="129B857E" w14:textId="3C6BB6CE" w:rsidR="007E178F" w:rsidRPr="007E178F" w:rsidRDefault="007E178F" w:rsidP="007E178F">
            <w:pPr>
              <w:spacing w:after="120"/>
            </w:pPr>
            <w:r w:rsidRPr="00A160E3">
              <w:rPr>
                <w:rFonts w:asciiTheme="minorHAnsi" w:hAnsiTheme="minorHAnsi"/>
                <w:szCs w:val="24"/>
              </w:rPr>
              <w:t xml:space="preserve">This report is transmitted to </w:t>
            </w:r>
            <w:r>
              <w:rPr>
                <w:rFonts w:asciiTheme="minorHAnsi" w:hAnsiTheme="minorHAnsi"/>
                <w:szCs w:val="24"/>
              </w:rPr>
              <w:t xml:space="preserve">the </w:t>
            </w:r>
            <w:r w:rsidRPr="00A160E3">
              <w:rPr>
                <w:rFonts w:asciiTheme="minorHAnsi" w:hAnsiTheme="minorHAnsi"/>
                <w:szCs w:val="24"/>
              </w:rPr>
              <w:t xml:space="preserve">Council </w:t>
            </w:r>
            <w:r w:rsidRPr="00D403B2">
              <w:rPr>
                <w:rFonts w:asciiTheme="minorHAnsi" w:hAnsiTheme="minorHAnsi"/>
                <w:b/>
                <w:bCs/>
                <w:szCs w:val="24"/>
              </w:rPr>
              <w:t>for information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14:paraId="08EE552C" w14:textId="4B388095" w:rsidR="002A2188" w:rsidRPr="007E178F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</w:rPr>
            </w:pPr>
            <w:r w:rsidRPr="007E178F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3A462E8F" w14:textId="77777777" w:rsidR="002A2188" w:rsidRPr="007E178F" w:rsidRDefault="002A2188" w:rsidP="00464B6C">
            <w:pPr>
              <w:pStyle w:val="Headingb"/>
              <w:rPr>
                <w:szCs w:val="24"/>
              </w:rPr>
            </w:pPr>
            <w:r w:rsidRPr="007E178F">
              <w:rPr>
                <w:szCs w:val="24"/>
              </w:rPr>
              <w:t>References</w:t>
            </w:r>
          </w:p>
          <w:p w14:paraId="6F7E2875" w14:textId="7D8FD5B2" w:rsidR="002A2188" w:rsidRPr="00813E5E" w:rsidRDefault="00714EB1" w:rsidP="004B6AF7">
            <w:pPr>
              <w:spacing w:after="120"/>
              <w:rPr>
                <w:i/>
                <w:iCs/>
              </w:rPr>
            </w:pPr>
            <w:hyperlink r:id="rId9" w:history="1">
              <w:r w:rsidR="004B6AF7" w:rsidRPr="007E178F">
                <w:rPr>
                  <w:rStyle w:val="Hyperlink"/>
                  <w:i/>
                  <w:iCs/>
                  <w:szCs w:val="24"/>
                </w:rPr>
                <w:t>Resolution 148 (Antalya, 2006)</w:t>
              </w:r>
            </w:hyperlink>
            <w:r w:rsidR="002A2111" w:rsidRPr="007E178F">
              <w:rPr>
                <w:rStyle w:val="Hyperlink"/>
                <w:i/>
                <w:iCs/>
                <w:color w:val="auto"/>
                <w:szCs w:val="24"/>
                <w:u w:val="none"/>
              </w:rPr>
              <w:t xml:space="preserve">; </w:t>
            </w:r>
            <w:hyperlink r:id="rId10" w:history="1">
              <w:r w:rsidR="002A2111" w:rsidRPr="007E178F">
                <w:rPr>
                  <w:rStyle w:val="Hyperlink"/>
                  <w:i/>
                  <w:iCs/>
                  <w:szCs w:val="24"/>
                </w:rPr>
                <w:t>C20/INF/19</w:t>
              </w:r>
            </w:hyperlink>
          </w:p>
        </w:tc>
      </w:tr>
    </w:tbl>
    <w:p w14:paraId="7D7245AD" w14:textId="5049FA59" w:rsidR="004B6AF7" w:rsidRDefault="004B6AF7" w:rsidP="004B6AF7">
      <w:pPr>
        <w:spacing w:before="600"/>
        <w:jc w:val="both"/>
      </w:pPr>
      <w:bookmarkStart w:id="8" w:name="dstart"/>
      <w:bookmarkStart w:id="9" w:name="dbreak"/>
      <w:bookmarkEnd w:id="8"/>
      <w:bookmarkEnd w:id="9"/>
      <w:r>
        <w:t>1</w:t>
      </w:r>
      <w:r>
        <w:tab/>
        <w:t>I</w:t>
      </w:r>
      <w:r w:rsidRPr="00A92AA3">
        <w:t>n accordance with Nos</w:t>
      </w:r>
      <w:r>
        <w:t> </w:t>
      </w:r>
      <w:r w:rsidRPr="00A92AA3">
        <w:t xml:space="preserve">77 of the Constitution and 84 of the Convention of the Union, and pursuant to </w:t>
      </w:r>
      <w:r>
        <w:t>R</w:t>
      </w:r>
      <w:r w:rsidRPr="00A92AA3">
        <w:t xml:space="preserve">esolution </w:t>
      </w:r>
      <w:r>
        <w:t>148</w:t>
      </w:r>
      <w:r w:rsidRPr="00A92AA3">
        <w:t xml:space="preserve"> (Antalya, 2006) of the Plenipotentiary Conference on the tasks and functions of the Deputy Secretary-General, a full and entire delegation of authority </w:t>
      </w:r>
      <w:r>
        <w:t xml:space="preserve">has been granted </w:t>
      </w:r>
      <w:r w:rsidRPr="00A92AA3">
        <w:t xml:space="preserve">to the Deputy Secretary-General for all matters concerning the activities of the Conferences </w:t>
      </w:r>
      <w:r>
        <w:t xml:space="preserve">and Publications, </w:t>
      </w:r>
      <w:r w:rsidRPr="00A92AA3">
        <w:t>I</w:t>
      </w:r>
      <w:r>
        <w:t>nformation Services and Strategic Planning and Membership Departments and the Facilities Management and Building Project Division:</w:t>
      </w:r>
      <w:r w:rsidRPr="001D370C">
        <w:t xml:space="preserve"> </w:t>
      </w:r>
      <w:r>
        <w:t>the establishment and implementation of the plans and programmes of related activities, the preparation of cost-based budget estimates, and the preparation and presentation of reports on activities of these Departments and Division, including those to be submitted to the Council.</w:t>
      </w:r>
    </w:p>
    <w:p w14:paraId="23E80B64" w14:textId="77777777" w:rsidR="004B6AF7" w:rsidRDefault="004B6AF7" w:rsidP="004B6AF7">
      <w:pPr>
        <w:jc w:val="both"/>
      </w:pPr>
      <w:r>
        <w:t>2</w:t>
      </w:r>
      <w:r>
        <w:tab/>
        <w:t>Other Departments of the General Secretariat remain under the authority of the Secretary-General.</w:t>
      </w:r>
    </w:p>
    <w:p w14:paraId="1809B374" w14:textId="77777777" w:rsidR="004B6AF7" w:rsidRDefault="004B6AF7" w:rsidP="004B6AF7">
      <w:pPr>
        <w:jc w:val="both"/>
      </w:pPr>
      <w:r>
        <w:t>3</w:t>
      </w:r>
      <w:r>
        <w:tab/>
        <w:t xml:space="preserve">The Deputy Secretary-General shall, in particular, be solely responsible for: </w:t>
      </w:r>
    </w:p>
    <w:p w14:paraId="47361E7D" w14:textId="4C55A95A" w:rsidR="004B6AF7" w:rsidRDefault="004B6AF7" w:rsidP="004B6AF7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588"/>
          <w:tab w:val="left" w:pos="1985"/>
        </w:tabs>
        <w:overflowPunct/>
        <w:autoSpaceDE/>
        <w:autoSpaceDN/>
        <w:adjustRightInd/>
        <w:ind w:left="426" w:firstLine="0"/>
        <w:jc w:val="both"/>
        <w:textAlignment w:val="auto"/>
      </w:pPr>
      <w:r w:rsidRPr="00D55681">
        <w:lastRenderedPageBreak/>
        <w:t xml:space="preserve">the </w:t>
      </w:r>
      <w:r>
        <w:t xml:space="preserve">chairmanship of internal </w:t>
      </w:r>
      <w:r w:rsidRPr="00D55681">
        <w:t xml:space="preserve">intersectoral </w:t>
      </w:r>
      <w:r>
        <w:t>task forces and groups</w:t>
      </w:r>
      <w:r w:rsidRPr="00D55681">
        <w:t xml:space="preserve"> </w:t>
      </w:r>
      <w:r>
        <w:t xml:space="preserve">for </w:t>
      </w:r>
      <w:proofErr w:type="gramStart"/>
      <w:r>
        <w:t>coordination;</w:t>
      </w:r>
      <w:proofErr w:type="gramEnd"/>
    </w:p>
    <w:p w14:paraId="023C87D7" w14:textId="77777777" w:rsidR="004B6AF7" w:rsidRDefault="004B6AF7" w:rsidP="004B6AF7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588"/>
          <w:tab w:val="left" w:pos="1985"/>
        </w:tabs>
        <w:overflowPunct/>
        <w:autoSpaceDE/>
        <w:autoSpaceDN/>
        <w:adjustRightInd/>
        <w:ind w:left="426" w:firstLine="0"/>
        <w:jc w:val="both"/>
        <w:textAlignment w:val="auto"/>
      </w:pPr>
      <w:r>
        <w:t xml:space="preserve">implementation of efficiency measures including </w:t>
      </w:r>
      <w:proofErr w:type="gramStart"/>
      <w:r>
        <w:t>digitisation;</w:t>
      </w:r>
      <w:proofErr w:type="gramEnd"/>
    </w:p>
    <w:p w14:paraId="67340231" w14:textId="77777777" w:rsidR="004B6AF7" w:rsidRDefault="004B6AF7" w:rsidP="004B6AF7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588"/>
          <w:tab w:val="left" w:pos="1985"/>
        </w:tabs>
        <w:overflowPunct/>
        <w:autoSpaceDE/>
        <w:autoSpaceDN/>
        <w:adjustRightInd/>
        <w:ind w:left="426" w:firstLine="0"/>
        <w:jc w:val="both"/>
        <w:textAlignment w:val="auto"/>
      </w:pPr>
      <w:r>
        <w:t xml:space="preserve">the approval of requests for internship, within the internship policy in </w:t>
      </w:r>
      <w:proofErr w:type="gramStart"/>
      <w:r>
        <w:t>force;</w:t>
      </w:r>
      <w:proofErr w:type="gramEnd"/>
    </w:p>
    <w:p w14:paraId="51450FC2" w14:textId="77777777" w:rsidR="004B6AF7" w:rsidRDefault="004B6AF7" w:rsidP="004B6AF7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588"/>
          <w:tab w:val="left" w:pos="1985"/>
        </w:tabs>
        <w:overflowPunct/>
        <w:autoSpaceDE/>
        <w:autoSpaceDN/>
        <w:adjustRightInd/>
        <w:ind w:left="426" w:firstLine="0"/>
        <w:jc w:val="both"/>
        <w:textAlignment w:val="auto"/>
      </w:pPr>
      <w:r>
        <w:t xml:space="preserve">the approval of staff </w:t>
      </w:r>
      <w:proofErr w:type="gramStart"/>
      <w:r>
        <w:t>request</w:t>
      </w:r>
      <w:proofErr w:type="gramEnd"/>
      <w:r>
        <w:t xml:space="preserve"> for temporary recruitment for a period of less than six months;</w:t>
      </w:r>
    </w:p>
    <w:p w14:paraId="617A5CEB" w14:textId="77777777" w:rsidR="004B6AF7" w:rsidRDefault="004B6AF7" w:rsidP="004B6AF7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588"/>
          <w:tab w:val="left" w:pos="1985"/>
        </w:tabs>
        <w:overflowPunct/>
        <w:autoSpaceDE/>
        <w:autoSpaceDN/>
        <w:adjustRightInd/>
        <w:ind w:left="993" w:hanging="567"/>
        <w:jc w:val="both"/>
        <w:textAlignment w:val="auto"/>
      </w:pPr>
      <w:r>
        <w:t xml:space="preserve">the final approval of personal appraisal reports for staff members G1 to G7 and P1 to P4 </w:t>
      </w:r>
      <w:proofErr w:type="gramStart"/>
      <w:r>
        <w:t>included;</w:t>
      </w:r>
      <w:proofErr w:type="gramEnd"/>
      <w:r>
        <w:t xml:space="preserve"> and</w:t>
      </w:r>
    </w:p>
    <w:p w14:paraId="20E9F3F9" w14:textId="77777777" w:rsidR="004B6AF7" w:rsidRDefault="004B6AF7" w:rsidP="004B6AF7">
      <w:pPr>
        <w:jc w:val="both"/>
      </w:pPr>
      <w:r>
        <w:t>4</w:t>
      </w:r>
      <w:r>
        <w:tab/>
        <w:t>The Deputy Secretary-General shall perform the duties of the Secretary-General in the absence of the latter, as stipulated in No. 77 of the Constitution.</w:t>
      </w:r>
    </w:p>
    <w:p w14:paraId="725D17A0" w14:textId="5BEE6082" w:rsidR="00D338E0" w:rsidRPr="004B6AF7" w:rsidRDefault="004B6AF7" w:rsidP="004B6AF7">
      <w:pPr>
        <w:spacing w:before="840"/>
        <w:jc w:val="center"/>
        <w:rPr>
          <w:u w:val="single"/>
        </w:rPr>
      </w:pPr>
      <w:r>
        <w:rPr>
          <w:u w:val="single"/>
        </w:rPr>
        <w:t>______________________</w:t>
      </w:r>
    </w:p>
    <w:sectPr w:rsidR="00D338E0" w:rsidRPr="004B6AF7" w:rsidSect="004D1851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A4880" w14:textId="77777777" w:rsidR="00793188" w:rsidRDefault="00793188">
      <w:r>
        <w:separator/>
      </w:r>
    </w:p>
  </w:endnote>
  <w:endnote w:type="continuationSeparator" w:id="0">
    <w:p w14:paraId="0C422D47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1E76" w14:textId="2E970CEC" w:rsidR="00322D0D" w:rsidRDefault="00322D0D" w:rsidP="00A95C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7DD8C" w14:textId="77777777" w:rsidR="00793188" w:rsidRDefault="00793188">
      <w:r>
        <w:t>____________________</w:t>
      </w:r>
    </w:p>
  </w:footnote>
  <w:footnote w:type="continuationSeparator" w:id="0">
    <w:p w14:paraId="3BD4ED71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3BEA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0F4E7486" w14:textId="09CDA51A" w:rsidR="00322D0D" w:rsidRPr="00623AE3" w:rsidRDefault="00D338E0" w:rsidP="00D338E0">
    <w:pPr>
      <w:pStyle w:val="Header"/>
      <w:rPr>
        <w:bCs/>
      </w:rPr>
    </w:pPr>
    <w:r>
      <w:rPr>
        <w:bCs/>
      </w:rPr>
      <w:t>C2</w:t>
    </w:r>
    <w:r w:rsidR="00D403B2">
      <w:rPr>
        <w:bCs/>
      </w:rPr>
      <w:t>1</w:t>
    </w:r>
    <w:r w:rsidR="00623AE3" w:rsidRPr="00623AE3">
      <w:rPr>
        <w:bCs/>
      </w:rPr>
      <w:t>/</w:t>
    </w:r>
    <w:r w:rsidR="00A95CBB">
      <w:rPr>
        <w:bCs/>
      </w:rPr>
      <w:t>INF/</w:t>
    </w:r>
    <w:r w:rsidR="004B6AF7">
      <w:rPr>
        <w:bCs/>
      </w:rPr>
      <w:t>1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3C0DB2"/>
    <w:multiLevelType w:val="hybridMultilevel"/>
    <w:tmpl w:val="80606620"/>
    <w:lvl w:ilvl="0" w:tplc="883CC60E"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220EA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333E"/>
    <w:rsid w:val="0017539C"/>
    <w:rsid w:val="00175AC2"/>
    <w:rsid w:val="0017609F"/>
    <w:rsid w:val="001C628E"/>
    <w:rsid w:val="001E0F7B"/>
    <w:rsid w:val="002119FD"/>
    <w:rsid w:val="002130E0"/>
    <w:rsid w:val="00235D10"/>
    <w:rsid w:val="00264425"/>
    <w:rsid w:val="00265875"/>
    <w:rsid w:val="0027303B"/>
    <w:rsid w:val="0028109B"/>
    <w:rsid w:val="002A2111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B6AF7"/>
    <w:rsid w:val="004D1851"/>
    <w:rsid w:val="004D599D"/>
    <w:rsid w:val="004E2EA5"/>
    <w:rsid w:val="004E3AEB"/>
    <w:rsid w:val="0050223C"/>
    <w:rsid w:val="005243FF"/>
    <w:rsid w:val="00564FBC"/>
    <w:rsid w:val="00582442"/>
    <w:rsid w:val="00587B4F"/>
    <w:rsid w:val="005E19DB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14EB1"/>
    <w:rsid w:val="00740FE3"/>
    <w:rsid w:val="0075051B"/>
    <w:rsid w:val="00793188"/>
    <w:rsid w:val="00794D34"/>
    <w:rsid w:val="007E178F"/>
    <w:rsid w:val="00813E5E"/>
    <w:rsid w:val="0083581B"/>
    <w:rsid w:val="00864AFF"/>
    <w:rsid w:val="00872A05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5CBB"/>
    <w:rsid w:val="00AC47C8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90E86"/>
    <w:rsid w:val="00BC251A"/>
    <w:rsid w:val="00BD032B"/>
    <w:rsid w:val="00BE2640"/>
    <w:rsid w:val="00C01189"/>
    <w:rsid w:val="00C314B7"/>
    <w:rsid w:val="00C374DE"/>
    <w:rsid w:val="00C47AD4"/>
    <w:rsid w:val="00C52D81"/>
    <w:rsid w:val="00C55198"/>
    <w:rsid w:val="00CA03CD"/>
    <w:rsid w:val="00CA6393"/>
    <w:rsid w:val="00CB18FF"/>
    <w:rsid w:val="00CD0C08"/>
    <w:rsid w:val="00CE03FB"/>
    <w:rsid w:val="00CE433C"/>
    <w:rsid w:val="00CF33F3"/>
    <w:rsid w:val="00D06183"/>
    <w:rsid w:val="00D22C42"/>
    <w:rsid w:val="00D338E0"/>
    <w:rsid w:val="00D403B2"/>
    <w:rsid w:val="00D65041"/>
    <w:rsid w:val="00DB384B"/>
    <w:rsid w:val="00DE6E1E"/>
    <w:rsid w:val="00E10E80"/>
    <w:rsid w:val="00E124F0"/>
    <w:rsid w:val="00E2586F"/>
    <w:rsid w:val="00E3085F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41291E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2A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20-CL-INF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8-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E06A-E19B-4B0F-BF67-B3B4C926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354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</vt:lpstr>
    </vt:vector>
  </TitlesOfParts>
  <Manager>General Secretariat - Pool</Manager>
  <Company>International Telecommunication Union (ITU)</Company>
  <LinksUpToDate>false</LinksUpToDate>
  <CharactersWithSpaces>2551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</dc:title>
  <dc:subject>Council 2021, Virtual consultation of councillors</dc:subject>
  <dc:creator>Brouard, Ricarda</dc:creator>
  <cp:keywords>C2021, C21, VCC</cp:keywords>
  <dc:description/>
  <cp:lastModifiedBy>Patricia Janin</cp:lastModifiedBy>
  <cp:revision>5</cp:revision>
  <cp:lastPrinted>2000-07-18T13:30:00Z</cp:lastPrinted>
  <dcterms:created xsi:type="dcterms:W3CDTF">2021-02-19T10:28:00Z</dcterms:created>
  <dcterms:modified xsi:type="dcterms:W3CDTF">2021-03-03T13:23:00Z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