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59CB5E23" w14:textId="77777777">
        <w:trPr>
          <w:cantSplit/>
        </w:trPr>
        <w:tc>
          <w:tcPr>
            <w:tcW w:w="6912" w:type="dxa"/>
          </w:tcPr>
          <w:p w14:paraId="59056FA8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40997286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4665A06E" wp14:editId="43C889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69B3441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9E74E49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78FA2E1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D485D68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C342EF4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C5B44AA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0C808E5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</w:p>
        </w:tc>
        <w:tc>
          <w:tcPr>
            <w:tcW w:w="3261" w:type="dxa"/>
          </w:tcPr>
          <w:p w14:paraId="050A0480" w14:textId="5063AC27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955DA">
              <w:rPr>
                <w:b/>
                <w:bCs/>
                <w:szCs w:val="24"/>
              </w:rPr>
              <w:t>2</w:t>
            </w:r>
            <w:r w:rsidR="000007D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DF2C3C">
              <w:rPr>
                <w:b/>
                <w:bCs/>
                <w:szCs w:val="24"/>
              </w:rPr>
              <w:t>103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6A55BA8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466275F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5E01137E" w14:textId="0C01F4F1" w:rsidR="00093EEB" w:rsidRPr="00093EEB" w:rsidRDefault="00DF2C3C" w:rsidP="00C2727F">
            <w:pPr>
              <w:spacing w:before="0"/>
              <w:rPr>
                <w:b/>
                <w:bCs/>
                <w:szCs w:val="24"/>
              </w:rPr>
            </w:pPr>
            <w:r w:rsidRPr="00DF2C3C">
              <w:rPr>
                <w:b/>
                <w:bCs/>
                <w:szCs w:val="24"/>
              </w:rPr>
              <w:t xml:space="preserve">7 </w:t>
            </w:r>
            <w:r w:rsidR="00A7023E">
              <w:rPr>
                <w:b/>
                <w:bCs/>
                <w:szCs w:val="24"/>
              </w:rPr>
              <w:t xml:space="preserve">de </w:t>
            </w:r>
            <w:r w:rsidRPr="00DF2C3C">
              <w:rPr>
                <w:b/>
                <w:bCs/>
                <w:szCs w:val="24"/>
              </w:rPr>
              <w:t xml:space="preserve">septiembre </w:t>
            </w:r>
            <w:r w:rsidR="00A7023E">
              <w:rPr>
                <w:b/>
                <w:bCs/>
                <w:szCs w:val="24"/>
              </w:rPr>
              <w:t xml:space="preserve">de </w:t>
            </w:r>
            <w:r w:rsidRPr="00DF2C3C">
              <w:rPr>
                <w:b/>
                <w:bCs/>
                <w:szCs w:val="24"/>
              </w:rPr>
              <w:t>2021</w:t>
            </w:r>
          </w:p>
        </w:tc>
      </w:tr>
      <w:tr w:rsidR="00093EEB" w:rsidRPr="000B0D00" w14:paraId="5063015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5E12973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5A001643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4D322B82" w14:textId="77777777">
        <w:trPr>
          <w:cantSplit/>
        </w:trPr>
        <w:tc>
          <w:tcPr>
            <w:tcW w:w="10173" w:type="dxa"/>
            <w:gridSpan w:val="2"/>
          </w:tcPr>
          <w:p w14:paraId="01379A96" w14:textId="4C74C261" w:rsidR="00093EEB" w:rsidRPr="000B0D00" w:rsidRDefault="00DF2C3C">
            <w:pPr>
              <w:pStyle w:val="Source"/>
            </w:pPr>
            <w:bookmarkStart w:id="8" w:name="dsource" w:colFirst="0" w:colLast="0"/>
            <w:bookmarkEnd w:id="1"/>
            <w:bookmarkEnd w:id="7"/>
            <w:r w:rsidRPr="00DF2C3C">
              <w:t>Nota del Secretario General</w:t>
            </w:r>
          </w:p>
        </w:tc>
      </w:tr>
      <w:tr w:rsidR="00093EEB" w:rsidRPr="000B0D00" w14:paraId="7C2D7D37" w14:textId="77777777">
        <w:trPr>
          <w:cantSplit/>
        </w:trPr>
        <w:tc>
          <w:tcPr>
            <w:tcW w:w="10173" w:type="dxa"/>
            <w:gridSpan w:val="2"/>
          </w:tcPr>
          <w:p w14:paraId="18BBEADA" w14:textId="61CAF9D4" w:rsidR="00093EEB" w:rsidRPr="000B0D00" w:rsidRDefault="00DF2C3C">
            <w:pPr>
              <w:pStyle w:val="Title1"/>
            </w:pPr>
            <w:bookmarkStart w:id="9" w:name="dtitle1" w:colFirst="0" w:colLast="0"/>
            <w:bookmarkEnd w:id="8"/>
            <w:r w:rsidRPr="00DF2C3C">
              <w:t>LISTA FINAL DE DOCUMENTOS</w:t>
            </w:r>
          </w:p>
        </w:tc>
      </w:tr>
    </w:tbl>
    <w:bookmarkEnd w:id="9"/>
    <w:p w14:paraId="6513DF2D" w14:textId="1F7A6D1D" w:rsidR="007955DA" w:rsidRPr="00E61DA1" w:rsidRDefault="00DF2C3C" w:rsidP="00DF2C3C">
      <w:pPr>
        <w:pStyle w:val="Normalaftertitle"/>
        <w:spacing w:after="240"/>
        <w:rPr>
          <w:lang w:val="es-ES"/>
        </w:rPr>
      </w:pPr>
      <w:r w:rsidRPr="00E61DA1">
        <w:rPr>
          <w:lang w:val="es-ES"/>
        </w:rPr>
        <w:t xml:space="preserve">En tiempos de la COVID-19, para garantizar la continuidad de las actividades de los órganos rectores de la Unión, se celebró una consulta virtual a los consejeros (C21/VCC-1) para debatir los temas más urgentes para la Unión y sacar propuestas de conclusiones aprobadas por correspondencia para aquellos que requieren una decisión urgente del Consejo. </w:t>
      </w:r>
      <w:r w:rsidR="00E8026B">
        <w:rPr>
          <w:lang w:val="es-ES"/>
        </w:rPr>
        <w:t>Pueden consultarse l</w:t>
      </w:r>
      <w:r w:rsidR="00E61DA1">
        <w:rPr>
          <w:lang w:val="es-ES"/>
        </w:rPr>
        <w:t>os</w:t>
      </w:r>
      <w:r w:rsidRPr="00E61DA1">
        <w:rPr>
          <w:lang w:val="es-ES"/>
        </w:rPr>
        <w:t xml:space="preserve"> resultados de la consulta por correspondencia relativa a los resultados de los debates celebrados durante la consulta virtual a los consejeros de 2021 </w:t>
      </w:r>
      <w:r w:rsidR="00E8026B">
        <w:rPr>
          <w:lang w:val="es-ES"/>
        </w:rPr>
        <w:t>en la carta</w:t>
      </w:r>
      <w:r w:rsidRPr="00E61DA1">
        <w:rPr>
          <w:lang w:val="es-ES"/>
        </w:rPr>
        <w:t xml:space="preserve"> </w:t>
      </w:r>
      <w:hyperlink r:id="rId9" w:history="1">
        <w:r w:rsidRPr="00E61DA1">
          <w:rPr>
            <w:rStyle w:val="Hyperlink"/>
            <w:lang w:val="es-ES"/>
          </w:rPr>
          <w:t>DM-21/1017</w:t>
        </w:r>
      </w:hyperlink>
      <w:r w:rsidRPr="00E61DA1">
        <w:rPr>
          <w:lang w:val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304"/>
        <w:gridCol w:w="7178"/>
      </w:tblGrid>
      <w:tr w:rsidR="00DF2C3C" w:rsidRPr="00DF2C3C" w14:paraId="2F6D35E0" w14:textId="77777777" w:rsidTr="00DF2C3C">
        <w:trPr>
          <w:tblHeader/>
          <w:jc w:val="center"/>
        </w:trPr>
        <w:tc>
          <w:tcPr>
            <w:tcW w:w="1191" w:type="dxa"/>
            <w:shd w:val="pct12" w:color="auto" w:fill="auto"/>
            <w:noWrap/>
          </w:tcPr>
          <w:p w14:paraId="4E9E8815" w14:textId="1B8DC23E" w:rsidR="00DF2C3C" w:rsidRPr="00DF2C3C" w:rsidRDefault="00DF2C3C" w:rsidP="00DF2C3C">
            <w:pPr>
              <w:pStyle w:val="Tablehead"/>
              <w:rPr>
                <w:lang w:val="es-ES" w:eastAsia="zh-CN"/>
              </w:rPr>
            </w:pPr>
            <w:r w:rsidRPr="00DF2C3C">
              <w:rPr>
                <w:lang w:val="es-ES" w:eastAsia="zh-CN"/>
              </w:rPr>
              <w:t xml:space="preserve">Doc. </w:t>
            </w:r>
            <w:r w:rsidR="00E8026B">
              <w:rPr>
                <w:lang w:val="es-ES" w:eastAsia="zh-CN"/>
              </w:rPr>
              <w:t>núm</w:t>
            </w:r>
            <w:r w:rsidRPr="00DF2C3C">
              <w:rPr>
                <w:lang w:val="es-ES" w:eastAsia="zh-CN"/>
              </w:rPr>
              <w:t>.</w:t>
            </w:r>
          </w:p>
        </w:tc>
        <w:tc>
          <w:tcPr>
            <w:tcW w:w="1361" w:type="dxa"/>
            <w:shd w:val="pct12" w:color="auto" w:fill="auto"/>
            <w:noWrap/>
            <w:tcMar>
              <w:left w:w="57" w:type="dxa"/>
              <w:right w:w="57" w:type="dxa"/>
            </w:tcMar>
          </w:tcPr>
          <w:p w14:paraId="32D7679E" w14:textId="00E375B1" w:rsidR="00DF2C3C" w:rsidRPr="00DF2C3C" w:rsidRDefault="00E8026B" w:rsidP="00DF2C3C">
            <w:pPr>
              <w:pStyle w:val="Tablehead"/>
              <w:rPr>
                <w:spacing w:val="-2"/>
                <w:lang w:val="es-ES" w:eastAsia="zh-CN"/>
              </w:rPr>
            </w:pPr>
            <w:r>
              <w:rPr>
                <w:spacing w:val="-2"/>
                <w:lang w:val="es-ES" w:eastAsia="zh-CN"/>
              </w:rPr>
              <w:t>Origen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0CAEF803" w14:textId="40BB34E4" w:rsidR="00DF2C3C" w:rsidRPr="00DF2C3C" w:rsidRDefault="00E8026B" w:rsidP="00DF2C3C">
            <w:pPr>
              <w:pStyle w:val="Tablehead"/>
              <w:jc w:val="left"/>
              <w:rPr>
                <w:lang w:val="es-ES" w:eastAsia="zh-CN"/>
              </w:rPr>
            </w:pPr>
            <w:r>
              <w:rPr>
                <w:lang w:val="es-ES" w:eastAsia="zh-CN"/>
              </w:rPr>
              <w:t>Título</w:t>
            </w:r>
          </w:p>
        </w:tc>
      </w:tr>
      <w:tr w:rsidR="00DF2C3C" w:rsidRPr="00DF2C3C" w14:paraId="7E6F234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BB8A15A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(Rev.1-2)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512BE6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64E8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Proyecto de orden del día de la consulta virtual de los consejeros (C21/CVC-1)</w:t>
            </w:r>
          </w:p>
        </w:tc>
      </w:tr>
      <w:tr w:rsidR="00DF2C3C" w:rsidRPr="00DF2C3C" w14:paraId="256D0F2A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8A90C2D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br/>
            </w:r>
            <w:hyperlink r:id="rId1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C21/DT/7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844C26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FCFB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Fechas y duración propuestas para las reuniones de 2022, 2023, 2024, 2025 y 2026 del Consejo y fechas propuestas para las series de reuniones agrupadas de los Grupos de Trabajo y Grupos de Expertos del Consejo para 2022, 2023 y 2024</w:t>
            </w:r>
          </w:p>
        </w:tc>
      </w:tr>
      <w:tr w:rsidR="00DF2C3C" w:rsidRPr="00DF2C3C" w14:paraId="30137A6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3EB79E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BB05CD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BB9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Resoluciones y Acuerdos obsoletos del Consejo</w:t>
            </w:r>
          </w:p>
        </w:tc>
      </w:tr>
      <w:tr w:rsidR="00DF2C3C" w:rsidRPr="00DF2C3C" w14:paraId="2409065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64A806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(Rev.1)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32CCCD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BB48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Implementación de las Recomendaciones de la PP-18 en relación con los procesos electorales de la UIT</w:t>
            </w:r>
          </w:p>
        </w:tc>
      </w:tr>
      <w:tr w:rsidR="00DF2C3C" w:rsidRPr="00DF2C3C" w14:paraId="024C9A04" w14:textId="77777777" w:rsidTr="00DF2C3C">
        <w:trPr>
          <w:jc w:val="center"/>
        </w:trPr>
        <w:tc>
          <w:tcPr>
            <w:tcW w:w="1191" w:type="dxa"/>
            <w:tcBorders>
              <w:top w:val="nil"/>
            </w:tcBorders>
            <w:shd w:val="clear" w:color="auto" w:fill="auto"/>
            <w:noWrap/>
          </w:tcPr>
          <w:p w14:paraId="09442D84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</w:t>
              </w:r>
            </w:hyperlink>
          </w:p>
        </w:tc>
        <w:tc>
          <w:tcPr>
            <w:tcW w:w="1361" w:type="dxa"/>
            <w:tcBorders>
              <w:top w:val="nil"/>
            </w:tcBorders>
            <w:noWrap/>
            <w:tcMar>
              <w:left w:w="57" w:type="dxa"/>
              <w:right w:w="57" w:type="dxa"/>
            </w:tcMar>
          </w:tcPr>
          <w:p w14:paraId="1792DD7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21FB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Preparatorio para el FMPT-21</w:t>
            </w:r>
          </w:p>
        </w:tc>
      </w:tr>
      <w:tr w:rsidR="00DF2C3C" w:rsidRPr="00DF2C3C" w14:paraId="01C3126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FBD3A6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97789E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1F14D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Actividades de la UIT vinculadas con la Resolución 70 (Rev. Dubái, 2018)</w:t>
            </w:r>
          </w:p>
        </w:tc>
      </w:tr>
      <w:tr w:rsidR="00DF2C3C" w:rsidRPr="00DF2C3C" w14:paraId="1E49F61F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3A4F34C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A167F3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E18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los avances registrados en el proyecto de la sede de la Unión</w:t>
            </w:r>
          </w:p>
        </w:tc>
      </w:tr>
      <w:tr w:rsidR="00DF2C3C" w:rsidRPr="00DF2C3C" w14:paraId="62581904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673B817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06A000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Presidente, GTC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F024D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 xml:space="preserve">Informe sobre los resultados de las actividades del </w:t>
            </w:r>
            <w:proofErr w:type="spellStart"/>
            <w:r w:rsidRPr="00DF2C3C">
              <w:rPr>
                <w:lang w:val="es-ES"/>
              </w:rPr>
              <w:t>GTC-CMSI+ODs</w:t>
            </w:r>
            <w:proofErr w:type="spellEnd"/>
            <w:r w:rsidRPr="00DF2C3C">
              <w:rPr>
                <w:lang w:val="es-ES"/>
              </w:rPr>
              <w:t xml:space="preserve"> desde el Consejo-20</w:t>
            </w:r>
          </w:p>
        </w:tc>
      </w:tr>
      <w:tr w:rsidR="00DF2C3C" w:rsidRPr="00DF2C3C" w14:paraId="580D7DE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8C48E82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1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79C0C2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43B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Examen anual de ingresos y gastos medidas de eficiencia</w:t>
            </w:r>
          </w:p>
        </w:tc>
      </w:tr>
      <w:tr w:rsidR="00DF2C3C" w:rsidRPr="00DF2C3C" w14:paraId="16B3912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8A3948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686E7AC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946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Contratación de un consultor de gestión externo independiente para los eventos ITU Telecom y recomendaciones</w:t>
            </w:r>
          </w:p>
        </w:tc>
      </w:tr>
      <w:tr w:rsidR="00DF2C3C" w:rsidRPr="00DF2C3C" w14:paraId="33779B9A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1D544D1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C21/11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br/>
            </w:r>
            <w:hyperlink r:id="rId2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C21/DT/3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DBDB4C1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3E1D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Atrasos y cuentas especiales de atrasos</w:t>
            </w:r>
          </w:p>
        </w:tc>
      </w:tr>
      <w:tr w:rsidR="00DF2C3C" w:rsidRPr="00DF2C3C" w14:paraId="1AFD676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E993E3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7F45A3C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Presidente, GTC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6879C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del Grupo de Trabajo del Consejo sobre la utilización de los seis idiomas oficiales de la Unión</w:t>
            </w:r>
          </w:p>
        </w:tc>
      </w:tr>
      <w:tr w:rsidR="00DF2C3C" w:rsidRPr="00DF2C3C" w14:paraId="7DEE066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673C9C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311CE5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8ACE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Propuestas de mejora de la Conferencia Plenipotenciarios de la UIT</w:t>
            </w:r>
          </w:p>
        </w:tc>
      </w:tr>
      <w:tr w:rsidR="00DF2C3C" w:rsidRPr="00DF2C3C" w14:paraId="171D7A87" w14:textId="77777777" w:rsidTr="00DF2C3C">
        <w:trPr>
          <w:trHeight w:val="380"/>
          <w:jc w:val="center"/>
        </w:trPr>
        <w:tc>
          <w:tcPr>
            <w:tcW w:w="1191" w:type="dxa"/>
            <w:shd w:val="clear" w:color="auto" w:fill="auto"/>
            <w:noWrap/>
          </w:tcPr>
          <w:p w14:paraId="2F79A512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8BE67CC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E92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Recopilación de los resultados de las consultas virtuales de los Consejeros celebradas en 2020 y des las condiciones alcanzadas por correspondencia</w:t>
            </w:r>
          </w:p>
        </w:tc>
      </w:tr>
      <w:tr w:rsidR="00DF2C3C" w:rsidRPr="00DF2C3C" w14:paraId="27A53A7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0F23C2C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7FB477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68A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Sistema de gestión de la resiliencia institucional (SGRI)</w:t>
            </w:r>
          </w:p>
        </w:tc>
      </w:tr>
      <w:tr w:rsidR="00DF2C3C" w:rsidRPr="00DF2C3C" w14:paraId="1DAB55C7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8BFB2E2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D3E338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DC4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Aplicación de la recuperación de costes a la tramitación de notificaciones de redes de satélites</w:t>
            </w:r>
          </w:p>
        </w:tc>
      </w:tr>
      <w:tr w:rsidR="00DF2C3C" w:rsidRPr="00DF2C3C" w14:paraId="2986C92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1067FCB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1617A0C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D60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Día mundial de las telecomunicaciones y la sociedad de la información</w:t>
            </w:r>
          </w:p>
        </w:tc>
      </w:tr>
      <w:tr w:rsidR="00DF2C3C" w:rsidRPr="00DF2C3C" w14:paraId="11631A0C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2E08147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2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9CC4C4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534A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Actividades de la UIT sobre el fortalecimiento de su papel en la creación de confianza y seguridad en la utilización de las tecnologías de la información y la comunicación</w:t>
            </w:r>
          </w:p>
        </w:tc>
      </w:tr>
      <w:tr w:rsidR="00DF2C3C" w:rsidRPr="00DF2C3C" w14:paraId="29E0302C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1EB01D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FB394B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DF08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 xml:space="preserve">Informe sobre los eventos ITU Telecom </w:t>
            </w:r>
            <w:proofErr w:type="spellStart"/>
            <w:r w:rsidRPr="00DF2C3C">
              <w:rPr>
                <w:lang w:val="es-ES"/>
              </w:rPr>
              <w:t>World</w:t>
            </w:r>
            <w:proofErr w:type="spellEnd"/>
          </w:p>
        </w:tc>
      </w:tr>
      <w:tr w:rsidR="00DF2C3C" w:rsidRPr="00DF2C3C" w14:paraId="12F19B8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8A4E160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866EE1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9273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Participación provisional en las actividades de la UIT de las entidades que se ocupan de cuestiones de telecomunicaciones</w:t>
            </w:r>
          </w:p>
        </w:tc>
      </w:tr>
      <w:tr w:rsidR="00DF2C3C" w:rsidRPr="00DF2C3C" w14:paraId="39E1639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9E784E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C21/21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(Add.1-4)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1E227A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D8B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Presidencias y vicepresidencias de los Grupos de Trabajo del Consejo y de los Grupos de expertos</w:t>
            </w:r>
          </w:p>
        </w:tc>
      </w:tr>
      <w:tr w:rsidR="00DF2C3C" w:rsidRPr="00DF2C3C" w14:paraId="7D98E1C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6B61E14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3AC9BA9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9DA6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Décimo informe anual del Comité Asesor Independiente sobre la Gestión (CAIG)</w:t>
            </w:r>
          </w:p>
        </w:tc>
      </w:tr>
      <w:tr w:rsidR="00DF2C3C" w:rsidRPr="00DF2C3C" w14:paraId="14F0E297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D1ADF37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AF2434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F63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Modificaciones de las condiciones de empleo en el régimen común de las Naciones Unidas</w:t>
            </w:r>
          </w:p>
        </w:tc>
      </w:tr>
      <w:tr w:rsidR="00DF2C3C" w:rsidRPr="00DF2C3C" w14:paraId="59263D3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831693C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A9F0D59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FCE3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Preparativos para la Asamblea Mundial de Normalización de las Telecomunicaciones (AMNT-20)</w:t>
            </w:r>
          </w:p>
        </w:tc>
      </w:tr>
      <w:tr w:rsidR="00DF2C3C" w:rsidRPr="00DF2C3C" w14:paraId="5F2D0C6B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B0733C9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E5A607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82C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Fortalecimiento de la presencia regional</w:t>
            </w:r>
          </w:p>
        </w:tc>
      </w:tr>
      <w:tr w:rsidR="00DF2C3C" w:rsidRPr="00DF2C3C" w14:paraId="2B7A646B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E42561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1ED7571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35A8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intermedio del presidente del Grupo de Expertos sobre el Reglamento de las Telecomunicaciones Internacionales (GE-RTI)</w:t>
            </w:r>
          </w:p>
        </w:tc>
      </w:tr>
      <w:tr w:rsidR="00DF2C3C" w:rsidRPr="00DF2C3C" w14:paraId="02D43C5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16B366A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913364E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7383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la Asamblea de Radiocomunicaciones 2019 (AR-19) y la Conferencia Mundial de Radiocomunicaciones 2019 (CMR-19)</w:t>
            </w:r>
          </w:p>
        </w:tc>
      </w:tr>
      <w:tr w:rsidR="00DF2C3C" w:rsidRPr="00DF2C3C" w14:paraId="35D198F1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31BD5C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3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C21/28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br/>
            </w:r>
            <w:hyperlink r:id="rId40" w:history="1">
              <w:r w:rsidR="00DF2C3C" w:rsidRPr="00DF2C3C">
                <w:rPr>
                  <w:rStyle w:val="Hyperlink"/>
                  <w:szCs w:val="22"/>
                  <w:lang w:val="es-ES"/>
                </w:rPr>
                <w:t>C21/DT/2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DE637D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A5668" w14:textId="1130191D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Proyecto de Plan operacional cuatrienal renovable de la Unión para 2022</w:t>
            </w:r>
            <w:r w:rsidR="006A5C5F">
              <w:rPr>
                <w:lang w:val="es-ES"/>
              </w:rPr>
              <w:noBreakHyphen/>
            </w:r>
            <w:r w:rsidRPr="00DF2C3C">
              <w:rPr>
                <w:lang w:val="es-ES"/>
              </w:rPr>
              <w:t>2025</w:t>
            </w:r>
          </w:p>
        </w:tc>
      </w:tr>
      <w:tr w:rsidR="00DF2C3C" w:rsidRPr="00DF2C3C" w14:paraId="3355D4AA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4E52221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C21/29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55B17E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5FBE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Estrategia sobre las condiciones de trabajo del personal y plan de ejecución</w:t>
            </w:r>
          </w:p>
        </w:tc>
      </w:tr>
      <w:tr w:rsidR="00DF2C3C" w:rsidRPr="00DF2C3C" w14:paraId="0A893D2B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ECC530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C21/30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(Corr.1)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F9A022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0DBF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Conferencia Mundial de Desarrollo de las Telecomunicaciones 2021</w:t>
            </w:r>
          </w:p>
        </w:tc>
      </w:tr>
      <w:tr w:rsidR="00DF2C3C" w:rsidRPr="00DF2C3C" w14:paraId="098679E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DFC59DC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5103273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4456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Medidas adoptadas por la UIT respecto de las condiciones para la prestación de asistencia médica de emergencia in situ en las conferencias y reuniones de la UIT celebradas fuera de Ginebra</w:t>
            </w:r>
          </w:p>
        </w:tc>
      </w:tr>
      <w:tr w:rsidR="00DF2C3C" w:rsidRPr="00DF2C3C" w14:paraId="31D9596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700350B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DFFA67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D0F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Estudio de viabilidad para la creación de un instituto de formación de la UIT</w:t>
            </w:r>
          </w:p>
        </w:tc>
      </w:tr>
      <w:tr w:rsidR="00DF2C3C" w:rsidRPr="00DF2C3C" w14:paraId="712366A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A46E867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D4EB58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6A42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Actividades de la UIT en el ámbito de Internet: Resoluciones 101, 102, 133, 180 y 206</w:t>
            </w:r>
          </w:p>
        </w:tc>
      </w:tr>
      <w:tr w:rsidR="00DF2C3C" w:rsidRPr="00DF2C3C" w14:paraId="47B9AF1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625ADEA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E8DF27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1D23" w14:textId="7D4035D6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Fondo para el Desarrollo de las Tecnologías de la Información y la Comunicación (FD-TIC)</w:t>
            </w:r>
          </w:p>
        </w:tc>
      </w:tr>
      <w:tr w:rsidR="00DF2C3C" w:rsidRPr="00DF2C3C" w14:paraId="57599B7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97FDEDA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9951993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30812" w14:textId="7641ACD5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 xml:space="preserve">Informe sobre la aplicación del plan estratégico y las actividades de la Unión, abril de 2019 </w:t>
            </w:r>
            <w:r w:rsidR="006A5C5F" w:rsidRPr="006A5C5F">
              <w:rPr>
                <w:lang w:val="es-ES"/>
              </w:rPr>
              <w:t>–</w:t>
            </w:r>
            <w:r w:rsidRPr="00DF2C3C">
              <w:rPr>
                <w:lang w:val="es-ES"/>
              </w:rPr>
              <w:t xml:space="preserve"> abril de 2021</w:t>
            </w:r>
          </w:p>
        </w:tc>
      </w:tr>
      <w:tr w:rsidR="00DF2C3C" w:rsidRPr="00DF2C3C" w14:paraId="46C67F81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23AEFB67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AEF74F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D35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en el que se explica cómo utiliza actualmente la UIT la Agenda sobre Ciberseguridad Global (ACG)</w:t>
            </w:r>
          </w:p>
        </w:tc>
      </w:tr>
      <w:tr w:rsidR="00DF2C3C" w:rsidRPr="00DF2C3C" w14:paraId="39A45FE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8165BF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4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C21/37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br/>
            </w:r>
            <w:hyperlink r:id="rId50" w:history="1">
              <w:r w:rsidR="00DF2C3C" w:rsidRPr="00DF2C3C">
                <w:rPr>
                  <w:rStyle w:val="Hyperlink"/>
                  <w:szCs w:val="22"/>
                  <w:lang w:val="es-ES"/>
                </w:rPr>
                <w:t>C21/DT/5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CD30659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239" w14:textId="4B8157E1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Calendario de futuras conferencias, asambleas y reuniones de la Unión: 2021</w:t>
            </w:r>
            <w:r w:rsidR="006A5C5F">
              <w:rPr>
                <w:lang w:val="es-ES"/>
              </w:rPr>
              <w:noBreakHyphen/>
            </w:r>
            <w:r w:rsidRPr="00DF2C3C">
              <w:rPr>
                <w:lang w:val="es-ES"/>
              </w:rPr>
              <w:t>2024</w:t>
            </w:r>
          </w:p>
        </w:tc>
      </w:tr>
      <w:tr w:rsidR="00DF2C3C" w:rsidRPr="00DF2C3C" w14:paraId="0061D79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1FFB033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91796D3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181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la aplicación de la Resolución 191 (Rev. Dubái, 2018) "Estrategia de coordinación de los trabajos de los tres Sectores de la Unión"</w:t>
            </w:r>
          </w:p>
        </w:tc>
      </w:tr>
      <w:tr w:rsidR="00DF2C3C" w:rsidRPr="00DF2C3C" w14:paraId="38938447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4984AB1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C21/39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(Add.1)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17640C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817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Solicitudes de exoneración del pago de contribuciones financieras para sufragar los gastos relativos a la participación en los trabajos de la UIT</w:t>
            </w:r>
          </w:p>
        </w:tc>
      </w:tr>
      <w:tr w:rsidR="00DF2C3C" w:rsidRPr="00DF2C3C" w14:paraId="380D690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E466DAA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C21/40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EE9CC61" w14:textId="12DC1349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72DE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7B8C90A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582AB65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C21/41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0F645F1" w14:textId="2EBA3423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F8F4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6E6FBCB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A95C1E9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C21/42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E3CFBDC" w14:textId="1B9A1D0C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6F632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68EE03B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FA8CA65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highlight w:val="yellow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C21/43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9696AD2" w14:textId="7E895895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C3DE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1C6C855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8700C1D" w14:textId="0042FA42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C21/44</w:t>
              </w:r>
              <w:r w:rsid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(Corr.1)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D8D9F7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B2D1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del Auditor Interno sobre las actividades de auditoría interna</w:t>
            </w:r>
          </w:p>
        </w:tc>
      </w:tr>
      <w:tr w:rsidR="00DF2C3C" w:rsidRPr="00DF2C3C" w14:paraId="68AF12D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A4371B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86DFB3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DA8D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Memorandos de entendimiento con repercusiones financieras y/o estratégicas</w:t>
            </w:r>
          </w:p>
        </w:tc>
      </w:tr>
      <w:tr w:rsidR="00DF2C3C" w:rsidRPr="00DF2C3C" w14:paraId="2C93159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F727DC0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64EF8B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F5F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Pasivo del Seguro médico después del servicio (ASHI)</w:t>
            </w:r>
          </w:p>
        </w:tc>
      </w:tr>
      <w:tr w:rsidR="00DF2C3C" w:rsidRPr="00DF2C3C" w14:paraId="5DC96E3F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1B0F391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C7CB8C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64A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 situación sobre la aplicación de los Acuerdos 600 y 601 del Consejo (UIFN, IIN)</w:t>
            </w:r>
          </w:p>
        </w:tc>
      </w:tr>
      <w:tr w:rsidR="00DF2C3C" w:rsidRPr="00DF2C3C" w14:paraId="0FA3C0A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97472C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D92261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GAEM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438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resumido de los trabajos del Grupo Asesor de los Estados Miembros sobre el proyecto de Sede de la Unión</w:t>
            </w:r>
          </w:p>
        </w:tc>
      </w:tr>
      <w:tr w:rsidR="00DF2C3C" w:rsidRPr="00DF2C3C" w14:paraId="0095FA0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8235649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C21/49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EB1F32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07B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Lista de actividades autorizadas y no financiadas (UMAC) 2021-2027</w:t>
            </w:r>
          </w:p>
        </w:tc>
      </w:tr>
      <w:tr w:rsidR="00DF2C3C" w:rsidRPr="00DF2C3C" w14:paraId="6B9569B4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4A69C04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5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C21/50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(Add.1)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6BC1062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Presidente, GTC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D572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del Presidente del Grupo de Trabajo del Consejo sobre Recursos Humanos y Financieros (GTC-RHF)</w:t>
            </w:r>
          </w:p>
        </w:tc>
      </w:tr>
      <w:tr w:rsidR="00DF2C3C" w:rsidRPr="00DF2C3C" w14:paraId="315C9B8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E0505DD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1BEE9A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Presidente, GTC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62A2C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del Presidente del Grupo de Trabajo del Consejo sobre cuestiones de política pública internacional relacionadas con Internet (GTC-Internet)</w:t>
            </w:r>
          </w:p>
        </w:tc>
      </w:tr>
      <w:tr w:rsidR="00DF2C3C" w:rsidRPr="00DF2C3C" w14:paraId="76309DA7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8C8383B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421F84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117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Mejora de la gestión y el seguimiento de la contribución de los Miembros de Sector, Asociados e Instituciones Académicas a los gastos de la UIT</w:t>
            </w:r>
          </w:p>
        </w:tc>
      </w:tr>
      <w:tr w:rsidR="00DF2C3C" w:rsidRPr="00DF2C3C" w14:paraId="5EECD6E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21CFBF1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C21/53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CFA1228" w14:textId="66CBED9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7EEB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61835E4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EFD84C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EDCBCB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05ED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los avances en la implementación del Plan Estratégico de Recursos Humanos y la Resolución 48 (Rev. Dubái, 2018)</w:t>
            </w:r>
          </w:p>
        </w:tc>
      </w:tr>
      <w:tr w:rsidR="00DF2C3C" w:rsidRPr="00DF2C3C" w14:paraId="70E61631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7C5CE60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A8AEBE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CB2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Lugar y fechas de la Conferencia Mundial de Radiocomunicaciones de 2023 y de la Asamblea de Radiocomunicaciones de 2023</w:t>
            </w:r>
          </w:p>
        </w:tc>
      </w:tr>
      <w:tr w:rsidR="00DF2C3C" w:rsidRPr="00DF2C3C" w14:paraId="503F8FE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5EE4824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1526E1C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70AA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Importe provisional de la unidad contributiva</w:t>
            </w:r>
          </w:p>
        </w:tc>
      </w:tr>
      <w:tr w:rsidR="00DF2C3C" w:rsidRPr="00DF2C3C" w14:paraId="045D1407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17FE9A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333A4F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Presidente, GTC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CE79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Resultado de la decimoséptima reunión del Grupo de Trabajo del Consejo sobre la Protección de la Infancia en Línea (GTC-</w:t>
            </w:r>
            <w:proofErr w:type="spellStart"/>
            <w:r w:rsidRPr="00DF2C3C">
              <w:rPr>
                <w:lang w:val="es-ES"/>
              </w:rPr>
              <w:t>PIeL</w:t>
            </w:r>
            <w:proofErr w:type="spellEnd"/>
            <w:r w:rsidRPr="00DF2C3C">
              <w:rPr>
                <w:lang w:val="es-ES"/>
              </w:rPr>
              <w:t>)</w:t>
            </w:r>
          </w:p>
        </w:tc>
      </w:tr>
      <w:tr w:rsidR="00DF2C3C" w:rsidRPr="00DF2C3C" w14:paraId="4AEA09C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1D5FC4E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93CF2D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BCB1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Recopilación de decisiones reflejadas en las actas de la PP-18</w:t>
            </w:r>
          </w:p>
        </w:tc>
      </w:tr>
      <w:tr w:rsidR="00DF2C3C" w:rsidRPr="00DF2C3C" w14:paraId="06356EC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F870F1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C21/59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B5AB47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AA55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de la Oficina de Ética</w:t>
            </w:r>
          </w:p>
        </w:tc>
      </w:tr>
      <w:tr w:rsidR="00DF2C3C" w:rsidRPr="00DF2C3C" w14:paraId="36039E7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AE73ABB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6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3C4F67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227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Nueva función de investigación y procedimiento conexo</w:t>
            </w:r>
          </w:p>
        </w:tc>
      </w:tr>
      <w:tr w:rsidR="00DF2C3C" w:rsidRPr="00DF2C3C" w14:paraId="5C78CE5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3E2613E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highlight w:val="cyan"/>
                <w:lang w:val="es-ES"/>
              </w:rPr>
            </w:pPr>
            <w:hyperlink r:id="rId6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C21/61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(Corr.1)</w:t>
              </w:r>
            </w:hyperlink>
          </w:p>
        </w:tc>
        <w:tc>
          <w:tcPr>
            <w:tcW w:w="1361" w:type="dxa"/>
            <w:noWrap/>
            <w:tcMar>
              <w:left w:w="28" w:type="dxa"/>
              <w:right w:w="28" w:type="dxa"/>
            </w:tcMar>
          </w:tcPr>
          <w:p w14:paraId="5EB95B9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BA86B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la aplicación del plan de acción sobre gestión de riesgos</w:t>
            </w:r>
          </w:p>
        </w:tc>
      </w:tr>
      <w:tr w:rsidR="00DF2C3C" w:rsidRPr="00DF2C3C" w14:paraId="371C4E6F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18FAACE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F986F3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F444F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Índice de desarrollo de las TIC</w:t>
            </w:r>
          </w:p>
        </w:tc>
      </w:tr>
      <w:tr w:rsidR="00DF2C3C" w:rsidRPr="00DF2C3C" w14:paraId="2DDDBB8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3F9D9F4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32B597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967B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Grupo de trabajo de la UIT encargado de los controles internos</w:t>
            </w:r>
          </w:p>
        </w:tc>
      </w:tr>
      <w:tr w:rsidR="00DF2C3C" w:rsidRPr="00DF2C3C" w14:paraId="22A7A0E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E6F475D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E118C2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BE6A" w14:textId="11C62DE9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Preparación de los Planes Estratégico y Financiero de la UIT para el periodo 2024-2027</w:t>
            </w:r>
          </w:p>
        </w:tc>
      </w:tr>
      <w:tr w:rsidR="00DF2C3C" w:rsidRPr="00DF2C3C" w14:paraId="6C558E38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D59BB0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C21/65</w:t>
              </w:r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br/>
                <w:t>(Add.1)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4C2758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4D3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Proyecto de presupuesto de la Unión para 2022-2023</w:t>
            </w:r>
          </w:p>
        </w:tc>
      </w:tr>
      <w:tr w:rsidR="00DF2C3C" w:rsidRPr="00DF2C3C" w14:paraId="33C895E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93DDB61" w14:textId="77777777" w:rsidR="00DF2C3C" w:rsidRPr="00DF2C3C" w:rsidRDefault="00DF2C3C" w:rsidP="00DF2C3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</w:pPr>
            <w:r w:rsidRPr="00DF2C3C">
              <w:rPr>
                <w:rFonts w:asciiTheme="minorHAnsi" w:hAnsiTheme="minorHAnsi" w:cstheme="minorHAnsi"/>
                <w:i/>
                <w:iCs/>
                <w:szCs w:val="22"/>
                <w:lang w:val="es-ES"/>
              </w:rPr>
              <w:t>C21/66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515D468" w14:textId="46218836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6E26" w14:textId="77777777" w:rsidR="00DF2C3C" w:rsidRPr="00DF2C3C" w:rsidRDefault="00DF2C3C" w:rsidP="00DF2C3C">
            <w:pPr>
              <w:pStyle w:val="Tabletext"/>
              <w:rPr>
                <w:i/>
                <w:iCs/>
                <w:lang w:val="es-ES"/>
              </w:rPr>
            </w:pPr>
            <w:r w:rsidRPr="00DF2C3C">
              <w:rPr>
                <w:i/>
                <w:iCs/>
                <w:lang w:val="es-ES"/>
              </w:rPr>
              <w:t>Cancelado</w:t>
            </w:r>
          </w:p>
        </w:tc>
      </w:tr>
      <w:tr w:rsidR="00DF2C3C" w:rsidRPr="00DF2C3C" w14:paraId="133EFF3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12A85C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75AB6C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AC7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Resultados de la CMR-19 con implicaciones financieras</w:t>
            </w:r>
          </w:p>
        </w:tc>
      </w:tr>
      <w:tr w:rsidR="00DF2C3C" w:rsidRPr="00DF2C3C" w14:paraId="3D8CEFA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2D28F03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2C56DB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EB04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Informe sobre la sostenibilidad medioambiental de la UIT</w:t>
            </w:r>
          </w:p>
        </w:tc>
      </w:tr>
      <w:tr w:rsidR="00DF2C3C" w:rsidRPr="00DF2C3C" w14:paraId="7700CABF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2D3AAEB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C21/69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D50E8D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24AEA" w14:textId="3C152084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Participación de la UIT en el Comité Mixto de Pensiones del Personal de las Naciones Unidas</w:t>
            </w:r>
          </w:p>
        </w:tc>
      </w:tr>
      <w:tr w:rsidR="00DF2C3C" w:rsidRPr="00DF2C3C" w14:paraId="1CFF002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46EF61F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FE5037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BDFA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Iniciativa de Transformación Digital (DT-I)</w:t>
            </w:r>
          </w:p>
        </w:tc>
      </w:tr>
      <w:tr w:rsidR="00DF2C3C" w:rsidRPr="00DF2C3C" w14:paraId="0BD8B1EC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DB6AEF6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46313C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397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Directrices para la utilización de la Agenda sobre Ciberseguridad Global</w:t>
            </w:r>
          </w:p>
        </w:tc>
      </w:tr>
      <w:tr w:rsidR="00DF2C3C" w:rsidRPr="00DF2C3C" w14:paraId="7E4B57DA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32E71D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7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7D22D67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4C2A0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Proyecto de política de accesibilidad para las personas con discapacidad de la UIT</w:t>
            </w:r>
          </w:p>
        </w:tc>
      </w:tr>
      <w:tr w:rsidR="00DF2C3C" w:rsidRPr="00DF2C3C" w14:paraId="320936F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B763D5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21BB88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D3EF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Preparativos para la Conferencia de Plenipotenciarios de 2022</w:t>
            </w:r>
          </w:p>
        </w:tc>
      </w:tr>
      <w:tr w:rsidR="00DF2C3C" w:rsidRPr="00DF2C3C" w14:paraId="7C5FE11F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68F6679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65AEC4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1BBC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Repercusión de la pandemia de Covid-19 sobre el funcionamiento y las actividades de la UIT</w:t>
            </w:r>
          </w:p>
        </w:tc>
      </w:tr>
      <w:tr w:rsidR="00DF2C3C" w:rsidRPr="00DF2C3C" w14:paraId="3845D418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54C5CB3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C21/75</w:t>
              </w:r>
            </w:hyperlink>
          </w:p>
        </w:tc>
        <w:tc>
          <w:tcPr>
            <w:tcW w:w="1361" w:type="dxa"/>
            <w:noWrap/>
            <w:tcMar>
              <w:left w:w="28" w:type="dxa"/>
              <w:right w:w="28" w:type="dxa"/>
            </w:tcMar>
          </w:tcPr>
          <w:p w14:paraId="5D8CEB02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9D7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Auditoría general tras el caso de fraude en una oficina regional</w:t>
            </w:r>
          </w:p>
        </w:tc>
      </w:tr>
      <w:tr w:rsidR="00DF2C3C" w:rsidRPr="00DF2C3C" w14:paraId="46FA73D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9E66BD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7C4271E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La República Federal Democrática de Etiopía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8815" w14:textId="708138AD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 xml:space="preserve">Carta del </w:t>
            </w:r>
            <w:r w:rsidR="006A5C5F" w:rsidRPr="00DF2C3C">
              <w:rPr>
                <w:lang w:val="es-ES"/>
              </w:rPr>
              <w:t xml:space="preserve">Gobierno </w:t>
            </w:r>
            <w:r w:rsidRPr="00DF2C3C">
              <w:rPr>
                <w:lang w:val="es-ES"/>
              </w:rPr>
              <w:t>de Etiopía relativa a la CMDT-21</w:t>
            </w:r>
          </w:p>
        </w:tc>
      </w:tr>
      <w:tr w:rsidR="00DF2C3C" w:rsidRPr="00DF2C3C" w14:paraId="030EDF8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13A82EE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CBDA20E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Estado de Kuwait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EB266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del Estado de Kuwait propuesta de revisión del Acuerdo 619</w:t>
            </w:r>
          </w:p>
        </w:tc>
      </w:tr>
      <w:tr w:rsidR="00DF2C3C" w:rsidRPr="00DF2C3C" w14:paraId="10E08BB5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CA2FEA9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4107C74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República de la India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33DA4" w14:textId="14C62D5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 la India – AMNT-20: Posibles escenarios como consecuencia de la Covid-19 y recomendaciones</w:t>
            </w:r>
          </w:p>
        </w:tc>
      </w:tr>
      <w:tr w:rsidR="00DF2C3C" w:rsidRPr="00DF2C3C" w14:paraId="1B3BDB4A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15C4B0A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C21/79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CB77F86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Japón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F6B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del Japón – Evaluación financiera y estratégica de los eventos ITU Telecom</w:t>
            </w:r>
          </w:p>
        </w:tc>
      </w:tr>
      <w:tr w:rsidR="00DF2C3C" w:rsidRPr="00DF2C3C" w14:paraId="2E8248B4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2586A71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4F8529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Túnez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5F12D" w14:textId="2114723D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 Túnez – Aplicación de la Resolución 131 (Rev. Dubái, 2018) de la Conferencia de plenipotenciarios</w:t>
            </w:r>
          </w:p>
        </w:tc>
      </w:tr>
      <w:tr w:rsidR="00DF2C3C" w:rsidRPr="00DF2C3C" w14:paraId="7CA60FFD" w14:textId="77777777" w:rsidTr="00DF2C3C">
        <w:trPr>
          <w:cantSplit/>
          <w:jc w:val="center"/>
        </w:trPr>
        <w:tc>
          <w:tcPr>
            <w:tcW w:w="1191" w:type="dxa"/>
            <w:shd w:val="clear" w:color="auto" w:fill="auto"/>
            <w:noWrap/>
          </w:tcPr>
          <w:p w14:paraId="572BF6E2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CAB1F9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Estados Unidos de América, Canadá, México, Argentina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5F8A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 los Estados Unidos de América, Canadá, México y Argentina – Alternativa para la revisión del Acuerdo 619 del documento C21/77</w:t>
            </w:r>
          </w:p>
        </w:tc>
      </w:tr>
      <w:tr w:rsidR="00DF2C3C" w:rsidRPr="00DF2C3C" w14:paraId="104C3A9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9C05B7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8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3381B621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 xml:space="preserve">Australia, Canadá, República Checa, Francia, Rumania, Reino Unido de Gran Bretaña e Irlanda del Norte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4D7EC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Contribución de Australia, Canadá, República Checa, Francia, Rumania, Reino Unido de Gran Bretaña e Irlanda del Norte – Directrices para la utilización de la Agenda sobre Ciberseguridad Global</w:t>
            </w:r>
          </w:p>
        </w:tc>
      </w:tr>
      <w:tr w:rsidR="00DF2C3C" w:rsidRPr="00DF2C3C" w14:paraId="3EAFA7A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770CC7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9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D608C4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Federación de Rusia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6F9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Carta del Gobierno de la Federación de Rusia en relación con el aplazamiento de la CMDT-21 y otros eventos principales de la UIT</w:t>
            </w:r>
          </w:p>
        </w:tc>
      </w:tr>
      <w:tr w:rsidR="00DF2C3C" w:rsidRPr="00DF2C3C" w14:paraId="21B55B84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3BEB908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9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6CD572C" w14:textId="32056A2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 xml:space="preserve">Corte </w:t>
            </w:r>
            <w:proofErr w:type="spellStart"/>
            <w:r w:rsidRPr="00DF2C3C">
              <w:rPr>
                <w:lang w:val="es-ES"/>
              </w:rPr>
              <w:t>dei</w:t>
            </w:r>
            <w:proofErr w:type="spellEnd"/>
            <w:r w:rsidRPr="00DF2C3C">
              <w:rPr>
                <w:lang w:val="es-ES"/>
              </w:rPr>
              <w:t xml:space="preserve"> Conti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2926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 xml:space="preserve">Carta del Presidente de la Corte </w:t>
            </w:r>
            <w:proofErr w:type="spellStart"/>
            <w:r w:rsidRPr="00DF2C3C">
              <w:rPr>
                <w:lang w:val="es-ES"/>
              </w:rPr>
              <w:t>dei</w:t>
            </w:r>
            <w:proofErr w:type="spellEnd"/>
            <w:r w:rsidRPr="00DF2C3C">
              <w:rPr>
                <w:lang w:val="es-ES"/>
              </w:rPr>
              <w:t xml:space="preserve"> Conti relativa al retraso de la presentación del informe del Auditor Externo sobre las cuentas de la Unión para 2020</w:t>
            </w:r>
          </w:p>
        </w:tc>
      </w:tr>
      <w:tr w:rsidR="00DF2C3C" w:rsidRPr="00DF2C3C" w14:paraId="37BA6A59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584A01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9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BFE2A43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7FDA5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primera reunión</w:t>
            </w:r>
          </w:p>
        </w:tc>
      </w:tr>
      <w:tr w:rsidR="00DF2C3C" w:rsidRPr="00DF2C3C" w14:paraId="0639B13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58EB625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9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EEE6CC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0D9A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segunda sesión</w:t>
            </w:r>
          </w:p>
        </w:tc>
      </w:tr>
      <w:tr w:rsidR="00DF2C3C" w:rsidRPr="00DF2C3C" w14:paraId="03E20BD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E500F2D" w14:textId="77777777" w:rsidR="00DF2C3C" w:rsidRPr="00DF2C3C" w:rsidRDefault="002962AD" w:rsidP="00DF2C3C">
            <w:pPr>
              <w:pStyle w:val="Tabletext"/>
              <w:jc w:val="center"/>
              <w:rPr>
                <w:rFonts w:asciiTheme="minorHAnsi" w:hAnsiTheme="minorHAnsi" w:cstheme="minorHAnsi"/>
                <w:szCs w:val="22"/>
                <w:lang w:val="es-ES"/>
              </w:rPr>
            </w:pPr>
            <w:hyperlink r:id="rId9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06311C9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F6CE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tercera sesión</w:t>
            </w:r>
          </w:p>
        </w:tc>
      </w:tr>
      <w:tr w:rsidR="00DF2C3C" w:rsidRPr="00DF2C3C" w14:paraId="660E706E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1EBEF46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9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t>8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347199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6793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cuarta reunión</w:t>
            </w:r>
          </w:p>
        </w:tc>
      </w:tr>
      <w:tr w:rsidR="00DF2C3C" w:rsidRPr="00DF2C3C" w14:paraId="317C76F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2FC19E1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9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C21/8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t>9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2C79B87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4E87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quinta sesión</w:t>
            </w:r>
          </w:p>
        </w:tc>
      </w:tr>
      <w:tr w:rsidR="00DF2C3C" w:rsidRPr="00DF2C3C" w14:paraId="3E4FF19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0EEBFCF5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9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</w:t>
              </w:r>
            </w:hyperlink>
            <w:r w:rsidR="00DF2C3C" w:rsidRPr="00DF2C3C">
              <w:rPr>
                <w:rStyle w:val="Hyperlink"/>
                <w:rFonts w:asciiTheme="minorHAnsi" w:hAnsiTheme="minorHAnsi" w:cstheme="minorHAnsi"/>
                <w:szCs w:val="22"/>
                <w:lang w:val="es-ES"/>
              </w:rPr>
              <w:t>90</w:t>
            </w:r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0E53EAB8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52A9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sexta reunión</w:t>
            </w:r>
          </w:p>
        </w:tc>
      </w:tr>
      <w:tr w:rsidR="00DF2C3C" w:rsidRPr="00DF2C3C" w14:paraId="6077320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BF4F42C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9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F47F13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C7091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séptima sesión</w:t>
            </w:r>
          </w:p>
        </w:tc>
      </w:tr>
      <w:tr w:rsidR="00DF2C3C" w:rsidRPr="00DF2C3C" w14:paraId="2B948E6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7C64D91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9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D9AA18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5018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octava reunión</w:t>
            </w:r>
          </w:p>
        </w:tc>
      </w:tr>
      <w:tr w:rsidR="00DF2C3C" w:rsidRPr="00DF2C3C" w14:paraId="0DC23AB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D27A52F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C21/93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4F8FCE0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008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Resumen de los debates de la novena y última sesión</w:t>
            </w:r>
          </w:p>
        </w:tc>
      </w:tr>
      <w:tr w:rsidR="00DF2C3C" w:rsidRPr="00DF2C3C" w14:paraId="31B0569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6F526C5E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C21/94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8144AB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E5A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Resolución 1403</w:t>
            </w:r>
            <w:r w:rsidRPr="00DF2C3C">
              <w:rPr>
                <w:lang w:val="es-ES"/>
              </w:rPr>
              <w:t xml:space="preserve"> – Plan Operacional cuatrienal renovable de la Unión para el periodo 2022-2025</w:t>
            </w:r>
          </w:p>
        </w:tc>
      </w:tr>
      <w:tr w:rsidR="00DF2C3C" w:rsidRPr="00DF2C3C" w14:paraId="779BE642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54F59C91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2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C21/95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D8440B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793E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Resolución 1404</w:t>
            </w:r>
            <w:r w:rsidRPr="00DF2C3C">
              <w:rPr>
                <w:lang w:val="es-ES"/>
              </w:rPr>
              <w:t xml:space="preserve"> – Creación de un Grupo de Trabajo del Consejo sobre los Planes Estratégico y Financiero de la Unión para 2024-2027</w:t>
            </w:r>
          </w:p>
        </w:tc>
      </w:tr>
      <w:tr w:rsidR="00DF2C3C" w:rsidRPr="00DF2C3C" w14:paraId="7E9BAD1D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2DD6EA9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3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C21/96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73EB0675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3B822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Acuerdo 623</w:t>
            </w:r>
            <w:r w:rsidRPr="00DF2C3C">
              <w:rPr>
                <w:lang w:val="es-ES"/>
              </w:rPr>
              <w:t xml:space="preserve"> – Lugar y fechas de la Conferencia Mundial de Radiocomunicaciones (CMR-23) y de la Asamblea de Radiocomunicaciones (AR-23)</w:t>
            </w:r>
          </w:p>
        </w:tc>
      </w:tr>
      <w:tr w:rsidR="00DF2C3C" w:rsidRPr="00DF2C3C" w14:paraId="73448076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54D3DA7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4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C21/97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F42FCE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DA79F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Resolución 1405</w:t>
            </w:r>
            <w:r w:rsidRPr="00DF2C3C">
              <w:rPr>
                <w:lang w:val="es-ES"/>
              </w:rPr>
              <w:t xml:space="preserve"> – Presupuesto bienal de la Unión Internacional de Telecomunicaciones para 2022-2023</w:t>
            </w:r>
          </w:p>
        </w:tc>
      </w:tr>
      <w:tr w:rsidR="00DF2C3C" w:rsidRPr="00DF2C3C" w14:paraId="42D8E4D3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260118E5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5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C21/98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1324BD92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3C3F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Acuerdo 624</w:t>
            </w:r>
            <w:r w:rsidRPr="00DF2C3C">
              <w:rPr>
                <w:lang w:val="es-ES"/>
              </w:rPr>
              <w:t xml:space="preserve"> – Registro en pérdidas y ganancias de los intereses de mora y las cantidades adeudadas incobrables</w:t>
            </w:r>
          </w:p>
        </w:tc>
      </w:tr>
      <w:tr w:rsidR="00DF2C3C" w:rsidRPr="00DF2C3C" w14:paraId="718466CC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15CF4560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6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C21/99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4BA53BBB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15631" w14:textId="03517409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Acuerdo 619</w:t>
            </w:r>
            <w:r w:rsidRPr="00DF2C3C">
              <w:rPr>
                <w:lang w:val="es-ES"/>
              </w:rPr>
              <w:t xml:space="preserve"> (C19, Modificado </w:t>
            </w:r>
            <w:r w:rsidR="00FC5D39">
              <w:rPr>
                <w:lang w:val="es-ES"/>
              </w:rPr>
              <w:t>p</w:t>
            </w:r>
            <w:r w:rsidRPr="00DF2C3C">
              <w:rPr>
                <w:lang w:val="es-ES"/>
              </w:rPr>
              <w:t xml:space="preserve">or </w:t>
            </w:r>
            <w:r w:rsidR="00FC5D39">
              <w:rPr>
                <w:lang w:val="es-ES"/>
              </w:rPr>
              <w:t>ú</w:t>
            </w:r>
            <w:r w:rsidR="00FC5D39" w:rsidRPr="00DF2C3C">
              <w:rPr>
                <w:lang w:val="es-ES"/>
              </w:rPr>
              <w:t>ltima</w:t>
            </w:r>
            <w:r w:rsidRPr="00DF2C3C">
              <w:rPr>
                <w:lang w:val="es-ES"/>
              </w:rPr>
              <w:t xml:space="preserve"> </w:t>
            </w:r>
            <w:r w:rsidR="00FC5D39">
              <w:rPr>
                <w:lang w:val="es-ES"/>
              </w:rPr>
              <w:t>v</w:t>
            </w:r>
            <w:r w:rsidRPr="00DF2C3C">
              <w:rPr>
                <w:lang w:val="es-ES"/>
              </w:rPr>
              <w:t>ez C21) – Edificio de la Sede</w:t>
            </w:r>
          </w:p>
        </w:tc>
      </w:tr>
      <w:tr w:rsidR="00DF2C3C" w:rsidRPr="00DF2C3C" w14:paraId="2EBE09EB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7F688782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7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C21/100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823798A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91F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Resolución 1406</w:t>
            </w:r>
            <w:r w:rsidRPr="00DF2C3C">
              <w:rPr>
                <w:lang w:val="es-ES"/>
              </w:rPr>
              <w:t xml:space="preserve"> – Condiciones de empleo de los funcionarios de elección de la UIT</w:t>
            </w:r>
          </w:p>
        </w:tc>
      </w:tr>
      <w:tr w:rsidR="00DF2C3C" w:rsidRPr="00DF2C3C" w14:paraId="4A1FB154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4B8F52C3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8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C21/101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5466ED3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144E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b/>
                <w:bCs/>
                <w:lang w:val="es-ES"/>
              </w:rPr>
              <w:t>Acuerdo 625</w:t>
            </w:r>
            <w:r w:rsidRPr="00DF2C3C">
              <w:rPr>
                <w:lang w:val="es-ES"/>
              </w:rPr>
              <w:t xml:space="preserve"> – Fechas y duración propuestas para las reuniones de 2022, 2023, 2024, 2025 y 2026 del Consejo y fechas propuestas para las series de reuniones agrupadas de los Grupos de Trabajo y Grupos de Expertos para 2022, 2023 y 2024</w:t>
            </w:r>
          </w:p>
        </w:tc>
      </w:tr>
      <w:tr w:rsidR="00DF2C3C" w:rsidRPr="00DF2C3C" w14:paraId="0C7BD760" w14:textId="77777777" w:rsidTr="00DF2C3C">
        <w:trPr>
          <w:jc w:val="center"/>
        </w:trPr>
        <w:tc>
          <w:tcPr>
            <w:tcW w:w="1191" w:type="dxa"/>
            <w:shd w:val="clear" w:color="auto" w:fill="auto"/>
            <w:noWrap/>
          </w:tcPr>
          <w:p w14:paraId="3CE2B7CF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09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C21/102</w:t>
              </w:r>
            </w:hyperlink>
          </w:p>
        </w:tc>
        <w:tc>
          <w:tcPr>
            <w:tcW w:w="1361" w:type="dxa"/>
            <w:noWrap/>
            <w:tcMar>
              <w:left w:w="57" w:type="dxa"/>
              <w:right w:w="57" w:type="dxa"/>
            </w:tcMar>
          </w:tcPr>
          <w:p w14:paraId="60B2674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CC6A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Lista de Resoluciones y Acuerdos</w:t>
            </w:r>
          </w:p>
        </w:tc>
      </w:tr>
      <w:tr w:rsidR="00DF2C3C" w:rsidRPr="00DF2C3C" w14:paraId="5EF0CE8F" w14:textId="77777777" w:rsidTr="007B79A6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0241B0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10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C21/103</w:t>
              </w:r>
            </w:hyperlink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9EBF2D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EAB4" w14:textId="77777777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Lista final de documentos</w:t>
            </w:r>
          </w:p>
        </w:tc>
      </w:tr>
      <w:tr w:rsidR="00DF2C3C" w:rsidRPr="00DF2C3C" w14:paraId="07B24107" w14:textId="77777777" w:rsidTr="007B79A6">
        <w:trPr>
          <w:jc w:val="center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731359D" w14:textId="77777777" w:rsidR="00DF2C3C" w:rsidRPr="00DF2C3C" w:rsidRDefault="002962AD" w:rsidP="00DF2C3C">
            <w:pPr>
              <w:pStyle w:val="Tabletext"/>
              <w:jc w:val="center"/>
              <w:rPr>
                <w:szCs w:val="22"/>
                <w:lang w:val="es-ES"/>
              </w:rPr>
            </w:pPr>
            <w:hyperlink r:id="rId111" w:history="1">
              <w:r w:rsidR="00DF2C3C" w:rsidRPr="00DF2C3C">
                <w:rPr>
                  <w:rStyle w:val="Hyperlink"/>
                  <w:rFonts w:asciiTheme="minorHAnsi" w:hAnsiTheme="minorHAnsi" w:cstheme="minorHAnsi"/>
                  <w:szCs w:val="22"/>
                  <w:lang w:val="es-ES"/>
                </w:rPr>
                <w:t>C21/104</w:t>
              </w:r>
            </w:hyperlink>
          </w:p>
        </w:tc>
        <w:tc>
          <w:tcPr>
            <w:tcW w:w="136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E2B6EF" w14:textId="77777777" w:rsidR="00DF2C3C" w:rsidRPr="00DF2C3C" w:rsidRDefault="00DF2C3C" w:rsidP="00DF2C3C">
            <w:pPr>
              <w:pStyle w:val="Tabletext"/>
              <w:jc w:val="center"/>
              <w:rPr>
                <w:lang w:val="es-ES"/>
              </w:rPr>
            </w:pPr>
            <w:r w:rsidRPr="00DF2C3C">
              <w:rPr>
                <w:lang w:val="es-ES"/>
              </w:rPr>
              <w:t>SG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09BB5" w14:textId="0F736C91" w:rsidR="00DF2C3C" w:rsidRPr="00DF2C3C" w:rsidRDefault="00DF2C3C" w:rsidP="00DF2C3C">
            <w:pPr>
              <w:pStyle w:val="Tabletext"/>
              <w:rPr>
                <w:lang w:val="es-ES"/>
              </w:rPr>
            </w:pPr>
            <w:r w:rsidRPr="00DF2C3C">
              <w:rPr>
                <w:lang w:val="es-ES"/>
              </w:rPr>
              <w:t>Lista definitiva de los participantes presentes</w:t>
            </w:r>
          </w:p>
        </w:tc>
      </w:tr>
    </w:tbl>
    <w:p w14:paraId="3DAB7095" w14:textId="77777777" w:rsidR="00DF2C3C" w:rsidRDefault="00DF2C3C" w:rsidP="00411C49">
      <w:pPr>
        <w:pStyle w:val="Reasons"/>
      </w:pPr>
    </w:p>
    <w:p w14:paraId="750ACE4E" w14:textId="77777777" w:rsidR="00DF2C3C" w:rsidRDefault="00DF2C3C">
      <w:pPr>
        <w:jc w:val="center"/>
      </w:pPr>
      <w:r>
        <w:t>______________</w:t>
      </w:r>
    </w:p>
    <w:sectPr w:rsidR="00DF2C3C" w:rsidSect="006710F6">
      <w:headerReference w:type="default" r:id="rId112"/>
      <w:footerReference w:type="default" r:id="rId113"/>
      <w:footerReference w:type="first" r:id="rId1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A15E" w14:textId="77777777" w:rsidR="000538F1" w:rsidRDefault="000538F1">
      <w:r>
        <w:separator/>
      </w:r>
    </w:p>
  </w:endnote>
  <w:endnote w:type="continuationSeparator" w:id="0">
    <w:p w14:paraId="7FD60A34" w14:textId="77777777" w:rsidR="000538F1" w:rsidRDefault="0005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3D95" w14:textId="173B3E2C" w:rsidR="00DF2C3C" w:rsidRPr="002962AD" w:rsidRDefault="0050537B" w:rsidP="0050537B">
    <w:pPr>
      <w:pStyle w:val="Footer"/>
      <w:rPr>
        <w:color w:val="F2F2F2" w:themeColor="background1" w:themeShade="F2"/>
        <w:lang w:val="fr-FR"/>
      </w:rPr>
    </w:pPr>
    <w:r w:rsidRPr="002962AD">
      <w:rPr>
        <w:color w:val="F2F2F2" w:themeColor="background1" w:themeShade="F2"/>
      </w:rPr>
      <w:fldChar w:fldCharType="begin"/>
    </w:r>
    <w:r w:rsidRPr="002962AD">
      <w:rPr>
        <w:color w:val="F2F2F2" w:themeColor="background1" w:themeShade="F2"/>
        <w:lang w:val="fr-FR"/>
      </w:rPr>
      <w:instrText xml:space="preserve"> FILENAME \p  \* MERGEFORMAT </w:instrText>
    </w:r>
    <w:r w:rsidRPr="002962AD">
      <w:rPr>
        <w:color w:val="F2F2F2" w:themeColor="background1" w:themeShade="F2"/>
      </w:rPr>
      <w:fldChar w:fldCharType="separate"/>
    </w:r>
    <w:r w:rsidRPr="002962AD">
      <w:rPr>
        <w:color w:val="F2F2F2" w:themeColor="background1" w:themeShade="F2"/>
        <w:lang w:val="fr-FR"/>
      </w:rPr>
      <w:t>P:\ESP\SG\CONSEIL\C21\100\103S.docx</w:t>
    </w:r>
    <w:r w:rsidRPr="002962AD">
      <w:rPr>
        <w:color w:val="F2F2F2" w:themeColor="background1" w:themeShade="F2"/>
      </w:rPr>
      <w:fldChar w:fldCharType="end"/>
    </w:r>
    <w:r w:rsidRPr="002962AD">
      <w:rPr>
        <w:color w:val="F2F2F2" w:themeColor="background1" w:themeShade="F2"/>
        <w:lang w:val="fr-FR"/>
      </w:rPr>
      <w:t xml:space="preserve"> (494012)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C7A3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B1BC" w14:textId="77777777" w:rsidR="000538F1" w:rsidRDefault="000538F1">
      <w:r>
        <w:t>____________________</w:t>
      </w:r>
    </w:p>
  </w:footnote>
  <w:footnote w:type="continuationSeparator" w:id="0">
    <w:p w14:paraId="1DFFEBA3" w14:textId="77777777" w:rsidR="000538F1" w:rsidRDefault="0005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E76B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268ACEFC" w14:textId="16C42626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DF2C3C">
      <w:t>103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A81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109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F22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7A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B04A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448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8A5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D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E1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0F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F1"/>
    <w:rsid w:val="000007D1"/>
    <w:rsid w:val="000538F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962AD"/>
    <w:rsid w:val="002C4676"/>
    <w:rsid w:val="002C70B0"/>
    <w:rsid w:val="002F3CC4"/>
    <w:rsid w:val="00495C70"/>
    <w:rsid w:val="0050537B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A5C5F"/>
    <w:rsid w:val="006C1B56"/>
    <w:rsid w:val="006D4761"/>
    <w:rsid w:val="00726872"/>
    <w:rsid w:val="00760F1C"/>
    <w:rsid w:val="007657F0"/>
    <w:rsid w:val="0077252D"/>
    <w:rsid w:val="007955DA"/>
    <w:rsid w:val="007B79A6"/>
    <w:rsid w:val="007E5DD3"/>
    <w:rsid w:val="007F350B"/>
    <w:rsid w:val="00820BE4"/>
    <w:rsid w:val="008451E8"/>
    <w:rsid w:val="00913B9C"/>
    <w:rsid w:val="00956E77"/>
    <w:rsid w:val="009E413B"/>
    <w:rsid w:val="009F4811"/>
    <w:rsid w:val="00A7023E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4363B"/>
    <w:rsid w:val="00C55B1F"/>
    <w:rsid w:val="00CF1A67"/>
    <w:rsid w:val="00D2750E"/>
    <w:rsid w:val="00D62446"/>
    <w:rsid w:val="00D74771"/>
    <w:rsid w:val="00D90CC5"/>
    <w:rsid w:val="00DA4EA2"/>
    <w:rsid w:val="00DC3D3E"/>
    <w:rsid w:val="00DE2C90"/>
    <w:rsid w:val="00DE3B24"/>
    <w:rsid w:val="00DF2C3C"/>
    <w:rsid w:val="00E06947"/>
    <w:rsid w:val="00E3592D"/>
    <w:rsid w:val="00E61DA1"/>
    <w:rsid w:val="00E8026B"/>
    <w:rsid w:val="00E92DE8"/>
    <w:rsid w:val="00EB1212"/>
    <w:rsid w:val="00ED65AB"/>
    <w:rsid w:val="00F12850"/>
    <w:rsid w:val="00F33BF4"/>
    <w:rsid w:val="00F7105E"/>
    <w:rsid w:val="00F75F57"/>
    <w:rsid w:val="00F82FEE"/>
    <w:rsid w:val="00FC5D3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C461C"/>
  <w15:docId w15:val="{4CC4058C-94A7-4091-B2AF-B9F086E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5/en" TargetMode="External"/><Relationship Id="rId21" Type="http://schemas.openxmlformats.org/officeDocument/2006/relationships/hyperlink" Target="https://www.itu.int/md/S21-CL-C-0011/en" TargetMode="External"/><Relationship Id="rId42" Type="http://schemas.openxmlformats.org/officeDocument/2006/relationships/hyperlink" Target="https://www.itu.int/md/S21-CL-C-0030/en" TargetMode="External"/><Relationship Id="rId47" Type="http://schemas.openxmlformats.org/officeDocument/2006/relationships/hyperlink" Target="https://www.itu.int/md/S21-CL-C-0035/en" TargetMode="External"/><Relationship Id="rId63" Type="http://schemas.openxmlformats.org/officeDocument/2006/relationships/hyperlink" Target="https://www.itu.int/md/S21-CL-C-0055/en" TargetMode="External"/><Relationship Id="rId68" Type="http://schemas.openxmlformats.org/officeDocument/2006/relationships/hyperlink" Target="https://www.itu.int/md/S21-CL-C-0060/en" TargetMode="External"/><Relationship Id="rId84" Type="http://schemas.openxmlformats.org/officeDocument/2006/relationships/hyperlink" Target="https://www.itu.int/md/S21-CL-C-0077/en" TargetMode="External"/><Relationship Id="rId89" Type="http://schemas.openxmlformats.org/officeDocument/2006/relationships/hyperlink" Target="https://www.itu.int/md/S21-CL-C-0082/en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itu.int/md/S21-CL-C-0006/en" TargetMode="External"/><Relationship Id="rId107" Type="http://schemas.openxmlformats.org/officeDocument/2006/relationships/hyperlink" Target="https://www.itu.int/md/S21-CL-C-0100/en" TargetMode="External"/><Relationship Id="rId11" Type="http://schemas.openxmlformats.org/officeDocument/2006/relationships/hyperlink" Target="https://www.itu.int/md/S21-CL-C-0002/en" TargetMode="External"/><Relationship Id="rId32" Type="http://schemas.openxmlformats.org/officeDocument/2006/relationships/hyperlink" Target="https://www.itu.int/md/S21-CL-C-0021/en" TargetMode="External"/><Relationship Id="rId37" Type="http://schemas.openxmlformats.org/officeDocument/2006/relationships/hyperlink" Target="https://www.itu.int/md/S21-CL-C-0026/en" TargetMode="External"/><Relationship Id="rId53" Type="http://schemas.openxmlformats.org/officeDocument/2006/relationships/hyperlink" Target="https://www.itu.int/md/S21-CL-C-0044/en" TargetMode="External"/><Relationship Id="rId58" Type="http://schemas.openxmlformats.org/officeDocument/2006/relationships/hyperlink" Target="https://www.itu.int/md/S21-CL-C-0049/en" TargetMode="External"/><Relationship Id="rId74" Type="http://schemas.openxmlformats.org/officeDocument/2006/relationships/hyperlink" Target="https://www.itu.int/md/S21-CL-C-0067/en" TargetMode="External"/><Relationship Id="rId79" Type="http://schemas.openxmlformats.org/officeDocument/2006/relationships/hyperlink" Target="https://www.itu.int/md/S21-CL-C-0072/en" TargetMode="External"/><Relationship Id="rId102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1-CL-C-0083/en" TargetMode="External"/><Relationship Id="rId95" Type="http://schemas.openxmlformats.org/officeDocument/2006/relationships/hyperlink" Target="https://www.itu.int/md/S21-CL-C-0088/en" TargetMode="External"/><Relationship Id="rId22" Type="http://schemas.openxmlformats.org/officeDocument/2006/relationships/hyperlink" Target="https://www.itu.int/md/S21-CL-210608-TD-GEN-0003/en" TargetMode="External"/><Relationship Id="rId27" Type="http://schemas.openxmlformats.org/officeDocument/2006/relationships/hyperlink" Target="https://www.itu.int/md/S21-CL-C-0016/en" TargetMode="External"/><Relationship Id="rId43" Type="http://schemas.openxmlformats.org/officeDocument/2006/relationships/hyperlink" Target="https://www.itu.int/md/S21-CL-C-0031/en" TargetMode="External"/><Relationship Id="rId48" Type="http://schemas.openxmlformats.org/officeDocument/2006/relationships/hyperlink" Target="https://www.itu.int/md/S21-CL-C-0036/en" TargetMode="External"/><Relationship Id="rId64" Type="http://schemas.openxmlformats.org/officeDocument/2006/relationships/hyperlink" Target="https://www.itu.int/md/S21-CL-C-0056/en" TargetMode="External"/><Relationship Id="rId69" Type="http://schemas.openxmlformats.org/officeDocument/2006/relationships/hyperlink" Target="https://www.itu.int/md/S21-CL-C-0061/en" TargetMode="External"/><Relationship Id="rId113" Type="http://schemas.openxmlformats.org/officeDocument/2006/relationships/footer" Target="footer1.xml"/><Relationship Id="rId80" Type="http://schemas.openxmlformats.org/officeDocument/2006/relationships/hyperlink" Target="https://www.itu.int/md/S21-CL-C-0073/en" TargetMode="External"/><Relationship Id="rId85" Type="http://schemas.openxmlformats.org/officeDocument/2006/relationships/hyperlink" Target="https://www.itu.int/md/S21-CL-C-0078/en" TargetMode="External"/><Relationship Id="rId12" Type="http://schemas.openxmlformats.org/officeDocument/2006/relationships/hyperlink" Target="https://www.itu.int/md/S21-CL-210608-TD-GEN-0007/en" TargetMode="External"/><Relationship Id="rId17" Type="http://schemas.openxmlformats.org/officeDocument/2006/relationships/hyperlink" Target="https://www.itu.int/md/S21-CL-C-0007/en" TargetMode="External"/><Relationship Id="rId33" Type="http://schemas.openxmlformats.org/officeDocument/2006/relationships/hyperlink" Target="https://www.itu.int/md/S21-CL-C-0022/en" TargetMode="External"/><Relationship Id="rId38" Type="http://schemas.openxmlformats.org/officeDocument/2006/relationships/hyperlink" Target="https://www.itu.int/md/S21-CL-C-0027/en" TargetMode="External"/><Relationship Id="rId59" Type="http://schemas.openxmlformats.org/officeDocument/2006/relationships/hyperlink" Target="https://www.itu.int/md/S21-CL-C-0050/en" TargetMode="External"/><Relationship Id="rId103" Type="http://schemas.openxmlformats.org/officeDocument/2006/relationships/hyperlink" Target="https://www.itu.int/md/S21-CL-C-006/en" TargetMode="External"/><Relationship Id="rId108" Type="http://schemas.openxmlformats.org/officeDocument/2006/relationships/hyperlink" Target="https://www.itu.int/md/S21-CL-C-0101/en" TargetMode="External"/><Relationship Id="rId54" Type="http://schemas.openxmlformats.org/officeDocument/2006/relationships/hyperlink" Target="https://www.itu.int/md/S21-CL-C-0045/en" TargetMode="External"/><Relationship Id="rId70" Type="http://schemas.openxmlformats.org/officeDocument/2006/relationships/hyperlink" Target="https://www.itu.int/md/S21-CL-C-0062/en" TargetMode="External"/><Relationship Id="rId75" Type="http://schemas.openxmlformats.org/officeDocument/2006/relationships/hyperlink" Target="https://www.itu.int/md/S21-CL-C-0068/en" TargetMode="External"/><Relationship Id="rId91" Type="http://schemas.openxmlformats.org/officeDocument/2006/relationships/hyperlink" Target="https://www.itu.int/md/S21-CL-C-0084/en" TargetMode="External"/><Relationship Id="rId96" Type="http://schemas.openxmlformats.org/officeDocument/2006/relationships/hyperlink" Target="https://www.itu.int/md/S21-CL-C-008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05/en" TargetMode="External"/><Relationship Id="rId23" Type="http://schemas.openxmlformats.org/officeDocument/2006/relationships/hyperlink" Target="https://www.itu.int/md/S21-CL-C-0012/en" TargetMode="External"/><Relationship Id="rId28" Type="http://schemas.openxmlformats.org/officeDocument/2006/relationships/hyperlink" Target="https://www.itu.int/md/S21-CL-C-0017/en" TargetMode="External"/><Relationship Id="rId36" Type="http://schemas.openxmlformats.org/officeDocument/2006/relationships/hyperlink" Target="https://www.itu.int/md/S21-CL-C-0025/en" TargetMode="External"/><Relationship Id="rId49" Type="http://schemas.openxmlformats.org/officeDocument/2006/relationships/hyperlink" Target="https://www.itu.int/md/S21-CL-C-0037/en" TargetMode="External"/><Relationship Id="rId57" Type="http://schemas.openxmlformats.org/officeDocument/2006/relationships/hyperlink" Target="https://www.itu.int/md/S21-CL-C-0048/en" TargetMode="External"/><Relationship Id="rId106" Type="http://schemas.openxmlformats.org/officeDocument/2006/relationships/hyperlink" Target="https://www.itu.int/md/S21-CL-C-0099/en" TargetMode="External"/><Relationship Id="rId114" Type="http://schemas.openxmlformats.org/officeDocument/2006/relationships/footer" Target="footer2.xml"/><Relationship Id="rId10" Type="http://schemas.openxmlformats.org/officeDocument/2006/relationships/hyperlink" Target="https://www.itu.int/md/S21-CL-C-0001/en" TargetMode="External"/><Relationship Id="rId31" Type="http://schemas.openxmlformats.org/officeDocument/2006/relationships/hyperlink" Target="https://www.itu.int/md/S21-CL-C-0020/en" TargetMode="External"/><Relationship Id="rId44" Type="http://schemas.openxmlformats.org/officeDocument/2006/relationships/hyperlink" Target="https://www.itu.int/md/S21-CL-C-0032/en" TargetMode="External"/><Relationship Id="rId52" Type="http://schemas.openxmlformats.org/officeDocument/2006/relationships/hyperlink" Target="https://www.itu.int/md/S21-CL-C-0039/en" TargetMode="External"/><Relationship Id="rId60" Type="http://schemas.openxmlformats.org/officeDocument/2006/relationships/hyperlink" Target="https://www.itu.int/md/S21-CL-C-0051/en" TargetMode="External"/><Relationship Id="rId65" Type="http://schemas.openxmlformats.org/officeDocument/2006/relationships/hyperlink" Target="https://www.itu.int/md/S21-CL-C-0057/en" TargetMode="External"/><Relationship Id="rId73" Type="http://schemas.openxmlformats.org/officeDocument/2006/relationships/hyperlink" Target="https://www.itu.int/md/S21-CL-C-0065/en" TargetMode="External"/><Relationship Id="rId78" Type="http://schemas.openxmlformats.org/officeDocument/2006/relationships/hyperlink" Target="https://www.itu.int/md/S21-CL-C-0071/en" TargetMode="External"/><Relationship Id="rId81" Type="http://schemas.openxmlformats.org/officeDocument/2006/relationships/hyperlink" Target="https://www.itu.int/md/S21-CL-C-0074/en" TargetMode="External"/><Relationship Id="rId86" Type="http://schemas.openxmlformats.org/officeDocument/2006/relationships/hyperlink" Target="https://www.itu.int/md/S21-CL-C-0079/en" TargetMode="External"/><Relationship Id="rId94" Type="http://schemas.openxmlformats.org/officeDocument/2006/relationships/hyperlink" Target="https://www.itu.int/md/S21-CL-C-0087/en" TargetMode="External"/><Relationship Id="rId99" Type="http://schemas.openxmlformats.org/officeDocument/2006/relationships/hyperlink" Target="https://www.itu.int/md/S21-CL-C-0092/en" TargetMode="External"/><Relationship Id="rId101" Type="http://schemas.openxmlformats.org/officeDocument/2006/relationships/hyperlink" Target="https://www.itu.int/md/S21-CL-C-009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DM-CIR-01017/es" TargetMode="External"/><Relationship Id="rId13" Type="http://schemas.openxmlformats.org/officeDocument/2006/relationships/hyperlink" Target="https://www.itu.int/md/S21-CL-C-0003/en" TargetMode="External"/><Relationship Id="rId18" Type="http://schemas.openxmlformats.org/officeDocument/2006/relationships/hyperlink" Target="https://www.itu.int/md/S21-CL-C-0008/en" TargetMode="External"/><Relationship Id="rId39" Type="http://schemas.openxmlformats.org/officeDocument/2006/relationships/hyperlink" Target="https://www.itu.int/md/S21-CL-C-0028/en" TargetMode="External"/><Relationship Id="rId109" Type="http://schemas.openxmlformats.org/officeDocument/2006/relationships/hyperlink" Target="https://www.itu.int/md/S21-CL-C-0102/en" TargetMode="External"/><Relationship Id="rId34" Type="http://schemas.openxmlformats.org/officeDocument/2006/relationships/hyperlink" Target="https://www.itu.int/md/S21-CL-C-0023/en" TargetMode="External"/><Relationship Id="rId50" Type="http://schemas.openxmlformats.org/officeDocument/2006/relationships/hyperlink" Target="https://www.itu.int/md/S21-CL-210608-TD-GEN-0005/en" TargetMode="External"/><Relationship Id="rId55" Type="http://schemas.openxmlformats.org/officeDocument/2006/relationships/hyperlink" Target="https://www.itu.int/md/S21-CL-C-0046/en" TargetMode="External"/><Relationship Id="rId76" Type="http://schemas.openxmlformats.org/officeDocument/2006/relationships/hyperlink" Target="https://www.itu.int/md/S21-CL-C-0069/en" TargetMode="External"/><Relationship Id="rId97" Type="http://schemas.openxmlformats.org/officeDocument/2006/relationships/hyperlink" Target="https://www.itu.int/md/S21-CL-C-0090/en" TargetMode="External"/><Relationship Id="rId104" Type="http://schemas.openxmlformats.org/officeDocument/2006/relationships/hyperlink" Target="https://www.itu.int/md/S21-CL-C-0097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63/en" TargetMode="External"/><Relationship Id="rId92" Type="http://schemas.openxmlformats.org/officeDocument/2006/relationships/hyperlink" Target="https://www.itu.int/md/S21-CL-C-008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18/en" TargetMode="External"/><Relationship Id="rId24" Type="http://schemas.openxmlformats.org/officeDocument/2006/relationships/hyperlink" Target="https://www.itu.int/md/S21-CL-C-0013/en" TargetMode="External"/><Relationship Id="rId40" Type="http://schemas.openxmlformats.org/officeDocument/2006/relationships/hyperlink" Target="https://www.itu.int/md/S21-CL-210608-TD-GEN-0002/en" TargetMode="External"/><Relationship Id="rId45" Type="http://schemas.openxmlformats.org/officeDocument/2006/relationships/hyperlink" Target="https://www.itu.int/md/S21-CL-C-0033/en" TargetMode="External"/><Relationship Id="rId66" Type="http://schemas.openxmlformats.org/officeDocument/2006/relationships/hyperlink" Target="https://www.itu.int/md/S21-CL-C-0058/en" TargetMode="External"/><Relationship Id="rId87" Type="http://schemas.openxmlformats.org/officeDocument/2006/relationships/hyperlink" Target="https://www.itu.int/md/S21-CL-C-0080/en" TargetMode="External"/><Relationship Id="rId110" Type="http://schemas.openxmlformats.org/officeDocument/2006/relationships/hyperlink" Target="https://www.itu.int/md/S21-CL-C-0103/en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itu.int/md/S21-CL-C-0052/en" TargetMode="External"/><Relationship Id="rId82" Type="http://schemas.openxmlformats.org/officeDocument/2006/relationships/hyperlink" Target="https://www.itu.int/md/S21-CL-C-0075/en" TargetMode="External"/><Relationship Id="rId19" Type="http://schemas.openxmlformats.org/officeDocument/2006/relationships/hyperlink" Target="https://www.itu.int/md/S21-CL-C-0009/en" TargetMode="External"/><Relationship Id="rId14" Type="http://schemas.openxmlformats.org/officeDocument/2006/relationships/hyperlink" Target="https://www.itu.int/md/S21-CL-C-0004/en" TargetMode="External"/><Relationship Id="rId30" Type="http://schemas.openxmlformats.org/officeDocument/2006/relationships/hyperlink" Target="https://www.itu.int/md/S21-CL-C-0019/en" TargetMode="External"/><Relationship Id="rId35" Type="http://schemas.openxmlformats.org/officeDocument/2006/relationships/hyperlink" Target="https://www.itu.int/md/S21-CL-C-0024/en" TargetMode="External"/><Relationship Id="rId56" Type="http://schemas.openxmlformats.org/officeDocument/2006/relationships/hyperlink" Target="https://www.itu.int/md/S21-CL-C-0047/en" TargetMode="External"/><Relationship Id="rId77" Type="http://schemas.openxmlformats.org/officeDocument/2006/relationships/hyperlink" Target="https://www.itu.int/md/S21-CL-C-0070/en" TargetMode="External"/><Relationship Id="rId100" Type="http://schemas.openxmlformats.org/officeDocument/2006/relationships/hyperlink" Target="https://www.itu.int/md/S21-CL-C-0093/en" TargetMode="External"/><Relationship Id="rId105" Type="http://schemas.openxmlformats.org/officeDocument/2006/relationships/hyperlink" Target="https://www.itu.int/md/S21-CL-C-0098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38/en" TargetMode="External"/><Relationship Id="rId72" Type="http://schemas.openxmlformats.org/officeDocument/2006/relationships/hyperlink" Target="https://www.itu.int/md/S21-CL-C-0064/en" TargetMode="External"/><Relationship Id="rId93" Type="http://schemas.openxmlformats.org/officeDocument/2006/relationships/hyperlink" Target="https://www.itu.int/md/S21-CL-C-0086/en" TargetMode="External"/><Relationship Id="rId98" Type="http://schemas.openxmlformats.org/officeDocument/2006/relationships/hyperlink" Target="https://www.itu.int/md/S21-CL-C-0091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1-CL-C-0014/en" TargetMode="External"/><Relationship Id="rId46" Type="http://schemas.openxmlformats.org/officeDocument/2006/relationships/hyperlink" Target="https://www.itu.int/md/S21-CL-C-0034/en" TargetMode="External"/><Relationship Id="rId67" Type="http://schemas.openxmlformats.org/officeDocument/2006/relationships/hyperlink" Target="https://www.itu.int/md/S21-CL-C-0059/en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md/S21-CL-C-0010/en" TargetMode="External"/><Relationship Id="rId41" Type="http://schemas.openxmlformats.org/officeDocument/2006/relationships/hyperlink" Target="https://www.itu.int/md/S21-CL-C-0029/en" TargetMode="External"/><Relationship Id="rId62" Type="http://schemas.openxmlformats.org/officeDocument/2006/relationships/hyperlink" Target="https://www.itu.int/md/S21-CL-C-0054/en" TargetMode="External"/><Relationship Id="rId83" Type="http://schemas.openxmlformats.org/officeDocument/2006/relationships/hyperlink" Target="https://www.itu.int/md/S21-CL-C-0076/en" TargetMode="External"/><Relationship Id="rId88" Type="http://schemas.openxmlformats.org/officeDocument/2006/relationships/hyperlink" Target="https://www.itu.int/md/S21-CL-C-0081/en" TargetMode="External"/><Relationship Id="rId111" Type="http://schemas.openxmlformats.org/officeDocument/2006/relationships/hyperlink" Target="https://www.itu.int/md/S21-CL-C-010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5A51-1B53-4152-A2C4-D1CAA6B8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6</Pages>
  <Words>1710</Words>
  <Characters>15115</Characters>
  <Application>Microsoft Office Word</Application>
  <DocSecurity>4</DocSecurity>
  <Lines>125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16792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FINAL DE DOCUMENTOS</dc:title>
  <dc:subject>Council 2021, Virtual consultation of councillors</dc:subject>
  <dc:creator>Spanish83</dc:creator>
  <cp:keywords>C2021, C21, C21/VCC1, VCC</cp:keywords>
  <dc:description/>
  <cp:lastModifiedBy>Xue, Kun</cp:lastModifiedBy>
  <cp:revision>2</cp:revision>
  <cp:lastPrinted>2006-03-24T09:51:00Z</cp:lastPrinted>
  <dcterms:created xsi:type="dcterms:W3CDTF">2021-09-10T06:31:00Z</dcterms:created>
  <dcterms:modified xsi:type="dcterms:W3CDTF">2021-09-10T06:31:00Z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