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700D1F" w14:paraId="746F91A1" w14:textId="77777777">
        <w:trPr>
          <w:cantSplit/>
        </w:trPr>
        <w:tc>
          <w:tcPr>
            <w:tcW w:w="6911" w:type="dxa"/>
          </w:tcPr>
          <w:p w14:paraId="60316F4F" w14:textId="2B38286C" w:rsidR="000C0BC5" w:rsidRPr="000C0BC5" w:rsidRDefault="00D94637" w:rsidP="000C0BC5">
            <w:pPr>
              <w:spacing w:before="360" w:after="48"/>
              <w:rPr>
                <w:lang w:eastAsia="zh-CN"/>
              </w:rPr>
            </w:pPr>
            <w:r w:rsidRPr="00911867">
              <w:rPr>
                <w:rFonts w:ascii="SimSun" w:hAnsi="SimSun" w:hint="eastAsia"/>
                <w:b/>
                <w:bCs/>
                <w:sz w:val="30"/>
                <w:szCs w:val="30"/>
                <w:lang w:val="en-US" w:eastAsia="zh-CN"/>
              </w:rPr>
              <w:t>理事会</w:t>
            </w:r>
            <w:r w:rsidRPr="00911867">
              <w:rPr>
                <w:rFonts w:cs="Arial"/>
                <w:b/>
                <w:bCs/>
                <w:sz w:val="30"/>
                <w:szCs w:val="30"/>
                <w:lang w:val="en-US" w:eastAsia="zh-CN"/>
              </w:rPr>
              <w:t>20</w:t>
            </w:r>
            <w:r w:rsidR="008418F5" w:rsidRPr="00911867">
              <w:rPr>
                <w:rFonts w:cs="Arial"/>
                <w:b/>
                <w:bCs/>
                <w:sz w:val="30"/>
                <w:szCs w:val="30"/>
                <w:lang w:val="en-US" w:eastAsia="zh-CN"/>
              </w:rPr>
              <w:t>2</w:t>
            </w:r>
            <w:r w:rsidR="00911867" w:rsidRPr="00911867">
              <w:rPr>
                <w:rFonts w:cs="Arial"/>
                <w:b/>
                <w:bCs/>
                <w:sz w:val="30"/>
                <w:szCs w:val="30"/>
                <w:lang w:val="en-US" w:eastAsia="zh-CN"/>
              </w:rPr>
              <w:t>1</w:t>
            </w:r>
            <w:r w:rsidRPr="00911867">
              <w:rPr>
                <w:rFonts w:ascii="SimSun" w:hAnsi="SimSun" w:hint="eastAsia"/>
                <w:b/>
                <w:bCs/>
                <w:sz w:val="30"/>
                <w:szCs w:val="30"/>
                <w:lang w:val="en-US" w:eastAsia="zh-CN"/>
              </w:rPr>
              <w:t>年会议</w:t>
            </w:r>
            <w:r w:rsidRPr="00396098">
              <w:rPr>
                <w:rFonts w:ascii="Arial" w:hAnsi="Arial" w:cs="Arial"/>
                <w:b/>
                <w:bCs/>
                <w:szCs w:val="24"/>
                <w:lang w:val="en-US" w:eastAsia="zh-CN"/>
              </w:rPr>
              <w:br/>
            </w:r>
            <w:r w:rsidR="008716F6" w:rsidRPr="008716F6">
              <w:rPr>
                <w:rFonts w:asciiTheme="minorHAnsi" w:hAnsiTheme="minorHAnsi" w:cstheme="minorHAnsi"/>
                <w:b/>
                <w:bCs/>
                <w:color w:val="000000"/>
                <w:sz w:val="28"/>
                <w:szCs w:val="22"/>
                <w:lang w:eastAsia="zh-CN"/>
              </w:rPr>
              <w:t>信函磋商（</w:t>
            </w:r>
            <w:r w:rsidR="008716F6" w:rsidRPr="008716F6">
              <w:rPr>
                <w:rFonts w:asciiTheme="minorHAnsi" w:hAnsiTheme="minorHAnsi" w:cstheme="minorHAnsi"/>
                <w:b/>
                <w:bCs/>
                <w:color w:val="000000"/>
                <w:sz w:val="28"/>
                <w:szCs w:val="22"/>
                <w:lang w:eastAsia="zh-CN"/>
              </w:rPr>
              <w:t>2021</w:t>
            </w:r>
            <w:r w:rsidR="008716F6" w:rsidRPr="008716F6">
              <w:rPr>
                <w:rFonts w:asciiTheme="minorHAnsi" w:hAnsiTheme="minorHAnsi" w:cstheme="minorHAnsi"/>
                <w:b/>
                <w:bCs/>
                <w:color w:val="000000"/>
                <w:sz w:val="28"/>
                <w:szCs w:val="22"/>
                <w:lang w:eastAsia="zh-CN"/>
              </w:rPr>
              <w:t>年</w:t>
            </w:r>
            <w:r w:rsidR="008716F6" w:rsidRPr="008716F6">
              <w:rPr>
                <w:rFonts w:asciiTheme="minorHAnsi" w:hAnsiTheme="minorHAnsi" w:cstheme="minorHAnsi"/>
                <w:b/>
                <w:bCs/>
                <w:color w:val="000000"/>
                <w:sz w:val="28"/>
                <w:szCs w:val="22"/>
                <w:lang w:eastAsia="zh-CN"/>
              </w:rPr>
              <w:t>7</w:t>
            </w:r>
            <w:r w:rsidR="008716F6" w:rsidRPr="008716F6">
              <w:rPr>
                <w:rFonts w:asciiTheme="minorHAnsi" w:hAnsiTheme="minorHAnsi" w:cstheme="minorHAnsi"/>
                <w:b/>
                <w:bCs/>
                <w:color w:val="000000"/>
                <w:sz w:val="28"/>
                <w:szCs w:val="22"/>
                <w:lang w:eastAsia="zh-CN"/>
              </w:rPr>
              <w:t>月</w:t>
            </w:r>
            <w:r w:rsidR="008716F6" w:rsidRPr="008716F6">
              <w:rPr>
                <w:rFonts w:asciiTheme="minorHAnsi" w:hAnsiTheme="minorHAnsi" w:cstheme="minorHAnsi"/>
                <w:b/>
                <w:bCs/>
                <w:color w:val="000000"/>
                <w:sz w:val="28"/>
                <w:szCs w:val="22"/>
                <w:lang w:eastAsia="zh-CN"/>
              </w:rPr>
              <w:t>31</w:t>
            </w:r>
            <w:r w:rsidR="008716F6" w:rsidRPr="008716F6">
              <w:rPr>
                <w:rFonts w:asciiTheme="minorHAnsi" w:hAnsiTheme="minorHAnsi" w:cstheme="minorHAnsi"/>
                <w:b/>
                <w:bCs/>
                <w:color w:val="000000"/>
                <w:sz w:val="28"/>
                <w:szCs w:val="22"/>
                <w:lang w:eastAsia="zh-CN"/>
              </w:rPr>
              <w:t>日）</w:t>
            </w:r>
          </w:p>
        </w:tc>
        <w:tc>
          <w:tcPr>
            <w:tcW w:w="3120" w:type="dxa"/>
          </w:tcPr>
          <w:p w14:paraId="63880689" w14:textId="77777777" w:rsidR="00700D1F" w:rsidRDefault="008418F5" w:rsidP="008418F5">
            <w:pPr>
              <w:spacing w:before="0"/>
            </w:pPr>
            <w:bookmarkStart w:id="0" w:name="ditulogo"/>
            <w:bookmarkEnd w:id="0"/>
            <w:r>
              <w:rPr>
                <w:noProof/>
                <w:lang w:eastAsia="zh-CN"/>
              </w:rPr>
              <w:drawing>
                <wp:inline distT="0" distB="0" distL="0" distR="0" wp14:anchorId="26B4A6E5" wp14:editId="7B73635F">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700D1F" w:rsidRPr="00617BE4" w14:paraId="4B303F11" w14:textId="77777777">
        <w:trPr>
          <w:cantSplit/>
        </w:trPr>
        <w:tc>
          <w:tcPr>
            <w:tcW w:w="6911" w:type="dxa"/>
            <w:tcBorders>
              <w:bottom w:val="single" w:sz="12" w:space="0" w:color="auto"/>
            </w:tcBorders>
          </w:tcPr>
          <w:p w14:paraId="7732C1D9" w14:textId="77777777" w:rsidR="00700D1F" w:rsidRPr="00617BE4" w:rsidRDefault="00700D1F" w:rsidP="00001B77">
            <w:pPr>
              <w:spacing w:before="0" w:after="48"/>
              <w:rPr>
                <w:b/>
                <w:smallCaps/>
                <w:szCs w:val="24"/>
              </w:rPr>
            </w:pPr>
          </w:p>
        </w:tc>
        <w:tc>
          <w:tcPr>
            <w:tcW w:w="3120" w:type="dxa"/>
            <w:tcBorders>
              <w:bottom w:val="single" w:sz="12" w:space="0" w:color="auto"/>
            </w:tcBorders>
          </w:tcPr>
          <w:p w14:paraId="7143A57A" w14:textId="77777777" w:rsidR="00700D1F" w:rsidRPr="00617BE4" w:rsidRDefault="00700D1F" w:rsidP="00001B77">
            <w:pPr>
              <w:spacing w:before="0"/>
              <w:rPr>
                <w:rFonts w:ascii="Verdana" w:hAnsi="Verdana"/>
                <w:szCs w:val="24"/>
              </w:rPr>
            </w:pPr>
          </w:p>
        </w:tc>
      </w:tr>
      <w:tr w:rsidR="00700D1F" w:rsidRPr="00617BE4" w14:paraId="0ED6A41E" w14:textId="77777777">
        <w:trPr>
          <w:cantSplit/>
        </w:trPr>
        <w:tc>
          <w:tcPr>
            <w:tcW w:w="6911" w:type="dxa"/>
            <w:tcBorders>
              <w:top w:val="single" w:sz="12" w:space="0" w:color="auto"/>
            </w:tcBorders>
          </w:tcPr>
          <w:p w14:paraId="14F051DC" w14:textId="77777777" w:rsidR="00700D1F" w:rsidRPr="00617BE4" w:rsidRDefault="00700D1F" w:rsidP="00001B77">
            <w:pPr>
              <w:spacing w:before="0" w:after="48"/>
              <w:rPr>
                <w:b/>
                <w:smallCaps/>
                <w:szCs w:val="24"/>
              </w:rPr>
            </w:pPr>
          </w:p>
        </w:tc>
        <w:tc>
          <w:tcPr>
            <w:tcW w:w="3120" w:type="dxa"/>
            <w:tcBorders>
              <w:top w:val="single" w:sz="12" w:space="0" w:color="auto"/>
            </w:tcBorders>
          </w:tcPr>
          <w:p w14:paraId="628120DD" w14:textId="77777777" w:rsidR="00700D1F" w:rsidRPr="00617BE4" w:rsidRDefault="00700D1F" w:rsidP="00001B77">
            <w:pPr>
              <w:spacing w:before="0"/>
              <w:rPr>
                <w:rFonts w:ascii="Verdana" w:hAnsi="Verdana"/>
                <w:szCs w:val="24"/>
              </w:rPr>
            </w:pPr>
          </w:p>
        </w:tc>
      </w:tr>
      <w:tr w:rsidR="00700D1F" w14:paraId="394954AB" w14:textId="77777777">
        <w:trPr>
          <w:cantSplit/>
          <w:trHeight w:val="23"/>
        </w:trPr>
        <w:tc>
          <w:tcPr>
            <w:tcW w:w="6911" w:type="dxa"/>
            <w:vMerge w:val="restart"/>
          </w:tcPr>
          <w:p w14:paraId="5B62C09A" w14:textId="46D6C3FE" w:rsidR="00700D1F" w:rsidRPr="00FC5386" w:rsidRDefault="00700D1F" w:rsidP="00E067C5">
            <w:pPr>
              <w:tabs>
                <w:tab w:val="left" w:pos="851"/>
              </w:tabs>
              <w:rPr>
                <w:b/>
                <w:szCs w:val="24"/>
                <w:lang w:eastAsia="zh-CN"/>
              </w:rPr>
            </w:pPr>
            <w:bookmarkStart w:id="1" w:name="dmeeting" w:colFirst="0" w:colLast="0"/>
          </w:p>
        </w:tc>
        <w:tc>
          <w:tcPr>
            <w:tcW w:w="3120" w:type="dxa"/>
          </w:tcPr>
          <w:p w14:paraId="7683CC80" w14:textId="5E53A4E1" w:rsidR="00700D1F" w:rsidRPr="00700D1F" w:rsidRDefault="00700D1F" w:rsidP="00D453EE">
            <w:pPr>
              <w:tabs>
                <w:tab w:val="left" w:pos="851"/>
              </w:tabs>
              <w:spacing w:before="0"/>
              <w:rPr>
                <w:b/>
                <w:bCs/>
                <w:lang w:eastAsia="zh-CN"/>
              </w:rPr>
            </w:pPr>
            <w:r w:rsidRPr="00FC5386">
              <w:rPr>
                <w:rFonts w:hint="eastAsia"/>
                <w:b/>
                <w:bCs/>
                <w:szCs w:val="24"/>
                <w:lang w:val="fr-CH" w:eastAsia="zh-CN"/>
              </w:rPr>
              <w:t>文件</w:t>
            </w:r>
            <w:r w:rsidRPr="00700D1F">
              <w:rPr>
                <w:b/>
                <w:bCs/>
                <w:sz w:val="20"/>
                <w:lang w:eastAsia="zh-CN"/>
              </w:rPr>
              <w:t xml:space="preserve"> </w:t>
            </w:r>
            <w:r w:rsidRPr="00FC5386">
              <w:rPr>
                <w:b/>
                <w:bCs/>
                <w:szCs w:val="24"/>
                <w:lang w:eastAsia="zh-CN"/>
              </w:rPr>
              <w:t>C</w:t>
            </w:r>
            <w:r w:rsidR="008418F5">
              <w:rPr>
                <w:b/>
                <w:bCs/>
                <w:szCs w:val="24"/>
                <w:lang w:eastAsia="zh-CN"/>
              </w:rPr>
              <w:t>2</w:t>
            </w:r>
            <w:r w:rsidR="00911867">
              <w:rPr>
                <w:b/>
                <w:bCs/>
                <w:szCs w:val="24"/>
                <w:lang w:eastAsia="zh-CN"/>
              </w:rPr>
              <w:t>1</w:t>
            </w:r>
            <w:r w:rsidRPr="00FC5386">
              <w:rPr>
                <w:b/>
                <w:bCs/>
                <w:szCs w:val="24"/>
                <w:lang w:eastAsia="zh-CN"/>
              </w:rPr>
              <w:t>/</w:t>
            </w:r>
            <w:r w:rsidR="008716F6">
              <w:rPr>
                <w:b/>
                <w:bCs/>
                <w:szCs w:val="24"/>
                <w:lang w:eastAsia="zh-CN"/>
              </w:rPr>
              <w:t>95</w:t>
            </w:r>
            <w:r w:rsidRPr="00FC5386">
              <w:rPr>
                <w:b/>
                <w:bCs/>
                <w:szCs w:val="24"/>
                <w:lang w:eastAsia="zh-CN"/>
              </w:rPr>
              <w:t>-C</w:t>
            </w:r>
          </w:p>
        </w:tc>
      </w:tr>
      <w:bookmarkEnd w:id="1"/>
      <w:tr w:rsidR="00700D1F" w14:paraId="6FF9FC15" w14:textId="77777777">
        <w:trPr>
          <w:cantSplit/>
          <w:trHeight w:val="23"/>
        </w:trPr>
        <w:tc>
          <w:tcPr>
            <w:tcW w:w="6911" w:type="dxa"/>
            <w:vMerge/>
          </w:tcPr>
          <w:p w14:paraId="4D41FBDD" w14:textId="77777777" w:rsidR="00700D1F" w:rsidRDefault="00700D1F" w:rsidP="00001B77">
            <w:pPr>
              <w:tabs>
                <w:tab w:val="left" w:pos="851"/>
              </w:tabs>
              <w:rPr>
                <w:b/>
                <w:lang w:eastAsia="zh-CN"/>
              </w:rPr>
            </w:pPr>
          </w:p>
        </w:tc>
        <w:tc>
          <w:tcPr>
            <w:tcW w:w="3120" w:type="dxa"/>
          </w:tcPr>
          <w:p w14:paraId="77681BA8" w14:textId="492B1D43" w:rsidR="00700D1F" w:rsidRPr="00FC5386" w:rsidRDefault="00700D1F" w:rsidP="00D453EE">
            <w:pPr>
              <w:tabs>
                <w:tab w:val="left" w:pos="993"/>
              </w:tabs>
              <w:spacing w:before="0"/>
              <w:rPr>
                <w:b/>
                <w:bCs/>
                <w:szCs w:val="24"/>
                <w:lang w:eastAsia="zh-CN"/>
              </w:rPr>
            </w:pPr>
            <w:r w:rsidRPr="00FC5386">
              <w:rPr>
                <w:b/>
                <w:bCs/>
                <w:szCs w:val="24"/>
                <w:lang w:eastAsia="zh-CN"/>
              </w:rPr>
              <w:t>20</w:t>
            </w:r>
            <w:r w:rsidR="008418F5">
              <w:rPr>
                <w:b/>
                <w:bCs/>
                <w:szCs w:val="24"/>
                <w:lang w:eastAsia="zh-CN"/>
              </w:rPr>
              <w:t>2</w:t>
            </w:r>
            <w:r w:rsidR="00911867">
              <w:rPr>
                <w:b/>
                <w:bCs/>
                <w:szCs w:val="24"/>
                <w:lang w:eastAsia="zh-CN"/>
              </w:rPr>
              <w:t>1</w:t>
            </w:r>
            <w:r w:rsidRPr="00FC5386">
              <w:rPr>
                <w:rFonts w:hint="eastAsia"/>
                <w:b/>
                <w:bCs/>
                <w:szCs w:val="24"/>
                <w:lang w:eastAsia="zh-CN"/>
              </w:rPr>
              <w:t>年</w:t>
            </w:r>
            <w:r w:rsidR="008716F6">
              <w:rPr>
                <w:rFonts w:hint="eastAsia"/>
                <w:b/>
                <w:bCs/>
                <w:szCs w:val="24"/>
                <w:lang w:eastAsia="zh-CN"/>
              </w:rPr>
              <w:t>8</w:t>
            </w:r>
            <w:r w:rsidRPr="00FC5386">
              <w:rPr>
                <w:rFonts w:hint="eastAsia"/>
                <w:b/>
                <w:bCs/>
                <w:szCs w:val="24"/>
                <w:lang w:eastAsia="zh-CN"/>
              </w:rPr>
              <w:t>月</w:t>
            </w:r>
            <w:r w:rsidR="008716F6">
              <w:rPr>
                <w:rFonts w:hint="eastAsia"/>
                <w:b/>
                <w:bCs/>
                <w:szCs w:val="24"/>
                <w:lang w:eastAsia="zh-CN"/>
              </w:rPr>
              <w:t>6</w:t>
            </w:r>
            <w:r w:rsidRPr="00FC5386">
              <w:rPr>
                <w:rFonts w:hint="eastAsia"/>
                <w:b/>
                <w:bCs/>
                <w:szCs w:val="24"/>
                <w:lang w:eastAsia="zh-CN"/>
              </w:rPr>
              <w:t>日</w:t>
            </w:r>
          </w:p>
        </w:tc>
      </w:tr>
      <w:tr w:rsidR="00700D1F" w14:paraId="7042B220" w14:textId="77777777">
        <w:trPr>
          <w:cantSplit/>
          <w:trHeight w:val="23"/>
        </w:trPr>
        <w:tc>
          <w:tcPr>
            <w:tcW w:w="6911" w:type="dxa"/>
            <w:vMerge/>
          </w:tcPr>
          <w:p w14:paraId="64489BCD" w14:textId="77777777" w:rsidR="00700D1F" w:rsidRDefault="00700D1F" w:rsidP="00001B77">
            <w:pPr>
              <w:tabs>
                <w:tab w:val="left" w:pos="851"/>
              </w:tabs>
              <w:rPr>
                <w:b/>
                <w:lang w:eastAsia="zh-CN"/>
              </w:rPr>
            </w:pPr>
          </w:p>
        </w:tc>
        <w:tc>
          <w:tcPr>
            <w:tcW w:w="3120" w:type="dxa"/>
          </w:tcPr>
          <w:p w14:paraId="508DF026" w14:textId="77777777" w:rsidR="00700D1F" w:rsidRPr="00FC5386" w:rsidRDefault="00700D1F" w:rsidP="00001B77">
            <w:pPr>
              <w:tabs>
                <w:tab w:val="left" w:pos="993"/>
              </w:tabs>
              <w:spacing w:before="0"/>
              <w:rPr>
                <w:rFonts w:ascii="SimSun" w:hAnsi="SimSun"/>
                <w:b/>
                <w:bCs/>
                <w:szCs w:val="24"/>
                <w:lang w:eastAsia="zh-CN"/>
              </w:rPr>
            </w:pPr>
            <w:r w:rsidRPr="00FC5386">
              <w:rPr>
                <w:rFonts w:hint="eastAsia"/>
                <w:b/>
                <w:bCs/>
                <w:szCs w:val="24"/>
                <w:lang w:eastAsia="zh-CN"/>
              </w:rPr>
              <w:t>原文：</w:t>
            </w:r>
            <w:r w:rsidR="00F11595" w:rsidRPr="00FC5386">
              <w:rPr>
                <w:rFonts w:hint="eastAsia"/>
                <w:b/>
                <w:bCs/>
                <w:szCs w:val="24"/>
                <w:lang w:eastAsia="zh-CN"/>
              </w:rPr>
              <w:t>英</w:t>
            </w:r>
            <w:r w:rsidRPr="00FC5386">
              <w:rPr>
                <w:rFonts w:hint="eastAsia"/>
                <w:b/>
                <w:bCs/>
                <w:szCs w:val="24"/>
                <w:lang w:eastAsia="zh-CN"/>
              </w:rPr>
              <w:t>文</w:t>
            </w:r>
          </w:p>
        </w:tc>
      </w:tr>
    </w:tbl>
    <w:p w14:paraId="54A7F7EB" w14:textId="77777777" w:rsidR="0093362E" w:rsidRDefault="0093362E" w:rsidP="00001B77">
      <w:pPr>
        <w:rPr>
          <w:lang w:eastAsia="zh-CN"/>
        </w:rPr>
      </w:pPr>
    </w:p>
    <w:p w14:paraId="028B1EA3" w14:textId="77777777" w:rsidR="008716F6" w:rsidRPr="00DB4AAB" w:rsidRDefault="008716F6" w:rsidP="008716F6">
      <w:pPr>
        <w:pStyle w:val="ResNo"/>
        <w:rPr>
          <w:rFonts w:cs="Calibri"/>
          <w:lang w:eastAsia="zh-CN"/>
        </w:rPr>
      </w:pPr>
      <w:r w:rsidRPr="00DB4AAB">
        <w:rPr>
          <w:rFonts w:hint="eastAsia"/>
          <w:lang w:val="en-US" w:eastAsia="zh-CN"/>
        </w:rPr>
        <w:t>第</w:t>
      </w:r>
      <w:r w:rsidRPr="00DB4AAB">
        <w:rPr>
          <w:lang w:val="en-US" w:eastAsia="zh-CN"/>
        </w:rPr>
        <w:t>1404</w:t>
      </w:r>
      <w:r w:rsidRPr="00DB4AAB">
        <w:rPr>
          <w:rFonts w:hint="eastAsia"/>
          <w:lang w:val="en-US" w:eastAsia="zh-CN"/>
        </w:rPr>
        <w:t>号</w:t>
      </w:r>
      <w:r w:rsidRPr="00DB4AAB">
        <w:rPr>
          <w:rFonts w:cs="Calibri" w:hint="eastAsia"/>
          <w:lang w:val="en-US" w:eastAsia="zh-CN"/>
        </w:rPr>
        <w:t>决议</w:t>
      </w:r>
    </w:p>
    <w:p w14:paraId="2E230DF6" w14:textId="77777777" w:rsidR="008716F6" w:rsidRPr="00DB4AAB" w:rsidRDefault="008716F6" w:rsidP="008716F6">
      <w:pPr>
        <w:tabs>
          <w:tab w:val="left" w:pos="567"/>
          <w:tab w:val="left" w:pos="1134"/>
          <w:tab w:val="left" w:pos="1701"/>
          <w:tab w:val="left" w:pos="2268"/>
          <w:tab w:val="left" w:pos="2835"/>
        </w:tabs>
        <w:jc w:val="center"/>
        <w:rPr>
          <w:rFonts w:cs="Calibri"/>
          <w:sz w:val="28"/>
          <w:szCs w:val="28"/>
          <w:lang w:val="en-US" w:eastAsia="zh-CN"/>
        </w:rPr>
      </w:pPr>
      <w:bookmarkStart w:id="2" w:name="_Hlk76411113"/>
      <w:r w:rsidRPr="00DB4AAB">
        <w:rPr>
          <w:rFonts w:cs="Calibri" w:hint="eastAsia"/>
          <w:sz w:val="28"/>
          <w:szCs w:val="28"/>
          <w:lang w:val="en-US" w:eastAsia="zh-CN"/>
        </w:rPr>
        <w:t>（获信函通过）</w:t>
      </w:r>
    </w:p>
    <w:p w14:paraId="11DB596F" w14:textId="77777777" w:rsidR="008716F6" w:rsidRPr="00DB4AAB" w:rsidRDefault="008716F6" w:rsidP="008716F6">
      <w:pPr>
        <w:pStyle w:val="Restitle"/>
        <w:rPr>
          <w:lang w:val="en-US" w:eastAsia="zh-CN"/>
        </w:rPr>
      </w:pPr>
      <w:r w:rsidRPr="00DB4AAB">
        <w:rPr>
          <w:rFonts w:hint="eastAsia"/>
          <w:lang w:val="en-US" w:eastAsia="zh-CN"/>
        </w:rPr>
        <w:t>设立制定</w:t>
      </w:r>
      <w:r w:rsidRPr="00DB4AAB">
        <w:rPr>
          <w:rFonts w:eastAsia="'宋体"/>
          <w:bCs/>
          <w:szCs w:val="28"/>
          <w:lang w:val="en-US" w:eastAsia="zh-CN"/>
        </w:rPr>
        <w:t>2024-2027</w:t>
      </w:r>
      <w:r w:rsidRPr="00DB4AAB">
        <w:rPr>
          <w:rFonts w:hint="eastAsia"/>
          <w:lang w:val="en-US" w:eastAsia="zh-CN"/>
        </w:rPr>
        <w:t>年国际电联《战略规划》</w:t>
      </w:r>
      <w:r w:rsidRPr="00DB4AAB">
        <w:rPr>
          <w:lang w:val="en-US" w:eastAsia="zh-CN"/>
        </w:rPr>
        <w:br/>
      </w:r>
      <w:r w:rsidRPr="00DB4AAB">
        <w:rPr>
          <w:rFonts w:hint="eastAsia"/>
          <w:lang w:val="en-US" w:eastAsia="zh-CN"/>
        </w:rPr>
        <w:t>和《财务规划》的理事会工作组</w:t>
      </w:r>
      <w:bookmarkEnd w:id="2"/>
    </w:p>
    <w:p w14:paraId="2702B13F" w14:textId="77777777" w:rsidR="008716F6" w:rsidRPr="00DB4AAB" w:rsidRDefault="008716F6" w:rsidP="008716F6">
      <w:pPr>
        <w:pStyle w:val="Normalaftertitle"/>
        <w:rPr>
          <w:rFonts w:ascii="Times New Roman" w:eastAsia="Times New Roman" w:hAnsi="Times New Roman"/>
          <w:lang w:eastAsia="zh-CN"/>
        </w:rPr>
      </w:pPr>
      <w:r w:rsidRPr="00DB4AAB">
        <w:rPr>
          <w:rFonts w:hint="eastAsia"/>
          <w:lang w:eastAsia="zh-CN"/>
        </w:rPr>
        <w:t>国际电联理事会，</w:t>
      </w:r>
    </w:p>
    <w:p w14:paraId="2D568106" w14:textId="77777777" w:rsidR="008716F6" w:rsidRPr="00DB4AAB" w:rsidRDefault="008716F6" w:rsidP="008716F6">
      <w:pPr>
        <w:pStyle w:val="Call"/>
        <w:rPr>
          <w:lang w:val="en-US" w:eastAsia="zh-CN"/>
        </w:rPr>
      </w:pPr>
      <w:r w:rsidRPr="00DB4AAB">
        <w:rPr>
          <w:rFonts w:hint="eastAsia"/>
          <w:lang w:val="en-US" w:eastAsia="zh-CN"/>
        </w:rPr>
        <w:t>考虑到</w:t>
      </w:r>
    </w:p>
    <w:p w14:paraId="6AA0936D" w14:textId="77777777" w:rsidR="008716F6" w:rsidRPr="00DB4AAB" w:rsidRDefault="008716F6" w:rsidP="008716F6">
      <w:pPr>
        <w:pStyle w:val="NormalCH"/>
        <w:ind w:firstLine="480"/>
        <w:rPr>
          <w:lang w:val="en-US"/>
        </w:rPr>
      </w:pPr>
      <w:r w:rsidRPr="00DB4AAB">
        <w:rPr>
          <w:rFonts w:hint="eastAsia"/>
          <w:lang w:val="en-US"/>
        </w:rPr>
        <w:t>《组织法》第</w:t>
      </w:r>
      <w:r w:rsidRPr="00DB4AAB">
        <w:rPr>
          <w:lang w:val="en-US"/>
        </w:rPr>
        <w:t>74A</w:t>
      </w:r>
      <w:r w:rsidRPr="00DB4AAB">
        <w:rPr>
          <w:rFonts w:hint="eastAsia"/>
          <w:lang w:val="en-US"/>
        </w:rPr>
        <w:t>款要求秘书长为制定《战略规划》提供必要的信息，</w:t>
      </w:r>
    </w:p>
    <w:p w14:paraId="2D44AB0B" w14:textId="77777777" w:rsidR="008716F6" w:rsidRPr="00DB4AAB" w:rsidRDefault="008716F6" w:rsidP="008716F6">
      <w:pPr>
        <w:pStyle w:val="Call"/>
        <w:rPr>
          <w:lang w:val="en-US" w:eastAsia="zh-CN"/>
        </w:rPr>
      </w:pPr>
      <w:r w:rsidRPr="00DB4AAB">
        <w:rPr>
          <w:rFonts w:hint="eastAsia"/>
          <w:lang w:val="en-US" w:eastAsia="zh-CN"/>
        </w:rPr>
        <w:t>亦考虑到</w:t>
      </w:r>
    </w:p>
    <w:p w14:paraId="3E6294CC" w14:textId="77777777" w:rsidR="008716F6" w:rsidRPr="00DB4AAB" w:rsidRDefault="008716F6" w:rsidP="008716F6">
      <w:pPr>
        <w:rPr>
          <w:lang w:val="en-US" w:eastAsia="zh-CN"/>
        </w:rPr>
      </w:pPr>
      <w:r w:rsidRPr="00DB4AAB">
        <w:rPr>
          <w:i/>
          <w:iCs/>
          <w:lang w:val="en-US" w:eastAsia="zh-CN"/>
        </w:rPr>
        <w:t>a)</w:t>
      </w:r>
      <w:r w:rsidRPr="00DB4AAB">
        <w:rPr>
          <w:lang w:val="en-US" w:eastAsia="zh-CN"/>
        </w:rPr>
        <w:tab/>
      </w:r>
      <w:r w:rsidRPr="00DB4AAB">
        <w:rPr>
          <w:rFonts w:hint="eastAsia"/>
          <w:lang w:val="en-US" w:eastAsia="zh-CN"/>
        </w:rPr>
        <w:t>根据《公约》第</w:t>
      </w:r>
      <w:r w:rsidRPr="00DB4AAB">
        <w:rPr>
          <w:lang w:val="en-US" w:eastAsia="zh-CN"/>
        </w:rPr>
        <w:t>62A</w:t>
      </w:r>
      <w:r w:rsidRPr="00DB4AAB">
        <w:rPr>
          <w:rFonts w:hint="eastAsia"/>
          <w:lang w:val="en-US" w:eastAsia="zh-CN"/>
        </w:rPr>
        <w:t>款的规定，要求理事会接收并审议秘书长按照《组织法》第</w:t>
      </w:r>
      <w:r w:rsidRPr="00DB4AAB">
        <w:rPr>
          <w:lang w:val="en-US" w:eastAsia="zh-CN"/>
        </w:rPr>
        <w:t>74A</w:t>
      </w:r>
      <w:r w:rsidRPr="00DB4AAB">
        <w:rPr>
          <w:rFonts w:hint="eastAsia"/>
          <w:lang w:val="en-US" w:eastAsia="zh-CN"/>
        </w:rPr>
        <w:t>款提供的有关编写战略规划的具体数据，并在下一届全权代表大会召开前倒数第二届理事会例会上，在采纳国际电联成员国、部门成员以及各部门顾问组输入意见的基础上，开始制定国际电联新的战略规划草案，</w:t>
      </w:r>
      <w:proofErr w:type="gramStart"/>
      <w:r w:rsidRPr="00DB4AAB">
        <w:rPr>
          <w:rFonts w:hint="eastAsia"/>
          <w:lang w:val="en-US" w:eastAsia="zh-CN"/>
        </w:rPr>
        <w:t>并在上述全权代表大会召开的至少四个月前制定出已经协调的新的战略规划草案；</w:t>
      </w:r>
      <w:proofErr w:type="gramEnd"/>
    </w:p>
    <w:p w14:paraId="66F31ABE" w14:textId="77777777" w:rsidR="008716F6" w:rsidRPr="00DB4AAB" w:rsidRDefault="008716F6" w:rsidP="008716F6">
      <w:pPr>
        <w:rPr>
          <w:lang w:val="en-US" w:eastAsia="zh-CN"/>
        </w:rPr>
      </w:pPr>
      <w:r w:rsidRPr="00DB4AAB">
        <w:rPr>
          <w:i/>
          <w:iCs/>
          <w:lang w:val="en-US" w:eastAsia="zh-CN"/>
        </w:rPr>
        <w:t>b)</w:t>
      </w:r>
      <w:r w:rsidRPr="00DB4AAB">
        <w:rPr>
          <w:lang w:val="en-US" w:eastAsia="zh-CN"/>
        </w:rPr>
        <w:tab/>
      </w:r>
      <w:r w:rsidRPr="00DB4AAB">
        <w:rPr>
          <w:rFonts w:hint="eastAsia"/>
          <w:lang w:val="en-US" w:eastAsia="zh-CN"/>
        </w:rPr>
        <w:t>有关国际电联</w:t>
      </w:r>
      <w:r w:rsidRPr="00DB4AAB">
        <w:rPr>
          <w:rFonts w:cs="Calibri"/>
          <w:szCs w:val="24"/>
          <w:lang w:val="en-US" w:eastAsia="zh-CN"/>
        </w:rPr>
        <w:t>2020-2023</w:t>
      </w:r>
      <w:r w:rsidRPr="00DB4AAB">
        <w:rPr>
          <w:rFonts w:hint="eastAsia"/>
          <w:lang w:val="en-US" w:eastAsia="zh-CN"/>
        </w:rPr>
        <w:t>年</w:t>
      </w:r>
      <w:r>
        <w:rPr>
          <w:rFonts w:hint="eastAsia"/>
          <w:lang w:val="en-US" w:eastAsia="zh-CN"/>
        </w:rPr>
        <w:t>阶段</w:t>
      </w:r>
      <w:r w:rsidRPr="00DB4AAB">
        <w:rPr>
          <w:rFonts w:hint="eastAsia"/>
          <w:lang w:val="en-US" w:eastAsia="zh-CN"/>
        </w:rPr>
        <w:t>收入和支出的第</w:t>
      </w:r>
      <w:r w:rsidRPr="00DB4AAB">
        <w:rPr>
          <w:lang w:val="en-US" w:eastAsia="zh-CN"/>
        </w:rPr>
        <w:t>5</w:t>
      </w:r>
      <w:r w:rsidRPr="00DB4AAB">
        <w:rPr>
          <w:rFonts w:hint="eastAsia"/>
          <w:lang w:val="en-US" w:eastAsia="zh-CN"/>
        </w:rPr>
        <w:t>号决定（</w:t>
      </w:r>
      <w:r w:rsidRPr="00DB4AAB">
        <w:rPr>
          <w:lang w:val="en-US" w:eastAsia="zh-CN"/>
        </w:rPr>
        <w:t>2018</w:t>
      </w:r>
      <w:r w:rsidRPr="00DB4AAB">
        <w:rPr>
          <w:rFonts w:hint="eastAsia"/>
          <w:lang w:val="en-US" w:eastAsia="zh-CN"/>
        </w:rPr>
        <w:t>年，迪拜，修订版）的规定，</w:t>
      </w:r>
    </w:p>
    <w:p w14:paraId="1755D38D" w14:textId="77777777" w:rsidR="008716F6" w:rsidRPr="00DB4AAB" w:rsidRDefault="008716F6" w:rsidP="008716F6">
      <w:pPr>
        <w:rPr>
          <w:rFonts w:ascii="Times New Roman" w:eastAsia="Times New Roman" w:hAnsi="Times New Roman" w:cs="Calibri"/>
          <w:lang w:eastAsia="zh-CN"/>
        </w:rPr>
      </w:pPr>
      <w:r w:rsidRPr="00DB4AAB">
        <w:rPr>
          <w:i/>
          <w:iCs/>
          <w:lang w:eastAsia="zh-CN"/>
        </w:rPr>
        <w:t>c)</w:t>
      </w:r>
      <w:r w:rsidRPr="00DB4AAB">
        <w:rPr>
          <w:rFonts w:ascii="Times New Roman" w:eastAsia="Times New Roman" w:hAnsi="Times New Roman"/>
          <w:lang w:eastAsia="zh-CN"/>
        </w:rPr>
        <w:tab/>
      </w:r>
      <w:hyperlink r:id="rId9" w:history="1">
        <w:r w:rsidRPr="00DB4AAB">
          <w:rPr>
            <w:rFonts w:cs="Calibri"/>
            <w:color w:val="0000FF"/>
            <w:u w:val="single"/>
            <w:lang w:val="en-US" w:eastAsia="zh-CN"/>
          </w:rPr>
          <w:t>第</w:t>
        </w:r>
        <w:r w:rsidRPr="00DB4AAB">
          <w:rPr>
            <w:rFonts w:cs="Calibri"/>
            <w:color w:val="0000FF"/>
            <w:u w:val="single"/>
            <w:lang w:val="en-US" w:eastAsia="zh-CN"/>
          </w:rPr>
          <w:t>11</w:t>
        </w:r>
        <w:r w:rsidRPr="00DB4AAB">
          <w:rPr>
            <w:rFonts w:cs="Calibri"/>
            <w:color w:val="0000FF"/>
            <w:u w:val="single"/>
            <w:lang w:val="en-US" w:eastAsia="zh-CN"/>
          </w:rPr>
          <w:t>号决</w:t>
        </w:r>
        <w:r w:rsidRPr="00DB4AAB">
          <w:rPr>
            <w:rFonts w:cs="Calibri" w:hint="eastAsia"/>
            <w:color w:val="0000FF"/>
            <w:u w:val="single"/>
            <w:lang w:val="en-US" w:eastAsia="zh-CN"/>
          </w:rPr>
          <w:t>定</w:t>
        </w:r>
        <w:r w:rsidRPr="00DB4AAB">
          <w:rPr>
            <w:rFonts w:cs="Calibri"/>
            <w:color w:val="0000FF"/>
            <w:u w:val="single"/>
            <w:lang w:val="en-US" w:eastAsia="zh-CN"/>
          </w:rPr>
          <w:t>（</w:t>
        </w:r>
        <w:r w:rsidRPr="00DB4AAB">
          <w:rPr>
            <w:rFonts w:cs="Calibri"/>
            <w:color w:val="0000FF"/>
            <w:u w:val="single"/>
            <w:lang w:val="en-US" w:eastAsia="zh-CN"/>
          </w:rPr>
          <w:t>2018</w:t>
        </w:r>
        <w:r w:rsidRPr="00DB4AAB">
          <w:rPr>
            <w:rFonts w:cs="Calibri"/>
            <w:color w:val="0000FF"/>
            <w:u w:val="single"/>
            <w:lang w:val="en-US" w:eastAsia="zh-CN"/>
          </w:rPr>
          <w:t>年，迪拜，修订版）</w:t>
        </w:r>
      </w:hyperlink>
      <w:r w:rsidRPr="00DB4AAB">
        <w:rPr>
          <w:rFonts w:ascii="SimSun" w:hAnsi="SimSun" w:cs="SimSun" w:hint="eastAsia"/>
          <w:lang w:eastAsia="zh-CN"/>
        </w:rPr>
        <w:t>所规定的创建、管理和终止理事会工作组的指导原则，</w:t>
      </w:r>
    </w:p>
    <w:p w14:paraId="52A18A9C" w14:textId="77777777" w:rsidR="008716F6" w:rsidRPr="00DB4AAB" w:rsidRDefault="008716F6" w:rsidP="008716F6">
      <w:pPr>
        <w:pStyle w:val="Call"/>
        <w:rPr>
          <w:lang w:val="en-US" w:eastAsia="zh-CN"/>
        </w:rPr>
      </w:pPr>
      <w:r w:rsidRPr="00DB4AAB">
        <w:rPr>
          <w:rFonts w:hint="eastAsia"/>
          <w:lang w:val="en-US" w:eastAsia="zh-CN"/>
        </w:rPr>
        <w:t>做出决议</w:t>
      </w:r>
    </w:p>
    <w:p w14:paraId="1A4F59F7" w14:textId="77777777" w:rsidR="008716F6" w:rsidRPr="00DB4AAB" w:rsidRDefault="008716F6" w:rsidP="008716F6">
      <w:pPr>
        <w:pStyle w:val="NormalCH"/>
        <w:ind w:firstLine="480"/>
        <w:rPr>
          <w:lang w:val="en-US"/>
        </w:rPr>
      </w:pPr>
      <w:r w:rsidRPr="00DB4AAB">
        <w:rPr>
          <w:rFonts w:hint="eastAsia"/>
          <w:lang w:val="en-US"/>
        </w:rPr>
        <w:t>成立一个理事会工作组，制定《战略规划》草案和《财务规划》草案，供理事会</w:t>
      </w:r>
      <w:r w:rsidRPr="00DB4AAB">
        <w:rPr>
          <w:lang w:val="en-US"/>
        </w:rPr>
        <w:t>2022</w:t>
      </w:r>
      <w:r w:rsidRPr="00DB4AAB">
        <w:rPr>
          <w:rFonts w:hint="eastAsia"/>
          <w:lang w:val="en-US"/>
        </w:rPr>
        <w:t>年会议审议，并由理事会提交</w:t>
      </w:r>
      <w:r w:rsidRPr="00DB4AAB">
        <w:rPr>
          <w:lang w:val="en-US"/>
        </w:rPr>
        <w:t>2022</w:t>
      </w:r>
      <w:r w:rsidRPr="00DB4AAB">
        <w:rPr>
          <w:rFonts w:hint="eastAsia"/>
          <w:lang w:val="en-US"/>
        </w:rPr>
        <w:t>年全权代表大会（</w:t>
      </w:r>
      <w:r w:rsidRPr="00DB4AAB">
        <w:rPr>
          <w:lang w:val="en-US"/>
        </w:rPr>
        <w:t>PP-22</w:t>
      </w:r>
      <w:r w:rsidRPr="00DB4AAB">
        <w:rPr>
          <w:rFonts w:hint="eastAsia"/>
          <w:lang w:val="en-US"/>
        </w:rPr>
        <w:t>）。该工作组（</w:t>
      </w:r>
      <w:r w:rsidRPr="00DB4AAB">
        <w:rPr>
          <w:lang w:val="en-US"/>
        </w:rPr>
        <w:t>CWG-SFP</w:t>
      </w:r>
      <w:r w:rsidRPr="00DB4AAB">
        <w:rPr>
          <w:rFonts w:hint="eastAsia"/>
          <w:lang w:val="en-US"/>
        </w:rPr>
        <w:t>）向成员国开放，而且，在涉及《战略规划》草案时，亦向部门成员开放。该组的职责范围如下：</w:t>
      </w:r>
    </w:p>
    <w:p w14:paraId="713B23A8" w14:textId="77777777" w:rsidR="008716F6" w:rsidRPr="00DB4AAB" w:rsidRDefault="008716F6" w:rsidP="008716F6">
      <w:pPr>
        <w:pStyle w:val="enumlev1"/>
        <w:rPr>
          <w:rFonts w:cs="Calibri"/>
          <w:szCs w:val="24"/>
          <w:lang w:val="en-US" w:eastAsia="zh-CN"/>
        </w:rPr>
      </w:pPr>
      <w:r w:rsidRPr="00DB4AAB">
        <w:rPr>
          <w:i/>
          <w:iCs/>
          <w:lang w:val="en-US" w:eastAsia="zh-CN"/>
        </w:rPr>
        <w:t>a)</w:t>
      </w:r>
      <w:r w:rsidRPr="00DB4AAB">
        <w:rPr>
          <w:lang w:val="en-US" w:eastAsia="zh-CN"/>
        </w:rPr>
        <w:tab/>
      </w:r>
      <w:r w:rsidRPr="00DB4AAB">
        <w:rPr>
          <w:rFonts w:hint="eastAsia"/>
          <w:lang w:val="en-US" w:eastAsia="zh-CN"/>
        </w:rPr>
        <w:t>在秘书长和各局主任的协助下，</w:t>
      </w:r>
      <w:proofErr w:type="gramStart"/>
      <w:r w:rsidRPr="00DB4AAB">
        <w:rPr>
          <w:rFonts w:hint="eastAsia"/>
          <w:lang w:val="en-US" w:eastAsia="zh-CN"/>
        </w:rPr>
        <w:t>确定制定规划草案需采用的信息来源；</w:t>
      </w:r>
      <w:proofErr w:type="gramEnd"/>
    </w:p>
    <w:p w14:paraId="04D3D673" w14:textId="77777777" w:rsidR="008716F6" w:rsidRPr="00DB4AAB" w:rsidRDefault="008716F6" w:rsidP="008716F6">
      <w:pPr>
        <w:pStyle w:val="enumlev1"/>
        <w:rPr>
          <w:rFonts w:cs="Calibri"/>
          <w:szCs w:val="24"/>
          <w:lang w:val="en-US" w:eastAsia="zh-CN"/>
        </w:rPr>
      </w:pPr>
      <w:r w:rsidRPr="00DB4AAB">
        <w:rPr>
          <w:rFonts w:cs="Calibri"/>
          <w:i/>
          <w:iCs/>
          <w:szCs w:val="24"/>
          <w:lang w:val="en-US" w:eastAsia="zh-CN"/>
        </w:rPr>
        <w:t>b)</w:t>
      </w:r>
      <w:r w:rsidRPr="00DB4AAB">
        <w:rPr>
          <w:rFonts w:cs="Calibri"/>
          <w:szCs w:val="24"/>
          <w:lang w:val="en-US" w:eastAsia="zh-CN"/>
        </w:rPr>
        <w:tab/>
      </w:r>
      <w:r w:rsidRPr="00DB4AAB">
        <w:rPr>
          <w:rFonts w:hint="eastAsia"/>
          <w:lang w:val="en-US" w:eastAsia="zh-CN"/>
        </w:rPr>
        <w:t>制定《战略规划》和《财务规划》草案，</w:t>
      </w:r>
      <w:proofErr w:type="gramStart"/>
      <w:r w:rsidRPr="00DB4AAB">
        <w:rPr>
          <w:rFonts w:hint="eastAsia"/>
          <w:lang w:val="en-US" w:eastAsia="zh-CN"/>
        </w:rPr>
        <w:t>向理事会</w:t>
      </w:r>
      <w:r w:rsidRPr="00DB4AAB">
        <w:rPr>
          <w:lang w:val="en-US" w:eastAsia="zh-CN"/>
        </w:rPr>
        <w:t>2022</w:t>
      </w:r>
      <w:r w:rsidRPr="00DB4AAB">
        <w:rPr>
          <w:rFonts w:hint="eastAsia"/>
          <w:lang w:val="en-US" w:eastAsia="zh-CN"/>
        </w:rPr>
        <w:t>年会议介绍；</w:t>
      </w:r>
      <w:proofErr w:type="gramEnd"/>
    </w:p>
    <w:p w14:paraId="4DD6BB57" w14:textId="77777777" w:rsidR="008716F6" w:rsidRPr="00DB4AAB" w:rsidRDefault="008716F6" w:rsidP="008716F6">
      <w:pPr>
        <w:pStyle w:val="enumlev1"/>
        <w:rPr>
          <w:rFonts w:cs="Calibri"/>
          <w:szCs w:val="24"/>
          <w:lang w:val="en-US" w:eastAsia="zh-CN"/>
        </w:rPr>
      </w:pPr>
      <w:r w:rsidRPr="00DB4AAB">
        <w:rPr>
          <w:rFonts w:cs="Calibri"/>
          <w:i/>
          <w:iCs/>
          <w:szCs w:val="24"/>
          <w:lang w:val="en-US" w:eastAsia="zh-CN"/>
        </w:rPr>
        <w:t>c)</w:t>
      </w:r>
      <w:r w:rsidRPr="00DB4AAB">
        <w:rPr>
          <w:rFonts w:cs="Calibri"/>
          <w:szCs w:val="24"/>
          <w:lang w:val="en-US" w:eastAsia="zh-CN"/>
        </w:rPr>
        <w:tab/>
      </w:r>
      <w:r w:rsidRPr="00DB4AAB">
        <w:rPr>
          <w:rFonts w:cs="Calibri" w:hint="eastAsia"/>
          <w:szCs w:val="24"/>
          <w:lang w:val="en-US" w:eastAsia="zh-CN"/>
        </w:rPr>
        <w:t>在</w:t>
      </w:r>
      <w:r w:rsidRPr="00DB4AAB">
        <w:rPr>
          <w:rFonts w:hint="eastAsia"/>
          <w:lang w:val="en-US" w:eastAsia="zh-CN"/>
        </w:rPr>
        <w:t>全权代表大会召开的四个月之前</w:t>
      </w:r>
      <w:r w:rsidRPr="00DB4AAB">
        <w:rPr>
          <w:rFonts w:cs="Calibri" w:hint="eastAsia"/>
          <w:szCs w:val="24"/>
          <w:lang w:val="en-US" w:eastAsia="zh-CN"/>
        </w:rPr>
        <w:t>在</w:t>
      </w:r>
      <w:r w:rsidRPr="00DB4AAB">
        <w:rPr>
          <w:rFonts w:cs="Calibri"/>
          <w:szCs w:val="24"/>
          <w:lang w:val="en-US" w:eastAsia="zh-CN"/>
        </w:rPr>
        <w:t>PP-22</w:t>
      </w:r>
      <w:r w:rsidRPr="00DB4AAB">
        <w:rPr>
          <w:rFonts w:cs="Calibri" w:hint="eastAsia"/>
          <w:szCs w:val="24"/>
          <w:lang w:val="en-US" w:eastAsia="zh-CN"/>
        </w:rPr>
        <w:t>网站上公布经过协调的新《战略规划》</w:t>
      </w:r>
      <w:proofErr w:type="gramStart"/>
      <w:r w:rsidRPr="00DB4AAB">
        <w:rPr>
          <w:rFonts w:cs="Calibri" w:hint="eastAsia"/>
          <w:szCs w:val="24"/>
          <w:lang w:val="en-US" w:eastAsia="zh-CN"/>
        </w:rPr>
        <w:t>草案；</w:t>
      </w:r>
      <w:proofErr w:type="gramEnd"/>
    </w:p>
    <w:p w14:paraId="41DDCFF9" w14:textId="77777777" w:rsidR="008716F6" w:rsidRPr="00DB4AAB" w:rsidRDefault="008716F6" w:rsidP="008716F6">
      <w:pPr>
        <w:pStyle w:val="enumlev1"/>
        <w:rPr>
          <w:lang w:val="en-US" w:eastAsia="zh-CN"/>
        </w:rPr>
      </w:pPr>
      <w:r w:rsidRPr="00DB4AAB">
        <w:rPr>
          <w:i/>
          <w:iCs/>
          <w:lang w:val="en-US" w:eastAsia="zh-CN"/>
        </w:rPr>
        <w:t>d)</w:t>
      </w:r>
      <w:r w:rsidRPr="00DB4AAB">
        <w:rPr>
          <w:lang w:val="en-US" w:eastAsia="zh-CN"/>
        </w:rPr>
        <w:tab/>
      </w:r>
      <w:r w:rsidRPr="00DB4AAB">
        <w:rPr>
          <w:rFonts w:hint="eastAsia"/>
          <w:lang w:val="en-US" w:eastAsia="zh-CN"/>
        </w:rPr>
        <w:t>如有必要，在</w:t>
      </w:r>
      <w:r w:rsidRPr="00DB4AAB">
        <w:rPr>
          <w:lang w:val="en-US" w:eastAsia="zh-CN"/>
        </w:rPr>
        <w:t>PP-22</w:t>
      </w:r>
      <w:r w:rsidRPr="00DB4AAB">
        <w:rPr>
          <w:rFonts w:hint="eastAsia"/>
          <w:lang w:val="en-US" w:eastAsia="zh-CN"/>
        </w:rPr>
        <w:t>前夕召开的理事会非常会议之前，继续就《财务规划》</w:t>
      </w:r>
      <w:proofErr w:type="gramStart"/>
      <w:r w:rsidRPr="00DB4AAB">
        <w:rPr>
          <w:rFonts w:hint="eastAsia"/>
          <w:lang w:val="en-US" w:eastAsia="zh-CN"/>
        </w:rPr>
        <w:t>进行讨论；</w:t>
      </w:r>
      <w:proofErr w:type="gramEnd"/>
    </w:p>
    <w:p w14:paraId="7580555A" w14:textId="77777777" w:rsidR="008716F6" w:rsidRPr="00DB4AAB" w:rsidRDefault="008716F6" w:rsidP="008716F6">
      <w:pPr>
        <w:pStyle w:val="enumlev1"/>
        <w:rPr>
          <w:lang w:val="en-US" w:eastAsia="zh-CN"/>
        </w:rPr>
      </w:pPr>
      <w:r w:rsidRPr="00DB4AAB">
        <w:rPr>
          <w:i/>
          <w:iCs/>
          <w:lang w:val="en-US" w:eastAsia="zh-CN"/>
        </w:rPr>
        <w:lastRenderedPageBreak/>
        <w:t>e)</w:t>
      </w:r>
      <w:r w:rsidRPr="00DB4AAB">
        <w:rPr>
          <w:lang w:val="en-US" w:eastAsia="zh-CN"/>
        </w:rPr>
        <w:tab/>
      </w:r>
      <w:r w:rsidRPr="00DB4AAB">
        <w:rPr>
          <w:rFonts w:hint="eastAsia"/>
          <w:lang w:val="en-US" w:eastAsia="zh-CN"/>
        </w:rPr>
        <w:t>与其它可能开展涉及</w:t>
      </w:r>
      <w:r w:rsidRPr="00DB4AAB">
        <w:rPr>
          <w:rFonts w:ascii="SimSun" w:hAnsi="SimSun" w:cs="SimSun" w:hint="eastAsia"/>
          <w:lang w:val="en-US" w:eastAsia="zh-CN"/>
        </w:rPr>
        <w:t>《战略规划》和《财务规划》草案</w:t>
      </w:r>
      <w:r w:rsidRPr="00DB4AAB">
        <w:rPr>
          <w:rFonts w:hint="eastAsia"/>
          <w:lang w:val="en-US" w:eastAsia="zh-CN"/>
        </w:rPr>
        <w:t>工作的理事会工作组和各部门的顾问组进行紧密协调，</w:t>
      </w:r>
    </w:p>
    <w:p w14:paraId="57574BFD" w14:textId="77777777" w:rsidR="008716F6" w:rsidRPr="00DB4AAB" w:rsidRDefault="008716F6" w:rsidP="008716F6">
      <w:pPr>
        <w:pStyle w:val="Call"/>
        <w:rPr>
          <w:lang w:val="en-US" w:eastAsia="zh-CN"/>
        </w:rPr>
      </w:pPr>
      <w:r w:rsidRPr="00DB4AAB">
        <w:rPr>
          <w:rFonts w:hint="eastAsia"/>
          <w:lang w:val="en-US" w:eastAsia="zh-CN"/>
        </w:rPr>
        <w:t>责成秘书长</w:t>
      </w:r>
      <w:r>
        <w:rPr>
          <w:rFonts w:hint="eastAsia"/>
          <w:lang w:val="en-US" w:eastAsia="zh-CN"/>
        </w:rPr>
        <w:t>，</w:t>
      </w:r>
      <w:r w:rsidRPr="00DB4AAB">
        <w:rPr>
          <w:rFonts w:hint="eastAsia"/>
          <w:lang w:val="en-US" w:eastAsia="zh-CN"/>
        </w:rPr>
        <w:t>在各局主任的支持下，</w:t>
      </w:r>
    </w:p>
    <w:p w14:paraId="4B0B1123" w14:textId="77777777" w:rsidR="008716F6" w:rsidRPr="00DB4AAB" w:rsidRDefault="008716F6" w:rsidP="008716F6">
      <w:pPr>
        <w:pStyle w:val="NormalCH"/>
        <w:ind w:firstLine="480"/>
        <w:rPr>
          <w:lang w:val="en-US"/>
        </w:rPr>
      </w:pPr>
      <w:r w:rsidRPr="00DB4AAB">
        <w:rPr>
          <w:rFonts w:hint="eastAsia"/>
          <w:lang w:val="en-US"/>
        </w:rPr>
        <w:t>为</w:t>
      </w:r>
      <w:r w:rsidRPr="00DB4AAB">
        <w:rPr>
          <w:lang w:val="en-US"/>
        </w:rPr>
        <w:t>CWG-SFP</w:t>
      </w:r>
      <w:r w:rsidRPr="00DB4AAB">
        <w:rPr>
          <w:rFonts w:hint="eastAsia"/>
          <w:lang w:val="en-US"/>
        </w:rPr>
        <w:t>的运作提供必要的支持和文件，</w:t>
      </w:r>
    </w:p>
    <w:p w14:paraId="029D3898" w14:textId="77777777" w:rsidR="008716F6" w:rsidRPr="00DB4AAB" w:rsidRDefault="008716F6" w:rsidP="008716F6">
      <w:pPr>
        <w:pStyle w:val="Call"/>
        <w:rPr>
          <w:lang w:val="en-US" w:eastAsia="zh-CN"/>
        </w:rPr>
      </w:pPr>
      <w:r w:rsidRPr="00DB4AAB">
        <w:rPr>
          <w:rFonts w:hint="eastAsia"/>
          <w:lang w:val="en-US" w:eastAsia="zh-CN"/>
        </w:rPr>
        <w:t>请各成员、各理事会工作组、选任官员以及各部门的顾问组</w:t>
      </w:r>
    </w:p>
    <w:p w14:paraId="6490E0A1" w14:textId="77777777" w:rsidR="008716F6" w:rsidRPr="00DB4AAB" w:rsidRDefault="008716F6" w:rsidP="008716F6">
      <w:pPr>
        <w:pStyle w:val="NormalCH"/>
        <w:ind w:firstLine="480"/>
        <w:rPr>
          <w:lang w:val="en-US"/>
        </w:rPr>
      </w:pPr>
      <w:r w:rsidRPr="00DB4AAB">
        <w:rPr>
          <w:rFonts w:hint="eastAsia"/>
          <w:lang w:val="en-US"/>
        </w:rPr>
        <w:t>为制定《战略规划》草案和《财务规划》草案提供所有文稿和一切必要</w:t>
      </w:r>
      <w:r>
        <w:rPr>
          <w:rFonts w:hint="eastAsia"/>
          <w:lang w:val="en-US"/>
        </w:rPr>
        <w:t>协</w:t>
      </w:r>
      <w:r w:rsidRPr="00DB4AAB">
        <w:rPr>
          <w:rFonts w:hint="eastAsia"/>
          <w:lang w:val="en-US"/>
        </w:rPr>
        <w:t>助，并</w:t>
      </w:r>
      <w:r>
        <w:rPr>
          <w:rFonts w:hint="eastAsia"/>
          <w:lang w:val="en-US"/>
        </w:rPr>
        <w:t>且</w:t>
      </w:r>
      <w:r w:rsidRPr="00DB4AAB">
        <w:rPr>
          <w:rFonts w:hint="eastAsia"/>
          <w:lang w:val="en-US"/>
        </w:rPr>
        <w:t>充分利用电子手段开展工作。</w:t>
      </w:r>
    </w:p>
    <w:p w14:paraId="284A991C" w14:textId="77777777" w:rsidR="008716F6" w:rsidRDefault="008716F6" w:rsidP="00646A7A">
      <w:pPr>
        <w:spacing w:before="840"/>
        <w:jc w:val="center"/>
      </w:pPr>
      <w:r>
        <w:t>______________</w:t>
      </w:r>
    </w:p>
    <w:sectPr w:rsidR="008716F6" w:rsidSect="006C36CD">
      <w:headerReference w:type="default" r:id="rId10"/>
      <w:footerReference w:type="default" r:id="rId11"/>
      <w:footerReference w:type="first" r:id="rId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C44C2" w14:textId="77777777" w:rsidR="008716F6" w:rsidRDefault="008716F6">
      <w:r>
        <w:separator/>
      </w:r>
    </w:p>
  </w:endnote>
  <w:endnote w:type="continuationSeparator" w:id="0">
    <w:p w14:paraId="05C5F70B" w14:textId="77777777" w:rsidR="008716F6" w:rsidRDefault="0087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宋体">
    <w:altName w:val="SimSun"/>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1536" w14:textId="719DDB22" w:rsidR="00B40A53" w:rsidRPr="004E4BFF" w:rsidRDefault="007E299D" w:rsidP="00F705DF">
    <w:pPr>
      <w:pStyle w:val="Footer"/>
    </w:pPr>
    <w:r w:rsidRPr="007E299D">
      <w:rPr>
        <w:color w:val="D9D9D9" w:themeColor="background1" w:themeShade="D9"/>
      </w:rPr>
      <w:fldChar w:fldCharType="begin"/>
    </w:r>
    <w:r w:rsidRPr="007E299D">
      <w:rPr>
        <w:color w:val="D9D9D9" w:themeColor="background1" w:themeShade="D9"/>
      </w:rPr>
      <w:instrText xml:space="preserve"> FILENAME \p  \* MERGEFORMAT </w:instrText>
    </w:r>
    <w:r w:rsidRPr="007E299D">
      <w:rPr>
        <w:color w:val="D9D9D9" w:themeColor="background1" w:themeShade="D9"/>
      </w:rPr>
      <w:fldChar w:fldCharType="separate"/>
    </w:r>
    <w:r w:rsidR="00D42424" w:rsidRPr="007E299D">
      <w:rPr>
        <w:color w:val="D9D9D9" w:themeColor="background1" w:themeShade="D9"/>
      </w:rPr>
      <w:t>P:\CHI\SG\CONSEIL\C21\000\095C.docx</w:t>
    </w:r>
    <w:r w:rsidRPr="007E299D">
      <w:rPr>
        <w:color w:val="D9D9D9" w:themeColor="background1" w:themeShade="D9"/>
      </w:rPr>
      <w:fldChar w:fldCharType="end"/>
    </w:r>
    <w:r w:rsidR="004E4BFF" w:rsidRPr="007E299D">
      <w:rPr>
        <w:color w:val="D9D9D9" w:themeColor="background1" w:themeShade="D9"/>
      </w:rPr>
      <w:t xml:space="preserve"> (</w:t>
    </w:r>
    <w:r w:rsidR="00D42424" w:rsidRPr="007E299D">
      <w:rPr>
        <w:color w:val="D9D9D9" w:themeColor="background1" w:themeShade="D9"/>
      </w:rPr>
      <w:t>493179</w:t>
    </w:r>
    <w:r w:rsidR="004E4BFF" w:rsidRPr="007E299D">
      <w:rPr>
        <w:color w:val="D9D9D9" w:themeColor="background1" w:themeShade="D9"/>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6388D" w14:textId="77777777" w:rsidR="00AC516F" w:rsidRDefault="00AC516F" w:rsidP="00001B77">
    <w:pPr>
      <w:spacing w:after="120"/>
      <w:jc w:val="center"/>
      <w:rPr>
        <w:lang w:val="fr-CH"/>
      </w:rPr>
    </w:pPr>
    <w:r>
      <w:rPr>
        <w:lang w:val="fr-CH"/>
      </w:rPr>
      <w:t xml:space="preserve">• </w:t>
    </w:r>
    <w:hyperlink r:id="rId1" w:history="1">
      <w:r>
        <w:rPr>
          <w:rStyle w:val="Hyperlink"/>
          <w:lang w:val="fr-CH"/>
        </w:rPr>
        <w:t>http://www.itu.int/council</w:t>
      </w:r>
    </w:hyperlink>
    <w:r>
      <w:rPr>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3F1D3" w14:textId="77777777" w:rsidR="008716F6" w:rsidRDefault="008716F6">
      <w:r>
        <w:t>____________________</w:t>
      </w:r>
    </w:p>
  </w:footnote>
  <w:footnote w:type="continuationSeparator" w:id="0">
    <w:p w14:paraId="36FF9E7B" w14:textId="77777777" w:rsidR="008716F6" w:rsidRDefault="00871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D204" w14:textId="77777777" w:rsidR="00AC516F" w:rsidRDefault="00AC516F" w:rsidP="00CE6F22">
    <w:pPr>
      <w:pStyle w:val="Header"/>
    </w:pPr>
    <w:r>
      <w:fldChar w:fldCharType="begin"/>
    </w:r>
    <w:r>
      <w:instrText>PAGE</w:instrText>
    </w:r>
    <w:r>
      <w:fldChar w:fldCharType="separate"/>
    </w:r>
    <w:r w:rsidR="00D453EE">
      <w:rPr>
        <w:noProof/>
      </w:rPr>
      <w:t>2</w:t>
    </w:r>
    <w:r>
      <w:rPr>
        <w:noProof/>
      </w:rPr>
      <w:fldChar w:fldCharType="end"/>
    </w:r>
  </w:p>
  <w:p w14:paraId="4527932F" w14:textId="17F1C5CB" w:rsidR="00AC516F" w:rsidRDefault="0098459B" w:rsidP="00D453EE">
    <w:pPr>
      <w:pStyle w:val="Header"/>
      <w:rPr>
        <w:lang w:eastAsia="zh-CN"/>
      </w:rPr>
    </w:pPr>
    <w:r>
      <w:t>C</w:t>
    </w:r>
    <w:r w:rsidR="0009409E">
      <w:t>2</w:t>
    </w:r>
    <w:r w:rsidR="00911867">
      <w:t>1</w:t>
    </w:r>
    <w:r w:rsidR="004672E6">
      <w:t>/</w:t>
    </w:r>
    <w:r w:rsidR="008716F6">
      <w:t>95</w:t>
    </w:r>
    <w:r w:rsidR="00AC516F">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F6"/>
    <w:rsid w:val="00001B77"/>
    <w:rsid w:val="0000517A"/>
    <w:rsid w:val="00031E72"/>
    <w:rsid w:val="000404D2"/>
    <w:rsid w:val="000853C0"/>
    <w:rsid w:val="0009409E"/>
    <w:rsid w:val="000A1C21"/>
    <w:rsid w:val="000C0BC5"/>
    <w:rsid w:val="000D15EA"/>
    <w:rsid w:val="00100D84"/>
    <w:rsid w:val="00124C9D"/>
    <w:rsid w:val="00157773"/>
    <w:rsid w:val="0018251A"/>
    <w:rsid w:val="00190272"/>
    <w:rsid w:val="00193244"/>
    <w:rsid w:val="00195C6C"/>
    <w:rsid w:val="00195FED"/>
    <w:rsid w:val="001A4BD6"/>
    <w:rsid w:val="001D5A18"/>
    <w:rsid w:val="00280EB8"/>
    <w:rsid w:val="002A6670"/>
    <w:rsid w:val="00303502"/>
    <w:rsid w:val="00325C25"/>
    <w:rsid w:val="00372C8F"/>
    <w:rsid w:val="00380ECE"/>
    <w:rsid w:val="00393DDF"/>
    <w:rsid w:val="00397F55"/>
    <w:rsid w:val="003B4454"/>
    <w:rsid w:val="003C2E37"/>
    <w:rsid w:val="003F1415"/>
    <w:rsid w:val="0040144C"/>
    <w:rsid w:val="00403EB7"/>
    <w:rsid w:val="00430BF0"/>
    <w:rsid w:val="004672E6"/>
    <w:rsid w:val="00474ED1"/>
    <w:rsid w:val="00493085"/>
    <w:rsid w:val="004A36EC"/>
    <w:rsid w:val="004D163F"/>
    <w:rsid w:val="004E4BFF"/>
    <w:rsid w:val="004F2598"/>
    <w:rsid w:val="005403F7"/>
    <w:rsid w:val="00540632"/>
    <w:rsid w:val="00541CF4"/>
    <w:rsid w:val="005451E8"/>
    <w:rsid w:val="005507F2"/>
    <w:rsid w:val="005759CC"/>
    <w:rsid w:val="005A72E1"/>
    <w:rsid w:val="005C6632"/>
    <w:rsid w:val="005D1C9E"/>
    <w:rsid w:val="00646A7A"/>
    <w:rsid w:val="00654257"/>
    <w:rsid w:val="0065435A"/>
    <w:rsid w:val="006A2DD3"/>
    <w:rsid w:val="006A5AF8"/>
    <w:rsid w:val="006C36CD"/>
    <w:rsid w:val="00700D1F"/>
    <w:rsid w:val="007205CB"/>
    <w:rsid w:val="00726073"/>
    <w:rsid w:val="00734FE8"/>
    <w:rsid w:val="007360CE"/>
    <w:rsid w:val="00772315"/>
    <w:rsid w:val="00775157"/>
    <w:rsid w:val="007813AE"/>
    <w:rsid w:val="007A37DB"/>
    <w:rsid w:val="007E189D"/>
    <w:rsid w:val="007E299D"/>
    <w:rsid w:val="00811259"/>
    <w:rsid w:val="00813AA2"/>
    <w:rsid w:val="008173A3"/>
    <w:rsid w:val="008418F5"/>
    <w:rsid w:val="0086059C"/>
    <w:rsid w:val="00864589"/>
    <w:rsid w:val="008716F6"/>
    <w:rsid w:val="00890AFB"/>
    <w:rsid w:val="00890FC4"/>
    <w:rsid w:val="00895905"/>
    <w:rsid w:val="00911867"/>
    <w:rsid w:val="009164A9"/>
    <w:rsid w:val="009258CB"/>
    <w:rsid w:val="0093362E"/>
    <w:rsid w:val="00944563"/>
    <w:rsid w:val="00953160"/>
    <w:rsid w:val="009625D8"/>
    <w:rsid w:val="0098459B"/>
    <w:rsid w:val="00997185"/>
    <w:rsid w:val="009C2458"/>
    <w:rsid w:val="009C4A7B"/>
    <w:rsid w:val="009C6123"/>
    <w:rsid w:val="009F1E3E"/>
    <w:rsid w:val="00A1213C"/>
    <w:rsid w:val="00A272FF"/>
    <w:rsid w:val="00A5354B"/>
    <w:rsid w:val="00A71B57"/>
    <w:rsid w:val="00AB42C1"/>
    <w:rsid w:val="00AC516F"/>
    <w:rsid w:val="00AE2926"/>
    <w:rsid w:val="00B0184B"/>
    <w:rsid w:val="00B035CD"/>
    <w:rsid w:val="00B0769D"/>
    <w:rsid w:val="00B217F8"/>
    <w:rsid w:val="00B332EA"/>
    <w:rsid w:val="00B40A53"/>
    <w:rsid w:val="00B45365"/>
    <w:rsid w:val="00B46A65"/>
    <w:rsid w:val="00B60184"/>
    <w:rsid w:val="00B62D20"/>
    <w:rsid w:val="00B81E75"/>
    <w:rsid w:val="00BD1A5A"/>
    <w:rsid w:val="00BD7A9B"/>
    <w:rsid w:val="00BD7BE1"/>
    <w:rsid w:val="00BF416B"/>
    <w:rsid w:val="00C64E4E"/>
    <w:rsid w:val="00C66E64"/>
    <w:rsid w:val="00C761A0"/>
    <w:rsid w:val="00C85F7E"/>
    <w:rsid w:val="00C90D53"/>
    <w:rsid w:val="00CD47F0"/>
    <w:rsid w:val="00CD5566"/>
    <w:rsid w:val="00CD64D7"/>
    <w:rsid w:val="00CE6F22"/>
    <w:rsid w:val="00CF41F6"/>
    <w:rsid w:val="00CF7D3E"/>
    <w:rsid w:val="00D02B4E"/>
    <w:rsid w:val="00D21F11"/>
    <w:rsid w:val="00D36817"/>
    <w:rsid w:val="00D42424"/>
    <w:rsid w:val="00D453EE"/>
    <w:rsid w:val="00D5666C"/>
    <w:rsid w:val="00D666BC"/>
    <w:rsid w:val="00D83542"/>
    <w:rsid w:val="00D92F45"/>
    <w:rsid w:val="00D94637"/>
    <w:rsid w:val="00D9725C"/>
    <w:rsid w:val="00DA7006"/>
    <w:rsid w:val="00DC6427"/>
    <w:rsid w:val="00DD66A1"/>
    <w:rsid w:val="00DE196D"/>
    <w:rsid w:val="00DF6B49"/>
    <w:rsid w:val="00E067C5"/>
    <w:rsid w:val="00E265BF"/>
    <w:rsid w:val="00E378D8"/>
    <w:rsid w:val="00E43A12"/>
    <w:rsid w:val="00E67C67"/>
    <w:rsid w:val="00E77476"/>
    <w:rsid w:val="00E8228B"/>
    <w:rsid w:val="00EE5706"/>
    <w:rsid w:val="00EF373D"/>
    <w:rsid w:val="00F11595"/>
    <w:rsid w:val="00F13BC9"/>
    <w:rsid w:val="00F357B2"/>
    <w:rsid w:val="00F36556"/>
    <w:rsid w:val="00F705DF"/>
    <w:rsid w:val="00F70622"/>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E29E36"/>
  <w15:docId w15:val="{AF4E4435-A1DA-4A0A-995E-C56C52D9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8716F6"/>
    <w:pPr>
      <w:keepNext/>
      <w:keepLines/>
      <w:spacing w:before="160"/>
      <w:ind w:left="794"/>
    </w:pPr>
    <w:rPr>
      <w:rFonts w:asciiTheme="minorHAnsi" w:eastAsia="STKaiti" w:hAnsiTheme="minorHAns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8716F6"/>
    <w:rPr>
      <w:rFonts w:asciiTheme="minorHAnsi" w:eastAsia="STKaiti" w:hAnsiTheme="minorHAns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en/council/Documents/basic-texts/DEC-011-C.pdf"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REFINFO\TEMPLATE\ITUOffice2007\POOL\POOL%20C%20-%20ITU\PC_C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PC_C21.dotx</Template>
  <TotalTime>2</TotalTime>
  <Pages>2</Pages>
  <Words>771</Words>
  <Characters>239</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1008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adopted by correspondence</dc:title>
  <dc:subject>Council 2021, Virtual consultation of councillors</dc:subject>
  <dc:creator>Zheng, Bingyue</dc:creator>
  <cp:keywords>C2021, C21, VCC, C21-VCC-1</cp:keywords>
  <dc:description/>
  <cp:lastModifiedBy>Xue, Kun</cp:lastModifiedBy>
  <cp:revision>3</cp:revision>
  <cp:lastPrinted>2015-02-24T13:23:00Z</cp:lastPrinted>
  <dcterms:created xsi:type="dcterms:W3CDTF">2021-08-18T12:24:00Z</dcterms:created>
  <dcterms:modified xsi:type="dcterms:W3CDTF">2021-08-18T12:25:00Z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