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B1494" w14:paraId="635137A9" w14:textId="77777777">
        <w:trPr>
          <w:cantSplit/>
        </w:trPr>
        <w:tc>
          <w:tcPr>
            <w:tcW w:w="6912" w:type="dxa"/>
          </w:tcPr>
          <w:p w14:paraId="7B47B191" w14:textId="77777777" w:rsidR="00520F36" w:rsidRPr="000B1494" w:rsidRDefault="00520F36" w:rsidP="00A74D6C">
            <w:pPr>
              <w:spacing w:before="360"/>
            </w:pPr>
            <w:bookmarkStart w:id="0" w:name="dc06"/>
            <w:bookmarkEnd w:id="0"/>
            <w:r w:rsidRPr="000B1494">
              <w:rPr>
                <w:b/>
                <w:bCs/>
                <w:sz w:val="30"/>
                <w:szCs w:val="30"/>
              </w:rPr>
              <w:t>Conseil 20</w:t>
            </w:r>
            <w:r w:rsidR="009C353C" w:rsidRPr="000B1494">
              <w:rPr>
                <w:b/>
                <w:bCs/>
                <w:sz w:val="30"/>
                <w:szCs w:val="30"/>
              </w:rPr>
              <w:t>2</w:t>
            </w:r>
            <w:r w:rsidR="004D1D50" w:rsidRPr="000B1494">
              <w:rPr>
                <w:b/>
                <w:bCs/>
                <w:sz w:val="30"/>
                <w:szCs w:val="30"/>
              </w:rPr>
              <w:t>1</w:t>
            </w:r>
            <w:r w:rsidRPr="000B1494">
              <w:rPr>
                <w:rFonts w:ascii="Verdana" w:hAnsi="Verdana"/>
                <w:b/>
                <w:bCs/>
                <w:sz w:val="26"/>
                <w:szCs w:val="26"/>
              </w:rPr>
              <w:br/>
            </w:r>
            <w:r w:rsidR="004D1D50" w:rsidRPr="000B1494">
              <w:rPr>
                <w:b/>
                <w:bCs/>
                <w:sz w:val="28"/>
                <w:szCs w:val="28"/>
              </w:rPr>
              <w:t>Consultation virtuelle des Conseillers</w:t>
            </w:r>
            <w:r w:rsidRPr="000B1494">
              <w:rPr>
                <w:b/>
                <w:bCs/>
                <w:sz w:val="28"/>
                <w:szCs w:val="28"/>
              </w:rPr>
              <w:t xml:space="preserve">, </w:t>
            </w:r>
            <w:r w:rsidR="004D1D50" w:rsidRPr="000B1494">
              <w:rPr>
                <w:b/>
                <w:bCs/>
                <w:sz w:val="28"/>
                <w:szCs w:val="28"/>
              </w:rPr>
              <w:t>8</w:t>
            </w:r>
            <w:r w:rsidRPr="000B1494">
              <w:rPr>
                <w:b/>
                <w:bCs/>
                <w:sz w:val="28"/>
                <w:szCs w:val="28"/>
              </w:rPr>
              <w:t>-</w:t>
            </w:r>
            <w:r w:rsidR="009C353C" w:rsidRPr="000B1494">
              <w:rPr>
                <w:b/>
                <w:bCs/>
                <w:sz w:val="28"/>
                <w:szCs w:val="28"/>
              </w:rPr>
              <w:t>1</w:t>
            </w:r>
            <w:r w:rsidR="004D1D50" w:rsidRPr="000B1494">
              <w:rPr>
                <w:b/>
                <w:bCs/>
                <w:sz w:val="28"/>
                <w:szCs w:val="28"/>
              </w:rPr>
              <w:t>8</w:t>
            </w:r>
            <w:r w:rsidR="00106B19" w:rsidRPr="000B1494">
              <w:rPr>
                <w:b/>
                <w:bCs/>
                <w:sz w:val="28"/>
                <w:szCs w:val="28"/>
              </w:rPr>
              <w:t xml:space="preserve"> juin</w:t>
            </w:r>
            <w:r w:rsidRPr="000B1494">
              <w:rPr>
                <w:b/>
                <w:bCs/>
                <w:sz w:val="28"/>
                <w:szCs w:val="28"/>
              </w:rPr>
              <w:t xml:space="preserve"> 20</w:t>
            </w:r>
            <w:r w:rsidR="009C353C" w:rsidRPr="000B1494">
              <w:rPr>
                <w:b/>
                <w:bCs/>
                <w:sz w:val="28"/>
                <w:szCs w:val="28"/>
              </w:rPr>
              <w:t>2</w:t>
            </w:r>
            <w:r w:rsidR="004D1D50" w:rsidRPr="000B1494">
              <w:rPr>
                <w:b/>
                <w:bCs/>
                <w:sz w:val="28"/>
                <w:szCs w:val="28"/>
              </w:rPr>
              <w:t>1</w:t>
            </w:r>
          </w:p>
        </w:tc>
        <w:tc>
          <w:tcPr>
            <w:tcW w:w="3261" w:type="dxa"/>
          </w:tcPr>
          <w:p w14:paraId="0873F380" w14:textId="77777777" w:rsidR="00520F36" w:rsidRPr="000B1494" w:rsidRDefault="009C353C" w:rsidP="00A74D6C">
            <w:pPr>
              <w:spacing w:before="0"/>
            </w:pPr>
            <w:bookmarkStart w:id="1" w:name="ditulogo"/>
            <w:bookmarkEnd w:id="1"/>
            <w:r w:rsidRPr="000B1494">
              <w:rPr>
                <w:noProof/>
                <w:lang w:val="en-US"/>
              </w:rPr>
              <w:drawing>
                <wp:inline distT="0" distB="0" distL="0" distR="0" wp14:anchorId="2E4358B7" wp14:editId="68AF26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B1494" w14:paraId="3341C03A" w14:textId="77777777" w:rsidTr="00EF41DD">
        <w:trPr>
          <w:cantSplit/>
          <w:trHeight w:val="20"/>
        </w:trPr>
        <w:tc>
          <w:tcPr>
            <w:tcW w:w="6912" w:type="dxa"/>
            <w:tcBorders>
              <w:bottom w:val="single" w:sz="12" w:space="0" w:color="auto"/>
            </w:tcBorders>
            <w:vAlign w:val="center"/>
          </w:tcPr>
          <w:p w14:paraId="3DD13725" w14:textId="77777777" w:rsidR="00520F36" w:rsidRPr="000B1494" w:rsidRDefault="00520F36" w:rsidP="00A74D6C">
            <w:pPr>
              <w:spacing w:before="0"/>
              <w:rPr>
                <w:b/>
                <w:bCs/>
                <w:sz w:val="26"/>
                <w:szCs w:val="26"/>
              </w:rPr>
            </w:pPr>
          </w:p>
        </w:tc>
        <w:tc>
          <w:tcPr>
            <w:tcW w:w="3261" w:type="dxa"/>
            <w:tcBorders>
              <w:bottom w:val="single" w:sz="12" w:space="0" w:color="auto"/>
            </w:tcBorders>
          </w:tcPr>
          <w:p w14:paraId="1E3D5DBC" w14:textId="77777777" w:rsidR="00520F36" w:rsidRPr="000B1494" w:rsidRDefault="00520F36" w:rsidP="00A74D6C">
            <w:pPr>
              <w:spacing w:before="0"/>
              <w:rPr>
                <w:b/>
                <w:bCs/>
              </w:rPr>
            </w:pPr>
          </w:p>
        </w:tc>
      </w:tr>
      <w:tr w:rsidR="00520F36" w:rsidRPr="000B1494" w14:paraId="0DD04716" w14:textId="77777777">
        <w:trPr>
          <w:cantSplit/>
          <w:trHeight w:val="20"/>
        </w:trPr>
        <w:tc>
          <w:tcPr>
            <w:tcW w:w="6912" w:type="dxa"/>
            <w:tcBorders>
              <w:top w:val="single" w:sz="12" w:space="0" w:color="auto"/>
            </w:tcBorders>
          </w:tcPr>
          <w:p w14:paraId="7C783D1F" w14:textId="77777777" w:rsidR="00520F36" w:rsidRPr="000B1494" w:rsidRDefault="00520F36" w:rsidP="00A74D6C">
            <w:pPr>
              <w:spacing w:before="0"/>
              <w:rPr>
                <w:smallCaps/>
                <w:sz w:val="22"/>
              </w:rPr>
            </w:pPr>
          </w:p>
        </w:tc>
        <w:tc>
          <w:tcPr>
            <w:tcW w:w="3261" w:type="dxa"/>
            <w:tcBorders>
              <w:top w:val="single" w:sz="12" w:space="0" w:color="auto"/>
            </w:tcBorders>
          </w:tcPr>
          <w:p w14:paraId="2BCDB61D" w14:textId="77777777" w:rsidR="00520F36" w:rsidRPr="000B1494" w:rsidRDefault="00520F36" w:rsidP="00A74D6C">
            <w:pPr>
              <w:spacing w:before="0"/>
              <w:rPr>
                <w:b/>
                <w:bCs/>
              </w:rPr>
            </w:pPr>
          </w:p>
        </w:tc>
      </w:tr>
      <w:tr w:rsidR="00520F36" w:rsidRPr="000B1494" w14:paraId="0032F456" w14:textId="77777777">
        <w:trPr>
          <w:cantSplit/>
          <w:trHeight w:val="20"/>
        </w:trPr>
        <w:tc>
          <w:tcPr>
            <w:tcW w:w="6912" w:type="dxa"/>
            <w:vMerge w:val="restart"/>
          </w:tcPr>
          <w:p w14:paraId="0A43D496" w14:textId="77777777" w:rsidR="00520F36" w:rsidRPr="000B1494" w:rsidRDefault="00520F36" w:rsidP="00A74D6C">
            <w:pPr>
              <w:spacing w:before="0"/>
              <w:rPr>
                <w:rFonts w:cs="Times"/>
                <w:b/>
                <w:bCs/>
                <w:szCs w:val="24"/>
              </w:rPr>
            </w:pPr>
            <w:bookmarkStart w:id="2" w:name="dnum" w:colFirst="1" w:colLast="1"/>
            <w:bookmarkStart w:id="3" w:name="dmeeting" w:colFirst="0" w:colLast="0"/>
          </w:p>
        </w:tc>
        <w:tc>
          <w:tcPr>
            <w:tcW w:w="3261" w:type="dxa"/>
          </w:tcPr>
          <w:p w14:paraId="673F3DCE" w14:textId="75907A75" w:rsidR="00520F36" w:rsidRPr="000B1494" w:rsidRDefault="00520F36" w:rsidP="00A74D6C">
            <w:pPr>
              <w:spacing w:before="0"/>
              <w:rPr>
                <w:b/>
                <w:bCs/>
              </w:rPr>
            </w:pPr>
            <w:r w:rsidRPr="000B1494">
              <w:rPr>
                <w:b/>
                <w:bCs/>
              </w:rPr>
              <w:t>Document C</w:t>
            </w:r>
            <w:r w:rsidR="009C353C" w:rsidRPr="000B1494">
              <w:rPr>
                <w:b/>
                <w:bCs/>
              </w:rPr>
              <w:t>2</w:t>
            </w:r>
            <w:r w:rsidR="004D1D50" w:rsidRPr="000B1494">
              <w:rPr>
                <w:b/>
                <w:bCs/>
              </w:rPr>
              <w:t>1</w:t>
            </w:r>
            <w:r w:rsidRPr="000B1494">
              <w:rPr>
                <w:b/>
                <w:bCs/>
              </w:rPr>
              <w:t>/</w:t>
            </w:r>
            <w:r w:rsidR="00563FB9" w:rsidRPr="000B1494">
              <w:rPr>
                <w:b/>
                <w:bCs/>
              </w:rPr>
              <w:t>91</w:t>
            </w:r>
            <w:r w:rsidRPr="000B1494">
              <w:rPr>
                <w:b/>
                <w:bCs/>
              </w:rPr>
              <w:t>-F</w:t>
            </w:r>
          </w:p>
        </w:tc>
      </w:tr>
      <w:tr w:rsidR="00520F36" w:rsidRPr="000B1494" w14:paraId="6A4BDCDA" w14:textId="77777777">
        <w:trPr>
          <w:cantSplit/>
          <w:trHeight w:val="20"/>
        </w:trPr>
        <w:tc>
          <w:tcPr>
            <w:tcW w:w="6912" w:type="dxa"/>
            <w:vMerge/>
          </w:tcPr>
          <w:p w14:paraId="3DD43B51" w14:textId="77777777" w:rsidR="00520F36" w:rsidRPr="000B1494" w:rsidRDefault="00520F36" w:rsidP="00A74D6C">
            <w:pPr>
              <w:shd w:val="solid" w:color="FFFFFF" w:fill="FFFFFF"/>
              <w:spacing w:before="180"/>
              <w:rPr>
                <w:smallCaps/>
              </w:rPr>
            </w:pPr>
            <w:bookmarkStart w:id="4" w:name="ddate" w:colFirst="1" w:colLast="1"/>
            <w:bookmarkEnd w:id="2"/>
            <w:bookmarkEnd w:id="3"/>
          </w:p>
        </w:tc>
        <w:tc>
          <w:tcPr>
            <w:tcW w:w="3261" w:type="dxa"/>
          </w:tcPr>
          <w:p w14:paraId="11F4757C" w14:textId="78FE6918" w:rsidR="00520F36" w:rsidRPr="000B1494" w:rsidRDefault="00563FB9" w:rsidP="00A74D6C">
            <w:pPr>
              <w:spacing w:before="0"/>
              <w:rPr>
                <w:b/>
                <w:bCs/>
              </w:rPr>
            </w:pPr>
            <w:r w:rsidRPr="000B1494">
              <w:rPr>
                <w:b/>
                <w:bCs/>
              </w:rPr>
              <w:t xml:space="preserve">23 </w:t>
            </w:r>
            <w:r w:rsidR="00C512E1" w:rsidRPr="000B1494">
              <w:rPr>
                <w:b/>
                <w:bCs/>
              </w:rPr>
              <w:t>juin</w:t>
            </w:r>
            <w:r w:rsidR="00520F36" w:rsidRPr="000B1494">
              <w:rPr>
                <w:b/>
                <w:bCs/>
              </w:rPr>
              <w:t xml:space="preserve"> 20</w:t>
            </w:r>
            <w:r w:rsidR="009C353C" w:rsidRPr="000B1494">
              <w:rPr>
                <w:b/>
                <w:bCs/>
              </w:rPr>
              <w:t>2</w:t>
            </w:r>
            <w:r w:rsidR="0097363B" w:rsidRPr="000B1494">
              <w:rPr>
                <w:b/>
                <w:bCs/>
              </w:rPr>
              <w:t>1</w:t>
            </w:r>
          </w:p>
        </w:tc>
      </w:tr>
      <w:tr w:rsidR="00520F36" w:rsidRPr="000B1494" w14:paraId="5373AF9B" w14:textId="77777777" w:rsidTr="00FF5714">
        <w:trPr>
          <w:cantSplit/>
          <w:trHeight w:val="324"/>
        </w:trPr>
        <w:tc>
          <w:tcPr>
            <w:tcW w:w="6912" w:type="dxa"/>
            <w:vMerge/>
          </w:tcPr>
          <w:p w14:paraId="7B6489FB" w14:textId="77777777" w:rsidR="00520F36" w:rsidRPr="000B1494" w:rsidRDefault="00520F36" w:rsidP="00A74D6C">
            <w:pPr>
              <w:shd w:val="solid" w:color="FFFFFF" w:fill="FFFFFF"/>
              <w:spacing w:before="180"/>
              <w:rPr>
                <w:smallCaps/>
              </w:rPr>
            </w:pPr>
            <w:bookmarkStart w:id="5" w:name="dorlang" w:colFirst="1" w:colLast="1"/>
            <w:bookmarkEnd w:id="4"/>
          </w:p>
        </w:tc>
        <w:tc>
          <w:tcPr>
            <w:tcW w:w="3261" w:type="dxa"/>
          </w:tcPr>
          <w:p w14:paraId="5B0E6CE0" w14:textId="77777777" w:rsidR="00520F36" w:rsidRPr="000B1494" w:rsidRDefault="00520F36" w:rsidP="00A74D6C">
            <w:pPr>
              <w:spacing w:before="0"/>
              <w:rPr>
                <w:b/>
                <w:bCs/>
              </w:rPr>
            </w:pPr>
            <w:proofErr w:type="gramStart"/>
            <w:r w:rsidRPr="000B1494">
              <w:rPr>
                <w:b/>
                <w:bCs/>
              </w:rPr>
              <w:t>Original:</w:t>
            </w:r>
            <w:proofErr w:type="gramEnd"/>
            <w:r w:rsidRPr="000B1494">
              <w:rPr>
                <w:b/>
                <w:bCs/>
              </w:rPr>
              <w:t xml:space="preserve"> anglais</w:t>
            </w:r>
          </w:p>
        </w:tc>
      </w:tr>
    </w:tbl>
    <w:p w14:paraId="1A20418E" w14:textId="77777777" w:rsidR="00FF5714" w:rsidRPr="000B1494" w:rsidRDefault="00FF5714" w:rsidP="0058490E">
      <w:pPr>
        <w:pStyle w:val="Title1"/>
        <w:spacing w:before="840"/>
      </w:pPr>
      <w:bookmarkStart w:id="6" w:name="dtitle1" w:colFirst="0" w:colLast="0"/>
      <w:bookmarkEnd w:id="5"/>
      <w:r w:rsidRPr="000B1494">
        <w:t>COMPTE RENDU</w:t>
      </w:r>
    </w:p>
    <w:p w14:paraId="28CC5086" w14:textId="77777777" w:rsidR="00FF5714" w:rsidRPr="000B1494" w:rsidRDefault="00FF5714" w:rsidP="00FF5714">
      <w:pPr>
        <w:pStyle w:val="Title1"/>
      </w:pPr>
      <w:r w:rsidRPr="000B1494">
        <w:t>DE LA</w:t>
      </w:r>
    </w:p>
    <w:p w14:paraId="4538ABCD" w14:textId="4139E6FE" w:rsidR="00A53E4A" w:rsidRPr="000B1494" w:rsidRDefault="00FF5714" w:rsidP="00FF5714">
      <w:pPr>
        <w:pStyle w:val="Title1"/>
      </w:pPr>
      <w:r w:rsidRPr="000B1494">
        <w:t>SEPTIÈME SÉANCE</w:t>
      </w:r>
    </w:p>
    <w:p w14:paraId="40F9392C" w14:textId="7A68700D" w:rsidR="00FF5714" w:rsidRPr="000B1494" w:rsidRDefault="00FF5714" w:rsidP="00FF5714">
      <w:pPr>
        <w:jc w:val="center"/>
        <w:rPr>
          <w:b/>
          <w:bCs/>
          <w:szCs w:val="24"/>
        </w:rPr>
      </w:pPr>
      <w:r w:rsidRPr="000B1494">
        <w:rPr>
          <w:szCs w:val="24"/>
        </w:rPr>
        <w:t>Mercredi 16 juin 2021, de 12 h 00 à 15 h 15</w:t>
      </w:r>
    </w:p>
    <w:p w14:paraId="655F6E98" w14:textId="78752429" w:rsidR="00FF5714" w:rsidRPr="000B1494" w:rsidRDefault="00FF5714" w:rsidP="00FF5714">
      <w:pPr>
        <w:spacing w:after="240"/>
        <w:jc w:val="center"/>
      </w:pPr>
      <w:proofErr w:type="gramStart"/>
      <w:r w:rsidRPr="000B1494">
        <w:rPr>
          <w:b/>
          <w:bCs/>
          <w:szCs w:val="24"/>
        </w:rPr>
        <w:t>Président</w:t>
      </w:r>
      <w:r w:rsidRPr="000B1494">
        <w:rPr>
          <w:szCs w:val="24"/>
        </w:rPr>
        <w:t>:</w:t>
      </w:r>
      <w:proofErr w:type="gramEnd"/>
      <w:r w:rsidRPr="000B1494">
        <w:rPr>
          <w:szCs w:val="24"/>
        </w:rPr>
        <w:t xml:space="preserve"> M. S. BIN GHELAITA (Émirats arabes unis)</w:t>
      </w:r>
    </w:p>
    <w:bookmarkEnd w:id="6"/>
    <w:tbl>
      <w:tblPr>
        <w:tblW w:w="5221" w:type="pct"/>
        <w:tblLook w:val="0000" w:firstRow="0" w:lastRow="0" w:firstColumn="0" w:lastColumn="0" w:noHBand="0" w:noVBand="0"/>
      </w:tblPr>
      <w:tblGrid>
        <w:gridCol w:w="555"/>
        <w:gridCol w:w="7386"/>
        <w:gridCol w:w="2124"/>
      </w:tblGrid>
      <w:tr w:rsidR="00563FB9" w:rsidRPr="000B1494" w14:paraId="5569A523" w14:textId="77777777" w:rsidTr="0058490E">
        <w:tc>
          <w:tcPr>
            <w:tcW w:w="276" w:type="pct"/>
          </w:tcPr>
          <w:p w14:paraId="0E5420C1" w14:textId="77777777" w:rsidR="00563FB9" w:rsidRPr="000B1494" w:rsidRDefault="00563FB9" w:rsidP="00FF5714">
            <w:pPr>
              <w:pStyle w:val="Tablehead"/>
              <w:jc w:val="left"/>
            </w:pPr>
            <w:r w:rsidRPr="000B1494">
              <w:br w:type="page"/>
            </w:r>
            <w:r w:rsidRPr="000B1494">
              <w:br w:type="page"/>
            </w:r>
          </w:p>
        </w:tc>
        <w:tc>
          <w:tcPr>
            <w:tcW w:w="3669" w:type="pct"/>
          </w:tcPr>
          <w:p w14:paraId="4C794129" w14:textId="2C31436F" w:rsidR="00563FB9" w:rsidRPr="000B1494" w:rsidRDefault="00563FB9" w:rsidP="00FF5714">
            <w:pPr>
              <w:pStyle w:val="Tablehead"/>
              <w:jc w:val="left"/>
            </w:pPr>
            <w:r w:rsidRPr="000B1494">
              <w:t>Sujets traités</w:t>
            </w:r>
          </w:p>
        </w:tc>
        <w:tc>
          <w:tcPr>
            <w:tcW w:w="1055" w:type="pct"/>
          </w:tcPr>
          <w:p w14:paraId="62C5B2CF" w14:textId="77777777" w:rsidR="00563FB9" w:rsidRPr="000B1494" w:rsidRDefault="00563FB9" w:rsidP="00FF5714">
            <w:pPr>
              <w:pStyle w:val="Tablehead"/>
            </w:pPr>
            <w:r w:rsidRPr="000B1494">
              <w:t>Documents</w:t>
            </w:r>
          </w:p>
        </w:tc>
      </w:tr>
      <w:tr w:rsidR="00563FB9" w:rsidRPr="000B1494" w14:paraId="1D7BB13D" w14:textId="77777777" w:rsidTr="0058490E">
        <w:tc>
          <w:tcPr>
            <w:tcW w:w="276" w:type="pct"/>
            <w:vAlign w:val="center"/>
          </w:tcPr>
          <w:p w14:paraId="50F105CF" w14:textId="77777777" w:rsidR="00563FB9" w:rsidRPr="000B1494" w:rsidRDefault="00563FB9" w:rsidP="00FF5714">
            <w:pPr>
              <w:pStyle w:val="Tabletext"/>
              <w:spacing w:before="80" w:after="80"/>
            </w:pPr>
            <w:r w:rsidRPr="000B1494">
              <w:t>1</w:t>
            </w:r>
          </w:p>
        </w:tc>
        <w:tc>
          <w:tcPr>
            <w:tcW w:w="3669" w:type="pct"/>
          </w:tcPr>
          <w:p w14:paraId="4978A4B9" w14:textId="1ACAD196" w:rsidR="00563FB9" w:rsidRPr="000B1494" w:rsidRDefault="00563FB9" w:rsidP="00FF5714">
            <w:pPr>
              <w:pStyle w:val="Tabletext"/>
              <w:spacing w:before="80" w:after="80"/>
            </w:pPr>
            <w:r w:rsidRPr="000B1494">
              <w:rPr>
                <w:rFonts w:cs="Calibri"/>
                <w:lang w:eastAsia="en-GB"/>
              </w:rPr>
              <w:t>Résultats des discussions menées le 15 juin 2021</w:t>
            </w:r>
          </w:p>
        </w:tc>
        <w:tc>
          <w:tcPr>
            <w:tcW w:w="1055" w:type="pct"/>
          </w:tcPr>
          <w:p w14:paraId="345434D5" w14:textId="697BAAD6" w:rsidR="00563FB9" w:rsidRPr="000B1494" w:rsidRDefault="0058490E" w:rsidP="00FF5714">
            <w:pPr>
              <w:pStyle w:val="Tabletext"/>
              <w:spacing w:before="80" w:after="80"/>
              <w:jc w:val="center"/>
              <w:rPr>
                <w:bCs/>
              </w:rPr>
            </w:pPr>
            <w:hyperlink r:id="rId8" w:history="1">
              <w:r w:rsidR="00563FB9" w:rsidRPr="000B1494">
                <w:rPr>
                  <w:rFonts w:cs="Calibri"/>
                  <w:bCs/>
                  <w:color w:val="0000FF"/>
                  <w:u w:val="single"/>
                  <w:lang w:eastAsia="en-GB"/>
                </w:rPr>
                <w:t>C21/DT/1(Rév.5)</w:t>
              </w:r>
            </w:hyperlink>
          </w:p>
        </w:tc>
      </w:tr>
      <w:tr w:rsidR="00563FB9" w:rsidRPr="000B1494" w14:paraId="3B9901E6" w14:textId="77777777" w:rsidTr="0058490E">
        <w:tc>
          <w:tcPr>
            <w:tcW w:w="276" w:type="pct"/>
            <w:vAlign w:val="center"/>
          </w:tcPr>
          <w:p w14:paraId="2D4B2D2E" w14:textId="77777777" w:rsidR="00563FB9" w:rsidRPr="000B1494" w:rsidRDefault="00563FB9" w:rsidP="00FF5714">
            <w:pPr>
              <w:pStyle w:val="Tabletext"/>
              <w:spacing w:before="80" w:after="80"/>
            </w:pPr>
            <w:r w:rsidRPr="000B1494">
              <w:t>2</w:t>
            </w:r>
          </w:p>
        </w:tc>
        <w:tc>
          <w:tcPr>
            <w:tcW w:w="3669" w:type="pct"/>
            <w:vAlign w:val="center"/>
          </w:tcPr>
          <w:p w14:paraId="38110425" w14:textId="3A7C6D54" w:rsidR="00563FB9" w:rsidRPr="000B1494" w:rsidRDefault="00563FB9" w:rsidP="00FF5714">
            <w:pPr>
              <w:pStyle w:val="Tabletext"/>
              <w:spacing w:before="80" w:after="80"/>
            </w:pPr>
            <w:r w:rsidRPr="000B1494">
              <w:rPr>
                <w:rFonts w:cs="Calibri"/>
                <w:color w:val="000000"/>
                <w:lang w:eastAsia="en-GB"/>
              </w:rPr>
              <w:t xml:space="preserve">Rapport d'activité sur la mise en </w:t>
            </w:r>
            <w:r w:rsidR="00446FCA" w:rsidRPr="000B1494">
              <w:rPr>
                <w:rFonts w:cs="Calibri"/>
                <w:color w:val="000000"/>
                <w:lang w:eastAsia="en-GB"/>
              </w:rPr>
              <w:t>œuvre</w:t>
            </w:r>
            <w:r w:rsidRPr="000B1494">
              <w:rPr>
                <w:rFonts w:cs="Calibri"/>
                <w:color w:val="000000"/>
                <w:lang w:eastAsia="en-GB"/>
              </w:rPr>
              <w:t xml:space="preserve"> du Plan stratégique pour les ressources humaines et de la Résolution 48 (Rév. Dubaï, 2018) de la Conférence de plénipotentiaires</w:t>
            </w:r>
          </w:p>
        </w:tc>
        <w:bookmarkStart w:id="7" w:name="_Hlk74664428"/>
        <w:tc>
          <w:tcPr>
            <w:tcW w:w="1055" w:type="pct"/>
            <w:vAlign w:val="center"/>
          </w:tcPr>
          <w:p w14:paraId="7FD8CF63" w14:textId="77777777" w:rsidR="00563FB9" w:rsidRPr="000B1494" w:rsidRDefault="00563FB9" w:rsidP="00FF5714">
            <w:pPr>
              <w:pStyle w:val="Tabletext"/>
              <w:spacing w:before="80" w:after="80"/>
              <w:jc w:val="center"/>
              <w:rPr>
                <w:bCs/>
              </w:rPr>
            </w:pPr>
            <w:r w:rsidRPr="000B1494">
              <w:rPr>
                <w:bCs/>
              </w:rPr>
              <w:fldChar w:fldCharType="begin"/>
            </w:r>
            <w:r w:rsidRPr="000B1494">
              <w:rPr>
                <w:bCs/>
              </w:rPr>
              <w:instrText xml:space="preserve"> HYPERLINK "https://www.itu.int/md/S21-CL-C-0054/en" </w:instrText>
            </w:r>
            <w:r w:rsidRPr="000B1494">
              <w:rPr>
                <w:bCs/>
              </w:rPr>
              <w:fldChar w:fldCharType="separate"/>
            </w:r>
            <w:r w:rsidRPr="000B1494">
              <w:rPr>
                <w:rFonts w:cs="Calibri"/>
                <w:bCs/>
                <w:color w:val="0000FF"/>
                <w:u w:val="single"/>
                <w:lang w:eastAsia="en-GB"/>
              </w:rPr>
              <w:t>C21/54</w:t>
            </w:r>
            <w:r w:rsidRPr="000B1494">
              <w:rPr>
                <w:rFonts w:cs="Calibri"/>
                <w:bCs/>
                <w:color w:val="0000FF"/>
                <w:u w:val="single"/>
                <w:lang w:eastAsia="en-GB"/>
              </w:rPr>
              <w:fldChar w:fldCharType="end"/>
            </w:r>
            <w:bookmarkEnd w:id="7"/>
          </w:p>
        </w:tc>
      </w:tr>
      <w:tr w:rsidR="00563FB9" w:rsidRPr="000B1494" w14:paraId="2181DD2A" w14:textId="77777777" w:rsidTr="0058490E">
        <w:tc>
          <w:tcPr>
            <w:tcW w:w="276" w:type="pct"/>
            <w:vAlign w:val="center"/>
          </w:tcPr>
          <w:p w14:paraId="77EAB4FC" w14:textId="77777777" w:rsidR="00563FB9" w:rsidRPr="000B1494" w:rsidRDefault="00563FB9" w:rsidP="00FF5714">
            <w:pPr>
              <w:pStyle w:val="Tabletext"/>
              <w:spacing w:before="80" w:after="80"/>
            </w:pPr>
            <w:r w:rsidRPr="000B1494">
              <w:t>3</w:t>
            </w:r>
          </w:p>
        </w:tc>
        <w:tc>
          <w:tcPr>
            <w:tcW w:w="3669" w:type="pct"/>
            <w:vAlign w:val="center"/>
          </w:tcPr>
          <w:p w14:paraId="022E1EFD" w14:textId="6001E381" w:rsidR="00563FB9" w:rsidRPr="000B1494" w:rsidRDefault="0071654C" w:rsidP="00FF5714">
            <w:pPr>
              <w:pStyle w:val="Tabletext"/>
              <w:spacing w:before="80" w:after="80"/>
            </w:pPr>
            <w:r w:rsidRPr="000B1494">
              <w:rPr>
                <w:rFonts w:cs="Calibri"/>
                <w:color w:val="000000"/>
                <w:lang w:eastAsia="en-GB"/>
              </w:rPr>
              <w:t>Rapport sur la durabilité environnementale de l'UIT</w:t>
            </w:r>
          </w:p>
        </w:tc>
        <w:bookmarkStart w:id="8" w:name="_Hlk74664474"/>
        <w:tc>
          <w:tcPr>
            <w:tcW w:w="1055" w:type="pct"/>
            <w:vAlign w:val="center"/>
          </w:tcPr>
          <w:p w14:paraId="3E6771B4" w14:textId="77777777" w:rsidR="00563FB9" w:rsidRPr="000B1494" w:rsidRDefault="00563FB9" w:rsidP="00FF5714">
            <w:pPr>
              <w:pStyle w:val="Tabletext"/>
              <w:spacing w:before="80" w:after="80"/>
              <w:jc w:val="center"/>
              <w:rPr>
                <w:bCs/>
              </w:rPr>
            </w:pPr>
            <w:r w:rsidRPr="000B1494">
              <w:rPr>
                <w:bCs/>
              </w:rPr>
              <w:fldChar w:fldCharType="begin"/>
            </w:r>
            <w:r w:rsidRPr="000B1494">
              <w:rPr>
                <w:bCs/>
              </w:rPr>
              <w:instrText xml:space="preserve"> HYPERLINK "https://www.itu.int/md/S21-CL-C-0068/en" </w:instrText>
            </w:r>
            <w:r w:rsidRPr="000B1494">
              <w:rPr>
                <w:bCs/>
              </w:rPr>
              <w:fldChar w:fldCharType="separate"/>
            </w:r>
            <w:r w:rsidRPr="000B1494">
              <w:rPr>
                <w:rFonts w:cs="Calibri"/>
                <w:bCs/>
                <w:color w:val="0000FF"/>
                <w:u w:val="single"/>
                <w:lang w:eastAsia="en-GB"/>
              </w:rPr>
              <w:t>C21/68</w:t>
            </w:r>
            <w:r w:rsidRPr="000B1494">
              <w:rPr>
                <w:rFonts w:cs="Calibri"/>
                <w:bCs/>
                <w:color w:val="0000FF"/>
                <w:u w:val="single"/>
                <w:lang w:eastAsia="en-GB"/>
              </w:rPr>
              <w:fldChar w:fldCharType="end"/>
            </w:r>
            <w:bookmarkEnd w:id="8"/>
          </w:p>
        </w:tc>
      </w:tr>
      <w:tr w:rsidR="00563FB9" w:rsidRPr="000B1494" w14:paraId="4E35CBFC" w14:textId="77777777" w:rsidTr="0058490E">
        <w:tc>
          <w:tcPr>
            <w:tcW w:w="276" w:type="pct"/>
            <w:vAlign w:val="center"/>
          </w:tcPr>
          <w:p w14:paraId="0E0E456A" w14:textId="77777777" w:rsidR="00563FB9" w:rsidRPr="000B1494" w:rsidRDefault="00563FB9" w:rsidP="00FF5714">
            <w:pPr>
              <w:pStyle w:val="Tabletext"/>
              <w:spacing w:before="80" w:after="80"/>
            </w:pPr>
            <w:r w:rsidRPr="000B1494">
              <w:t>4</w:t>
            </w:r>
          </w:p>
        </w:tc>
        <w:tc>
          <w:tcPr>
            <w:tcW w:w="3669" w:type="pct"/>
            <w:vAlign w:val="center"/>
          </w:tcPr>
          <w:p w14:paraId="5489ACFA" w14:textId="60BCB9EF" w:rsidR="00563FB9" w:rsidRPr="000B1494" w:rsidRDefault="0071654C" w:rsidP="00FF5714">
            <w:pPr>
              <w:pStyle w:val="Tabletext"/>
              <w:spacing w:before="80" w:after="80"/>
            </w:pPr>
            <w:r w:rsidRPr="000B1494">
              <w:rPr>
                <w:rFonts w:cs="Calibri"/>
                <w:color w:val="000000"/>
                <w:lang w:eastAsia="en-GB"/>
              </w:rPr>
              <w:t>Projet de politique de l'UIT en matière d'accessibilité pour les personnes handicapées</w:t>
            </w:r>
          </w:p>
        </w:tc>
        <w:tc>
          <w:tcPr>
            <w:tcW w:w="1055" w:type="pct"/>
            <w:vAlign w:val="center"/>
          </w:tcPr>
          <w:p w14:paraId="40BDD8DF" w14:textId="77777777" w:rsidR="00563FB9" w:rsidRPr="000B1494" w:rsidRDefault="0058490E" w:rsidP="00FF5714">
            <w:pPr>
              <w:pStyle w:val="Tabletext"/>
              <w:spacing w:before="80" w:after="80"/>
              <w:jc w:val="center"/>
              <w:rPr>
                <w:bCs/>
              </w:rPr>
            </w:pPr>
            <w:hyperlink r:id="rId9" w:history="1">
              <w:r w:rsidR="00563FB9" w:rsidRPr="000B1494">
                <w:rPr>
                  <w:rFonts w:cs="Calibri"/>
                  <w:bCs/>
                  <w:color w:val="0000FF"/>
                  <w:u w:val="single"/>
                  <w:lang w:eastAsia="en-GB"/>
                </w:rPr>
                <w:t>C21/72</w:t>
              </w:r>
            </w:hyperlink>
          </w:p>
        </w:tc>
      </w:tr>
      <w:tr w:rsidR="00563FB9" w:rsidRPr="000B1494" w14:paraId="4C592EB6" w14:textId="77777777" w:rsidTr="0058490E">
        <w:tc>
          <w:tcPr>
            <w:tcW w:w="276" w:type="pct"/>
            <w:vAlign w:val="center"/>
          </w:tcPr>
          <w:p w14:paraId="00DF6EBF" w14:textId="77777777" w:rsidR="00563FB9" w:rsidRPr="000B1494" w:rsidRDefault="00563FB9" w:rsidP="00FF5714">
            <w:pPr>
              <w:pStyle w:val="Tabletext"/>
              <w:spacing w:before="80" w:after="80"/>
            </w:pPr>
            <w:r w:rsidRPr="000B1494">
              <w:t>5</w:t>
            </w:r>
          </w:p>
        </w:tc>
        <w:tc>
          <w:tcPr>
            <w:tcW w:w="3669" w:type="pct"/>
            <w:vAlign w:val="center"/>
          </w:tcPr>
          <w:p w14:paraId="16A853F4" w14:textId="48460194" w:rsidR="00563FB9" w:rsidRPr="000B1494" w:rsidRDefault="0071654C" w:rsidP="00FF5714">
            <w:pPr>
              <w:pStyle w:val="Tabletext"/>
              <w:spacing w:before="80" w:after="80"/>
            </w:pPr>
            <w:r w:rsidRPr="000B1494">
              <w:rPr>
                <w:rFonts w:cs="Calibri"/>
                <w:color w:val="000000"/>
                <w:lang w:eastAsia="en-GB"/>
              </w:rPr>
              <w:t>Incidences de la pandémie de C</w:t>
            </w:r>
            <w:r w:rsidR="00124AC4" w:rsidRPr="000B1494">
              <w:rPr>
                <w:rFonts w:cs="Calibri"/>
                <w:color w:val="000000"/>
                <w:lang w:eastAsia="en-GB"/>
              </w:rPr>
              <w:t>OVID</w:t>
            </w:r>
            <w:r w:rsidRPr="000B1494">
              <w:rPr>
                <w:rFonts w:cs="Calibri"/>
                <w:color w:val="000000"/>
                <w:lang w:eastAsia="en-GB"/>
              </w:rPr>
              <w:t>-19 sur le fonctionnement et les activités de l'UIT</w:t>
            </w:r>
          </w:p>
        </w:tc>
        <w:tc>
          <w:tcPr>
            <w:tcW w:w="1055" w:type="pct"/>
            <w:vAlign w:val="center"/>
          </w:tcPr>
          <w:p w14:paraId="52A984D1" w14:textId="77777777" w:rsidR="00563FB9" w:rsidRPr="000B1494" w:rsidRDefault="0058490E" w:rsidP="00FF5714">
            <w:pPr>
              <w:pStyle w:val="Tabletext"/>
              <w:spacing w:before="80" w:after="80"/>
              <w:jc w:val="center"/>
              <w:rPr>
                <w:bCs/>
              </w:rPr>
            </w:pPr>
            <w:hyperlink r:id="rId10" w:history="1">
              <w:r w:rsidR="00563FB9" w:rsidRPr="000B1494">
                <w:rPr>
                  <w:rFonts w:cs="Calibri"/>
                  <w:bCs/>
                  <w:color w:val="0000FF"/>
                  <w:u w:val="single"/>
                  <w:lang w:eastAsia="en-GB"/>
                </w:rPr>
                <w:t>C21/74</w:t>
              </w:r>
            </w:hyperlink>
          </w:p>
        </w:tc>
      </w:tr>
      <w:tr w:rsidR="00563FB9" w:rsidRPr="000B1494" w14:paraId="775D17ED" w14:textId="77777777" w:rsidTr="0058490E">
        <w:tc>
          <w:tcPr>
            <w:tcW w:w="276" w:type="pct"/>
            <w:vAlign w:val="center"/>
          </w:tcPr>
          <w:p w14:paraId="1461EA1D" w14:textId="77777777" w:rsidR="00563FB9" w:rsidRPr="000B1494" w:rsidRDefault="00563FB9" w:rsidP="00FF5714">
            <w:pPr>
              <w:pStyle w:val="Tabletext"/>
              <w:spacing w:before="80" w:after="80"/>
            </w:pPr>
            <w:r w:rsidRPr="000B1494">
              <w:t>6</w:t>
            </w:r>
          </w:p>
        </w:tc>
        <w:tc>
          <w:tcPr>
            <w:tcW w:w="3669" w:type="pct"/>
            <w:vAlign w:val="center"/>
          </w:tcPr>
          <w:p w14:paraId="0B5F26E4" w14:textId="3C13B0CC" w:rsidR="00563FB9" w:rsidRPr="000B1494" w:rsidRDefault="00D531F7" w:rsidP="00FF5714">
            <w:pPr>
              <w:pStyle w:val="Tabletext"/>
              <w:spacing w:before="80" w:after="80"/>
              <w:rPr>
                <w:rFonts w:cs="Calibri"/>
                <w:color w:val="000000"/>
                <w:lang w:eastAsia="en-GB"/>
              </w:rPr>
            </w:pPr>
            <w:r w:rsidRPr="000B1494">
              <w:rPr>
                <w:rFonts w:cs="Calibri"/>
                <w:color w:val="000000"/>
                <w:lang w:eastAsia="en-GB"/>
              </w:rPr>
              <w:t>Participation de l'UIT aux mémorandums d'accord ayant des incidences financières et/ou stratégiques</w:t>
            </w:r>
          </w:p>
        </w:tc>
        <w:tc>
          <w:tcPr>
            <w:tcW w:w="1055" w:type="pct"/>
            <w:vAlign w:val="center"/>
          </w:tcPr>
          <w:p w14:paraId="5C63AFD3" w14:textId="77777777" w:rsidR="00563FB9" w:rsidRPr="000B1494" w:rsidRDefault="0058490E" w:rsidP="00FF5714">
            <w:pPr>
              <w:pStyle w:val="Tabletext"/>
              <w:spacing w:before="80" w:after="80"/>
              <w:jc w:val="center"/>
              <w:rPr>
                <w:bCs/>
              </w:rPr>
            </w:pPr>
            <w:hyperlink r:id="rId11" w:history="1">
              <w:r w:rsidR="00563FB9" w:rsidRPr="000B1494">
                <w:rPr>
                  <w:rFonts w:cs="Calibri"/>
                  <w:bCs/>
                  <w:color w:val="0000FF"/>
                  <w:u w:val="single"/>
                  <w:lang w:eastAsia="en-GB"/>
                </w:rPr>
                <w:t>C21/45</w:t>
              </w:r>
            </w:hyperlink>
          </w:p>
        </w:tc>
      </w:tr>
      <w:tr w:rsidR="00563FB9" w:rsidRPr="000B1494" w14:paraId="4DF609D1" w14:textId="77777777" w:rsidTr="0058490E">
        <w:trPr>
          <w:trHeight w:val="835"/>
        </w:trPr>
        <w:tc>
          <w:tcPr>
            <w:tcW w:w="276" w:type="pct"/>
            <w:vAlign w:val="center"/>
          </w:tcPr>
          <w:p w14:paraId="496BDCFA" w14:textId="77777777" w:rsidR="00563FB9" w:rsidRPr="000B1494" w:rsidRDefault="00563FB9" w:rsidP="00FF5714">
            <w:pPr>
              <w:pStyle w:val="Tabletext"/>
              <w:spacing w:before="80" w:after="80"/>
              <w:rPr>
                <w:rFonts w:cs="Calibri"/>
                <w:color w:val="000000"/>
                <w:lang w:eastAsia="en-GB"/>
              </w:rPr>
            </w:pPr>
            <w:r w:rsidRPr="000B1494">
              <w:rPr>
                <w:rFonts w:cs="Calibri"/>
                <w:color w:val="000000"/>
                <w:lang w:eastAsia="en-GB"/>
              </w:rPr>
              <w:t>7</w:t>
            </w:r>
          </w:p>
        </w:tc>
        <w:tc>
          <w:tcPr>
            <w:tcW w:w="3669" w:type="pct"/>
            <w:vAlign w:val="center"/>
          </w:tcPr>
          <w:p w14:paraId="4A0942A7" w14:textId="66BAE762" w:rsidR="00563FB9" w:rsidRPr="000B1494" w:rsidRDefault="00D531F7" w:rsidP="00FF5714">
            <w:pPr>
              <w:pStyle w:val="Tabletext"/>
              <w:spacing w:before="80" w:after="80"/>
              <w:rPr>
                <w:rFonts w:cs="Calibri"/>
                <w:color w:val="000000"/>
                <w:lang w:eastAsia="en-GB"/>
              </w:rPr>
            </w:pPr>
            <w:r w:rsidRPr="000B1494">
              <w:rPr>
                <w:rFonts w:cs="Calibri"/>
                <w:color w:val="000000"/>
                <w:lang w:eastAsia="en-GB"/>
              </w:rPr>
              <w:t>Rapport sur le recrutement d'un cabinet de conseil en gestion externe indépendant, comprenant des recommandations et diverses stratégies</w:t>
            </w:r>
          </w:p>
        </w:tc>
        <w:tc>
          <w:tcPr>
            <w:tcW w:w="1055" w:type="pct"/>
          </w:tcPr>
          <w:p w14:paraId="604EE6B8" w14:textId="77777777" w:rsidR="00563FB9" w:rsidRPr="000B1494" w:rsidRDefault="0058490E" w:rsidP="00FF5714">
            <w:pPr>
              <w:pStyle w:val="Tabletext"/>
              <w:spacing w:before="80" w:after="80"/>
              <w:jc w:val="center"/>
              <w:rPr>
                <w:rFonts w:cs="Calibri"/>
                <w:bCs/>
                <w:color w:val="0000FF"/>
                <w:u w:val="single"/>
                <w:lang w:eastAsia="en-GB"/>
              </w:rPr>
            </w:pPr>
            <w:hyperlink r:id="rId12" w:history="1">
              <w:r w:rsidR="00563FB9" w:rsidRPr="000B1494">
                <w:rPr>
                  <w:rFonts w:cs="Calibri"/>
                  <w:bCs/>
                  <w:color w:val="0000FF"/>
                  <w:u w:val="single"/>
                  <w:lang w:eastAsia="en-GB"/>
                </w:rPr>
                <w:t>C21/10</w:t>
              </w:r>
            </w:hyperlink>
            <w:r w:rsidR="00563FB9" w:rsidRPr="000B1494">
              <w:rPr>
                <w:rFonts w:cs="Calibri"/>
                <w:bCs/>
                <w:lang w:eastAsia="en-GB"/>
              </w:rPr>
              <w:t>,</w:t>
            </w:r>
            <w:r w:rsidR="00563FB9" w:rsidRPr="000B1494">
              <w:rPr>
                <w:rFonts w:eastAsia="MS Mincho" w:cs="Calibri"/>
                <w:bCs/>
              </w:rPr>
              <w:br/>
            </w:r>
            <w:hyperlink r:id="rId13" w:history="1">
              <w:r w:rsidR="00563FB9" w:rsidRPr="000B1494">
                <w:rPr>
                  <w:rFonts w:cs="Calibri"/>
                  <w:bCs/>
                  <w:color w:val="0000FF"/>
                  <w:u w:val="single"/>
                  <w:lang w:eastAsia="en-GB"/>
                </w:rPr>
                <w:t>C21/79</w:t>
              </w:r>
            </w:hyperlink>
          </w:p>
        </w:tc>
      </w:tr>
      <w:tr w:rsidR="00563FB9" w:rsidRPr="000B1494" w14:paraId="0E4F30FB" w14:textId="77777777" w:rsidTr="0058490E">
        <w:tc>
          <w:tcPr>
            <w:tcW w:w="276" w:type="pct"/>
            <w:vAlign w:val="center"/>
          </w:tcPr>
          <w:p w14:paraId="72E3831F" w14:textId="77777777" w:rsidR="00563FB9" w:rsidRPr="000B1494" w:rsidRDefault="00563FB9" w:rsidP="00FF5714">
            <w:pPr>
              <w:pStyle w:val="Tabletext"/>
              <w:spacing w:before="80" w:after="80"/>
            </w:pPr>
            <w:r w:rsidRPr="000B1494">
              <w:t>8</w:t>
            </w:r>
          </w:p>
        </w:tc>
        <w:tc>
          <w:tcPr>
            <w:tcW w:w="3669" w:type="pct"/>
          </w:tcPr>
          <w:p w14:paraId="1D2A2131" w14:textId="4EE496DA" w:rsidR="00563FB9" w:rsidRPr="000B1494" w:rsidRDefault="00D531F7" w:rsidP="00FF5714">
            <w:pPr>
              <w:pStyle w:val="Tabletext"/>
              <w:spacing w:before="80" w:after="80"/>
              <w:rPr>
                <w:rFonts w:cs="Calibri"/>
                <w:color w:val="000000"/>
                <w:lang w:eastAsia="en-GB"/>
              </w:rPr>
            </w:pPr>
            <w:r w:rsidRPr="000B1494">
              <w:t>Activités de l'UIT relatives à l'Internet</w:t>
            </w:r>
          </w:p>
        </w:tc>
        <w:tc>
          <w:tcPr>
            <w:tcW w:w="1055" w:type="pct"/>
            <w:vAlign w:val="center"/>
          </w:tcPr>
          <w:p w14:paraId="7448220D" w14:textId="5EAE9496" w:rsidR="00563FB9" w:rsidRPr="000B1494" w:rsidRDefault="0058490E" w:rsidP="00FF5714">
            <w:pPr>
              <w:pStyle w:val="Tabletext"/>
              <w:spacing w:before="80" w:after="80"/>
              <w:jc w:val="center"/>
              <w:rPr>
                <w:bCs/>
              </w:rPr>
            </w:pPr>
            <w:hyperlink r:id="rId14" w:history="1">
              <w:r w:rsidR="00563FB9" w:rsidRPr="000B1494">
                <w:rPr>
                  <w:bCs/>
                  <w:color w:val="0000FF"/>
                  <w:u w:val="single"/>
                </w:rPr>
                <w:t>C21/33</w:t>
              </w:r>
            </w:hyperlink>
            <w:r w:rsidR="00563FB9" w:rsidRPr="000B1494">
              <w:rPr>
                <w:bCs/>
              </w:rPr>
              <w:t xml:space="preserve">, </w:t>
            </w:r>
            <w:hyperlink r:id="rId15" w:history="1">
              <w:r w:rsidR="00563FB9" w:rsidRPr="000B1494">
                <w:rPr>
                  <w:rStyle w:val="Hyperlink"/>
                  <w:bCs/>
                </w:rPr>
                <w:t>C21/DT/8</w:t>
              </w:r>
            </w:hyperlink>
          </w:p>
        </w:tc>
      </w:tr>
      <w:tr w:rsidR="00563FB9" w:rsidRPr="000B1494" w14:paraId="61644B08" w14:textId="77777777" w:rsidTr="0058490E">
        <w:tc>
          <w:tcPr>
            <w:tcW w:w="276" w:type="pct"/>
            <w:vAlign w:val="center"/>
          </w:tcPr>
          <w:p w14:paraId="0F16C229" w14:textId="77777777" w:rsidR="00563FB9" w:rsidRPr="000B1494" w:rsidRDefault="00563FB9" w:rsidP="00FF5714">
            <w:pPr>
              <w:pStyle w:val="Tabletext"/>
              <w:spacing w:before="80" w:after="80"/>
            </w:pPr>
            <w:r w:rsidRPr="000B1494">
              <w:t>9</w:t>
            </w:r>
          </w:p>
        </w:tc>
        <w:tc>
          <w:tcPr>
            <w:tcW w:w="3669" w:type="pct"/>
            <w:vAlign w:val="center"/>
          </w:tcPr>
          <w:p w14:paraId="7723627A" w14:textId="5875D0FA" w:rsidR="00563FB9" w:rsidRPr="000B1494" w:rsidRDefault="00D531F7" w:rsidP="00FF5714">
            <w:pPr>
              <w:pStyle w:val="Tabletext"/>
              <w:spacing w:before="80" w:after="80"/>
              <w:rPr>
                <w:rFonts w:cs="Calibri"/>
                <w:color w:val="000000"/>
                <w:lang w:eastAsia="en-GB"/>
              </w:rPr>
            </w:pPr>
            <w:r w:rsidRPr="000B1494">
              <w:t>Activités de l'UIT relatives au renforcement du rôle de l'Union dans l'instauration de la confiance et de la sécurité dans l'utilisation des TIC</w:t>
            </w:r>
          </w:p>
        </w:tc>
        <w:tc>
          <w:tcPr>
            <w:tcW w:w="1055" w:type="pct"/>
            <w:vAlign w:val="center"/>
          </w:tcPr>
          <w:p w14:paraId="2385DC61" w14:textId="77777777" w:rsidR="00563FB9" w:rsidRPr="000B1494" w:rsidRDefault="0058490E" w:rsidP="00FF5714">
            <w:pPr>
              <w:pStyle w:val="Tabletext"/>
              <w:spacing w:before="80" w:after="80"/>
              <w:jc w:val="center"/>
              <w:rPr>
                <w:bCs/>
              </w:rPr>
            </w:pPr>
            <w:hyperlink r:id="rId16" w:history="1">
              <w:r w:rsidR="00563FB9" w:rsidRPr="000B1494">
                <w:rPr>
                  <w:bCs/>
                  <w:color w:val="0000FF"/>
                  <w:u w:val="single"/>
                </w:rPr>
                <w:t>C21/18</w:t>
              </w:r>
            </w:hyperlink>
          </w:p>
        </w:tc>
      </w:tr>
      <w:tr w:rsidR="00563FB9" w:rsidRPr="000B1494" w14:paraId="659C7C40" w14:textId="77777777" w:rsidTr="0058490E">
        <w:tc>
          <w:tcPr>
            <w:tcW w:w="276" w:type="pct"/>
            <w:vAlign w:val="center"/>
          </w:tcPr>
          <w:p w14:paraId="5F9F4AEB" w14:textId="77777777" w:rsidR="00563FB9" w:rsidRPr="000B1494" w:rsidRDefault="00563FB9" w:rsidP="00FF5714">
            <w:pPr>
              <w:pStyle w:val="Tabletext"/>
              <w:spacing w:before="80" w:after="80"/>
            </w:pPr>
            <w:r w:rsidRPr="000B1494">
              <w:t>10</w:t>
            </w:r>
          </w:p>
        </w:tc>
        <w:tc>
          <w:tcPr>
            <w:tcW w:w="3669" w:type="pct"/>
          </w:tcPr>
          <w:p w14:paraId="7D0A117A" w14:textId="071579FA" w:rsidR="00563FB9" w:rsidRPr="000B1494" w:rsidRDefault="007B0B01" w:rsidP="00FF5714">
            <w:pPr>
              <w:pStyle w:val="Tabletext"/>
              <w:spacing w:before="80" w:after="80"/>
              <w:rPr>
                <w:rFonts w:cs="Calibri"/>
                <w:color w:val="000000"/>
                <w:lang w:eastAsia="en-GB"/>
              </w:rPr>
            </w:pPr>
            <w:r w:rsidRPr="000B1494">
              <w:t>Activités de l'UIT relatives à la Résolution 70 (Rév. Dubaï, 2018) de la Conférence de plénipotentiaires</w:t>
            </w:r>
          </w:p>
        </w:tc>
        <w:tc>
          <w:tcPr>
            <w:tcW w:w="1055" w:type="pct"/>
          </w:tcPr>
          <w:p w14:paraId="064D7C0C" w14:textId="77777777" w:rsidR="00563FB9" w:rsidRPr="000B1494" w:rsidRDefault="0058490E" w:rsidP="00FF5714">
            <w:pPr>
              <w:pStyle w:val="Tabletext"/>
              <w:spacing w:before="80" w:after="80"/>
              <w:jc w:val="center"/>
              <w:rPr>
                <w:bCs/>
              </w:rPr>
            </w:pPr>
            <w:hyperlink r:id="rId17" w:history="1">
              <w:r w:rsidR="00563FB9" w:rsidRPr="000B1494">
                <w:rPr>
                  <w:bCs/>
                  <w:color w:val="0000FF"/>
                  <w:u w:val="single"/>
                </w:rPr>
                <w:t>C21/6</w:t>
              </w:r>
            </w:hyperlink>
          </w:p>
        </w:tc>
      </w:tr>
      <w:tr w:rsidR="00563FB9" w:rsidRPr="000B1494" w14:paraId="247695A9" w14:textId="77777777" w:rsidTr="0058490E">
        <w:tc>
          <w:tcPr>
            <w:tcW w:w="276" w:type="pct"/>
            <w:vAlign w:val="center"/>
          </w:tcPr>
          <w:p w14:paraId="3F577D50" w14:textId="77777777" w:rsidR="00563FB9" w:rsidRPr="000B1494" w:rsidRDefault="00563FB9" w:rsidP="00FF5714">
            <w:pPr>
              <w:pStyle w:val="Tabletext"/>
              <w:spacing w:before="80" w:after="80"/>
            </w:pPr>
            <w:r w:rsidRPr="000B1494">
              <w:t>11</w:t>
            </w:r>
          </w:p>
        </w:tc>
        <w:tc>
          <w:tcPr>
            <w:tcW w:w="3669" w:type="pct"/>
            <w:vAlign w:val="center"/>
          </w:tcPr>
          <w:p w14:paraId="1A6F4CA4" w14:textId="37E5542C" w:rsidR="00563FB9" w:rsidRPr="000B1494" w:rsidRDefault="00D531F7" w:rsidP="00FF5714">
            <w:pPr>
              <w:pStyle w:val="Tabletext"/>
              <w:spacing w:before="80" w:after="80"/>
              <w:rPr>
                <w:rFonts w:cs="Calibri"/>
                <w:color w:val="000000"/>
                <w:lang w:eastAsia="en-GB"/>
              </w:rPr>
            </w:pPr>
            <w:r w:rsidRPr="000B1494">
              <w:rPr>
                <w:rFonts w:cs="Calibri"/>
                <w:color w:val="000000"/>
                <w:lang w:eastAsia="en-GB"/>
              </w:rPr>
              <w:t xml:space="preserve">Résultats de la consultation informelle sur les manifestations </w:t>
            </w:r>
            <w:r w:rsidR="004B5166" w:rsidRPr="000B1494">
              <w:rPr>
                <w:rFonts w:cs="Calibri"/>
                <w:color w:val="000000"/>
                <w:lang w:eastAsia="en-GB"/>
              </w:rPr>
              <w:t xml:space="preserve">en </w:t>
            </w:r>
            <w:r w:rsidRPr="000B1494">
              <w:rPr>
                <w:rFonts w:cs="Calibri"/>
                <w:color w:val="000000"/>
                <w:lang w:eastAsia="en-GB"/>
              </w:rPr>
              <w:t>2022 (suite)</w:t>
            </w:r>
          </w:p>
        </w:tc>
        <w:tc>
          <w:tcPr>
            <w:tcW w:w="1055" w:type="pct"/>
          </w:tcPr>
          <w:p w14:paraId="3ADBFC9B" w14:textId="36731CFD" w:rsidR="00563FB9" w:rsidRPr="000B1494" w:rsidRDefault="0058490E" w:rsidP="00FF5714">
            <w:pPr>
              <w:pStyle w:val="Tabletext"/>
              <w:spacing w:before="80" w:after="80"/>
              <w:jc w:val="center"/>
              <w:rPr>
                <w:rFonts w:eastAsia="MS Mincho" w:cs="Calibri"/>
                <w:bCs/>
              </w:rPr>
            </w:pPr>
            <w:hyperlink r:id="rId18" w:history="1">
              <w:r w:rsidR="00563FB9" w:rsidRPr="000B1494">
                <w:rPr>
                  <w:rFonts w:eastAsia="MS Mincho" w:cs="Calibri"/>
                  <w:bCs/>
                  <w:color w:val="0000FF"/>
                  <w:u w:val="single"/>
                </w:rPr>
                <w:t>C21/DT/6</w:t>
              </w:r>
              <w:r w:rsidR="00563FB9" w:rsidRPr="000B1494">
                <w:rPr>
                  <w:rFonts w:eastAsia="MS Mincho" w:cs="Calibri"/>
                  <w:bCs/>
                </w:rPr>
                <w:t xml:space="preserve">, </w:t>
              </w:r>
              <w:r w:rsidR="00563FB9" w:rsidRPr="000B1494">
                <w:rPr>
                  <w:rFonts w:eastAsia="MS Mincho" w:cs="Calibri"/>
                  <w:bCs/>
                  <w:color w:val="0000FF"/>
                  <w:u w:val="single"/>
                </w:rPr>
                <w:t>C21/DT/6(Rév.1</w:t>
              </w:r>
            </w:hyperlink>
            <w:r w:rsidR="00563FB9" w:rsidRPr="000B1494">
              <w:rPr>
                <w:rFonts w:eastAsia="MS Mincho" w:cs="Calibri"/>
                <w:bCs/>
                <w:color w:val="0000FF"/>
                <w:u w:val="single"/>
              </w:rPr>
              <w:t>)</w:t>
            </w:r>
          </w:p>
        </w:tc>
      </w:tr>
    </w:tbl>
    <w:p w14:paraId="59596C71" w14:textId="39D0A62A" w:rsidR="00C512E1" w:rsidRPr="000B1494" w:rsidRDefault="00C512E1" w:rsidP="00A74D6C">
      <w:r w:rsidRPr="000B1494">
        <w:br w:type="page"/>
      </w:r>
    </w:p>
    <w:p w14:paraId="649A75FE" w14:textId="41F3C71C" w:rsidR="00C512E1" w:rsidRPr="0058490E" w:rsidRDefault="00C512E1" w:rsidP="0058490E">
      <w:pPr>
        <w:pStyle w:val="Heading1"/>
        <w:tabs>
          <w:tab w:val="clear" w:pos="567"/>
          <w:tab w:val="clear" w:pos="1134"/>
          <w:tab w:val="clear" w:pos="1701"/>
          <w:tab w:val="clear" w:pos="2268"/>
          <w:tab w:val="clear" w:pos="2835"/>
        </w:tabs>
        <w:ind w:left="709" w:hanging="709"/>
        <w:rPr>
          <w:rFonts w:asciiTheme="minorHAnsi" w:hAnsiTheme="minorHAnsi" w:cstheme="minorHAnsi"/>
          <w:bCs/>
        </w:rPr>
      </w:pPr>
      <w:r w:rsidRPr="0058490E">
        <w:rPr>
          <w:rFonts w:asciiTheme="minorHAnsi" w:hAnsiTheme="minorHAnsi" w:cstheme="minorHAnsi"/>
          <w:bCs/>
        </w:rPr>
        <w:lastRenderedPageBreak/>
        <w:t>1</w:t>
      </w:r>
      <w:r w:rsidRPr="0058490E">
        <w:rPr>
          <w:rFonts w:asciiTheme="minorHAnsi" w:hAnsiTheme="minorHAnsi" w:cstheme="minorHAnsi"/>
          <w:bCs/>
        </w:rPr>
        <w:tab/>
      </w:r>
      <w:bookmarkStart w:id="9" w:name="lt_pId041"/>
      <w:r w:rsidRPr="0058490E">
        <w:rPr>
          <w:rFonts w:asciiTheme="minorHAnsi" w:hAnsiTheme="minorHAnsi" w:cstheme="minorHAnsi"/>
        </w:rPr>
        <w:t xml:space="preserve">Résultats des discussions menées le </w:t>
      </w:r>
      <w:r w:rsidR="00563FB9" w:rsidRPr="0058490E">
        <w:rPr>
          <w:rFonts w:asciiTheme="minorHAnsi" w:hAnsiTheme="minorHAnsi" w:cstheme="minorHAnsi"/>
        </w:rPr>
        <w:t>15</w:t>
      </w:r>
      <w:r w:rsidRPr="0058490E">
        <w:rPr>
          <w:rFonts w:asciiTheme="minorHAnsi" w:hAnsiTheme="minorHAnsi" w:cstheme="minorHAnsi"/>
        </w:rPr>
        <w:t xml:space="preserve"> juin 2021 (Document </w:t>
      </w:r>
      <w:bookmarkEnd w:id="9"/>
      <w:r w:rsidR="0071654C" w:rsidRPr="0058490E">
        <w:rPr>
          <w:rFonts w:asciiTheme="minorHAnsi" w:hAnsiTheme="minorHAnsi" w:cstheme="minorHAnsi"/>
        </w:rPr>
        <w:fldChar w:fldCharType="begin"/>
      </w:r>
      <w:r w:rsidR="0071654C" w:rsidRPr="0058490E">
        <w:rPr>
          <w:rFonts w:asciiTheme="minorHAnsi" w:hAnsiTheme="minorHAnsi" w:cstheme="minorHAnsi"/>
        </w:rPr>
        <w:instrText xml:space="preserve"> HYPERLINK "https://www.itu.int/md/S21-CL-210608-TD-GEN-0001/en" </w:instrText>
      </w:r>
      <w:r w:rsidR="0071654C" w:rsidRPr="0058490E">
        <w:rPr>
          <w:rFonts w:asciiTheme="minorHAnsi" w:hAnsiTheme="minorHAnsi" w:cstheme="minorHAnsi"/>
        </w:rPr>
        <w:fldChar w:fldCharType="separate"/>
      </w:r>
      <w:r w:rsidR="0071654C" w:rsidRPr="0058490E">
        <w:rPr>
          <w:rFonts w:asciiTheme="minorHAnsi" w:eastAsia="MS Mincho" w:hAnsiTheme="minorHAnsi" w:cstheme="minorHAnsi"/>
          <w:color w:val="0000FF"/>
          <w:sz w:val="26"/>
          <w:szCs w:val="26"/>
          <w:u w:val="single"/>
          <w:lang w:eastAsia="en-GB"/>
        </w:rPr>
        <w:t>DT/1(Rév.5)</w:t>
      </w:r>
      <w:r w:rsidR="0071654C" w:rsidRPr="0058490E">
        <w:rPr>
          <w:rFonts w:asciiTheme="minorHAnsi" w:eastAsia="MS Mincho" w:hAnsiTheme="minorHAnsi" w:cstheme="minorHAnsi"/>
          <w:color w:val="0000FF"/>
          <w:sz w:val="26"/>
          <w:szCs w:val="26"/>
          <w:u w:val="single"/>
          <w:lang w:eastAsia="en-GB"/>
        </w:rPr>
        <w:fldChar w:fldCharType="end"/>
      </w:r>
      <w:r w:rsidR="0071654C" w:rsidRPr="0058490E">
        <w:rPr>
          <w:rFonts w:asciiTheme="minorHAnsi" w:eastAsia="MS Mincho" w:hAnsiTheme="minorHAnsi" w:cstheme="minorHAnsi"/>
          <w:bCs/>
          <w:sz w:val="26"/>
          <w:szCs w:val="26"/>
        </w:rPr>
        <w:t>)</w:t>
      </w:r>
    </w:p>
    <w:p w14:paraId="14AD80B2" w14:textId="45833D1E" w:rsidR="00C512E1" w:rsidRPr="0058490E" w:rsidRDefault="00C512E1"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w:t>
      </w:r>
      <w:r w:rsidRPr="0058490E">
        <w:rPr>
          <w:rFonts w:asciiTheme="minorHAnsi" w:hAnsiTheme="minorHAnsi" w:cstheme="minorHAnsi"/>
        </w:rPr>
        <w:tab/>
      </w:r>
      <w:bookmarkStart w:id="10" w:name="lt_pId043"/>
      <w:r w:rsidRPr="0058490E">
        <w:rPr>
          <w:rFonts w:asciiTheme="minorHAnsi" w:hAnsiTheme="minorHAnsi" w:cstheme="minorHAnsi"/>
        </w:rPr>
        <w:t xml:space="preserve">Il est pris </w:t>
      </w:r>
      <w:r w:rsidRPr="0058490E">
        <w:rPr>
          <w:rFonts w:asciiTheme="minorHAnsi" w:hAnsiTheme="minorHAnsi" w:cstheme="minorHAnsi"/>
          <w:b/>
        </w:rPr>
        <w:t xml:space="preserve">note </w:t>
      </w:r>
      <w:r w:rsidRPr="0058490E">
        <w:rPr>
          <w:rFonts w:asciiTheme="minorHAnsi" w:hAnsiTheme="minorHAnsi" w:cstheme="minorHAnsi"/>
        </w:rPr>
        <w:t>du Document C21/DT/1(Rév.</w:t>
      </w:r>
      <w:r w:rsidR="00563FB9" w:rsidRPr="0058490E">
        <w:rPr>
          <w:rFonts w:asciiTheme="minorHAnsi" w:hAnsiTheme="minorHAnsi" w:cstheme="minorHAnsi"/>
        </w:rPr>
        <w:t>5</w:t>
      </w:r>
      <w:r w:rsidRPr="0058490E">
        <w:rPr>
          <w:rFonts w:asciiTheme="minorHAnsi" w:hAnsiTheme="minorHAnsi" w:cstheme="minorHAnsi"/>
        </w:rPr>
        <w:t>).</w:t>
      </w:r>
      <w:bookmarkEnd w:id="10"/>
    </w:p>
    <w:p w14:paraId="0B9D0100" w14:textId="52769882"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rPr>
      </w:pPr>
      <w:r w:rsidRPr="0058490E">
        <w:rPr>
          <w:rFonts w:asciiTheme="minorHAnsi" w:eastAsia="MS Mincho" w:hAnsiTheme="minorHAnsi" w:cstheme="minorHAnsi"/>
        </w:rPr>
        <w:t>2</w:t>
      </w:r>
      <w:r w:rsidRPr="0058490E">
        <w:rPr>
          <w:rFonts w:asciiTheme="minorHAnsi" w:eastAsia="MS Mincho" w:hAnsiTheme="minorHAnsi" w:cstheme="minorHAnsi"/>
        </w:rPr>
        <w:tab/>
      </w:r>
      <w:r w:rsidR="0071654C" w:rsidRPr="0058490E">
        <w:rPr>
          <w:rFonts w:asciiTheme="minorHAnsi" w:eastAsia="MS Mincho" w:hAnsiTheme="minorHAnsi" w:cstheme="minorHAnsi"/>
        </w:rPr>
        <w:t xml:space="preserve">Rapport d'activité sur la mise en </w:t>
      </w:r>
      <w:r w:rsidR="00446FCA" w:rsidRPr="0058490E">
        <w:rPr>
          <w:rFonts w:asciiTheme="minorHAnsi" w:eastAsia="MS Mincho" w:hAnsiTheme="minorHAnsi" w:cstheme="minorHAnsi"/>
        </w:rPr>
        <w:t>œuvre</w:t>
      </w:r>
      <w:r w:rsidR="0071654C" w:rsidRPr="0058490E">
        <w:rPr>
          <w:rFonts w:asciiTheme="minorHAnsi" w:eastAsia="MS Mincho" w:hAnsiTheme="minorHAnsi" w:cstheme="minorHAnsi"/>
        </w:rPr>
        <w:t xml:space="preserve"> du Plan stratégique pour les ressources humaines et de la Résolution 48 (Rév. Dubaï, 2018) de la Conférence de plénipotentiaires </w:t>
      </w:r>
      <w:r w:rsidRPr="0058490E">
        <w:rPr>
          <w:rFonts w:asciiTheme="minorHAnsi" w:eastAsia="MS Mincho" w:hAnsiTheme="minorHAnsi" w:cstheme="minorHAnsi"/>
        </w:rPr>
        <w:t xml:space="preserve">(Document </w:t>
      </w:r>
      <w:hyperlink r:id="rId19" w:history="1">
        <w:r w:rsidRPr="0058490E">
          <w:rPr>
            <w:rFonts w:asciiTheme="minorHAnsi" w:hAnsiTheme="minorHAnsi" w:cstheme="minorHAnsi"/>
            <w:color w:val="0000FF"/>
            <w:u w:val="single"/>
            <w:lang w:eastAsia="en-GB"/>
          </w:rPr>
          <w:t>C21/54</w:t>
        </w:r>
      </w:hyperlink>
      <w:r w:rsidRPr="0058490E">
        <w:rPr>
          <w:rFonts w:asciiTheme="minorHAnsi" w:eastAsia="MS Mincho" w:hAnsiTheme="minorHAnsi" w:cstheme="minorHAnsi"/>
        </w:rPr>
        <w:t>)</w:t>
      </w:r>
    </w:p>
    <w:p w14:paraId="391A4137" w14:textId="2488A08D" w:rsidR="00BF5468"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2.1</w:t>
      </w:r>
      <w:r w:rsidRPr="0058490E">
        <w:rPr>
          <w:rFonts w:asciiTheme="minorHAnsi" w:eastAsia="MS Mincho" w:hAnsiTheme="minorHAnsi" w:cstheme="minorHAnsi"/>
        </w:rPr>
        <w:tab/>
        <w:t xml:space="preserve">Le </w:t>
      </w:r>
      <w:r w:rsidR="00A06DED" w:rsidRPr="0058490E">
        <w:rPr>
          <w:rFonts w:asciiTheme="minorHAnsi" w:eastAsia="MS Mincho" w:hAnsiTheme="minorHAnsi" w:cstheme="minorHAnsi"/>
        </w:rPr>
        <w:t>C</w:t>
      </w:r>
      <w:r w:rsidRPr="0058490E">
        <w:rPr>
          <w:rFonts w:asciiTheme="minorHAnsi" w:eastAsia="MS Mincho" w:hAnsiTheme="minorHAnsi" w:cstheme="minorHAnsi"/>
        </w:rPr>
        <w:t xml:space="preserve">hef du </w:t>
      </w:r>
      <w:r w:rsidR="00A06DED" w:rsidRPr="0058490E">
        <w:rPr>
          <w:rFonts w:asciiTheme="minorHAnsi" w:eastAsia="MS Mincho" w:hAnsiTheme="minorHAnsi" w:cstheme="minorHAnsi"/>
        </w:rPr>
        <w:t>D</w:t>
      </w:r>
      <w:r w:rsidRPr="0058490E">
        <w:rPr>
          <w:rFonts w:asciiTheme="minorHAnsi" w:eastAsia="MS Mincho" w:hAnsiTheme="minorHAnsi" w:cstheme="minorHAnsi"/>
        </w:rPr>
        <w:t>épartement de la gestion des ressources humaines (</w:t>
      </w:r>
      <w:r w:rsidR="00A06DED" w:rsidRPr="0058490E">
        <w:rPr>
          <w:rFonts w:asciiTheme="minorHAnsi" w:eastAsia="MS Mincho" w:hAnsiTheme="minorHAnsi" w:cstheme="minorHAnsi"/>
        </w:rPr>
        <w:t>HRMD</w:t>
      </w:r>
      <w:r w:rsidRPr="0058490E">
        <w:rPr>
          <w:rFonts w:asciiTheme="minorHAnsi" w:eastAsia="MS Mincho" w:hAnsiTheme="minorHAnsi" w:cstheme="minorHAnsi"/>
        </w:rPr>
        <w:t xml:space="preserve">) présente le </w:t>
      </w:r>
      <w:r w:rsidR="00A06DED" w:rsidRPr="0058490E">
        <w:rPr>
          <w:rFonts w:asciiTheme="minorHAnsi" w:eastAsia="MS Mincho" w:hAnsiTheme="minorHAnsi" w:cstheme="minorHAnsi"/>
        </w:rPr>
        <w:t>D</w:t>
      </w:r>
      <w:r w:rsidRPr="0058490E">
        <w:rPr>
          <w:rFonts w:asciiTheme="minorHAnsi" w:eastAsia="MS Mincho" w:hAnsiTheme="minorHAnsi" w:cstheme="minorHAnsi"/>
        </w:rPr>
        <w:t xml:space="preserve">ocument C21/54, qui couvre la période 2019-2021, et </w:t>
      </w:r>
      <w:r w:rsidR="003B550D" w:rsidRPr="0058490E">
        <w:rPr>
          <w:rFonts w:asciiTheme="minorHAnsi" w:eastAsia="MS Mincho" w:hAnsiTheme="minorHAnsi" w:cstheme="minorHAnsi"/>
        </w:rPr>
        <w:t xml:space="preserve">attire l'attention sur </w:t>
      </w:r>
      <w:r w:rsidRPr="0058490E">
        <w:rPr>
          <w:rFonts w:asciiTheme="minorHAnsi" w:eastAsia="MS Mincho" w:hAnsiTheme="minorHAnsi" w:cstheme="minorHAnsi"/>
        </w:rPr>
        <w:t xml:space="preserve">les </w:t>
      </w:r>
      <w:r w:rsidR="00A06DED" w:rsidRPr="0058490E">
        <w:rPr>
          <w:rFonts w:asciiTheme="minorHAnsi" w:eastAsia="MS Mincho" w:hAnsiTheme="minorHAnsi" w:cstheme="minorHAnsi"/>
        </w:rPr>
        <w:t>A</w:t>
      </w:r>
      <w:r w:rsidRPr="0058490E">
        <w:rPr>
          <w:rFonts w:asciiTheme="minorHAnsi" w:eastAsia="MS Mincho" w:hAnsiTheme="minorHAnsi" w:cstheme="minorHAnsi"/>
        </w:rPr>
        <w:t xml:space="preserve">nnexes 1 à 3, qui contiennent </w:t>
      </w:r>
      <w:r w:rsidR="003B550D" w:rsidRPr="0058490E">
        <w:rPr>
          <w:rFonts w:asciiTheme="minorHAnsi" w:eastAsia="MS Mincho" w:hAnsiTheme="minorHAnsi" w:cstheme="minorHAnsi"/>
        </w:rPr>
        <w:t>d</w:t>
      </w:r>
      <w:r w:rsidRPr="0058490E">
        <w:rPr>
          <w:rFonts w:asciiTheme="minorHAnsi" w:eastAsia="MS Mincho" w:hAnsiTheme="minorHAnsi" w:cstheme="minorHAnsi"/>
        </w:rPr>
        <w:t xml:space="preserve">es </w:t>
      </w:r>
      <w:r w:rsidR="00DA5E2C" w:rsidRPr="0058490E">
        <w:rPr>
          <w:rFonts w:asciiTheme="minorHAnsi" w:eastAsia="MS Mincho" w:hAnsiTheme="minorHAnsi" w:cstheme="minorHAnsi"/>
        </w:rPr>
        <w:t>d</w:t>
      </w:r>
      <w:r w:rsidRPr="0058490E">
        <w:rPr>
          <w:rFonts w:asciiTheme="minorHAnsi" w:eastAsia="MS Mincho" w:hAnsiTheme="minorHAnsi" w:cstheme="minorHAnsi"/>
        </w:rPr>
        <w:t xml:space="preserve">écisions </w:t>
      </w:r>
      <w:r w:rsidR="003B550D" w:rsidRPr="0058490E">
        <w:rPr>
          <w:rFonts w:asciiTheme="minorHAnsi" w:eastAsia="MS Mincho" w:hAnsiTheme="minorHAnsi" w:cstheme="minorHAnsi"/>
        </w:rPr>
        <w:t xml:space="preserve">soumises pour </w:t>
      </w:r>
      <w:r w:rsidRPr="0058490E">
        <w:rPr>
          <w:rFonts w:asciiTheme="minorHAnsi" w:eastAsia="MS Mincho" w:hAnsiTheme="minorHAnsi" w:cstheme="minorHAnsi"/>
        </w:rPr>
        <w:t xml:space="preserve">adoption </w:t>
      </w:r>
      <w:r w:rsidR="003B550D" w:rsidRPr="0058490E">
        <w:rPr>
          <w:rFonts w:asciiTheme="minorHAnsi" w:eastAsia="MS Mincho" w:hAnsiTheme="minorHAnsi" w:cstheme="minorHAnsi"/>
        </w:rPr>
        <w:t xml:space="preserve">concernant </w:t>
      </w:r>
      <w:r w:rsidRPr="0058490E">
        <w:rPr>
          <w:rFonts w:asciiTheme="minorHAnsi" w:eastAsia="MS Mincho" w:hAnsiTheme="minorHAnsi" w:cstheme="minorHAnsi"/>
        </w:rPr>
        <w:t xml:space="preserve">des </w:t>
      </w:r>
      <w:r w:rsidR="003B550D" w:rsidRPr="0058490E">
        <w:rPr>
          <w:rFonts w:asciiTheme="minorHAnsi" w:eastAsia="MS Mincho" w:hAnsiTheme="minorHAnsi" w:cstheme="minorHAnsi"/>
        </w:rPr>
        <w:t xml:space="preserve">propositions de </w:t>
      </w:r>
      <w:r w:rsidRPr="0058490E">
        <w:rPr>
          <w:rFonts w:asciiTheme="minorHAnsi" w:eastAsia="MS Mincho" w:hAnsiTheme="minorHAnsi" w:cstheme="minorHAnsi"/>
        </w:rPr>
        <w:t xml:space="preserve">modification </w:t>
      </w:r>
      <w:r w:rsidR="003B550D" w:rsidRPr="0058490E">
        <w:rPr>
          <w:rFonts w:asciiTheme="minorHAnsi" w:eastAsia="MS Mincho" w:hAnsiTheme="minorHAnsi" w:cstheme="minorHAnsi"/>
          <w:spacing w:val="-2"/>
        </w:rPr>
        <w:t>du S</w:t>
      </w:r>
      <w:r w:rsidRPr="0058490E">
        <w:rPr>
          <w:rFonts w:asciiTheme="minorHAnsi" w:eastAsia="MS Mincho" w:hAnsiTheme="minorHAnsi" w:cstheme="minorHAnsi"/>
          <w:spacing w:val="-2"/>
        </w:rPr>
        <w:t xml:space="preserve">tatut et </w:t>
      </w:r>
      <w:r w:rsidR="003B550D" w:rsidRPr="0058490E">
        <w:rPr>
          <w:rFonts w:asciiTheme="minorHAnsi" w:eastAsia="MS Mincho" w:hAnsiTheme="minorHAnsi" w:cstheme="minorHAnsi"/>
          <w:spacing w:val="-2"/>
        </w:rPr>
        <w:t>du R</w:t>
      </w:r>
      <w:r w:rsidRPr="0058490E">
        <w:rPr>
          <w:rFonts w:asciiTheme="minorHAnsi" w:eastAsia="MS Mincho" w:hAnsiTheme="minorHAnsi" w:cstheme="minorHAnsi"/>
          <w:spacing w:val="-2"/>
        </w:rPr>
        <w:t xml:space="preserve">èglement du personnel. Les propositions visent à </w:t>
      </w:r>
      <w:r w:rsidR="003B550D" w:rsidRPr="0058490E">
        <w:rPr>
          <w:rFonts w:asciiTheme="minorHAnsi" w:eastAsia="MS Mincho" w:hAnsiTheme="minorHAnsi" w:cstheme="minorHAnsi"/>
          <w:spacing w:val="-2"/>
        </w:rPr>
        <w:t xml:space="preserve">ramener </w:t>
      </w:r>
      <w:r w:rsidR="00300FBB" w:rsidRPr="0058490E">
        <w:rPr>
          <w:rFonts w:asciiTheme="minorHAnsi" w:eastAsia="MS Mincho" w:hAnsiTheme="minorHAnsi" w:cstheme="minorHAnsi"/>
          <w:spacing w:val="-2"/>
        </w:rPr>
        <w:t>de deux mois à un mois</w:t>
      </w:r>
      <w:r w:rsidR="00300FBB" w:rsidRPr="0058490E">
        <w:rPr>
          <w:rFonts w:asciiTheme="minorHAnsi" w:eastAsia="MS Mincho" w:hAnsiTheme="minorHAnsi" w:cstheme="minorHAnsi"/>
        </w:rPr>
        <w:t xml:space="preserve"> </w:t>
      </w:r>
      <w:r w:rsidRPr="0058490E">
        <w:rPr>
          <w:rFonts w:asciiTheme="minorHAnsi" w:eastAsia="MS Mincho" w:hAnsiTheme="minorHAnsi" w:cstheme="minorHAnsi"/>
        </w:rPr>
        <w:t xml:space="preserve">la période </w:t>
      </w:r>
      <w:r w:rsidR="00300FBB" w:rsidRPr="0058490E">
        <w:rPr>
          <w:rFonts w:asciiTheme="minorHAnsi" w:eastAsia="MS Mincho" w:hAnsiTheme="minorHAnsi" w:cstheme="minorHAnsi"/>
        </w:rPr>
        <w:t xml:space="preserve">obligatoire de mise au concours </w:t>
      </w:r>
      <w:r w:rsidRPr="0058490E">
        <w:rPr>
          <w:rFonts w:asciiTheme="minorHAnsi" w:eastAsia="MS Mincho" w:hAnsiTheme="minorHAnsi" w:cstheme="minorHAnsi"/>
        </w:rPr>
        <w:t xml:space="preserve">des </w:t>
      </w:r>
      <w:r w:rsidR="00300FBB" w:rsidRPr="0058490E">
        <w:rPr>
          <w:rFonts w:asciiTheme="minorHAnsi" w:eastAsia="MS Mincho" w:hAnsiTheme="minorHAnsi" w:cstheme="minorHAnsi"/>
        </w:rPr>
        <w:t xml:space="preserve">emplois </w:t>
      </w:r>
      <w:r w:rsidRPr="0058490E">
        <w:rPr>
          <w:rFonts w:asciiTheme="minorHAnsi" w:eastAsia="MS Mincho" w:hAnsiTheme="minorHAnsi" w:cstheme="minorHAnsi"/>
        </w:rPr>
        <w:t xml:space="preserve">vacants; à reconnaître les partenariats domestiques en remplaçant </w:t>
      </w:r>
      <w:r w:rsidR="00300FBB" w:rsidRPr="0058490E">
        <w:rPr>
          <w:rFonts w:asciiTheme="minorHAnsi" w:eastAsia="MS Mincho" w:hAnsiTheme="minorHAnsi" w:cstheme="minorHAnsi"/>
        </w:rPr>
        <w:t xml:space="preserve">en anglais </w:t>
      </w:r>
      <w:r w:rsidRPr="0058490E">
        <w:rPr>
          <w:rFonts w:asciiTheme="minorHAnsi" w:eastAsia="MS Mincho" w:hAnsiTheme="minorHAnsi" w:cstheme="minorHAnsi"/>
        </w:rPr>
        <w:t>les mots "</w:t>
      </w:r>
      <w:proofErr w:type="spellStart"/>
      <w:r w:rsidR="00300FBB" w:rsidRPr="0058490E">
        <w:rPr>
          <w:rFonts w:asciiTheme="minorHAnsi" w:eastAsia="MS Mincho" w:hAnsiTheme="minorHAnsi" w:cstheme="minorHAnsi"/>
        </w:rPr>
        <w:t>husband</w:t>
      </w:r>
      <w:proofErr w:type="spellEnd"/>
      <w:r w:rsidR="00300FBB" w:rsidRPr="0058490E">
        <w:rPr>
          <w:rFonts w:asciiTheme="minorHAnsi" w:eastAsia="MS Mincho" w:hAnsiTheme="minorHAnsi" w:cstheme="minorHAnsi"/>
        </w:rPr>
        <w:t xml:space="preserve"> and </w:t>
      </w:r>
      <w:proofErr w:type="spellStart"/>
      <w:r w:rsidR="00300FBB" w:rsidRPr="0058490E">
        <w:rPr>
          <w:rFonts w:asciiTheme="minorHAnsi" w:eastAsia="MS Mincho" w:hAnsiTheme="minorHAnsi" w:cstheme="minorHAnsi"/>
        </w:rPr>
        <w:t>wife</w:t>
      </w:r>
      <w:proofErr w:type="spellEnd"/>
      <w:r w:rsidRPr="0058490E">
        <w:rPr>
          <w:rFonts w:asciiTheme="minorHAnsi" w:eastAsia="MS Mincho" w:hAnsiTheme="minorHAnsi" w:cstheme="minorHAnsi"/>
        </w:rPr>
        <w:t>" par le mot "</w:t>
      </w:r>
      <w:proofErr w:type="spellStart"/>
      <w:r w:rsidR="00300FBB" w:rsidRPr="0058490E">
        <w:rPr>
          <w:rFonts w:asciiTheme="minorHAnsi" w:eastAsia="MS Mincho" w:hAnsiTheme="minorHAnsi" w:cstheme="minorHAnsi"/>
        </w:rPr>
        <w:t>spouses</w:t>
      </w:r>
      <w:proofErr w:type="spellEnd"/>
      <w:r w:rsidRPr="0058490E">
        <w:rPr>
          <w:rFonts w:asciiTheme="minorHAnsi" w:eastAsia="MS Mincho" w:hAnsiTheme="minorHAnsi" w:cstheme="minorHAnsi"/>
        </w:rPr>
        <w:t>"</w:t>
      </w:r>
      <w:r w:rsidR="00300FBB" w:rsidRPr="0058490E">
        <w:rPr>
          <w:rFonts w:asciiTheme="minorHAnsi" w:eastAsia="MS Mincho" w:hAnsiTheme="minorHAnsi" w:cstheme="minorHAnsi"/>
        </w:rPr>
        <w:t xml:space="preserve"> ("conjoints" en français)</w:t>
      </w:r>
      <w:r w:rsidRPr="0058490E">
        <w:rPr>
          <w:rFonts w:asciiTheme="minorHAnsi" w:eastAsia="MS Mincho" w:hAnsiTheme="minorHAnsi" w:cstheme="minorHAnsi"/>
        </w:rPr>
        <w:t xml:space="preserve">, </w:t>
      </w:r>
      <w:r w:rsidR="00790D57" w:rsidRPr="0058490E">
        <w:rPr>
          <w:rFonts w:asciiTheme="minorHAnsi" w:eastAsia="MS Mincho" w:hAnsiTheme="minorHAnsi" w:cstheme="minorHAnsi"/>
        </w:rPr>
        <w:t xml:space="preserve">dans la mesure où </w:t>
      </w:r>
      <w:r w:rsidRPr="0058490E">
        <w:rPr>
          <w:rFonts w:asciiTheme="minorHAnsi" w:eastAsia="MS Mincho" w:hAnsiTheme="minorHAnsi" w:cstheme="minorHAnsi"/>
        </w:rPr>
        <w:t xml:space="preserve">le statut personnel a une incidence sur les droits du </w:t>
      </w:r>
      <w:r w:rsidRPr="0058490E">
        <w:rPr>
          <w:rFonts w:asciiTheme="minorHAnsi" w:eastAsia="MS Mincho" w:hAnsiTheme="minorHAnsi" w:cstheme="minorHAnsi"/>
          <w:spacing w:val="-4"/>
        </w:rPr>
        <w:t>personnel et les prestations pour personnes à charge; et à simplifier le libellé concernant la périodicité</w:t>
      </w:r>
      <w:r w:rsidRPr="0058490E">
        <w:rPr>
          <w:rFonts w:asciiTheme="minorHAnsi" w:eastAsia="MS Mincho" w:hAnsiTheme="minorHAnsi" w:cstheme="minorHAnsi"/>
        </w:rPr>
        <w:t xml:space="preserve"> des augmentations de salaire pour l</w:t>
      </w:r>
      <w:r w:rsidR="007247E2" w:rsidRPr="0058490E">
        <w:rPr>
          <w:rFonts w:asciiTheme="minorHAnsi" w:eastAsia="MS Mincho" w:hAnsiTheme="minorHAnsi" w:cstheme="minorHAnsi"/>
        </w:rPr>
        <w:t>es</w:t>
      </w:r>
      <w:r w:rsidRPr="0058490E">
        <w:rPr>
          <w:rFonts w:asciiTheme="minorHAnsi" w:eastAsia="MS Mincho" w:hAnsiTheme="minorHAnsi" w:cstheme="minorHAnsi"/>
        </w:rPr>
        <w:t xml:space="preserve"> catégorie</w:t>
      </w:r>
      <w:r w:rsidR="007247E2" w:rsidRPr="0058490E">
        <w:rPr>
          <w:rFonts w:asciiTheme="minorHAnsi" w:eastAsia="MS Mincho" w:hAnsiTheme="minorHAnsi" w:cstheme="minorHAnsi"/>
        </w:rPr>
        <w:t>s</w:t>
      </w:r>
      <w:r w:rsidRPr="0058490E">
        <w:rPr>
          <w:rFonts w:asciiTheme="minorHAnsi" w:eastAsia="MS Mincho" w:hAnsiTheme="minorHAnsi" w:cstheme="minorHAnsi"/>
        </w:rPr>
        <w:t xml:space="preserve"> </w:t>
      </w:r>
      <w:r w:rsidR="007247E2" w:rsidRPr="0058490E">
        <w:rPr>
          <w:rFonts w:asciiTheme="minorHAnsi" w:eastAsia="MS Mincho" w:hAnsiTheme="minorHAnsi" w:cstheme="minorHAnsi"/>
        </w:rPr>
        <w:t xml:space="preserve">professionnelle </w:t>
      </w:r>
      <w:r w:rsidRPr="0058490E">
        <w:rPr>
          <w:rFonts w:asciiTheme="minorHAnsi" w:eastAsia="MS Mincho" w:hAnsiTheme="minorHAnsi" w:cstheme="minorHAnsi"/>
        </w:rPr>
        <w:t xml:space="preserve">et supérieure, afin </w:t>
      </w:r>
      <w:r w:rsidR="007247E2" w:rsidRPr="0058490E">
        <w:rPr>
          <w:rFonts w:asciiTheme="minorHAnsi" w:eastAsia="MS Mincho" w:hAnsiTheme="minorHAnsi" w:cstheme="minorHAnsi"/>
        </w:rPr>
        <w:t>que l'UIT s</w:t>
      </w:r>
      <w:r w:rsidRPr="0058490E">
        <w:rPr>
          <w:rFonts w:asciiTheme="minorHAnsi" w:eastAsia="MS Mincho" w:hAnsiTheme="minorHAnsi" w:cstheme="minorHAnsi"/>
        </w:rPr>
        <w:t xml:space="preserve">'aligne </w:t>
      </w:r>
      <w:r w:rsidR="007247E2" w:rsidRPr="0058490E">
        <w:rPr>
          <w:rFonts w:asciiTheme="minorHAnsi" w:eastAsia="MS Mincho" w:hAnsiTheme="minorHAnsi" w:cstheme="minorHAnsi"/>
        </w:rPr>
        <w:t xml:space="preserve">sur la </w:t>
      </w:r>
      <w:r w:rsidRPr="0058490E">
        <w:rPr>
          <w:rFonts w:asciiTheme="minorHAnsi" w:eastAsia="MS Mincho" w:hAnsiTheme="minorHAnsi" w:cstheme="minorHAnsi"/>
        </w:rPr>
        <w:t xml:space="preserve">pratique </w:t>
      </w:r>
      <w:r w:rsidR="00790D57" w:rsidRPr="0058490E">
        <w:rPr>
          <w:rFonts w:asciiTheme="minorHAnsi" w:eastAsia="MS Mincho" w:hAnsiTheme="minorHAnsi" w:cstheme="minorHAnsi"/>
        </w:rPr>
        <w:t xml:space="preserve">adoptée par </w:t>
      </w:r>
      <w:r w:rsidRPr="0058490E">
        <w:rPr>
          <w:rFonts w:asciiTheme="minorHAnsi" w:eastAsia="MS Mincho" w:hAnsiTheme="minorHAnsi" w:cstheme="minorHAnsi"/>
        </w:rPr>
        <w:t>la Commission de la fonction publique internationale (CFPI).</w:t>
      </w:r>
    </w:p>
    <w:p w14:paraId="3F44AD67" w14:textId="1CC05D35" w:rsidR="00BF5468"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2.2</w:t>
      </w:r>
      <w:r w:rsidR="003B550D" w:rsidRPr="0058490E">
        <w:rPr>
          <w:rFonts w:asciiTheme="minorHAnsi" w:eastAsia="MS Mincho" w:hAnsiTheme="minorHAnsi" w:cstheme="minorHAnsi"/>
        </w:rPr>
        <w:tab/>
      </w:r>
      <w:r w:rsidRPr="0058490E">
        <w:rPr>
          <w:rFonts w:asciiTheme="minorHAnsi" w:eastAsia="MS Mincho" w:hAnsiTheme="minorHAnsi" w:cstheme="minorHAnsi"/>
        </w:rPr>
        <w:t>Un Conseiller demand</w:t>
      </w:r>
      <w:r w:rsidR="007247E2" w:rsidRPr="0058490E">
        <w:rPr>
          <w:rFonts w:asciiTheme="minorHAnsi" w:eastAsia="MS Mincho" w:hAnsiTheme="minorHAnsi" w:cstheme="minorHAnsi"/>
        </w:rPr>
        <w:t>e</w:t>
      </w:r>
      <w:r w:rsidRPr="0058490E">
        <w:rPr>
          <w:rFonts w:asciiTheme="minorHAnsi" w:eastAsia="MS Mincho" w:hAnsiTheme="minorHAnsi" w:cstheme="minorHAnsi"/>
        </w:rPr>
        <w:t xml:space="preserve"> si la réduction proposée de la période </w:t>
      </w:r>
      <w:r w:rsidR="007247E2" w:rsidRPr="0058490E">
        <w:rPr>
          <w:rFonts w:asciiTheme="minorHAnsi" w:eastAsia="MS Mincho" w:hAnsiTheme="minorHAnsi" w:cstheme="minorHAnsi"/>
        </w:rPr>
        <w:t xml:space="preserve">de mise au concours </w:t>
      </w:r>
      <w:r w:rsidRPr="0058490E">
        <w:rPr>
          <w:rFonts w:asciiTheme="minorHAnsi" w:eastAsia="MS Mincho" w:hAnsiTheme="minorHAnsi" w:cstheme="minorHAnsi"/>
        </w:rPr>
        <w:t xml:space="preserve">aura une incidence sur les </w:t>
      </w:r>
      <w:r w:rsidR="007247E2" w:rsidRPr="0058490E">
        <w:rPr>
          <w:rFonts w:asciiTheme="minorHAnsi" w:eastAsia="MS Mincho" w:hAnsiTheme="minorHAnsi" w:cstheme="minorHAnsi"/>
        </w:rPr>
        <w:t xml:space="preserve">activités </w:t>
      </w:r>
      <w:r w:rsidRPr="0058490E">
        <w:rPr>
          <w:rFonts w:asciiTheme="minorHAnsi" w:eastAsia="MS Mincho" w:hAnsiTheme="minorHAnsi" w:cstheme="minorHAnsi"/>
        </w:rPr>
        <w:t>de recrutement.</w:t>
      </w:r>
    </w:p>
    <w:p w14:paraId="48BD1AC4" w14:textId="2A08E5AE" w:rsidR="00BF5468"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2.3</w:t>
      </w:r>
      <w:r w:rsidR="003B550D" w:rsidRPr="0058490E">
        <w:rPr>
          <w:rFonts w:asciiTheme="minorHAnsi" w:eastAsia="MS Mincho" w:hAnsiTheme="minorHAnsi" w:cstheme="minorHAnsi"/>
        </w:rPr>
        <w:tab/>
      </w:r>
      <w:r w:rsidRPr="0058490E">
        <w:rPr>
          <w:rFonts w:asciiTheme="minorHAnsi" w:eastAsia="MS Mincho" w:hAnsiTheme="minorHAnsi" w:cstheme="minorHAnsi"/>
        </w:rPr>
        <w:t>L</w:t>
      </w:r>
      <w:r w:rsidR="00484CAD" w:rsidRPr="0058490E">
        <w:rPr>
          <w:rFonts w:asciiTheme="minorHAnsi" w:eastAsia="MS Mincho" w:hAnsiTheme="minorHAnsi" w:cstheme="minorHAnsi"/>
        </w:rPr>
        <w:t>a</w:t>
      </w:r>
      <w:r w:rsidRPr="0058490E">
        <w:rPr>
          <w:rFonts w:asciiTheme="minorHAnsi" w:eastAsia="MS Mincho" w:hAnsiTheme="minorHAnsi" w:cstheme="minorHAnsi"/>
        </w:rPr>
        <w:t xml:space="preserve"> Conseill</w:t>
      </w:r>
      <w:r w:rsidR="00484CAD" w:rsidRPr="0058490E">
        <w:rPr>
          <w:rFonts w:asciiTheme="minorHAnsi" w:eastAsia="MS Mincho" w:hAnsiTheme="minorHAnsi" w:cstheme="minorHAnsi"/>
        </w:rPr>
        <w:t>è</w:t>
      </w:r>
      <w:r w:rsidRPr="0058490E">
        <w:rPr>
          <w:rFonts w:asciiTheme="minorHAnsi" w:eastAsia="MS Mincho" w:hAnsiTheme="minorHAnsi" w:cstheme="minorHAnsi"/>
        </w:rPr>
        <w:t>r</w:t>
      </w:r>
      <w:r w:rsidR="00484CAD" w:rsidRPr="0058490E">
        <w:rPr>
          <w:rFonts w:asciiTheme="minorHAnsi" w:eastAsia="MS Mincho" w:hAnsiTheme="minorHAnsi" w:cstheme="minorHAnsi"/>
        </w:rPr>
        <w:t>e</w:t>
      </w:r>
      <w:r w:rsidRPr="0058490E">
        <w:rPr>
          <w:rFonts w:asciiTheme="minorHAnsi" w:eastAsia="MS Mincho" w:hAnsiTheme="minorHAnsi" w:cstheme="minorHAnsi"/>
        </w:rPr>
        <w:t xml:space="preserve"> de la Fédération de Russie déclar</w:t>
      </w:r>
      <w:r w:rsidR="007247E2" w:rsidRPr="0058490E">
        <w:rPr>
          <w:rFonts w:asciiTheme="minorHAnsi" w:eastAsia="MS Mincho" w:hAnsiTheme="minorHAnsi" w:cstheme="minorHAnsi"/>
        </w:rPr>
        <w:t>e</w:t>
      </w:r>
      <w:r w:rsidRPr="0058490E">
        <w:rPr>
          <w:rFonts w:asciiTheme="minorHAnsi" w:eastAsia="MS Mincho" w:hAnsiTheme="minorHAnsi" w:cstheme="minorHAnsi"/>
        </w:rPr>
        <w:t xml:space="preserve"> que la prévention et la lutte contre les violations des droits </w:t>
      </w:r>
      <w:r w:rsidR="007247E2" w:rsidRPr="0058490E">
        <w:rPr>
          <w:rFonts w:asciiTheme="minorHAnsi" w:eastAsia="MS Mincho" w:hAnsiTheme="minorHAnsi" w:cstheme="minorHAnsi"/>
        </w:rPr>
        <w:t xml:space="preserve">devraient </w:t>
      </w:r>
      <w:r w:rsidRPr="0058490E">
        <w:rPr>
          <w:rFonts w:asciiTheme="minorHAnsi" w:eastAsia="MS Mincho" w:hAnsiTheme="minorHAnsi" w:cstheme="minorHAnsi"/>
        </w:rPr>
        <w:t xml:space="preserve">être </w:t>
      </w:r>
      <w:r w:rsidR="007805F2" w:rsidRPr="0058490E">
        <w:rPr>
          <w:rFonts w:asciiTheme="minorHAnsi" w:eastAsia="MS Mincho" w:hAnsiTheme="minorHAnsi" w:cstheme="minorHAnsi"/>
        </w:rPr>
        <w:t xml:space="preserve">étudiées </w:t>
      </w:r>
      <w:r w:rsidRPr="0058490E">
        <w:rPr>
          <w:rFonts w:asciiTheme="minorHAnsi" w:eastAsia="MS Mincho" w:hAnsiTheme="minorHAnsi" w:cstheme="minorHAnsi"/>
        </w:rPr>
        <w:t xml:space="preserve">de manière globale, plutôt que de se concentrer sur chaque type de violation individuellement. Il faudrait demander au secrétariat </w:t>
      </w:r>
      <w:r w:rsidR="007247E2" w:rsidRPr="0058490E">
        <w:rPr>
          <w:rFonts w:asciiTheme="minorHAnsi" w:eastAsia="MS Mincho" w:hAnsiTheme="minorHAnsi" w:cstheme="minorHAnsi"/>
        </w:rPr>
        <w:t xml:space="preserve">d'élaborer </w:t>
      </w:r>
      <w:r w:rsidRPr="0058490E">
        <w:rPr>
          <w:rFonts w:asciiTheme="minorHAnsi" w:eastAsia="MS Mincho" w:hAnsiTheme="minorHAnsi" w:cstheme="minorHAnsi"/>
        </w:rPr>
        <w:t xml:space="preserve">un document sur les conséquences des </w:t>
      </w:r>
      <w:r w:rsidR="00804177" w:rsidRPr="0058490E">
        <w:rPr>
          <w:rFonts w:asciiTheme="minorHAnsi" w:eastAsia="MS Mincho" w:hAnsiTheme="minorHAnsi" w:cstheme="minorHAnsi"/>
        </w:rPr>
        <w:t xml:space="preserve">amendements </w:t>
      </w:r>
      <w:r w:rsidRPr="0058490E">
        <w:rPr>
          <w:rFonts w:asciiTheme="minorHAnsi" w:eastAsia="MS Mincho" w:hAnsiTheme="minorHAnsi" w:cstheme="minorHAnsi"/>
        </w:rPr>
        <w:t>proposés pour l'Union et leur</w:t>
      </w:r>
      <w:r w:rsidR="00484CAD" w:rsidRPr="0058490E">
        <w:rPr>
          <w:rFonts w:asciiTheme="minorHAnsi" w:eastAsia="MS Mincho" w:hAnsiTheme="minorHAnsi" w:cstheme="minorHAnsi"/>
        </w:rPr>
        <w:t>s</w:t>
      </w:r>
      <w:r w:rsidRPr="0058490E">
        <w:rPr>
          <w:rFonts w:asciiTheme="minorHAnsi" w:eastAsia="MS Mincho" w:hAnsiTheme="minorHAnsi" w:cstheme="minorHAnsi"/>
        </w:rPr>
        <w:t xml:space="preserve"> </w:t>
      </w:r>
      <w:r w:rsidR="00484CAD" w:rsidRPr="0058490E">
        <w:rPr>
          <w:rFonts w:asciiTheme="minorHAnsi" w:eastAsia="MS Mincho" w:hAnsiTheme="minorHAnsi" w:cstheme="minorHAnsi"/>
        </w:rPr>
        <w:t xml:space="preserve">incidences </w:t>
      </w:r>
      <w:r w:rsidRPr="0058490E">
        <w:rPr>
          <w:rFonts w:asciiTheme="minorHAnsi" w:eastAsia="MS Mincho" w:hAnsiTheme="minorHAnsi" w:cstheme="minorHAnsi"/>
        </w:rPr>
        <w:t xml:space="preserve">sur le budget de l'UIT, afin </w:t>
      </w:r>
      <w:r w:rsidR="00804177" w:rsidRPr="0058490E">
        <w:rPr>
          <w:rFonts w:asciiTheme="minorHAnsi" w:eastAsia="MS Mincho" w:hAnsiTheme="minorHAnsi" w:cstheme="minorHAnsi"/>
        </w:rPr>
        <w:t xml:space="preserve">de pouvoir les </w:t>
      </w:r>
      <w:r w:rsidRPr="0058490E">
        <w:rPr>
          <w:rFonts w:asciiTheme="minorHAnsi" w:eastAsia="MS Mincho" w:hAnsiTheme="minorHAnsi" w:cstheme="minorHAnsi"/>
        </w:rPr>
        <w:t>examin</w:t>
      </w:r>
      <w:r w:rsidR="00804177" w:rsidRPr="0058490E">
        <w:rPr>
          <w:rFonts w:asciiTheme="minorHAnsi" w:eastAsia="MS Mincho" w:hAnsiTheme="minorHAnsi" w:cstheme="minorHAnsi"/>
        </w:rPr>
        <w:t>er</w:t>
      </w:r>
      <w:r w:rsidRPr="0058490E">
        <w:rPr>
          <w:rFonts w:asciiTheme="minorHAnsi" w:eastAsia="MS Mincho" w:hAnsiTheme="minorHAnsi" w:cstheme="minorHAnsi"/>
        </w:rPr>
        <w:t xml:space="preserve"> lors de la réunion du GTC-FHR en septembre 2021 et de la session suivante du Conseil. </w:t>
      </w:r>
      <w:r w:rsidR="007805F2" w:rsidRPr="0058490E">
        <w:rPr>
          <w:rFonts w:asciiTheme="minorHAnsi" w:eastAsia="MS Mincho" w:hAnsiTheme="minorHAnsi" w:cstheme="minorHAnsi"/>
        </w:rPr>
        <w:t xml:space="preserve">L'oratrice </w:t>
      </w:r>
      <w:r w:rsidR="00484CAD" w:rsidRPr="0058490E">
        <w:rPr>
          <w:rFonts w:asciiTheme="minorHAnsi" w:eastAsia="MS Mincho" w:hAnsiTheme="minorHAnsi" w:cstheme="minorHAnsi"/>
        </w:rPr>
        <w:t xml:space="preserve">demande </w:t>
      </w:r>
      <w:r w:rsidRPr="0058490E">
        <w:rPr>
          <w:rFonts w:asciiTheme="minorHAnsi" w:eastAsia="MS Mincho" w:hAnsiTheme="minorHAnsi" w:cstheme="minorHAnsi"/>
        </w:rPr>
        <w:t xml:space="preserve">également </w:t>
      </w:r>
      <w:r w:rsidR="007805F2" w:rsidRPr="0058490E">
        <w:rPr>
          <w:rFonts w:asciiTheme="minorHAnsi" w:eastAsia="MS Mincho" w:hAnsiTheme="minorHAnsi" w:cstheme="minorHAnsi"/>
        </w:rPr>
        <w:t xml:space="preserve">que le </w:t>
      </w:r>
      <w:r w:rsidRPr="0058490E">
        <w:rPr>
          <w:rFonts w:asciiTheme="minorHAnsi" w:eastAsia="MS Mincho" w:hAnsiTheme="minorHAnsi" w:cstheme="minorHAnsi"/>
        </w:rPr>
        <w:t xml:space="preserve">secrétariat mette à disposition une </w:t>
      </w:r>
      <w:r w:rsidR="00484CAD" w:rsidRPr="0058490E">
        <w:rPr>
          <w:rFonts w:asciiTheme="minorHAnsi" w:eastAsia="MS Mincho" w:hAnsiTheme="minorHAnsi" w:cstheme="minorHAnsi"/>
        </w:rPr>
        <w:t xml:space="preserve">version à jour </w:t>
      </w:r>
      <w:r w:rsidRPr="0058490E">
        <w:rPr>
          <w:rFonts w:asciiTheme="minorHAnsi" w:eastAsia="MS Mincho" w:hAnsiTheme="minorHAnsi" w:cstheme="minorHAnsi"/>
        </w:rPr>
        <w:t xml:space="preserve">du Statut et du Règlement du personnel dans toutes les langues officielles sur le site web de l'UIT, </w:t>
      </w:r>
      <w:r w:rsidR="00484CAD" w:rsidRPr="0058490E">
        <w:rPr>
          <w:rFonts w:asciiTheme="minorHAnsi" w:eastAsia="MS Mincho" w:hAnsiTheme="minorHAnsi" w:cstheme="minorHAnsi"/>
        </w:rPr>
        <w:t xml:space="preserve">afin que les États Membres puissent débattre sur la base d'une </w:t>
      </w:r>
      <w:r w:rsidR="006E18A1" w:rsidRPr="0058490E">
        <w:rPr>
          <w:rFonts w:asciiTheme="minorHAnsi" w:eastAsia="MS Mincho" w:hAnsiTheme="minorHAnsi" w:cstheme="minorHAnsi"/>
        </w:rPr>
        <w:t xml:space="preserve">parfaite </w:t>
      </w:r>
      <w:r w:rsidR="00484CAD" w:rsidRPr="0058490E">
        <w:rPr>
          <w:rFonts w:asciiTheme="minorHAnsi" w:eastAsia="MS Mincho" w:hAnsiTheme="minorHAnsi" w:cstheme="minorHAnsi"/>
        </w:rPr>
        <w:t>compréhensio</w:t>
      </w:r>
      <w:r w:rsidR="009B7F98" w:rsidRPr="0058490E">
        <w:rPr>
          <w:rFonts w:asciiTheme="minorHAnsi" w:eastAsia="MS Mincho" w:hAnsiTheme="minorHAnsi" w:cstheme="minorHAnsi"/>
        </w:rPr>
        <w:t>n</w:t>
      </w:r>
      <w:r w:rsidR="007805F2" w:rsidRPr="0058490E">
        <w:rPr>
          <w:rFonts w:asciiTheme="minorHAnsi" w:eastAsia="MS Mincho" w:hAnsiTheme="minorHAnsi" w:cstheme="minorHAnsi"/>
        </w:rPr>
        <w:t xml:space="preserve"> de la situation</w:t>
      </w:r>
      <w:r w:rsidRPr="0058490E">
        <w:rPr>
          <w:rFonts w:asciiTheme="minorHAnsi" w:eastAsia="MS Mincho" w:hAnsiTheme="minorHAnsi" w:cstheme="minorHAnsi"/>
        </w:rPr>
        <w:t xml:space="preserve">. Ainsi, si son </w:t>
      </w:r>
      <w:r w:rsidR="009B7F98" w:rsidRPr="0058490E">
        <w:rPr>
          <w:rFonts w:asciiTheme="minorHAnsi" w:eastAsia="MS Mincho" w:hAnsiTheme="minorHAnsi" w:cstheme="minorHAnsi"/>
        </w:rPr>
        <w:t>A</w:t>
      </w:r>
      <w:r w:rsidRPr="0058490E">
        <w:rPr>
          <w:rFonts w:asciiTheme="minorHAnsi" w:eastAsia="MS Mincho" w:hAnsiTheme="minorHAnsi" w:cstheme="minorHAnsi"/>
        </w:rPr>
        <w:t>dministration n'</w:t>
      </w:r>
      <w:r w:rsidR="007805F2" w:rsidRPr="0058490E">
        <w:rPr>
          <w:rFonts w:asciiTheme="minorHAnsi" w:eastAsia="MS Mincho" w:hAnsiTheme="minorHAnsi" w:cstheme="minorHAnsi"/>
        </w:rPr>
        <w:t>est</w:t>
      </w:r>
      <w:r w:rsidRPr="0058490E">
        <w:rPr>
          <w:rFonts w:asciiTheme="minorHAnsi" w:eastAsia="MS Mincho" w:hAnsiTheme="minorHAnsi" w:cstheme="minorHAnsi"/>
        </w:rPr>
        <w:t xml:space="preserve"> pas </w:t>
      </w:r>
      <w:r w:rsidR="007805F2" w:rsidRPr="0058490E">
        <w:rPr>
          <w:rFonts w:asciiTheme="minorHAnsi" w:eastAsia="MS Mincho" w:hAnsiTheme="minorHAnsi" w:cstheme="minorHAnsi"/>
        </w:rPr>
        <w:t xml:space="preserve">opposée </w:t>
      </w:r>
      <w:r w:rsidRPr="0058490E">
        <w:rPr>
          <w:rFonts w:asciiTheme="minorHAnsi" w:eastAsia="MS Mincho" w:hAnsiTheme="minorHAnsi" w:cstheme="minorHAnsi"/>
        </w:rPr>
        <w:t xml:space="preserve">à </w:t>
      </w:r>
      <w:r w:rsidR="007805F2" w:rsidRPr="0058490E">
        <w:rPr>
          <w:rFonts w:asciiTheme="minorHAnsi" w:eastAsia="MS Mincho" w:hAnsiTheme="minorHAnsi" w:cstheme="minorHAnsi"/>
        </w:rPr>
        <w:t xml:space="preserve">l'idée de </w:t>
      </w:r>
      <w:r w:rsidRPr="0058490E">
        <w:rPr>
          <w:rFonts w:asciiTheme="minorHAnsi" w:eastAsia="MS Mincho" w:hAnsiTheme="minorHAnsi" w:cstheme="minorHAnsi"/>
        </w:rPr>
        <w:t xml:space="preserve">prendre note du rapport par correspondance, elle ne peut </w:t>
      </w:r>
      <w:r w:rsidR="007805F2" w:rsidRPr="0058490E">
        <w:rPr>
          <w:rFonts w:asciiTheme="minorHAnsi" w:eastAsia="MS Mincho" w:hAnsiTheme="minorHAnsi" w:cstheme="minorHAnsi"/>
        </w:rPr>
        <w:t xml:space="preserve">accepter de </w:t>
      </w:r>
      <w:r w:rsidR="009B7F98" w:rsidRPr="0058490E">
        <w:rPr>
          <w:rFonts w:asciiTheme="minorHAnsi" w:eastAsia="MS Mincho" w:hAnsiTheme="minorHAnsi" w:cstheme="minorHAnsi"/>
        </w:rPr>
        <w:t>recour</w:t>
      </w:r>
      <w:r w:rsidR="007805F2" w:rsidRPr="0058490E">
        <w:rPr>
          <w:rFonts w:asciiTheme="minorHAnsi" w:eastAsia="MS Mincho" w:hAnsiTheme="minorHAnsi" w:cstheme="minorHAnsi"/>
        </w:rPr>
        <w:t>ir</w:t>
      </w:r>
      <w:r w:rsidR="009B7F98" w:rsidRPr="0058490E">
        <w:rPr>
          <w:rFonts w:asciiTheme="minorHAnsi" w:eastAsia="MS Mincho" w:hAnsiTheme="minorHAnsi" w:cstheme="minorHAnsi"/>
        </w:rPr>
        <w:t xml:space="preserve"> au </w:t>
      </w:r>
      <w:r w:rsidRPr="0058490E">
        <w:rPr>
          <w:rFonts w:asciiTheme="minorHAnsi" w:eastAsia="MS Mincho" w:hAnsiTheme="minorHAnsi" w:cstheme="minorHAnsi"/>
        </w:rPr>
        <w:t xml:space="preserve">même mécanisme pour adopter les </w:t>
      </w:r>
      <w:r w:rsidR="00804177" w:rsidRPr="0058490E">
        <w:rPr>
          <w:rFonts w:asciiTheme="minorHAnsi" w:eastAsia="MS Mincho" w:hAnsiTheme="minorHAnsi" w:cstheme="minorHAnsi"/>
        </w:rPr>
        <w:t>amendements</w:t>
      </w:r>
      <w:r w:rsidR="009B7F98" w:rsidRPr="0058490E">
        <w:rPr>
          <w:rFonts w:asciiTheme="minorHAnsi" w:eastAsia="MS Mincho" w:hAnsiTheme="minorHAnsi" w:cstheme="minorHAnsi"/>
        </w:rPr>
        <w:t xml:space="preserve"> </w:t>
      </w:r>
      <w:r w:rsidRPr="0058490E">
        <w:rPr>
          <w:rFonts w:asciiTheme="minorHAnsi" w:eastAsia="MS Mincho" w:hAnsiTheme="minorHAnsi" w:cstheme="minorHAnsi"/>
        </w:rPr>
        <w:t xml:space="preserve">proposés, qui doivent d'abord être </w:t>
      </w:r>
      <w:r w:rsidR="009B7F98" w:rsidRPr="0058490E">
        <w:rPr>
          <w:rFonts w:asciiTheme="minorHAnsi" w:eastAsia="MS Mincho" w:hAnsiTheme="minorHAnsi" w:cstheme="minorHAnsi"/>
        </w:rPr>
        <w:t xml:space="preserve">étudiés </w:t>
      </w:r>
      <w:r w:rsidRPr="0058490E">
        <w:rPr>
          <w:rFonts w:asciiTheme="minorHAnsi" w:eastAsia="MS Mincho" w:hAnsiTheme="minorHAnsi" w:cstheme="minorHAnsi"/>
        </w:rPr>
        <w:t>du point de vue de leur</w:t>
      </w:r>
      <w:r w:rsidR="009B7F98" w:rsidRPr="0058490E">
        <w:rPr>
          <w:rFonts w:asciiTheme="minorHAnsi" w:eastAsia="MS Mincho" w:hAnsiTheme="minorHAnsi" w:cstheme="minorHAnsi"/>
        </w:rPr>
        <w:t>s</w:t>
      </w:r>
      <w:r w:rsidRPr="0058490E">
        <w:rPr>
          <w:rFonts w:asciiTheme="minorHAnsi" w:eastAsia="MS Mincho" w:hAnsiTheme="minorHAnsi" w:cstheme="minorHAnsi"/>
        </w:rPr>
        <w:t xml:space="preserve"> </w:t>
      </w:r>
      <w:r w:rsidR="009B7F98" w:rsidRPr="0058490E">
        <w:rPr>
          <w:rFonts w:asciiTheme="minorHAnsi" w:eastAsia="MS Mincho" w:hAnsiTheme="minorHAnsi" w:cstheme="minorHAnsi"/>
        </w:rPr>
        <w:t xml:space="preserve">incidences </w:t>
      </w:r>
      <w:r w:rsidRPr="0058490E">
        <w:rPr>
          <w:rFonts w:asciiTheme="minorHAnsi" w:eastAsia="MS Mincho" w:hAnsiTheme="minorHAnsi" w:cstheme="minorHAnsi"/>
        </w:rPr>
        <w:t xml:space="preserve">sur l'Union et </w:t>
      </w:r>
      <w:r w:rsidR="009B7F98" w:rsidRPr="0058490E">
        <w:rPr>
          <w:rFonts w:asciiTheme="minorHAnsi" w:eastAsia="MS Mincho" w:hAnsiTheme="minorHAnsi" w:cstheme="minorHAnsi"/>
        </w:rPr>
        <w:t xml:space="preserve">examinés </w:t>
      </w:r>
      <w:r w:rsidRPr="0058490E">
        <w:rPr>
          <w:rFonts w:asciiTheme="minorHAnsi" w:eastAsia="MS Mincho" w:hAnsiTheme="minorHAnsi" w:cstheme="minorHAnsi"/>
        </w:rPr>
        <w:t>au sein du GTC-FHR.</w:t>
      </w:r>
    </w:p>
    <w:p w14:paraId="19B89C95" w14:textId="20469034" w:rsidR="00BF5468"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2.4</w:t>
      </w:r>
      <w:r w:rsidR="003B550D" w:rsidRPr="0058490E">
        <w:rPr>
          <w:rFonts w:asciiTheme="minorHAnsi" w:eastAsia="MS Mincho" w:hAnsiTheme="minorHAnsi" w:cstheme="minorHAnsi"/>
        </w:rPr>
        <w:tab/>
      </w:r>
      <w:r w:rsidRPr="0058490E">
        <w:rPr>
          <w:rFonts w:asciiTheme="minorHAnsi" w:eastAsia="MS Mincho" w:hAnsiTheme="minorHAnsi" w:cstheme="minorHAnsi"/>
        </w:rPr>
        <w:t xml:space="preserve">Deux </w:t>
      </w:r>
      <w:r w:rsidR="009B7F98" w:rsidRPr="0058490E">
        <w:rPr>
          <w:rFonts w:asciiTheme="minorHAnsi" w:eastAsia="MS Mincho" w:hAnsiTheme="minorHAnsi" w:cstheme="minorHAnsi"/>
        </w:rPr>
        <w:t>C</w:t>
      </w:r>
      <w:r w:rsidRPr="0058490E">
        <w:rPr>
          <w:rFonts w:asciiTheme="minorHAnsi" w:eastAsia="MS Mincho" w:hAnsiTheme="minorHAnsi" w:cstheme="minorHAnsi"/>
        </w:rPr>
        <w:t xml:space="preserve">onseillers se </w:t>
      </w:r>
      <w:r w:rsidR="009B7F98" w:rsidRPr="0058490E">
        <w:rPr>
          <w:rFonts w:asciiTheme="minorHAnsi" w:eastAsia="MS Mincho" w:hAnsiTheme="minorHAnsi" w:cstheme="minorHAnsi"/>
        </w:rPr>
        <w:t xml:space="preserve">félicitent </w:t>
      </w:r>
      <w:r w:rsidRPr="0058490E">
        <w:rPr>
          <w:rFonts w:asciiTheme="minorHAnsi" w:eastAsia="MS Mincho" w:hAnsiTheme="minorHAnsi" w:cstheme="minorHAnsi"/>
        </w:rPr>
        <w:t xml:space="preserve">des progrès accomplis, en particulier de la proposition </w:t>
      </w:r>
      <w:r w:rsidR="00804177" w:rsidRPr="0058490E">
        <w:rPr>
          <w:rFonts w:asciiTheme="minorHAnsi" w:eastAsia="MS Mincho" w:hAnsiTheme="minorHAnsi" w:cstheme="minorHAnsi"/>
        </w:rPr>
        <w:t xml:space="preserve">d'amendement </w:t>
      </w:r>
      <w:r w:rsidR="009B7F98" w:rsidRPr="0058490E">
        <w:rPr>
          <w:rFonts w:asciiTheme="minorHAnsi" w:eastAsia="MS Mincho" w:hAnsiTheme="minorHAnsi" w:cstheme="minorHAnsi"/>
        </w:rPr>
        <w:t xml:space="preserve">visant à reconnaître </w:t>
      </w:r>
      <w:r w:rsidRPr="0058490E">
        <w:rPr>
          <w:rFonts w:asciiTheme="minorHAnsi" w:eastAsia="MS Mincho" w:hAnsiTheme="minorHAnsi" w:cstheme="minorHAnsi"/>
        </w:rPr>
        <w:t>les partenariats domestiques. Les raisons financières ne justifient pas la poursuite de pratiques discriminatoires.</w:t>
      </w:r>
    </w:p>
    <w:p w14:paraId="1C563058" w14:textId="7B9D135D" w:rsidR="004B2E7E"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2.5</w:t>
      </w:r>
      <w:r w:rsidR="003B550D" w:rsidRPr="0058490E">
        <w:rPr>
          <w:rFonts w:asciiTheme="minorHAnsi" w:eastAsia="MS Mincho" w:hAnsiTheme="minorHAnsi" w:cstheme="minorHAnsi"/>
        </w:rPr>
        <w:tab/>
      </w:r>
      <w:r w:rsidRPr="0058490E">
        <w:rPr>
          <w:rFonts w:asciiTheme="minorHAnsi" w:eastAsia="MS Mincho" w:hAnsiTheme="minorHAnsi" w:cstheme="minorHAnsi"/>
        </w:rPr>
        <w:t xml:space="preserve">Le Chef du </w:t>
      </w:r>
      <w:r w:rsidR="009B7F98" w:rsidRPr="0058490E">
        <w:rPr>
          <w:rFonts w:asciiTheme="minorHAnsi" w:eastAsia="MS Mincho" w:hAnsiTheme="minorHAnsi" w:cstheme="minorHAnsi"/>
        </w:rPr>
        <w:t xml:space="preserve">Département HRMD </w:t>
      </w:r>
      <w:r w:rsidRPr="0058490E">
        <w:rPr>
          <w:rFonts w:asciiTheme="minorHAnsi" w:eastAsia="MS Mincho" w:hAnsiTheme="minorHAnsi" w:cstheme="minorHAnsi"/>
        </w:rPr>
        <w:t>déclar</w:t>
      </w:r>
      <w:r w:rsidR="009B7F98" w:rsidRPr="0058490E">
        <w:rPr>
          <w:rFonts w:asciiTheme="minorHAnsi" w:eastAsia="MS Mincho" w:hAnsiTheme="minorHAnsi" w:cstheme="minorHAnsi"/>
        </w:rPr>
        <w:t>e</w:t>
      </w:r>
      <w:r w:rsidRPr="0058490E">
        <w:rPr>
          <w:rFonts w:asciiTheme="minorHAnsi" w:eastAsia="MS Mincho" w:hAnsiTheme="minorHAnsi" w:cstheme="minorHAnsi"/>
        </w:rPr>
        <w:t xml:space="preserve"> qu'un mois, </w:t>
      </w:r>
      <w:r w:rsidR="009B7F98" w:rsidRPr="0058490E">
        <w:rPr>
          <w:rFonts w:asciiTheme="minorHAnsi" w:eastAsia="MS Mincho" w:hAnsiTheme="minorHAnsi" w:cstheme="minorHAnsi"/>
        </w:rPr>
        <w:t xml:space="preserve">comme délai </w:t>
      </w:r>
      <w:r w:rsidRPr="0058490E">
        <w:rPr>
          <w:rFonts w:asciiTheme="minorHAnsi" w:eastAsia="MS Mincho" w:hAnsiTheme="minorHAnsi" w:cstheme="minorHAnsi"/>
        </w:rPr>
        <w:t>minim</w:t>
      </w:r>
      <w:r w:rsidR="009B7F98" w:rsidRPr="0058490E">
        <w:rPr>
          <w:rFonts w:asciiTheme="minorHAnsi" w:eastAsia="MS Mincho" w:hAnsiTheme="minorHAnsi" w:cstheme="minorHAnsi"/>
        </w:rPr>
        <w:t>al</w:t>
      </w:r>
      <w:r w:rsidRPr="0058490E">
        <w:rPr>
          <w:rFonts w:asciiTheme="minorHAnsi" w:eastAsia="MS Mincho" w:hAnsiTheme="minorHAnsi" w:cstheme="minorHAnsi"/>
        </w:rPr>
        <w:t xml:space="preserve">, </w:t>
      </w:r>
      <w:r w:rsidR="009B7F98" w:rsidRPr="0058490E">
        <w:rPr>
          <w:rFonts w:asciiTheme="minorHAnsi" w:eastAsia="MS Mincho" w:hAnsiTheme="minorHAnsi" w:cstheme="minorHAnsi"/>
        </w:rPr>
        <w:t xml:space="preserve">est </w:t>
      </w:r>
      <w:r w:rsidRPr="0058490E">
        <w:rPr>
          <w:rFonts w:asciiTheme="minorHAnsi" w:eastAsia="MS Mincho" w:hAnsiTheme="minorHAnsi" w:cstheme="minorHAnsi"/>
        </w:rPr>
        <w:t>suffisant pour le recrutement</w:t>
      </w:r>
      <w:r w:rsidR="004B2E7E" w:rsidRPr="0058490E">
        <w:rPr>
          <w:rFonts w:asciiTheme="minorHAnsi" w:eastAsia="MS Mincho" w:hAnsiTheme="minorHAnsi" w:cstheme="minorHAnsi"/>
        </w:rPr>
        <w:t>, comme l'ont montré les études comparatives avec des entités extérieures effectuées par l'UIT. De plus, si elle le souhaite, l'U</w:t>
      </w:r>
      <w:r w:rsidR="00B05042" w:rsidRPr="0058490E">
        <w:rPr>
          <w:rFonts w:asciiTheme="minorHAnsi" w:eastAsia="MS Mincho" w:hAnsiTheme="minorHAnsi" w:cstheme="minorHAnsi"/>
        </w:rPr>
        <w:t>nion</w:t>
      </w:r>
      <w:r w:rsidR="004B2E7E" w:rsidRPr="0058490E">
        <w:rPr>
          <w:rFonts w:asciiTheme="minorHAnsi" w:eastAsia="MS Mincho" w:hAnsiTheme="minorHAnsi" w:cstheme="minorHAnsi"/>
        </w:rPr>
        <w:t xml:space="preserve"> peut, en fonction du poste, prolonger la période de mise au concours au-delà d'un mois si nécessaire.</w:t>
      </w:r>
    </w:p>
    <w:p w14:paraId="5A5BCFA0" w14:textId="354663BF" w:rsidR="00BF5468" w:rsidRPr="0058490E" w:rsidRDefault="00B0504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2.6</w:t>
      </w:r>
      <w:r w:rsidRPr="0058490E">
        <w:rPr>
          <w:rFonts w:asciiTheme="minorHAnsi" w:eastAsia="MS Mincho" w:hAnsiTheme="minorHAnsi" w:cstheme="minorHAnsi"/>
        </w:rPr>
        <w:tab/>
      </w:r>
      <w:r w:rsidR="00BF5468" w:rsidRPr="0058490E">
        <w:rPr>
          <w:rFonts w:asciiTheme="minorHAnsi" w:eastAsia="MS Mincho" w:hAnsiTheme="minorHAnsi" w:cstheme="minorHAnsi"/>
        </w:rPr>
        <w:t xml:space="preserve">En ce qui concerne les droits, l'UIT </w:t>
      </w:r>
      <w:r w:rsidR="009B7F98" w:rsidRPr="0058490E">
        <w:rPr>
          <w:rFonts w:asciiTheme="minorHAnsi" w:eastAsia="MS Mincho" w:hAnsiTheme="minorHAnsi" w:cstheme="minorHAnsi"/>
        </w:rPr>
        <w:t xml:space="preserve">ne ménage pas ses </w:t>
      </w:r>
      <w:r w:rsidR="00BF5468" w:rsidRPr="0058490E">
        <w:rPr>
          <w:rFonts w:asciiTheme="minorHAnsi" w:eastAsia="MS Mincho" w:hAnsiTheme="minorHAnsi" w:cstheme="minorHAnsi"/>
        </w:rPr>
        <w:t xml:space="preserve">efforts pour examiner les violations de manière globale. L'amendement spécifique proposé, qui </w:t>
      </w:r>
      <w:r w:rsidR="001E0C7D" w:rsidRPr="0058490E">
        <w:rPr>
          <w:rFonts w:asciiTheme="minorHAnsi" w:eastAsia="MS Mincho" w:hAnsiTheme="minorHAnsi" w:cstheme="minorHAnsi"/>
        </w:rPr>
        <w:t xml:space="preserve">permettrait </w:t>
      </w:r>
      <w:r w:rsidR="00804177" w:rsidRPr="0058490E">
        <w:rPr>
          <w:rFonts w:asciiTheme="minorHAnsi" w:eastAsia="MS Mincho" w:hAnsiTheme="minorHAnsi" w:cstheme="minorHAnsi"/>
        </w:rPr>
        <w:t xml:space="preserve">à </w:t>
      </w:r>
      <w:r w:rsidR="00BF5468" w:rsidRPr="0058490E">
        <w:rPr>
          <w:rFonts w:asciiTheme="minorHAnsi" w:eastAsia="MS Mincho" w:hAnsiTheme="minorHAnsi" w:cstheme="minorHAnsi"/>
        </w:rPr>
        <w:t xml:space="preserve">l'UIT </w:t>
      </w:r>
      <w:r w:rsidR="00804177" w:rsidRPr="0058490E">
        <w:rPr>
          <w:rFonts w:asciiTheme="minorHAnsi" w:eastAsia="MS Mincho" w:hAnsiTheme="minorHAnsi" w:cstheme="minorHAnsi"/>
        </w:rPr>
        <w:t xml:space="preserve">d'être en phase avec l'Organisation des </w:t>
      </w:r>
      <w:r w:rsidR="00BF5468" w:rsidRPr="0058490E">
        <w:rPr>
          <w:rFonts w:asciiTheme="minorHAnsi" w:eastAsia="MS Mincho" w:hAnsiTheme="minorHAnsi" w:cstheme="minorHAnsi"/>
        </w:rPr>
        <w:t xml:space="preserve">Nations Unies et toutes les autres institutions spécialisées, apporterait des avantages considérables en termes </w:t>
      </w:r>
      <w:r w:rsidR="00804177" w:rsidRPr="0058490E">
        <w:rPr>
          <w:rFonts w:asciiTheme="minorHAnsi" w:eastAsia="MS Mincho" w:hAnsiTheme="minorHAnsi" w:cstheme="minorHAnsi"/>
        </w:rPr>
        <w:t xml:space="preserve">de recrutement de </w:t>
      </w:r>
      <w:r w:rsidR="00BF5468" w:rsidRPr="0058490E">
        <w:rPr>
          <w:rFonts w:asciiTheme="minorHAnsi" w:eastAsia="MS Mincho" w:hAnsiTheme="minorHAnsi" w:cstheme="minorHAnsi"/>
        </w:rPr>
        <w:t xml:space="preserve">talents. </w:t>
      </w:r>
      <w:r w:rsidRPr="0058490E">
        <w:rPr>
          <w:rFonts w:asciiTheme="minorHAnsi" w:eastAsia="MS Mincho" w:hAnsiTheme="minorHAnsi" w:cstheme="minorHAnsi"/>
        </w:rPr>
        <w:t>Aucune</w:t>
      </w:r>
      <w:r w:rsidR="00BF5468" w:rsidRPr="0058490E">
        <w:rPr>
          <w:rFonts w:asciiTheme="minorHAnsi" w:eastAsia="MS Mincho" w:hAnsiTheme="minorHAnsi" w:cstheme="minorHAnsi"/>
        </w:rPr>
        <w:t xml:space="preserve"> incidence budgétaire </w:t>
      </w:r>
      <w:r w:rsidRPr="0058490E">
        <w:rPr>
          <w:rFonts w:asciiTheme="minorHAnsi" w:eastAsia="MS Mincho" w:hAnsiTheme="minorHAnsi" w:cstheme="minorHAnsi"/>
        </w:rPr>
        <w:t>n'a été identifiée</w:t>
      </w:r>
      <w:r w:rsidR="00BF5468" w:rsidRPr="0058490E">
        <w:rPr>
          <w:rFonts w:asciiTheme="minorHAnsi" w:eastAsia="MS Mincho" w:hAnsiTheme="minorHAnsi" w:cstheme="minorHAnsi"/>
        </w:rPr>
        <w:t xml:space="preserve">, mais </w:t>
      </w:r>
      <w:r w:rsidRPr="0058490E">
        <w:rPr>
          <w:rFonts w:asciiTheme="minorHAnsi" w:eastAsia="MS Mincho" w:hAnsiTheme="minorHAnsi" w:cstheme="minorHAnsi"/>
        </w:rPr>
        <w:t>les éventuels</w:t>
      </w:r>
      <w:r w:rsidR="00BF5468" w:rsidRPr="0058490E">
        <w:rPr>
          <w:rFonts w:asciiTheme="minorHAnsi" w:eastAsia="MS Mincho" w:hAnsiTheme="minorHAnsi" w:cstheme="minorHAnsi"/>
        </w:rPr>
        <w:t xml:space="preserve"> ajustements pourr</w:t>
      </w:r>
      <w:r w:rsidR="00804177" w:rsidRPr="0058490E">
        <w:rPr>
          <w:rFonts w:asciiTheme="minorHAnsi" w:eastAsia="MS Mincho" w:hAnsiTheme="minorHAnsi" w:cstheme="minorHAnsi"/>
        </w:rPr>
        <w:t>o</w:t>
      </w:r>
      <w:r w:rsidR="00BF5468" w:rsidRPr="0058490E">
        <w:rPr>
          <w:rFonts w:asciiTheme="minorHAnsi" w:eastAsia="MS Mincho" w:hAnsiTheme="minorHAnsi" w:cstheme="minorHAnsi"/>
        </w:rPr>
        <w:t xml:space="preserve">nt être apportés dans le cadre du budget biennal actuel et du plan financier pour </w:t>
      </w:r>
      <w:r w:rsidR="00DA5E2C" w:rsidRPr="0058490E">
        <w:rPr>
          <w:rFonts w:asciiTheme="minorHAnsi" w:eastAsia="MS Mincho" w:hAnsiTheme="minorHAnsi" w:cstheme="minorHAnsi"/>
        </w:rPr>
        <w:t xml:space="preserve">la période </w:t>
      </w:r>
      <w:r w:rsidR="00BF5468" w:rsidRPr="0058490E">
        <w:rPr>
          <w:rFonts w:asciiTheme="minorHAnsi" w:eastAsia="MS Mincho" w:hAnsiTheme="minorHAnsi" w:cstheme="minorHAnsi"/>
        </w:rPr>
        <w:t>2020-2023.</w:t>
      </w:r>
    </w:p>
    <w:p w14:paraId="5C870176" w14:textId="70C1FC24" w:rsidR="00BF5468" w:rsidRPr="0058490E" w:rsidRDefault="00BF5468"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lastRenderedPageBreak/>
        <w:t>2.</w:t>
      </w:r>
      <w:r w:rsidR="00F7766B" w:rsidRPr="0058490E">
        <w:rPr>
          <w:rFonts w:asciiTheme="minorHAnsi" w:eastAsia="MS Mincho" w:hAnsiTheme="minorHAnsi" w:cstheme="minorHAnsi"/>
        </w:rPr>
        <w:t>7</w:t>
      </w:r>
      <w:r w:rsidR="003B550D" w:rsidRPr="0058490E">
        <w:rPr>
          <w:rFonts w:asciiTheme="minorHAnsi" w:eastAsia="MS Mincho" w:hAnsiTheme="minorHAnsi" w:cstheme="minorHAnsi"/>
        </w:rPr>
        <w:tab/>
      </w:r>
      <w:r w:rsidRPr="0058490E">
        <w:rPr>
          <w:rFonts w:asciiTheme="minorHAnsi" w:eastAsia="MS Mincho" w:hAnsiTheme="minorHAnsi" w:cstheme="minorHAnsi"/>
        </w:rPr>
        <w:t xml:space="preserve">Le </w:t>
      </w:r>
      <w:r w:rsidR="00941992" w:rsidRPr="0058490E">
        <w:rPr>
          <w:rFonts w:asciiTheme="minorHAnsi" w:eastAsia="MS Mincho" w:hAnsiTheme="minorHAnsi" w:cstheme="minorHAnsi"/>
        </w:rPr>
        <w:t>P</w:t>
      </w:r>
      <w:r w:rsidRPr="0058490E">
        <w:rPr>
          <w:rFonts w:asciiTheme="minorHAnsi" w:eastAsia="MS Mincho" w:hAnsiTheme="minorHAnsi" w:cstheme="minorHAnsi"/>
        </w:rPr>
        <w:t>résident propos</w:t>
      </w:r>
      <w:r w:rsidR="00804177" w:rsidRPr="0058490E">
        <w:rPr>
          <w:rFonts w:asciiTheme="minorHAnsi" w:eastAsia="MS Mincho" w:hAnsiTheme="minorHAnsi" w:cstheme="minorHAnsi"/>
        </w:rPr>
        <w:t>e</w:t>
      </w:r>
      <w:r w:rsidRPr="0058490E">
        <w:rPr>
          <w:rFonts w:asciiTheme="minorHAnsi" w:eastAsia="MS Mincho" w:hAnsiTheme="minorHAnsi" w:cstheme="minorHAnsi"/>
        </w:rPr>
        <w:t xml:space="preserve"> de demander au secrétariat de présenter les projets de décision révisés figurant dans les </w:t>
      </w:r>
      <w:r w:rsidR="00804177" w:rsidRPr="0058490E">
        <w:rPr>
          <w:rFonts w:asciiTheme="minorHAnsi" w:eastAsia="MS Mincho" w:hAnsiTheme="minorHAnsi" w:cstheme="minorHAnsi"/>
        </w:rPr>
        <w:t>A</w:t>
      </w:r>
      <w:r w:rsidRPr="0058490E">
        <w:rPr>
          <w:rFonts w:asciiTheme="minorHAnsi" w:eastAsia="MS Mincho" w:hAnsiTheme="minorHAnsi" w:cstheme="minorHAnsi"/>
        </w:rPr>
        <w:t xml:space="preserve">nnexes 1 à 3 du </w:t>
      </w:r>
      <w:r w:rsidR="00804177" w:rsidRPr="0058490E">
        <w:rPr>
          <w:rFonts w:asciiTheme="minorHAnsi" w:eastAsia="MS Mincho" w:hAnsiTheme="minorHAnsi" w:cstheme="minorHAnsi"/>
        </w:rPr>
        <w:t>D</w:t>
      </w:r>
      <w:r w:rsidRPr="0058490E">
        <w:rPr>
          <w:rFonts w:asciiTheme="minorHAnsi" w:eastAsia="MS Mincho" w:hAnsiTheme="minorHAnsi" w:cstheme="minorHAnsi"/>
        </w:rPr>
        <w:t>ocument C21/54 à la prochaine réunion du GTC-</w:t>
      </w:r>
      <w:r w:rsidR="00804177" w:rsidRPr="0058490E">
        <w:rPr>
          <w:rFonts w:asciiTheme="minorHAnsi" w:eastAsia="MS Mincho" w:hAnsiTheme="minorHAnsi" w:cstheme="minorHAnsi"/>
        </w:rPr>
        <w:t xml:space="preserve">FHR </w:t>
      </w:r>
      <w:r w:rsidRPr="0058490E">
        <w:rPr>
          <w:rFonts w:asciiTheme="minorHAnsi" w:eastAsia="MS Mincho" w:hAnsiTheme="minorHAnsi" w:cstheme="minorHAnsi"/>
        </w:rPr>
        <w:t>en septembre, pour un examen plus approfondi.</w:t>
      </w:r>
    </w:p>
    <w:p w14:paraId="5CCFFD48" w14:textId="6E365373"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w:t>
      </w:r>
      <w:r w:rsidR="00F7766B" w:rsidRPr="0058490E">
        <w:rPr>
          <w:rFonts w:asciiTheme="minorHAnsi" w:eastAsia="MS Mincho" w:hAnsiTheme="minorHAnsi" w:cstheme="minorHAnsi"/>
        </w:rPr>
        <w:t>8</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décidé</w:t>
      </w:r>
      <w:r w:rsidR="007B0B01" w:rsidRPr="0058490E">
        <w:rPr>
          <w:rFonts w:asciiTheme="minorHAnsi" w:eastAsia="MS Mincho" w:hAnsiTheme="minorHAnsi" w:cstheme="minorHAnsi"/>
        </w:rPr>
        <w:t>.</w:t>
      </w:r>
    </w:p>
    <w:p w14:paraId="31E6DA32" w14:textId="032BA584" w:rsidR="00BF5468"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w:t>
      </w:r>
      <w:r w:rsidR="00F7766B" w:rsidRPr="0058490E">
        <w:rPr>
          <w:rFonts w:asciiTheme="minorHAnsi" w:eastAsia="MS Mincho" w:hAnsiTheme="minorHAnsi" w:cstheme="minorHAnsi"/>
        </w:rPr>
        <w:t>9</w:t>
      </w:r>
      <w:r w:rsidRPr="0058490E">
        <w:rPr>
          <w:rFonts w:asciiTheme="minorHAnsi" w:eastAsia="MS Mincho" w:hAnsiTheme="minorHAnsi" w:cstheme="minorHAnsi"/>
        </w:rPr>
        <w:tab/>
      </w:r>
      <w:r w:rsidR="00BF5468" w:rsidRPr="0058490E">
        <w:rPr>
          <w:rFonts w:asciiTheme="minorHAnsi" w:eastAsia="MS Mincho" w:hAnsiTheme="minorHAnsi" w:cstheme="minorHAnsi"/>
        </w:rPr>
        <w:t xml:space="preserve">Le Président considère en outre que les </w:t>
      </w:r>
      <w:r w:rsidR="00804177" w:rsidRPr="0058490E">
        <w:rPr>
          <w:rFonts w:asciiTheme="minorHAnsi" w:eastAsia="MS Mincho" w:hAnsiTheme="minorHAnsi" w:cstheme="minorHAnsi"/>
        </w:rPr>
        <w:t>C</w:t>
      </w:r>
      <w:r w:rsidR="00BF5468" w:rsidRPr="0058490E">
        <w:rPr>
          <w:rFonts w:asciiTheme="minorHAnsi" w:eastAsia="MS Mincho" w:hAnsiTheme="minorHAnsi" w:cstheme="minorHAnsi"/>
        </w:rPr>
        <w:t xml:space="preserve">onseillers souhaitent conclure que, compte tenu </w:t>
      </w:r>
      <w:r w:rsidR="00804177" w:rsidRPr="0058490E">
        <w:rPr>
          <w:rFonts w:asciiTheme="minorHAnsi" w:eastAsia="MS Mincho" w:hAnsiTheme="minorHAnsi" w:cstheme="minorHAnsi"/>
        </w:rPr>
        <w:t xml:space="preserve">du caractère </w:t>
      </w:r>
      <w:r w:rsidR="00BF5468" w:rsidRPr="0058490E">
        <w:rPr>
          <w:rFonts w:asciiTheme="minorHAnsi" w:eastAsia="MS Mincho" w:hAnsiTheme="minorHAnsi" w:cstheme="minorHAnsi"/>
        </w:rPr>
        <w:t>urgen</w:t>
      </w:r>
      <w:r w:rsidR="00804177" w:rsidRPr="0058490E">
        <w:rPr>
          <w:rFonts w:asciiTheme="minorHAnsi" w:eastAsia="MS Mincho" w:hAnsiTheme="minorHAnsi" w:cstheme="minorHAnsi"/>
        </w:rPr>
        <w:t>t</w:t>
      </w:r>
      <w:r w:rsidR="00BF5468" w:rsidRPr="0058490E">
        <w:rPr>
          <w:rFonts w:asciiTheme="minorHAnsi" w:eastAsia="MS Mincho" w:hAnsiTheme="minorHAnsi" w:cstheme="minorHAnsi"/>
        </w:rPr>
        <w:t xml:space="preserve"> de ce point, une consultation par correspondance des États </w:t>
      </w:r>
      <w:r w:rsidR="00DA5E2C" w:rsidRPr="0058490E">
        <w:rPr>
          <w:rFonts w:asciiTheme="minorHAnsi" w:eastAsia="MS Mincho" w:hAnsiTheme="minorHAnsi" w:cstheme="minorHAnsi"/>
        </w:rPr>
        <w:t>M</w:t>
      </w:r>
      <w:r w:rsidR="00BF5468" w:rsidRPr="0058490E">
        <w:rPr>
          <w:rFonts w:asciiTheme="minorHAnsi" w:eastAsia="MS Mincho" w:hAnsiTheme="minorHAnsi" w:cstheme="minorHAnsi"/>
        </w:rPr>
        <w:t xml:space="preserve">embres du Conseil sera </w:t>
      </w:r>
      <w:r w:rsidR="00804177" w:rsidRPr="0058490E">
        <w:rPr>
          <w:rFonts w:asciiTheme="minorHAnsi" w:eastAsia="MS Mincho" w:hAnsiTheme="minorHAnsi" w:cstheme="minorHAnsi"/>
        </w:rPr>
        <w:t>organis</w:t>
      </w:r>
      <w:r w:rsidR="00DA5E2C" w:rsidRPr="0058490E">
        <w:rPr>
          <w:rFonts w:asciiTheme="minorHAnsi" w:eastAsia="MS Mincho" w:hAnsiTheme="minorHAnsi" w:cstheme="minorHAnsi"/>
        </w:rPr>
        <w:t>é</w:t>
      </w:r>
      <w:r w:rsidR="00804177" w:rsidRPr="0058490E">
        <w:rPr>
          <w:rFonts w:asciiTheme="minorHAnsi" w:eastAsia="MS Mincho" w:hAnsiTheme="minorHAnsi" w:cstheme="minorHAnsi"/>
        </w:rPr>
        <w:t xml:space="preserve">e </w:t>
      </w:r>
      <w:r w:rsidR="00BF5468" w:rsidRPr="0058490E">
        <w:rPr>
          <w:rFonts w:asciiTheme="minorHAnsi" w:eastAsia="MS Mincho" w:hAnsiTheme="minorHAnsi" w:cstheme="minorHAnsi"/>
        </w:rPr>
        <w:t xml:space="preserve">pour prendre note du </w:t>
      </w:r>
      <w:r w:rsidR="00804177" w:rsidRPr="0058490E">
        <w:rPr>
          <w:rFonts w:asciiTheme="minorHAnsi" w:eastAsia="MS Mincho" w:hAnsiTheme="minorHAnsi" w:cstheme="minorHAnsi"/>
        </w:rPr>
        <w:t>D</w:t>
      </w:r>
      <w:r w:rsidR="00BF5468" w:rsidRPr="0058490E">
        <w:rPr>
          <w:rFonts w:asciiTheme="minorHAnsi" w:eastAsia="MS Mincho" w:hAnsiTheme="minorHAnsi" w:cstheme="minorHAnsi"/>
        </w:rPr>
        <w:t>ocument C21/54.</w:t>
      </w:r>
    </w:p>
    <w:p w14:paraId="29141624" w14:textId="03D388FE"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2.</w:t>
      </w:r>
      <w:r w:rsidR="00F7766B" w:rsidRPr="0058490E">
        <w:rPr>
          <w:rFonts w:asciiTheme="minorHAnsi" w:eastAsia="MS Mincho" w:hAnsiTheme="minorHAnsi" w:cstheme="minorHAnsi"/>
        </w:rPr>
        <w:t>10</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conclu</w:t>
      </w:r>
      <w:r w:rsidR="007B0B01" w:rsidRPr="0058490E">
        <w:rPr>
          <w:rFonts w:asciiTheme="minorHAnsi" w:eastAsia="MS Mincho" w:hAnsiTheme="minorHAnsi" w:cstheme="minorHAnsi"/>
        </w:rPr>
        <w:t>.</w:t>
      </w:r>
    </w:p>
    <w:p w14:paraId="02A22F0F" w14:textId="04D401EC"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rPr>
      </w:pPr>
      <w:r w:rsidRPr="0058490E">
        <w:rPr>
          <w:rFonts w:asciiTheme="minorHAnsi" w:eastAsia="MS Mincho" w:hAnsiTheme="minorHAnsi" w:cstheme="minorHAnsi"/>
        </w:rPr>
        <w:t>3</w:t>
      </w:r>
      <w:r w:rsidRPr="0058490E">
        <w:rPr>
          <w:rFonts w:asciiTheme="minorHAnsi" w:eastAsia="MS Mincho" w:hAnsiTheme="minorHAnsi" w:cstheme="minorHAnsi"/>
        </w:rPr>
        <w:tab/>
      </w:r>
      <w:r w:rsidR="0071654C" w:rsidRPr="0058490E">
        <w:rPr>
          <w:rFonts w:asciiTheme="minorHAnsi" w:eastAsia="MS Mincho" w:hAnsiTheme="minorHAnsi" w:cstheme="minorHAnsi"/>
        </w:rPr>
        <w:t xml:space="preserve">Rapport sur la durabilité environnementale de l'UIT </w:t>
      </w:r>
      <w:r w:rsidRPr="0058490E">
        <w:rPr>
          <w:rFonts w:asciiTheme="minorHAnsi" w:eastAsia="MS Mincho" w:hAnsiTheme="minorHAnsi" w:cstheme="minorHAnsi"/>
        </w:rPr>
        <w:t xml:space="preserve">(Document </w:t>
      </w:r>
      <w:hyperlink r:id="rId20" w:history="1">
        <w:r w:rsidRPr="0058490E">
          <w:rPr>
            <w:rFonts w:asciiTheme="minorHAnsi" w:hAnsiTheme="minorHAnsi" w:cstheme="minorHAnsi"/>
            <w:color w:val="0000FF"/>
            <w:u w:val="single"/>
            <w:lang w:eastAsia="en-GB"/>
          </w:rPr>
          <w:t>C21/68</w:t>
        </w:r>
      </w:hyperlink>
      <w:r w:rsidRPr="0058490E">
        <w:rPr>
          <w:rFonts w:asciiTheme="minorHAnsi" w:eastAsia="MS Mincho" w:hAnsiTheme="minorHAnsi" w:cstheme="minorHAnsi"/>
        </w:rPr>
        <w:t>)</w:t>
      </w:r>
    </w:p>
    <w:p w14:paraId="3441FCED" w14:textId="4C5D8DA7"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3.1</w:t>
      </w:r>
      <w:r w:rsidRPr="0058490E">
        <w:rPr>
          <w:rFonts w:asciiTheme="minorHAnsi" w:eastAsia="MS Mincho" w:hAnsiTheme="minorHAnsi" w:cstheme="minorHAnsi"/>
        </w:rPr>
        <w:tab/>
        <w:t>L</w:t>
      </w:r>
      <w:r w:rsidR="00B94189" w:rsidRPr="0058490E">
        <w:rPr>
          <w:rFonts w:asciiTheme="minorHAnsi" w:eastAsia="MS Mincho" w:hAnsiTheme="minorHAnsi" w:cstheme="minorHAnsi"/>
        </w:rPr>
        <w:t>a</w:t>
      </w:r>
      <w:r w:rsidRPr="0058490E">
        <w:rPr>
          <w:rFonts w:asciiTheme="minorHAnsi" w:eastAsia="MS Mincho" w:hAnsiTheme="minorHAnsi" w:cstheme="minorHAnsi"/>
        </w:rPr>
        <w:t xml:space="preserve"> représentant</w:t>
      </w:r>
      <w:r w:rsidR="00B94189" w:rsidRPr="0058490E">
        <w:rPr>
          <w:rFonts w:asciiTheme="minorHAnsi" w:eastAsia="MS Mincho" w:hAnsiTheme="minorHAnsi" w:cstheme="minorHAnsi"/>
        </w:rPr>
        <w:t>e</w:t>
      </w:r>
      <w:r w:rsidRPr="0058490E">
        <w:rPr>
          <w:rFonts w:asciiTheme="minorHAnsi" w:eastAsia="MS Mincho" w:hAnsiTheme="minorHAnsi" w:cstheme="minorHAnsi"/>
        </w:rPr>
        <w:t xml:space="preserve"> du Secrétariat général présente le Document C21/68 sur les progrès accomplis et les activités prévues pour faire progresser les efforts de l'UIT en matière de durabilité environnementale, conformément à la Stratégie de gestion de la durabilité dans le système des Nations Unies pour 2020-2030 et à diverses décisions et résolutions de l'UIT. Le document tient également compte de l'examen par le Corps commun d'inspection de l'intégration du concept de viabilité écologique au sein des organisations du système des Nations Unies (JIU/REP/2020/8).</w:t>
      </w:r>
    </w:p>
    <w:p w14:paraId="511A5D8A" w14:textId="1E779917"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3.2</w:t>
      </w:r>
      <w:r w:rsidRPr="0058490E">
        <w:rPr>
          <w:rFonts w:asciiTheme="minorHAnsi" w:eastAsia="MS Mincho" w:hAnsiTheme="minorHAnsi" w:cstheme="minorHAnsi"/>
        </w:rPr>
        <w:tab/>
        <w:t>Le Président considère que les Conseillers souhaitent conclure que, compte tenu du caractère urgent de ce point, une consultation par correspondance des États Membres du Conseil sera organisée pour approuver le rapport figurant dans le Document C21/68.</w:t>
      </w:r>
    </w:p>
    <w:p w14:paraId="7A7B25AE" w14:textId="0E04B43F"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3.3</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conclu</w:t>
      </w:r>
      <w:r w:rsidR="007B0B01" w:rsidRPr="0058490E">
        <w:rPr>
          <w:rFonts w:asciiTheme="minorHAnsi" w:eastAsia="MS Mincho" w:hAnsiTheme="minorHAnsi" w:cstheme="minorHAnsi"/>
        </w:rPr>
        <w:t>.</w:t>
      </w:r>
    </w:p>
    <w:p w14:paraId="61616C96" w14:textId="63710939"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bCs/>
        </w:rPr>
      </w:pPr>
      <w:r w:rsidRPr="0058490E">
        <w:rPr>
          <w:rFonts w:asciiTheme="minorHAnsi" w:eastAsia="MS Mincho" w:hAnsiTheme="minorHAnsi" w:cstheme="minorHAnsi"/>
          <w:lang w:eastAsia="en-GB"/>
        </w:rPr>
        <w:t>4</w:t>
      </w:r>
      <w:r w:rsidRPr="0058490E">
        <w:rPr>
          <w:rFonts w:asciiTheme="minorHAnsi" w:eastAsia="MS Mincho" w:hAnsiTheme="minorHAnsi" w:cstheme="minorHAnsi"/>
          <w:lang w:eastAsia="en-GB"/>
        </w:rPr>
        <w:tab/>
      </w:r>
      <w:r w:rsidR="0071654C" w:rsidRPr="0058490E">
        <w:rPr>
          <w:rFonts w:asciiTheme="minorHAnsi" w:eastAsia="MS Mincho" w:hAnsiTheme="minorHAnsi" w:cstheme="minorHAnsi"/>
          <w:lang w:eastAsia="en-GB"/>
        </w:rPr>
        <w:t xml:space="preserve">Projet de politique de l'UIT en matière d'accessibilité pour les personnes handicapées </w:t>
      </w:r>
      <w:r w:rsidRPr="0058490E">
        <w:rPr>
          <w:rFonts w:asciiTheme="minorHAnsi" w:eastAsia="MS Mincho" w:hAnsiTheme="minorHAnsi" w:cstheme="minorHAnsi"/>
        </w:rPr>
        <w:t>(Document</w:t>
      </w:r>
      <w:r w:rsidRPr="0058490E">
        <w:rPr>
          <w:rFonts w:asciiTheme="minorHAnsi" w:eastAsia="MS Mincho" w:hAnsiTheme="minorHAnsi" w:cstheme="minorHAnsi"/>
          <w:bCs/>
        </w:rPr>
        <w:t xml:space="preserve"> </w:t>
      </w:r>
      <w:hyperlink r:id="rId21" w:history="1">
        <w:r w:rsidRPr="0058490E">
          <w:rPr>
            <w:rFonts w:asciiTheme="minorHAnsi" w:eastAsia="MS Mincho" w:hAnsiTheme="minorHAnsi" w:cstheme="minorHAnsi"/>
            <w:bCs/>
            <w:color w:val="0000FF"/>
            <w:u w:val="single"/>
            <w:lang w:eastAsia="en-GB"/>
          </w:rPr>
          <w:t>C21/72</w:t>
        </w:r>
      </w:hyperlink>
      <w:r w:rsidRPr="0058490E">
        <w:rPr>
          <w:rFonts w:asciiTheme="minorHAnsi" w:eastAsia="MS Mincho" w:hAnsiTheme="minorHAnsi" w:cstheme="minorHAnsi"/>
          <w:bCs/>
        </w:rPr>
        <w:t>)</w:t>
      </w:r>
    </w:p>
    <w:p w14:paraId="302B7017" w14:textId="7269E14A"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4.1</w:t>
      </w:r>
      <w:r w:rsidRPr="0058490E">
        <w:rPr>
          <w:rFonts w:asciiTheme="minorHAnsi" w:eastAsia="MS Mincho" w:hAnsiTheme="minorHAnsi" w:cstheme="minorHAnsi"/>
        </w:rPr>
        <w:tab/>
        <w:t>Le représentant du Secrétariat général présent</w:t>
      </w:r>
      <w:r w:rsidR="00B94189" w:rsidRPr="0058490E">
        <w:rPr>
          <w:rFonts w:asciiTheme="minorHAnsi" w:eastAsia="MS Mincho" w:hAnsiTheme="minorHAnsi" w:cstheme="minorHAnsi"/>
        </w:rPr>
        <w:t>e</w:t>
      </w:r>
      <w:r w:rsidRPr="0058490E">
        <w:rPr>
          <w:rFonts w:asciiTheme="minorHAnsi" w:eastAsia="MS Mincho" w:hAnsiTheme="minorHAnsi" w:cstheme="minorHAnsi"/>
        </w:rPr>
        <w:t xml:space="preserve"> le Document C21/72, qui </w:t>
      </w:r>
      <w:r w:rsidR="00B94189" w:rsidRPr="0058490E">
        <w:rPr>
          <w:rFonts w:asciiTheme="minorHAnsi" w:eastAsia="MS Mincho" w:hAnsiTheme="minorHAnsi" w:cstheme="minorHAnsi"/>
        </w:rPr>
        <w:t xml:space="preserve">contient une mise à jour de </w:t>
      </w:r>
      <w:r w:rsidRPr="0058490E">
        <w:rPr>
          <w:rFonts w:asciiTheme="minorHAnsi" w:eastAsia="MS Mincho" w:hAnsiTheme="minorHAnsi" w:cstheme="minorHAnsi"/>
        </w:rPr>
        <w:t xml:space="preserve">la politique </w:t>
      </w:r>
      <w:r w:rsidR="00B94189" w:rsidRPr="0058490E">
        <w:rPr>
          <w:rFonts w:asciiTheme="minorHAnsi" w:eastAsia="MS Mincho" w:hAnsiTheme="minorHAnsi" w:cstheme="minorHAnsi"/>
        </w:rPr>
        <w:t xml:space="preserve">de l'UIT en matière </w:t>
      </w:r>
      <w:r w:rsidRPr="0058490E">
        <w:rPr>
          <w:rFonts w:asciiTheme="minorHAnsi" w:eastAsia="MS Mincho" w:hAnsiTheme="minorHAnsi" w:cstheme="minorHAnsi"/>
        </w:rPr>
        <w:t>d'accessibilité</w:t>
      </w:r>
      <w:r w:rsidR="00B94189" w:rsidRPr="0058490E">
        <w:rPr>
          <w:rFonts w:asciiTheme="minorHAnsi" w:eastAsia="MS Mincho" w:hAnsiTheme="minorHAnsi" w:cstheme="minorHAnsi"/>
        </w:rPr>
        <w:t>,</w:t>
      </w:r>
      <w:r w:rsidRPr="0058490E">
        <w:rPr>
          <w:rFonts w:asciiTheme="minorHAnsi" w:eastAsia="MS Mincho" w:hAnsiTheme="minorHAnsi" w:cstheme="minorHAnsi"/>
        </w:rPr>
        <w:t xml:space="preserve"> approuvée par le Conseil</w:t>
      </w:r>
      <w:r w:rsidR="004B2EE7" w:rsidRPr="0058490E">
        <w:rPr>
          <w:rFonts w:asciiTheme="minorHAnsi" w:eastAsia="MS Mincho" w:hAnsiTheme="minorHAnsi" w:cstheme="minorHAnsi"/>
        </w:rPr>
        <w:t xml:space="preserve"> à sa session de </w:t>
      </w:r>
      <w:r w:rsidR="00B94189" w:rsidRPr="0058490E">
        <w:rPr>
          <w:rFonts w:asciiTheme="minorHAnsi" w:eastAsia="MS Mincho" w:hAnsiTheme="minorHAnsi" w:cstheme="minorHAnsi"/>
        </w:rPr>
        <w:t>2013</w:t>
      </w:r>
      <w:r w:rsidRPr="0058490E">
        <w:rPr>
          <w:rFonts w:asciiTheme="minorHAnsi" w:eastAsia="MS Mincho" w:hAnsiTheme="minorHAnsi" w:cstheme="minorHAnsi"/>
        </w:rPr>
        <w:t xml:space="preserve">. Cette politique actualisée tient compte des </w:t>
      </w:r>
      <w:r w:rsidR="00B94189" w:rsidRPr="0058490E">
        <w:rPr>
          <w:rFonts w:asciiTheme="minorHAnsi" w:eastAsia="MS Mincho" w:hAnsiTheme="minorHAnsi" w:cstheme="minorHAnsi"/>
        </w:rPr>
        <w:t xml:space="preserve">faits nouveaux observés </w:t>
      </w:r>
      <w:r w:rsidRPr="0058490E">
        <w:rPr>
          <w:rFonts w:asciiTheme="minorHAnsi" w:eastAsia="MS Mincho" w:hAnsiTheme="minorHAnsi" w:cstheme="minorHAnsi"/>
        </w:rPr>
        <w:t xml:space="preserve">et, au-delà du simple fait de rendre l'UIT plus accessible, vise à rendre les TIC plus accessibles et à promouvoir l'autonomisation des personnes handicapées grâce à l'utilisation des TIC dans le monde entier. Elle définit des buts et des objectifs à mettre en œuvre dans le cadre d'une stratégie d'accessibilité, qui sera élaborée avant la fin 2021. Il s'agit notamment de rendre les installations et les manifestations de l'UIT accessibles par divers moyens, de sensibiliser davantage le personnel et la direction, de veiller à ce que les informations de l'UIT soient accessibles sous forme numérique et d'intégrer l'accessibilité en prévoyant des ressources appropriées pour </w:t>
      </w:r>
      <w:r w:rsidR="00B94189" w:rsidRPr="0058490E">
        <w:rPr>
          <w:rFonts w:asciiTheme="minorHAnsi" w:eastAsia="MS Mincho" w:hAnsiTheme="minorHAnsi" w:cstheme="minorHAnsi"/>
        </w:rPr>
        <w:t xml:space="preserve">appuyer </w:t>
      </w:r>
      <w:r w:rsidRPr="0058490E">
        <w:rPr>
          <w:rFonts w:asciiTheme="minorHAnsi" w:eastAsia="MS Mincho" w:hAnsiTheme="minorHAnsi" w:cstheme="minorHAnsi"/>
        </w:rPr>
        <w:t xml:space="preserve">les activités connexes. Les États </w:t>
      </w:r>
      <w:r w:rsidR="00B94189" w:rsidRPr="0058490E">
        <w:rPr>
          <w:rFonts w:asciiTheme="minorHAnsi" w:eastAsia="MS Mincho" w:hAnsiTheme="minorHAnsi" w:cstheme="minorHAnsi"/>
        </w:rPr>
        <w:t>M</w:t>
      </w:r>
      <w:r w:rsidRPr="0058490E">
        <w:rPr>
          <w:rFonts w:asciiTheme="minorHAnsi" w:eastAsia="MS Mincho" w:hAnsiTheme="minorHAnsi" w:cstheme="minorHAnsi"/>
        </w:rPr>
        <w:t xml:space="preserve">embres </w:t>
      </w:r>
      <w:r w:rsidR="00C61E44" w:rsidRPr="0058490E">
        <w:rPr>
          <w:rFonts w:asciiTheme="minorHAnsi" w:eastAsia="MS Mincho" w:hAnsiTheme="minorHAnsi" w:cstheme="minorHAnsi"/>
        </w:rPr>
        <w:t>s</w:t>
      </w:r>
      <w:r w:rsidRPr="0058490E">
        <w:rPr>
          <w:rFonts w:asciiTheme="minorHAnsi" w:eastAsia="MS Mincho" w:hAnsiTheme="minorHAnsi" w:cstheme="minorHAnsi"/>
        </w:rPr>
        <w:t>ont invités à contribuer à la mise en œuvre de cette politique par le biais du Fonds d'affectation spéciale de l'UIT pour l'accessibilité, non réapprovisionné depuis 2018.</w:t>
      </w:r>
    </w:p>
    <w:p w14:paraId="0D77F3BB" w14:textId="137D2923"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4.2</w:t>
      </w:r>
      <w:r w:rsidRPr="0058490E">
        <w:rPr>
          <w:rFonts w:asciiTheme="minorHAnsi" w:eastAsia="MS Mincho" w:hAnsiTheme="minorHAnsi" w:cstheme="minorHAnsi"/>
        </w:rPr>
        <w:tab/>
        <w:t xml:space="preserve">Deux </w:t>
      </w:r>
      <w:r w:rsidR="00B94189" w:rsidRPr="0058490E">
        <w:rPr>
          <w:rFonts w:asciiTheme="minorHAnsi" w:eastAsia="MS Mincho" w:hAnsiTheme="minorHAnsi" w:cstheme="minorHAnsi"/>
        </w:rPr>
        <w:t>C</w:t>
      </w:r>
      <w:r w:rsidRPr="0058490E">
        <w:rPr>
          <w:rFonts w:asciiTheme="minorHAnsi" w:eastAsia="MS Mincho" w:hAnsiTheme="minorHAnsi" w:cstheme="minorHAnsi"/>
        </w:rPr>
        <w:t>onseill</w:t>
      </w:r>
      <w:r w:rsidR="00B94189" w:rsidRPr="0058490E">
        <w:rPr>
          <w:rFonts w:asciiTheme="minorHAnsi" w:eastAsia="MS Mincho" w:hAnsiTheme="minorHAnsi" w:cstheme="minorHAnsi"/>
        </w:rPr>
        <w:t>è</w:t>
      </w:r>
      <w:r w:rsidRPr="0058490E">
        <w:rPr>
          <w:rFonts w:asciiTheme="minorHAnsi" w:eastAsia="MS Mincho" w:hAnsiTheme="minorHAnsi" w:cstheme="minorHAnsi"/>
        </w:rPr>
        <w:t>r</w:t>
      </w:r>
      <w:r w:rsidR="00B94189" w:rsidRPr="0058490E">
        <w:rPr>
          <w:rFonts w:asciiTheme="minorHAnsi" w:eastAsia="MS Mincho" w:hAnsiTheme="minorHAnsi" w:cstheme="minorHAnsi"/>
        </w:rPr>
        <w:t>e</w:t>
      </w:r>
      <w:r w:rsidRPr="0058490E">
        <w:rPr>
          <w:rFonts w:asciiTheme="minorHAnsi" w:eastAsia="MS Mincho" w:hAnsiTheme="minorHAnsi" w:cstheme="minorHAnsi"/>
        </w:rPr>
        <w:t xml:space="preserve">s </w:t>
      </w:r>
      <w:r w:rsidR="00B94189" w:rsidRPr="0058490E">
        <w:rPr>
          <w:rFonts w:asciiTheme="minorHAnsi" w:eastAsia="MS Mincho" w:hAnsiTheme="minorHAnsi" w:cstheme="minorHAnsi"/>
        </w:rPr>
        <w:t xml:space="preserve">indiquent </w:t>
      </w:r>
      <w:r w:rsidRPr="0058490E">
        <w:rPr>
          <w:rFonts w:asciiTheme="minorHAnsi" w:eastAsia="MS Mincho" w:hAnsiTheme="minorHAnsi" w:cstheme="minorHAnsi"/>
        </w:rPr>
        <w:t xml:space="preserve">que le document devrait faire référence à la fois aux personnes handicapées et aux personnes ayant des besoins </w:t>
      </w:r>
      <w:r w:rsidR="00B94189" w:rsidRPr="0058490E">
        <w:rPr>
          <w:rFonts w:asciiTheme="minorHAnsi" w:eastAsia="MS Mincho" w:hAnsiTheme="minorHAnsi" w:cstheme="minorHAnsi"/>
        </w:rPr>
        <w:t>particuliers</w:t>
      </w:r>
      <w:r w:rsidRPr="0058490E">
        <w:rPr>
          <w:rFonts w:asciiTheme="minorHAnsi" w:eastAsia="MS Mincho" w:hAnsiTheme="minorHAnsi" w:cstheme="minorHAnsi"/>
        </w:rPr>
        <w:t>, conformément à la Résolution 175 (Rév. Dubaï, 2018)</w:t>
      </w:r>
      <w:r w:rsidR="00B94189" w:rsidRPr="0058490E">
        <w:rPr>
          <w:rFonts w:asciiTheme="minorHAnsi" w:eastAsia="MS Mincho" w:hAnsiTheme="minorHAnsi" w:cstheme="minorHAnsi"/>
        </w:rPr>
        <w:t xml:space="preserve"> de la Conférence de plénipotentiaires</w:t>
      </w:r>
      <w:r w:rsidRPr="0058490E">
        <w:rPr>
          <w:rFonts w:asciiTheme="minorHAnsi" w:eastAsia="MS Mincho" w:hAnsiTheme="minorHAnsi" w:cstheme="minorHAnsi"/>
        </w:rPr>
        <w:t>.</w:t>
      </w:r>
    </w:p>
    <w:p w14:paraId="4DCE0A73" w14:textId="2B34943D"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4.3</w:t>
      </w:r>
      <w:r w:rsidRPr="0058490E">
        <w:rPr>
          <w:rFonts w:asciiTheme="minorHAnsi" w:eastAsia="MS Mincho" w:hAnsiTheme="minorHAnsi" w:cstheme="minorHAnsi"/>
        </w:rPr>
        <w:tab/>
        <w:t xml:space="preserve">Une </w:t>
      </w:r>
      <w:r w:rsidR="00B94189" w:rsidRPr="0058490E">
        <w:rPr>
          <w:rFonts w:asciiTheme="minorHAnsi" w:eastAsia="MS Mincho" w:hAnsiTheme="minorHAnsi" w:cstheme="minorHAnsi"/>
        </w:rPr>
        <w:t>C</w:t>
      </w:r>
      <w:r w:rsidRPr="0058490E">
        <w:rPr>
          <w:rFonts w:asciiTheme="minorHAnsi" w:eastAsia="MS Mincho" w:hAnsiTheme="minorHAnsi" w:cstheme="minorHAnsi"/>
        </w:rPr>
        <w:t>onseillère déclar</w:t>
      </w:r>
      <w:r w:rsidR="00B94189" w:rsidRPr="0058490E">
        <w:rPr>
          <w:rFonts w:asciiTheme="minorHAnsi" w:eastAsia="MS Mincho" w:hAnsiTheme="minorHAnsi" w:cstheme="minorHAnsi"/>
        </w:rPr>
        <w:t>e</w:t>
      </w:r>
      <w:r w:rsidRPr="0058490E">
        <w:rPr>
          <w:rFonts w:asciiTheme="minorHAnsi" w:eastAsia="MS Mincho" w:hAnsiTheme="minorHAnsi" w:cstheme="minorHAnsi"/>
        </w:rPr>
        <w:t xml:space="preserve"> que, conformément à sa stratégie globale, il </w:t>
      </w:r>
      <w:r w:rsidR="00B94189" w:rsidRPr="0058490E">
        <w:rPr>
          <w:rFonts w:asciiTheme="minorHAnsi" w:eastAsia="MS Mincho" w:hAnsiTheme="minorHAnsi" w:cstheme="minorHAnsi"/>
        </w:rPr>
        <w:t xml:space="preserve">est </w:t>
      </w:r>
      <w:r w:rsidRPr="0058490E">
        <w:rPr>
          <w:rFonts w:asciiTheme="minorHAnsi" w:eastAsia="MS Mincho" w:hAnsiTheme="minorHAnsi" w:cstheme="minorHAnsi"/>
        </w:rPr>
        <w:t xml:space="preserve">important que l'UIT cherche à </w:t>
      </w:r>
      <w:r w:rsidR="009A778F" w:rsidRPr="0058490E">
        <w:rPr>
          <w:rFonts w:asciiTheme="minorHAnsi" w:eastAsia="MS Mincho" w:hAnsiTheme="minorHAnsi" w:cstheme="minorHAnsi"/>
        </w:rPr>
        <w:t xml:space="preserve">favoriser </w:t>
      </w:r>
      <w:r w:rsidRPr="0058490E">
        <w:rPr>
          <w:rFonts w:asciiTheme="minorHAnsi" w:eastAsia="MS Mincho" w:hAnsiTheme="minorHAnsi" w:cstheme="minorHAnsi"/>
        </w:rPr>
        <w:t xml:space="preserve">la participation de personnes handicapées et de personnes ayant des besoins </w:t>
      </w:r>
      <w:proofErr w:type="gramStart"/>
      <w:r w:rsidR="00B94189" w:rsidRPr="0058490E">
        <w:rPr>
          <w:rFonts w:asciiTheme="minorHAnsi" w:eastAsia="MS Mincho" w:hAnsiTheme="minorHAnsi" w:cstheme="minorHAnsi"/>
        </w:rPr>
        <w:t>particuliers</w:t>
      </w:r>
      <w:r w:rsidRPr="0058490E">
        <w:rPr>
          <w:rFonts w:asciiTheme="minorHAnsi" w:eastAsia="MS Mincho" w:hAnsiTheme="minorHAnsi" w:cstheme="minorHAnsi"/>
        </w:rPr>
        <w:t>;</w:t>
      </w:r>
      <w:proofErr w:type="gramEnd"/>
      <w:r w:rsidRPr="0058490E">
        <w:rPr>
          <w:rFonts w:asciiTheme="minorHAnsi" w:eastAsia="MS Mincho" w:hAnsiTheme="minorHAnsi" w:cstheme="minorHAnsi"/>
        </w:rPr>
        <w:t xml:space="preserve"> cet aspect devrait être un élément de sa politique. Se référant à l'annexe, elle </w:t>
      </w:r>
      <w:r w:rsidRPr="0058490E">
        <w:rPr>
          <w:rFonts w:asciiTheme="minorHAnsi" w:eastAsia="MS Mincho" w:hAnsiTheme="minorHAnsi" w:cstheme="minorHAnsi"/>
          <w:spacing w:val="-2"/>
        </w:rPr>
        <w:t>demand</w:t>
      </w:r>
      <w:r w:rsidR="00B94189" w:rsidRPr="0058490E">
        <w:rPr>
          <w:rFonts w:asciiTheme="minorHAnsi" w:eastAsia="MS Mincho" w:hAnsiTheme="minorHAnsi" w:cstheme="minorHAnsi"/>
          <w:spacing w:val="-2"/>
        </w:rPr>
        <w:t>e</w:t>
      </w:r>
      <w:r w:rsidRPr="0058490E">
        <w:rPr>
          <w:rFonts w:asciiTheme="minorHAnsi" w:eastAsia="MS Mincho" w:hAnsiTheme="minorHAnsi" w:cstheme="minorHAnsi"/>
          <w:spacing w:val="-2"/>
        </w:rPr>
        <w:t xml:space="preserve"> quels fonds budgétaires ser</w:t>
      </w:r>
      <w:r w:rsidR="00B94189" w:rsidRPr="0058490E">
        <w:rPr>
          <w:rFonts w:asciiTheme="minorHAnsi" w:eastAsia="MS Mincho" w:hAnsiTheme="minorHAnsi" w:cstheme="minorHAnsi"/>
          <w:spacing w:val="-2"/>
        </w:rPr>
        <w:t>o</w:t>
      </w:r>
      <w:r w:rsidRPr="0058490E">
        <w:rPr>
          <w:rFonts w:asciiTheme="minorHAnsi" w:eastAsia="MS Mincho" w:hAnsiTheme="minorHAnsi" w:cstheme="minorHAnsi"/>
          <w:spacing w:val="-2"/>
        </w:rPr>
        <w:t xml:space="preserve">nt alloués à des activités spécifiques </w:t>
      </w:r>
      <w:r w:rsidR="00B94189" w:rsidRPr="0058490E">
        <w:rPr>
          <w:rFonts w:asciiTheme="minorHAnsi" w:eastAsia="MS Mincho" w:hAnsiTheme="minorHAnsi" w:cstheme="minorHAnsi"/>
          <w:spacing w:val="-2"/>
        </w:rPr>
        <w:t>au titre</w:t>
      </w:r>
      <w:r w:rsidR="005E50D4" w:rsidRPr="0058490E">
        <w:rPr>
          <w:rFonts w:asciiTheme="minorHAnsi" w:eastAsia="MS Mincho" w:hAnsiTheme="minorHAnsi" w:cstheme="minorHAnsi"/>
          <w:spacing w:val="-2"/>
        </w:rPr>
        <w:t xml:space="preserve"> des programmes</w:t>
      </w:r>
      <w:r w:rsidR="005E50D4" w:rsidRPr="0058490E">
        <w:rPr>
          <w:rFonts w:asciiTheme="minorHAnsi" w:eastAsia="MS Mincho" w:hAnsiTheme="minorHAnsi" w:cstheme="minorHAnsi"/>
        </w:rPr>
        <w:t xml:space="preserve"> </w:t>
      </w:r>
      <w:r w:rsidRPr="0058490E">
        <w:rPr>
          <w:rFonts w:asciiTheme="minorHAnsi" w:eastAsia="MS Mincho" w:hAnsiTheme="minorHAnsi" w:cstheme="minorHAnsi"/>
        </w:rPr>
        <w:lastRenderedPageBreak/>
        <w:t xml:space="preserve">pour ces personnes et </w:t>
      </w:r>
      <w:r w:rsidR="00B94189" w:rsidRPr="0058490E">
        <w:rPr>
          <w:rFonts w:asciiTheme="minorHAnsi" w:eastAsia="MS Mincho" w:hAnsiTheme="minorHAnsi" w:cstheme="minorHAnsi"/>
        </w:rPr>
        <w:t xml:space="preserve">sollicite </w:t>
      </w:r>
      <w:r w:rsidRPr="0058490E">
        <w:rPr>
          <w:rFonts w:asciiTheme="minorHAnsi" w:eastAsia="MS Mincho" w:hAnsiTheme="minorHAnsi" w:cstheme="minorHAnsi"/>
        </w:rPr>
        <w:t>des précisions concernant la référence à une ligne budgétaire à garantir.</w:t>
      </w:r>
    </w:p>
    <w:p w14:paraId="7473BC7C" w14:textId="65538E29"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4.4</w:t>
      </w:r>
      <w:r w:rsidRPr="0058490E">
        <w:rPr>
          <w:rFonts w:asciiTheme="minorHAnsi" w:eastAsia="MS Mincho" w:hAnsiTheme="minorHAnsi" w:cstheme="minorHAnsi"/>
        </w:rPr>
        <w:tab/>
        <w:t>L</w:t>
      </w:r>
      <w:r w:rsidR="005E50D4" w:rsidRPr="0058490E">
        <w:rPr>
          <w:rFonts w:asciiTheme="minorHAnsi" w:eastAsia="MS Mincho" w:hAnsiTheme="minorHAnsi" w:cstheme="minorHAnsi"/>
        </w:rPr>
        <w:t>e</w:t>
      </w:r>
      <w:r w:rsidRPr="0058490E">
        <w:rPr>
          <w:rFonts w:asciiTheme="minorHAnsi" w:eastAsia="MS Mincho" w:hAnsiTheme="minorHAnsi" w:cstheme="minorHAnsi"/>
        </w:rPr>
        <w:t xml:space="preserve"> représentant du Secrétariat général </w:t>
      </w:r>
      <w:r w:rsidR="005E50D4" w:rsidRPr="0058490E">
        <w:rPr>
          <w:rFonts w:asciiTheme="minorHAnsi" w:eastAsia="MS Mincho" w:hAnsiTheme="minorHAnsi" w:cstheme="minorHAnsi"/>
        </w:rPr>
        <w:t>fai</w:t>
      </w:r>
      <w:r w:rsidR="009A778F" w:rsidRPr="0058490E">
        <w:rPr>
          <w:rFonts w:asciiTheme="minorHAnsi" w:eastAsia="MS Mincho" w:hAnsiTheme="minorHAnsi" w:cstheme="minorHAnsi"/>
        </w:rPr>
        <w:t>t</w:t>
      </w:r>
      <w:r w:rsidR="005E50D4" w:rsidRPr="0058490E">
        <w:rPr>
          <w:rFonts w:asciiTheme="minorHAnsi" w:eastAsia="MS Mincho" w:hAnsiTheme="minorHAnsi" w:cstheme="minorHAnsi"/>
        </w:rPr>
        <w:t xml:space="preserve"> savoir </w:t>
      </w:r>
      <w:r w:rsidRPr="0058490E">
        <w:rPr>
          <w:rFonts w:asciiTheme="minorHAnsi" w:eastAsia="MS Mincho" w:hAnsiTheme="minorHAnsi" w:cstheme="minorHAnsi"/>
        </w:rPr>
        <w:t xml:space="preserve">que la terminologie utilisée dans la politique sera mise à jour pour tenir compte des préoccupations soulevées. Toutes les personnes, y compris celles qui sont handicapées ou qui ont des besoins </w:t>
      </w:r>
      <w:r w:rsidR="005E50D4" w:rsidRPr="0058490E">
        <w:rPr>
          <w:rFonts w:asciiTheme="minorHAnsi" w:eastAsia="MS Mincho" w:hAnsiTheme="minorHAnsi" w:cstheme="minorHAnsi"/>
        </w:rPr>
        <w:t>particuliers</w:t>
      </w:r>
      <w:r w:rsidRPr="0058490E">
        <w:rPr>
          <w:rFonts w:asciiTheme="minorHAnsi" w:eastAsia="MS Mincho" w:hAnsiTheme="minorHAnsi" w:cstheme="minorHAnsi"/>
        </w:rPr>
        <w:t xml:space="preserve">, sont invitées aux réunions de l'UIT, et un </w:t>
      </w:r>
      <w:r w:rsidR="005E50D4" w:rsidRPr="0058490E">
        <w:rPr>
          <w:rFonts w:asciiTheme="minorHAnsi" w:eastAsia="MS Mincho" w:hAnsiTheme="minorHAnsi" w:cstheme="minorHAnsi"/>
        </w:rPr>
        <w:t xml:space="preserve">groupe </w:t>
      </w:r>
      <w:r w:rsidRPr="0058490E">
        <w:rPr>
          <w:rFonts w:asciiTheme="minorHAnsi" w:eastAsia="MS Mincho" w:hAnsiTheme="minorHAnsi" w:cstheme="minorHAnsi"/>
        </w:rPr>
        <w:t xml:space="preserve">spécial du </w:t>
      </w:r>
      <w:r w:rsidR="005E50D4" w:rsidRPr="0058490E">
        <w:rPr>
          <w:rFonts w:asciiTheme="minorHAnsi" w:eastAsia="MS Mincho" w:hAnsiTheme="minorHAnsi" w:cstheme="minorHAnsi"/>
        </w:rPr>
        <w:t>s</w:t>
      </w:r>
      <w:r w:rsidRPr="0058490E">
        <w:rPr>
          <w:rFonts w:asciiTheme="minorHAnsi" w:eastAsia="MS Mincho" w:hAnsiTheme="minorHAnsi" w:cstheme="minorHAnsi"/>
        </w:rPr>
        <w:t xml:space="preserve">ecrétariat </w:t>
      </w:r>
      <w:r w:rsidR="005E50D4" w:rsidRPr="0058490E">
        <w:rPr>
          <w:rFonts w:asciiTheme="minorHAnsi" w:eastAsia="MS Mincho" w:hAnsiTheme="minorHAnsi" w:cstheme="minorHAnsi"/>
        </w:rPr>
        <w:t xml:space="preserve">réfléchit aux </w:t>
      </w:r>
      <w:r w:rsidRPr="0058490E">
        <w:rPr>
          <w:rFonts w:asciiTheme="minorHAnsi" w:eastAsia="MS Mincho" w:hAnsiTheme="minorHAnsi" w:cstheme="minorHAnsi"/>
        </w:rPr>
        <w:t xml:space="preserve">moyens d'améliorer l'accessibilité. </w:t>
      </w:r>
      <w:r w:rsidR="005E50D4" w:rsidRPr="0058490E">
        <w:rPr>
          <w:rFonts w:asciiTheme="minorHAnsi" w:eastAsia="MS Mincho" w:hAnsiTheme="minorHAnsi" w:cstheme="minorHAnsi"/>
        </w:rPr>
        <w:t>Dans l</w:t>
      </w:r>
      <w:r w:rsidRPr="0058490E">
        <w:rPr>
          <w:rFonts w:asciiTheme="minorHAnsi" w:eastAsia="MS Mincho" w:hAnsiTheme="minorHAnsi" w:cstheme="minorHAnsi"/>
        </w:rPr>
        <w:t xml:space="preserve">e budget </w:t>
      </w:r>
      <w:r w:rsidR="005E50D4" w:rsidRPr="0058490E">
        <w:rPr>
          <w:rFonts w:asciiTheme="minorHAnsi" w:eastAsia="MS Mincho" w:hAnsiTheme="minorHAnsi" w:cstheme="minorHAnsi"/>
        </w:rPr>
        <w:t xml:space="preserve">relatif aux </w:t>
      </w:r>
      <w:r w:rsidRPr="0058490E">
        <w:rPr>
          <w:rFonts w:asciiTheme="minorHAnsi" w:eastAsia="MS Mincho" w:hAnsiTheme="minorHAnsi" w:cstheme="minorHAnsi"/>
        </w:rPr>
        <w:t xml:space="preserve">activités </w:t>
      </w:r>
      <w:r w:rsidR="005E50D4" w:rsidRPr="0058490E">
        <w:rPr>
          <w:rFonts w:asciiTheme="minorHAnsi" w:eastAsia="MS Mincho" w:hAnsiTheme="minorHAnsi" w:cstheme="minorHAnsi"/>
        </w:rPr>
        <w:t>demandées mai</w:t>
      </w:r>
      <w:r w:rsidR="009A778F" w:rsidRPr="0058490E">
        <w:rPr>
          <w:rFonts w:asciiTheme="minorHAnsi" w:eastAsia="MS Mincho" w:hAnsiTheme="minorHAnsi" w:cstheme="minorHAnsi"/>
        </w:rPr>
        <w:t>s</w:t>
      </w:r>
      <w:r w:rsidR="005E50D4" w:rsidRPr="0058490E">
        <w:rPr>
          <w:rFonts w:asciiTheme="minorHAnsi" w:eastAsia="MS Mincho" w:hAnsiTheme="minorHAnsi" w:cstheme="minorHAnsi"/>
        </w:rPr>
        <w:t xml:space="preserve"> non </w:t>
      </w:r>
      <w:r w:rsidRPr="0058490E">
        <w:rPr>
          <w:rFonts w:asciiTheme="minorHAnsi" w:eastAsia="MS Mincho" w:hAnsiTheme="minorHAnsi" w:cstheme="minorHAnsi"/>
        </w:rPr>
        <w:t>financées</w:t>
      </w:r>
      <w:r w:rsidR="005E50D4" w:rsidRPr="0058490E">
        <w:rPr>
          <w:rFonts w:asciiTheme="minorHAnsi" w:eastAsia="MS Mincho" w:hAnsiTheme="minorHAnsi" w:cstheme="minorHAnsi"/>
        </w:rPr>
        <w:t>, figurent</w:t>
      </w:r>
      <w:r w:rsidRPr="0058490E">
        <w:rPr>
          <w:rFonts w:asciiTheme="minorHAnsi" w:eastAsia="MS Mincho" w:hAnsiTheme="minorHAnsi" w:cstheme="minorHAnsi"/>
        </w:rPr>
        <w:t xml:space="preserve"> des activités visant à rendre les réunions de l'UIT plus accessibles </w:t>
      </w:r>
      <w:r w:rsidR="005E50D4" w:rsidRPr="0058490E">
        <w:rPr>
          <w:rFonts w:asciiTheme="minorHAnsi" w:eastAsia="MS Mincho" w:hAnsiTheme="minorHAnsi" w:cstheme="minorHAnsi"/>
        </w:rPr>
        <w:t xml:space="preserve">pour les </w:t>
      </w:r>
      <w:r w:rsidRPr="0058490E">
        <w:rPr>
          <w:rFonts w:asciiTheme="minorHAnsi" w:eastAsia="MS Mincho" w:hAnsiTheme="minorHAnsi" w:cstheme="minorHAnsi"/>
        </w:rPr>
        <w:t>personnes handicapées, en complément d'autres activités financées dans tous les Secteurs et au Secrétariat général.</w:t>
      </w:r>
    </w:p>
    <w:p w14:paraId="19807EBD" w14:textId="7FF52947" w:rsidR="00071E14" w:rsidRPr="0058490E" w:rsidRDefault="00071E14"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4.5</w:t>
      </w:r>
      <w:r w:rsidRPr="0058490E">
        <w:rPr>
          <w:rFonts w:asciiTheme="minorHAnsi" w:eastAsia="MS Mincho" w:hAnsiTheme="minorHAnsi" w:cstheme="minorHAnsi"/>
        </w:rPr>
        <w:tab/>
      </w:r>
      <w:r w:rsidR="005E50D4" w:rsidRPr="0058490E">
        <w:rPr>
          <w:rFonts w:asciiTheme="minorHAnsi" w:eastAsia="MS Mincho" w:hAnsiTheme="minorHAnsi" w:cstheme="minorHAnsi"/>
        </w:rPr>
        <w:t xml:space="preserve">Après avoir noté </w:t>
      </w:r>
      <w:r w:rsidRPr="0058490E">
        <w:rPr>
          <w:rFonts w:asciiTheme="minorHAnsi" w:eastAsia="MS Mincho" w:hAnsiTheme="minorHAnsi" w:cstheme="minorHAnsi"/>
        </w:rPr>
        <w:t xml:space="preserve">que le titre du projet de politique sera mis à jour pour inclure les personnes ayant des besoins </w:t>
      </w:r>
      <w:r w:rsidR="005E50D4" w:rsidRPr="0058490E">
        <w:rPr>
          <w:rFonts w:asciiTheme="minorHAnsi" w:eastAsia="MS Mincho" w:hAnsiTheme="minorHAnsi" w:cstheme="minorHAnsi"/>
        </w:rPr>
        <w:t>particuliers, le Président</w:t>
      </w:r>
      <w:r w:rsidRPr="0058490E">
        <w:rPr>
          <w:rFonts w:asciiTheme="minorHAnsi" w:eastAsia="MS Mincho" w:hAnsiTheme="minorHAnsi" w:cstheme="minorHAnsi"/>
        </w:rPr>
        <w:t xml:space="preserve"> </w:t>
      </w:r>
      <w:r w:rsidR="005E50D4" w:rsidRPr="0058490E">
        <w:rPr>
          <w:rFonts w:asciiTheme="minorHAnsi" w:eastAsia="MS Mincho" w:hAnsiTheme="minorHAnsi" w:cstheme="minorHAnsi"/>
        </w:rPr>
        <w:t xml:space="preserve">déclare considérer </w:t>
      </w:r>
      <w:r w:rsidRPr="0058490E">
        <w:rPr>
          <w:rFonts w:asciiTheme="minorHAnsi" w:eastAsia="MS Mincho" w:hAnsiTheme="minorHAnsi" w:cstheme="minorHAnsi"/>
        </w:rPr>
        <w:t xml:space="preserve">que les Conseillers souhaitent conclure que, compte tenu </w:t>
      </w:r>
      <w:r w:rsidR="005E50D4" w:rsidRPr="0058490E">
        <w:rPr>
          <w:rFonts w:asciiTheme="minorHAnsi" w:eastAsia="MS Mincho" w:hAnsiTheme="minorHAnsi" w:cstheme="minorHAnsi"/>
        </w:rPr>
        <w:t xml:space="preserve">du caractère </w:t>
      </w:r>
      <w:r w:rsidRPr="0058490E">
        <w:rPr>
          <w:rFonts w:asciiTheme="minorHAnsi" w:eastAsia="MS Mincho" w:hAnsiTheme="minorHAnsi" w:cstheme="minorHAnsi"/>
        </w:rPr>
        <w:t>urgen</w:t>
      </w:r>
      <w:r w:rsidR="005E50D4" w:rsidRPr="0058490E">
        <w:rPr>
          <w:rFonts w:asciiTheme="minorHAnsi" w:eastAsia="MS Mincho" w:hAnsiTheme="minorHAnsi" w:cstheme="minorHAnsi"/>
        </w:rPr>
        <w:t>t</w:t>
      </w:r>
      <w:r w:rsidRPr="0058490E">
        <w:rPr>
          <w:rFonts w:asciiTheme="minorHAnsi" w:eastAsia="MS Mincho" w:hAnsiTheme="minorHAnsi" w:cstheme="minorHAnsi"/>
        </w:rPr>
        <w:t xml:space="preserve"> de ce point, une consultation par correspondance des </w:t>
      </w:r>
      <w:r w:rsidR="005E50D4" w:rsidRPr="0058490E">
        <w:rPr>
          <w:rFonts w:asciiTheme="minorHAnsi" w:eastAsia="MS Mincho" w:hAnsiTheme="minorHAnsi" w:cstheme="minorHAnsi"/>
        </w:rPr>
        <w:t>É</w:t>
      </w:r>
      <w:r w:rsidRPr="0058490E">
        <w:rPr>
          <w:rFonts w:asciiTheme="minorHAnsi" w:eastAsia="MS Mincho" w:hAnsiTheme="minorHAnsi" w:cstheme="minorHAnsi"/>
        </w:rPr>
        <w:t xml:space="preserve">tats Membres du Conseil sera </w:t>
      </w:r>
      <w:r w:rsidR="005E50D4" w:rsidRPr="0058490E">
        <w:rPr>
          <w:rFonts w:asciiTheme="minorHAnsi" w:eastAsia="MS Mincho" w:hAnsiTheme="minorHAnsi" w:cstheme="minorHAnsi"/>
        </w:rPr>
        <w:t xml:space="preserve">organisée </w:t>
      </w:r>
      <w:r w:rsidRPr="0058490E">
        <w:rPr>
          <w:rFonts w:asciiTheme="minorHAnsi" w:eastAsia="MS Mincho" w:hAnsiTheme="minorHAnsi" w:cstheme="minorHAnsi"/>
        </w:rPr>
        <w:t xml:space="preserve">pour approuver le projet de politique figurant dans l'annexe du Document C21/72, </w:t>
      </w:r>
      <w:r w:rsidR="005E50D4" w:rsidRPr="0058490E">
        <w:rPr>
          <w:rFonts w:asciiTheme="minorHAnsi" w:eastAsia="MS Mincho" w:hAnsiTheme="minorHAnsi" w:cstheme="minorHAnsi"/>
        </w:rPr>
        <w:t xml:space="preserve">moyennant </w:t>
      </w:r>
      <w:r w:rsidRPr="0058490E">
        <w:rPr>
          <w:rFonts w:asciiTheme="minorHAnsi" w:eastAsia="MS Mincho" w:hAnsiTheme="minorHAnsi" w:cstheme="minorHAnsi"/>
        </w:rPr>
        <w:t>cette modification.</w:t>
      </w:r>
    </w:p>
    <w:p w14:paraId="11A0A864" w14:textId="0066DCBB"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4.6</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conclu</w:t>
      </w:r>
      <w:r w:rsidR="007B0B01" w:rsidRPr="0058490E">
        <w:rPr>
          <w:rFonts w:asciiTheme="minorHAnsi" w:eastAsia="MS Mincho" w:hAnsiTheme="minorHAnsi" w:cstheme="minorHAnsi"/>
        </w:rPr>
        <w:t>.</w:t>
      </w:r>
    </w:p>
    <w:p w14:paraId="5B68B2B5" w14:textId="72E60ABD"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rPr>
      </w:pPr>
      <w:r w:rsidRPr="0058490E">
        <w:rPr>
          <w:rFonts w:asciiTheme="minorHAnsi" w:eastAsia="MS Mincho" w:hAnsiTheme="minorHAnsi" w:cstheme="minorHAnsi"/>
        </w:rPr>
        <w:t>5</w:t>
      </w:r>
      <w:r w:rsidRPr="0058490E">
        <w:rPr>
          <w:rFonts w:asciiTheme="minorHAnsi" w:eastAsia="MS Mincho" w:hAnsiTheme="minorHAnsi" w:cstheme="minorHAnsi"/>
        </w:rPr>
        <w:tab/>
      </w:r>
      <w:r w:rsidR="0071654C" w:rsidRPr="0058490E">
        <w:rPr>
          <w:rFonts w:asciiTheme="minorHAnsi" w:eastAsia="MS Mincho" w:hAnsiTheme="minorHAnsi" w:cstheme="minorHAnsi"/>
        </w:rPr>
        <w:t xml:space="preserve">Incidences de la pandémie de </w:t>
      </w:r>
      <w:r w:rsidR="006E23A5" w:rsidRPr="0058490E">
        <w:rPr>
          <w:rFonts w:asciiTheme="minorHAnsi" w:eastAsia="MS Mincho" w:hAnsiTheme="minorHAnsi" w:cstheme="minorHAnsi"/>
        </w:rPr>
        <w:t>COVID-</w:t>
      </w:r>
      <w:r w:rsidR="0071654C" w:rsidRPr="0058490E">
        <w:rPr>
          <w:rFonts w:asciiTheme="minorHAnsi" w:eastAsia="MS Mincho" w:hAnsiTheme="minorHAnsi" w:cstheme="minorHAnsi"/>
        </w:rPr>
        <w:t xml:space="preserve">19 sur le fonctionnement et les activités de l'UIT </w:t>
      </w:r>
      <w:r w:rsidRPr="0058490E">
        <w:rPr>
          <w:rFonts w:asciiTheme="minorHAnsi" w:eastAsia="MS Mincho" w:hAnsiTheme="minorHAnsi" w:cstheme="minorHAnsi"/>
        </w:rPr>
        <w:t xml:space="preserve">(Document </w:t>
      </w:r>
      <w:hyperlink r:id="rId22" w:history="1">
        <w:r w:rsidRPr="0058490E">
          <w:rPr>
            <w:rFonts w:asciiTheme="minorHAnsi" w:eastAsia="MS Mincho" w:hAnsiTheme="minorHAnsi" w:cstheme="minorHAnsi"/>
            <w:color w:val="0000FF"/>
            <w:u w:val="single"/>
            <w:lang w:eastAsia="en-GB"/>
          </w:rPr>
          <w:t>C21/74</w:t>
        </w:r>
      </w:hyperlink>
      <w:r w:rsidRPr="0058490E">
        <w:rPr>
          <w:rFonts w:asciiTheme="minorHAnsi" w:eastAsia="MS Mincho" w:hAnsiTheme="minorHAnsi" w:cstheme="minorHAnsi"/>
        </w:rPr>
        <w:t>)</w:t>
      </w:r>
    </w:p>
    <w:p w14:paraId="11A115D8" w14:textId="2E904F33"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5.1</w:t>
      </w:r>
      <w:r w:rsidRPr="0058490E">
        <w:rPr>
          <w:rFonts w:asciiTheme="minorHAnsi" w:eastAsia="MS Mincho" w:hAnsiTheme="minorHAnsi" w:cstheme="minorHAnsi"/>
        </w:rPr>
        <w:tab/>
        <w:t>Le représentant du Secrétariat général présent</w:t>
      </w:r>
      <w:r w:rsidR="003A1D3C" w:rsidRPr="0058490E">
        <w:rPr>
          <w:rFonts w:asciiTheme="minorHAnsi" w:eastAsia="MS Mincho" w:hAnsiTheme="minorHAnsi" w:cstheme="minorHAnsi"/>
        </w:rPr>
        <w:t>e</w:t>
      </w:r>
      <w:r w:rsidRPr="0058490E">
        <w:rPr>
          <w:rFonts w:asciiTheme="minorHAnsi" w:eastAsia="MS Mincho" w:hAnsiTheme="minorHAnsi" w:cstheme="minorHAnsi"/>
        </w:rPr>
        <w:t xml:space="preserve"> le Document C21/74, qui </w:t>
      </w:r>
      <w:r w:rsidR="003A1D3C" w:rsidRPr="0058490E">
        <w:rPr>
          <w:rFonts w:asciiTheme="minorHAnsi" w:eastAsia="MS Mincho" w:hAnsiTheme="minorHAnsi" w:cstheme="minorHAnsi"/>
        </w:rPr>
        <w:t>fait la synthèse d'</w:t>
      </w:r>
      <w:r w:rsidRPr="0058490E">
        <w:rPr>
          <w:rFonts w:asciiTheme="minorHAnsi" w:eastAsia="MS Mincho" w:hAnsiTheme="minorHAnsi" w:cstheme="minorHAnsi"/>
        </w:rPr>
        <w:t>une analyse préliminaire de</w:t>
      </w:r>
      <w:r w:rsidR="003A1D3C" w:rsidRPr="0058490E">
        <w:rPr>
          <w:rFonts w:asciiTheme="minorHAnsi" w:eastAsia="MS Mincho" w:hAnsiTheme="minorHAnsi" w:cstheme="minorHAnsi"/>
        </w:rPr>
        <w:t>s</w:t>
      </w:r>
      <w:r w:rsidRPr="0058490E">
        <w:rPr>
          <w:rFonts w:asciiTheme="minorHAnsi" w:eastAsia="MS Mincho" w:hAnsiTheme="minorHAnsi" w:cstheme="minorHAnsi"/>
        </w:rPr>
        <w:t xml:space="preserve"> incidence</w:t>
      </w:r>
      <w:r w:rsidR="003A1D3C" w:rsidRPr="0058490E">
        <w:rPr>
          <w:rFonts w:asciiTheme="minorHAnsi" w:eastAsia="MS Mincho" w:hAnsiTheme="minorHAnsi" w:cstheme="minorHAnsi"/>
        </w:rPr>
        <w:t>s</w:t>
      </w:r>
      <w:r w:rsidRPr="0058490E">
        <w:rPr>
          <w:rFonts w:asciiTheme="minorHAnsi" w:eastAsia="MS Mincho" w:hAnsiTheme="minorHAnsi" w:cstheme="minorHAnsi"/>
        </w:rPr>
        <w:t xml:space="preserve"> de la pandémie de COVID-19 sur certains domaines d'activité et </w:t>
      </w:r>
      <w:r w:rsidR="003A1D3C" w:rsidRPr="0058490E">
        <w:rPr>
          <w:rFonts w:asciiTheme="minorHAnsi" w:eastAsia="MS Mincho" w:hAnsiTheme="minorHAnsi" w:cstheme="minorHAnsi"/>
        </w:rPr>
        <w:t>l</w:t>
      </w:r>
      <w:r w:rsidRPr="0058490E">
        <w:rPr>
          <w:rFonts w:asciiTheme="minorHAnsi" w:eastAsia="MS Mincho" w:hAnsiTheme="minorHAnsi" w:cstheme="minorHAnsi"/>
        </w:rPr>
        <w:t xml:space="preserve">e fonctionnement de l'Union, </w:t>
      </w:r>
      <w:r w:rsidR="003A1D3C" w:rsidRPr="0058490E">
        <w:rPr>
          <w:rFonts w:asciiTheme="minorHAnsi" w:eastAsia="MS Mincho" w:hAnsiTheme="minorHAnsi" w:cstheme="minorHAnsi"/>
        </w:rPr>
        <w:t xml:space="preserve">et qui </w:t>
      </w:r>
      <w:r w:rsidRPr="0058490E">
        <w:rPr>
          <w:rFonts w:asciiTheme="minorHAnsi" w:eastAsia="MS Mincho" w:hAnsiTheme="minorHAnsi" w:cstheme="minorHAnsi"/>
        </w:rPr>
        <w:t>présent</w:t>
      </w:r>
      <w:r w:rsidR="003A1D3C" w:rsidRPr="0058490E">
        <w:rPr>
          <w:rFonts w:asciiTheme="minorHAnsi" w:eastAsia="MS Mincho" w:hAnsiTheme="minorHAnsi" w:cstheme="minorHAnsi"/>
        </w:rPr>
        <w:t>e</w:t>
      </w:r>
      <w:r w:rsidRPr="0058490E">
        <w:rPr>
          <w:rFonts w:asciiTheme="minorHAnsi" w:eastAsia="MS Mincho" w:hAnsiTheme="minorHAnsi" w:cstheme="minorHAnsi"/>
        </w:rPr>
        <w:t xml:space="preserve"> </w:t>
      </w:r>
      <w:r w:rsidR="003A1D3C" w:rsidRPr="0058490E">
        <w:rPr>
          <w:rFonts w:asciiTheme="minorHAnsi" w:eastAsia="MS Mincho" w:hAnsiTheme="minorHAnsi" w:cstheme="minorHAnsi"/>
        </w:rPr>
        <w:t>l</w:t>
      </w:r>
      <w:r w:rsidRPr="0058490E">
        <w:rPr>
          <w:rFonts w:asciiTheme="minorHAnsi" w:eastAsia="MS Mincho" w:hAnsiTheme="minorHAnsi" w:cstheme="minorHAnsi"/>
        </w:rPr>
        <w:t xml:space="preserve">es faits, </w:t>
      </w:r>
      <w:r w:rsidR="003A1D3C" w:rsidRPr="0058490E">
        <w:rPr>
          <w:rFonts w:asciiTheme="minorHAnsi" w:eastAsia="MS Mincho" w:hAnsiTheme="minorHAnsi" w:cstheme="minorHAnsi"/>
        </w:rPr>
        <w:t xml:space="preserve">souligne </w:t>
      </w:r>
      <w:r w:rsidRPr="0058490E">
        <w:rPr>
          <w:rFonts w:asciiTheme="minorHAnsi" w:eastAsia="MS Mincho" w:hAnsiTheme="minorHAnsi" w:cstheme="minorHAnsi"/>
        </w:rPr>
        <w:t xml:space="preserve">les enseignements tirés et </w:t>
      </w:r>
      <w:r w:rsidR="003A1D3C" w:rsidRPr="0058490E">
        <w:rPr>
          <w:rFonts w:asciiTheme="minorHAnsi" w:eastAsia="MS Mincho" w:hAnsiTheme="minorHAnsi" w:cstheme="minorHAnsi"/>
        </w:rPr>
        <w:t xml:space="preserve">met l'accent sur </w:t>
      </w:r>
      <w:r w:rsidRPr="0058490E">
        <w:rPr>
          <w:rFonts w:asciiTheme="minorHAnsi" w:eastAsia="MS Mincho" w:hAnsiTheme="minorHAnsi" w:cstheme="minorHAnsi"/>
        </w:rPr>
        <w:t>certains aspects qui pourraient rendre l'UIT plus résiliente et plus durable à l'avenir.</w:t>
      </w:r>
    </w:p>
    <w:p w14:paraId="6BCFBE7B" w14:textId="0A3C617B"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5.2</w:t>
      </w:r>
      <w:r w:rsidRPr="0058490E">
        <w:rPr>
          <w:rFonts w:asciiTheme="minorHAnsi" w:eastAsia="MS Mincho" w:hAnsiTheme="minorHAnsi" w:cstheme="minorHAnsi"/>
        </w:rPr>
        <w:tab/>
        <w:t xml:space="preserve">Au cours des débats, les </w:t>
      </w:r>
      <w:r w:rsidR="003A1D3C" w:rsidRPr="0058490E">
        <w:rPr>
          <w:rFonts w:asciiTheme="minorHAnsi" w:eastAsia="MS Mincho" w:hAnsiTheme="minorHAnsi" w:cstheme="minorHAnsi"/>
        </w:rPr>
        <w:t>C</w:t>
      </w:r>
      <w:r w:rsidRPr="0058490E">
        <w:rPr>
          <w:rFonts w:asciiTheme="minorHAnsi" w:eastAsia="MS Mincho" w:hAnsiTheme="minorHAnsi" w:cstheme="minorHAnsi"/>
        </w:rPr>
        <w:t>onseillers se félicit</w:t>
      </w:r>
      <w:r w:rsidR="00E27D50" w:rsidRPr="0058490E">
        <w:rPr>
          <w:rFonts w:asciiTheme="minorHAnsi" w:eastAsia="MS Mincho" w:hAnsiTheme="minorHAnsi" w:cstheme="minorHAnsi"/>
        </w:rPr>
        <w:t>ent</w:t>
      </w:r>
      <w:r w:rsidRPr="0058490E">
        <w:rPr>
          <w:rFonts w:asciiTheme="minorHAnsi" w:eastAsia="MS Mincho" w:hAnsiTheme="minorHAnsi" w:cstheme="minorHAnsi"/>
        </w:rPr>
        <w:t xml:space="preserve"> du rôle joué par l'Union </w:t>
      </w:r>
      <w:r w:rsidR="00E27D50" w:rsidRPr="0058490E">
        <w:rPr>
          <w:rFonts w:asciiTheme="minorHAnsi" w:eastAsia="MS Mincho" w:hAnsiTheme="minorHAnsi" w:cstheme="minorHAnsi"/>
        </w:rPr>
        <w:t xml:space="preserve">pendant </w:t>
      </w:r>
      <w:r w:rsidRPr="0058490E">
        <w:rPr>
          <w:rFonts w:asciiTheme="minorHAnsi" w:eastAsia="MS Mincho" w:hAnsiTheme="minorHAnsi" w:cstheme="minorHAnsi"/>
        </w:rPr>
        <w:t xml:space="preserve">la </w:t>
      </w:r>
      <w:proofErr w:type="gramStart"/>
      <w:r w:rsidRPr="0058490E">
        <w:rPr>
          <w:rFonts w:asciiTheme="minorHAnsi" w:eastAsia="MS Mincho" w:hAnsiTheme="minorHAnsi" w:cstheme="minorHAnsi"/>
        </w:rPr>
        <w:t>pandémie;</w:t>
      </w:r>
      <w:proofErr w:type="gramEnd"/>
      <w:r w:rsidRPr="0058490E">
        <w:rPr>
          <w:rFonts w:asciiTheme="minorHAnsi" w:eastAsia="MS Mincho" w:hAnsiTheme="minorHAnsi" w:cstheme="minorHAnsi"/>
        </w:rPr>
        <w:t xml:space="preserve"> il convient de renforcer le rôle de </w:t>
      </w:r>
      <w:r w:rsidR="003A1D3C" w:rsidRPr="0058490E">
        <w:rPr>
          <w:rFonts w:asciiTheme="minorHAnsi" w:eastAsia="MS Mincho" w:hAnsiTheme="minorHAnsi" w:cstheme="minorHAnsi"/>
        </w:rPr>
        <w:t xml:space="preserve">premier plan </w:t>
      </w:r>
      <w:r w:rsidR="00E27D50" w:rsidRPr="0058490E">
        <w:rPr>
          <w:rFonts w:asciiTheme="minorHAnsi" w:eastAsia="MS Mincho" w:hAnsiTheme="minorHAnsi" w:cstheme="minorHAnsi"/>
        </w:rPr>
        <w:t xml:space="preserve">de </w:t>
      </w:r>
      <w:r w:rsidRPr="0058490E">
        <w:rPr>
          <w:rFonts w:asciiTheme="minorHAnsi" w:eastAsia="MS Mincho" w:hAnsiTheme="minorHAnsi" w:cstheme="minorHAnsi"/>
        </w:rPr>
        <w:t>l'UIT dans la préparation et l</w:t>
      </w:r>
      <w:r w:rsidR="003A1D3C" w:rsidRPr="0058490E">
        <w:rPr>
          <w:rFonts w:asciiTheme="minorHAnsi" w:eastAsia="MS Mincho" w:hAnsiTheme="minorHAnsi" w:cstheme="minorHAnsi"/>
        </w:rPr>
        <w:t>a fourniture d</w:t>
      </w:r>
      <w:r w:rsidRPr="0058490E">
        <w:rPr>
          <w:rFonts w:asciiTheme="minorHAnsi" w:eastAsia="MS Mincho" w:hAnsiTheme="minorHAnsi" w:cstheme="minorHAnsi"/>
        </w:rPr>
        <w:t>'</w:t>
      </w:r>
      <w:r w:rsidR="003A1D3C" w:rsidRPr="0058490E">
        <w:rPr>
          <w:rFonts w:asciiTheme="minorHAnsi" w:eastAsia="MS Mincho" w:hAnsiTheme="minorHAnsi" w:cstheme="minorHAnsi"/>
        </w:rPr>
        <w:t xml:space="preserve">un </w:t>
      </w:r>
      <w:r w:rsidRPr="0058490E">
        <w:rPr>
          <w:rFonts w:asciiTheme="minorHAnsi" w:eastAsia="MS Mincho" w:hAnsiTheme="minorHAnsi" w:cstheme="minorHAnsi"/>
        </w:rPr>
        <w:t xml:space="preserve">appui </w:t>
      </w:r>
      <w:r w:rsidR="003A1D3C" w:rsidRPr="0058490E">
        <w:rPr>
          <w:rFonts w:asciiTheme="minorHAnsi" w:eastAsia="MS Mincho" w:hAnsiTheme="minorHAnsi" w:cstheme="minorHAnsi"/>
        </w:rPr>
        <w:t xml:space="preserve">pour faire face aux </w:t>
      </w:r>
      <w:r w:rsidRPr="0058490E">
        <w:rPr>
          <w:rFonts w:asciiTheme="minorHAnsi" w:eastAsia="MS Mincho" w:hAnsiTheme="minorHAnsi" w:cstheme="minorHAnsi"/>
        </w:rPr>
        <w:t xml:space="preserve">futures situations d'urgence. La pandémie a mis en évidence l'importance des TIC dans tous les aspects </w:t>
      </w:r>
      <w:r w:rsidR="003A1D3C" w:rsidRPr="0058490E">
        <w:rPr>
          <w:rFonts w:asciiTheme="minorHAnsi" w:eastAsia="MS Mincho" w:hAnsiTheme="minorHAnsi" w:cstheme="minorHAnsi"/>
        </w:rPr>
        <w:t>du quotidien</w:t>
      </w:r>
      <w:r w:rsidRPr="0058490E">
        <w:rPr>
          <w:rFonts w:asciiTheme="minorHAnsi" w:eastAsia="MS Mincho" w:hAnsiTheme="minorHAnsi" w:cstheme="minorHAnsi"/>
        </w:rPr>
        <w:t xml:space="preserve">, mais elle a également révélé </w:t>
      </w:r>
      <w:r w:rsidR="003A1D3C" w:rsidRPr="0058490E">
        <w:rPr>
          <w:rFonts w:asciiTheme="minorHAnsi" w:eastAsia="MS Mincho" w:hAnsiTheme="minorHAnsi" w:cstheme="minorHAnsi"/>
        </w:rPr>
        <w:t>l</w:t>
      </w:r>
      <w:r w:rsidRPr="0058490E">
        <w:rPr>
          <w:rFonts w:asciiTheme="minorHAnsi" w:eastAsia="MS Mincho" w:hAnsiTheme="minorHAnsi" w:cstheme="minorHAnsi"/>
        </w:rPr>
        <w:t xml:space="preserve">es inégalités </w:t>
      </w:r>
      <w:r w:rsidR="003A1D3C" w:rsidRPr="0058490E">
        <w:rPr>
          <w:rFonts w:asciiTheme="minorHAnsi" w:eastAsia="MS Mincho" w:hAnsiTheme="minorHAnsi" w:cstheme="minorHAnsi"/>
        </w:rPr>
        <w:t xml:space="preserve">qui existent dans le domaine du </w:t>
      </w:r>
      <w:r w:rsidRPr="0058490E">
        <w:rPr>
          <w:rFonts w:asciiTheme="minorHAnsi" w:eastAsia="MS Mincho" w:hAnsiTheme="minorHAnsi" w:cstheme="minorHAnsi"/>
        </w:rPr>
        <w:t xml:space="preserve">numérique </w:t>
      </w:r>
      <w:r w:rsidR="003A1D3C" w:rsidRPr="0058490E">
        <w:rPr>
          <w:rFonts w:asciiTheme="minorHAnsi" w:eastAsia="MS Mincho" w:hAnsiTheme="minorHAnsi" w:cstheme="minorHAnsi"/>
        </w:rPr>
        <w:t xml:space="preserve">à </w:t>
      </w:r>
      <w:r w:rsidR="001E22E3" w:rsidRPr="0058490E">
        <w:rPr>
          <w:rFonts w:asciiTheme="minorHAnsi" w:eastAsia="MS Mincho" w:hAnsiTheme="minorHAnsi" w:cstheme="minorHAnsi"/>
        </w:rPr>
        <w:t xml:space="preserve">travers le </w:t>
      </w:r>
      <w:r w:rsidR="003A1D3C" w:rsidRPr="0058490E">
        <w:rPr>
          <w:rFonts w:asciiTheme="minorHAnsi" w:eastAsia="MS Mincho" w:hAnsiTheme="minorHAnsi" w:cstheme="minorHAnsi"/>
        </w:rPr>
        <w:t>monde</w:t>
      </w:r>
      <w:r w:rsidRPr="0058490E">
        <w:rPr>
          <w:rFonts w:asciiTheme="minorHAnsi" w:eastAsia="MS Mincho" w:hAnsiTheme="minorHAnsi" w:cstheme="minorHAnsi"/>
        </w:rPr>
        <w:t xml:space="preserve">. Des efforts doivent être déployés au niveau mondial pour </w:t>
      </w:r>
      <w:r w:rsidR="001E22E3" w:rsidRPr="0058490E">
        <w:rPr>
          <w:rFonts w:asciiTheme="minorHAnsi" w:eastAsia="MS Mincho" w:hAnsiTheme="minorHAnsi" w:cstheme="minorHAnsi"/>
        </w:rPr>
        <w:t xml:space="preserve">réduire </w:t>
      </w:r>
      <w:r w:rsidRPr="0058490E">
        <w:rPr>
          <w:rFonts w:asciiTheme="minorHAnsi" w:eastAsia="MS Mincho" w:hAnsiTheme="minorHAnsi" w:cstheme="minorHAnsi"/>
        </w:rPr>
        <w:t xml:space="preserve">la fracture numérique et parvenir à une croissance durable après la pandémie. L'UIT pourrait étudier la mise en place d'un mécanisme de coopération multilatérale pour </w:t>
      </w:r>
      <w:r w:rsidR="001E22E3" w:rsidRPr="0058490E">
        <w:rPr>
          <w:rFonts w:asciiTheme="minorHAnsi" w:eastAsia="MS Mincho" w:hAnsiTheme="minorHAnsi" w:cstheme="minorHAnsi"/>
        </w:rPr>
        <w:t xml:space="preserve">accomplir des progrès sur la voie de </w:t>
      </w:r>
      <w:r w:rsidRPr="0058490E">
        <w:rPr>
          <w:rFonts w:asciiTheme="minorHAnsi" w:eastAsia="MS Mincho" w:hAnsiTheme="minorHAnsi" w:cstheme="minorHAnsi"/>
        </w:rPr>
        <w:t>l'inclusion numérique.</w:t>
      </w:r>
    </w:p>
    <w:p w14:paraId="1BCB6BAC" w14:textId="0FC4D168"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5.3</w:t>
      </w:r>
      <w:r w:rsidRPr="0058490E">
        <w:rPr>
          <w:rFonts w:asciiTheme="minorHAnsi" w:eastAsia="MS Mincho" w:hAnsiTheme="minorHAnsi" w:cstheme="minorHAnsi"/>
        </w:rPr>
        <w:tab/>
        <w:t>Un</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w:t>
      </w:r>
      <w:r w:rsidR="001E22E3" w:rsidRPr="0058490E">
        <w:rPr>
          <w:rFonts w:asciiTheme="minorHAnsi" w:eastAsia="MS Mincho" w:hAnsiTheme="minorHAnsi" w:cstheme="minorHAnsi"/>
        </w:rPr>
        <w:t>C</w:t>
      </w:r>
      <w:r w:rsidRPr="0058490E">
        <w:rPr>
          <w:rFonts w:asciiTheme="minorHAnsi" w:eastAsia="MS Mincho" w:hAnsiTheme="minorHAnsi" w:cstheme="minorHAnsi"/>
        </w:rPr>
        <w:t>onseill</w:t>
      </w:r>
      <w:r w:rsidR="003E1940" w:rsidRPr="0058490E">
        <w:rPr>
          <w:rFonts w:asciiTheme="minorHAnsi" w:eastAsia="MS Mincho" w:hAnsiTheme="minorHAnsi" w:cstheme="minorHAnsi"/>
        </w:rPr>
        <w:t xml:space="preserve">ère </w:t>
      </w:r>
      <w:r w:rsidR="001E22E3" w:rsidRPr="0058490E">
        <w:rPr>
          <w:rFonts w:asciiTheme="minorHAnsi" w:eastAsia="MS Mincho" w:hAnsiTheme="minorHAnsi" w:cstheme="minorHAnsi"/>
        </w:rPr>
        <w:t xml:space="preserve">dit </w:t>
      </w:r>
      <w:r w:rsidRPr="0058490E">
        <w:rPr>
          <w:rFonts w:asciiTheme="minorHAnsi" w:eastAsia="MS Mincho" w:hAnsiTheme="minorHAnsi" w:cstheme="minorHAnsi"/>
        </w:rPr>
        <w:t xml:space="preserve">qu'il </w:t>
      </w:r>
      <w:r w:rsidR="001E22E3" w:rsidRPr="0058490E">
        <w:rPr>
          <w:rFonts w:asciiTheme="minorHAnsi" w:eastAsia="MS Mincho" w:hAnsiTheme="minorHAnsi" w:cstheme="minorHAnsi"/>
        </w:rPr>
        <w:t xml:space="preserve">faut </w:t>
      </w:r>
      <w:r w:rsidRPr="0058490E">
        <w:rPr>
          <w:rFonts w:asciiTheme="minorHAnsi" w:eastAsia="MS Mincho" w:hAnsiTheme="minorHAnsi" w:cstheme="minorHAnsi"/>
        </w:rPr>
        <w:t xml:space="preserve">veiller à assurer </w:t>
      </w:r>
      <w:r w:rsidR="001E22E3" w:rsidRPr="0058490E">
        <w:rPr>
          <w:rFonts w:asciiTheme="minorHAnsi" w:eastAsia="MS Mincho" w:hAnsiTheme="minorHAnsi" w:cstheme="minorHAnsi"/>
        </w:rPr>
        <w:t xml:space="preserve">la </w:t>
      </w:r>
      <w:r w:rsidRPr="0058490E">
        <w:rPr>
          <w:rFonts w:asciiTheme="minorHAnsi" w:eastAsia="MS Mincho" w:hAnsiTheme="minorHAnsi" w:cstheme="minorHAnsi"/>
        </w:rPr>
        <w:t xml:space="preserve">participation </w:t>
      </w:r>
      <w:r w:rsidR="001E22E3" w:rsidRPr="0058490E">
        <w:rPr>
          <w:rFonts w:asciiTheme="minorHAnsi" w:eastAsia="MS Mincho" w:hAnsiTheme="minorHAnsi" w:cstheme="minorHAnsi"/>
        </w:rPr>
        <w:t xml:space="preserve">sur un pied d'égalité </w:t>
      </w:r>
      <w:r w:rsidRPr="0058490E">
        <w:rPr>
          <w:rFonts w:asciiTheme="minorHAnsi" w:eastAsia="MS Mincho" w:hAnsiTheme="minorHAnsi" w:cstheme="minorHAnsi"/>
        </w:rPr>
        <w:t>aux réunions virtuelles, tandis qu'un</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autre fait observer que, dans certains cas, elles permettent </w:t>
      </w:r>
      <w:r w:rsidR="00E27D50" w:rsidRPr="0058490E">
        <w:rPr>
          <w:rFonts w:asciiTheme="minorHAnsi" w:eastAsia="MS Mincho" w:hAnsiTheme="minorHAnsi" w:cstheme="minorHAnsi"/>
        </w:rPr>
        <w:t xml:space="preserve">en </w:t>
      </w:r>
      <w:r w:rsidRPr="0058490E">
        <w:rPr>
          <w:rFonts w:asciiTheme="minorHAnsi" w:eastAsia="MS Mincho" w:hAnsiTheme="minorHAnsi" w:cstheme="minorHAnsi"/>
        </w:rPr>
        <w:t xml:space="preserve">fait la participation. Un </w:t>
      </w:r>
      <w:r w:rsidR="001E22E3" w:rsidRPr="0058490E">
        <w:rPr>
          <w:rFonts w:asciiTheme="minorHAnsi" w:eastAsia="MS Mincho" w:hAnsiTheme="minorHAnsi" w:cstheme="minorHAnsi"/>
        </w:rPr>
        <w:t>C</w:t>
      </w:r>
      <w:r w:rsidRPr="0058490E">
        <w:rPr>
          <w:rFonts w:asciiTheme="minorHAnsi" w:eastAsia="MS Mincho" w:hAnsiTheme="minorHAnsi" w:cstheme="minorHAnsi"/>
        </w:rPr>
        <w:t>onseiller propos</w:t>
      </w:r>
      <w:r w:rsidR="001E22E3" w:rsidRPr="0058490E">
        <w:rPr>
          <w:rFonts w:asciiTheme="minorHAnsi" w:eastAsia="MS Mincho" w:hAnsiTheme="minorHAnsi" w:cstheme="minorHAnsi"/>
        </w:rPr>
        <w:t>e</w:t>
      </w:r>
      <w:r w:rsidRPr="0058490E">
        <w:rPr>
          <w:rFonts w:asciiTheme="minorHAnsi" w:eastAsia="MS Mincho" w:hAnsiTheme="minorHAnsi" w:cstheme="minorHAnsi"/>
        </w:rPr>
        <w:t xml:space="preserve"> que l'UIT envisage d'allouer le budget inutilisé </w:t>
      </w:r>
      <w:r w:rsidR="001E22E3" w:rsidRPr="0058490E">
        <w:rPr>
          <w:rFonts w:asciiTheme="minorHAnsi" w:eastAsia="MS Mincho" w:hAnsiTheme="minorHAnsi" w:cstheme="minorHAnsi"/>
        </w:rPr>
        <w:t xml:space="preserve">pendant </w:t>
      </w:r>
      <w:r w:rsidRPr="0058490E">
        <w:rPr>
          <w:rFonts w:asciiTheme="minorHAnsi" w:eastAsia="MS Mincho" w:hAnsiTheme="minorHAnsi" w:cstheme="minorHAnsi"/>
        </w:rPr>
        <w:t xml:space="preserve">la pandémie à une bourse destinée aux pays en développement, afin de connecter les personnes </w:t>
      </w:r>
      <w:r w:rsidR="001E22E3" w:rsidRPr="0058490E">
        <w:rPr>
          <w:rFonts w:asciiTheme="minorHAnsi" w:eastAsia="MS Mincho" w:hAnsiTheme="minorHAnsi" w:cstheme="minorHAnsi"/>
        </w:rPr>
        <w:t>qui ne le sont pas encore</w:t>
      </w:r>
      <w:r w:rsidRPr="0058490E">
        <w:rPr>
          <w:rFonts w:asciiTheme="minorHAnsi" w:eastAsia="MS Mincho" w:hAnsiTheme="minorHAnsi" w:cstheme="minorHAnsi"/>
        </w:rPr>
        <w:t>. Un</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w:t>
      </w:r>
      <w:r w:rsidR="001E22E3" w:rsidRPr="0058490E">
        <w:rPr>
          <w:rFonts w:asciiTheme="minorHAnsi" w:eastAsia="MS Mincho" w:hAnsiTheme="minorHAnsi" w:cstheme="minorHAnsi"/>
        </w:rPr>
        <w:t>Conseill</w:t>
      </w:r>
      <w:r w:rsidR="003E1940" w:rsidRPr="0058490E">
        <w:rPr>
          <w:rFonts w:asciiTheme="minorHAnsi" w:eastAsia="MS Mincho" w:hAnsiTheme="minorHAnsi" w:cstheme="minorHAnsi"/>
        </w:rPr>
        <w:t>ère</w:t>
      </w:r>
      <w:r w:rsidR="001E22E3" w:rsidRPr="0058490E">
        <w:rPr>
          <w:rFonts w:asciiTheme="minorHAnsi" w:eastAsia="MS Mincho" w:hAnsiTheme="minorHAnsi" w:cstheme="minorHAnsi"/>
        </w:rPr>
        <w:t xml:space="preserve"> estime </w:t>
      </w:r>
      <w:r w:rsidRPr="0058490E">
        <w:rPr>
          <w:rFonts w:asciiTheme="minorHAnsi" w:eastAsia="MS Mincho" w:hAnsiTheme="minorHAnsi" w:cstheme="minorHAnsi"/>
        </w:rPr>
        <w:t xml:space="preserve">que le nombre et la fréquence des réunions virtuelles </w:t>
      </w:r>
      <w:r w:rsidR="001E22E3" w:rsidRPr="0058490E">
        <w:rPr>
          <w:rFonts w:asciiTheme="minorHAnsi" w:eastAsia="MS Mincho" w:hAnsiTheme="minorHAnsi" w:cstheme="minorHAnsi"/>
        </w:rPr>
        <w:t xml:space="preserve">doivent </w:t>
      </w:r>
      <w:r w:rsidRPr="0058490E">
        <w:rPr>
          <w:rFonts w:asciiTheme="minorHAnsi" w:eastAsia="MS Mincho" w:hAnsiTheme="minorHAnsi" w:cstheme="minorHAnsi"/>
        </w:rPr>
        <w:t xml:space="preserve">rester raisonnables, car elles constituent une charge pour le secrétariat. Un </w:t>
      </w:r>
      <w:r w:rsidR="001E22E3" w:rsidRPr="0058490E">
        <w:rPr>
          <w:rFonts w:asciiTheme="minorHAnsi" w:eastAsia="MS Mincho" w:hAnsiTheme="minorHAnsi" w:cstheme="minorHAnsi"/>
        </w:rPr>
        <w:t>C</w:t>
      </w:r>
      <w:r w:rsidRPr="0058490E">
        <w:rPr>
          <w:rFonts w:asciiTheme="minorHAnsi" w:eastAsia="MS Mincho" w:hAnsiTheme="minorHAnsi" w:cstheme="minorHAnsi"/>
        </w:rPr>
        <w:t>onseiller propos</w:t>
      </w:r>
      <w:r w:rsidR="001E22E3" w:rsidRPr="0058490E">
        <w:rPr>
          <w:rFonts w:asciiTheme="minorHAnsi" w:eastAsia="MS Mincho" w:hAnsiTheme="minorHAnsi" w:cstheme="minorHAnsi"/>
        </w:rPr>
        <w:t>e</w:t>
      </w:r>
      <w:r w:rsidRPr="0058490E">
        <w:rPr>
          <w:rFonts w:asciiTheme="minorHAnsi" w:eastAsia="MS Mincho" w:hAnsiTheme="minorHAnsi" w:cstheme="minorHAnsi"/>
        </w:rPr>
        <w:t xml:space="preserve"> que l'UIT </w:t>
      </w:r>
      <w:r w:rsidR="00E27D50" w:rsidRPr="0058490E">
        <w:rPr>
          <w:rFonts w:asciiTheme="minorHAnsi" w:eastAsia="MS Mincho" w:hAnsiTheme="minorHAnsi" w:cstheme="minorHAnsi"/>
        </w:rPr>
        <w:t xml:space="preserve">réfléchisse à la manière de </w:t>
      </w:r>
      <w:r w:rsidRPr="0058490E">
        <w:rPr>
          <w:rFonts w:asciiTheme="minorHAnsi" w:eastAsia="MS Mincho" w:hAnsiTheme="minorHAnsi" w:cstheme="minorHAnsi"/>
        </w:rPr>
        <w:t xml:space="preserve">tirer parti des différents formats de réunion, notamment des réunions hybrides, tandis </w:t>
      </w:r>
      <w:proofErr w:type="gramStart"/>
      <w:r w:rsidRPr="0058490E">
        <w:rPr>
          <w:rFonts w:asciiTheme="minorHAnsi" w:eastAsia="MS Mincho" w:hAnsiTheme="minorHAnsi" w:cstheme="minorHAnsi"/>
        </w:rPr>
        <w:t>qu'un autre estim</w:t>
      </w:r>
      <w:r w:rsidR="00942F43" w:rsidRPr="0058490E">
        <w:rPr>
          <w:rFonts w:asciiTheme="minorHAnsi" w:eastAsia="MS Mincho" w:hAnsiTheme="minorHAnsi" w:cstheme="minorHAnsi"/>
        </w:rPr>
        <w:t>e</w:t>
      </w:r>
      <w:proofErr w:type="gramEnd"/>
      <w:r w:rsidRPr="0058490E">
        <w:rPr>
          <w:rFonts w:asciiTheme="minorHAnsi" w:eastAsia="MS Mincho" w:hAnsiTheme="minorHAnsi" w:cstheme="minorHAnsi"/>
        </w:rPr>
        <w:t xml:space="preserve"> </w:t>
      </w:r>
      <w:r w:rsidR="00942F43" w:rsidRPr="0058490E">
        <w:rPr>
          <w:rFonts w:asciiTheme="minorHAnsi" w:eastAsia="MS Mincho" w:hAnsiTheme="minorHAnsi" w:cstheme="minorHAnsi"/>
        </w:rPr>
        <w:t xml:space="preserve">qu'il convient de préférence d'organiser des </w:t>
      </w:r>
      <w:r w:rsidRPr="0058490E">
        <w:rPr>
          <w:rFonts w:asciiTheme="minorHAnsi" w:eastAsia="MS Mincho" w:hAnsiTheme="minorHAnsi" w:cstheme="minorHAnsi"/>
        </w:rPr>
        <w:t xml:space="preserve">réunions physiques. Un </w:t>
      </w:r>
      <w:r w:rsidR="00942F43" w:rsidRPr="0058490E">
        <w:rPr>
          <w:rFonts w:asciiTheme="minorHAnsi" w:eastAsia="MS Mincho" w:hAnsiTheme="minorHAnsi" w:cstheme="minorHAnsi"/>
        </w:rPr>
        <w:t>C</w:t>
      </w:r>
      <w:r w:rsidRPr="0058490E">
        <w:rPr>
          <w:rFonts w:asciiTheme="minorHAnsi" w:eastAsia="MS Mincho" w:hAnsiTheme="minorHAnsi" w:cstheme="minorHAnsi"/>
        </w:rPr>
        <w:t xml:space="preserve">onseiller </w:t>
      </w:r>
      <w:r w:rsidR="00942F43" w:rsidRPr="0058490E">
        <w:rPr>
          <w:rFonts w:asciiTheme="minorHAnsi" w:eastAsia="MS Mincho" w:hAnsiTheme="minorHAnsi" w:cstheme="minorHAnsi"/>
        </w:rPr>
        <w:t xml:space="preserve">indique </w:t>
      </w:r>
      <w:r w:rsidRPr="0058490E">
        <w:rPr>
          <w:rFonts w:asciiTheme="minorHAnsi" w:eastAsia="MS Mincho" w:hAnsiTheme="minorHAnsi" w:cstheme="minorHAnsi"/>
        </w:rPr>
        <w:t xml:space="preserve">qu'en cas de poursuite de la pandémie, </w:t>
      </w:r>
      <w:r w:rsidR="00942F43" w:rsidRPr="0058490E">
        <w:rPr>
          <w:rFonts w:asciiTheme="minorHAnsi" w:eastAsia="MS Mincho" w:hAnsiTheme="minorHAnsi" w:cstheme="minorHAnsi"/>
        </w:rPr>
        <w:t xml:space="preserve">il convient d'accorder une attention particulière aux </w:t>
      </w:r>
      <w:r w:rsidRPr="0058490E">
        <w:rPr>
          <w:rFonts w:asciiTheme="minorHAnsi" w:eastAsia="MS Mincho" w:hAnsiTheme="minorHAnsi" w:cstheme="minorHAnsi"/>
        </w:rPr>
        <w:t xml:space="preserve">mesures d'hygiène lors des réunions </w:t>
      </w:r>
      <w:proofErr w:type="gramStart"/>
      <w:r w:rsidRPr="0058490E">
        <w:rPr>
          <w:rFonts w:asciiTheme="minorHAnsi" w:eastAsia="MS Mincho" w:hAnsiTheme="minorHAnsi" w:cstheme="minorHAnsi"/>
        </w:rPr>
        <w:t>physiques;</w:t>
      </w:r>
      <w:proofErr w:type="gramEnd"/>
      <w:r w:rsidRPr="0058490E">
        <w:rPr>
          <w:rFonts w:asciiTheme="minorHAnsi" w:eastAsia="MS Mincho" w:hAnsiTheme="minorHAnsi" w:cstheme="minorHAnsi"/>
        </w:rPr>
        <w:t xml:space="preserve"> pour les réunions virtuelles ou hybrides, l'UIT devrait </w:t>
      </w:r>
      <w:r w:rsidR="00942F43" w:rsidRPr="0058490E">
        <w:rPr>
          <w:rFonts w:asciiTheme="minorHAnsi" w:eastAsia="MS Mincho" w:hAnsiTheme="minorHAnsi" w:cstheme="minorHAnsi"/>
        </w:rPr>
        <w:t xml:space="preserve">prévoir </w:t>
      </w:r>
      <w:r w:rsidRPr="0058490E">
        <w:rPr>
          <w:rFonts w:asciiTheme="minorHAnsi" w:eastAsia="MS Mincho" w:hAnsiTheme="minorHAnsi" w:cstheme="minorHAnsi"/>
        </w:rPr>
        <w:t xml:space="preserve">une plate-forme de communication de bonne qualité et une logistique solide pour répondre aux besoins des </w:t>
      </w:r>
      <w:r w:rsidRPr="0058490E">
        <w:rPr>
          <w:rFonts w:asciiTheme="minorHAnsi" w:eastAsia="MS Mincho" w:hAnsiTheme="minorHAnsi" w:cstheme="minorHAnsi"/>
        </w:rPr>
        <w:lastRenderedPageBreak/>
        <w:t xml:space="preserve">participants qui ne peuvent pas se déplacer. Elle devrait également envisager des plans d'urgence pour le processus </w:t>
      </w:r>
      <w:r w:rsidR="00942F43" w:rsidRPr="0058490E">
        <w:rPr>
          <w:rFonts w:asciiTheme="minorHAnsi" w:eastAsia="MS Mincho" w:hAnsiTheme="minorHAnsi" w:cstheme="minorHAnsi"/>
        </w:rPr>
        <w:t>d'</w:t>
      </w:r>
      <w:r w:rsidRPr="0058490E">
        <w:rPr>
          <w:rFonts w:asciiTheme="minorHAnsi" w:eastAsia="MS Mincho" w:hAnsiTheme="minorHAnsi" w:cstheme="minorHAnsi"/>
        </w:rPr>
        <w:t>élect</w:t>
      </w:r>
      <w:r w:rsidR="00942F43" w:rsidRPr="0058490E">
        <w:rPr>
          <w:rFonts w:asciiTheme="minorHAnsi" w:eastAsia="MS Mincho" w:hAnsiTheme="minorHAnsi" w:cstheme="minorHAnsi"/>
        </w:rPr>
        <w:t xml:space="preserve">ion dans le cadre </w:t>
      </w:r>
      <w:r w:rsidRPr="0058490E">
        <w:rPr>
          <w:rFonts w:asciiTheme="minorHAnsi" w:eastAsia="MS Mincho" w:hAnsiTheme="minorHAnsi" w:cstheme="minorHAnsi"/>
        </w:rPr>
        <w:t xml:space="preserve">de la </w:t>
      </w:r>
      <w:r w:rsidR="00942F43" w:rsidRPr="0058490E">
        <w:rPr>
          <w:rFonts w:asciiTheme="minorHAnsi" w:eastAsia="MS Mincho" w:hAnsiTheme="minorHAnsi" w:cstheme="minorHAnsi"/>
        </w:rPr>
        <w:t>Conférence de plénipotentiaires de 20</w:t>
      </w:r>
      <w:r w:rsidRPr="0058490E">
        <w:rPr>
          <w:rFonts w:asciiTheme="minorHAnsi" w:eastAsia="MS Mincho" w:hAnsiTheme="minorHAnsi" w:cstheme="minorHAnsi"/>
        </w:rPr>
        <w:t>22.</w:t>
      </w:r>
    </w:p>
    <w:p w14:paraId="65EE6A0B" w14:textId="2FFDD9BD"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5.4</w:t>
      </w:r>
      <w:r w:rsidRPr="0058490E">
        <w:rPr>
          <w:rFonts w:asciiTheme="minorHAnsi" w:eastAsia="MS Mincho" w:hAnsiTheme="minorHAnsi" w:cstheme="minorHAnsi"/>
        </w:rPr>
        <w:tab/>
        <w:t>Trois Conseill</w:t>
      </w:r>
      <w:r w:rsidR="003E1940" w:rsidRPr="0058490E">
        <w:rPr>
          <w:rFonts w:asciiTheme="minorHAnsi" w:eastAsia="MS Mincho" w:hAnsiTheme="minorHAnsi" w:cstheme="minorHAnsi"/>
        </w:rPr>
        <w:t>è</w:t>
      </w:r>
      <w:r w:rsidRPr="0058490E">
        <w:rPr>
          <w:rFonts w:asciiTheme="minorHAnsi" w:eastAsia="MS Mincho" w:hAnsiTheme="minorHAnsi" w:cstheme="minorHAnsi"/>
        </w:rPr>
        <w:t>r</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s </w:t>
      </w:r>
      <w:r w:rsidR="00942F43" w:rsidRPr="0058490E">
        <w:rPr>
          <w:rFonts w:asciiTheme="minorHAnsi" w:eastAsia="MS Mincho" w:hAnsiTheme="minorHAnsi" w:cstheme="minorHAnsi"/>
        </w:rPr>
        <w:t xml:space="preserve">estiment </w:t>
      </w:r>
      <w:r w:rsidRPr="0058490E">
        <w:rPr>
          <w:rFonts w:asciiTheme="minorHAnsi" w:eastAsia="MS Mincho" w:hAnsiTheme="minorHAnsi" w:cstheme="minorHAnsi"/>
        </w:rPr>
        <w:t xml:space="preserve">que les règles relatives à la prise de décision devraient être assouplies </w:t>
      </w:r>
      <w:r w:rsidR="00942F43" w:rsidRPr="0058490E">
        <w:rPr>
          <w:rFonts w:asciiTheme="minorHAnsi" w:eastAsia="MS Mincho" w:hAnsiTheme="minorHAnsi" w:cstheme="minorHAnsi"/>
        </w:rPr>
        <w:t xml:space="preserve">lors de </w:t>
      </w:r>
      <w:r w:rsidRPr="0058490E">
        <w:rPr>
          <w:rFonts w:asciiTheme="minorHAnsi" w:eastAsia="MS Mincho" w:hAnsiTheme="minorHAnsi" w:cstheme="minorHAnsi"/>
        </w:rPr>
        <w:t xml:space="preserve">certaines réunions, sans pour autant </w:t>
      </w:r>
      <w:r w:rsidR="00942F43" w:rsidRPr="0058490E">
        <w:rPr>
          <w:rFonts w:asciiTheme="minorHAnsi" w:eastAsia="MS Mincho" w:hAnsiTheme="minorHAnsi" w:cstheme="minorHAnsi"/>
        </w:rPr>
        <w:t xml:space="preserve">mettre à mal </w:t>
      </w:r>
      <w:r w:rsidRPr="0058490E">
        <w:rPr>
          <w:rFonts w:asciiTheme="minorHAnsi" w:eastAsia="MS Mincho" w:hAnsiTheme="minorHAnsi" w:cstheme="minorHAnsi"/>
        </w:rPr>
        <w:t xml:space="preserve">l'importance des réunions physiques où des décisions cruciales doivent être prises. Un autre </w:t>
      </w:r>
      <w:r w:rsidR="00942F43" w:rsidRPr="0058490E">
        <w:rPr>
          <w:rFonts w:asciiTheme="minorHAnsi" w:eastAsia="MS Mincho" w:hAnsiTheme="minorHAnsi" w:cstheme="minorHAnsi"/>
        </w:rPr>
        <w:t xml:space="preserve">Conseiller </w:t>
      </w:r>
      <w:r w:rsidR="00AE1299" w:rsidRPr="0058490E">
        <w:rPr>
          <w:rFonts w:asciiTheme="minorHAnsi" w:eastAsia="MS Mincho" w:hAnsiTheme="minorHAnsi" w:cstheme="minorHAnsi"/>
        </w:rPr>
        <w:t xml:space="preserve">déclare qu'il faut faire preuve de prudence </w:t>
      </w:r>
      <w:r w:rsidRPr="0058490E">
        <w:rPr>
          <w:rFonts w:asciiTheme="minorHAnsi" w:eastAsia="MS Mincho" w:hAnsiTheme="minorHAnsi" w:cstheme="minorHAnsi"/>
        </w:rPr>
        <w:t xml:space="preserve">lors de l'élaboration des processus décisionnels de </w:t>
      </w:r>
      <w:proofErr w:type="gramStart"/>
      <w:r w:rsidRPr="0058490E">
        <w:rPr>
          <w:rFonts w:asciiTheme="minorHAnsi" w:eastAsia="MS Mincho" w:hAnsiTheme="minorHAnsi" w:cstheme="minorHAnsi"/>
        </w:rPr>
        <w:t>l'UIT;</w:t>
      </w:r>
      <w:proofErr w:type="gramEnd"/>
      <w:r w:rsidRPr="0058490E">
        <w:rPr>
          <w:rFonts w:asciiTheme="minorHAnsi" w:eastAsia="MS Mincho" w:hAnsiTheme="minorHAnsi" w:cstheme="minorHAnsi"/>
        </w:rPr>
        <w:t xml:space="preserve"> </w:t>
      </w:r>
      <w:r w:rsidR="00AE1299" w:rsidRPr="0058490E">
        <w:rPr>
          <w:rFonts w:asciiTheme="minorHAnsi" w:eastAsia="MS Mincho" w:hAnsiTheme="minorHAnsi" w:cstheme="minorHAnsi"/>
        </w:rPr>
        <w:t xml:space="preserve">il convient de donner la priorité aux processus </w:t>
      </w:r>
      <w:r w:rsidRPr="0058490E">
        <w:rPr>
          <w:rFonts w:asciiTheme="minorHAnsi" w:eastAsia="MS Mincho" w:hAnsiTheme="minorHAnsi" w:cstheme="minorHAnsi"/>
        </w:rPr>
        <w:t xml:space="preserve">prévus </w:t>
      </w:r>
      <w:r w:rsidR="00AE1299" w:rsidRPr="0058490E">
        <w:rPr>
          <w:rFonts w:asciiTheme="minorHAnsi" w:eastAsia="MS Mincho" w:hAnsiTheme="minorHAnsi" w:cstheme="minorHAnsi"/>
        </w:rPr>
        <w:t>dans le cadre d</w:t>
      </w:r>
      <w:r w:rsidRPr="0058490E">
        <w:rPr>
          <w:rFonts w:asciiTheme="minorHAnsi" w:eastAsia="MS Mincho" w:hAnsiTheme="minorHAnsi" w:cstheme="minorHAnsi"/>
        </w:rPr>
        <w:t xml:space="preserve">es règles actuelles, </w:t>
      </w:r>
      <w:r w:rsidR="00AE1299" w:rsidRPr="0058490E">
        <w:rPr>
          <w:rFonts w:asciiTheme="minorHAnsi" w:eastAsia="MS Mincho" w:hAnsiTheme="minorHAnsi" w:cstheme="minorHAnsi"/>
        </w:rPr>
        <w:t xml:space="preserve">par exemple </w:t>
      </w:r>
      <w:r w:rsidRPr="0058490E">
        <w:rPr>
          <w:rFonts w:asciiTheme="minorHAnsi" w:eastAsia="MS Mincho" w:hAnsiTheme="minorHAnsi" w:cstheme="minorHAnsi"/>
        </w:rPr>
        <w:t>les consultations par correspondance.</w:t>
      </w:r>
    </w:p>
    <w:p w14:paraId="0667098E" w14:textId="06EBB47E"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5.5</w:t>
      </w:r>
      <w:r w:rsidRPr="0058490E">
        <w:rPr>
          <w:rFonts w:asciiTheme="minorHAnsi" w:eastAsia="MS Mincho" w:hAnsiTheme="minorHAnsi" w:cstheme="minorHAnsi"/>
        </w:rPr>
        <w:tab/>
        <w:t>Un</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Conseill</w:t>
      </w:r>
      <w:r w:rsidR="003E1940" w:rsidRPr="0058490E">
        <w:rPr>
          <w:rFonts w:asciiTheme="minorHAnsi" w:eastAsia="MS Mincho" w:hAnsiTheme="minorHAnsi" w:cstheme="minorHAnsi"/>
        </w:rPr>
        <w:t>ère</w:t>
      </w:r>
      <w:r w:rsidRPr="0058490E">
        <w:rPr>
          <w:rFonts w:asciiTheme="minorHAnsi" w:eastAsia="MS Mincho" w:hAnsiTheme="minorHAnsi" w:cstheme="minorHAnsi"/>
        </w:rPr>
        <w:t xml:space="preserve">, </w:t>
      </w:r>
      <w:r w:rsidR="00AE1299" w:rsidRPr="0058490E">
        <w:rPr>
          <w:rFonts w:asciiTheme="minorHAnsi" w:eastAsia="MS Mincho" w:hAnsiTheme="minorHAnsi" w:cstheme="minorHAnsi"/>
        </w:rPr>
        <w:t>appuyé</w:t>
      </w:r>
      <w:r w:rsidR="003E1940" w:rsidRPr="0058490E">
        <w:rPr>
          <w:rFonts w:asciiTheme="minorHAnsi" w:eastAsia="MS Mincho" w:hAnsiTheme="minorHAnsi" w:cstheme="minorHAnsi"/>
        </w:rPr>
        <w:t>e</w:t>
      </w:r>
      <w:r w:rsidR="00AE1299" w:rsidRPr="0058490E">
        <w:rPr>
          <w:rFonts w:asciiTheme="minorHAnsi" w:eastAsia="MS Mincho" w:hAnsiTheme="minorHAnsi" w:cstheme="minorHAnsi"/>
        </w:rPr>
        <w:t xml:space="preserve"> </w:t>
      </w:r>
      <w:r w:rsidRPr="0058490E">
        <w:rPr>
          <w:rFonts w:asciiTheme="minorHAnsi" w:eastAsia="MS Mincho" w:hAnsiTheme="minorHAnsi" w:cstheme="minorHAnsi"/>
        </w:rPr>
        <w:t>par deux autres, propos</w:t>
      </w:r>
      <w:r w:rsidR="00AE1299" w:rsidRPr="0058490E">
        <w:rPr>
          <w:rFonts w:asciiTheme="minorHAnsi" w:eastAsia="MS Mincho" w:hAnsiTheme="minorHAnsi" w:cstheme="minorHAnsi"/>
        </w:rPr>
        <w:t>e</w:t>
      </w:r>
      <w:r w:rsidRPr="0058490E">
        <w:rPr>
          <w:rFonts w:asciiTheme="minorHAnsi" w:eastAsia="MS Mincho" w:hAnsiTheme="minorHAnsi" w:cstheme="minorHAnsi"/>
        </w:rPr>
        <w:t xml:space="preserve"> que toutes les recommandations formulées soient prises en compte dans le plan stratégique et </w:t>
      </w:r>
      <w:r w:rsidR="00AE1299" w:rsidRPr="0058490E">
        <w:rPr>
          <w:rFonts w:asciiTheme="minorHAnsi" w:eastAsia="MS Mincho" w:hAnsiTheme="minorHAnsi" w:cstheme="minorHAnsi"/>
        </w:rPr>
        <w:t xml:space="preserve">le plan </w:t>
      </w:r>
      <w:r w:rsidRPr="0058490E">
        <w:rPr>
          <w:rFonts w:asciiTheme="minorHAnsi" w:eastAsia="MS Mincho" w:hAnsiTheme="minorHAnsi" w:cstheme="minorHAnsi"/>
        </w:rPr>
        <w:t>financier de l'UIT.</w:t>
      </w:r>
    </w:p>
    <w:p w14:paraId="39E65318" w14:textId="5D24DF2F"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5.6</w:t>
      </w:r>
      <w:r w:rsidRPr="0058490E">
        <w:rPr>
          <w:rFonts w:asciiTheme="minorHAnsi" w:eastAsia="MS Mincho" w:hAnsiTheme="minorHAnsi" w:cstheme="minorHAnsi"/>
        </w:rPr>
        <w:tab/>
        <w:t>Un</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autre Conseill</w:t>
      </w:r>
      <w:r w:rsidR="003E1940" w:rsidRPr="0058490E">
        <w:rPr>
          <w:rFonts w:asciiTheme="minorHAnsi" w:eastAsia="MS Mincho" w:hAnsiTheme="minorHAnsi" w:cstheme="minorHAnsi"/>
        </w:rPr>
        <w:t>ère</w:t>
      </w:r>
      <w:r w:rsidRPr="0058490E">
        <w:rPr>
          <w:rFonts w:asciiTheme="minorHAnsi" w:eastAsia="MS Mincho" w:hAnsiTheme="minorHAnsi" w:cstheme="minorHAnsi"/>
        </w:rPr>
        <w:t xml:space="preserve">, également </w:t>
      </w:r>
      <w:r w:rsidR="00AE1299" w:rsidRPr="0058490E">
        <w:rPr>
          <w:rFonts w:asciiTheme="minorHAnsi" w:eastAsia="MS Mincho" w:hAnsiTheme="minorHAnsi" w:cstheme="minorHAnsi"/>
        </w:rPr>
        <w:t>appuyé</w:t>
      </w:r>
      <w:r w:rsidR="003E1940" w:rsidRPr="0058490E">
        <w:rPr>
          <w:rFonts w:asciiTheme="minorHAnsi" w:eastAsia="MS Mincho" w:hAnsiTheme="minorHAnsi" w:cstheme="minorHAnsi"/>
        </w:rPr>
        <w:t>e</w:t>
      </w:r>
      <w:r w:rsidR="00AE1299" w:rsidRPr="0058490E">
        <w:rPr>
          <w:rFonts w:asciiTheme="minorHAnsi" w:eastAsia="MS Mincho" w:hAnsiTheme="minorHAnsi" w:cstheme="minorHAnsi"/>
        </w:rPr>
        <w:t xml:space="preserve"> </w:t>
      </w:r>
      <w:r w:rsidRPr="0058490E">
        <w:rPr>
          <w:rFonts w:asciiTheme="minorHAnsi" w:eastAsia="MS Mincho" w:hAnsiTheme="minorHAnsi" w:cstheme="minorHAnsi"/>
        </w:rPr>
        <w:t>par deux autres, propos</w:t>
      </w:r>
      <w:r w:rsidR="00AE1299" w:rsidRPr="0058490E">
        <w:rPr>
          <w:rFonts w:asciiTheme="minorHAnsi" w:eastAsia="MS Mincho" w:hAnsiTheme="minorHAnsi" w:cstheme="minorHAnsi"/>
        </w:rPr>
        <w:t>e</w:t>
      </w:r>
      <w:r w:rsidRPr="0058490E">
        <w:rPr>
          <w:rFonts w:asciiTheme="minorHAnsi" w:eastAsia="MS Mincho" w:hAnsiTheme="minorHAnsi" w:cstheme="minorHAnsi"/>
        </w:rPr>
        <w:t xml:space="preserve"> que le rapport actualisé soit </w:t>
      </w:r>
      <w:r w:rsidR="00AE1299" w:rsidRPr="0058490E">
        <w:rPr>
          <w:rFonts w:asciiTheme="minorHAnsi" w:eastAsia="MS Mincho" w:hAnsiTheme="minorHAnsi" w:cstheme="minorHAnsi"/>
        </w:rPr>
        <w:t xml:space="preserve">transmis </w:t>
      </w:r>
      <w:r w:rsidRPr="0058490E">
        <w:rPr>
          <w:rFonts w:asciiTheme="minorHAnsi" w:eastAsia="MS Mincho" w:hAnsiTheme="minorHAnsi" w:cstheme="minorHAnsi"/>
        </w:rPr>
        <w:t xml:space="preserve">au GTC-FHR pour </w:t>
      </w:r>
      <w:r w:rsidR="00AE1299" w:rsidRPr="0058490E">
        <w:rPr>
          <w:rFonts w:asciiTheme="minorHAnsi" w:eastAsia="MS Mincho" w:hAnsiTheme="minorHAnsi" w:cstheme="minorHAnsi"/>
        </w:rPr>
        <w:t xml:space="preserve">qu'il l'examine de manière </w:t>
      </w:r>
      <w:r w:rsidRPr="0058490E">
        <w:rPr>
          <w:rFonts w:asciiTheme="minorHAnsi" w:eastAsia="MS Mincho" w:hAnsiTheme="minorHAnsi" w:cstheme="minorHAnsi"/>
        </w:rPr>
        <w:t>approfondie et formul</w:t>
      </w:r>
      <w:r w:rsidR="00AE1299" w:rsidRPr="0058490E">
        <w:rPr>
          <w:rFonts w:asciiTheme="minorHAnsi" w:eastAsia="MS Mincho" w:hAnsiTheme="minorHAnsi" w:cstheme="minorHAnsi"/>
        </w:rPr>
        <w:t>e</w:t>
      </w:r>
      <w:r w:rsidRPr="0058490E">
        <w:rPr>
          <w:rFonts w:asciiTheme="minorHAnsi" w:eastAsia="MS Mincho" w:hAnsiTheme="minorHAnsi" w:cstheme="minorHAnsi"/>
        </w:rPr>
        <w:t xml:space="preserve"> de</w:t>
      </w:r>
      <w:r w:rsidR="00AE1299" w:rsidRPr="0058490E">
        <w:rPr>
          <w:rFonts w:asciiTheme="minorHAnsi" w:eastAsia="MS Mincho" w:hAnsiTheme="minorHAnsi" w:cstheme="minorHAnsi"/>
        </w:rPr>
        <w:t xml:space="preserve">s </w:t>
      </w:r>
      <w:r w:rsidRPr="0058490E">
        <w:rPr>
          <w:rFonts w:asciiTheme="minorHAnsi" w:eastAsia="MS Mincho" w:hAnsiTheme="minorHAnsi" w:cstheme="minorHAnsi"/>
        </w:rPr>
        <w:t xml:space="preserve">recommandations à soumettre </w:t>
      </w:r>
      <w:r w:rsidR="00AE1299" w:rsidRPr="0058490E">
        <w:rPr>
          <w:rFonts w:asciiTheme="minorHAnsi" w:eastAsia="MS Mincho" w:hAnsiTheme="minorHAnsi" w:cstheme="minorHAnsi"/>
        </w:rPr>
        <w:t xml:space="preserve">au </w:t>
      </w:r>
      <w:r w:rsidRPr="0058490E">
        <w:rPr>
          <w:rFonts w:asciiTheme="minorHAnsi" w:eastAsia="MS Mincho" w:hAnsiTheme="minorHAnsi" w:cstheme="minorHAnsi"/>
        </w:rPr>
        <w:t xml:space="preserve">Conseil en 2022 et, si nécessaire, à la PP-22. </w:t>
      </w:r>
      <w:r w:rsidR="00AE1299" w:rsidRPr="0058490E">
        <w:rPr>
          <w:rFonts w:asciiTheme="minorHAnsi" w:eastAsia="MS Mincho" w:hAnsiTheme="minorHAnsi" w:cstheme="minorHAnsi"/>
        </w:rPr>
        <w:t>Il convient de revoir l</w:t>
      </w:r>
      <w:r w:rsidRPr="0058490E">
        <w:rPr>
          <w:rFonts w:asciiTheme="minorHAnsi" w:eastAsia="MS Mincho" w:hAnsiTheme="minorHAnsi" w:cstheme="minorHAnsi"/>
        </w:rPr>
        <w:t xml:space="preserve">e projet de </w:t>
      </w:r>
      <w:r w:rsidR="00AE1299" w:rsidRPr="0058490E">
        <w:rPr>
          <w:rFonts w:asciiTheme="minorHAnsi" w:eastAsia="MS Mincho" w:hAnsiTheme="minorHAnsi" w:cstheme="minorHAnsi"/>
        </w:rPr>
        <w:t xml:space="preserve">locaux du </w:t>
      </w:r>
      <w:r w:rsidRPr="0058490E">
        <w:rPr>
          <w:rFonts w:asciiTheme="minorHAnsi" w:eastAsia="MS Mincho" w:hAnsiTheme="minorHAnsi" w:cstheme="minorHAnsi"/>
        </w:rPr>
        <w:t xml:space="preserve">siège afin de s'assurer </w:t>
      </w:r>
      <w:r w:rsidR="00AE1299" w:rsidRPr="0058490E">
        <w:rPr>
          <w:rFonts w:asciiTheme="minorHAnsi" w:eastAsia="MS Mincho" w:hAnsiTheme="minorHAnsi" w:cstheme="minorHAnsi"/>
        </w:rPr>
        <w:t xml:space="preserve">qu'il est dûment tenu compte des </w:t>
      </w:r>
      <w:r w:rsidRPr="0058490E">
        <w:rPr>
          <w:rFonts w:asciiTheme="minorHAnsi" w:eastAsia="MS Mincho" w:hAnsiTheme="minorHAnsi" w:cstheme="minorHAnsi"/>
        </w:rPr>
        <w:t>questions de sécurité sanitaire, telles que la distanciation sociale et la ventilation d</w:t>
      </w:r>
      <w:r w:rsidR="00AE1299" w:rsidRPr="0058490E">
        <w:rPr>
          <w:rFonts w:asciiTheme="minorHAnsi" w:eastAsia="MS Mincho" w:hAnsiTheme="minorHAnsi" w:cstheme="minorHAnsi"/>
        </w:rPr>
        <w:t>ans l</w:t>
      </w:r>
      <w:r w:rsidRPr="0058490E">
        <w:rPr>
          <w:rFonts w:asciiTheme="minorHAnsi" w:eastAsia="MS Mincho" w:hAnsiTheme="minorHAnsi" w:cstheme="minorHAnsi"/>
        </w:rPr>
        <w:t>es bâtiments.</w:t>
      </w:r>
    </w:p>
    <w:p w14:paraId="540E96A2" w14:textId="06BB913B"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5.7</w:t>
      </w:r>
      <w:r w:rsidRPr="0058490E">
        <w:rPr>
          <w:rFonts w:asciiTheme="minorHAnsi" w:eastAsia="MS Mincho" w:hAnsiTheme="minorHAnsi" w:cstheme="minorHAnsi"/>
        </w:rPr>
        <w:tab/>
        <w:t xml:space="preserve">Un </w:t>
      </w:r>
      <w:r w:rsidR="00AE1299" w:rsidRPr="0058490E">
        <w:rPr>
          <w:rFonts w:asciiTheme="minorHAnsi" w:eastAsia="MS Mincho" w:hAnsiTheme="minorHAnsi" w:cstheme="minorHAnsi"/>
        </w:rPr>
        <w:t>C</w:t>
      </w:r>
      <w:r w:rsidRPr="0058490E">
        <w:rPr>
          <w:rFonts w:asciiTheme="minorHAnsi" w:eastAsia="MS Mincho" w:hAnsiTheme="minorHAnsi" w:cstheme="minorHAnsi"/>
        </w:rPr>
        <w:t xml:space="preserve">onseiller </w:t>
      </w:r>
      <w:r w:rsidR="00E91C6F" w:rsidRPr="0058490E">
        <w:rPr>
          <w:rFonts w:asciiTheme="minorHAnsi" w:eastAsia="MS Mincho" w:hAnsiTheme="minorHAnsi" w:cstheme="minorHAnsi"/>
        </w:rPr>
        <w:t xml:space="preserve">pose </w:t>
      </w:r>
      <w:r w:rsidR="00E27D50" w:rsidRPr="0058490E">
        <w:rPr>
          <w:rFonts w:asciiTheme="minorHAnsi" w:eastAsia="MS Mincho" w:hAnsiTheme="minorHAnsi" w:cstheme="minorHAnsi"/>
        </w:rPr>
        <w:t>la question de savoir</w:t>
      </w:r>
      <w:r w:rsidRPr="0058490E">
        <w:rPr>
          <w:rFonts w:asciiTheme="minorHAnsi" w:eastAsia="MS Mincho" w:hAnsiTheme="minorHAnsi" w:cstheme="minorHAnsi"/>
        </w:rPr>
        <w:t xml:space="preserve"> si les nombreuses réunions </w:t>
      </w:r>
      <w:r w:rsidR="00E91C6F" w:rsidRPr="0058490E">
        <w:rPr>
          <w:rFonts w:asciiTheme="minorHAnsi" w:eastAsia="MS Mincho" w:hAnsiTheme="minorHAnsi" w:cstheme="minorHAnsi"/>
        </w:rPr>
        <w:t xml:space="preserve">qui ont été </w:t>
      </w:r>
      <w:r w:rsidRPr="0058490E">
        <w:rPr>
          <w:rFonts w:asciiTheme="minorHAnsi" w:eastAsia="MS Mincho" w:hAnsiTheme="minorHAnsi" w:cstheme="minorHAnsi"/>
        </w:rPr>
        <w:t>repo</w:t>
      </w:r>
      <w:r w:rsidR="00E91C6F" w:rsidRPr="0058490E">
        <w:rPr>
          <w:rFonts w:asciiTheme="minorHAnsi" w:eastAsia="MS Mincho" w:hAnsiTheme="minorHAnsi" w:cstheme="minorHAnsi"/>
        </w:rPr>
        <w:t xml:space="preserve">ussées </w:t>
      </w:r>
      <w:r w:rsidR="00AE1299" w:rsidRPr="0058490E">
        <w:rPr>
          <w:rFonts w:asciiTheme="minorHAnsi" w:eastAsia="MS Mincho" w:hAnsiTheme="minorHAnsi" w:cstheme="minorHAnsi"/>
        </w:rPr>
        <w:t xml:space="preserve">peuvent </w:t>
      </w:r>
      <w:r w:rsidRPr="0058490E">
        <w:rPr>
          <w:rFonts w:asciiTheme="minorHAnsi" w:eastAsia="MS Mincho" w:hAnsiTheme="minorHAnsi" w:cstheme="minorHAnsi"/>
        </w:rPr>
        <w:t xml:space="preserve">être reportées ou tenues </w:t>
      </w:r>
      <w:r w:rsidR="00AE1299" w:rsidRPr="0058490E">
        <w:rPr>
          <w:rFonts w:asciiTheme="minorHAnsi" w:eastAsia="MS Mincho" w:hAnsiTheme="minorHAnsi" w:cstheme="minorHAnsi"/>
        </w:rPr>
        <w:t>de m</w:t>
      </w:r>
      <w:r w:rsidR="003E1940" w:rsidRPr="0058490E">
        <w:rPr>
          <w:rFonts w:asciiTheme="minorHAnsi" w:eastAsia="MS Mincho" w:hAnsiTheme="minorHAnsi" w:cstheme="minorHAnsi"/>
        </w:rPr>
        <w:t>a</w:t>
      </w:r>
      <w:r w:rsidR="00AE1299" w:rsidRPr="0058490E">
        <w:rPr>
          <w:rFonts w:asciiTheme="minorHAnsi" w:eastAsia="MS Mincho" w:hAnsiTheme="minorHAnsi" w:cstheme="minorHAnsi"/>
        </w:rPr>
        <w:t xml:space="preserve">nière </w:t>
      </w:r>
      <w:r w:rsidRPr="0058490E">
        <w:rPr>
          <w:rFonts w:asciiTheme="minorHAnsi" w:eastAsia="MS Mincho" w:hAnsiTheme="minorHAnsi" w:cstheme="minorHAnsi"/>
        </w:rPr>
        <w:t xml:space="preserve">virtuelle, et </w:t>
      </w:r>
      <w:r w:rsidR="003E1940" w:rsidRPr="0058490E">
        <w:rPr>
          <w:rFonts w:asciiTheme="minorHAnsi" w:eastAsia="MS Mincho" w:hAnsiTheme="minorHAnsi" w:cstheme="minorHAnsi"/>
        </w:rPr>
        <w:t>demande qu'</w:t>
      </w:r>
      <w:r w:rsidRPr="0058490E">
        <w:rPr>
          <w:rFonts w:asciiTheme="minorHAnsi" w:eastAsia="MS Mincho" w:hAnsiTheme="minorHAnsi" w:cstheme="minorHAnsi"/>
        </w:rPr>
        <w:t xml:space="preserve">un préavis de six mois </w:t>
      </w:r>
      <w:r w:rsidR="003E1940" w:rsidRPr="0058490E">
        <w:rPr>
          <w:rFonts w:asciiTheme="minorHAnsi" w:eastAsia="MS Mincho" w:hAnsiTheme="minorHAnsi" w:cstheme="minorHAnsi"/>
        </w:rPr>
        <w:t xml:space="preserve">soit </w:t>
      </w:r>
      <w:r w:rsidRPr="0058490E">
        <w:rPr>
          <w:rFonts w:asciiTheme="minorHAnsi" w:eastAsia="MS Mincho" w:hAnsiTheme="minorHAnsi" w:cstheme="minorHAnsi"/>
        </w:rPr>
        <w:t>donné pour les réunions physiques, compte tenu des restrictions de déplacement.</w:t>
      </w:r>
    </w:p>
    <w:p w14:paraId="26AABB7D" w14:textId="3BB07157" w:rsidR="00941992" w:rsidRPr="0058490E" w:rsidRDefault="00941992"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5.8</w:t>
      </w:r>
      <w:r w:rsidRPr="0058490E">
        <w:rPr>
          <w:rFonts w:asciiTheme="minorHAnsi" w:eastAsia="MS Mincho" w:hAnsiTheme="minorHAnsi" w:cstheme="minorHAnsi"/>
        </w:rPr>
        <w:tab/>
        <w:t>Le Président propos</w:t>
      </w:r>
      <w:r w:rsidR="003E1940" w:rsidRPr="0058490E">
        <w:rPr>
          <w:rFonts w:asciiTheme="minorHAnsi" w:eastAsia="MS Mincho" w:hAnsiTheme="minorHAnsi" w:cstheme="minorHAnsi"/>
        </w:rPr>
        <w:t>e</w:t>
      </w:r>
      <w:r w:rsidRPr="0058490E">
        <w:rPr>
          <w:rFonts w:asciiTheme="minorHAnsi" w:eastAsia="MS Mincho" w:hAnsiTheme="minorHAnsi" w:cstheme="minorHAnsi"/>
        </w:rPr>
        <w:t xml:space="preserve"> que les </w:t>
      </w:r>
      <w:r w:rsidR="003E1940" w:rsidRPr="0058490E">
        <w:rPr>
          <w:rFonts w:asciiTheme="minorHAnsi" w:eastAsia="MS Mincho" w:hAnsiTheme="minorHAnsi" w:cstheme="minorHAnsi"/>
        </w:rPr>
        <w:t>C</w:t>
      </w:r>
      <w:r w:rsidRPr="0058490E">
        <w:rPr>
          <w:rFonts w:asciiTheme="minorHAnsi" w:eastAsia="MS Mincho" w:hAnsiTheme="minorHAnsi" w:cstheme="minorHAnsi"/>
        </w:rPr>
        <w:t xml:space="preserve">onseillers prennent note des points soulevés lors </w:t>
      </w:r>
      <w:r w:rsidR="003E1940" w:rsidRPr="0058490E">
        <w:rPr>
          <w:rFonts w:asciiTheme="minorHAnsi" w:eastAsia="MS Mincho" w:hAnsiTheme="minorHAnsi" w:cstheme="minorHAnsi"/>
        </w:rPr>
        <w:t xml:space="preserve">des débats </w:t>
      </w:r>
      <w:r w:rsidRPr="0058490E">
        <w:rPr>
          <w:rFonts w:asciiTheme="minorHAnsi" w:eastAsia="MS Mincho" w:hAnsiTheme="minorHAnsi" w:cstheme="minorHAnsi"/>
        </w:rPr>
        <w:t xml:space="preserve">et que le document soit présenté au GTC-FHR et au GTC-SFP pour </w:t>
      </w:r>
      <w:r w:rsidR="003E1940" w:rsidRPr="0058490E">
        <w:rPr>
          <w:rFonts w:asciiTheme="minorHAnsi" w:eastAsia="MS Mincho" w:hAnsiTheme="minorHAnsi" w:cstheme="minorHAnsi"/>
        </w:rPr>
        <w:t xml:space="preserve">qu'ils l'examinent </w:t>
      </w:r>
      <w:r w:rsidRPr="0058490E">
        <w:rPr>
          <w:rFonts w:asciiTheme="minorHAnsi" w:eastAsia="MS Mincho" w:hAnsiTheme="minorHAnsi" w:cstheme="minorHAnsi"/>
        </w:rPr>
        <w:t xml:space="preserve">et </w:t>
      </w:r>
      <w:r w:rsidR="003E1940" w:rsidRPr="0058490E">
        <w:rPr>
          <w:rFonts w:asciiTheme="minorHAnsi" w:eastAsia="MS Mincho" w:hAnsiTheme="minorHAnsi" w:cstheme="minorHAnsi"/>
        </w:rPr>
        <w:t xml:space="preserve">formulent des </w:t>
      </w:r>
      <w:r w:rsidRPr="0058490E">
        <w:rPr>
          <w:rFonts w:asciiTheme="minorHAnsi" w:eastAsia="MS Mincho" w:hAnsiTheme="minorHAnsi" w:cstheme="minorHAnsi"/>
        </w:rPr>
        <w:t xml:space="preserve">recommandations en vue de la prochaine session du Conseil et, le cas échéant, de la PP-22. </w:t>
      </w:r>
    </w:p>
    <w:p w14:paraId="155A13F0" w14:textId="4EA9856E"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5.9</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décidé</w:t>
      </w:r>
      <w:r w:rsidR="007B0B01" w:rsidRPr="0058490E">
        <w:rPr>
          <w:rFonts w:asciiTheme="minorHAnsi" w:eastAsia="MS Mincho" w:hAnsiTheme="minorHAnsi" w:cstheme="minorHAnsi"/>
        </w:rPr>
        <w:t>.</w:t>
      </w:r>
    </w:p>
    <w:p w14:paraId="3BBB93E9" w14:textId="03678F0B"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5.10</w:t>
      </w:r>
      <w:r w:rsidRPr="0058490E">
        <w:rPr>
          <w:rFonts w:asciiTheme="minorHAnsi" w:eastAsia="MS Mincho" w:hAnsiTheme="minorHAnsi" w:cstheme="minorHAnsi"/>
        </w:rPr>
        <w:tab/>
      </w:r>
      <w:r w:rsidR="00941992" w:rsidRPr="0058490E">
        <w:rPr>
          <w:rFonts w:asciiTheme="minorHAnsi" w:eastAsia="MS Mincho" w:hAnsiTheme="minorHAnsi" w:cstheme="minorHAnsi"/>
        </w:rPr>
        <w:t xml:space="preserve">En outre, le Président considère que les Conseillers souhaitent conclure que, compte tenu du caractère urgent de ce point, une consultation par correspondance des États Membres du Conseil sera organisée pour prendre note du </w:t>
      </w:r>
      <w:r w:rsidRPr="0058490E">
        <w:rPr>
          <w:rFonts w:asciiTheme="minorHAnsi" w:eastAsia="MS Mincho" w:hAnsiTheme="minorHAnsi" w:cstheme="minorHAnsi"/>
        </w:rPr>
        <w:t>Document C21/74.</w:t>
      </w:r>
    </w:p>
    <w:p w14:paraId="2626348D" w14:textId="0A5A1636"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5.</w:t>
      </w:r>
      <w:r w:rsidR="000B1494" w:rsidRPr="0058490E">
        <w:rPr>
          <w:rFonts w:asciiTheme="minorHAnsi" w:eastAsia="MS Mincho" w:hAnsiTheme="minorHAnsi" w:cstheme="minorHAnsi"/>
        </w:rPr>
        <w:t>11</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conclu</w:t>
      </w:r>
      <w:r w:rsidR="007B0B01" w:rsidRPr="0058490E">
        <w:rPr>
          <w:rFonts w:asciiTheme="minorHAnsi" w:eastAsia="MS Mincho" w:hAnsiTheme="minorHAnsi" w:cstheme="minorHAnsi"/>
        </w:rPr>
        <w:t>.</w:t>
      </w:r>
    </w:p>
    <w:p w14:paraId="22BAD613" w14:textId="5970DE15"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rPr>
      </w:pPr>
      <w:bookmarkStart w:id="11" w:name="_Hlk75190152"/>
      <w:r w:rsidRPr="0058490E">
        <w:rPr>
          <w:rFonts w:asciiTheme="minorHAnsi" w:eastAsia="MS Mincho" w:hAnsiTheme="minorHAnsi" w:cstheme="minorHAnsi"/>
        </w:rPr>
        <w:t>6</w:t>
      </w:r>
      <w:r w:rsidRPr="0058490E">
        <w:rPr>
          <w:rFonts w:asciiTheme="minorHAnsi" w:eastAsia="MS Mincho" w:hAnsiTheme="minorHAnsi" w:cstheme="minorHAnsi"/>
        </w:rPr>
        <w:tab/>
      </w:r>
      <w:r w:rsidR="00D531F7" w:rsidRPr="0058490E">
        <w:rPr>
          <w:rFonts w:asciiTheme="minorHAnsi" w:eastAsia="MS Mincho" w:hAnsiTheme="minorHAnsi" w:cstheme="minorHAnsi"/>
        </w:rPr>
        <w:t xml:space="preserve">Participation de l'UIT aux mémorandums d'accord ayant des incidences financières et/ou stratégiques </w:t>
      </w:r>
      <w:r w:rsidRPr="0058490E">
        <w:rPr>
          <w:rFonts w:asciiTheme="minorHAnsi" w:eastAsia="MS Mincho" w:hAnsiTheme="minorHAnsi" w:cstheme="minorHAnsi"/>
        </w:rPr>
        <w:t xml:space="preserve">(Document </w:t>
      </w:r>
      <w:hyperlink r:id="rId23" w:history="1">
        <w:r w:rsidRPr="0058490E">
          <w:rPr>
            <w:rFonts w:asciiTheme="minorHAnsi" w:eastAsia="MS Mincho" w:hAnsiTheme="minorHAnsi" w:cstheme="minorHAnsi"/>
            <w:color w:val="0000FF"/>
            <w:u w:val="single"/>
            <w:lang w:eastAsia="en-GB"/>
          </w:rPr>
          <w:t>C21/45</w:t>
        </w:r>
      </w:hyperlink>
      <w:r w:rsidRPr="0058490E">
        <w:rPr>
          <w:rFonts w:asciiTheme="minorHAnsi" w:eastAsia="MS Mincho" w:hAnsiTheme="minorHAnsi" w:cstheme="minorHAnsi"/>
        </w:rPr>
        <w:t>)</w:t>
      </w:r>
    </w:p>
    <w:p w14:paraId="6388CEA7" w14:textId="5F01A4D9"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6.1</w:t>
      </w:r>
      <w:r w:rsidRPr="0058490E">
        <w:rPr>
          <w:rFonts w:asciiTheme="minorHAnsi" w:eastAsia="MS Mincho" w:hAnsiTheme="minorHAnsi" w:cstheme="minorHAnsi"/>
        </w:rPr>
        <w:tab/>
        <w:t xml:space="preserve">Le Conseiller juridique de l'UIT présente le Document C21/45 et </w:t>
      </w:r>
      <w:r w:rsidR="00001197" w:rsidRPr="0058490E">
        <w:rPr>
          <w:rFonts w:asciiTheme="minorHAnsi" w:eastAsia="MS Mincho" w:hAnsiTheme="minorHAnsi" w:cstheme="minorHAnsi"/>
        </w:rPr>
        <w:t xml:space="preserve">précise </w:t>
      </w:r>
      <w:r w:rsidRPr="0058490E">
        <w:rPr>
          <w:rFonts w:asciiTheme="minorHAnsi" w:eastAsia="MS Mincho" w:hAnsiTheme="minorHAnsi" w:cstheme="minorHAnsi"/>
        </w:rPr>
        <w:t xml:space="preserve">que ce document contient la liste des 10 mémorandums d'accord/accords qui sont susceptibles d'avoir des incidences financières et/ou stratégiques pour l'Union et qui ont été signés par l'UIT depuis </w:t>
      </w:r>
      <w:r w:rsidR="00001197" w:rsidRPr="0058490E">
        <w:rPr>
          <w:rFonts w:asciiTheme="minorHAnsi" w:eastAsia="MS Mincho" w:hAnsiTheme="minorHAnsi" w:cstheme="minorHAnsi"/>
        </w:rPr>
        <w:t xml:space="preserve">la session de 2019 du </w:t>
      </w:r>
      <w:r w:rsidRPr="0058490E">
        <w:rPr>
          <w:rFonts w:asciiTheme="minorHAnsi" w:eastAsia="MS Mincho" w:hAnsiTheme="minorHAnsi" w:cstheme="minorHAnsi"/>
        </w:rPr>
        <w:t xml:space="preserve">Conseil. Le document indique les </w:t>
      </w:r>
      <w:r w:rsidR="00001197" w:rsidRPr="0058490E">
        <w:rPr>
          <w:rFonts w:asciiTheme="minorHAnsi" w:eastAsia="MS Mincho" w:hAnsiTheme="minorHAnsi" w:cstheme="minorHAnsi"/>
        </w:rPr>
        <w:t>Bureaux/</w:t>
      </w:r>
      <w:r w:rsidRPr="0058490E">
        <w:rPr>
          <w:rFonts w:asciiTheme="minorHAnsi" w:eastAsia="MS Mincho" w:hAnsiTheme="minorHAnsi" w:cstheme="minorHAnsi"/>
        </w:rPr>
        <w:t xml:space="preserve">départements </w:t>
      </w:r>
      <w:r w:rsidR="00001197" w:rsidRPr="0058490E">
        <w:rPr>
          <w:rFonts w:asciiTheme="minorHAnsi" w:eastAsia="MS Mincho" w:hAnsiTheme="minorHAnsi" w:cstheme="minorHAnsi"/>
        </w:rPr>
        <w:t xml:space="preserve">du Secrétariat général </w:t>
      </w:r>
      <w:r w:rsidRPr="0058490E">
        <w:rPr>
          <w:rFonts w:asciiTheme="minorHAnsi" w:eastAsia="MS Mincho" w:hAnsiTheme="minorHAnsi" w:cstheme="minorHAnsi"/>
        </w:rPr>
        <w:t xml:space="preserve">responsables de chaque </w:t>
      </w:r>
      <w:r w:rsidR="0004657F" w:rsidRPr="0058490E">
        <w:rPr>
          <w:rFonts w:asciiTheme="minorHAnsi" w:eastAsia="MS Mincho" w:hAnsiTheme="minorHAnsi" w:cstheme="minorHAnsi"/>
        </w:rPr>
        <w:t>mémorandum</w:t>
      </w:r>
      <w:r w:rsidR="00001197" w:rsidRPr="0058490E">
        <w:rPr>
          <w:rFonts w:asciiTheme="minorHAnsi" w:eastAsia="MS Mincho" w:hAnsiTheme="minorHAnsi" w:cstheme="minorHAnsi"/>
        </w:rPr>
        <w:t xml:space="preserve"> </w:t>
      </w:r>
      <w:r w:rsidRPr="0058490E">
        <w:rPr>
          <w:rFonts w:asciiTheme="minorHAnsi" w:eastAsia="MS Mincho" w:hAnsiTheme="minorHAnsi" w:cstheme="minorHAnsi"/>
        </w:rPr>
        <w:t xml:space="preserve">d'accord/accord. En outre, </w:t>
      </w:r>
      <w:r w:rsidR="00001197" w:rsidRPr="0058490E">
        <w:rPr>
          <w:rFonts w:asciiTheme="minorHAnsi" w:eastAsia="MS Mincho" w:hAnsiTheme="minorHAnsi" w:cstheme="minorHAnsi"/>
        </w:rPr>
        <w:t xml:space="preserve">le </w:t>
      </w:r>
      <w:r w:rsidRPr="0058490E">
        <w:rPr>
          <w:rFonts w:asciiTheme="minorHAnsi" w:eastAsia="MS Mincho" w:hAnsiTheme="minorHAnsi" w:cstheme="minorHAnsi"/>
        </w:rPr>
        <w:t>texte</w:t>
      </w:r>
      <w:r w:rsidR="00001197" w:rsidRPr="0058490E">
        <w:rPr>
          <w:rFonts w:asciiTheme="minorHAnsi" w:eastAsia="MS Mincho" w:hAnsiTheme="minorHAnsi" w:cstheme="minorHAnsi"/>
        </w:rPr>
        <w:t xml:space="preserve"> intégral</w:t>
      </w:r>
      <w:r w:rsidRPr="0058490E">
        <w:rPr>
          <w:rFonts w:asciiTheme="minorHAnsi" w:eastAsia="MS Mincho" w:hAnsiTheme="minorHAnsi" w:cstheme="minorHAnsi"/>
        </w:rPr>
        <w:t xml:space="preserve"> des différents </w:t>
      </w:r>
      <w:r w:rsidR="0004657F" w:rsidRPr="0058490E">
        <w:rPr>
          <w:rFonts w:asciiTheme="minorHAnsi" w:eastAsia="MS Mincho" w:hAnsiTheme="minorHAnsi" w:cstheme="minorHAnsi"/>
        </w:rPr>
        <w:t>mémorandum</w:t>
      </w:r>
      <w:r w:rsidR="00001197" w:rsidRPr="0058490E">
        <w:rPr>
          <w:rFonts w:asciiTheme="minorHAnsi" w:eastAsia="MS Mincho" w:hAnsiTheme="minorHAnsi" w:cstheme="minorHAnsi"/>
        </w:rPr>
        <w:t>s d'accord</w:t>
      </w:r>
      <w:r w:rsidRPr="0058490E">
        <w:rPr>
          <w:rFonts w:asciiTheme="minorHAnsi" w:eastAsia="MS Mincho" w:hAnsiTheme="minorHAnsi" w:cstheme="minorHAnsi"/>
        </w:rPr>
        <w:t xml:space="preserve">/accords </w:t>
      </w:r>
      <w:r w:rsidR="00001197" w:rsidRPr="0058490E">
        <w:rPr>
          <w:rFonts w:asciiTheme="minorHAnsi" w:eastAsia="MS Mincho" w:hAnsiTheme="minorHAnsi" w:cstheme="minorHAnsi"/>
        </w:rPr>
        <w:t xml:space="preserve">est </w:t>
      </w:r>
      <w:r w:rsidRPr="0058490E">
        <w:rPr>
          <w:rFonts w:asciiTheme="minorHAnsi" w:eastAsia="MS Mincho" w:hAnsiTheme="minorHAnsi" w:cstheme="minorHAnsi"/>
        </w:rPr>
        <w:t>reproduit dans l'annexe du document.</w:t>
      </w:r>
    </w:p>
    <w:p w14:paraId="126CBFF3" w14:textId="587FD013"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6.2</w:t>
      </w:r>
      <w:r w:rsidRPr="0058490E">
        <w:rPr>
          <w:rFonts w:asciiTheme="minorHAnsi" w:eastAsia="MS Mincho" w:hAnsiTheme="minorHAnsi" w:cstheme="minorHAnsi"/>
        </w:rPr>
        <w:tab/>
        <w:t xml:space="preserve">Plusieurs </w:t>
      </w:r>
      <w:r w:rsidR="00001197" w:rsidRPr="0058490E">
        <w:rPr>
          <w:rFonts w:asciiTheme="minorHAnsi" w:eastAsia="MS Mincho" w:hAnsiTheme="minorHAnsi" w:cstheme="minorHAnsi"/>
        </w:rPr>
        <w:t>C</w:t>
      </w:r>
      <w:r w:rsidRPr="0058490E">
        <w:rPr>
          <w:rFonts w:asciiTheme="minorHAnsi" w:eastAsia="MS Mincho" w:hAnsiTheme="minorHAnsi" w:cstheme="minorHAnsi"/>
        </w:rPr>
        <w:t xml:space="preserve">onseillers, se référant à une clause figurant dans presque tous les </w:t>
      </w:r>
      <w:r w:rsidR="0004657F" w:rsidRPr="0058490E">
        <w:rPr>
          <w:rFonts w:asciiTheme="minorHAnsi" w:eastAsia="MS Mincho" w:hAnsiTheme="minorHAnsi" w:cstheme="minorHAnsi"/>
        </w:rPr>
        <w:t>mémorandum</w:t>
      </w:r>
      <w:r w:rsidRPr="0058490E">
        <w:rPr>
          <w:rFonts w:asciiTheme="minorHAnsi" w:eastAsia="MS Mincho" w:hAnsiTheme="minorHAnsi" w:cstheme="minorHAnsi"/>
        </w:rPr>
        <w:t xml:space="preserve">s d'accord, </w:t>
      </w:r>
      <w:r w:rsidR="00001197" w:rsidRPr="0058490E">
        <w:rPr>
          <w:rFonts w:asciiTheme="minorHAnsi" w:eastAsia="MS Mincho" w:hAnsiTheme="minorHAnsi" w:cstheme="minorHAnsi"/>
        </w:rPr>
        <w:t xml:space="preserve">sont d'avis </w:t>
      </w:r>
      <w:r w:rsidRPr="0058490E">
        <w:rPr>
          <w:rFonts w:asciiTheme="minorHAnsi" w:eastAsia="MS Mincho" w:hAnsiTheme="minorHAnsi" w:cstheme="minorHAnsi"/>
        </w:rPr>
        <w:t xml:space="preserve">que la responsabilité et la transparence seraient améliorées si les États </w:t>
      </w:r>
      <w:r w:rsidR="00001197" w:rsidRPr="0058490E">
        <w:rPr>
          <w:rFonts w:asciiTheme="minorHAnsi" w:eastAsia="MS Mincho" w:hAnsiTheme="minorHAnsi" w:cstheme="minorHAnsi"/>
        </w:rPr>
        <w:t>M</w:t>
      </w:r>
      <w:r w:rsidRPr="0058490E">
        <w:rPr>
          <w:rFonts w:asciiTheme="minorHAnsi" w:eastAsia="MS Mincho" w:hAnsiTheme="minorHAnsi" w:cstheme="minorHAnsi"/>
        </w:rPr>
        <w:t xml:space="preserve">embres </w:t>
      </w:r>
      <w:r w:rsidR="00E91C6F" w:rsidRPr="0058490E">
        <w:rPr>
          <w:rFonts w:asciiTheme="minorHAnsi" w:eastAsia="MS Mincho" w:hAnsiTheme="minorHAnsi" w:cstheme="minorHAnsi"/>
        </w:rPr>
        <w:t xml:space="preserve">pouvaient </w:t>
      </w:r>
      <w:r w:rsidRPr="0058490E">
        <w:rPr>
          <w:rFonts w:asciiTheme="minorHAnsi" w:eastAsia="MS Mincho" w:hAnsiTheme="minorHAnsi" w:cstheme="minorHAnsi"/>
        </w:rPr>
        <w:t xml:space="preserve">utiliser un outil tel que le tableau de bord en ligne du BDT pour </w:t>
      </w:r>
      <w:r w:rsidR="00001197" w:rsidRPr="0058490E">
        <w:rPr>
          <w:rFonts w:asciiTheme="minorHAnsi" w:eastAsia="MS Mincho" w:hAnsiTheme="minorHAnsi" w:cstheme="minorHAnsi"/>
        </w:rPr>
        <w:t xml:space="preserve">vérifier </w:t>
      </w:r>
      <w:r w:rsidRPr="0058490E">
        <w:rPr>
          <w:rFonts w:asciiTheme="minorHAnsi" w:eastAsia="MS Mincho" w:hAnsiTheme="minorHAnsi" w:cstheme="minorHAnsi"/>
        </w:rPr>
        <w:t xml:space="preserve">le statut des </w:t>
      </w:r>
      <w:r w:rsidR="0004657F" w:rsidRPr="0058490E">
        <w:rPr>
          <w:rFonts w:asciiTheme="minorHAnsi" w:eastAsia="MS Mincho" w:hAnsiTheme="minorHAnsi" w:cstheme="minorHAnsi"/>
        </w:rPr>
        <w:t>mémorandum</w:t>
      </w:r>
      <w:r w:rsidRPr="0058490E">
        <w:rPr>
          <w:rFonts w:asciiTheme="minorHAnsi" w:eastAsia="MS Mincho" w:hAnsiTheme="minorHAnsi" w:cstheme="minorHAnsi"/>
        </w:rPr>
        <w:t xml:space="preserve">s actifs, en particulier ceux qui ont des </w:t>
      </w:r>
      <w:r w:rsidR="00001197" w:rsidRPr="0058490E">
        <w:rPr>
          <w:rFonts w:asciiTheme="minorHAnsi" w:eastAsia="MS Mincho" w:hAnsiTheme="minorHAnsi" w:cstheme="minorHAnsi"/>
        </w:rPr>
        <w:t xml:space="preserve">incidences </w:t>
      </w:r>
      <w:r w:rsidRPr="0058490E">
        <w:rPr>
          <w:rFonts w:asciiTheme="minorHAnsi" w:eastAsia="MS Mincho" w:hAnsiTheme="minorHAnsi" w:cstheme="minorHAnsi"/>
        </w:rPr>
        <w:t xml:space="preserve">stratégiques ou financières et pour lesquels un ou plusieurs accords écrits juridiquement contraignants, des </w:t>
      </w:r>
      <w:r w:rsidR="00001197" w:rsidRPr="0058490E">
        <w:rPr>
          <w:rFonts w:asciiTheme="minorHAnsi" w:eastAsia="MS Mincho" w:hAnsiTheme="minorHAnsi" w:cstheme="minorHAnsi"/>
        </w:rPr>
        <w:t>descriptifs</w:t>
      </w:r>
      <w:r w:rsidRPr="0058490E">
        <w:rPr>
          <w:rFonts w:asciiTheme="minorHAnsi" w:eastAsia="MS Mincho" w:hAnsiTheme="minorHAnsi" w:cstheme="minorHAnsi"/>
        </w:rPr>
        <w:t xml:space="preserve"> de projet et/ou d'autres instruments ont été négociés et signés séparément.</w:t>
      </w:r>
    </w:p>
    <w:p w14:paraId="710C9A9A" w14:textId="27C7E09E"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lastRenderedPageBreak/>
        <w:t>6.3</w:t>
      </w:r>
      <w:r w:rsidRPr="0058490E">
        <w:rPr>
          <w:rFonts w:asciiTheme="minorHAnsi" w:eastAsia="MS Mincho" w:hAnsiTheme="minorHAnsi" w:cstheme="minorHAnsi"/>
        </w:rPr>
        <w:tab/>
        <w:t xml:space="preserve">Un certain nombre de </w:t>
      </w:r>
      <w:r w:rsidR="0004657F" w:rsidRPr="0058490E">
        <w:rPr>
          <w:rFonts w:asciiTheme="minorHAnsi" w:eastAsia="MS Mincho" w:hAnsiTheme="minorHAnsi" w:cstheme="minorHAnsi"/>
        </w:rPr>
        <w:t>C</w:t>
      </w:r>
      <w:r w:rsidRPr="0058490E">
        <w:rPr>
          <w:rFonts w:asciiTheme="minorHAnsi" w:eastAsia="MS Mincho" w:hAnsiTheme="minorHAnsi" w:cstheme="minorHAnsi"/>
        </w:rPr>
        <w:t>onseillers demand</w:t>
      </w:r>
      <w:r w:rsidR="0004657F" w:rsidRPr="0058490E">
        <w:rPr>
          <w:rFonts w:asciiTheme="minorHAnsi" w:eastAsia="MS Mincho" w:hAnsiTheme="minorHAnsi" w:cstheme="minorHAnsi"/>
        </w:rPr>
        <w:t>ent</w:t>
      </w:r>
      <w:r w:rsidRPr="0058490E">
        <w:rPr>
          <w:rFonts w:asciiTheme="minorHAnsi" w:eastAsia="MS Mincho" w:hAnsiTheme="minorHAnsi" w:cstheme="minorHAnsi"/>
        </w:rPr>
        <w:t xml:space="preserve"> des éclaircissements sur d'autres aspects des </w:t>
      </w:r>
      <w:r w:rsidR="0004657F" w:rsidRPr="0058490E">
        <w:rPr>
          <w:rFonts w:asciiTheme="minorHAnsi" w:eastAsia="MS Mincho" w:hAnsiTheme="minorHAnsi" w:cstheme="minorHAnsi"/>
        </w:rPr>
        <w:t>mémorandum</w:t>
      </w:r>
      <w:r w:rsidRPr="0058490E">
        <w:rPr>
          <w:rFonts w:asciiTheme="minorHAnsi" w:eastAsia="MS Mincho" w:hAnsiTheme="minorHAnsi" w:cstheme="minorHAnsi"/>
        </w:rPr>
        <w:t xml:space="preserve">s d'accord, en particulier les critères à remplir avant </w:t>
      </w:r>
      <w:r w:rsidR="0004657F" w:rsidRPr="0058490E">
        <w:rPr>
          <w:rFonts w:asciiTheme="minorHAnsi" w:eastAsia="MS Mincho" w:hAnsiTheme="minorHAnsi" w:cstheme="minorHAnsi"/>
        </w:rPr>
        <w:t>qu</w:t>
      </w:r>
      <w:r w:rsidRPr="0058490E">
        <w:rPr>
          <w:rFonts w:asciiTheme="minorHAnsi" w:eastAsia="MS Mincho" w:hAnsiTheme="minorHAnsi" w:cstheme="minorHAnsi"/>
        </w:rPr>
        <w:t>'un mémorandum d'accord</w:t>
      </w:r>
      <w:r w:rsidR="0004657F" w:rsidRPr="0058490E">
        <w:rPr>
          <w:rFonts w:asciiTheme="minorHAnsi" w:eastAsia="MS Mincho" w:hAnsiTheme="minorHAnsi" w:cstheme="minorHAnsi"/>
        </w:rPr>
        <w:t xml:space="preserve"> soit signé</w:t>
      </w:r>
      <w:r w:rsidRPr="0058490E">
        <w:rPr>
          <w:rFonts w:asciiTheme="minorHAnsi" w:eastAsia="MS Mincho" w:hAnsiTheme="minorHAnsi" w:cstheme="minorHAnsi"/>
        </w:rPr>
        <w:t xml:space="preserve">, les accords de détachement, l'absence d'un format de mémorandum d'accord normalisé et l'absence de spécification d'une date de </w:t>
      </w:r>
      <w:r w:rsidR="0004657F" w:rsidRPr="0058490E">
        <w:rPr>
          <w:rFonts w:asciiTheme="minorHAnsi" w:eastAsia="MS Mincho" w:hAnsiTheme="minorHAnsi" w:cstheme="minorHAnsi"/>
        </w:rPr>
        <w:t>dénonciation</w:t>
      </w:r>
      <w:r w:rsidRPr="0058490E">
        <w:rPr>
          <w:rFonts w:asciiTheme="minorHAnsi" w:eastAsia="MS Mincho" w:hAnsiTheme="minorHAnsi" w:cstheme="minorHAnsi"/>
        </w:rPr>
        <w:t xml:space="preserve"> </w:t>
      </w:r>
      <w:r w:rsidR="0004657F" w:rsidRPr="0058490E">
        <w:rPr>
          <w:rFonts w:asciiTheme="minorHAnsi" w:eastAsia="MS Mincho" w:hAnsiTheme="minorHAnsi" w:cstheme="minorHAnsi"/>
        </w:rPr>
        <w:t>précise</w:t>
      </w:r>
      <w:r w:rsidRPr="0058490E">
        <w:rPr>
          <w:rFonts w:asciiTheme="minorHAnsi" w:eastAsia="MS Mincho" w:hAnsiTheme="minorHAnsi" w:cstheme="minorHAnsi"/>
        </w:rPr>
        <w:t>.</w:t>
      </w:r>
    </w:p>
    <w:p w14:paraId="0B93F12C" w14:textId="5B6A2E3D"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6.4</w:t>
      </w:r>
      <w:r w:rsidRPr="0058490E">
        <w:rPr>
          <w:rFonts w:asciiTheme="minorHAnsi" w:eastAsia="MS Mincho" w:hAnsiTheme="minorHAnsi" w:cstheme="minorHAnsi"/>
        </w:rPr>
        <w:tab/>
        <w:t xml:space="preserve">Le Secrétaire général </w:t>
      </w:r>
      <w:r w:rsidR="00790D88" w:rsidRPr="0058490E">
        <w:rPr>
          <w:rFonts w:asciiTheme="minorHAnsi" w:eastAsia="MS Mincho" w:hAnsiTheme="minorHAnsi" w:cstheme="minorHAnsi"/>
        </w:rPr>
        <w:t xml:space="preserve">dit qu'il prend </w:t>
      </w:r>
      <w:r w:rsidRPr="0058490E">
        <w:rPr>
          <w:rFonts w:asciiTheme="minorHAnsi" w:eastAsia="MS Mincho" w:hAnsiTheme="minorHAnsi" w:cstheme="minorHAnsi"/>
        </w:rPr>
        <w:t xml:space="preserve">note du </w:t>
      </w:r>
      <w:r w:rsidR="0004657F" w:rsidRPr="0058490E">
        <w:rPr>
          <w:rFonts w:asciiTheme="minorHAnsi" w:eastAsia="MS Mincho" w:hAnsiTheme="minorHAnsi" w:cstheme="minorHAnsi"/>
        </w:rPr>
        <w:t xml:space="preserve">souhait </w:t>
      </w:r>
      <w:r w:rsidRPr="0058490E">
        <w:rPr>
          <w:rFonts w:asciiTheme="minorHAnsi" w:eastAsia="MS Mincho" w:hAnsiTheme="minorHAnsi" w:cstheme="minorHAnsi"/>
        </w:rPr>
        <w:t xml:space="preserve">de transparence en ce qui concerne les </w:t>
      </w:r>
      <w:r w:rsidR="0004657F" w:rsidRPr="0058490E">
        <w:rPr>
          <w:rFonts w:asciiTheme="minorHAnsi" w:eastAsia="MS Mincho" w:hAnsiTheme="minorHAnsi" w:cstheme="minorHAnsi"/>
        </w:rPr>
        <w:t xml:space="preserve">mémorandums </w:t>
      </w:r>
      <w:r w:rsidRPr="0058490E">
        <w:rPr>
          <w:rFonts w:asciiTheme="minorHAnsi" w:eastAsia="MS Mincho" w:hAnsiTheme="minorHAnsi" w:cstheme="minorHAnsi"/>
        </w:rPr>
        <w:t xml:space="preserve">d'accord/accords, et que le secrétariat </w:t>
      </w:r>
      <w:r w:rsidR="0004657F" w:rsidRPr="0058490E">
        <w:rPr>
          <w:rFonts w:asciiTheme="minorHAnsi" w:eastAsia="MS Mincho" w:hAnsiTheme="minorHAnsi" w:cstheme="minorHAnsi"/>
        </w:rPr>
        <w:t xml:space="preserve">s'emploie activement à </w:t>
      </w:r>
      <w:r w:rsidRPr="0058490E">
        <w:rPr>
          <w:rFonts w:asciiTheme="minorHAnsi" w:eastAsia="MS Mincho" w:hAnsiTheme="minorHAnsi" w:cstheme="minorHAnsi"/>
        </w:rPr>
        <w:t xml:space="preserve">fournir aux </w:t>
      </w:r>
      <w:r w:rsidR="0004657F" w:rsidRPr="0058490E">
        <w:rPr>
          <w:rFonts w:asciiTheme="minorHAnsi" w:eastAsia="MS Mincho" w:hAnsiTheme="minorHAnsi" w:cstheme="minorHAnsi"/>
        </w:rPr>
        <w:t>C</w:t>
      </w:r>
      <w:r w:rsidRPr="0058490E">
        <w:rPr>
          <w:rFonts w:asciiTheme="minorHAnsi" w:eastAsia="MS Mincho" w:hAnsiTheme="minorHAnsi" w:cstheme="minorHAnsi"/>
        </w:rPr>
        <w:t xml:space="preserve">onseillers des informations complètes et transparentes. Il </w:t>
      </w:r>
      <w:r w:rsidR="00790D88" w:rsidRPr="0058490E">
        <w:rPr>
          <w:rFonts w:asciiTheme="minorHAnsi" w:eastAsia="MS Mincho" w:hAnsiTheme="minorHAnsi" w:cstheme="minorHAnsi"/>
        </w:rPr>
        <w:t xml:space="preserve">prend </w:t>
      </w:r>
      <w:r w:rsidRPr="0058490E">
        <w:rPr>
          <w:rFonts w:asciiTheme="minorHAnsi" w:eastAsia="MS Mincho" w:hAnsiTheme="minorHAnsi" w:cstheme="minorHAnsi"/>
        </w:rPr>
        <w:t xml:space="preserve">également note du souhait </w:t>
      </w:r>
      <w:r w:rsidR="00790D88" w:rsidRPr="0058490E">
        <w:rPr>
          <w:rFonts w:asciiTheme="minorHAnsi" w:eastAsia="MS Mincho" w:hAnsiTheme="minorHAnsi" w:cstheme="minorHAnsi"/>
        </w:rPr>
        <w:t xml:space="preserve">de disposer </w:t>
      </w:r>
      <w:r w:rsidRPr="0058490E">
        <w:rPr>
          <w:rFonts w:asciiTheme="minorHAnsi" w:eastAsia="MS Mincho" w:hAnsiTheme="minorHAnsi" w:cstheme="minorHAnsi"/>
        </w:rPr>
        <w:t xml:space="preserve">d'un format </w:t>
      </w:r>
      <w:r w:rsidR="00790D88" w:rsidRPr="0058490E">
        <w:rPr>
          <w:rFonts w:asciiTheme="minorHAnsi" w:eastAsia="MS Mincho" w:hAnsiTheme="minorHAnsi" w:cstheme="minorHAnsi"/>
        </w:rPr>
        <w:t>normalisé</w:t>
      </w:r>
      <w:r w:rsidRPr="0058490E">
        <w:rPr>
          <w:rFonts w:asciiTheme="minorHAnsi" w:eastAsia="MS Mincho" w:hAnsiTheme="minorHAnsi" w:cstheme="minorHAnsi"/>
        </w:rPr>
        <w:t xml:space="preserve">, bien qu'il soit difficile dans la pratique d'envisager un </w:t>
      </w:r>
      <w:r w:rsidR="00790D88" w:rsidRPr="0058490E">
        <w:rPr>
          <w:rFonts w:asciiTheme="minorHAnsi" w:eastAsia="MS Mincho" w:hAnsiTheme="minorHAnsi" w:cstheme="minorHAnsi"/>
        </w:rPr>
        <w:t xml:space="preserve">tel </w:t>
      </w:r>
      <w:r w:rsidRPr="0058490E">
        <w:rPr>
          <w:rFonts w:asciiTheme="minorHAnsi" w:eastAsia="MS Mincho" w:hAnsiTheme="minorHAnsi" w:cstheme="minorHAnsi"/>
        </w:rPr>
        <w:t xml:space="preserve">format, compte tenu de la diversité des partenaires et des situations concernés. </w:t>
      </w:r>
      <w:r w:rsidR="00E91C6F" w:rsidRPr="0058490E">
        <w:rPr>
          <w:rFonts w:asciiTheme="minorHAnsi" w:eastAsia="MS Mincho" w:hAnsiTheme="minorHAnsi" w:cstheme="minorHAnsi"/>
        </w:rPr>
        <w:t xml:space="preserve">S'agissant des </w:t>
      </w:r>
      <w:r w:rsidRPr="0058490E">
        <w:rPr>
          <w:rFonts w:asciiTheme="minorHAnsi" w:eastAsia="MS Mincho" w:hAnsiTheme="minorHAnsi" w:cstheme="minorHAnsi"/>
        </w:rPr>
        <w:t xml:space="preserve">détachements de personnel </w:t>
      </w:r>
      <w:r w:rsidR="00790D88" w:rsidRPr="0058490E">
        <w:rPr>
          <w:rFonts w:asciiTheme="minorHAnsi" w:eastAsia="MS Mincho" w:hAnsiTheme="minorHAnsi" w:cstheme="minorHAnsi"/>
        </w:rPr>
        <w:t>provenant d'</w:t>
      </w:r>
      <w:r w:rsidRPr="0058490E">
        <w:rPr>
          <w:rFonts w:asciiTheme="minorHAnsi" w:eastAsia="MS Mincho" w:hAnsiTheme="minorHAnsi" w:cstheme="minorHAnsi"/>
        </w:rPr>
        <w:t xml:space="preserve">administrations et </w:t>
      </w:r>
      <w:r w:rsidR="00790D88" w:rsidRPr="0058490E">
        <w:rPr>
          <w:rFonts w:asciiTheme="minorHAnsi" w:eastAsia="MS Mincho" w:hAnsiTheme="minorHAnsi" w:cstheme="minorHAnsi"/>
        </w:rPr>
        <w:t xml:space="preserve">d'institutions </w:t>
      </w:r>
      <w:r w:rsidRPr="0058490E">
        <w:rPr>
          <w:rFonts w:asciiTheme="minorHAnsi" w:eastAsia="MS Mincho" w:hAnsiTheme="minorHAnsi" w:cstheme="minorHAnsi"/>
        </w:rPr>
        <w:t>des Nations Unies, ce type d'a</w:t>
      </w:r>
      <w:r w:rsidR="00790D88" w:rsidRPr="0058490E">
        <w:rPr>
          <w:rFonts w:asciiTheme="minorHAnsi" w:eastAsia="MS Mincho" w:hAnsiTheme="minorHAnsi" w:cstheme="minorHAnsi"/>
        </w:rPr>
        <w:t xml:space="preserve">ccord </w:t>
      </w:r>
      <w:r w:rsidRPr="0058490E">
        <w:rPr>
          <w:rFonts w:asciiTheme="minorHAnsi" w:eastAsia="MS Mincho" w:hAnsiTheme="minorHAnsi" w:cstheme="minorHAnsi"/>
        </w:rPr>
        <w:t xml:space="preserve">est très </w:t>
      </w:r>
      <w:r w:rsidR="00790D88" w:rsidRPr="0058490E">
        <w:rPr>
          <w:rFonts w:asciiTheme="minorHAnsi" w:eastAsia="MS Mincho" w:hAnsiTheme="minorHAnsi" w:cstheme="minorHAnsi"/>
        </w:rPr>
        <w:t>utile</w:t>
      </w:r>
      <w:r w:rsidRPr="0058490E">
        <w:rPr>
          <w:rFonts w:asciiTheme="minorHAnsi" w:eastAsia="MS Mincho" w:hAnsiTheme="minorHAnsi" w:cstheme="minorHAnsi"/>
        </w:rPr>
        <w:t xml:space="preserve">, car il aide l'Union à faire face à une charge de travail en constante </w:t>
      </w:r>
      <w:proofErr w:type="gramStart"/>
      <w:r w:rsidRPr="0058490E">
        <w:rPr>
          <w:rFonts w:asciiTheme="minorHAnsi" w:eastAsia="MS Mincho" w:hAnsiTheme="minorHAnsi" w:cstheme="minorHAnsi"/>
        </w:rPr>
        <w:t>augmentation;</w:t>
      </w:r>
      <w:proofErr w:type="gramEnd"/>
      <w:r w:rsidRPr="0058490E">
        <w:rPr>
          <w:rFonts w:asciiTheme="minorHAnsi" w:eastAsia="MS Mincho" w:hAnsiTheme="minorHAnsi" w:cstheme="minorHAnsi"/>
        </w:rPr>
        <w:t xml:space="preserve"> dans un souci d'efficacité et de transparence, les politiques pertinentes en matière de détachement pourraient être intégrées dans le plan stratégique </w:t>
      </w:r>
      <w:r w:rsidR="00790D88" w:rsidRPr="0058490E">
        <w:rPr>
          <w:rFonts w:asciiTheme="minorHAnsi" w:eastAsia="MS Mincho" w:hAnsiTheme="minorHAnsi" w:cstheme="minorHAnsi"/>
        </w:rPr>
        <w:t>de l'UIT pour l</w:t>
      </w:r>
      <w:r w:rsidRPr="0058490E">
        <w:rPr>
          <w:rFonts w:asciiTheme="minorHAnsi" w:eastAsia="MS Mincho" w:hAnsiTheme="minorHAnsi" w:cstheme="minorHAnsi"/>
        </w:rPr>
        <w:t xml:space="preserve">es ressources humaines. </w:t>
      </w:r>
    </w:p>
    <w:p w14:paraId="4597D5C3" w14:textId="45BBD0F4"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6.5</w:t>
      </w:r>
      <w:r w:rsidRPr="0058490E">
        <w:rPr>
          <w:rFonts w:asciiTheme="minorHAnsi" w:eastAsia="MS Mincho" w:hAnsiTheme="minorHAnsi" w:cstheme="minorHAnsi"/>
        </w:rPr>
        <w:tab/>
        <w:t>Le Conseiller juridique de l'UIT confirm</w:t>
      </w:r>
      <w:r w:rsidR="00790D88" w:rsidRPr="0058490E">
        <w:rPr>
          <w:rFonts w:asciiTheme="minorHAnsi" w:eastAsia="MS Mincho" w:hAnsiTheme="minorHAnsi" w:cstheme="minorHAnsi"/>
        </w:rPr>
        <w:t>e</w:t>
      </w:r>
      <w:r w:rsidRPr="0058490E">
        <w:rPr>
          <w:rFonts w:asciiTheme="minorHAnsi" w:eastAsia="MS Mincho" w:hAnsiTheme="minorHAnsi" w:cstheme="minorHAnsi"/>
        </w:rPr>
        <w:t xml:space="preserve"> que si de nombreux mémorandums d'accord constituent simplement un cadre de coopération n'entraînant aucune obligation pour les parties, ils peuvent dans certains cas être mis en œuvre par le biais d'accords contraignants et susceptibles d'avoir des incidences financières</w:t>
      </w:r>
      <w:r w:rsidR="00F7766B" w:rsidRPr="0058490E">
        <w:rPr>
          <w:rFonts w:asciiTheme="minorHAnsi" w:eastAsia="MS Mincho" w:hAnsiTheme="minorHAnsi" w:cstheme="minorHAnsi"/>
        </w:rPr>
        <w:t>/stratégiques</w:t>
      </w:r>
      <w:r w:rsidR="00790D88" w:rsidRPr="0058490E">
        <w:rPr>
          <w:rFonts w:asciiTheme="minorHAnsi" w:eastAsia="MS Mincho" w:hAnsiTheme="minorHAnsi" w:cstheme="minorHAnsi"/>
        </w:rPr>
        <w:t>.</w:t>
      </w:r>
      <w:r w:rsidRPr="0058490E">
        <w:rPr>
          <w:rFonts w:asciiTheme="minorHAnsi" w:eastAsia="MS Mincho" w:hAnsiTheme="minorHAnsi" w:cstheme="minorHAnsi"/>
        </w:rPr>
        <w:t xml:space="preserve"> </w:t>
      </w:r>
      <w:r w:rsidR="00790D88" w:rsidRPr="0058490E">
        <w:rPr>
          <w:rFonts w:asciiTheme="minorHAnsi" w:eastAsia="MS Mincho" w:hAnsiTheme="minorHAnsi" w:cstheme="minorHAnsi"/>
        </w:rPr>
        <w:t xml:space="preserve">Il </w:t>
      </w:r>
      <w:r w:rsidRPr="0058490E">
        <w:rPr>
          <w:rFonts w:asciiTheme="minorHAnsi" w:eastAsia="MS Mincho" w:hAnsiTheme="minorHAnsi" w:cstheme="minorHAnsi"/>
        </w:rPr>
        <w:t>déclar</w:t>
      </w:r>
      <w:r w:rsidR="00790D88" w:rsidRPr="0058490E">
        <w:rPr>
          <w:rFonts w:asciiTheme="minorHAnsi" w:eastAsia="MS Mincho" w:hAnsiTheme="minorHAnsi" w:cstheme="minorHAnsi"/>
        </w:rPr>
        <w:t>e</w:t>
      </w:r>
      <w:r w:rsidRPr="0058490E">
        <w:rPr>
          <w:rFonts w:asciiTheme="minorHAnsi" w:eastAsia="MS Mincho" w:hAnsiTheme="minorHAnsi" w:cstheme="minorHAnsi"/>
        </w:rPr>
        <w:t xml:space="preserve"> que </w:t>
      </w:r>
      <w:r w:rsidR="00790D88" w:rsidRPr="0058490E">
        <w:rPr>
          <w:rFonts w:asciiTheme="minorHAnsi" w:eastAsia="MS Mincho" w:hAnsiTheme="minorHAnsi" w:cstheme="minorHAnsi"/>
        </w:rPr>
        <w:t>d</w:t>
      </w:r>
      <w:r w:rsidRPr="0058490E">
        <w:rPr>
          <w:rFonts w:asciiTheme="minorHAnsi" w:eastAsia="MS Mincho" w:hAnsiTheme="minorHAnsi" w:cstheme="minorHAnsi"/>
        </w:rPr>
        <w:t>es travaux commencer</w:t>
      </w:r>
      <w:r w:rsidR="00790D88" w:rsidRPr="0058490E">
        <w:rPr>
          <w:rFonts w:asciiTheme="minorHAnsi" w:eastAsia="MS Mincho" w:hAnsiTheme="minorHAnsi" w:cstheme="minorHAnsi"/>
        </w:rPr>
        <w:t>o</w:t>
      </w:r>
      <w:r w:rsidRPr="0058490E">
        <w:rPr>
          <w:rFonts w:asciiTheme="minorHAnsi" w:eastAsia="MS Mincho" w:hAnsiTheme="minorHAnsi" w:cstheme="minorHAnsi"/>
        </w:rPr>
        <w:t xml:space="preserve">nt immédiatement après </w:t>
      </w:r>
      <w:r w:rsidR="00790D88" w:rsidRPr="0058490E">
        <w:rPr>
          <w:rFonts w:asciiTheme="minorHAnsi" w:eastAsia="MS Mincho" w:hAnsiTheme="minorHAnsi" w:cstheme="minorHAnsi"/>
        </w:rPr>
        <w:t xml:space="preserve">la consultation virtuelle des Conseillers concernant </w:t>
      </w:r>
      <w:r w:rsidRPr="0058490E">
        <w:rPr>
          <w:rFonts w:asciiTheme="minorHAnsi" w:eastAsia="MS Mincho" w:hAnsiTheme="minorHAnsi" w:cstheme="minorHAnsi"/>
        </w:rPr>
        <w:t xml:space="preserve">l'outil le plus approprié </w:t>
      </w:r>
      <w:r w:rsidR="00790D88" w:rsidRPr="0058490E">
        <w:rPr>
          <w:rFonts w:asciiTheme="minorHAnsi" w:eastAsia="MS Mincho" w:hAnsiTheme="minorHAnsi" w:cstheme="minorHAnsi"/>
        </w:rPr>
        <w:t xml:space="preserve">permettant de </w:t>
      </w:r>
      <w:r w:rsidRPr="0058490E">
        <w:rPr>
          <w:rFonts w:asciiTheme="minorHAnsi" w:eastAsia="MS Mincho" w:hAnsiTheme="minorHAnsi" w:cstheme="minorHAnsi"/>
        </w:rPr>
        <w:t xml:space="preserve">fournir aux </w:t>
      </w:r>
      <w:r w:rsidR="00790D88" w:rsidRPr="0058490E">
        <w:rPr>
          <w:rFonts w:asciiTheme="minorHAnsi" w:eastAsia="MS Mincho" w:hAnsiTheme="minorHAnsi" w:cstheme="minorHAnsi"/>
        </w:rPr>
        <w:t>C</w:t>
      </w:r>
      <w:r w:rsidRPr="0058490E">
        <w:rPr>
          <w:rFonts w:asciiTheme="minorHAnsi" w:eastAsia="MS Mincho" w:hAnsiTheme="minorHAnsi" w:cstheme="minorHAnsi"/>
        </w:rPr>
        <w:t xml:space="preserve">onseillers des informations complètes et transparentes sur les mémorandums d'accord/accords conclus par l'Union et ayant des incidences financières ou stratégiques importantes, y compris, le cas échéant, leurs modalités. Les critères </w:t>
      </w:r>
      <w:r w:rsidR="00790D88" w:rsidRPr="0058490E">
        <w:rPr>
          <w:rFonts w:asciiTheme="minorHAnsi" w:eastAsia="MS Mincho" w:hAnsiTheme="minorHAnsi" w:cstheme="minorHAnsi"/>
        </w:rPr>
        <w:t xml:space="preserve">à respecter pour la </w:t>
      </w:r>
      <w:r w:rsidRPr="0058490E">
        <w:rPr>
          <w:rFonts w:asciiTheme="minorHAnsi" w:eastAsia="MS Mincho" w:hAnsiTheme="minorHAnsi" w:cstheme="minorHAnsi"/>
        </w:rPr>
        <w:t xml:space="preserve">conclusion d'un </w:t>
      </w:r>
      <w:r w:rsidR="00790D88" w:rsidRPr="0058490E">
        <w:rPr>
          <w:rFonts w:asciiTheme="minorHAnsi" w:eastAsia="MS Mincho" w:hAnsiTheme="minorHAnsi" w:cstheme="minorHAnsi"/>
        </w:rPr>
        <w:t>mémorand</w:t>
      </w:r>
      <w:r w:rsidR="00214698" w:rsidRPr="0058490E">
        <w:rPr>
          <w:rFonts w:asciiTheme="minorHAnsi" w:eastAsia="MS Mincho" w:hAnsiTheme="minorHAnsi" w:cstheme="minorHAnsi"/>
        </w:rPr>
        <w:t>u</w:t>
      </w:r>
      <w:r w:rsidR="00790D88" w:rsidRPr="0058490E">
        <w:rPr>
          <w:rFonts w:asciiTheme="minorHAnsi" w:eastAsia="MS Mincho" w:hAnsiTheme="minorHAnsi" w:cstheme="minorHAnsi"/>
        </w:rPr>
        <w:t xml:space="preserve">m </w:t>
      </w:r>
      <w:r w:rsidRPr="0058490E">
        <w:rPr>
          <w:rFonts w:asciiTheme="minorHAnsi" w:eastAsia="MS Mincho" w:hAnsiTheme="minorHAnsi" w:cstheme="minorHAnsi"/>
        </w:rPr>
        <w:t xml:space="preserve">d'accord </w:t>
      </w:r>
      <w:r w:rsidR="00790D88" w:rsidRPr="0058490E">
        <w:rPr>
          <w:rFonts w:asciiTheme="minorHAnsi" w:eastAsia="MS Mincho" w:hAnsiTheme="minorHAnsi" w:cstheme="minorHAnsi"/>
        </w:rPr>
        <w:t xml:space="preserve">sont propres </w:t>
      </w:r>
      <w:r w:rsidRPr="0058490E">
        <w:rPr>
          <w:rFonts w:asciiTheme="minorHAnsi" w:eastAsia="MS Mincho" w:hAnsiTheme="minorHAnsi" w:cstheme="minorHAnsi"/>
        </w:rPr>
        <w:t xml:space="preserve">à chaque </w:t>
      </w:r>
      <w:r w:rsidR="00790D88" w:rsidRPr="0058490E">
        <w:rPr>
          <w:rFonts w:asciiTheme="minorHAnsi" w:eastAsia="MS Mincho" w:hAnsiTheme="minorHAnsi" w:cstheme="minorHAnsi"/>
        </w:rPr>
        <w:t xml:space="preserve">mémorandum </w:t>
      </w:r>
      <w:proofErr w:type="gramStart"/>
      <w:r w:rsidRPr="0058490E">
        <w:rPr>
          <w:rFonts w:asciiTheme="minorHAnsi" w:eastAsia="MS Mincho" w:hAnsiTheme="minorHAnsi" w:cstheme="minorHAnsi"/>
        </w:rPr>
        <w:t>d'accord;</w:t>
      </w:r>
      <w:proofErr w:type="gramEnd"/>
      <w:r w:rsidRPr="0058490E">
        <w:rPr>
          <w:rFonts w:asciiTheme="minorHAnsi" w:eastAsia="MS Mincho" w:hAnsiTheme="minorHAnsi" w:cstheme="minorHAnsi"/>
        </w:rPr>
        <w:t xml:space="preserve"> toutefois, ils </w:t>
      </w:r>
      <w:r w:rsidR="00790D88" w:rsidRPr="0058490E">
        <w:rPr>
          <w:rFonts w:asciiTheme="minorHAnsi" w:eastAsia="MS Mincho" w:hAnsiTheme="minorHAnsi" w:cstheme="minorHAnsi"/>
        </w:rPr>
        <w:t xml:space="preserve">sont </w:t>
      </w:r>
      <w:r w:rsidRPr="0058490E">
        <w:rPr>
          <w:rFonts w:asciiTheme="minorHAnsi" w:eastAsia="MS Mincho" w:hAnsiTheme="minorHAnsi" w:cstheme="minorHAnsi"/>
        </w:rPr>
        <w:t xml:space="preserve">toujours pleinement conformes aux dispositions adoptées par la PP-18 (Document 100 </w:t>
      </w:r>
      <w:r w:rsidR="009327B6" w:rsidRPr="0058490E">
        <w:rPr>
          <w:rFonts w:asciiTheme="minorHAnsi" w:eastAsia="MS Mincho" w:hAnsiTheme="minorHAnsi" w:cstheme="minorHAnsi"/>
        </w:rPr>
        <w:t>de la </w:t>
      </w:r>
      <w:r w:rsidR="00790D88" w:rsidRPr="0058490E">
        <w:rPr>
          <w:rFonts w:asciiTheme="minorHAnsi" w:eastAsia="MS Mincho" w:hAnsiTheme="minorHAnsi" w:cstheme="minorHAnsi"/>
        </w:rPr>
        <w:t>PP</w:t>
      </w:r>
      <w:r w:rsidR="00A15BDA" w:rsidRPr="0058490E">
        <w:rPr>
          <w:rFonts w:asciiTheme="minorHAnsi" w:eastAsia="MS Mincho" w:hAnsiTheme="minorHAnsi" w:cstheme="minorHAnsi"/>
        </w:rPr>
        <w:noBreakHyphen/>
      </w:r>
      <w:r w:rsidR="00790D88" w:rsidRPr="0058490E">
        <w:rPr>
          <w:rFonts w:asciiTheme="minorHAnsi" w:eastAsia="MS Mincho" w:hAnsiTheme="minorHAnsi" w:cstheme="minorHAnsi"/>
        </w:rPr>
        <w:t>18</w:t>
      </w:r>
      <w:r w:rsidRPr="0058490E">
        <w:rPr>
          <w:rFonts w:asciiTheme="minorHAnsi" w:eastAsia="MS Mincho" w:hAnsiTheme="minorHAnsi" w:cstheme="minorHAnsi"/>
        </w:rPr>
        <w:t xml:space="preserve">: Rapport du Président de la Commission 6 à la </w:t>
      </w:r>
      <w:r w:rsidR="00790D88" w:rsidRPr="0058490E">
        <w:rPr>
          <w:rFonts w:asciiTheme="minorHAnsi" w:eastAsia="MS Mincho" w:hAnsiTheme="minorHAnsi" w:cstheme="minorHAnsi"/>
        </w:rPr>
        <w:t xml:space="preserve">séance </w:t>
      </w:r>
      <w:r w:rsidRPr="0058490E">
        <w:rPr>
          <w:rFonts w:asciiTheme="minorHAnsi" w:eastAsia="MS Mincho" w:hAnsiTheme="minorHAnsi" w:cstheme="minorHAnsi"/>
        </w:rPr>
        <w:t>plénière).</w:t>
      </w:r>
    </w:p>
    <w:p w14:paraId="4DC75EAE" w14:textId="6ABA18FE"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6.6</w:t>
      </w:r>
      <w:r w:rsidRPr="0058490E">
        <w:rPr>
          <w:rFonts w:asciiTheme="minorHAnsi" w:eastAsia="MS Mincho" w:hAnsiTheme="minorHAnsi" w:cstheme="minorHAnsi"/>
        </w:rPr>
        <w:tab/>
        <w:t>Le Président consid</w:t>
      </w:r>
      <w:r w:rsidR="00790D88" w:rsidRPr="0058490E">
        <w:rPr>
          <w:rFonts w:asciiTheme="minorHAnsi" w:eastAsia="MS Mincho" w:hAnsiTheme="minorHAnsi" w:cstheme="minorHAnsi"/>
        </w:rPr>
        <w:t>ère</w:t>
      </w:r>
      <w:r w:rsidRPr="0058490E">
        <w:rPr>
          <w:rFonts w:asciiTheme="minorHAnsi" w:eastAsia="MS Mincho" w:hAnsiTheme="minorHAnsi" w:cstheme="minorHAnsi"/>
        </w:rPr>
        <w:t xml:space="preserve"> que les </w:t>
      </w:r>
      <w:r w:rsidR="00790D88" w:rsidRPr="0058490E">
        <w:rPr>
          <w:rFonts w:asciiTheme="minorHAnsi" w:eastAsia="MS Mincho" w:hAnsiTheme="minorHAnsi" w:cstheme="minorHAnsi"/>
        </w:rPr>
        <w:t>C</w:t>
      </w:r>
      <w:r w:rsidRPr="0058490E">
        <w:rPr>
          <w:rFonts w:asciiTheme="minorHAnsi" w:eastAsia="MS Mincho" w:hAnsiTheme="minorHAnsi" w:cstheme="minorHAnsi"/>
        </w:rPr>
        <w:t xml:space="preserve">onseillers souhaitent conclure que, compte tenu </w:t>
      </w:r>
      <w:r w:rsidR="00790D88" w:rsidRPr="0058490E">
        <w:rPr>
          <w:rFonts w:asciiTheme="minorHAnsi" w:eastAsia="MS Mincho" w:hAnsiTheme="minorHAnsi" w:cstheme="minorHAnsi"/>
        </w:rPr>
        <w:t xml:space="preserve">du caractère </w:t>
      </w:r>
      <w:r w:rsidRPr="0058490E">
        <w:rPr>
          <w:rFonts w:asciiTheme="minorHAnsi" w:eastAsia="MS Mincho" w:hAnsiTheme="minorHAnsi" w:cstheme="minorHAnsi"/>
        </w:rPr>
        <w:t>urgen</w:t>
      </w:r>
      <w:r w:rsidR="00790D88" w:rsidRPr="0058490E">
        <w:rPr>
          <w:rFonts w:asciiTheme="minorHAnsi" w:eastAsia="MS Mincho" w:hAnsiTheme="minorHAnsi" w:cstheme="minorHAnsi"/>
        </w:rPr>
        <w:t>t</w:t>
      </w:r>
      <w:r w:rsidRPr="0058490E">
        <w:rPr>
          <w:rFonts w:asciiTheme="minorHAnsi" w:eastAsia="MS Mincho" w:hAnsiTheme="minorHAnsi" w:cstheme="minorHAnsi"/>
        </w:rPr>
        <w:t xml:space="preserve"> de ce point, une consultation par correspondance des États </w:t>
      </w:r>
      <w:r w:rsidR="00790D88" w:rsidRPr="0058490E">
        <w:rPr>
          <w:rFonts w:asciiTheme="minorHAnsi" w:eastAsia="MS Mincho" w:hAnsiTheme="minorHAnsi" w:cstheme="minorHAnsi"/>
        </w:rPr>
        <w:t>M</w:t>
      </w:r>
      <w:r w:rsidRPr="0058490E">
        <w:rPr>
          <w:rFonts w:asciiTheme="minorHAnsi" w:eastAsia="MS Mincho" w:hAnsiTheme="minorHAnsi" w:cstheme="minorHAnsi"/>
        </w:rPr>
        <w:t xml:space="preserve">embres du Conseil </w:t>
      </w:r>
      <w:r w:rsidR="00790D88" w:rsidRPr="0058490E">
        <w:rPr>
          <w:rFonts w:asciiTheme="minorHAnsi" w:eastAsia="MS Mincho" w:hAnsiTheme="minorHAnsi" w:cstheme="minorHAnsi"/>
        </w:rPr>
        <w:t xml:space="preserve">sera organisée </w:t>
      </w:r>
      <w:r w:rsidRPr="0058490E">
        <w:rPr>
          <w:rFonts w:asciiTheme="minorHAnsi" w:eastAsia="MS Mincho" w:hAnsiTheme="minorHAnsi" w:cstheme="minorHAnsi"/>
        </w:rPr>
        <w:t xml:space="preserve">pour prendre note du rapport </w:t>
      </w:r>
      <w:r w:rsidR="005C1D6C" w:rsidRPr="0058490E">
        <w:rPr>
          <w:rFonts w:asciiTheme="minorHAnsi" w:eastAsia="MS Mincho" w:hAnsiTheme="minorHAnsi" w:cstheme="minorHAnsi"/>
        </w:rPr>
        <w:t xml:space="preserve">figurant </w:t>
      </w:r>
      <w:r w:rsidRPr="0058490E">
        <w:rPr>
          <w:rFonts w:asciiTheme="minorHAnsi" w:eastAsia="MS Mincho" w:hAnsiTheme="minorHAnsi" w:cstheme="minorHAnsi"/>
        </w:rPr>
        <w:t xml:space="preserve">dans le </w:t>
      </w:r>
      <w:r w:rsidR="005C1D6C" w:rsidRPr="0058490E">
        <w:rPr>
          <w:rFonts w:asciiTheme="minorHAnsi" w:eastAsia="MS Mincho" w:hAnsiTheme="minorHAnsi" w:cstheme="minorHAnsi"/>
        </w:rPr>
        <w:t>D</w:t>
      </w:r>
      <w:r w:rsidRPr="0058490E">
        <w:rPr>
          <w:rFonts w:asciiTheme="minorHAnsi" w:eastAsia="MS Mincho" w:hAnsiTheme="minorHAnsi" w:cstheme="minorHAnsi"/>
        </w:rPr>
        <w:t>ocument C21/45.</w:t>
      </w:r>
    </w:p>
    <w:p w14:paraId="4D651243" w14:textId="1B1DEB46" w:rsidR="00563FB9" w:rsidRPr="0058490E" w:rsidRDefault="00563FB9"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6.7</w:t>
      </w:r>
      <w:r w:rsidRPr="0058490E">
        <w:rPr>
          <w:rFonts w:asciiTheme="minorHAnsi" w:eastAsia="MS Mincho" w:hAnsiTheme="minorHAnsi" w:cstheme="minorHAnsi"/>
        </w:rPr>
        <w:tab/>
      </w:r>
      <w:r w:rsidR="007B0B01" w:rsidRPr="0058490E">
        <w:rPr>
          <w:rFonts w:asciiTheme="minorHAnsi" w:eastAsia="MS Mincho" w:hAnsiTheme="minorHAnsi" w:cstheme="minorHAnsi"/>
        </w:rPr>
        <w:t xml:space="preserve">Il en est ainsi </w:t>
      </w:r>
      <w:r w:rsidR="007B0B01" w:rsidRPr="0058490E">
        <w:rPr>
          <w:rFonts w:asciiTheme="minorHAnsi" w:eastAsia="MS Mincho" w:hAnsiTheme="minorHAnsi" w:cstheme="minorHAnsi"/>
          <w:b/>
          <w:bCs/>
        </w:rPr>
        <w:t>conclu</w:t>
      </w:r>
      <w:r w:rsidR="007B0B01" w:rsidRPr="0058490E">
        <w:rPr>
          <w:rFonts w:asciiTheme="minorHAnsi" w:eastAsia="MS Mincho" w:hAnsiTheme="minorHAnsi" w:cstheme="minorHAnsi"/>
        </w:rPr>
        <w:t>.</w:t>
      </w:r>
    </w:p>
    <w:bookmarkEnd w:id="11"/>
    <w:p w14:paraId="75EE88DC" w14:textId="554C8745" w:rsidR="00B47EB6" w:rsidRPr="0058490E" w:rsidRDefault="00B47EB6"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6.8</w:t>
      </w:r>
      <w:r w:rsidRPr="0058490E">
        <w:rPr>
          <w:rFonts w:asciiTheme="minorHAnsi" w:eastAsia="MS Mincho" w:hAnsiTheme="minorHAnsi" w:cstheme="minorHAnsi"/>
        </w:rPr>
        <w:tab/>
        <w:t xml:space="preserve">Les </w:t>
      </w:r>
      <w:r w:rsidR="00214698" w:rsidRPr="0058490E">
        <w:rPr>
          <w:rFonts w:asciiTheme="minorHAnsi" w:eastAsia="MS Mincho" w:hAnsiTheme="minorHAnsi" w:cstheme="minorHAnsi"/>
        </w:rPr>
        <w:t>C</w:t>
      </w:r>
      <w:r w:rsidRPr="0058490E">
        <w:rPr>
          <w:rFonts w:asciiTheme="minorHAnsi" w:eastAsia="MS Mincho" w:hAnsiTheme="minorHAnsi" w:cstheme="minorHAnsi"/>
        </w:rPr>
        <w:t xml:space="preserve">onseillers </w:t>
      </w:r>
      <w:r w:rsidRPr="0058490E">
        <w:rPr>
          <w:rFonts w:asciiTheme="minorHAnsi" w:eastAsia="MS Mincho" w:hAnsiTheme="minorHAnsi" w:cstheme="minorHAnsi"/>
          <w:b/>
          <w:bCs/>
        </w:rPr>
        <w:t>charg</w:t>
      </w:r>
      <w:r w:rsidR="005C1D6C" w:rsidRPr="0058490E">
        <w:rPr>
          <w:rFonts w:asciiTheme="minorHAnsi" w:eastAsia="MS Mincho" w:hAnsiTheme="minorHAnsi" w:cstheme="minorHAnsi"/>
          <w:b/>
          <w:bCs/>
        </w:rPr>
        <w:t>ent</w:t>
      </w:r>
      <w:r w:rsidR="005C1D6C" w:rsidRPr="0058490E">
        <w:rPr>
          <w:rFonts w:asciiTheme="minorHAnsi" w:eastAsia="MS Mincho" w:hAnsiTheme="minorHAnsi" w:cstheme="minorHAnsi"/>
        </w:rPr>
        <w:t xml:space="preserve"> en outre</w:t>
      </w:r>
      <w:r w:rsidRPr="0058490E">
        <w:rPr>
          <w:rFonts w:asciiTheme="minorHAnsi" w:eastAsia="MS Mincho" w:hAnsiTheme="minorHAnsi" w:cstheme="minorHAnsi"/>
        </w:rPr>
        <w:t xml:space="preserve"> le secrétariat d'identifier l'outil le plus approprié pour améliorer la transparence et la responsabilité, de clarifier les critères appliqués par le secrétariat lors de la signature de mémorandums d'accord et d'améliorer le format de ces mémorandums afin de mieux identifier les </w:t>
      </w:r>
      <w:r w:rsidR="005C1D6C" w:rsidRPr="0058490E">
        <w:rPr>
          <w:rFonts w:asciiTheme="minorHAnsi" w:eastAsia="MS Mincho" w:hAnsiTheme="minorHAnsi" w:cstheme="minorHAnsi"/>
        </w:rPr>
        <w:t xml:space="preserve">incidences </w:t>
      </w:r>
      <w:r w:rsidRPr="0058490E">
        <w:rPr>
          <w:rFonts w:asciiTheme="minorHAnsi" w:eastAsia="MS Mincho" w:hAnsiTheme="minorHAnsi" w:cstheme="minorHAnsi"/>
        </w:rPr>
        <w:t>financières et stratégiques.</w:t>
      </w:r>
    </w:p>
    <w:p w14:paraId="271E60B0" w14:textId="2C07C93C"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eastAsia="MS Mincho" w:hAnsiTheme="minorHAnsi" w:cstheme="minorHAnsi"/>
        </w:rPr>
      </w:pPr>
      <w:r w:rsidRPr="0058490E">
        <w:rPr>
          <w:rFonts w:asciiTheme="minorHAnsi" w:eastAsia="MS Mincho" w:hAnsiTheme="minorHAnsi" w:cstheme="minorHAnsi"/>
        </w:rPr>
        <w:t>7</w:t>
      </w:r>
      <w:r w:rsidRPr="0058490E">
        <w:rPr>
          <w:rFonts w:asciiTheme="minorHAnsi" w:eastAsia="MS Mincho" w:hAnsiTheme="minorHAnsi" w:cstheme="minorHAnsi"/>
        </w:rPr>
        <w:tab/>
      </w:r>
      <w:r w:rsidR="00D531F7" w:rsidRPr="0058490E">
        <w:rPr>
          <w:rFonts w:asciiTheme="minorHAnsi" w:eastAsia="MS Mincho" w:hAnsiTheme="minorHAnsi" w:cstheme="minorHAnsi"/>
        </w:rPr>
        <w:t xml:space="preserve">Rapport sur le recrutement d'un cabinet de conseil en gestion externe indépendant, comprenant des recommandations et diverses stratégies </w:t>
      </w:r>
      <w:r w:rsidRPr="0058490E">
        <w:rPr>
          <w:rFonts w:asciiTheme="minorHAnsi" w:eastAsia="MS Mincho" w:hAnsiTheme="minorHAnsi" w:cstheme="minorHAnsi"/>
        </w:rPr>
        <w:t xml:space="preserve">(Documents </w:t>
      </w:r>
      <w:hyperlink r:id="rId24" w:history="1">
        <w:r w:rsidRPr="0058490E">
          <w:rPr>
            <w:rFonts w:asciiTheme="minorHAnsi" w:hAnsiTheme="minorHAnsi" w:cstheme="minorHAnsi"/>
            <w:bCs/>
            <w:color w:val="0000FF"/>
            <w:u w:val="single"/>
            <w:lang w:eastAsia="en-GB"/>
          </w:rPr>
          <w:t>C21/10</w:t>
        </w:r>
      </w:hyperlink>
      <w:r w:rsidRPr="0058490E">
        <w:rPr>
          <w:rFonts w:asciiTheme="minorHAnsi" w:hAnsiTheme="minorHAnsi" w:cstheme="minorHAnsi"/>
          <w:bCs/>
          <w:color w:val="0000FF"/>
          <w:u w:val="single"/>
          <w:lang w:eastAsia="en-GB"/>
        </w:rPr>
        <w:t xml:space="preserve"> </w:t>
      </w:r>
      <w:r w:rsidR="00214698" w:rsidRPr="0058490E">
        <w:rPr>
          <w:rFonts w:asciiTheme="minorHAnsi" w:eastAsia="MS Mincho" w:hAnsiTheme="minorHAnsi" w:cstheme="minorHAnsi"/>
        </w:rPr>
        <w:t xml:space="preserve">et </w:t>
      </w:r>
      <w:hyperlink r:id="rId25" w:history="1">
        <w:r w:rsidRPr="0058490E">
          <w:rPr>
            <w:rFonts w:asciiTheme="minorHAnsi" w:eastAsia="MS Mincho" w:hAnsiTheme="minorHAnsi" w:cstheme="minorHAnsi"/>
            <w:bCs/>
            <w:color w:val="0000FF"/>
            <w:u w:val="single"/>
            <w:lang w:eastAsia="en-GB"/>
          </w:rPr>
          <w:t>C21/79</w:t>
        </w:r>
      </w:hyperlink>
      <w:r w:rsidRPr="0058490E">
        <w:rPr>
          <w:rFonts w:asciiTheme="minorHAnsi" w:eastAsia="MS Mincho" w:hAnsiTheme="minorHAnsi" w:cstheme="minorHAnsi"/>
        </w:rPr>
        <w:t>)</w:t>
      </w:r>
    </w:p>
    <w:p w14:paraId="367FD528" w14:textId="0FFD6197"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7.1</w:t>
      </w:r>
      <w:r w:rsidRPr="0058490E">
        <w:rPr>
          <w:rFonts w:asciiTheme="minorHAnsi" w:eastAsia="MS Mincho" w:hAnsiTheme="minorHAnsi" w:cstheme="minorHAnsi"/>
        </w:rPr>
        <w:tab/>
        <w:t>Le représentant de Dalberg pass</w:t>
      </w:r>
      <w:r w:rsidR="00DF2997" w:rsidRPr="0058490E">
        <w:rPr>
          <w:rFonts w:asciiTheme="minorHAnsi" w:eastAsia="MS Mincho" w:hAnsiTheme="minorHAnsi" w:cstheme="minorHAnsi"/>
        </w:rPr>
        <w:t>e</w:t>
      </w:r>
      <w:r w:rsidRPr="0058490E">
        <w:rPr>
          <w:rFonts w:asciiTheme="minorHAnsi" w:eastAsia="MS Mincho" w:hAnsiTheme="minorHAnsi" w:cstheme="minorHAnsi"/>
        </w:rPr>
        <w:t xml:space="preserve"> en revue les principaux éléments du rapport soumis à la </w:t>
      </w:r>
      <w:r w:rsidR="00DF2997" w:rsidRPr="0058490E">
        <w:rPr>
          <w:rFonts w:asciiTheme="minorHAnsi" w:eastAsia="MS Mincho" w:hAnsiTheme="minorHAnsi" w:cstheme="minorHAnsi"/>
        </w:rPr>
        <w:t xml:space="preserve">deuxième consultation virtuelle des Conseillers </w:t>
      </w:r>
      <w:r w:rsidRPr="0058490E">
        <w:rPr>
          <w:rFonts w:asciiTheme="minorHAnsi" w:eastAsia="MS Mincho" w:hAnsiTheme="minorHAnsi" w:cstheme="minorHAnsi"/>
        </w:rPr>
        <w:t>(Document C20/10), dans lequel Dalberg a</w:t>
      </w:r>
      <w:r w:rsidR="00DF2997" w:rsidRPr="0058490E">
        <w:rPr>
          <w:rFonts w:asciiTheme="minorHAnsi" w:eastAsia="MS Mincho" w:hAnsiTheme="minorHAnsi" w:cstheme="minorHAnsi"/>
        </w:rPr>
        <w:t xml:space="preserve"> </w:t>
      </w:r>
      <w:r w:rsidRPr="0058490E">
        <w:rPr>
          <w:rFonts w:asciiTheme="minorHAnsi" w:eastAsia="MS Mincho" w:hAnsiTheme="minorHAnsi" w:cstheme="minorHAnsi"/>
        </w:rPr>
        <w:t xml:space="preserve">présenté une évaluation des manifestations d'ITU Telecom et diverses options pour l'avenir, notamment l'organisation d'une exposition et de sessions de forum </w:t>
      </w:r>
      <w:r w:rsidR="00DF2997" w:rsidRPr="0058490E">
        <w:rPr>
          <w:rFonts w:asciiTheme="minorHAnsi" w:eastAsia="MS Mincho" w:hAnsiTheme="minorHAnsi" w:cstheme="minorHAnsi"/>
        </w:rPr>
        <w:t xml:space="preserve">sur </w:t>
      </w:r>
      <w:r w:rsidRPr="0058490E">
        <w:rPr>
          <w:rFonts w:asciiTheme="minorHAnsi" w:eastAsia="MS Mincho" w:hAnsiTheme="minorHAnsi" w:cstheme="minorHAnsi"/>
        </w:rPr>
        <w:t>"</w:t>
      </w:r>
      <w:r w:rsidR="00DF2997" w:rsidRPr="0058490E">
        <w:rPr>
          <w:rFonts w:asciiTheme="minorHAnsi" w:eastAsia="MS Mincho" w:hAnsiTheme="minorHAnsi" w:cstheme="minorHAnsi"/>
        </w:rPr>
        <w:t>le numérique au service du bien social</w:t>
      </w:r>
      <w:r w:rsidRPr="0058490E">
        <w:rPr>
          <w:rFonts w:asciiTheme="minorHAnsi" w:eastAsia="MS Mincho" w:hAnsiTheme="minorHAnsi" w:cstheme="minorHAnsi"/>
        </w:rPr>
        <w:t xml:space="preserve">" dans le cadre d'une manifestation mondiale </w:t>
      </w:r>
      <w:r w:rsidR="00DF2997" w:rsidRPr="0058490E">
        <w:rPr>
          <w:rFonts w:asciiTheme="minorHAnsi" w:eastAsia="MS Mincho" w:hAnsiTheme="minorHAnsi" w:cstheme="minorHAnsi"/>
        </w:rPr>
        <w:t xml:space="preserve">à l'échelle de </w:t>
      </w:r>
      <w:r w:rsidRPr="0058490E">
        <w:rPr>
          <w:rFonts w:asciiTheme="minorHAnsi" w:eastAsia="MS Mincho" w:hAnsiTheme="minorHAnsi" w:cstheme="minorHAnsi"/>
        </w:rPr>
        <w:t>l'UIT</w:t>
      </w:r>
      <w:r w:rsidR="00DF2997" w:rsidRPr="0058490E">
        <w:rPr>
          <w:rFonts w:asciiTheme="minorHAnsi" w:eastAsia="MS Mincho" w:hAnsiTheme="minorHAnsi" w:cstheme="minorHAnsi"/>
        </w:rPr>
        <w:t xml:space="preserve"> qui serait organisée chaque année et</w:t>
      </w:r>
      <w:r w:rsidRPr="0058490E">
        <w:rPr>
          <w:rFonts w:asciiTheme="minorHAnsi" w:eastAsia="MS Mincho" w:hAnsiTheme="minorHAnsi" w:cstheme="minorHAnsi"/>
        </w:rPr>
        <w:t xml:space="preserve"> qui intégrerait le forum du SMSI et/ou le Sommet mondial </w:t>
      </w:r>
      <w:r w:rsidR="00DF2997" w:rsidRPr="0058490E">
        <w:rPr>
          <w:rFonts w:asciiTheme="minorHAnsi" w:eastAsia="MS Mincho" w:hAnsiTheme="minorHAnsi" w:cstheme="minorHAnsi"/>
        </w:rPr>
        <w:t>sur l'intelligence artificielle au service du bien social</w:t>
      </w:r>
      <w:r w:rsidRPr="0058490E">
        <w:rPr>
          <w:rFonts w:asciiTheme="minorHAnsi" w:eastAsia="MS Mincho" w:hAnsiTheme="minorHAnsi" w:cstheme="minorHAnsi"/>
        </w:rPr>
        <w:t xml:space="preserve">. Les événements des douze derniers mois ont renforcé l'intérêt </w:t>
      </w:r>
      <w:r w:rsidRPr="0058490E">
        <w:rPr>
          <w:rFonts w:asciiTheme="minorHAnsi" w:eastAsia="MS Mincho" w:hAnsiTheme="minorHAnsi" w:cstheme="minorHAnsi"/>
        </w:rPr>
        <w:lastRenderedPageBreak/>
        <w:t xml:space="preserve">pour une telle manifestation, </w:t>
      </w:r>
      <w:r w:rsidR="00DF2997" w:rsidRPr="0058490E">
        <w:rPr>
          <w:rFonts w:asciiTheme="minorHAnsi" w:eastAsia="MS Mincho" w:hAnsiTheme="minorHAnsi" w:cstheme="minorHAnsi"/>
        </w:rPr>
        <w:t xml:space="preserve">pour laquelle une </w:t>
      </w:r>
      <w:r w:rsidRPr="0058490E">
        <w:rPr>
          <w:rFonts w:asciiTheme="minorHAnsi" w:eastAsia="MS Mincho" w:hAnsiTheme="minorHAnsi" w:cstheme="minorHAnsi"/>
        </w:rPr>
        <w:t xml:space="preserve">étude approfondie constituerait la phase 2 </w:t>
      </w:r>
      <w:r w:rsidR="002D6722" w:rsidRPr="0058490E">
        <w:rPr>
          <w:rFonts w:asciiTheme="minorHAnsi" w:eastAsia="MS Mincho" w:hAnsiTheme="minorHAnsi" w:cstheme="minorHAnsi"/>
        </w:rPr>
        <w:t xml:space="preserve">de la mission du cabinet </w:t>
      </w:r>
      <w:r w:rsidR="00DF2997" w:rsidRPr="0058490E">
        <w:rPr>
          <w:rFonts w:asciiTheme="minorHAnsi" w:eastAsia="MS Mincho" w:hAnsiTheme="minorHAnsi" w:cstheme="minorHAnsi"/>
        </w:rPr>
        <w:t>de conseil</w:t>
      </w:r>
      <w:r w:rsidR="002D6722" w:rsidRPr="0058490E">
        <w:rPr>
          <w:rFonts w:asciiTheme="minorHAnsi" w:eastAsia="MS Mincho" w:hAnsiTheme="minorHAnsi" w:cstheme="minorHAnsi"/>
        </w:rPr>
        <w:t xml:space="preserve"> externe</w:t>
      </w:r>
      <w:r w:rsidRPr="0058490E">
        <w:rPr>
          <w:rFonts w:asciiTheme="minorHAnsi" w:eastAsia="MS Mincho" w:hAnsiTheme="minorHAnsi" w:cstheme="minorHAnsi"/>
        </w:rPr>
        <w:t>.</w:t>
      </w:r>
    </w:p>
    <w:p w14:paraId="612129B5" w14:textId="699F660F"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7.2</w:t>
      </w:r>
      <w:r w:rsidRPr="0058490E">
        <w:rPr>
          <w:rFonts w:asciiTheme="minorHAnsi" w:eastAsia="MS Mincho" w:hAnsiTheme="minorHAnsi" w:cstheme="minorHAnsi"/>
        </w:rPr>
        <w:tab/>
        <w:t xml:space="preserve">Le </w:t>
      </w:r>
      <w:r w:rsidR="00DF2997" w:rsidRPr="0058490E">
        <w:rPr>
          <w:rFonts w:asciiTheme="minorHAnsi" w:eastAsia="MS Mincho" w:hAnsiTheme="minorHAnsi" w:cstheme="minorHAnsi"/>
        </w:rPr>
        <w:t>C</w:t>
      </w:r>
      <w:r w:rsidRPr="0058490E">
        <w:rPr>
          <w:rFonts w:asciiTheme="minorHAnsi" w:eastAsia="MS Mincho" w:hAnsiTheme="minorHAnsi" w:cstheme="minorHAnsi"/>
        </w:rPr>
        <w:t>onseiller du Japon présent</w:t>
      </w:r>
      <w:r w:rsidR="00DF2997" w:rsidRPr="0058490E">
        <w:rPr>
          <w:rFonts w:asciiTheme="minorHAnsi" w:eastAsia="MS Mincho" w:hAnsiTheme="minorHAnsi" w:cstheme="minorHAnsi"/>
        </w:rPr>
        <w:t>e</w:t>
      </w:r>
      <w:r w:rsidRPr="0058490E">
        <w:rPr>
          <w:rFonts w:asciiTheme="minorHAnsi" w:eastAsia="MS Mincho" w:hAnsiTheme="minorHAnsi" w:cstheme="minorHAnsi"/>
        </w:rPr>
        <w:t xml:space="preserve"> le </w:t>
      </w:r>
      <w:r w:rsidR="00DF2997" w:rsidRPr="0058490E">
        <w:rPr>
          <w:rFonts w:asciiTheme="minorHAnsi" w:eastAsia="MS Mincho" w:hAnsiTheme="minorHAnsi" w:cstheme="minorHAnsi"/>
        </w:rPr>
        <w:t>D</w:t>
      </w:r>
      <w:r w:rsidRPr="0058490E">
        <w:rPr>
          <w:rFonts w:asciiTheme="minorHAnsi" w:eastAsia="MS Mincho" w:hAnsiTheme="minorHAnsi" w:cstheme="minorHAnsi"/>
        </w:rPr>
        <w:t>ocument C21/79</w:t>
      </w:r>
      <w:r w:rsidR="00DF2997" w:rsidRPr="0058490E">
        <w:rPr>
          <w:rFonts w:asciiTheme="minorHAnsi" w:eastAsia="MS Mincho" w:hAnsiTheme="minorHAnsi" w:cstheme="minorHAnsi"/>
        </w:rPr>
        <w:t xml:space="preserve"> et </w:t>
      </w:r>
      <w:r w:rsidR="002D6722" w:rsidRPr="0058490E">
        <w:rPr>
          <w:rFonts w:asciiTheme="minorHAnsi" w:eastAsia="MS Mincho" w:hAnsiTheme="minorHAnsi" w:cstheme="minorHAnsi"/>
        </w:rPr>
        <w:t>dit</w:t>
      </w:r>
      <w:r w:rsidRPr="0058490E">
        <w:rPr>
          <w:rFonts w:asciiTheme="minorHAnsi" w:eastAsia="MS Mincho" w:hAnsiTheme="minorHAnsi" w:cstheme="minorHAnsi"/>
        </w:rPr>
        <w:t xml:space="preserve"> que celui-ci propos</w:t>
      </w:r>
      <w:r w:rsidR="002D6722" w:rsidRPr="0058490E">
        <w:rPr>
          <w:rFonts w:asciiTheme="minorHAnsi" w:eastAsia="MS Mincho" w:hAnsiTheme="minorHAnsi" w:cstheme="minorHAnsi"/>
        </w:rPr>
        <w:t>e</w:t>
      </w:r>
      <w:r w:rsidRPr="0058490E">
        <w:rPr>
          <w:rFonts w:asciiTheme="minorHAnsi" w:eastAsia="MS Mincho" w:hAnsiTheme="minorHAnsi" w:cstheme="minorHAnsi"/>
        </w:rPr>
        <w:t xml:space="preserve"> une série de mesures visant à répondre à la nécessité d'assurer la rentabilité des </w:t>
      </w:r>
      <w:r w:rsidR="002D6722" w:rsidRPr="0058490E">
        <w:rPr>
          <w:rFonts w:asciiTheme="minorHAnsi" w:eastAsia="MS Mincho" w:hAnsiTheme="minorHAnsi" w:cstheme="minorHAnsi"/>
        </w:rPr>
        <w:t xml:space="preserve">manifestations </w:t>
      </w:r>
      <w:r w:rsidRPr="0058490E">
        <w:rPr>
          <w:rFonts w:asciiTheme="minorHAnsi" w:eastAsia="MS Mincho" w:hAnsiTheme="minorHAnsi" w:cstheme="minorHAnsi"/>
        </w:rPr>
        <w:t xml:space="preserve">de grande envergure </w:t>
      </w:r>
      <w:r w:rsidR="009D4601" w:rsidRPr="0058490E">
        <w:rPr>
          <w:rFonts w:asciiTheme="minorHAnsi" w:eastAsia="MS Mincho" w:hAnsiTheme="minorHAnsi" w:cstheme="minorHAnsi"/>
        </w:rPr>
        <w:t xml:space="preserve">compte tenu </w:t>
      </w:r>
      <w:r w:rsidRPr="0058490E">
        <w:rPr>
          <w:rFonts w:asciiTheme="minorHAnsi" w:eastAsia="MS Mincho" w:hAnsiTheme="minorHAnsi" w:cstheme="minorHAnsi"/>
        </w:rPr>
        <w:t>de la pandémie de COVID-19.</w:t>
      </w:r>
    </w:p>
    <w:p w14:paraId="5049FE36" w14:textId="5383E70A"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7.3</w:t>
      </w:r>
      <w:r w:rsidRPr="0058490E">
        <w:rPr>
          <w:rFonts w:asciiTheme="minorHAnsi" w:eastAsia="MS Mincho" w:hAnsiTheme="minorHAnsi" w:cstheme="minorHAnsi"/>
        </w:rPr>
        <w:tab/>
        <w:t>Deux Conseillers approuv</w:t>
      </w:r>
      <w:r w:rsidR="002D6722" w:rsidRPr="0058490E">
        <w:rPr>
          <w:rFonts w:asciiTheme="minorHAnsi" w:eastAsia="MS Mincho" w:hAnsiTheme="minorHAnsi" w:cstheme="minorHAnsi"/>
        </w:rPr>
        <w:t>ent</w:t>
      </w:r>
      <w:r w:rsidRPr="0058490E">
        <w:rPr>
          <w:rFonts w:asciiTheme="minorHAnsi" w:eastAsia="MS Mincho" w:hAnsiTheme="minorHAnsi" w:cstheme="minorHAnsi"/>
        </w:rPr>
        <w:t xml:space="preserve"> l'approche exposée dans le Document C21/79, </w:t>
      </w:r>
      <w:r w:rsidR="002D6722" w:rsidRPr="0058490E">
        <w:rPr>
          <w:rFonts w:asciiTheme="minorHAnsi" w:eastAsia="MS Mincho" w:hAnsiTheme="minorHAnsi" w:cstheme="minorHAnsi"/>
        </w:rPr>
        <w:t xml:space="preserve">dans la mesure où il faut d'urgence </w:t>
      </w:r>
      <w:r w:rsidRPr="0058490E">
        <w:rPr>
          <w:rFonts w:asciiTheme="minorHAnsi" w:eastAsia="MS Mincho" w:hAnsiTheme="minorHAnsi" w:cstheme="minorHAnsi"/>
        </w:rPr>
        <w:t xml:space="preserve">réformer les manifestations ITU Telecom, éviter de nouveaux déficits et évaluer la situation à la lumière de la nouvelle "normalité" </w:t>
      </w:r>
      <w:r w:rsidR="002D6722" w:rsidRPr="0058490E">
        <w:rPr>
          <w:rFonts w:asciiTheme="minorHAnsi" w:eastAsia="MS Mincho" w:hAnsiTheme="minorHAnsi" w:cstheme="minorHAnsi"/>
        </w:rPr>
        <w:t xml:space="preserve">au lendemain du </w:t>
      </w:r>
      <w:r w:rsidRPr="0058490E">
        <w:rPr>
          <w:rFonts w:asciiTheme="minorHAnsi" w:eastAsia="MS Mincho" w:hAnsiTheme="minorHAnsi" w:cstheme="minorHAnsi"/>
        </w:rPr>
        <w:t>COVID.</w:t>
      </w:r>
    </w:p>
    <w:p w14:paraId="41AA4851" w14:textId="554B484F"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7.4</w:t>
      </w:r>
      <w:r w:rsidRPr="0058490E">
        <w:rPr>
          <w:rFonts w:asciiTheme="minorHAnsi" w:eastAsia="MS Mincho" w:hAnsiTheme="minorHAnsi" w:cstheme="minorHAnsi"/>
        </w:rPr>
        <w:tab/>
        <w:t xml:space="preserve">Deux autres Conseillers </w:t>
      </w:r>
      <w:r w:rsidR="002D6722" w:rsidRPr="0058490E">
        <w:rPr>
          <w:rFonts w:asciiTheme="minorHAnsi" w:eastAsia="MS Mincho" w:hAnsiTheme="minorHAnsi" w:cstheme="minorHAnsi"/>
        </w:rPr>
        <w:t xml:space="preserve">estiment </w:t>
      </w:r>
      <w:r w:rsidRPr="0058490E">
        <w:rPr>
          <w:rFonts w:asciiTheme="minorHAnsi" w:eastAsia="MS Mincho" w:hAnsiTheme="minorHAnsi" w:cstheme="minorHAnsi"/>
        </w:rPr>
        <w:t xml:space="preserve">que le Conseil devrait examiner toutes les options présentées dans le rapport </w:t>
      </w:r>
      <w:r w:rsidR="002D6722" w:rsidRPr="0058490E">
        <w:rPr>
          <w:rFonts w:asciiTheme="minorHAnsi" w:eastAsia="MS Mincho" w:hAnsiTheme="minorHAnsi" w:cstheme="minorHAnsi"/>
        </w:rPr>
        <w:t xml:space="preserve">de </w:t>
      </w:r>
      <w:r w:rsidRPr="0058490E">
        <w:rPr>
          <w:rFonts w:asciiTheme="minorHAnsi" w:eastAsia="MS Mincho" w:hAnsiTheme="minorHAnsi" w:cstheme="minorHAnsi"/>
        </w:rPr>
        <w:t xml:space="preserve">Dalberg et que les États </w:t>
      </w:r>
      <w:r w:rsidR="002D6722" w:rsidRPr="0058490E">
        <w:rPr>
          <w:rFonts w:asciiTheme="minorHAnsi" w:eastAsia="MS Mincho" w:hAnsiTheme="minorHAnsi" w:cstheme="minorHAnsi"/>
        </w:rPr>
        <w:t>M</w:t>
      </w:r>
      <w:r w:rsidRPr="0058490E">
        <w:rPr>
          <w:rFonts w:asciiTheme="minorHAnsi" w:eastAsia="MS Mincho" w:hAnsiTheme="minorHAnsi" w:cstheme="minorHAnsi"/>
        </w:rPr>
        <w:t>embres devraient avoir la possibilité de soumettre d'autres options.</w:t>
      </w:r>
    </w:p>
    <w:p w14:paraId="3CA51814" w14:textId="5FF8C46B"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7.5</w:t>
      </w:r>
      <w:r w:rsidRPr="0058490E">
        <w:rPr>
          <w:rFonts w:asciiTheme="minorHAnsi" w:eastAsia="MS Mincho" w:hAnsiTheme="minorHAnsi" w:cstheme="minorHAnsi"/>
        </w:rPr>
        <w:tab/>
        <w:t xml:space="preserve">Plusieurs </w:t>
      </w:r>
      <w:r w:rsidR="002D6722" w:rsidRPr="0058490E">
        <w:rPr>
          <w:rFonts w:asciiTheme="minorHAnsi" w:eastAsia="MS Mincho" w:hAnsiTheme="minorHAnsi" w:cstheme="minorHAnsi"/>
        </w:rPr>
        <w:t>C</w:t>
      </w:r>
      <w:r w:rsidRPr="0058490E">
        <w:rPr>
          <w:rFonts w:asciiTheme="minorHAnsi" w:eastAsia="MS Mincho" w:hAnsiTheme="minorHAnsi" w:cstheme="minorHAnsi"/>
        </w:rPr>
        <w:t xml:space="preserve">onseillers </w:t>
      </w:r>
      <w:r w:rsidR="002D6722" w:rsidRPr="0058490E">
        <w:rPr>
          <w:rFonts w:asciiTheme="minorHAnsi" w:eastAsia="MS Mincho" w:hAnsiTheme="minorHAnsi" w:cstheme="minorHAnsi"/>
        </w:rPr>
        <w:t xml:space="preserve">font </w:t>
      </w:r>
      <w:r w:rsidRPr="0058490E">
        <w:rPr>
          <w:rFonts w:asciiTheme="minorHAnsi" w:eastAsia="MS Mincho" w:hAnsiTheme="minorHAnsi" w:cstheme="minorHAnsi"/>
        </w:rPr>
        <w:t>observer que le Document C21/10 ne cont</w:t>
      </w:r>
      <w:r w:rsidR="002D6722" w:rsidRPr="0058490E">
        <w:rPr>
          <w:rFonts w:asciiTheme="minorHAnsi" w:eastAsia="MS Mincho" w:hAnsiTheme="minorHAnsi" w:cstheme="minorHAnsi"/>
        </w:rPr>
        <w:t xml:space="preserve">ient </w:t>
      </w:r>
      <w:r w:rsidRPr="0058490E">
        <w:rPr>
          <w:rFonts w:asciiTheme="minorHAnsi" w:eastAsia="MS Mincho" w:hAnsiTheme="minorHAnsi" w:cstheme="minorHAnsi"/>
        </w:rPr>
        <w:t xml:space="preserve">aucune information sur le coût ou le financement de la phase 2 </w:t>
      </w:r>
      <w:r w:rsidR="002D6722" w:rsidRPr="0058490E">
        <w:rPr>
          <w:rFonts w:asciiTheme="minorHAnsi" w:eastAsia="MS Mincho" w:hAnsiTheme="minorHAnsi" w:cstheme="minorHAnsi"/>
        </w:rPr>
        <w:t>de la mission du cabinet de conseil</w:t>
      </w:r>
      <w:r w:rsidRPr="0058490E">
        <w:rPr>
          <w:rFonts w:asciiTheme="minorHAnsi" w:eastAsia="MS Mincho" w:hAnsiTheme="minorHAnsi" w:cstheme="minorHAnsi"/>
        </w:rPr>
        <w:t xml:space="preserve">, ni sur la méthode ou le calendrier de sa mise en œuvre. Étant donné que les expositions ITU Telecom semblent avoir été remplacées par d'autres </w:t>
      </w:r>
      <w:r w:rsidR="002D6722" w:rsidRPr="0058490E">
        <w:rPr>
          <w:rFonts w:asciiTheme="minorHAnsi" w:eastAsia="MS Mincho" w:hAnsiTheme="minorHAnsi" w:cstheme="minorHAnsi"/>
        </w:rPr>
        <w:t xml:space="preserve">manifestations </w:t>
      </w:r>
      <w:r w:rsidRPr="0058490E">
        <w:rPr>
          <w:rFonts w:asciiTheme="minorHAnsi" w:eastAsia="MS Mincho" w:hAnsiTheme="minorHAnsi" w:cstheme="minorHAnsi"/>
        </w:rPr>
        <w:t xml:space="preserve">et que les </w:t>
      </w:r>
      <w:r w:rsidR="009D4601" w:rsidRPr="0058490E">
        <w:rPr>
          <w:rFonts w:asciiTheme="minorHAnsi" w:eastAsia="MS Mincho" w:hAnsiTheme="minorHAnsi" w:cstheme="minorHAnsi"/>
        </w:rPr>
        <w:t xml:space="preserve">capacités de participation des </w:t>
      </w:r>
      <w:r w:rsidRPr="0058490E">
        <w:rPr>
          <w:rFonts w:asciiTheme="minorHAnsi" w:eastAsia="MS Mincho" w:hAnsiTheme="minorHAnsi" w:cstheme="minorHAnsi"/>
        </w:rPr>
        <w:t xml:space="preserve">parties prenantes </w:t>
      </w:r>
      <w:r w:rsidR="009D4601" w:rsidRPr="0058490E">
        <w:rPr>
          <w:rFonts w:asciiTheme="minorHAnsi" w:eastAsia="MS Mincho" w:hAnsiTheme="minorHAnsi" w:cstheme="minorHAnsi"/>
        </w:rPr>
        <w:t>sont limitées</w:t>
      </w:r>
      <w:r w:rsidRPr="0058490E">
        <w:rPr>
          <w:rFonts w:asciiTheme="minorHAnsi" w:eastAsia="MS Mincho" w:hAnsiTheme="minorHAnsi" w:cstheme="minorHAnsi"/>
        </w:rPr>
        <w:t>, ils sugg</w:t>
      </w:r>
      <w:r w:rsidR="002D6722" w:rsidRPr="0058490E">
        <w:rPr>
          <w:rFonts w:asciiTheme="minorHAnsi" w:eastAsia="MS Mincho" w:hAnsiTheme="minorHAnsi" w:cstheme="minorHAnsi"/>
        </w:rPr>
        <w:t xml:space="preserve">èrent </w:t>
      </w:r>
      <w:r w:rsidRPr="0058490E">
        <w:rPr>
          <w:rFonts w:asciiTheme="minorHAnsi" w:eastAsia="MS Mincho" w:hAnsiTheme="minorHAnsi" w:cstheme="minorHAnsi"/>
        </w:rPr>
        <w:t>que le Conseil reporte sa décision à sa session de 2022 et que</w:t>
      </w:r>
      <w:r w:rsidR="009D4601" w:rsidRPr="0058490E">
        <w:rPr>
          <w:rFonts w:asciiTheme="minorHAnsi" w:eastAsia="MS Mincho" w:hAnsiTheme="minorHAnsi" w:cstheme="minorHAnsi"/>
        </w:rPr>
        <w:t>,</w:t>
      </w:r>
      <w:r w:rsidRPr="0058490E">
        <w:rPr>
          <w:rFonts w:asciiTheme="minorHAnsi" w:eastAsia="MS Mincho" w:hAnsiTheme="minorHAnsi" w:cstheme="minorHAnsi"/>
        </w:rPr>
        <w:t xml:space="preserve"> </w:t>
      </w:r>
      <w:r w:rsidR="002D6722" w:rsidRPr="0058490E">
        <w:rPr>
          <w:rFonts w:asciiTheme="minorHAnsi" w:eastAsia="MS Mincho" w:hAnsiTheme="minorHAnsi" w:cstheme="minorHAnsi"/>
        </w:rPr>
        <w:t xml:space="preserve">pour </w:t>
      </w:r>
      <w:r w:rsidRPr="0058490E">
        <w:rPr>
          <w:rFonts w:asciiTheme="minorHAnsi" w:eastAsia="MS Mincho" w:hAnsiTheme="minorHAnsi" w:cstheme="minorHAnsi"/>
        </w:rPr>
        <w:t xml:space="preserve">la phase 2 de la </w:t>
      </w:r>
      <w:r w:rsidR="002D6722" w:rsidRPr="0058490E">
        <w:rPr>
          <w:rFonts w:asciiTheme="minorHAnsi" w:eastAsia="MS Mincho" w:hAnsiTheme="minorHAnsi" w:cstheme="minorHAnsi"/>
        </w:rPr>
        <w:t xml:space="preserve">mission du cabinet de conseil, il soit tenu compte de </w:t>
      </w:r>
      <w:r w:rsidRPr="0058490E">
        <w:rPr>
          <w:rFonts w:asciiTheme="minorHAnsi" w:eastAsia="MS Mincho" w:hAnsiTheme="minorHAnsi" w:cstheme="minorHAnsi"/>
        </w:rPr>
        <w:t>la normalisation des voyages internationaux.</w:t>
      </w:r>
    </w:p>
    <w:p w14:paraId="24998A23" w14:textId="0683D019"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7.6</w:t>
      </w:r>
      <w:r w:rsidRPr="0058490E">
        <w:rPr>
          <w:rFonts w:asciiTheme="minorHAnsi" w:eastAsia="MS Mincho" w:hAnsiTheme="minorHAnsi" w:cstheme="minorHAnsi"/>
        </w:rPr>
        <w:tab/>
        <w:t xml:space="preserve">Un </w:t>
      </w:r>
      <w:r w:rsidR="002D6722" w:rsidRPr="0058490E">
        <w:rPr>
          <w:rFonts w:asciiTheme="minorHAnsi" w:eastAsia="MS Mincho" w:hAnsiTheme="minorHAnsi" w:cstheme="minorHAnsi"/>
        </w:rPr>
        <w:t>C</w:t>
      </w:r>
      <w:r w:rsidRPr="0058490E">
        <w:rPr>
          <w:rFonts w:asciiTheme="minorHAnsi" w:eastAsia="MS Mincho" w:hAnsiTheme="minorHAnsi" w:cstheme="minorHAnsi"/>
        </w:rPr>
        <w:t xml:space="preserve">onseiller fait observer que le Sommet mondial </w:t>
      </w:r>
      <w:r w:rsidR="002D6722" w:rsidRPr="0058490E">
        <w:rPr>
          <w:rFonts w:asciiTheme="minorHAnsi" w:eastAsia="MS Mincho" w:hAnsiTheme="minorHAnsi" w:cstheme="minorHAnsi"/>
        </w:rPr>
        <w:t xml:space="preserve">sur l'intelligence artificielle au service du bien social </w:t>
      </w:r>
      <w:r w:rsidRPr="0058490E">
        <w:rPr>
          <w:rFonts w:asciiTheme="minorHAnsi" w:eastAsia="MS Mincho" w:hAnsiTheme="minorHAnsi" w:cstheme="minorHAnsi"/>
        </w:rPr>
        <w:t xml:space="preserve">et les forums du SMSI </w:t>
      </w:r>
      <w:r w:rsidR="005B0D84" w:rsidRPr="0058490E">
        <w:rPr>
          <w:rFonts w:asciiTheme="minorHAnsi" w:eastAsia="MS Mincho" w:hAnsiTheme="minorHAnsi" w:cstheme="minorHAnsi"/>
        </w:rPr>
        <w:t xml:space="preserve">sont </w:t>
      </w:r>
      <w:r w:rsidRPr="0058490E">
        <w:rPr>
          <w:rFonts w:asciiTheme="minorHAnsi" w:eastAsia="MS Mincho" w:hAnsiTheme="minorHAnsi" w:cstheme="minorHAnsi"/>
        </w:rPr>
        <w:t xml:space="preserve">des </w:t>
      </w:r>
      <w:r w:rsidR="005B0D84" w:rsidRPr="0058490E">
        <w:rPr>
          <w:rFonts w:asciiTheme="minorHAnsi" w:eastAsia="MS Mincho" w:hAnsiTheme="minorHAnsi" w:cstheme="minorHAnsi"/>
        </w:rPr>
        <w:t xml:space="preserve">manifestations couronnées de succès </w:t>
      </w:r>
      <w:r w:rsidRPr="0058490E">
        <w:rPr>
          <w:rFonts w:asciiTheme="minorHAnsi" w:eastAsia="MS Mincho" w:hAnsiTheme="minorHAnsi" w:cstheme="minorHAnsi"/>
        </w:rPr>
        <w:t>auxquel</w:t>
      </w:r>
      <w:r w:rsidR="005B0D84" w:rsidRPr="0058490E">
        <w:rPr>
          <w:rFonts w:asciiTheme="minorHAnsi" w:eastAsia="MS Mincho" w:hAnsiTheme="minorHAnsi" w:cstheme="minorHAnsi"/>
        </w:rPr>
        <w:t>le</w:t>
      </w:r>
      <w:r w:rsidRPr="0058490E">
        <w:rPr>
          <w:rFonts w:asciiTheme="minorHAnsi" w:eastAsia="MS Mincho" w:hAnsiTheme="minorHAnsi" w:cstheme="minorHAnsi"/>
        </w:rPr>
        <w:t xml:space="preserve">s participent de nombreuses grandes organisations internationales, du secteur privé et de la société civile, </w:t>
      </w:r>
      <w:r w:rsidR="005B0D84" w:rsidRPr="0058490E">
        <w:rPr>
          <w:rFonts w:asciiTheme="minorHAnsi" w:eastAsia="MS Mincho" w:hAnsiTheme="minorHAnsi" w:cstheme="minorHAnsi"/>
        </w:rPr>
        <w:t xml:space="preserve">et </w:t>
      </w:r>
      <w:r w:rsidR="009D4601" w:rsidRPr="0058490E">
        <w:rPr>
          <w:rFonts w:asciiTheme="minorHAnsi" w:eastAsia="MS Mincho" w:hAnsiTheme="minorHAnsi" w:cstheme="minorHAnsi"/>
        </w:rPr>
        <w:t xml:space="preserve">dit </w:t>
      </w:r>
      <w:r w:rsidRPr="0058490E">
        <w:rPr>
          <w:rFonts w:asciiTheme="minorHAnsi" w:eastAsia="MS Mincho" w:hAnsiTheme="minorHAnsi" w:cstheme="minorHAnsi"/>
        </w:rPr>
        <w:t xml:space="preserve">qu'il </w:t>
      </w:r>
      <w:r w:rsidR="005B0D84" w:rsidRPr="0058490E">
        <w:rPr>
          <w:rFonts w:asciiTheme="minorHAnsi" w:eastAsia="MS Mincho" w:hAnsiTheme="minorHAnsi" w:cstheme="minorHAnsi"/>
        </w:rPr>
        <w:t xml:space="preserve">faut </w:t>
      </w:r>
      <w:r w:rsidRPr="0058490E">
        <w:rPr>
          <w:rFonts w:asciiTheme="minorHAnsi" w:eastAsia="MS Mincho" w:hAnsiTheme="minorHAnsi" w:cstheme="minorHAnsi"/>
        </w:rPr>
        <w:t xml:space="preserve">également recueillir les avis de ces organisations. Il n'est pas dans l'intérêt de l'Union de leur porter atteinte en introduisant un nouveau modèle </w:t>
      </w:r>
      <w:r w:rsidR="005B0D84" w:rsidRPr="0058490E">
        <w:rPr>
          <w:rFonts w:asciiTheme="minorHAnsi" w:eastAsia="MS Mincho" w:hAnsiTheme="minorHAnsi" w:cstheme="minorHAnsi"/>
        </w:rPr>
        <w:t>de manifestation</w:t>
      </w:r>
      <w:r w:rsidRPr="0058490E">
        <w:rPr>
          <w:rFonts w:asciiTheme="minorHAnsi" w:eastAsia="MS Mincho" w:hAnsiTheme="minorHAnsi" w:cstheme="minorHAnsi"/>
        </w:rPr>
        <w:t>.</w:t>
      </w:r>
    </w:p>
    <w:p w14:paraId="31553682" w14:textId="07FCA3B4"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7.7</w:t>
      </w:r>
      <w:r w:rsidRPr="0058490E">
        <w:rPr>
          <w:rFonts w:asciiTheme="minorHAnsi" w:eastAsia="MS Mincho" w:hAnsiTheme="minorHAnsi" w:cstheme="minorHAnsi"/>
        </w:rPr>
        <w:tab/>
        <w:t>Le Secrétaire général</w:t>
      </w:r>
      <w:r w:rsidR="005B0D84" w:rsidRPr="0058490E">
        <w:rPr>
          <w:rFonts w:asciiTheme="minorHAnsi" w:eastAsia="MS Mincho" w:hAnsiTheme="minorHAnsi" w:cstheme="minorHAnsi"/>
        </w:rPr>
        <w:t xml:space="preserve"> </w:t>
      </w:r>
      <w:r w:rsidRPr="0058490E">
        <w:rPr>
          <w:rFonts w:asciiTheme="minorHAnsi" w:eastAsia="MS Mincho" w:hAnsiTheme="minorHAnsi" w:cstheme="minorHAnsi"/>
        </w:rPr>
        <w:t>fait observer que le</w:t>
      </w:r>
      <w:r w:rsidR="005B0D84" w:rsidRPr="0058490E">
        <w:rPr>
          <w:rFonts w:asciiTheme="minorHAnsi" w:eastAsia="MS Mincho" w:hAnsiTheme="minorHAnsi" w:cstheme="minorHAnsi"/>
        </w:rPr>
        <w:t>s participants au</w:t>
      </w:r>
      <w:r w:rsidRPr="0058490E">
        <w:rPr>
          <w:rFonts w:asciiTheme="minorHAnsi" w:eastAsia="MS Mincho" w:hAnsiTheme="minorHAnsi" w:cstheme="minorHAnsi"/>
        </w:rPr>
        <w:t xml:space="preserve"> Sommet mondial </w:t>
      </w:r>
      <w:r w:rsidR="005B0D84" w:rsidRPr="0058490E">
        <w:rPr>
          <w:rFonts w:asciiTheme="minorHAnsi" w:eastAsia="MS Mincho" w:hAnsiTheme="minorHAnsi" w:cstheme="minorHAnsi"/>
        </w:rPr>
        <w:t xml:space="preserve">sur l'intelligence artificielle au service du bien social </w:t>
      </w:r>
      <w:r w:rsidR="00505708" w:rsidRPr="0058490E">
        <w:rPr>
          <w:rFonts w:asciiTheme="minorHAnsi" w:eastAsia="MS Mincho" w:hAnsiTheme="minorHAnsi" w:cstheme="minorHAnsi"/>
        </w:rPr>
        <w:t>sont différents d</w:t>
      </w:r>
      <w:r w:rsidRPr="0058490E">
        <w:rPr>
          <w:rFonts w:asciiTheme="minorHAnsi" w:eastAsia="MS Mincho" w:hAnsiTheme="minorHAnsi" w:cstheme="minorHAnsi"/>
        </w:rPr>
        <w:t xml:space="preserve">es participants </w:t>
      </w:r>
      <w:r w:rsidR="00505708" w:rsidRPr="0058490E">
        <w:rPr>
          <w:rFonts w:asciiTheme="minorHAnsi" w:eastAsia="MS Mincho" w:hAnsiTheme="minorHAnsi" w:cstheme="minorHAnsi"/>
        </w:rPr>
        <w:t xml:space="preserve">aux </w:t>
      </w:r>
      <w:r w:rsidRPr="0058490E">
        <w:rPr>
          <w:rFonts w:asciiTheme="minorHAnsi" w:eastAsia="MS Mincho" w:hAnsiTheme="minorHAnsi" w:cstheme="minorHAnsi"/>
        </w:rPr>
        <w:t xml:space="preserve">expositions ITU Telecom et que les forums du SMSI </w:t>
      </w:r>
      <w:r w:rsidR="00505708" w:rsidRPr="0058490E">
        <w:rPr>
          <w:rFonts w:asciiTheme="minorHAnsi" w:eastAsia="MS Mincho" w:hAnsiTheme="minorHAnsi" w:cstheme="minorHAnsi"/>
        </w:rPr>
        <w:t xml:space="preserve">sont </w:t>
      </w:r>
      <w:r w:rsidRPr="0058490E">
        <w:rPr>
          <w:rFonts w:asciiTheme="minorHAnsi" w:eastAsia="MS Mincho" w:hAnsiTheme="minorHAnsi" w:cstheme="minorHAnsi"/>
        </w:rPr>
        <w:t>des manifestations des Nations Unies.</w:t>
      </w:r>
    </w:p>
    <w:p w14:paraId="2D18F23E" w14:textId="6B6FC16F"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7.8</w:t>
      </w:r>
      <w:r w:rsidRPr="0058490E">
        <w:rPr>
          <w:rFonts w:asciiTheme="minorHAnsi" w:eastAsia="MS Mincho" w:hAnsiTheme="minorHAnsi" w:cstheme="minorHAnsi"/>
        </w:rPr>
        <w:tab/>
        <w:t>La Conseillère d</w:t>
      </w:r>
      <w:r w:rsidR="00505708" w:rsidRPr="0058490E">
        <w:rPr>
          <w:rFonts w:asciiTheme="minorHAnsi" w:eastAsia="MS Mincho" w:hAnsiTheme="minorHAnsi" w:cstheme="minorHAnsi"/>
        </w:rPr>
        <w:t>e l</w:t>
      </w:r>
      <w:r w:rsidRPr="0058490E">
        <w:rPr>
          <w:rFonts w:asciiTheme="minorHAnsi" w:eastAsia="MS Mincho" w:hAnsiTheme="minorHAnsi" w:cstheme="minorHAnsi"/>
        </w:rPr>
        <w:t xml:space="preserve">'Espagne </w:t>
      </w:r>
      <w:r w:rsidR="009D4601" w:rsidRPr="0058490E">
        <w:rPr>
          <w:rFonts w:asciiTheme="minorHAnsi" w:eastAsia="MS Mincho" w:hAnsiTheme="minorHAnsi" w:cstheme="minorHAnsi"/>
        </w:rPr>
        <w:t xml:space="preserve">fait savoir </w:t>
      </w:r>
      <w:r w:rsidRPr="0058490E">
        <w:rPr>
          <w:rFonts w:asciiTheme="minorHAnsi" w:eastAsia="MS Mincho" w:hAnsiTheme="minorHAnsi" w:cstheme="minorHAnsi"/>
        </w:rPr>
        <w:t xml:space="preserve">que son administration </w:t>
      </w:r>
      <w:r w:rsidR="00505708" w:rsidRPr="0058490E">
        <w:rPr>
          <w:rFonts w:asciiTheme="minorHAnsi" w:eastAsia="MS Mincho" w:hAnsiTheme="minorHAnsi" w:cstheme="minorHAnsi"/>
        </w:rPr>
        <w:t xml:space="preserve">est </w:t>
      </w:r>
      <w:r w:rsidRPr="0058490E">
        <w:rPr>
          <w:rFonts w:asciiTheme="minorHAnsi" w:eastAsia="MS Mincho" w:hAnsiTheme="minorHAnsi" w:cstheme="minorHAnsi"/>
        </w:rPr>
        <w:t xml:space="preserve">disposée à </w:t>
      </w:r>
      <w:r w:rsidR="00505708" w:rsidRPr="0058490E">
        <w:rPr>
          <w:rFonts w:asciiTheme="minorHAnsi" w:eastAsia="MS Mincho" w:hAnsiTheme="minorHAnsi" w:cstheme="minorHAnsi"/>
        </w:rPr>
        <w:t xml:space="preserve">faire part des </w:t>
      </w:r>
      <w:r w:rsidRPr="0058490E">
        <w:rPr>
          <w:rFonts w:asciiTheme="minorHAnsi" w:eastAsia="MS Mincho" w:hAnsiTheme="minorHAnsi" w:cstheme="minorHAnsi"/>
        </w:rPr>
        <w:t xml:space="preserve">informations financières relatives à l'organisation </w:t>
      </w:r>
      <w:r w:rsidR="00505708" w:rsidRPr="0058490E">
        <w:rPr>
          <w:rFonts w:asciiTheme="minorHAnsi" w:eastAsia="MS Mincho" w:hAnsiTheme="minorHAnsi" w:cstheme="minorHAnsi"/>
        </w:rPr>
        <w:t xml:space="preserve">de l'édition de 2021 du Mobile World </w:t>
      </w:r>
      <w:proofErr w:type="spellStart"/>
      <w:r w:rsidR="00505708" w:rsidRPr="0058490E">
        <w:rPr>
          <w:rFonts w:asciiTheme="minorHAnsi" w:eastAsia="MS Mincho" w:hAnsiTheme="minorHAnsi" w:cstheme="minorHAnsi"/>
        </w:rPr>
        <w:t>Congress</w:t>
      </w:r>
      <w:proofErr w:type="spellEnd"/>
      <w:r w:rsidRPr="0058490E">
        <w:rPr>
          <w:rFonts w:asciiTheme="minorHAnsi" w:eastAsia="MS Mincho" w:hAnsiTheme="minorHAnsi" w:cstheme="minorHAnsi"/>
        </w:rPr>
        <w:t>, qui se tiendra à Barcelone du 28 juin au 1er juillet.</w:t>
      </w:r>
    </w:p>
    <w:p w14:paraId="31120645" w14:textId="0EA2E6A4"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7.9</w:t>
      </w:r>
      <w:r w:rsidRPr="0058490E">
        <w:rPr>
          <w:rFonts w:asciiTheme="minorHAnsi" w:eastAsia="MS Mincho" w:hAnsiTheme="minorHAnsi" w:cstheme="minorHAnsi"/>
        </w:rPr>
        <w:tab/>
        <w:t xml:space="preserve">Le </w:t>
      </w:r>
      <w:r w:rsidR="00505708" w:rsidRPr="0058490E">
        <w:rPr>
          <w:rFonts w:asciiTheme="minorHAnsi" w:eastAsia="MS Mincho" w:hAnsiTheme="minorHAnsi" w:cstheme="minorHAnsi"/>
        </w:rPr>
        <w:t>C</w:t>
      </w:r>
      <w:r w:rsidRPr="0058490E">
        <w:rPr>
          <w:rFonts w:asciiTheme="minorHAnsi" w:eastAsia="MS Mincho" w:hAnsiTheme="minorHAnsi" w:cstheme="minorHAnsi"/>
        </w:rPr>
        <w:t>hef du Département de la gestion des ressources financières déclar</w:t>
      </w:r>
      <w:r w:rsidR="006C1D1A" w:rsidRPr="0058490E">
        <w:rPr>
          <w:rFonts w:asciiTheme="minorHAnsi" w:eastAsia="MS Mincho" w:hAnsiTheme="minorHAnsi" w:cstheme="minorHAnsi"/>
        </w:rPr>
        <w:t>e</w:t>
      </w:r>
      <w:r w:rsidRPr="0058490E">
        <w:rPr>
          <w:rFonts w:asciiTheme="minorHAnsi" w:eastAsia="MS Mincho" w:hAnsiTheme="minorHAnsi" w:cstheme="minorHAnsi"/>
        </w:rPr>
        <w:t xml:space="preserve"> </w:t>
      </w:r>
      <w:r w:rsidR="00505708" w:rsidRPr="0058490E">
        <w:rPr>
          <w:rFonts w:asciiTheme="minorHAnsi" w:eastAsia="MS Mincho" w:hAnsiTheme="minorHAnsi" w:cstheme="minorHAnsi"/>
        </w:rPr>
        <w:t>qu'</w:t>
      </w:r>
      <w:r w:rsidRPr="0058490E">
        <w:rPr>
          <w:rFonts w:asciiTheme="minorHAnsi" w:eastAsia="MS Mincho" w:hAnsiTheme="minorHAnsi" w:cstheme="minorHAnsi"/>
        </w:rPr>
        <w:t xml:space="preserve">aux termes </w:t>
      </w:r>
      <w:r w:rsidR="00505708" w:rsidRPr="0058490E">
        <w:rPr>
          <w:rFonts w:asciiTheme="minorHAnsi" w:eastAsia="MS Mincho" w:hAnsiTheme="minorHAnsi" w:cstheme="minorHAnsi"/>
        </w:rPr>
        <w:t>du point </w:t>
      </w:r>
      <w:r w:rsidRPr="0058490E">
        <w:rPr>
          <w:rFonts w:asciiTheme="minorHAnsi" w:eastAsia="MS Mincho" w:hAnsiTheme="minorHAnsi" w:cstheme="minorHAnsi"/>
        </w:rPr>
        <w:t xml:space="preserve">4 </w:t>
      </w:r>
      <w:r w:rsidR="00505708" w:rsidRPr="0058490E">
        <w:rPr>
          <w:rFonts w:asciiTheme="minorHAnsi" w:eastAsia="MS Mincho" w:hAnsiTheme="minorHAnsi" w:cstheme="minorHAnsi"/>
        </w:rPr>
        <w:t xml:space="preserve">du </w:t>
      </w:r>
      <w:r w:rsidR="00505708" w:rsidRPr="0058490E">
        <w:rPr>
          <w:rFonts w:asciiTheme="minorHAnsi" w:eastAsia="MS Mincho" w:hAnsiTheme="minorHAnsi" w:cstheme="minorHAnsi"/>
          <w:i/>
          <w:iCs/>
        </w:rPr>
        <w:t>décide</w:t>
      </w:r>
      <w:r w:rsidR="00505708" w:rsidRPr="0058490E">
        <w:rPr>
          <w:rFonts w:asciiTheme="minorHAnsi" w:eastAsia="MS Mincho" w:hAnsiTheme="minorHAnsi" w:cstheme="minorHAnsi"/>
        </w:rPr>
        <w:t xml:space="preserve"> </w:t>
      </w:r>
      <w:r w:rsidRPr="0058490E">
        <w:rPr>
          <w:rFonts w:asciiTheme="minorHAnsi" w:eastAsia="MS Mincho" w:hAnsiTheme="minorHAnsi" w:cstheme="minorHAnsi"/>
        </w:rPr>
        <w:t>de la Résolution 11 (Rév. Dubaï, 2018)</w:t>
      </w:r>
      <w:r w:rsidR="00505708" w:rsidRPr="0058490E">
        <w:rPr>
          <w:rFonts w:asciiTheme="minorHAnsi" w:eastAsia="MS Mincho" w:hAnsiTheme="minorHAnsi" w:cstheme="minorHAnsi"/>
        </w:rPr>
        <w:t xml:space="preserve"> de la Conférence de plénipotentiaires</w:t>
      </w:r>
      <w:r w:rsidRPr="0058490E">
        <w:rPr>
          <w:rFonts w:asciiTheme="minorHAnsi" w:eastAsia="MS Mincho" w:hAnsiTheme="minorHAnsi" w:cstheme="minorHAnsi"/>
        </w:rPr>
        <w:t xml:space="preserve">, </w:t>
      </w:r>
      <w:r w:rsidR="00505708" w:rsidRPr="0058490E">
        <w:rPr>
          <w:rFonts w:asciiTheme="minorHAnsi" w:eastAsia="MS Mincho" w:hAnsiTheme="minorHAnsi" w:cstheme="minorHAnsi"/>
        </w:rPr>
        <w:t xml:space="preserve">les honoraires du cabinet de conseil en gestion </w:t>
      </w:r>
      <w:r w:rsidRPr="0058490E">
        <w:rPr>
          <w:rFonts w:asciiTheme="minorHAnsi" w:eastAsia="MS Mincho" w:hAnsiTheme="minorHAnsi" w:cstheme="minorHAnsi"/>
        </w:rPr>
        <w:t xml:space="preserve">externe indépendant pour la phase 1 </w:t>
      </w:r>
      <w:r w:rsidR="00505708" w:rsidRPr="0058490E">
        <w:rPr>
          <w:rFonts w:asciiTheme="minorHAnsi" w:eastAsia="MS Mincho" w:hAnsiTheme="minorHAnsi" w:cstheme="minorHAnsi"/>
        </w:rPr>
        <w:t xml:space="preserve">ont été </w:t>
      </w:r>
      <w:r w:rsidRPr="0058490E">
        <w:rPr>
          <w:rFonts w:asciiTheme="minorHAnsi" w:eastAsia="MS Mincho" w:hAnsiTheme="minorHAnsi" w:cstheme="minorHAnsi"/>
        </w:rPr>
        <w:t>couvert</w:t>
      </w:r>
      <w:r w:rsidR="00505708" w:rsidRPr="0058490E">
        <w:rPr>
          <w:rFonts w:asciiTheme="minorHAnsi" w:eastAsia="MS Mincho" w:hAnsiTheme="minorHAnsi" w:cstheme="minorHAnsi"/>
        </w:rPr>
        <w:t>s</w:t>
      </w:r>
      <w:r w:rsidRPr="0058490E">
        <w:rPr>
          <w:rFonts w:asciiTheme="minorHAnsi" w:eastAsia="MS Mincho" w:hAnsiTheme="minorHAnsi" w:cstheme="minorHAnsi"/>
        </w:rPr>
        <w:t xml:space="preserve"> par le Fonds de roulement de</w:t>
      </w:r>
      <w:r w:rsidR="00505708" w:rsidRPr="0058490E">
        <w:rPr>
          <w:rFonts w:asciiTheme="minorHAnsi" w:eastAsia="MS Mincho" w:hAnsiTheme="minorHAnsi" w:cstheme="minorHAnsi"/>
        </w:rPr>
        <w:t>s</w:t>
      </w:r>
      <w:r w:rsidRPr="0058490E">
        <w:rPr>
          <w:rFonts w:asciiTheme="minorHAnsi" w:eastAsia="MS Mincho" w:hAnsiTheme="minorHAnsi" w:cstheme="minorHAnsi"/>
        </w:rPr>
        <w:t xml:space="preserve"> </w:t>
      </w:r>
      <w:r w:rsidR="00505708" w:rsidRPr="0058490E">
        <w:rPr>
          <w:rFonts w:asciiTheme="minorHAnsi" w:eastAsia="MS Mincho" w:hAnsiTheme="minorHAnsi" w:cstheme="minorHAnsi"/>
        </w:rPr>
        <w:t>e</w:t>
      </w:r>
      <w:r w:rsidRPr="0058490E">
        <w:rPr>
          <w:rFonts w:asciiTheme="minorHAnsi" w:eastAsia="MS Mincho" w:hAnsiTheme="minorHAnsi" w:cstheme="minorHAnsi"/>
        </w:rPr>
        <w:t>xposition</w:t>
      </w:r>
      <w:r w:rsidR="00505708" w:rsidRPr="0058490E">
        <w:rPr>
          <w:rFonts w:asciiTheme="minorHAnsi" w:eastAsia="MS Mincho" w:hAnsiTheme="minorHAnsi" w:cstheme="minorHAnsi"/>
        </w:rPr>
        <w:t>s</w:t>
      </w:r>
      <w:r w:rsidRPr="0058490E">
        <w:rPr>
          <w:rFonts w:asciiTheme="minorHAnsi" w:eastAsia="MS Mincho" w:hAnsiTheme="minorHAnsi" w:cstheme="minorHAnsi"/>
        </w:rPr>
        <w:t xml:space="preserve"> (EWCF). Si le Conseil décid</w:t>
      </w:r>
      <w:r w:rsidR="00505708" w:rsidRPr="0058490E">
        <w:rPr>
          <w:rFonts w:asciiTheme="minorHAnsi" w:eastAsia="MS Mincho" w:hAnsiTheme="minorHAnsi" w:cstheme="minorHAnsi"/>
        </w:rPr>
        <w:t xml:space="preserve">e </w:t>
      </w:r>
      <w:r w:rsidRPr="0058490E">
        <w:rPr>
          <w:rFonts w:asciiTheme="minorHAnsi" w:eastAsia="MS Mincho" w:hAnsiTheme="minorHAnsi" w:cstheme="minorHAnsi"/>
        </w:rPr>
        <w:t xml:space="preserve">d'aller de l'avant avec la phase 2, il devra autoriser le Secrétaire général à prélever les fonds nécessaires sur le </w:t>
      </w:r>
      <w:r w:rsidR="00505708" w:rsidRPr="0058490E">
        <w:rPr>
          <w:rFonts w:asciiTheme="minorHAnsi" w:eastAsia="MS Mincho" w:hAnsiTheme="minorHAnsi" w:cstheme="minorHAnsi"/>
        </w:rPr>
        <w:t xml:space="preserve">Fonds </w:t>
      </w:r>
      <w:proofErr w:type="gramStart"/>
      <w:r w:rsidRPr="0058490E">
        <w:rPr>
          <w:rFonts w:asciiTheme="minorHAnsi" w:eastAsia="MS Mincho" w:hAnsiTheme="minorHAnsi" w:cstheme="minorHAnsi"/>
        </w:rPr>
        <w:t>EWCF;</w:t>
      </w:r>
      <w:proofErr w:type="gramEnd"/>
      <w:r w:rsidRPr="0058490E">
        <w:rPr>
          <w:rFonts w:asciiTheme="minorHAnsi" w:eastAsia="MS Mincho" w:hAnsiTheme="minorHAnsi" w:cstheme="minorHAnsi"/>
        </w:rPr>
        <w:t xml:space="preserve"> ni le budget de l'UIT ni celui du secrétariat d'ITU Telecom ne </w:t>
      </w:r>
      <w:r w:rsidR="006C1D1A" w:rsidRPr="0058490E">
        <w:rPr>
          <w:rFonts w:asciiTheme="minorHAnsi" w:eastAsia="MS Mincho" w:hAnsiTheme="minorHAnsi" w:cstheme="minorHAnsi"/>
        </w:rPr>
        <w:t xml:space="preserve">prévoient </w:t>
      </w:r>
      <w:r w:rsidRPr="0058490E">
        <w:rPr>
          <w:rFonts w:asciiTheme="minorHAnsi" w:eastAsia="MS Mincho" w:hAnsiTheme="minorHAnsi" w:cstheme="minorHAnsi"/>
        </w:rPr>
        <w:t xml:space="preserve">de crédits pour la phase 2. Il </w:t>
      </w:r>
      <w:r w:rsidR="00505708" w:rsidRPr="0058490E">
        <w:rPr>
          <w:rFonts w:asciiTheme="minorHAnsi" w:eastAsia="MS Mincho" w:hAnsiTheme="minorHAnsi" w:cstheme="minorHAnsi"/>
        </w:rPr>
        <w:t xml:space="preserve">est </w:t>
      </w:r>
      <w:r w:rsidRPr="0058490E">
        <w:rPr>
          <w:rFonts w:asciiTheme="minorHAnsi" w:eastAsia="MS Mincho" w:hAnsiTheme="minorHAnsi" w:cstheme="minorHAnsi"/>
        </w:rPr>
        <w:t>en outre stipulé dans la Résolution 11 (Rév. Dubaï, 2018) que l</w:t>
      </w:r>
      <w:r w:rsidR="00505708" w:rsidRPr="0058490E">
        <w:rPr>
          <w:rFonts w:asciiTheme="minorHAnsi" w:eastAsia="MS Mincho" w:hAnsiTheme="minorHAnsi" w:cstheme="minorHAnsi"/>
        </w:rPr>
        <w:t xml:space="preserve">e Fonds </w:t>
      </w:r>
      <w:r w:rsidRPr="0058490E">
        <w:rPr>
          <w:rFonts w:asciiTheme="minorHAnsi" w:eastAsia="MS Mincho" w:hAnsiTheme="minorHAnsi" w:cstheme="minorHAnsi"/>
        </w:rPr>
        <w:t xml:space="preserve">EWCF </w:t>
      </w:r>
      <w:r w:rsidR="00505708" w:rsidRPr="0058490E">
        <w:rPr>
          <w:rFonts w:asciiTheme="minorHAnsi" w:eastAsia="MS Mincho" w:hAnsiTheme="minorHAnsi" w:cstheme="minorHAnsi"/>
        </w:rPr>
        <w:t xml:space="preserve">doit être doté </w:t>
      </w:r>
      <w:r w:rsidRPr="0058490E">
        <w:rPr>
          <w:rFonts w:asciiTheme="minorHAnsi" w:eastAsia="MS Mincho" w:hAnsiTheme="minorHAnsi" w:cstheme="minorHAnsi"/>
        </w:rPr>
        <w:t xml:space="preserve">d'une réserve minimale de 5 millions </w:t>
      </w:r>
      <w:r w:rsidR="00505708" w:rsidRPr="0058490E">
        <w:rPr>
          <w:rFonts w:asciiTheme="minorHAnsi" w:eastAsia="MS Mincho" w:hAnsiTheme="minorHAnsi" w:cstheme="minorHAnsi"/>
        </w:rPr>
        <w:t>CHF</w:t>
      </w:r>
      <w:r w:rsidRPr="0058490E">
        <w:rPr>
          <w:rFonts w:asciiTheme="minorHAnsi" w:eastAsia="MS Mincho" w:hAnsiTheme="minorHAnsi" w:cstheme="minorHAnsi"/>
        </w:rPr>
        <w:t xml:space="preserve">. Bien qu'ITU Telecom 2020 n'ait pas eu lieu, les coûts du secrétariat d'ITU Telecom </w:t>
      </w:r>
      <w:r w:rsidR="00505708" w:rsidRPr="0058490E">
        <w:rPr>
          <w:rFonts w:asciiTheme="minorHAnsi" w:eastAsia="MS Mincho" w:hAnsiTheme="minorHAnsi" w:cstheme="minorHAnsi"/>
        </w:rPr>
        <w:t xml:space="preserve">ont </w:t>
      </w:r>
      <w:r w:rsidRPr="0058490E">
        <w:rPr>
          <w:rFonts w:asciiTheme="minorHAnsi" w:eastAsia="MS Mincho" w:hAnsiTheme="minorHAnsi" w:cstheme="minorHAnsi"/>
        </w:rPr>
        <w:t>été couverts par l</w:t>
      </w:r>
      <w:r w:rsidR="00505708" w:rsidRPr="0058490E">
        <w:rPr>
          <w:rFonts w:asciiTheme="minorHAnsi" w:eastAsia="MS Mincho" w:hAnsiTheme="minorHAnsi" w:cstheme="minorHAnsi"/>
        </w:rPr>
        <w:t xml:space="preserve">e Fonds </w:t>
      </w:r>
      <w:r w:rsidRPr="0058490E">
        <w:rPr>
          <w:rFonts w:asciiTheme="minorHAnsi" w:eastAsia="MS Mincho" w:hAnsiTheme="minorHAnsi" w:cstheme="minorHAnsi"/>
        </w:rPr>
        <w:t>EWCF, qui présent</w:t>
      </w:r>
      <w:r w:rsidR="00505708" w:rsidRPr="0058490E">
        <w:rPr>
          <w:rFonts w:asciiTheme="minorHAnsi" w:eastAsia="MS Mincho" w:hAnsiTheme="minorHAnsi" w:cstheme="minorHAnsi"/>
        </w:rPr>
        <w:t>e</w:t>
      </w:r>
      <w:r w:rsidR="009327B6" w:rsidRPr="0058490E">
        <w:rPr>
          <w:rFonts w:asciiTheme="minorHAnsi" w:eastAsia="MS Mincho" w:hAnsiTheme="minorHAnsi" w:cstheme="minorHAnsi"/>
        </w:rPr>
        <w:t xml:space="preserve"> un solde de </w:t>
      </w:r>
      <w:r w:rsidRPr="0058490E">
        <w:rPr>
          <w:rFonts w:asciiTheme="minorHAnsi" w:eastAsia="MS Mincho" w:hAnsiTheme="minorHAnsi" w:cstheme="minorHAnsi"/>
        </w:rPr>
        <w:t>6,6</w:t>
      </w:r>
      <w:r w:rsidR="00A15BDA" w:rsidRPr="0058490E">
        <w:rPr>
          <w:rFonts w:asciiTheme="minorHAnsi" w:eastAsia="MS Mincho" w:hAnsiTheme="minorHAnsi" w:cstheme="minorHAnsi"/>
        </w:rPr>
        <w:t> </w:t>
      </w:r>
      <w:r w:rsidRPr="0058490E">
        <w:rPr>
          <w:rFonts w:asciiTheme="minorHAnsi" w:eastAsia="MS Mincho" w:hAnsiTheme="minorHAnsi" w:cstheme="minorHAnsi"/>
        </w:rPr>
        <w:t xml:space="preserve">millions </w:t>
      </w:r>
      <w:r w:rsidR="00505708" w:rsidRPr="0058490E">
        <w:rPr>
          <w:rFonts w:asciiTheme="minorHAnsi" w:eastAsia="MS Mincho" w:hAnsiTheme="minorHAnsi" w:cstheme="minorHAnsi"/>
        </w:rPr>
        <w:t xml:space="preserve">CHF </w:t>
      </w:r>
      <w:r w:rsidRPr="0058490E">
        <w:rPr>
          <w:rFonts w:asciiTheme="minorHAnsi" w:eastAsia="MS Mincho" w:hAnsiTheme="minorHAnsi" w:cstheme="minorHAnsi"/>
        </w:rPr>
        <w:t>au 31 décembre 2020. Si ITU Telecom 2021 n'a</w:t>
      </w:r>
      <w:r w:rsidR="00505708" w:rsidRPr="0058490E">
        <w:rPr>
          <w:rFonts w:asciiTheme="minorHAnsi" w:eastAsia="MS Mincho" w:hAnsiTheme="minorHAnsi" w:cstheme="minorHAnsi"/>
        </w:rPr>
        <w:t xml:space="preserve"> </w:t>
      </w:r>
      <w:r w:rsidRPr="0058490E">
        <w:rPr>
          <w:rFonts w:asciiTheme="minorHAnsi" w:eastAsia="MS Mincho" w:hAnsiTheme="minorHAnsi" w:cstheme="minorHAnsi"/>
        </w:rPr>
        <w:t xml:space="preserve">pas </w:t>
      </w:r>
      <w:r w:rsidR="006C1D1A" w:rsidRPr="0058490E">
        <w:rPr>
          <w:rFonts w:asciiTheme="minorHAnsi" w:eastAsia="MS Mincho" w:hAnsiTheme="minorHAnsi" w:cstheme="minorHAnsi"/>
        </w:rPr>
        <w:t xml:space="preserve">lieu </w:t>
      </w:r>
      <w:r w:rsidRPr="0058490E">
        <w:rPr>
          <w:rFonts w:asciiTheme="minorHAnsi" w:eastAsia="MS Mincho" w:hAnsiTheme="minorHAnsi" w:cstheme="minorHAnsi"/>
        </w:rPr>
        <w:t xml:space="preserve">non plus </w:t>
      </w:r>
      <w:r w:rsidR="00505708" w:rsidRPr="0058490E">
        <w:rPr>
          <w:rFonts w:asciiTheme="minorHAnsi" w:eastAsia="MS Mincho" w:hAnsiTheme="minorHAnsi" w:cstheme="minorHAnsi"/>
        </w:rPr>
        <w:t>en présentiel</w:t>
      </w:r>
      <w:r w:rsidRPr="0058490E">
        <w:rPr>
          <w:rFonts w:asciiTheme="minorHAnsi" w:eastAsia="MS Mincho" w:hAnsiTheme="minorHAnsi" w:cstheme="minorHAnsi"/>
        </w:rPr>
        <w:t>, le déficit résult</w:t>
      </w:r>
      <w:r w:rsidR="00C70135" w:rsidRPr="0058490E">
        <w:rPr>
          <w:rFonts w:asciiTheme="minorHAnsi" w:eastAsia="MS Mincho" w:hAnsiTheme="minorHAnsi" w:cstheme="minorHAnsi"/>
        </w:rPr>
        <w:t>ant</w:t>
      </w:r>
      <w:r w:rsidRPr="0058490E">
        <w:rPr>
          <w:rFonts w:asciiTheme="minorHAnsi" w:eastAsia="MS Mincho" w:hAnsiTheme="minorHAnsi" w:cstheme="minorHAnsi"/>
        </w:rPr>
        <w:t xml:space="preserve"> sera imputé au </w:t>
      </w:r>
      <w:r w:rsidR="00C70135" w:rsidRPr="0058490E">
        <w:rPr>
          <w:rFonts w:asciiTheme="minorHAnsi" w:eastAsia="MS Mincho" w:hAnsiTheme="minorHAnsi" w:cstheme="minorHAnsi"/>
        </w:rPr>
        <w:t xml:space="preserve">Fonds </w:t>
      </w:r>
      <w:r w:rsidRPr="0058490E">
        <w:rPr>
          <w:rFonts w:asciiTheme="minorHAnsi" w:eastAsia="MS Mincho" w:hAnsiTheme="minorHAnsi" w:cstheme="minorHAnsi"/>
        </w:rPr>
        <w:t>EWCF.</w:t>
      </w:r>
    </w:p>
    <w:p w14:paraId="1B87656D" w14:textId="6B4D9A76"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7.10</w:t>
      </w:r>
      <w:r w:rsidRPr="0058490E">
        <w:rPr>
          <w:rFonts w:asciiTheme="minorHAnsi" w:eastAsia="MS Mincho" w:hAnsiTheme="minorHAnsi" w:cstheme="minorHAnsi"/>
        </w:rPr>
        <w:tab/>
        <w:t xml:space="preserve">Le représentant de Dalberg convient que </w:t>
      </w:r>
      <w:r w:rsidR="00C70135" w:rsidRPr="0058490E">
        <w:rPr>
          <w:rFonts w:asciiTheme="minorHAnsi" w:eastAsia="MS Mincho" w:hAnsiTheme="minorHAnsi" w:cstheme="minorHAnsi"/>
        </w:rPr>
        <w:t xml:space="preserve">la situation </w:t>
      </w:r>
      <w:r w:rsidRPr="0058490E">
        <w:rPr>
          <w:rFonts w:asciiTheme="minorHAnsi" w:eastAsia="MS Mincho" w:hAnsiTheme="minorHAnsi" w:cstheme="minorHAnsi"/>
        </w:rPr>
        <w:t>mondial</w:t>
      </w:r>
      <w:r w:rsidR="00C70135" w:rsidRPr="0058490E">
        <w:rPr>
          <w:rFonts w:asciiTheme="minorHAnsi" w:eastAsia="MS Mincho" w:hAnsiTheme="minorHAnsi" w:cstheme="minorHAnsi"/>
        </w:rPr>
        <w:t>e</w:t>
      </w:r>
      <w:r w:rsidRPr="0058490E">
        <w:rPr>
          <w:rFonts w:asciiTheme="minorHAnsi" w:eastAsia="MS Mincho" w:hAnsiTheme="minorHAnsi" w:cstheme="minorHAnsi"/>
        </w:rPr>
        <w:t xml:space="preserve"> actuel</w:t>
      </w:r>
      <w:r w:rsidR="00C70135" w:rsidRPr="0058490E">
        <w:rPr>
          <w:rFonts w:asciiTheme="minorHAnsi" w:eastAsia="MS Mincho" w:hAnsiTheme="minorHAnsi" w:cstheme="minorHAnsi"/>
        </w:rPr>
        <w:t>le</w:t>
      </w:r>
      <w:r w:rsidRPr="0058490E">
        <w:rPr>
          <w:rFonts w:asciiTheme="minorHAnsi" w:eastAsia="MS Mincho" w:hAnsiTheme="minorHAnsi" w:cstheme="minorHAnsi"/>
        </w:rPr>
        <w:t xml:space="preserve"> des manifestations liées aux technologies de l'information est de plus en plus concurrentiel</w:t>
      </w:r>
      <w:r w:rsidR="00C70135" w:rsidRPr="0058490E">
        <w:rPr>
          <w:rFonts w:asciiTheme="minorHAnsi" w:eastAsia="MS Mincho" w:hAnsiTheme="minorHAnsi" w:cstheme="minorHAnsi"/>
        </w:rPr>
        <w:t>le</w:t>
      </w:r>
      <w:r w:rsidRPr="0058490E">
        <w:rPr>
          <w:rFonts w:asciiTheme="minorHAnsi" w:eastAsia="MS Mincho" w:hAnsiTheme="minorHAnsi" w:cstheme="minorHAnsi"/>
        </w:rPr>
        <w:t xml:space="preserve"> et qu'il serait peu judicieux de porter atteinte aux manifestations existantes qui </w:t>
      </w:r>
      <w:r w:rsidR="00C70135" w:rsidRPr="0058490E">
        <w:rPr>
          <w:rFonts w:asciiTheme="minorHAnsi" w:eastAsia="MS Mincho" w:hAnsiTheme="minorHAnsi" w:cstheme="minorHAnsi"/>
        </w:rPr>
        <w:t xml:space="preserve">sont couronnées de </w:t>
      </w:r>
      <w:r w:rsidRPr="0058490E">
        <w:rPr>
          <w:rFonts w:asciiTheme="minorHAnsi" w:eastAsia="MS Mincho" w:hAnsiTheme="minorHAnsi" w:cstheme="minorHAnsi"/>
        </w:rPr>
        <w:t xml:space="preserve">succès ou d'alourdir la charge financière des organisateurs. L'objectif </w:t>
      </w:r>
      <w:r w:rsidR="00C70135" w:rsidRPr="0058490E">
        <w:rPr>
          <w:rFonts w:asciiTheme="minorHAnsi" w:eastAsia="MS Mincho" w:hAnsiTheme="minorHAnsi" w:cstheme="minorHAnsi"/>
        </w:rPr>
        <w:t>est</w:t>
      </w:r>
      <w:r w:rsidRPr="0058490E">
        <w:rPr>
          <w:rFonts w:asciiTheme="minorHAnsi" w:eastAsia="MS Mincho" w:hAnsiTheme="minorHAnsi" w:cstheme="minorHAnsi"/>
        </w:rPr>
        <w:t xml:space="preserve">, au contraire, </w:t>
      </w:r>
      <w:r w:rsidR="00C70135" w:rsidRPr="0058490E">
        <w:rPr>
          <w:rFonts w:asciiTheme="minorHAnsi" w:eastAsia="MS Mincho" w:hAnsiTheme="minorHAnsi" w:cstheme="minorHAnsi"/>
        </w:rPr>
        <w:t xml:space="preserve">compte tenu des </w:t>
      </w:r>
      <w:r w:rsidRPr="0058490E">
        <w:rPr>
          <w:rFonts w:asciiTheme="minorHAnsi" w:eastAsia="MS Mincho" w:hAnsiTheme="minorHAnsi" w:cstheme="minorHAnsi"/>
        </w:rPr>
        <w:lastRenderedPageBreak/>
        <w:t xml:space="preserve">parties prenantes et </w:t>
      </w:r>
      <w:r w:rsidR="00C70135" w:rsidRPr="0058490E">
        <w:rPr>
          <w:rFonts w:asciiTheme="minorHAnsi" w:eastAsia="MS Mincho" w:hAnsiTheme="minorHAnsi" w:cstheme="minorHAnsi"/>
        </w:rPr>
        <w:t xml:space="preserve">des manifestations, de faire en sorte d'élaborer </w:t>
      </w:r>
      <w:r w:rsidRPr="0058490E">
        <w:rPr>
          <w:rFonts w:asciiTheme="minorHAnsi" w:eastAsia="MS Mincho" w:hAnsiTheme="minorHAnsi" w:cstheme="minorHAnsi"/>
        </w:rPr>
        <w:t xml:space="preserve">un portefeuille intégré et coordonné </w:t>
      </w:r>
      <w:r w:rsidR="00C70135" w:rsidRPr="0058490E">
        <w:rPr>
          <w:rFonts w:asciiTheme="minorHAnsi" w:eastAsia="MS Mincho" w:hAnsiTheme="minorHAnsi" w:cstheme="minorHAnsi"/>
        </w:rPr>
        <w:t>de manifestations</w:t>
      </w:r>
      <w:r w:rsidRPr="0058490E">
        <w:rPr>
          <w:rFonts w:asciiTheme="minorHAnsi" w:eastAsia="MS Mincho" w:hAnsiTheme="minorHAnsi" w:cstheme="minorHAnsi"/>
        </w:rPr>
        <w:t xml:space="preserve">. Dalberg n'a pas encore été invité à fournir une méthode ou un calendrier pour la phase 2, mais il est prêt à le faire. </w:t>
      </w:r>
      <w:r w:rsidR="00C70135" w:rsidRPr="0058490E">
        <w:rPr>
          <w:rFonts w:asciiTheme="minorHAnsi" w:eastAsia="MS Mincho" w:hAnsiTheme="minorHAnsi" w:cstheme="minorHAnsi"/>
        </w:rPr>
        <w:t xml:space="preserve">Il </w:t>
      </w:r>
      <w:r w:rsidRPr="0058490E">
        <w:rPr>
          <w:rFonts w:asciiTheme="minorHAnsi" w:eastAsia="MS Mincho" w:hAnsiTheme="minorHAnsi" w:cstheme="minorHAnsi"/>
        </w:rPr>
        <w:t xml:space="preserve">est également disposé à adapter sa proposition à la lumière des besoins et des préoccupations des États </w:t>
      </w:r>
      <w:r w:rsidR="00C70135" w:rsidRPr="0058490E">
        <w:rPr>
          <w:rFonts w:asciiTheme="minorHAnsi" w:eastAsia="MS Mincho" w:hAnsiTheme="minorHAnsi" w:cstheme="minorHAnsi"/>
        </w:rPr>
        <w:t>M</w:t>
      </w:r>
      <w:r w:rsidRPr="0058490E">
        <w:rPr>
          <w:rFonts w:asciiTheme="minorHAnsi" w:eastAsia="MS Mincho" w:hAnsiTheme="minorHAnsi" w:cstheme="minorHAnsi"/>
        </w:rPr>
        <w:t xml:space="preserve">embres et à examiner les trois options décrites dans son rapport, voire toute autre option formulée par les États </w:t>
      </w:r>
      <w:r w:rsidR="00C70135" w:rsidRPr="0058490E">
        <w:rPr>
          <w:rFonts w:asciiTheme="minorHAnsi" w:eastAsia="MS Mincho" w:hAnsiTheme="minorHAnsi" w:cstheme="minorHAnsi"/>
        </w:rPr>
        <w:t>M</w:t>
      </w:r>
      <w:r w:rsidRPr="0058490E">
        <w:rPr>
          <w:rFonts w:asciiTheme="minorHAnsi" w:eastAsia="MS Mincho" w:hAnsiTheme="minorHAnsi" w:cstheme="minorHAnsi"/>
        </w:rPr>
        <w:t>embres.</w:t>
      </w:r>
    </w:p>
    <w:p w14:paraId="5A1E97C5" w14:textId="66CD9700" w:rsidR="004C607A" w:rsidRPr="0058490E" w:rsidRDefault="004C607A" w:rsidP="0058490E">
      <w:pPr>
        <w:tabs>
          <w:tab w:val="clear" w:pos="567"/>
          <w:tab w:val="clear" w:pos="1134"/>
          <w:tab w:val="clear" w:pos="1701"/>
          <w:tab w:val="clear" w:pos="2268"/>
          <w:tab w:val="clear" w:pos="2835"/>
        </w:tabs>
        <w:rPr>
          <w:rFonts w:asciiTheme="minorHAnsi" w:eastAsia="MS Mincho" w:hAnsiTheme="minorHAnsi" w:cstheme="minorHAnsi"/>
        </w:rPr>
      </w:pPr>
      <w:r w:rsidRPr="0058490E">
        <w:rPr>
          <w:rFonts w:asciiTheme="minorHAnsi" w:eastAsia="MS Mincho" w:hAnsiTheme="minorHAnsi" w:cstheme="minorHAnsi"/>
        </w:rPr>
        <w:t>7.11</w:t>
      </w:r>
      <w:r w:rsidRPr="0058490E">
        <w:rPr>
          <w:rFonts w:asciiTheme="minorHAnsi" w:eastAsia="MS Mincho" w:hAnsiTheme="minorHAnsi" w:cstheme="minorHAnsi"/>
        </w:rPr>
        <w:tab/>
        <w:t xml:space="preserve">Les </w:t>
      </w:r>
      <w:r w:rsidR="00C70135" w:rsidRPr="0058490E">
        <w:rPr>
          <w:rFonts w:asciiTheme="minorHAnsi" w:eastAsia="MS Mincho" w:hAnsiTheme="minorHAnsi" w:cstheme="minorHAnsi"/>
        </w:rPr>
        <w:t>C</w:t>
      </w:r>
      <w:r w:rsidRPr="0058490E">
        <w:rPr>
          <w:rFonts w:asciiTheme="minorHAnsi" w:eastAsia="MS Mincho" w:hAnsiTheme="minorHAnsi" w:cstheme="minorHAnsi"/>
        </w:rPr>
        <w:t xml:space="preserve">onseillers </w:t>
      </w:r>
      <w:r w:rsidRPr="0058490E">
        <w:rPr>
          <w:rFonts w:asciiTheme="minorHAnsi" w:eastAsia="MS Mincho" w:hAnsiTheme="minorHAnsi" w:cstheme="minorHAnsi"/>
          <w:b/>
          <w:bCs/>
        </w:rPr>
        <w:t>remercient</w:t>
      </w:r>
      <w:r w:rsidRPr="0058490E">
        <w:rPr>
          <w:rFonts w:asciiTheme="minorHAnsi" w:eastAsia="MS Mincho" w:hAnsiTheme="minorHAnsi" w:cstheme="minorHAnsi"/>
        </w:rPr>
        <w:t xml:space="preserve"> Dalberg pour sa présentation et s</w:t>
      </w:r>
      <w:r w:rsidR="006C1D1A" w:rsidRPr="0058490E">
        <w:rPr>
          <w:rFonts w:asciiTheme="minorHAnsi" w:eastAsia="MS Mincho" w:hAnsiTheme="minorHAnsi" w:cstheme="minorHAnsi"/>
        </w:rPr>
        <w:t xml:space="preserve">es </w:t>
      </w:r>
      <w:r w:rsidRPr="0058490E">
        <w:rPr>
          <w:rFonts w:asciiTheme="minorHAnsi" w:eastAsia="MS Mincho" w:hAnsiTheme="minorHAnsi" w:cstheme="minorHAnsi"/>
        </w:rPr>
        <w:t>trava</w:t>
      </w:r>
      <w:r w:rsidR="006C1D1A" w:rsidRPr="0058490E">
        <w:rPr>
          <w:rFonts w:asciiTheme="minorHAnsi" w:eastAsia="MS Mincho" w:hAnsiTheme="minorHAnsi" w:cstheme="minorHAnsi"/>
        </w:rPr>
        <w:t>ux</w:t>
      </w:r>
      <w:r w:rsidRPr="0058490E">
        <w:rPr>
          <w:rFonts w:asciiTheme="minorHAnsi" w:eastAsia="MS Mincho" w:hAnsiTheme="minorHAnsi" w:cstheme="minorHAnsi"/>
        </w:rPr>
        <w:t xml:space="preserve">, </w:t>
      </w:r>
      <w:r w:rsidRPr="0058490E">
        <w:rPr>
          <w:rFonts w:asciiTheme="minorHAnsi" w:eastAsia="MS Mincho" w:hAnsiTheme="minorHAnsi" w:cstheme="minorHAnsi"/>
          <w:b/>
          <w:bCs/>
        </w:rPr>
        <w:t>prennent note</w:t>
      </w:r>
      <w:r w:rsidRPr="0058490E">
        <w:rPr>
          <w:rFonts w:asciiTheme="minorHAnsi" w:eastAsia="MS Mincho" w:hAnsiTheme="minorHAnsi" w:cstheme="minorHAnsi"/>
        </w:rPr>
        <w:t xml:space="preserve"> des </w:t>
      </w:r>
      <w:r w:rsidR="00C70135" w:rsidRPr="0058490E">
        <w:rPr>
          <w:rFonts w:asciiTheme="minorHAnsi" w:eastAsia="MS Mincho" w:hAnsiTheme="minorHAnsi" w:cstheme="minorHAnsi"/>
        </w:rPr>
        <w:t>D</w:t>
      </w:r>
      <w:r w:rsidRPr="0058490E">
        <w:rPr>
          <w:rFonts w:asciiTheme="minorHAnsi" w:eastAsia="MS Mincho" w:hAnsiTheme="minorHAnsi" w:cstheme="minorHAnsi"/>
        </w:rPr>
        <w:t xml:space="preserve">ocuments C21/10 et C21/79 et </w:t>
      </w:r>
      <w:r w:rsidRPr="0058490E">
        <w:rPr>
          <w:rFonts w:asciiTheme="minorHAnsi" w:eastAsia="MS Mincho" w:hAnsiTheme="minorHAnsi" w:cstheme="minorHAnsi"/>
          <w:b/>
          <w:bCs/>
        </w:rPr>
        <w:t>conviennent</w:t>
      </w:r>
      <w:r w:rsidRPr="0058490E">
        <w:rPr>
          <w:rFonts w:asciiTheme="minorHAnsi" w:eastAsia="MS Mincho" w:hAnsiTheme="minorHAnsi" w:cstheme="minorHAnsi"/>
        </w:rPr>
        <w:t xml:space="preserve"> de reporter la décision sur cette question à la session </w:t>
      </w:r>
      <w:r w:rsidR="006C1D1A" w:rsidRPr="0058490E">
        <w:rPr>
          <w:rFonts w:asciiTheme="minorHAnsi" w:eastAsia="MS Mincho" w:hAnsiTheme="minorHAnsi" w:cstheme="minorHAnsi"/>
        </w:rPr>
        <w:t xml:space="preserve">de </w:t>
      </w:r>
      <w:r w:rsidRPr="0058490E">
        <w:rPr>
          <w:rFonts w:asciiTheme="minorHAnsi" w:eastAsia="MS Mincho" w:hAnsiTheme="minorHAnsi" w:cstheme="minorHAnsi"/>
        </w:rPr>
        <w:t>2022 du Conseil.</w:t>
      </w:r>
    </w:p>
    <w:p w14:paraId="2B7FFC3F" w14:textId="75597AFA"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hAnsiTheme="minorHAnsi" w:cstheme="minorHAnsi"/>
        </w:rPr>
      </w:pPr>
      <w:r w:rsidRPr="0058490E">
        <w:rPr>
          <w:rFonts w:asciiTheme="minorHAnsi" w:hAnsiTheme="minorHAnsi" w:cstheme="minorHAnsi"/>
        </w:rPr>
        <w:t>8</w:t>
      </w:r>
      <w:r w:rsidRPr="0058490E">
        <w:rPr>
          <w:rFonts w:asciiTheme="minorHAnsi" w:hAnsiTheme="minorHAnsi" w:cstheme="minorHAnsi"/>
        </w:rPr>
        <w:tab/>
      </w:r>
      <w:r w:rsidR="00D531F7" w:rsidRPr="0058490E">
        <w:rPr>
          <w:rFonts w:asciiTheme="minorHAnsi" w:hAnsiTheme="minorHAnsi" w:cstheme="minorHAnsi"/>
        </w:rPr>
        <w:t xml:space="preserve">Activités de l'UIT relatives à l'Internet </w:t>
      </w:r>
      <w:r w:rsidRPr="0058490E">
        <w:rPr>
          <w:rFonts w:asciiTheme="minorHAnsi" w:hAnsiTheme="minorHAnsi" w:cstheme="minorHAnsi"/>
        </w:rPr>
        <w:t xml:space="preserve">(Documents </w:t>
      </w:r>
      <w:hyperlink r:id="rId26" w:history="1">
        <w:r w:rsidRPr="0058490E">
          <w:rPr>
            <w:rFonts w:asciiTheme="minorHAnsi" w:eastAsia="MS Mincho" w:hAnsiTheme="minorHAnsi" w:cstheme="minorHAnsi"/>
            <w:color w:val="0000FF"/>
            <w:u w:val="single"/>
          </w:rPr>
          <w:t>C21/33</w:t>
        </w:r>
      </w:hyperlink>
      <w:r w:rsidRPr="0058490E">
        <w:rPr>
          <w:rFonts w:asciiTheme="minorHAnsi" w:eastAsia="MS Mincho" w:hAnsiTheme="minorHAnsi" w:cstheme="minorHAnsi"/>
          <w:bCs/>
          <w:color w:val="0000FF"/>
        </w:rPr>
        <w:t xml:space="preserve"> </w:t>
      </w:r>
      <w:r w:rsidR="00CC362E" w:rsidRPr="0058490E">
        <w:rPr>
          <w:rFonts w:asciiTheme="minorHAnsi" w:hAnsiTheme="minorHAnsi" w:cstheme="minorHAnsi"/>
        </w:rPr>
        <w:t xml:space="preserve">et </w:t>
      </w:r>
      <w:hyperlink r:id="rId27" w:history="1">
        <w:r w:rsidRPr="0058490E">
          <w:rPr>
            <w:rStyle w:val="Hyperlink"/>
            <w:rFonts w:asciiTheme="minorHAnsi" w:eastAsia="MS Mincho" w:hAnsiTheme="minorHAnsi" w:cstheme="minorHAnsi"/>
          </w:rPr>
          <w:t>DT/8</w:t>
        </w:r>
      </w:hyperlink>
      <w:r w:rsidRPr="0058490E">
        <w:rPr>
          <w:rFonts w:asciiTheme="minorHAnsi" w:hAnsiTheme="minorHAnsi" w:cstheme="minorHAnsi"/>
        </w:rPr>
        <w:t>)</w:t>
      </w:r>
    </w:p>
    <w:p w14:paraId="1593485D" w14:textId="3168880D" w:rsidR="00C70135" w:rsidRPr="0058490E" w:rsidRDefault="00C70135"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8.1</w:t>
      </w:r>
      <w:r w:rsidRPr="0058490E">
        <w:rPr>
          <w:rFonts w:asciiTheme="minorHAnsi" w:hAnsiTheme="minorHAnsi" w:cstheme="minorHAnsi"/>
        </w:rPr>
        <w:tab/>
        <w:t>Le représentant du Secrétariat général présent</w:t>
      </w:r>
      <w:r w:rsidR="00CE535E" w:rsidRPr="0058490E">
        <w:rPr>
          <w:rFonts w:asciiTheme="minorHAnsi" w:hAnsiTheme="minorHAnsi" w:cstheme="minorHAnsi"/>
        </w:rPr>
        <w:t>e</w:t>
      </w:r>
      <w:r w:rsidRPr="0058490E">
        <w:rPr>
          <w:rFonts w:asciiTheme="minorHAnsi" w:hAnsiTheme="minorHAnsi" w:cstheme="minorHAnsi"/>
        </w:rPr>
        <w:t xml:space="preserve"> le Document C21/33, qui résume les activités de l'UIT relatives à l'Internet au titre des Résolutions 101 (Rév. Dubaï, 2018), 102 (Rév.</w:t>
      </w:r>
      <w:r w:rsidR="00A15BDA" w:rsidRPr="0058490E">
        <w:rPr>
          <w:rFonts w:asciiTheme="minorHAnsi" w:hAnsiTheme="minorHAnsi" w:cstheme="minorHAnsi"/>
        </w:rPr>
        <w:t> </w:t>
      </w:r>
      <w:r w:rsidRPr="0058490E">
        <w:rPr>
          <w:rFonts w:asciiTheme="minorHAnsi" w:hAnsiTheme="minorHAnsi" w:cstheme="minorHAnsi"/>
        </w:rPr>
        <w:t xml:space="preserve">Dubaï, 2018), 133 (Rév. Dubaï, 2018), 180 (Rév. Dubaï, 2018) et 206 (Dubaï, 2018) de la Conférence de plénipotentiaires. La version </w:t>
      </w:r>
      <w:r w:rsidR="00EE4171" w:rsidRPr="0058490E">
        <w:rPr>
          <w:rFonts w:asciiTheme="minorHAnsi" w:hAnsiTheme="minorHAnsi" w:cstheme="minorHAnsi"/>
        </w:rPr>
        <w:t xml:space="preserve">de </w:t>
      </w:r>
      <w:r w:rsidRPr="0058490E">
        <w:rPr>
          <w:rFonts w:asciiTheme="minorHAnsi" w:hAnsiTheme="minorHAnsi" w:cstheme="minorHAnsi"/>
        </w:rPr>
        <w:t>2020 du rapport (</w:t>
      </w:r>
      <w:r w:rsidR="00EE4171" w:rsidRPr="0058490E">
        <w:rPr>
          <w:rFonts w:asciiTheme="minorHAnsi" w:hAnsiTheme="minorHAnsi" w:cstheme="minorHAnsi"/>
        </w:rPr>
        <w:t>D</w:t>
      </w:r>
      <w:r w:rsidRPr="0058490E">
        <w:rPr>
          <w:rFonts w:asciiTheme="minorHAnsi" w:hAnsiTheme="minorHAnsi" w:cstheme="minorHAnsi"/>
        </w:rPr>
        <w:t xml:space="preserve">ocument C20/33) </w:t>
      </w:r>
      <w:r w:rsidR="00EE4171" w:rsidRPr="0058490E">
        <w:rPr>
          <w:rFonts w:asciiTheme="minorHAnsi" w:hAnsiTheme="minorHAnsi" w:cstheme="minorHAnsi"/>
        </w:rPr>
        <w:t xml:space="preserve">a </w:t>
      </w:r>
      <w:r w:rsidRPr="0058490E">
        <w:rPr>
          <w:rFonts w:asciiTheme="minorHAnsi" w:hAnsiTheme="minorHAnsi" w:cstheme="minorHAnsi"/>
        </w:rPr>
        <w:t xml:space="preserve">été </w:t>
      </w:r>
      <w:r w:rsidR="00EE4171" w:rsidRPr="0058490E">
        <w:rPr>
          <w:rFonts w:asciiTheme="minorHAnsi" w:hAnsiTheme="minorHAnsi" w:cstheme="minorHAnsi"/>
        </w:rPr>
        <w:t xml:space="preserve">élaborée en vue de sa soumission </w:t>
      </w:r>
      <w:r w:rsidRPr="0058490E">
        <w:rPr>
          <w:rFonts w:asciiTheme="minorHAnsi" w:hAnsiTheme="minorHAnsi" w:cstheme="minorHAnsi"/>
        </w:rPr>
        <w:t xml:space="preserve">à la session </w:t>
      </w:r>
      <w:r w:rsidR="00EE4171" w:rsidRPr="0058490E">
        <w:rPr>
          <w:rFonts w:asciiTheme="minorHAnsi" w:hAnsiTheme="minorHAnsi" w:cstheme="minorHAnsi"/>
        </w:rPr>
        <w:t xml:space="preserve">de </w:t>
      </w:r>
      <w:r w:rsidRPr="0058490E">
        <w:rPr>
          <w:rFonts w:asciiTheme="minorHAnsi" w:hAnsiTheme="minorHAnsi" w:cstheme="minorHAnsi"/>
        </w:rPr>
        <w:t>2020 du Conseil mais n'a</w:t>
      </w:r>
      <w:r w:rsidR="00EE4171" w:rsidRPr="0058490E">
        <w:rPr>
          <w:rFonts w:asciiTheme="minorHAnsi" w:hAnsiTheme="minorHAnsi" w:cstheme="minorHAnsi"/>
        </w:rPr>
        <w:t xml:space="preserve"> </w:t>
      </w:r>
      <w:r w:rsidRPr="0058490E">
        <w:rPr>
          <w:rFonts w:asciiTheme="minorHAnsi" w:hAnsiTheme="minorHAnsi" w:cstheme="minorHAnsi"/>
        </w:rPr>
        <w:t xml:space="preserve">pas été examinée. </w:t>
      </w:r>
    </w:p>
    <w:p w14:paraId="4E4BC3EB" w14:textId="12381DDD" w:rsidR="00C70135" w:rsidRPr="0058490E" w:rsidRDefault="00C70135"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8.2</w:t>
      </w:r>
      <w:r w:rsidRPr="0058490E">
        <w:rPr>
          <w:rFonts w:asciiTheme="minorHAnsi" w:hAnsiTheme="minorHAnsi" w:cstheme="minorHAnsi"/>
        </w:rPr>
        <w:tab/>
        <w:t xml:space="preserve">En réponse à une question d'un </w:t>
      </w:r>
      <w:r w:rsidR="00EE4171" w:rsidRPr="0058490E">
        <w:rPr>
          <w:rFonts w:asciiTheme="minorHAnsi" w:hAnsiTheme="minorHAnsi" w:cstheme="minorHAnsi"/>
        </w:rPr>
        <w:t>C</w:t>
      </w:r>
      <w:r w:rsidRPr="0058490E">
        <w:rPr>
          <w:rFonts w:asciiTheme="minorHAnsi" w:hAnsiTheme="minorHAnsi" w:cstheme="minorHAnsi"/>
        </w:rPr>
        <w:t xml:space="preserve">onseiller, le </w:t>
      </w:r>
      <w:r w:rsidR="00EE4171" w:rsidRPr="0058490E">
        <w:rPr>
          <w:rFonts w:asciiTheme="minorHAnsi" w:hAnsiTheme="minorHAnsi" w:cstheme="minorHAnsi"/>
        </w:rPr>
        <w:t>P</w:t>
      </w:r>
      <w:r w:rsidRPr="0058490E">
        <w:rPr>
          <w:rFonts w:asciiTheme="minorHAnsi" w:hAnsiTheme="minorHAnsi" w:cstheme="minorHAnsi"/>
        </w:rPr>
        <w:t xml:space="preserve">résident </w:t>
      </w:r>
      <w:r w:rsidR="00EE4171" w:rsidRPr="0058490E">
        <w:rPr>
          <w:rFonts w:asciiTheme="minorHAnsi" w:hAnsiTheme="minorHAnsi" w:cstheme="minorHAnsi"/>
        </w:rPr>
        <w:t xml:space="preserve">fait savoir </w:t>
      </w:r>
      <w:r w:rsidRPr="0058490E">
        <w:rPr>
          <w:rFonts w:asciiTheme="minorHAnsi" w:hAnsiTheme="minorHAnsi" w:cstheme="minorHAnsi"/>
        </w:rPr>
        <w:t xml:space="preserve">que le contenu du rapport figurant dans le </w:t>
      </w:r>
      <w:r w:rsidR="00EE4171" w:rsidRPr="0058490E">
        <w:rPr>
          <w:rFonts w:asciiTheme="minorHAnsi" w:hAnsiTheme="minorHAnsi" w:cstheme="minorHAnsi"/>
        </w:rPr>
        <w:t>D</w:t>
      </w:r>
      <w:r w:rsidRPr="0058490E">
        <w:rPr>
          <w:rFonts w:asciiTheme="minorHAnsi" w:hAnsiTheme="minorHAnsi" w:cstheme="minorHAnsi"/>
        </w:rPr>
        <w:t>ocument C21/33 a</w:t>
      </w:r>
      <w:r w:rsidR="00EE4171" w:rsidRPr="0058490E">
        <w:rPr>
          <w:rFonts w:asciiTheme="minorHAnsi" w:hAnsiTheme="minorHAnsi" w:cstheme="minorHAnsi"/>
        </w:rPr>
        <w:t xml:space="preserve"> </w:t>
      </w:r>
      <w:r w:rsidRPr="0058490E">
        <w:rPr>
          <w:rFonts w:asciiTheme="minorHAnsi" w:hAnsiTheme="minorHAnsi" w:cstheme="minorHAnsi"/>
        </w:rPr>
        <w:t xml:space="preserve">déjà été présenté au Groupe de travail du Conseil </w:t>
      </w:r>
      <w:r w:rsidR="00CC362E" w:rsidRPr="0058490E">
        <w:rPr>
          <w:rFonts w:asciiTheme="minorHAnsi" w:hAnsiTheme="minorHAnsi" w:cstheme="minorHAnsi"/>
        </w:rPr>
        <w:t xml:space="preserve">sur les questions de politiques publiques internationales relatives à l'Internet (GTC-Internet) </w:t>
      </w:r>
      <w:r w:rsidRPr="0058490E">
        <w:rPr>
          <w:rFonts w:asciiTheme="minorHAnsi" w:hAnsiTheme="minorHAnsi" w:cstheme="minorHAnsi"/>
        </w:rPr>
        <w:t xml:space="preserve">et que, conformément à la </w:t>
      </w:r>
      <w:r w:rsidR="00EE4171" w:rsidRPr="0058490E">
        <w:rPr>
          <w:rFonts w:asciiTheme="minorHAnsi" w:hAnsiTheme="minorHAnsi" w:cstheme="minorHAnsi"/>
        </w:rPr>
        <w:t>R</w:t>
      </w:r>
      <w:r w:rsidRPr="0058490E">
        <w:rPr>
          <w:rFonts w:asciiTheme="minorHAnsi" w:hAnsiTheme="minorHAnsi" w:cstheme="minorHAnsi"/>
        </w:rPr>
        <w:t>ésolution 102 (R</w:t>
      </w:r>
      <w:r w:rsidR="00446FCA" w:rsidRPr="0058490E">
        <w:rPr>
          <w:rFonts w:asciiTheme="minorHAnsi" w:hAnsiTheme="minorHAnsi" w:cstheme="minorHAnsi"/>
        </w:rPr>
        <w:t>é</w:t>
      </w:r>
      <w:r w:rsidRPr="0058490E">
        <w:rPr>
          <w:rFonts w:asciiTheme="minorHAnsi" w:hAnsiTheme="minorHAnsi" w:cstheme="minorHAnsi"/>
        </w:rPr>
        <w:t xml:space="preserve">v. Dubaï, 2018), </w:t>
      </w:r>
      <w:r w:rsidR="00EE4171" w:rsidRPr="0058490E">
        <w:rPr>
          <w:rFonts w:asciiTheme="minorHAnsi" w:hAnsiTheme="minorHAnsi" w:cstheme="minorHAnsi"/>
        </w:rPr>
        <w:t xml:space="preserve">les </w:t>
      </w:r>
      <w:r w:rsidRPr="0058490E">
        <w:rPr>
          <w:rFonts w:asciiTheme="minorHAnsi" w:hAnsiTheme="minorHAnsi" w:cstheme="minorHAnsi"/>
        </w:rPr>
        <w:t xml:space="preserve">rapports </w:t>
      </w:r>
      <w:r w:rsidR="00EE4171" w:rsidRPr="0058490E">
        <w:rPr>
          <w:rFonts w:asciiTheme="minorHAnsi" w:hAnsiTheme="minorHAnsi" w:cstheme="minorHAnsi"/>
        </w:rPr>
        <w:t xml:space="preserve">de ce type sont </w:t>
      </w:r>
      <w:r w:rsidRPr="0058490E">
        <w:rPr>
          <w:rFonts w:asciiTheme="minorHAnsi" w:hAnsiTheme="minorHAnsi" w:cstheme="minorHAnsi"/>
        </w:rPr>
        <w:t>soumis au Secrétaire général de l'ONU après approbation.</w:t>
      </w:r>
    </w:p>
    <w:p w14:paraId="4BA7E7AF" w14:textId="5E4EC0CE" w:rsidR="00C70135" w:rsidRPr="0058490E" w:rsidRDefault="00C70135"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8.3</w:t>
      </w:r>
      <w:r w:rsidRPr="0058490E">
        <w:rPr>
          <w:rFonts w:asciiTheme="minorHAnsi" w:hAnsiTheme="minorHAnsi" w:cstheme="minorHAnsi"/>
        </w:rPr>
        <w:tab/>
        <w:t xml:space="preserve">Suivant le même processus que celui utilisé dans le passé, le </w:t>
      </w:r>
      <w:r w:rsidR="00EE4171" w:rsidRPr="0058490E">
        <w:rPr>
          <w:rFonts w:asciiTheme="minorHAnsi" w:hAnsiTheme="minorHAnsi" w:cstheme="minorHAnsi"/>
        </w:rPr>
        <w:t>P</w:t>
      </w:r>
      <w:r w:rsidRPr="0058490E">
        <w:rPr>
          <w:rFonts w:asciiTheme="minorHAnsi" w:hAnsiTheme="minorHAnsi" w:cstheme="minorHAnsi"/>
        </w:rPr>
        <w:t>résident propos</w:t>
      </w:r>
      <w:r w:rsidR="00EE4171" w:rsidRPr="0058490E">
        <w:rPr>
          <w:rFonts w:asciiTheme="minorHAnsi" w:hAnsiTheme="minorHAnsi" w:cstheme="minorHAnsi"/>
        </w:rPr>
        <w:t>e</w:t>
      </w:r>
      <w:r w:rsidRPr="0058490E">
        <w:rPr>
          <w:rFonts w:asciiTheme="minorHAnsi" w:hAnsiTheme="minorHAnsi" w:cstheme="minorHAnsi"/>
        </w:rPr>
        <w:t xml:space="preserve"> </w:t>
      </w:r>
      <w:r w:rsidR="00EE4171" w:rsidRPr="0058490E">
        <w:rPr>
          <w:rFonts w:asciiTheme="minorHAnsi" w:hAnsiTheme="minorHAnsi" w:cstheme="minorHAnsi"/>
        </w:rPr>
        <w:t xml:space="preserve">d'inviter </w:t>
      </w:r>
      <w:r w:rsidRPr="0058490E">
        <w:rPr>
          <w:rFonts w:asciiTheme="minorHAnsi" w:hAnsiTheme="minorHAnsi" w:cstheme="minorHAnsi"/>
        </w:rPr>
        <w:t xml:space="preserve">les États </w:t>
      </w:r>
      <w:r w:rsidR="00EE4171" w:rsidRPr="0058490E">
        <w:rPr>
          <w:rFonts w:asciiTheme="minorHAnsi" w:hAnsiTheme="minorHAnsi" w:cstheme="minorHAnsi"/>
        </w:rPr>
        <w:t>M</w:t>
      </w:r>
      <w:r w:rsidRPr="0058490E">
        <w:rPr>
          <w:rFonts w:asciiTheme="minorHAnsi" w:hAnsiTheme="minorHAnsi" w:cstheme="minorHAnsi"/>
        </w:rPr>
        <w:t xml:space="preserve">embres du Conseil à soumettre leurs </w:t>
      </w:r>
      <w:r w:rsidR="00EE4171" w:rsidRPr="0058490E">
        <w:rPr>
          <w:rFonts w:asciiTheme="minorHAnsi" w:hAnsiTheme="minorHAnsi" w:cstheme="minorHAnsi"/>
        </w:rPr>
        <w:t xml:space="preserve">éventuels </w:t>
      </w:r>
      <w:r w:rsidRPr="0058490E">
        <w:rPr>
          <w:rFonts w:asciiTheme="minorHAnsi" w:hAnsiTheme="minorHAnsi" w:cstheme="minorHAnsi"/>
        </w:rPr>
        <w:t>points de vue</w:t>
      </w:r>
      <w:r w:rsidR="00EE4171" w:rsidRPr="0058490E">
        <w:rPr>
          <w:rFonts w:asciiTheme="minorHAnsi" w:hAnsiTheme="minorHAnsi" w:cstheme="minorHAnsi"/>
        </w:rPr>
        <w:t xml:space="preserve"> </w:t>
      </w:r>
      <w:r w:rsidRPr="0058490E">
        <w:rPr>
          <w:rFonts w:asciiTheme="minorHAnsi" w:hAnsiTheme="minorHAnsi" w:cstheme="minorHAnsi"/>
        </w:rPr>
        <w:t xml:space="preserve">sur les rapports figurant dans les </w:t>
      </w:r>
      <w:r w:rsidR="00EE4171" w:rsidRPr="0058490E">
        <w:rPr>
          <w:rFonts w:asciiTheme="minorHAnsi" w:hAnsiTheme="minorHAnsi" w:cstheme="minorHAnsi"/>
        </w:rPr>
        <w:t>D</w:t>
      </w:r>
      <w:r w:rsidRPr="0058490E">
        <w:rPr>
          <w:rFonts w:asciiTheme="minorHAnsi" w:hAnsiTheme="minorHAnsi" w:cstheme="minorHAnsi"/>
        </w:rPr>
        <w:t xml:space="preserve">ocuments C21/33 et C20/33 avant 17 heures, heure de Genève, le jeudi 17 juin, par courriel et de manière </w:t>
      </w:r>
      <w:r w:rsidR="00366AC8" w:rsidRPr="0058490E">
        <w:rPr>
          <w:rFonts w:asciiTheme="minorHAnsi" w:hAnsiTheme="minorHAnsi" w:cstheme="minorHAnsi"/>
        </w:rPr>
        <w:t xml:space="preserve">aussi </w:t>
      </w:r>
      <w:r w:rsidRPr="0058490E">
        <w:rPr>
          <w:rFonts w:asciiTheme="minorHAnsi" w:hAnsiTheme="minorHAnsi" w:cstheme="minorHAnsi"/>
        </w:rPr>
        <w:t xml:space="preserve">succincte </w:t>
      </w:r>
      <w:r w:rsidR="00366AC8" w:rsidRPr="0058490E">
        <w:rPr>
          <w:rFonts w:asciiTheme="minorHAnsi" w:hAnsiTheme="minorHAnsi" w:cstheme="minorHAnsi"/>
        </w:rPr>
        <w:t xml:space="preserve">que </w:t>
      </w:r>
      <w:r w:rsidRPr="0058490E">
        <w:rPr>
          <w:rFonts w:asciiTheme="minorHAnsi" w:hAnsiTheme="minorHAnsi" w:cstheme="minorHAnsi"/>
        </w:rPr>
        <w:t xml:space="preserve">possible, et </w:t>
      </w:r>
      <w:r w:rsidR="00EE4171" w:rsidRPr="0058490E">
        <w:rPr>
          <w:rFonts w:asciiTheme="minorHAnsi" w:hAnsiTheme="minorHAnsi" w:cstheme="minorHAnsi"/>
        </w:rPr>
        <w:t xml:space="preserve">de </w:t>
      </w:r>
      <w:r w:rsidR="00CC362E" w:rsidRPr="0058490E">
        <w:rPr>
          <w:rFonts w:asciiTheme="minorHAnsi" w:hAnsiTheme="minorHAnsi" w:cstheme="minorHAnsi"/>
        </w:rPr>
        <w:t>rassembler l</w:t>
      </w:r>
      <w:r w:rsidRPr="0058490E">
        <w:rPr>
          <w:rFonts w:asciiTheme="minorHAnsi" w:hAnsiTheme="minorHAnsi" w:cstheme="minorHAnsi"/>
        </w:rPr>
        <w:t xml:space="preserve">es </w:t>
      </w:r>
      <w:r w:rsidR="00EE4171" w:rsidRPr="0058490E">
        <w:rPr>
          <w:rFonts w:asciiTheme="minorHAnsi" w:hAnsiTheme="minorHAnsi" w:cstheme="minorHAnsi"/>
        </w:rPr>
        <w:t xml:space="preserve">éventuels </w:t>
      </w:r>
      <w:r w:rsidRPr="0058490E">
        <w:rPr>
          <w:rFonts w:asciiTheme="minorHAnsi" w:hAnsiTheme="minorHAnsi" w:cstheme="minorHAnsi"/>
        </w:rPr>
        <w:t xml:space="preserve">points de vue soumis par les États </w:t>
      </w:r>
      <w:r w:rsidR="00EE4171" w:rsidRPr="0058490E">
        <w:rPr>
          <w:rFonts w:asciiTheme="minorHAnsi" w:hAnsiTheme="minorHAnsi" w:cstheme="minorHAnsi"/>
        </w:rPr>
        <w:t>M</w:t>
      </w:r>
      <w:r w:rsidRPr="0058490E">
        <w:rPr>
          <w:rFonts w:asciiTheme="minorHAnsi" w:hAnsiTheme="minorHAnsi" w:cstheme="minorHAnsi"/>
        </w:rPr>
        <w:t>embres du Conseil</w:t>
      </w:r>
      <w:r w:rsidR="00EE4171" w:rsidRPr="0058490E">
        <w:rPr>
          <w:rFonts w:asciiTheme="minorHAnsi" w:hAnsiTheme="minorHAnsi" w:cstheme="minorHAnsi"/>
        </w:rPr>
        <w:t xml:space="preserve"> </w:t>
      </w:r>
      <w:r w:rsidRPr="0058490E">
        <w:rPr>
          <w:rFonts w:asciiTheme="minorHAnsi" w:hAnsiTheme="minorHAnsi" w:cstheme="minorHAnsi"/>
        </w:rPr>
        <w:t xml:space="preserve">tels qu'ils ont été reçus (sans </w:t>
      </w:r>
      <w:r w:rsidR="00EE4171" w:rsidRPr="0058490E">
        <w:rPr>
          <w:rFonts w:asciiTheme="minorHAnsi" w:hAnsiTheme="minorHAnsi" w:cstheme="minorHAnsi"/>
        </w:rPr>
        <w:t>édition</w:t>
      </w:r>
      <w:r w:rsidRPr="0058490E">
        <w:rPr>
          <w:rFonts w:asciiTheme="minorHAnsi" w:hAnsiTheme="minorHAnsi" w:cstheme="minorHAnsi"/>
        </w:rPr>
        <w:t xml:space="preserve">) dans un document distinct. Par la suite, compte tenu </w:t>
      </w:r>
      <w:r w:rsidR="00EE4171" w:rsidRPr="0058490E">
        <w:rPr>
          <w:rFonts w:asciiTheme="minorHAnsi" w:hAnsiTheme="minorHAnsi" w:cstheme="minorHAnsi"/>
        </w:rPr>
        <w:t xml:space="preserve">du caractère </w:t>
      </w:r>
      <w:r w:rsidRPr="0058490E">
        <w:rPr>
          <w:rFonts w:asciiTheme="minorHAnsi" w:hAnsiTheme="minorHAnsi" w:cstheme="minorHAnsi"/>
        </w:rPr>
        <w:t>urgen</w:t>
      </w:r>
      <w:r w:rsidR="00EE4171" w:rsidRPr="0058490E">
        <w:rPr>
          <w:rFonts w:asciiTheme="minorHAnsi" w:hAnsiTheme="minorHAnsi" w:cstheme="minorHAnsi"/>
        </w:rPr>
        <w:t>t</w:t>
      </w:r>
      <w:r w:rsidRPr="0058490E">
        <w:rPr>
          <w:rFonts w:asciiTheme="minorHAnsi" w:hAnsiTheme="minorHAnsi" w:cstheme="minorHAnsi"/>
        </w:rPr>
        <w:t xml:space="preserve"> de la question, une consultation par correspondance des </w:t>
      </w:r>
      <w:r w:rsidR="00EE4171" w:rsidRPr="0058490E">
        <w:rPr>
          <w:rFonts w:asciiTheme="minorHAnsi" w:hAnsiTheme="minorHAnsi" w:cstheme="minorHAnsi"/>
        </w:rPr>
        <w:t>É</w:t>
      </w:r>
      <w:r w:rsidRPr="0058490E">
        <w:rPr>
          <w:rFonts w:asciiTheme="minorHAnsi" w:hAnsiTheme="minorHAnsi" w:cstheme="minorHAnsi"/>
        </w:rPr>
        <w:t xml:space="preserve">tats Membres du Conseil sera </w:t>
      </w:r>
      <w:r w:rsidR="00EE4171" w:rsidRPr="0058490E">
        <w:rPr>
          <w:rFonts w:asciiTheme="minorHAnsi" w:hAnsiTheme="minorHAnsi" w:cstheme="minorHAnsi"/>
        </w:rPr>
        <w:t xml:space="preserve">organisée afin de </w:t>
      </w:r>
      <w:r w:rsidRPr="0058490E">
        <w:rPr>
          <w:rFonts w:asciiTheme="minorHAnsi" w:hAnsiTheme="minorHAnsi" w:cstheme="minorHAnsi"/>
        </w:rPr>
        <w:t>prend</w:t>
      </w:r>
      <w:r w:rsidR="00556289" w:rsidRPr="0058490E">
        <w:rPr>
          <w:rFonts w:asciiTheme="minorHAnsi" w:hAnsiTheme="minorHAnsi" w:cstheme="minorHAnsi"/>
        </w:rPr>
        <w:t>re note des Documents C21/33 et </w:t>
      </w:r>
      <w:r w:rsidRPr="0058490E">
        <w:rPr>
          <w:rFonts w:asciiTheme="minorHAnsi" w:hAnsiTheme="minorHAnsi" w:cstheme="minorHAnsi"/>
        </w:rPr>
        <w:t xml:space="preserve">C20/33 et </w:t>
      </w:r>
      <w:r w:rsidR="00EE4171" w:rsidRPr="0058490E">
        <w:rPr>
          <w:rFonts w:asciiTheme="minorHAnsi" w:hAnsiTheme="minorHAnsi" w:cstheme="minorHAnsi"/>
        </w:rPr>
        <w:t>d'</w:t>
      </w:r>
      <w:r w:rsidRPr="0058490E">
        <w:rPr>
          <w:rFonts w:asciiTheme="minorHAnsi" w:hAnsiTheme="minorHAnsi" w:cstheme="minorHAnsi"/>
        </w:rPr>
        <w:t>approuver la transmission de ces rapports au Secrétaire général de l'O</w:t>
      </w:r>
      <w:r w:rsidR="00EE4171" w:rsidRPr="0058490E">
        <w:rPr>
          <w:rFonts w:asciiTheme="minorHAnsi" w:hAnsiTheme="minorHAnsi" w:cstheme="minorHAnsi"/>
        </w:rPr>
        <w:t>NU</w:t>
      </w:r>
      <w:r w:rsidRPr="0058490E">
        <w:rPr>
          <w:rFonts w:asciiTheme="minorHAnsi" w:hAnsiTheme="minorHAnsi" w:cstheme="minorHAnsi"/>
        </w:rPr>
        <w:t xml:space="preserve">, ainsi que du document </w:t>
      </w:r>
      <w:r w:rsidR="00CC362E" w:rsidRPr="0058490E">
        <w:rPr>
          <w:rFonts w:asciiTheme="minorHAnsi" w:hAnsiTheme="minorHAnsi" w:cstheme="minorHAnsi"/>
        </w:rPr>
        <w:t>rassemblant l</w:t>
      </w:r>
      <w:r w:rsidRPr="0058490E">
        <w:rPr>
          <w:rFonts w:asciiTheme="minorHAnsi" w:hAnsiTheme="minorHAnsi" w:cstheme="minorHAnsi"/>
        </w:rPr>
        <w:t xml:space="preserve">es </w:t>
      </w:r>
      <w:r w:rsidR="00EE4171" w:rsidRPr="0058490E">
        <w:rPr>
          <w:rFonts w:asciiTheme="minorHAnsi" w:hAnsiTheme="minorHAnsi" w:cstheme="minorHAnsi"/>
        </w:rPr>
        <w:t xml:space="preserve">éventuels points de </w:t>
      </w:r>
      <w:r w:rsidRPr="0058490E">
        <w:rPr>
          <w:rFonts w:asciiTheme="minorHAnsi" w:hAnsiTheme="minorHAnsi" w:cstheme="minorHAnsi"/>
        </w:rPr>
        <w:t xml:space="preserve">vue </w:t>
      </w:r>
      <w:r w:rsidR="00EE4171" w:rsidRPr="0058490E">
        <w:rPr>
          <w:rFonts w:asciiTheme="minorHAnsi" w:hAnsiTheme="minorHAnsi" w:cstheme="minorHAnsi"/>
        </w:rPr>
        <w:t xml:space="preserve">soumis </w:t>
      </w:r>
      <w:r w:rsidRPr="0058490E">
        <w:rPr>
          <w:rFonts w:asciiTheme="minorHAnsi" w:hAnsiTheme="minorHAnsi" w:cstheme="minorHAnsi"/>
        </w:rPr>
        <w:t xml:space="preserve">par les </w:t>
      </w:r>
      <w:r w:rsidR="00EE4171" w:rsidRPr="0058490E">
        <w:rPr>
          <w:rFonts w:asciiTheme="minorHAnsi" w:hAnsiTheme="minorHAnsi" w:cstheme="minorHAnsi"/>
        </w:rPr>
        <w:t>É</w:t>
      </w:r>
      <w:r w:rsidRPr="0058490E">
        <w:rPr>
          <w:rFonts w:asciiTheme="minorHAnsi" w:hAnsiTheme="minorHAnsi" w:cstheme="minorHAnsi"/>
        </w:rPr>
        <w:t>tats Membres du Conseil</w:t>
      </w:r>
      <w:r w:rsidR="00EE4171" w:rsidRPr="0058490E">
        <w:rPr>
          <w:rFonts w:asciiTheme="minorHAnsi" w:hAnsiTheme="minorHAnsi" w:cstheme="minorHAnsi"/>
        </w:rPr>
        <w:t xml:space="preserve"> </w:t>
      </w:r>
      <w:r w:rsidRPr="0058490E">
        <w:rPr>
          <w:rFonts w:asciiTheme="minorHAnsi" w:hAnsiTheme="minorHAnsi" w:cstheme="minorHAnsi"/>
        </w:rPr>
        <w:t xml:space="preserve">et le compte rendu pertinent, </w:t>
      </w:r>
      <w:r w:rsidR="00EE4171" w:rsidRPr="0058490E">
        <w:rPr>
          <w:rFonts w:asciiTheme="minorHAnsi" w:hAnsiTheme="minorHAnsi" w:cstheme="minorHAnsi"/>
        </w:rPr>
        <w:t>comme un tout</w:t>
      </w:r>
      <w:r w:rsidRPr="0058490E">
        <w:rPr>
          <w:rFonts w:asciiTheme="minorHAnsi" w:hAnsiTheme="minorHAnsi" w:cstheme="minorHAnsi"/>
        </w:rPr>
        <w:t xml:space="preserve">, accompagné d'une lettre indiquant clairement que: </w:t>
      </w:r>
      <w:r w:rsidR="004A0BAA" w:rsidRPr="0058490E">
        <w:rPr>
          <w:rFonts w:asciiTheme="minorHAnsi" w:hAnsiTheme="minorHAnsi" w:cstheme="minorHAnsi"/>
        </w:rPr>
        <w:t xml:space="preserve">les États Membres du Conseil de l'UIT ont pris note des rapports; </w:t>
      </w:r>
      <w:r w:rsidRPr="0058490E">
        <w:rPr>
          <w:rFonts w:asciiTheme="minorHAnsi" w:hAnsiTheme="minorHAnsi" w:cstheme="minorHAnsi"/>
        </w:rPr>
        <w:t xml:space="preserve">les rapports, </w:t>
      </w:r>
      <w:r w:rsidR="004A0BAA" w:rsidRPr="0058490E">
        <w:rPr>
          <w:rFonts w:asciiTheme="minorHAnsi" w:hAnsiTheme="minorHAnsi" w:cstheme="minorHAnsi"/>
        </w:rPr>
        <w:t xml:space="preserve">le </w:t>
      </w:r>
      <w:r w:rsidRPr="0058490E">
        <w:rPr>
          <w:rFonts w:asciiTheme="minorHAnsi" w:hAnsiTheme="minorHAnsi" w:cstheme="minorHAnsi"/>
        </w:rPr>
        <w:t xml:space="preserve">document joint, le cas échéant, et les comptes rendus devaient être considérés comme un tout; et l'inclusion d'hyperliens </w:t>
      </w:r>
      <w:r w:rsidR="004A0BAA" w:rsidRPr="0058490E">
        <w:rPr>
          <w:rFonts w:asciiTheme="minorHAnsi" w:hAnsiTheme="minorHAnsi" w:cstheme="minorHAnsi"/>
        </w:rPr>
        <w:t xml:space="preserve">ne signifie </w:t>
      </w:r>
      <w:r w:rsidRPr="0058490E">
        <w:rPr>
          <w:rFonts w:asciiTheme="minorHAnsi" w:hAnsiTheme="minorHAnsi" w:cstheme="minorHAnsi"/>
        </w:rPr>
        <w:t xml:space="preserve">pas </w:t>
      </w:r>
      <w:r w:rsidR="004A0BAA" w:rsidRPr="0058490E">
        <w:rPr>
          <w:rFonts w:asciiTheme="minorHAnsi" w:hAnsiTheme="minorHAnsi" w:cstheme="minorHAnsi"/>
        </w:rPr>
        <w:t>que le contenu auquel ces hyperliens renvoient est implicitement approuvé, conformément à la Décision 14 (Busan, 2014) de la Conférence de plénipotentiaires</w:t>
      </w:r>
      <w:r w:rsidRPr="0058490E">
        <w:rPr>
          <w:rFonts w:asciiTheme="minorHAnsi" w:hAnsiTheme="minorHAnsi" w:cstheme="minorHAnsi"/>
        </w:rPr>
        <w:t xml:space="preserve">. </w:t>
      </w:r>
    </w:p>
    <w:p w14:paraId="03701233" w14:textId="00A30391" w:rsidR="00C70135" w:rsidRPr="0058490E" w:rsidRDefault="00C70135"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8.4</w:t>
      </w:r>
      <w:r w:rsidRPr="0058490E">
        <w:rPr>
          <w:rFonts w:asciiTheme="minorHAnsi" w:hAnsiTheme="minorHAnsi" w:cstheme="minorHAnsi"/>
        </w:rPr>
        <w:tab/>
        <w:t xml:space="preserve">Il en est ainsi </w:t>
      </w:r>
      <w:r w:rsidRPr="0058490E">
        <w:rPr>
          <w:rFonts w:asciiTheme="minorHAnsi" w:hAnsiTheme="minorHAnsi" w:cstheme="minorHAnsi"/>
          <w:b/>
          <w:bCs/>
        </w:rPr>
        <w:t>conclu</w:t>
      </w:r>
      <w:r w:rsidRPr="0058490E">
        <w:rPr>
          <w:rFonts w:asciiTheme="minorHAnsi" w:hAnsiTheme="minorHAnsi" w:cstheme="minorHAnsi"/>
        </w:rPr>
        <w:t>.</w:t>
      </w:r>
    </w:p>
    <w:p w14:paraId="7630B946" w14:textId="3D12D921" w:rsidR="00C70135" w:rsidRPr="0058490E" w:rsidRDefault="00C70135"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8.5</w:t>
      </w:r>
      <w:r w:rsidRPr="0058490E">
        <w:rPr>
          <w:rFonts w:asciiTheme="minorHAnsi" w:hAnsiTheme="minorHAnsi" w:cstheme="minorHAnsi"/>
        </w:rPr>
        <w:tab/>
        <w:t xml:space="preserve">Le </w:t>
      </w:r>
      <w:r w:rsidR="004A0BAA" w:rsidRPr="0058490E">
        <w:rPr>
          <w:rFonts w:asciiTheme="minorHAnsi" w:hAnsiTheme="minorHAnsi" w:cstheme="minorHAnsi"/>
        </w:rPr>
        <w:t>P</w:t>
      </w:r>
      <w:r w:rsidRPr="0058490E">
        <w:rPr>
          <w:rFonts w:asciiTheme="minorHAnsi" w:hAnsiTheme="minorHAnsi" w:cstheme="minorHAnsi"/>
        </w:rPr>
        <w:t xml:space="preserve">résident ajoute que la lettre d'accompagnement et la compilation des </w:t>
      </w:r>
      <w:r w:rsidR="004A0BAA" w:rsidRPr="0058490E">
        <w:rPr>
          <w:rFonts w:asciiTheme="minorHAnsi" w:hAnsiTheme="minorHAnsi" w:cstheme="minorHAnsi"/>
        </w:rPr>
        <w:t xml:space="preserve">éventuels </w:t>
      </w:r>
      <w:r w:rsidRPr="0058490E">
        <w:rPr>
          <w:rFonts w:asciiTheme="minorHAnsi" w:hAnsiTheme="minorHAnsi" w:cstheme="minorHAnsi"/>
        </w:rPr>
        <w:t xml:space="preserve">points de vue des États </w:t>
      </w:r>
      <w:r w:rsidR="004A0BAA" w:rsidRPr="0058490E">
        <w:rPr>
          <w:rFonts w:asciiTheme="minorHAnsi" w:hAnsiTheme="minorHAnsi" w:cstheme="minorHAnsi"/>
        </w:rPr>
        <w:t>M</w:t>
      </w:r>
      <w:r w:rsidRPr="0058490E">
        <w:rPr>
          <w:rFonts w:asciiTheme="minorHAnsi" w:hAnsiTheme="minorHAnsi" w:cstheme="minorHAnsi"/>
        </w:rPr>
        <w:t xml:space="preserve">embres du Conseil </w:t>
      </w:r>
      <w:r w:rsidR="004A0BAA" w:rsidRPr="0058490E">
        <w:rPr>
          <w:rFonts w:asciiTheme="minorHAnsi" w:hAnsiTheme="minorHAnsi" w:cstheme="minorHAnsi"/>
        </w:rPr>
        <w:t>feront l'objet du D</w:t>
      </w:r>
      <w:r w:rsidRPr="0058490E">
        <w:rPr>
          <w:rFonts w:asciiTheme="minorHAnsi" w:hAnsiTheme="minorHAnsi" w:cstheme="minorHAnsi"/>
        </w:rPr>
        <w:t>ocument DT/8. Le compte rendu sera inclus après examen selon la procédure normale du Conseil.</w:t>
      </w:r>
    </w:p>
    <w:p w14:paraId="29B6BA1B" w14:textId="165CB25F"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hAnsiTheme="minorHAnsi" w:cstheme="minorHAnsi"/>
        </w:rPr>
      </w:pPr>
      <w:r w:rsidRPr="0058490E">
        <w:rPr>
          <w:rFonts w:asciiTheme="minorHAnsi" w:hAnsiTheme="minorHAnsi" w:cstheme="minorHAnsi"/>
        </w:rPr>
        <w:lastRenderedPageBreak/>
        <w:t>9</w:t>
      </w:r>
      <w:r w:rsidRPr="0058490E">
        <w:rPr>
          <w:rFonts w:asciiTheme="minorHAnsi" w:hAnsiTheme="minorHAnsi" w:cstheme="minorHAnsi"/>
        </w:rPr>
        <w:tab/>
      </w:r>
      <w:r w:rsidR="00D531F7" w:rsidRPr="0058490E">
        <w:rPr>
          <w:rFonts w:asciiTheme="minorHAnsi" w:hAnsiTheme="minorHAnsi" w:cstheme="minorHAnsi"/>
        </w:rPr>
        <w:t xml:space="preserve">Activités de l'UIT relatives au renforcement du rôle de l'Union dans l'instauration de la confiance et de la sécurité dans l'utilisation des TIC </w:t>
      </w:r>
      <w:r w:rsidRPr="0058490E">
        <w:rPr>
          <w:rFonts w:asciiTheme="minorHAnsi" w:hAnsiTheme="minorHAnsi" w:cstheme="minorHAnsi"/>
        </w:rPr>
        <w:t xml:space="preserve">(Document </w:t>
      </w:r>
      <w:hyperlink r:id="rId28" w:history="1">
        <w:r w:rsidRPr="0058490E">
          <w:rPr>
            <w:rFonts w:asciiTheme="minorHAnsi" w:eastAsia="MS Mincho" w:hAnsiTheme="minorHAnsi" w:cstheme="minorHAnsi"/>
            <w:color w:val="0000FF"/>
            <w:u w:val="single"/>
          </w:rPr>
          <w:t>C21/18</w:t>
        </w:r>
      </w:hyperlink>
      <w:r w:rsidRPr="0058490E">
        <w:rPr>
          <w:rFonts w:asciiTheme="minorHAnsi" w:hAnsiTheme="minorHAnsi" w:cstheme="minorHAnsi"/>
        </w:rPr>
        <w:t>)</w:t>
      </w:r>
    </w:p>
    <w:p w14:paraId="39D415EF" w14:textId="3BEA3E98" w:rsidR="004A0BAA" w:rsidRPr="0058490E" w:rsidRDefault="004A0BAA"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9.1</w:t>
      </w:r>
      <w:r w:rsidRPr="0058490E">
        <w:rPr>
          <w:rFonts w:asciiTheme="minorHAnsi" w:hAnsiTheme="minorHAnsi" w:cstheme="minorHAnsi"/>
        </w:rPr>
        <w:tab/>
        <w:t>Le représentant du Secrétariat général présente le Document C21/18, qui résume les activités menées par l'UIT au titre de la Résolution 130 (Rév. Dubaï, 2018) de la Conférence de plé</w:t>
      </w:r>
      <w:r w:rsidR="00446FCA" w:rsidRPr="0058490E">
        <w:rPr>
          <w:rFonts w:asciiTheme="minorHAnsi" w:hAnsiTheme="minorHAnsi" w:cstheme="minorHAnsi"/>
        </w:rPr>
        <w:t>ni</w:t>
      </w:r>
      <w:r w:rsidRPr="0058490E">
        <w:rPr>
          <w:rFonts w:asciiTheme="minorHAnsi" w:hAnsiTheme="minorHAnsi" w:cstheme="minorHAnsi"/>
        </w:rPr>
        <w:t xml:space="preserve">potentiaires, compte tenu du rôle de l'UIT en tant que coordonnateur unique pour la grande orientation C5 du SMSI et d'autres décisions prises par les membres sur le renforcement du rôle </w:t>
      </w:r>
      <w:r w:rsidRPr="0058490E">
        <w:rPr>
          <w:rFonts w:asciiTheme="minorHAnsi" w:hAnsiTheme="minorHAnsi" w:cstheme="minorHAnsi"/>
          <w:spacing w:val="-2"/>
        </w:rPr>
        <w:t>de l'UIT dans l'instauration de la confiance et de la sécurité dans l'utilisation des TIC. Les Conseillers</w:t>
      </w:r>
      <w:r w:rsidRPr="0058490E">
        <w:rPr>
          <w:rFonts w:asciiTheme="minorHAnsi" w:hAnsiTheme="minorHAnsi" w:cstheme="minorHAnsi"/>
        </w:rPr>
        <w:t xml:space="preserve"> sont invités à prendre note du document, ainsi que de la version de 2020 du rapport (Document C20/18), qui a été élaboré</w:t>
      </w:r>
      <w:r w:rsidR="00FB36D1" w:rsidRPr="0058490E">
        <w:rPr>
          <w:rFonts w:asciiTheme="minorHAnsi" w:hAnsiTheme="minorHAnsi" w:cstheme="minorHAnsi"/>
        </w:rPr>
        <w:t>e</w:t>
      </w:r>
      <w:r w:rsidRPr="0058490E">
        <w:rPr>
          <w:rFonts w:asciiTheme="minorHAnsi" w:hAnsiTheme="minorHAnsi" w:cstheme="minorHAnsi"/>
        </w:rPr>
        <w:t xml:space="preserve"> en vue de sa soumission au Conseil mais n'a pas été examinée.</w:t>
      </w:r>
    </w:p>
    <w:p w14:paraId="40C973A3" w14:textId="6C3DC06C" w:rsidR="004A0BAA" w:rsidRPr="0058490E" w:rsidRDefault="004A0BAA"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9.2</w:t>
      </w:r>
      <w:r w:rsidRPr="0058490E">
        <w:rPr>
          <w:rFonts w:asciiTheme="minorHAnsi" w:hAnsiTheme="minorHAnsi" w:cstheme="minorHAnsi"/>
        </w:rPr>
        <w:tab/>
        <w:t>Un Conseiller remercie l'UIT pour les efforts déployés dans le cadre du Programme mondial cybersécurité et de l'indice mondial de cybersécurité. La participation des États Membres à tous les stades pourra servir d'exemple pour les travaux futurs.</w:t>
      </w:r>
    </w:p>
    <w:p w14:paraId="09BD8DB0" w14:textId="0E0966E9" w:rsidR="004A0BAA" w:rsidRPr="0058490E" w:rsidRDefault="004A0BAA"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9.3</w:t>
      </w:r>
      <w:r w:rsidRPr="0058490E">
        <w:rPr>
          <w:rFonts w:asciiTheme="minorHAnsi" w:hAnsiTheme="minorHAnsi" w:cstheme="minorHAnsi"/>
        </w:rPr>
        <w:tab/>
        <w:t>Le Président consid</w:t>
      </w:r>
      <w:r w:rsidR="009D7EBB" w:rsidRPr="0058490E">
        <w:rPr>
          <w:rFonts w:asciiTheme="minorHAnsi" w:hAnsiTheme="minorHAnsi" w:cstheme="minorHAnsi"/>
        </w:rPr>
        <w:t>ère</w:t>
      </w:r>
      <w:r w:rsidRPr="0058490E">
        <w:rPr>
          <w:rFonts w:asciiTheme="minorHAnsi" w:hAnsiTheme="minorHAnsi" w:cstheme="minorHAnsi"/>
        </w:rPr>
        <w:t xml:space="preserve"> que les Conseillers souhait</w:t>
      </w:r>
      <w:r w:rsidR="009D7EBB" w:rsidRPr="0058490E">
        <w:rPr>
          <w:rFonts w:asciiTheme="minorHAnsi" w:hAnsiTheme="minorHAnsi" w:cstheme="minorHAnsi"/>
        </w:rPr>
        <w:t>e</w:t>
      </w:r>
      <w:r w:rsidRPr="0058490E">
        <w:rPr>
          <w:rFonts w:asciiTheme="minorHAnsi" w:hAnsiTheme="minorHAnsi" w:cstheme="minorHAnsi"/>
        </w:rPr>
        <w:t xml:space="preserve">nt conclure que, compte tenu </w:t>
      </w:r>
      <w:r w:rsidR="009D7EBB" w:rsidRPr="0058490E">
        <w:rPr>
          <w:rFonts w:asciiTheme="minorHAnsi" w:hAnsiTheme="minorHAnsi" w:cstheme="minorHAnsi"/>
        </w:rPr>
        <w:t xml:space="preserve">du caractère urgent </w:t>
      </w:r>
      <w:r w:rsidRPr="0058490E">
        <w:rPr>
          <w:rFonts w:asciiTheme="minorHAnsi" w:hAnsiTheme="minorHAnsi" w:cstheme="minorHAnsi"/>
        </w:rPr>
        <w:t xml:space="preserve">de ce point, une consultation par correspondance des </w:t>
      </w:r>
      <w:r w:rsidR="009D7EBB" w:rsidRPr="0058490E">
        <w:rPr>
          <w:rFonts w:asciiTheme="minorHAnsi" w:hAnsiTheme="minorHAnsi" w:cstheme="minorHAnsi"/>
        </w:rPr>
        <w:t>É</w:t>
      </w:r>
      <w:r w:rsidRPr="0058490E">
        <w:rPr>
          <w:rFonts w:asciiTheme="minorHAnsi" w:hAnsiTheme="minorHAnsi" w:cstheme="minorHAnsi"/>
        </w:rPr>
        <w:t xml:space="preserve">tats </w:t>
      </w:r>
      <w:r w:rsidR="009D7EBB" w:rsidRPr="0058490E">
        <w:rPr>
          <w:rFonts w:asciiTheme="minorHAnsi" w:hAnsiTheme="minorHAnsi" w:cstheme="minorHAnsi"/>
        </w:rPr>
        <w:t>M</w:t>
      </w:r>
      <w:r w:rsidRPr="0058490E">
        <w:rPr>
          <w:rFonts w:asciiTheme="minorHAnsi" w:hAnsiTheme="minorHAnsi" w:cstheme="minorHAnsi"/>
        </w:rPr>
        <w:t xml:space="preserve">embres du Conseil sera </w:t>
      </w:r>
      <w:r w:rsidR="009D7EBB" w:rsidRPr="0058490E">
        <w:rPr>
          <w:rFonts w:asciiTheme="minorHAnsi" w:hAnsiTheme="minorHAnsi" w:cstheme="minorHAnsi"/>
        </w:rPr>
        <w:t xml:space="preserve">organisée </w:t>
      </w:r>
      <w:r w:rsidRPr="0058490E">
        <w:rPr>
          <w:rFonts w:asciiTheme="minorHAnsi" w:hAnsiTheme="minorHAnsi" w:cstheme="minorHAnsi"/>
        </w:rPr>
        <w:t>pour prendre note du Document C21/18 ainsi que du Document C20/18.</w:t>
      </w:r>
    </w:p>
    <w:p w14:paraId="7F3D1397" w14:textId="638C4135" w:rsidR="00563FB9" w:rsidRPr="0058490E" w:rsidRDefault="00563FB9"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9.4</w:t>
      </w:r>
      <w:r w:rsidRPr="0058490E">
        <w:rPr>
          <w:rFonts w:asciiTheme="minorHAnsi" w:hAnsiTheme="minorHAnsi" w:cstheme="minorHAnsi"/>
        </w:rPr>
        <w:tab/>
      </w:r>
      <w:r w:rsidR="007B0B01" w:rsidRPr="0058490E">
        <w:rPr>
          <w:rFonts w:asciiTheme="minorHAnsi" w:hAnsiTheme="minorHAnsi" w:cstheme="minorHAnsi"/>
        </w:rPr>
        <w:t xml:space="preserve">Il en est ainsi </w:t>
      </w:r>
      <w:r w:rsidR="007B0B01" w:rsidRPr="0058490E">
        <w:rPr>
          <w:rFonts w:asciiTheme="minorHAnsi" w:hAnsiTheme="minorHAnsi" w:cstheme="minorHAnsi"/>
          <w:b/>
          <w:bCs/>
        </w:rPr>
        <w:t>conclu</w:t>
      </w:r>
      <w:r w:rsidR="007B0B01" w:rsidRPr="0058490E">
        <w:rPr>
          <w:rFonts w:asciiTheme="minorHAnsi" w:hAnsiTheme="minorHAnsi" w:cstheme="minorHAnsi"/>
        </w:rPr>
        <w:t>.</w:t>
      </w:r>
    </w:p>
    <w:p w14:paraId="652580F0" w14:textId="0FB034DA"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hAnsiTheme="minorHAnsi" w:cstheme="minorHAnsi"/>
        </w:rPr>
      </w:pPr>
      <w:r w:rsidRPr="0058490E">
        <w:rPr>
          <w:rFonts w:asciiTheme="minorHAnsi" w:hAnsiTheme="minorHAnsi" w:cstheme="minorHAnsi"/>
        </w:rPr>
        <w:t>10</w:t>
      </w:r>
      <w:r w:rsidRPr="0058490E">
        <w:rPr>
          <w:rFonts w:asciiTheme="minorHAnsi" w:hAnsiTheme="minorHAnsi" w:cstheme="minorHAnsi"/>
        </w:rPr>
        <w:tab/>
      </w:r>
      <w:r w:rsidR="00D531F7" w:rsidRPr="0058490E">
        <w:rPr>
          <w:rFonts w:asciiTheme="minorHAnsi" w:hAnsiTheme="minorHAnsi" w:cstheme="minorHAnsi"/>
        </w:rPr>
        <w:t xml:space="preserve">Activités de l'UIT relatives à la Résolution 70 (Rév. Dubaï, 2018) de la Conférence de plénipotentiaires </w:t>
      </w:r>
      <w:r w:rsidRPr="0058490E">
        <w:rPr>
          <w:rFonts w:asciiTheme="minorHAnsi" w:hAnsiTheme="minorHAnsi" w:cstheme="minorHAnsi"/>
        </w:rPr>
        <w:t xml:space="preserve">(Document </w:t>
      </w:r>
      <w:hyperlink r:id="rId29" w:history="1">
        <w:r w:rsidRPr="0058490E">
          <w:rPr>
            <w:rFonts w:asciiTheme="minorHAnsi" w:eastAsia="MS Mincho" w:hAnsiTheme="minorHAnsi" w:cstheme="minorHAnsi"/>
            <w:color w:val="0000FF"/>
            <w:u w:val="single"/>
          </w:rPr>
          <w:t>C21/6</w:t>
        </w:r>
      </w:hyperlink>
      <w:r w:rsidRPr="0058490E">
        <w:rPr>
          <w:rFonts w:asciiTheme="minorHAnsi" w:hAnsiTheme="minorHAnsi" w:cstheme="minorHAnsi"/>
        </w:rPr>
        <w:t>)</w:t>
      </w:r>
    </w:p>
    <w:p w14:paraId="67C78B25" w14:textId="6C85D30D" w:rsidR="000F6FDC" w:rsidRPr="0058490E" w:rsidRDefault="000F6FDC"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10.1</w:t>
      </w:r>
      <w:r w:rsidRPr="0058490E">
        <w:rPr>
          <w:rFonts w:asciiTheme="minorHAnsi" w:hAnsiTheme="minorHAnsi" w:cstheme="minorHAnsi"/>
        </w:rPr>
        <w:tab/>
        <w:t>L</w:t>
      </w:r>
      <w:r w:rsidR="00790D57" w:rsidRPr="0058490E">
        <w:rPr>
          <w:rFonts w:asciiTheme="minorHAnsi" w:hAnsiTheme="minorHAnsi" w:cstheme="minorHAnsi"/>
        </w:rPr>
        <w:t>a</w:t>
      </w:r>
      <w:r w:rsidRPr="0058490E">
        <w:rPr>
          <w:rFonts w:asciiTheme="minorHAnsi" w:hAnsiTheme="minorHAnsi" w:cstheme="minorHAnsi"/>
        </w:rPr>
        <w:t xml:space="preserve"> représentant</w:t>
      </w:r>
      <w:r w:rsidR="00790D57" w:rsidRPr="0058490E">
        <w:rPr>
          <w:rFonts w:asciiTheme="minorHAnsi" w:hAnsiTheme="minorHAnsi" w:cstheme="minorHAnsi"/>
        </w:rPr>
        <w:t>e</w:t>
      </w:r>
      <w:r w:rsidRPr="0058490E">
        <w:rPr>
          <w:rFonts w:asciiTheme="minorHAnsi" w:hAnsiTheme="minorHAnsi" w:cstheme="minorHAnsi"/>
        </w:rPr>
        <w:t xml:space="preserve"> du Secrétariat général présente le Document C21/6, qui décrit les activités de l'UIT relatives à la Résolution 70 (Rév. Dubaï, 2018) de la Conférence de plénipotentiaires. D'autres informations </w:t>
      </w:r>
      <w:r w:rsidR="00FB36D1" w:rsidRPr="0058490E">
        <w:rPr>
          <w:rFonts w:asciiTheme="minorHAnsi" w:hAnsiTheme="minorHAnsi" w:cstheme="minorHAnsi"/>
        </w:rPr>
        <w:t xml:space="preserve">concernant </w:t>
      </w:r>
      <w:r w:rsidRPr="0058490E">
        <w:rPr>
          <w:rFonts w:asciiTheme="minorHAnsi" w:hAnsiTheme="minorHAnsi" w:cstheme="minorHAnsi"/>
        </w:rPr>
        <w:t>l'égalité hommes</w:t>
      </w:r>
      <w:r w:rsidR="009327B6" w:rsidRPr="0058490E">
        <w:rPr>
          <w:rFonts w:asciiTheme="minorHAnsi" w:hAnsiTheme="minorHAnsi" w:cstheme="minorHAnsi"/>
        </w:rPr>
        <w:t>-</w:t>
      </w:r>
      <w:r w:rsidRPr="0058490E">
        <w:rPr>
          <w:rFonts w:asciiTheme="minorHAnsi" w:hAnsiTheme="minorHAnsi" w:cstheme="minorHAnsi"/>
        </w:rPr>
        <w:t xml:space="preserve">femmes et </w:t>
      </w:r>
      <w:r w:rsidR="00FB36D1" w:rsidRPr="0058490E">
        <w:rPr>
          <w:rFonts w:asciiTheme="minorHAnsi" w:hAnsiTheme="minorHAnsi" w:cstheme="minorHAnsi"/>
        </w:rPr>
        <w:t xml:space="preserve">les </w:t>
      </w:r>
      <w:r w:rsidRPr="0058490E">
        <w:rPr>
          <w:rFonts w:asciiTheme="minorHAnsi" w:hAnsiTheme="minorHAnsi" w:cstheme="minorHAnsi"/>
        </w:rPr>
        <w:t>TIC sont disponibles sur la page web de l'UIT consacrée à l'égalité hommes</w:t>
      </w:r>
      <w:r w:rsidR="009327B6" w:rsidRPr="0058490E">
        <w:rPr>
          <w:rFonts w:asciiTheme="minorHAnsi" w:hAnsiTheme="minorHAnsi" w:cstheme="minorHAnsi"/>
        </w:rPr>
        <w:t>-</w:t>
      </w:r>
      <w:r w:rsidRPr="0058490E">
        <w:rPr>
          <w:rFonts w:asciiTheme="minorHAnsi" w:hAnsiTheme="minorHAnsi" w:cstheme="minorHAnsi"/>
        </w:rPr>
        <w:t>femmes. Les Conseillers sont invités à prendre note du document, ainsi que de la version de 2020 du rapport (Document C20/6), qui a été élabo</w:t>
      </w:r>
      <w:r w:rsidR="00FB36D1" w:rsidRPr="0058490E">
        <w:rPr>
          <w:rFonts w:asciiTheme="minorHAnsi" w:hAnsiTheme="minorHAnsi" w:cstheme="minorHAnsi"/>
        </w:rPr>
        <w:t>r</w:t>
      </w:r>
      <w:r w:rsidRPr="0058490E">
        <w:rPr>
          <w:rFonts w:asciiTheme="minorHAnsi" w:hAnsiTheme="minorHAnsi" w:cstheme="minorHAnsi"/>
        </w:rPr>
        <w:t xml:space="preserve">ée en vue de sa </w:t>
      </w:r>
      <w:r w:rsidR="00446FCA" w:rsidRPr="0058490E">
        <w:rPr>
          <w:rFonts w:asciiTheme="minorHAnsi" w:hAnsiTheme="minorHAnsi" w:cstheme="minorHAnsi"/>
        </w:rPr>
        <w:t>soumission</w:t>
      </w:r>
      <w:r w:rsidRPr="0058490E">
        <w:rPr>
          <w:rFonts w:asciiTheme="minorHAnsi" w:hAnsiTheme="minorHAnsi" w:cstheme="minorHAnsi"/>
        </w:rPr>
        <w:t xml:space="preserve"> au Conseil mais n'a pas été examinée.</w:t>
      </w:r>
    </w:p>
    <w:p w14:paraId="6D31E853" w14:textId="137AA50E" w:rsidR="000F6FDC" w:rsidRPr="0058490E" w:rsidRDefault="000F6FDC"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10.2</w:t>
      </w:r>
      <w:r w:rsidRPr="0058490E">
        <w:rPr>
          <w:rFonts w:asciiTheme="minorHAnsi" w:hAnsiTheme="minorHAnsi" w:cstheme="minorHAnsi"/>
        </w:rPr>
        <w:tab/>
        <w:t>Les Conseillers se félicitent du rapport et des efforts déployés par l'UIT pour promouvoir l'égalité hommes</w:t>
      </w:r>
      <w:r w:rsidR="009327B6" w:rsidRPr="0058490E">
        <w:rPr>
          <w:rFonts w:asciiTheme="minorHAnsi" w:hAnsiTheme="minorHAnsi" w:cstheme="minorHAnsi"/>
        </w:rPr>
        <w:t>-</w:t>
      </w:r>
      <w:r w:rsidRPr="0058490E">
        <w:rPr>
          <w:rFonts w:asciiTheme="minorHAnsi" w:hAnsiTheme="minorHAnsi" w:cstheme="minorHAnsi"/>
        </w:rPr>
        <w:t>femmes et l'autonomisation des femmes grâce aux TIC, et un Conseiller attire l'attention sur les mesures prises par le BR pour atteindre les objectifs de la Résolution 70 (Rév.</w:t>
      </w:r>
      <w:r w:rsidR="00F94ADC" w:rsidRPr="0058490E">
        <w:rPr>
          <w:rFonts w:asciiTheme="minorHAnsi" w:hAnsiTheme="minorHAnsi" w:cstheme="minorHAnsi"/>
        </w:rPr>
        <w:t> </w:t>
      </w:r>
      <w:r w:rsidRPr="0058490E">
        <w:rPr>
          <w:rFonts w:asciiTheme="minorHAnsi" w:hAnsiTheme="minorHAnsi" w:cstheme="minorHAnsi"/>
        </w:rPr>
        <w:t xml:space="preserve">Dubaï, 2018). Il est suggéré de lancer un réseau de femmes pour la PP-22, comme cela a été fait pour d'autres conférences, et un Conseiller fait part des efforts déployés dans son pays pour marquer le dixième anniversaire de la Journée des jeunes filles dans le secteur des TIC. </w:t>
      </w:r>
    </w:p>
    <w:p w14:paraId="2BEFDBF5" w14:textId="19110531" w:rsidR="000F6FDC" w:rsidRPr="0058490E" w:rsidRDefault="000F6FDC"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10.3</w:t>
      </w:r>
      <w:r w:rsidRPr="0058490E">
        <w:rPr>
          <w:rFonts w:asciiTheme="minorHAnsi" w:hAnsiTheme="minorHAnsi" w:cstheme="minorHAnsi"/>
        </w:rPr>
        <w:tab/>
        <w:t xml:space="preserve">Le Président déclare que l'on pourrait envisager de créer un réseau de femmes pour toutes les grandes manifestations de l'UIT. Il considère que les Conseillers souhaitent conclure que, compte tenu du caractère urgent de ce point, une consultation par correspondance des États </w:t>
      </w:r>
      <w:r w:rsidR="005B7D29" w:rsidRPr="0058490E">
        <w:rPr>
          <w:rFonts w:asciiTheme="minorHAnsi" w:hAnsiTheme="minorHAnsi" w:cstheme="minorHAnsi"/>
        </w:rPr>
        <w:t>M</w:t>
      </w:r>
      <w:r w:rsidRPr="0058490E">
        <w:rPr>
          <w:rFonts w:asciiTheme="minorHAnsi" w:hAnsiTheme="minorHAnsi" w:cstheme="minorHAnsi"/>
        </w:rPr>
        <w:t>embres du Conseil sera organisée pour prendre note du Document C21/6 ainsi que du Document C20/6.</w:t>
      </w:r>
    </w:p>
    <w:p w14:paraId="496C3FA1" w14:textId="3E3AB71A" w:rsidR="00563FB9" w:rsidRPr="0058490E" w:rsidRDefault="00563FB9"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10.4</w:t>
      </w:r>
      <w:r w:rsidRPr="0058490E">
        <w:rPr>
          <w:rFonts w:asciiTheme="minorHAnsi" w:hAnsiTheme="minorHAnsi" w:cstheme="minorHAnsi"/>
        </w:rPr>
        <w:tab/>
      </w:r>
      <w:r w:rsidR="007B0B01" w:rsidRPr="0058490E">
        <w:rPr>
          <w:rFonts w:asciiTheme="minorHAnsi" w:hAnsiTheme="minorHAnsi" w:cstheme="minorHAnsi"/>
        </w:rPr>
        <w:t xml:space="preserve">Il en est ainsi </w:t>
      </w:r>
      <w:r w:rsidR="007B0B01" w:rsidRPr="0058490E">
        <w:rPr>
          <w:rFonts w:asciiTheme="minorHAnsi" w:hAnsiTheme="minorHAnsi" w:cstheme="minorHAnsi"/>
          <w:b/>
          <w:bCs/>
        </w:rPr>
        <w:t>conclu</w:t>
      </w:r>
      <w:r w:rsidR="007B0B01" w:rsidRPr="0058490E">
        <w:rPr>
          <w:rFonts w:asciiTheme="minorHAnsi" w:hAnsiTheme="minorHAnsi" w:cstheme="minorHAnsi"/>
        </w:rPr>
        <w:t>.</w:t>
      </w:r>
    </w:p>
    <w:p w14:paraId="58D1EE8F" w14:textId="368BAA1F" w:rsidR="00563FB9" w:rsidRPr="0058490E" w:rsidRDefault="00563FB9" w:rsidP="0058490E">
      <w:pPr>
        <w:pStyle w:val="Heading1"/>
        <w:tabs>
          <w:tab w:val="clear" w:pos="567"/>
          <w:tab w:val="clear" w:pos="1134"/>
          <w:tab w:val="clear" w:pos="1701"/>
          <w:tab w:val="clear" w:pos="2268"/>
          <w:tab w:val="clear" w:pos="2835"/>
        </w:tabs>
        <w:ind w:left="709" w:hanging="709"/>
        <w:rPr>
          <w:rFonts w:asciiTheme="minorHAnsi" w:hAnsiTheme="minorHAnsi" w:cstheme="minorHAnsi"/>
        </w:rPr>
      </w:pPr>
      <w:r w:rsidRPr="0058490E">
        <w:rPr>
          <w:rFonts w:asciiTheme="minorHAnsi" w:hAnsiTheme="minorHAnsi" w:cstheme="minorHAnsi"/>
        </w:rPr>
        <w:lastRenderedPageBreak/>
        <w:t>11</w:t>
      </w:r>
      <w:r w:rsidRPr="0058490E">
        <w:rPr>
          <w:rFonts w:asciiTheme="minorHAnsi" w:hAnsiTheme="minorHAnsi" w:cstheme="minorHAnsi"/>
        </w:rPr>
        <w:tab/>
      </w:r>
      <w:r w:rsidR="00D531F7" w:rsidRPr="0058490E">
        <w:rPr>
          <w:rFonts w:asciiTheme="minorHAnsi" w:hAnsiTheme="minorHAnsi" w:cstheme="minorHAnsi"/>
        </w:rPr>
        <w:t xml:space="preserve">Résultats de la </w:t>
      </w:r>
      <w:r w:rsidRPr="0058490E">
        <w:rPr>
          <w:rFonts w:asciiTheme="minorHAnsi" w:hAnsiTheme="minorHAnsi" w:cstheme="minorHAnsi"/>
        </w:rPr>
        <w:t xml:space="preserve">consultation </w:t>
      </w:r>
      <w:r w:rsidR="00D531F7" w:rsidRPr="0058490E">
        <w:rPr>
          <w:rFonts w:asciiTheme="minorHAnsi" w:hAnsiTheme="minorHAnsi" w:cstheme="minorHAnsi"/>
        </w:rPr>
        <w:t xml:space="preserve">informelle sur les manifestations </w:t>
      </w:r>
      <w:r w:rsidR="004B5166" w:rsidRPr="0058490E">
        <w:rPr>
          <w:rFonts w:asciiTheme="minorHAnsi" w:hAnsiTheme="minorHAnsi" w:cstheme="minorHAnsi"/>
        </w:rPr>
        <w:t xml:space="preserve">en </w:t>
      </w:r>
      <w:r w:rsidRPr="0058490E">
        <w:rPr>
          <w:rFonts w:asciiTheme="minorHAnsi" w:hAnsiTheme="minorHAnsi" w:cstheme="minorHAnsi"/>
        </w:rPr>
        <w:t>2022 (</w:t>
      </w:r>
      <w:r w:rsidR="00D531F7" w:rsidRPr="0058490E">
        <w:rPr>
          <w:rFonts w:asciiTheme="minorHAnsi" w:hAnsiTheme="minorHAnsi" w:cstheme="minorHAnsi"/>
        </w:rPr>
        <w:t>suite</w:t>
      </w:r>
      <w:r w:rsidRPr="0058490E">
        <w:rPr>
          <w:rFonts w:asciiTheme="minorHAnsi" w:hAnsiTheme="minorHAnsi" w:cstheme="minorHAnsi"/>
        </w:rPr>
        <w:t>) (Documents </w:t>
      </w:r>
      <w:hyperlink r:id="rId30" w:history="1">
        <w:r w:rsidRPr="0058490E">
          <w:rPr>
            <w:rFonts w:asciiTheme="minorHAnsi" w:eastAsia="MS Mincho" w:hAnsiTheme="minorHAnsi" w:cstheme="minorHAnsi"/>
            <w:bCs/>
            <w:color w:val="0000FF"/>
            <w:u w:val="single"/>
          </w:rPr>
          <w:t>C21/DT/6</w:t>
        </w:r>
        <w:r w:rsidRPr="0058490E">
          <w:rPr>
            <w:rFonts w:asciiTheme="minorHAnsi" w:eastAsia="MS Mincho" w:hAnsiTheme="minorHAnsi" w:cstheme="minorHAnsi"/>
          </w:rPr>
          <w:t xml:space="preserve"> </w:t>
        </w:r>
        <w:r w:rsidR="00D531F7" w:rsidRPr="0058490E">
          <w:rPr>
            <w:rFonts w:asciiTheme="minorHAnsi" w:hAnsiTheme="minorHAnsi" w:cstheme="minorHAnsi"/>
          </w:rPr>
          <w:t xml:space="preserve">et </w:t>
        </w:r>
        <w:r w:rsidRPr="0058490E">
          <w:rPr>
            <w:rFonts w:asciiTheme="minorHAnsi" w:eastAsia="MS Mincho" w:hAnsiTheme="minorHAnsi" w:cstheme="minorHAnsi"/>
            <w:bCs/>
            <w:color w:val="0000FF"/>
            <w:u w:val="single"/>
          </w:rPr>
          <w:t>C21/DT/6(R</w:t>
        </w:r>
        <w:r w:rsidR="00D531F7" w:rsidRPr="0058490E">
          <w:rPr>
            <w:rFonts w:asciiTheme="minorHAnsi" w:eastAsia="MS Mincho" w:hAnsiTheme="minorHAnsi" w:cstheme="minorHAnsi"/>
            <w:bCs/>
            <w:color w:val="0000FF"/>
            <w:u w:val="single"/>
          </w:rPr>
          <w:t>é</w:t>
        </w:r>
        <w:r w:rsidRPr="0058490E">
          <w:rPr>
            <w:rFonts w:asciiTheme="minorHAnsi" w:eastAsia="MS Mincho" w:hAnsiTheme="minorHAnsi" w:cstheme="minorHAnsi"/>
            <w:bCs/>
            <w:color w:val="0000FF"/>
            <w:u w:val="single"/>
          </w:rPr>
          <w:t>v.1</w:t>
        </w:r>
      </w:hyperlink>
      <w:r w:rsidRPr="0058490E">
        <w:rPr>
          <w:rFonts w:asciiTheme="minorHAnsi" w:eastAsia="MS Mincho" w:hAnsiTheme="minorHAnsi" w:cstheme="minorHAnsi"/>
          <w:bCs/>
          <w:color w:val="0000FF"/>
          <w:u w:val="single"/>
        </w:rPr>
        <w:t>)</w:t>
      </w:r>
      <w:r w:rsidRPr="0058490E">
        <w:rPr>
          <w:rFonts w:asciiTheme="minorHAnsi" w:hAnsiTheme="minorHAnsi" w:cstheme="minorHAnsi"/>
        </w:rPr>
        <w:t>)</w:t>
      </w:r>
    </w:p>
    <w:p w14:paraId="2CAC5523" w14:textId="5EA83CC5"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11.1</w:t>
      </w:r>
      <w:r w:rsidRPr="0058490E">
        <w:rPr>
          <w:rFonts w:asciiTheme="minorHAnsi" w:hAnsiTheme="minorHAnsi" w:cstheme="minorHAnsi"/>
        </w:rPr>
        <w:tab/>
        <w:t>Le Président invite les Conseillers à examiner le Document C21/DT/6, qui présente les résultats de la consultation informelle sur la rationalisation des manifestations de l'UIT en 2022. Il remercie les Conseillers pour leur appui et leurs suggestions, ainsi que la CITEL pour sa proposition détaillée. Un accord doit encore être trouvé concernant la série de réunions des GTC en janvier</w:t>
      </w:r>
      <w:r w:rsidR="00F94ADC" w:rsidRPr="0058490E">
        <w:rPr>
          <w:rFonts w:asciiTheme="minorHAnsi" w:hAnsiTheme="minorHAnsi" w:cstheme="minorHAnsi"/>
        </w:rPr>
        <w:t> </w:t>
      </w:r>
      <w:r w:rsidRPr="0058490E">
        <w:rPr>
          <w:rFonts w:asciiTheme="minorHAnsi" w:hAnsiTheme="minorHAnsi" w:cstheme="minorHAnsi"/>
        </w:rPr>
        <w:t>2022, les manifestations en partenariat avec d'autres entités et certaines autres réunions non décisionnelles.</w:t>
      </w:r>
    </w:p>
    <w:p w14:paraId="6A4AE2C6" w14:textId="569FA147"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11.2</w:t>
      </w:r>
      <w:r w:rsidRPr="0058490E">
        <w:rPr>
          <w:rFonts w:asciiTheme="minorHAnsi" w:hAnsiTheme="minorHAnsi" w:cstheme="minorHAnsi"/>
        </w:rPr>
        <w:tab/>
        <w:t>Le Conseiller de l'Argentine, s'exprimant au nom de la CITEL, déclare que des réunions virtuelles ne permettraient pas de réduire de manière significative l'immense charge de travail pour 2022 et que les h</w:t>
      </w:r>
      <w:r w:rsidR="00FB046E" w:rsidRPr="0058490E">
        <w:rPr>
          <w:rFonts w:asciiTheme="minorHAnsi" w:hAnsiTheme="minorHAnsi" w:cstheme="minorHAnsi"/>
        </w:rPr>
        <w:t xml:space="preserve">oraires </w:t>
      </w:r>
      <w:r w:rsidRPr="0058490E">
        <w:rPr>
          <w:rFonts w:asciiTheme="minorHAnsi" w:hAnsiTheme="minorHAnsi" w:cstheme="minorHAnsi"/>
        </w:rPr>
        <w:t>de ces réunions ne sont pas pratiques pour les participants qui se trouvent dans certains fuseaux horaires. La CITEL propose de réduire le nombre de jours de réunion de la série de réunions des GTC en janvier 2022 et de reporter en 2023 les deux</w:t>
      </w:r>
      <w:r w:rsidR="00F94ADC" w:rsidRPr="0058490E">
        <w:rPr>
          <w:rFonts w:asciiTheme="minorHAnsi" w:hAnsiTheme="minorHAnsi" w:cstheme="minorHAnsi"/>
        </w:rPr>
        <w:t> </w:t>
      </w:r>
      <w:r w:rsidRPr="0058490E">
        <w:rPr>
          <w:rFonts w:asciiTheme="minorHAnsi" w:hAnsiTheme="minorHAnsi" w:cstheme="minorHAnsi"/>
        </w:rPr>
        <w:t xml:space="preserve">manifestations organisées </w:t>
      </w:r>
      <w:r w:rsidR="00FB046E" w:rsidRPr="0058490E">
        <w:rPr>
          <w:rFonts w:asciiTheme="minorHAnsi" w:hAnsiTheme="minorHAnsi" w:cstheme="minorHAnsi"/>
        </w:rPr>
        <w:t xml:space="preserve">chaque année </w:t>
      </w:r>
      <w:r w:rsidRPr="0058490E">
        <w:rPr>
          <w:rFonts w:asciiTheme="minorHAnsi" w:hAnsiTheme="minorHAnsi" w:cstheme="minorHAnsi"/>
        </w:rPr>
        <w:t>en partenariat avec d'autres entités. Elle propose également que certaines réunions non décisionnelles (GET, GCBI, WTIS et ITU Telecom), souvent tenues chaque année, soient reportées en 2023 plutôt que d'être organis</w:t>
      </w:r>
      <w:r w:rsidR="00FB046E" w:rsidRPr="0058490E">
        <w:rPr>
          <w:rFonts w:asciiTheme="minorHAnsi" w:hAnsiTheme="minorHAnsi" w:cstheme="minorHAnsi"/>
        </w:rPr>
        <w:t>é</w:t>
      </w:r>
      <w:r w:rsidRPr="0058490E">
        <w:rPr>
          <w:rFonts w:asciiTheme="minorHAnsi" w:hAnsiTheme="minorHAnsi" w:cstheme="minorHAnsi"/>
        </w:rPr>
        <w:t xml:space="preserve">es de manière virtuelle, et suggère </w:t>
      </w:r>
      <w:r w:rsidR="00D64374" w:rsidRPr="0058490E">
        <w:rPr>
          <w:rFonts w:asciiTheme="minorHAnsi" w:hAnsiTheme="minorHAnsi" w:cstheme="minorHAnsi"/>
        </w:rPr>
        <w:t xml:space="preserve">de mener une consultation par correspondance des </w:t>
      </w:r>
      <w:r w:rsidRPr="0058490E">
        <w:rPr>
          <w:rFonts w:asciiTheme="minorHAnsi" w:hAnsiTheme="minorHAnsi" w:cstheme="minorHAnsi"/>
        </w:rPr>
        <w:t xml:space="preserve">administrations pour </w:t>
      </w:r>
      <w:r w:rsidR="00D64374" w:rsidRPr="0058490E">
        <w:rPr>
          <w:rFonts w:asciiTheme="minorHAnsi" w:hAnsiTheme="minorHAnsi" w:cstheme="minorHAnsi"/>
        </w:rPr>
        <w:t xml:space="preserve">que celles-ci </w:t>
      </w:r>
      <w:r w:rsidRPr="0058490E">
        <w:rPr>
          <w:rFonts w:asciiTheme="minorHAnsi" w:hAnsiTheme="minorHAnsi" w:cstheme="minorHAnsi"/>
        </w:rPr>
        <w:t>indique</w:t>
      </w:r>
      <w:r w:rsidR="00D64374" w:rsidRPr="0058490E">
        <w:rPr>
          <w:rFonts w:asciiTheme="minorHAnsi" w:hAnsiTheme="minorHAnsi" w:cstheme="minorHAnsi"/>
        </w:rPr>
        <w:t>nt</w:t>
      </w:r>
      <w:r w:rsidRPr="0058490E">
        <w:rPr>
          <w:rFonts w:asciiTheme="minorHAnsi" w:hAnsiTheme="minorHAnsi" w:cstheme="minorHAnsi"/>
        </w:rPr>
        <w:t xml:space="preserve"> leur préfér</w:t>
      </w:r>
      <w:r w:rsidR="00D64374" w:rsidRPr="0058490E">
        <w:rPr>
          <w:rFonts w:asciiTheme="minorHAnsi" w:hAnsiTheme="minorHAnsi" w:cstheme="minorHAnsi"/>
        </w:rPr>
        <w:t>ence</w:t>
      </w:r>
      <w:r w:rsidRPr="0058490E">
        <w:rPr>
          <w:rFonts w:asciiTheme="minorHAnsi" w:hAnsiTheme="minorHAnsi" w:cstheme="minorHAnsi"/>
        </w:rPr>
        <w:t>. De plus amples informations sur l</w:t>
      </w:r>
      <w:r w:rsidR="00556289" w:rsidRPr="0058490E">
        <w:rPr>
          <w:rFonts w:asciiTheme="minorHAnsi" w:hAnsiTheme="minorHAnsi" w:cstheme="minorHAnsi"/>
        </w:rPr>
        <w:t>es bourses pour l'AMNT-20 et la </w:t>
      </w:r>
      <w:r w:rsidRPr="0058490E">
        <w:rPr>
          <w:rFonts w:asciiTheme="minorHAnsi" w:hAnsiTheme="minorHAnsi" w:cstheme="minorHAnsi"/>
        </w:rPr>
        <w:t>CMDT-21 devraient également être fournies. Les observations et les propositions de la CITEL figurent dans le Document C21/DT/6(R</w:t>
      </w:r>
      <w:r w:rsidR="00D64374" w:rsidRPr="0058490E">
        <w:rPr>
          <w:rFonts w:asciiTheme="minorHAnsi" w:hAnsiTheme="minorHAnsi" w:cstheme="minorHAnsi"/>
        </w:rPr>
        <w:t>é</w:t>
      </w:r>
      <w:r w:rsidRPr="0058490E">
        <w:rPr>
          <w:rFonts w:asciiTheme="minorHAnsi" w:hAnsiTheme="minorHAnsi" w:cstheme="minorHAnsi"/>
        </w:rPr>
        <w:t>v.1).</w:t>
      </w:r>
    </w:p>
    <w:p w14:paraId="55EAB592" w14:textId="137C4649"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11.3</w:t>
      </w:r>
      <w:r w:rsidRPr="0058490E">
        <w:rPr>
          <w:rFonts w:asciiTheme="minorHAnsi" w:hAnsiTheme="minorHAnsi" w:cstheme="minorHAnsi"/>
        </w:rPr>
        <w:tab/>
        <w:t xml:space="preserve">Un </w:t>
      </w:r>
      <w:r w:rsidR="00D64374" w:rsidRPr="0058490E">
        <w:rPr>
          <w:rFonts w:asciiTheme="minorHAnsi" w:hAnsiTheme="minorHAnsi" w:cstheme="minorHAnsi"/>
        </w:rPr>
        <w:t>C</w:t>
      </w:r>
      <w:r w:rsidRPr="0058490E">
        <w:rPr>
          <w:rFonts w:asciiTheme="minorHAnsi" w:hAnsiTheme="minorHAnsi" w:cstheme="minorHAnsi"/>
        </w:rPr>
        <w:t xml:space="preserve">onseiller réitère </w:t>
      </w:r>
      <w:r w:rsidR="00D64374" w:rsidRPr="0058490E">
        <w:rPr>
          <w:rFonts w:asciiTheme="minorHAnsi" w:hAnsiTheme="minorHAnsi" w:cstheme="minorHAnsi"/>
        </w:rPr>
        <w:t>que l</w:t>
      </w:r>
      <w:r w:rsidRPr="0058490E">
        <w:rPr>
          <w:rFonts w:asciiTheme="minorHAnsi" w:hAnsiTheme="minorHAnsi" w:cstheme="minorHAnsi"/>
        </w:rPr>
        <w:t>es administrations d</w:t>
      </w:r>
      <w:r w:rsidR="00D64374" w:rsidRPr="0058490E">
        <w:rPr>
          <w:rFonts w:asciiTheme="minorHAnsi" w:hAnsiTheme="minorHAnsi" w:cstheme="minorHAnsi"/>
        </w:rPr>
        <w:t>e la</w:t>
      </w:r>
      <w:r w:rsidRPr="0058490E">
        <w:rPr>
          <w:rFonts w:asciiTheme="minorHAnsi" w:hAnsiTheme="minorHAnsi" w:cstheme="minorHAnsi"/>
        </w:rPr>
        <w:t xml:space="preserve"> RCC </w:t>
      </w:r>
      <w:r w:rsidR="00D64374" w:rsidRPr="0058490E">
        <w:rPr>
          <w:rFonts w:asciiTheme="minorHAnsi" w:hAnsiTheme="minorHAnsi" w:cstheme="minorHAnsi"/>
        </w:rPr>
        <w:t xml:space="preserve">sont d'avis que </w:t>
      </w:r>
      <w:r w:rsidRPr="0058490E">
        <w:rPr>
          <w:rFonts w:asciiTheme="minorHAnsi" w:hAnsiTheme="minorHAnsi" w:cstheme="minorHAnsi"/>
        </w:rPr>
        <w:t xml:space="preserve">l'AMNT-20 devrait avoir la priorité sur la CMDT-21 et </w:t>
      </w:r>
      <w:r w:rsidR="00D64374" w:rsidRPr="0058490E">
        <w:rPr>
          <w:rFonts w:asciiTheme="minorHAnsi" w:hAnsiTheme="minorHAnsi" w:cstheme="minorHAnsi"/>
        </w:rPr>
        <w:t xml:space="preserve">croit </w:t>
      </w:r>
      <w:r w:rsidRPr="0058490E">
        <w:rPr>
          <w:rFonts w:asciiTheme="minorHAnsi" w:hAnsiTheme="minorHAnsi" w:cstheme="minorHAnsi"/>
        </w:rPr>
        <w:t>comprend</w:t>
      </w:r>
      <w:r w:rsidR="00D64374" w:rsidRPr="0058490E">
        <w:rPr>
          <w:rFonts w:asciiTheme="minorHAnsi" w:hAnsiTheme="minorHAnsi" w:cstheme="minorHAnsi"/>
        </w:rPr>
        <w:t>re</w:t>
      </w:r>
      <w:r w:rsidRPr="0058490E">
        <w:rPr>
          <w:rFonts w:asciiTheme="minorHAnsi" w:hAnsiTheme="minorHAnsi" w:cstheme="minorHAnsi"/>
        </w:rPr>
        <w:t xml:space="preserve"> que les </w:t>
      </w:r>
      <w:r w:rsidR="00D64374" w:rsidRPr="0058490E">
        <w:rPr>
          <w:rFonts w:asciiTheme="minorHAnsi" w:hAnsiTheme="minorHAnsi" w:cstheme="minorHAnsi"/>
        </w:rPr>
        <w:t xml:space="preserve">observations </w:t>
      </w:r>
      <w:r w:rsidRPr="0058490E">
        <w:rPr>
          <w:rFonts w:asciiTheme="minorHAnsi" w:hAnsiTheme="minorHAnsi" w:cstheme="minorHAnsi"/>
        </w:rPr>
        <w:t xml:space="preserve">de la CITEL concernant la priorité se rapportent aux bourses pour l'AMNT-20 et la CMDT-21 </w:t>
      </w:r>
      <w:r w:rsidR="00D64374" w:rsidRPr="0058490E">
        <w:rPr>
          <w:rFonts w:asciiTheme="minorHAnsi" w:hAnsiTheme="minorHAnsi" w:cstheme="minorHAnsi"/>
        </w:rPr>
        <w:t>et non aux manifestations proprement dites</w:t>
      </w:r>
      <w:r w:rsidRPr="0058490E">
        <w:rPr>
          <w:rFonts w:asciiTheme="minorHAnsi" w:hAnsiTheme="minorHAnsi" w:cstheme="minorHAnsi"/>
        </w:rPr>
        <w:t xml:space="preserve">. Les </w:t>
      </w:r>
      <w:r w:rsidR="00D64374" w:rsidRPr="0058490E">
        <w:rPr>
          <w:rFonts w:asciiTheme="minorHAnsi" w:hAnsiTheme="minorHAnsi" w:cstheme="minorHAnsi"/>
        </w:rPr>
        <w:t>C</w:t>
      </w:r>
      <w:r w:rsidRPr="0058490E">
        <w:rPr>
          <w:rFonts w:asciiTheme="minorHAnsi" w:hAnsiTheme="minorHAnsi" w:cstheme="minorHAnsi"/>
        </w:rPr>
        <w:t xml:space="preserve">onseillers </w:t>
      </w:r>
      <w:r w:rsidR="00D64374" w:rsidRPr="0058490E">
        <w:rPr>
          <w:rFonts w:asciiTheme="minorHAnsi" w:hAnsiTheme="minorHAnsi" w:cstheme="minorHAnsi"/>
        </w:rPr>
        <w:t xml:space="preserve">disent </w:t>
      </w:r>
      <w:r w:rsidR="00235C11" w:rsidRPr="0058490E">
        <w:rPr>
          <w:rFonts w:asciiTheme="minorHAnsi" w:hAnsiTheme="minorHAnsi" w:cstheme="minorHAnsi"/>
        </w:rPr>
        <w:t xml:space="preserve">qu'ils peuvent accepter </w:t>
      </w:r>
      <w:r w:rsidRPr="0058490E">
        <w:rPr>
          <w:rFonts w:asciiTheme="minorHAnsi" w:hAnsiTheme="minorHAnsi" w:cstheme="minorHAnsi"/>
        </w:rPr>
        <w:t xml:space="preserve">une réduction du nombre de jours de réunion pour </w:t>
      </w:r>
      <w:r w:rsidR="00D64374" w:rsidRPr="0058490E">
        <w:rPr>
          <w:rFonts w:asciiTheme="minorHAnsi" w:hAnsiTheme="minorHAnsi" w:cstheme="minorHAnsi"/>
        </w:rPr>
        <w:t xml:space="preserve">la série de réunions des GTC </w:t>
      </w:r>
      <w:r w:rsidRPr="0058490E">
        <w:rPr>
          <w:rFonts w:asciiTheme="minorHAnsi" w:hAnsiTheme="minorHAnsi" w:cstheme="minorHAnsi"/>
        </w:rPr>
        <w:t xml:space="preserve">en janvier 2022, </w:t>
      </w:r>
      <w:r w:rsidR="004C2A99" w:rsidRPr="0058490E">
        <w:rPr>
          <w:rFonts w:asciiTheme="minorHAnsi" w:hAnsiTheme="minorHAnsi" w:cstheme="minorHAnsi"/>
        </w:rPr>
        <w:t xml:space="preserve">et </w:t>
      </w:r>
      <w:r w:rsidRPr="0058490E">
        <w:rPr>
          <w:rFonts w:asciiTheme="minorHAnsi" w:hAnsiTheme="minorHAnsi" w:cstheme="minorHAnsi"/>
        </w:rPr>
        <w:t xml:space="preserve">un </w:t>
      </w:r>
      <w:r w:rsidR="00D64374" w:rsidRPr="0058490E">
        <w:rPr>
          <w:rFonts w:asciiTheme="minorHAnsi" w:hAnsiTheme="minorHAnsi" w:cstheme="minorHAnsi"/>
        </w:rPr>
        <w:t>C</w:t>
      </w:r>
      <w:r w:rsidRPr="0058490E">
        <w:rPr>
          <w:rFonts w:asciiTheme="minorHAnsi" w:hAnsiTheme="minorHAnsi" w:cstheme="minorHAnsi"/>
        </w:rPr>
        <w:t xml:space="preserve">onseiller </w:t>
      </w:r>
      <w:r w:rsidR="00D64374" w:rsidRPr="0058490E">
        <w:rPr>
          <w:rFonts w:asciiTheme="minorHAnsi" w:hAnsiTheme="minorHAnsi" w:cstheme="minorHAnsi"/>
        </w:rPr>
        <w:t xml:space="preserve">fait </w:t>
      </w:r>
      <w:r w:rsidR="00446FCA" w:rsidRPr="0058490E">
        <w:rPr>
          <w:rFonts w:asciiTheme="minorHAnsi" w:hAnsiTheme="minorHAnsi" w:cstheme="minorHAnsi"/>
        </w:rPr>
        <w:t xml:space="preserve">observer qu'il sera utile </w:t>
      </w:r>
      <w:r w:rsidRPr="0058490E">
        <w:rPr>
          <w:rFonts w:asciiTheme="minorHAnsi" w:hAnsiTheme="minorHAnsi" w:cstheme="minorHAnsi"/>
        </w:rPr>
        <w:t xml:space="preserve">de pouvoir mener des travaux plus approfondis </w:t>
      </w:r>
      <w:r w:rsidR="00D64374" w:rsidRPr="0058490E">
        <w:rPr>
          <w:rFonts w:asciiTheme="minorHAnsi" w:hAnsiTheme="minorHAnsi" w:cstheme="minorHAnsi"/>
        </w:rPr>
        <w:t xml:space="preserve">que ne le permettent les </w:t>
      </w:r>
      <w:r w:rsidRPr="0058490E">
        <w:rPr>
          <w:rFonts w:asciiTheme="minorHAnsi" w:hAnsiTheme="minorHAnsi" w:cstheme="minorHAnsi"/>
        </w:rPr>
        <w:t xml:space="preserve">réunions virtuelles. Il est important de consulter les organisations internationales concernées avant d'accepter de reporter des </w:t>
      </w:r>
      <w:r w:rsidR="00D64374" w:rsidRPr="0058490E">
        <w:rPr>
          <w:rFonts w:asciiTheme="minorHAnsi" w:hAnsiTheme="minorHAnsi" w:cstheme="minorHAnsi"/>
        </w:rPr>
        <w:t xml:space="preserve">manifestations </w:t>
      </w:r>
      <w:r w:rsidRPr="0058490E">
        <w:rPr>
          <w:rFonts w:asciiTheme="minorHAnsi" w:hAnsiTheme="minorHAnsi" w:cstheme="minorHAnsi"/>
        </w:rPr>
        <w:t>organisé</w:t>
      </w:r>
      <w:r w:rsidR="00D64374" w:rsidRPr="0058490E">
        <w:rPr>
          <w:rFonts w:asciiTheme="minorHAnsi" w:hAnsiTheme="minorHAnsi" w:cstheme="minorHAnsi"/>
        </w:rPr>
        <w:t>e</w:t>
      </w:r>
      <w:r w:rsidRPr="0058490E">
        <w:rPr>
          <w:rFonts w:asciiTheme="minorHAnsi" w:hAnsiTheme="minorHAnsi" w:cstheme="minorHAnsi"/>
        </w:rPr>
        <w:t xml:space="preserve">s en partenariat avec d'autres entités. Un </w:t>
      </w:r>
      <w:r w:rsidR="00D64374" w:rsidRPr="0058490E">
        <w:rPr>
          <w:rFonts w:asciiTheme="minorHAnsi" w:hAnsiTheme="minorHAnsi" w:cstheme="minorHAnsi"/>
        </w:rPr>
        <w:t>C</w:t>
      </w:r>
      <w:r w:rsidRPr="0058490E">
        <w:rPr>
          <w:rFonts w:asciiTheme="minorHAnsi" w:hAnsiTheme="minorHAnsi" w:cstheme="minorHAnsi"/>
        </w:rPr>
        <w:t>onseiller déclar</w:t>
      </w:r>
      <w:r w:rsidR="00D64374" w:rsidRPr="0058490E">
        <w:rPr>
          <w:rFonts w:asciiTheme="minorHAnsi" w:hAnsiTheme="minorHAnsi" w:cstheme="minorHAnsi"/>
        </w:rPr>
        <w:t>e</w:t>
      </w:r>
      <w:r w:rsidRPr="0058490E">
        <w:rPr>
          <w:rFonts w:asciiTheme="minorHAnsi" w:hAnsiTheme="minorHAnsi" w:cstheme="minorHAnsi"/>
        </w:rPr>
        <w:t xml:space="preserve"> que le report </w:t>
      </w:r>
      <w:r w:rsidR="0065561B" w:rsidRPr="0058490E">
        <w:rPr>
          <w:rFonts w:asciiTheme="minorHAnsi" w:hAnsiTheme="minorHAnsi" w:cstheme="minorHAnsi"/>
        </w:rPr>
        <w:t xml:space="preserve">de </w:t>
      </w:r>
      <w:r w:rsidRPr="0058490E">
        <w:rPr>
          <w:rFonts w:asciiTheme="minorHAnsi" w:hAnsiTheme="minorHAnsi" w:cstheme="minorHAnsi"/>
        </w:rPr>
        <w:t xml:space="preserve">certaines réunions non décisionnelles en 2023 </w:t>
      </w:r>
      <w:r w:rsidR="0065561B" w:rsidRPr="0058490E">
        <w:rPr>
          <w:rFonts w:asciiTheme="minorHAnsi" w:hAnsiTheme="minorHAnsi" w:cstheme="minorHAnsi"/>
        </w:rPr>
        <w:t xml:space="preserve">qui est proposé </w:t>
      </w:r>
      <w:r w:rsidRPr="0058490E">
        <w:rPr>
          <w:rFonts w:asciiTheme="minorHAnsi" w:hAnsiTheme="minorHAnsi" w:cstheme="minorHAnsi"/>
        </w:rPr>
        <w:t xml:space="preserve">sera difficile compte tenu des </w:t>
      </w:r>
      <w:r w:rsidR="0065561B" w:rsidRPr="0058490E">
        <w:rPr>
          <w:rFonts w:asciiTheme="minorHAnsi" w:hAnsiTheme="minorHAnsi" w:cstheme="minorHAnsi"/>
        </w:rPr>
        <w:t xml:space="preserve">travaux </w:t>
      </w:r>
      <w:r w:rsidRPr="0058490E">
        <w:rPr>
          <w:rFonts w:asciiTheme="minorHAnsi" w:hAnsiTheme="minorHAnsi" w:cstheme="minorHAnsi"/>
        </w:rPr>
        <w:t>préparat</w:t>
      </w:r>
      <w:r w:rsidR="0065561B" w:rsidRPr="0058490E">
        <w:rPr>
          <w:rFonts w:asciiTheme="minorHAnsi" w:hAnsiTheme="minorHAnsi" w:cstheme="minorHAnsi"/>
        </w:rPr>
        <w:t>oires en vue</w:t>
      </w:r>
      <w:r w:rsidRPr="0058490E">
        <w:rPr>
          <w:rFonts w:asciiTheme="minorHAnsi" w:hAnsiTheme="minorHAnsi" w:cstheme="minorHAnsi"/>
        </w:rPr>
        <w:t xml:space="preserve"> de la CMR-23, et </w:t>
      </w:r>
      <w:r w:rsidR="0065561B" w:rsidRPr="0058490E">
        <w:rPr>
          <w:rFonts w:asciiTheme="minorHAnsi" w:hAnsiTheme="minorHAnsi" w:cstheme="minorHAnsi"/>
        </w:rPr>
        <w:t xml:space="preserve">dit avoir </w:t>
      </w:r>
      <w:r w:rsidRPr="0058490E">
        <w:rPr>
          <w:rFonts w:asciiTheme="minorHAnsi" w:hAnsiTheme="minorHAnsi" w:cstheme="minorHAnsi"/>
        </w:rPr>
        <w:t xml:space="preserve">une préférence pour les réunions virtuelles. Un autre </w:t>
      </w:r>
      <w:r w:rsidR="0065561B" w:rsidRPr="0058490E">
        <w:rPr>
          <w:rFonts w:asciiTheme="minorHAnsi" w:hAnsiTheme="minorHAnsi" w:cstheme="minorHAnsi"/>
        </w:rPr>
        <w:t>C</w:t>
      </w:r>
      <w:r w:rsidRPr="0058490E">
        <w:rPr>
          <w:rFonts w:asciiTheme="minorHAnsi" w:hAnsiTheme="minorHAnsi" w:cstheme="minorHAnsi"/>
        </w:rPr>
        <w:t>onseiller sugg</w:t>
      </w:r>
      <w:r w:rsidR="0065561B" w:rsidRPr="0058490E">
        <w:rPr>
          <w:rFonts w:asciiTheme="minorHAnsi" w:hAnsiTheme="minorHAnsi" w:cstheme="minorHAnsi"/>
        </w:rPr>
        <w:t xml:space="preserve">ère </w:t>
      </w:r>
      <w:r w:rsidRPr="0058490E">
        <w:rPr>
          <w:rFonts w:asciiTheme="minorHAnsi" w:hAnsiTheme="minorHAnsi" w:cstheme="minorHAnsi"/>
        </w:rPr>
        <w:t xml:space="preserve">de </w:t>
      </w:r>
      <w:r w:rsidR="0065561B" w:rsidRPr="0058490E">
        <w:rPr>
          <w:rFonts w:asciiTheme="minorHAnsi" w:hAnsiTheme="minorHAnsi" w:cstheme="minorHAnsi"/>
        </w:rPr>
        <w:t xml:space="preserve">prévoir une rotation concernant les horaires </w:t>
      </w:r>
      <w:r w:rsidRPr="0058490E">
        <w:rPr>
          <w:rFonts w:asciiTheme="minorHAnsi" w:hAnsiTheme="minorHAnsi" w:cstheme="minorHAnsi"/>
        </w:rPr>
        <w:t>des réunions virtuelles afin que tous les fuseaux horaires soi</w:t>
      </w:r>
      <w:r w:rsidR="00235C11" w:rsidRPr="0058490E">
        <w:rPr>
          <w:rFonts w:asciiTheme="minorHAnsi" w:hAnsiTheme="minorHAnsi" w:cstheme="minorHAnsi"/>
        </w:rPr>
        <w:t>en</w:t>
      </w:r>
      <w:r w:rsidRPr="0058490E">
        <w:rPr>
          <w:rFonts w:asciiTheme="minorHAnsi" w:hAnsiTheme="minorHAnsi" w:cstheme="minorHAnsi"/>
        </w:rPr>
        <w:t xml:space="preserve">t traités </w:t>
      </w:r>
      <w:r w:rsidR="0065561B" w:rsidRPr="0058490E">
        <w:rPr>
          <w:rFonts w:asciiTheme="minorHAnsi" w:hAnsiTheme="minorHAnsi" w:cstheme="minorHAnsi"/>
        </w:rPr>
        <w:t>sur un pied d'égalité</w:t>
      </w:r>
      <w:r w:rsidRPr="0058490E">
        <w:rPr>
          <w:rFonts w:asciiTheme="minorHAnsi" w:hAnsiTheme="minorHAnsi" w:cstheme="minorHAnsi"/>
        </w:rPr>
        <w:t>.</w:t>
      </w:r>
    </w:p>
    <w:p w14:paraId="2844949B" w14:textId="624A3EB4"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11.4</w:t>
      </w:r>
      <w:r w:rsidRPr="0058490E">
        <w:rPr>
          <w:rFonts w:asciiTheme="minorHAnsi" w:hAnsiTheme="minorHAnsi" w:cstheme="minorHAnsi"/>
        </w:rPr>
        <w:tab/>
        <w:t xml:space="preserve">Le Président </w:t>
      </w:r>
      <w:r w:rsidR="0065561B" w:rsidRPr="0058490E">
        <w:rPr>
          <w:rFonts w:asciiTheme="minorHAnsi" w:hAnsiTheme="minorHAnsi" w:cstheme="minorHAnsi"/>
        </w:rPr>
        <w:t xml:space="preserve">indique </w:t>
      </w:r>
      <w:r w:rsidRPr="0058490E">
        <w:rPr>
          <w:rFonts w:asciiTheme="minorHAnsi" w:hAnsiTheme="minorHAnsi" w:cstheme="minorHAnsi"/>
        </w:rPr>
        <w:t xml:space="preserve">que l'intention </w:t>
      </w:r>
      <w:r w:rsidR="0065561B" w:rsidRPr="0058490E">
        <w:rPr>
          <w:rFonts w:asciiTheme="minorHAnsi" w:hAnsiTheme="minorHAnsi" w:cstheme="minorHAnsi"/>
        </w:rPr>
        <w:t xml:space="preserve">est </w:t>
      </w:r>
      <w:r w:rsidRPr="0058490E">
        <w:rPr>
          <w:rFonts w:asciiTheme="minorHAnsi" w:hAnsiTheme="minorHAnsi" w:cstheme="minorHAnsi"/>
        </w:rPr>
        <w:t xml:space="preserve">de tenir l'AMNT-20, la CMDT-21 et la PP-22 </w:t>
      </w:r>
      <w:r w:rsidR="0065561B" w:rsidRPr="0058490E">
        <w:rPr>
          <w:rFonts w:asciiTheme="minorHAnsi" w:hAnsiTheme="minorHAnsi" w:cstheme="minorHAnsi"/>
        </w:rPr>
        <w:t xml:space="preserve">en présentiel </w:t>
      </w:r>
      <w:r w:rsidRPr="0058490E">
        <w:rPr>
          <w:rFonts w:asciiTheme="minorHAnsi" w:hAnsiTheme="minorHAnsi" w:cstheme="minorHAnsi"/>
        </w:rPr>
        <w:t>en 2022, comme prévu, à moins que la situation mondiale ne change, auquel cas le Conseil</w:t>
      </w:r>
      <w:r w:rsidR="0065561B" w:rsidRPr="0058490E">
        <w:rPr>
          <w:rFonts w:asciiTheme="minorHAnsi" w:hAnsiTheme="minorHAnsi" w:cstheme="minorHAnsi"/>
        </w:rPr>
        <w:t xml:space="preserve"> à sa session de 2022 </w:t>
      </w:r>
      <w:r w:rsidRPr="0058490E">
        <w:rPr>
          <w:rFonts w:asciiTheme="minorHAnsi" w:hAnsiTheme="minorHAnsi" w:cstheme="minorHAnsi"/>
        </w:rPr>
        <w:t>devrait décider des mesures à prendre</w:t>
      </w:r>
      <w:r w:rsidR="00235C11" w:rsidRPr="0058490E">
        <w:rPr>
          <w:rFonts w:asciiTheme="minorHAnsi" w:hAnsiTheme="minorHAnsi" w:cstheme="minorHAnsi"/>
        </w:rPr>
        <w:t>,</w:t>
      </w:r>
      <w:r w:rsidRPr="0058490E">
        <w:rPr>
          <w:rFonts w:asciiTheme="minorHAnsi" w:hAnsiTheme="minorHAnsi" w:cstheme="minorHAnsi"/>
        </w:rPr>
        <w:t xml:space="preserve"> </w:t>
      </w:r>
      <w:r w:rsidR="00235C11" w:rsidRPr="0058490E">
        <w:rPr>
          <w:rFonts w:asciiTheme="minorHAnsi" w:hAnsiTheme="minorHAnsi" w:cstheme="minorHAnsi"/>
        </w:rPr>
        <w:t xml:space="preserve">sachant </w:t>
      </w:r>
      <w:r w:rsidR="00556289" w:rsidRPr="0058490E">
        <w:rPr>
          <w:rFonts w:asciiTheme="minorHAnsi" w:hAnsiTheme="minorHAnsi" w:cstheme="minorHAnsi"/>
        </w:rPr>
        <w:t>que l'AMNT et la </w:t>
      </w:r>
      <w:r w:rsidRPr="0058490E">
        <w:rPr>
          <w:rFonts w:asciiTheme="minorHAnsi" w:hAnsiTheme="minorHAnsi" w:cstheme="minorHAnsi"/>
        </w:rPr>
        <w:t xml:space="preserve">CMDT suivantes </w:t>
      </w:r>
      <w:r w:rsidR="0065561B" w:rsidRPr="0058490E">
        <w:rPr>
          <w:rFonts w:asciiTheme="minorHAnsi" w:hAnsiTheme="minorHAnsi" w:cstheme="minorHAnsi"/>
        </w:rPr>
        <w:t xml:space="preserve">sont </w:t>
      </w:r>
      <w:r w:rsidRPr="0058490E">
        <w:rPr>
          <w:rFonts w:asciiTheme="minorHAnsi" w:hAnsiTheme="minorHAnsi" w:cstheme="minorHAnsi"/>
        </w:rPr>
        <w:t>prévues respectivement pour 2024 et 2025.</w:t>
      </w:r>
    </w:p>
    <w:p w14:paraId="6A05CDBB" w14:textId="46AC4FAF"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11.5</w:t>
      </w:r>
      <w:r w:rsidRPr="0058490E">
        <w:rPr>
          <w:rFonts w:asciiTheme="minorHAnsi" w:hAnsiTheme="minorHAnsi" w:cstheme="minorHAnsi"/>
        </w:rPr>
        <w:tab/>
        <w:t xml:space="preserve">Le Secrétaire général, se référant à la proposition de report d'ITU Telecom, </w:t>
      </w:r>
      <w:r w:rsidR="0065561B" w:rsidRPr="0058490E">
        <w:rPr>
          <w:rFonts w:asciiTheme="minorHAnsi" w:hAnsiTheme="minorHAnsi" w:cstheme="minorHAnsi"/>
        </w:rPr>
        <w:t xml:space="preserve">fait savoir </w:t>
      </w:r>
      <w:r w:rsidRPr="0058490E">
        <w:rPr>
          <w:rFonts w:asciiTheme="minorHAnsi" w:hAnsiTheme="minorHAnsi" w:cstheme="minorHAnsi"/>
        </w:rPr>
        <w:t>qu'</w:t>
      </w:r>
      <w:r w:rsidR="0065561B" w:rsidRPr="0058490E">
        <w:rPr>
          <w:rFonts w:asciiTheme="minorHAnsi" w:hAnsiTheme="minorHAnsi" w:cstheme="minorHAnsi"/>
        </w:rPr>
        <w:t>à l'issue de la consultation d</w:t>
      </w:r>
      <w:r w:rsidRPr="0058490E">
        <w:rPr>
          <w:rFonts w:asciiTheme="minorHAnsi" w:hAnsiTheme="minorHAnsi" w:cstheme="minorHAnsi"/>
        </w:rPr>
        <w:t xml:space="preserve">es pays </w:t>
      </w:r>
      <w:r w:rsidR="0065561B" w:rsidRPr="0058490E">
        <w:rPr>
          <w:rFonts w:asciiTheme="minorHAnsi" w:hAnsiTheme="minorHAnsi" w:cstheme="minorHAnsi"/>
        </w:rPr>
        <w:t xml:space="preserve">hôtes </w:t>
      </w:r>
      <w:r w:rsidRPr="0058490E">
        <w:rPr>
          <w:rFonts w:asciiTheme="minorHAnsi" w:hAnsiTheme="minorHAnsi" w:cstheme="minorHAnsi"/>
        </w:rPr>
        <w:t xml:space="preserve">candidats, il informera les </w:t>
      </w:r>
      <w:r w:rsidR="0065561B" w:rsidRPr="0058490E">
        <w:rPr>
          <w:rFonts w:asciiTheme="minorHAnsi" w:hAnsiTheme="minorHAnsi" w:cstheme="minorHAnsi"/>
        </w:rPr>
        <w:t>É</w:t>
      </w:r>
      <w:r w:rsidRPr="0058490E">
        <w:rPr>
          <w:rFonts w:asciiTheme="minorHAnsi" w:hAnsiTheme="minorHAnsi" w:cstheme="minorHAnsi"/>
        </w:rPr>
        <w:t xml:space="preserve">tats Membres début 2022 si la </w:t>
      </w:r>
      <w:r w:rsidR="00235C11" w:rsidRPr="0058490E">
        <w:rPr>
          <w:rFonts w:asciiTheme="minorHAnsi" w:hAnsiTheme="minorHAnsi" w:cstheme="minorHAnsi"/>
        </w:rPr>
        <w:t xml:space="preserve">manifestation </w:t>
      </w:r>
      <w:r w:rsidRPr="0058490E">
        <w:rPr>
          <w:rFonts w:asciiTheme="minorHAnsi" w:hAnsiTheme="minorHAnsi" w:cstheme="minorHAnsi"/>
        </w:rPr>
        <w:t xml:space="preserve">sera </w:t>
      </w:r>
      <w:r w:rsidR="0065561B" w:rsidRPr="0058490E">
        <w:rPr>
          <w:rFonts w:asciiTheme="minorHAnsi" w:hAnsiTheme="minorHAnsi" w:cstheme="minorHAnsi"/>
        </w:rPr>
        <w:t xml:space="preserve">organisée </w:t>
      </w:r>
      <w:r w:rsidRPr="0058490E">
        <w:rPr>
          <w:rFonts w:asciiTheme="minorHAnsi" w:hAnsiTheme="minorHAnsi" w:cstheme="minorHAnsi"/>
        </w:rPr>
        <w:t xml:space="preserve">en décembre 2022 ou reportée </w:t>
      </w:r>
      <w:r w:rsidR="0065561B" w:rsidRPr="0058490E">
        <w:rPr>
          <w:rFonts w:asciiTheme="minorHAnsi" w:hAnsiTheme="minorHAnsi" w:cstheme="minorHAnsi"/>
        </w:rPr>
        <w:t xml:space="preserve">en </w:t>
      </w:r>
      <w:r w:rsidRPr="0058490E">
        <w:rPr>
          <w:rFonts w:asciiTheme="minorHAnsi" w:hAnsiTheme="minorHAnsi" w:cstheme="minorHAnsi"/>
        </w:rPr>
        <w:t>2023.</w:t>
      </w:r>
    </w:p>
    <w:p w14:paraId="1E0A984F" w14:textId="40530235" w:rsidR="004B5166" w:rsidRPr="0058490E" w:rsidRDefault="004B5166"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t>11.6</w:t>
      </w:r>
      <w:r w:rsidRPr="0058490E">
        <w:rPr>
          <w:rFonts w:asciiTheme="minorHAnsi" w:hAnsiTheme="minorHAnsi" w:cstheme="minorHAnsi"/>
        </w:rPr>
        <w:tab/>
        <w:t>Le Président consid</w:t>
      </w:r>
      <w:r w:rsidR="0065561B" w:rsidRPr="0058490E">
        <w:rPr>
          <w:rFonts w:asciiTheme="minorHAnsi" w:hAnsiTheme="minorHAnsi" w:cstheme="minorHAnsi"/>
        </w:rPr>
        <w:t xml:space="preserve">ère </w:t>
      </w:r>
      <w:r w:rsidRPr="0058490E">
        <w:rPr>
          <w:rFonts w:asciiTheme="minorHAnsi" w:hAnsiTheme="minorHAnsi" w:cstheme="minorHAnsi"/>
        </w:rPr>
        <w:t xml:space="preserve">que les </w:t>
      </w:r>
      <w:r w:rsidR="0065561B" w:rsidRPr="0058490E">
        <w:rPr>
          <w:rFonts w:asciiTheme="minorHAnsi" w:hAnsiTheme="minorHAnsi" w:cstheme="minorHAnsi"/>
        </w:rPr>
        <w:t>C</w:t>
      </w:r>
      <w:r w:rsidRPr="0058490E">
        <w:rPr>
          <w:rFonts w:asciiTheme="minorHAnsi" w:hAnsiTheme="minorHAnsi" w:cstheme="minorHAnsi"/>
        </w:rPr>
        <w:t xml:space="preserve">onseillers souhaitent demander au secrétariat de </w:t>
      </w:r>
      <w:r w:rsidR="0065561B" w:rsidRPr="0058490E">
        <w:rPr>
          <w:rFonts w:asciiTheme="minorHAnsi" w:hAnsiTheme="minorHAnsi" w:cstheme="minorHAnsi"/>
        </w:rPr>
        <w:t xml:space="preserve">présenter </w:t>
      </w:r>
      <w:r w:rsidRPr="0058490E">
        <w:rPr>
          <w:rFonts w:asciiTheme="minorHAnsi" w:hAnsiTheme="minorHAnsi" w:cstheme="minorHAnsi"/>
        </w:rPr>
        <w:t xml:space="preserve">le lendemain une proposition </w:t>
      </w:r>
      <w:r w:rsidR="0065561B" w:rsidRPr="0058490E">
        <w:rPr>
          <w:rFonts w:asciiTheme="minorHAnsi" w:hAnsiTheme="minorHAnsi" w:cstheme="minorHAnsi"/>
        </w:rPr>
        <w:t xml:space="preserve">sur </w:t>
      </w:r>
      <w:r w:rsidRPr="0058490E">
        <w:rPr>
          <w:rFonts w:asciiTheme="minorHAnsi" w:hAnsiTheme="minorHAnsi" w:cstheme="minorHAnsi"/>
        </w:rPr>
        <w:t xml:space="preserve">la réduction de la durée </w:t>
      </w:r>
      <w:r w:rsidR="0065561B" w:rsidRPr="0058490E">
        <w:rPr>
          <w:rFonts w:asciiTheme="minorHAnsi" w:hAnsiTheme="minorHAnsi" w:cstheme="minorHAnsi"/>
        </w:rPr>
        <w:t xml:space="preserve">de la série de réunions des GTC </w:t>
      </w:r>
      <w:r w:rsidRPr="0058490E">
        <w:rPr>
          <w:rFonts w:asciiTheme="minorHAnsi" w:hAnsiTheme="minorHAnsi" w:cstheme="minorHAnsi"/>
        </w:rPr>
        <w:t xml:space="preserve">en janvier 2022 et sur le report de quatre </w:t>
      </w:r>
      <w:r w:rsidR="0065561B" w:rsidRPr="0058490E">
        <w:rPr>
          <w:rFonts w:asciiTheme="minorHAnsi" w:hAnsiTheme="minorHAnsi" w:cstheme="minorHAnsi"/>
        </w:rPr>
        <w:t xml:space="preserve">manifestations </w:t>
      </w:r>
      <w:r w:rsidRPr="0058490E">
        <w:rPr>
          <w:rFonts w:asciiTheme="minorHAnsi" w:hAnsiTheme="minorHAnsi" w:cstheme="minorHAnsi"/>
        </w:rPr>
        <w:t xml:space="preserve">(GET, GCBI, WTIS et ITU Telecom). En ce qui concerne ces quatre </w:t>
      </w:r>
      <w:r w:rsidR="0065561B" w:rsidRPr="0058490E">
        <w:rPr>
          <w:rFonts w:asciiTheme="minorHAnsi" w:hAnsiTheme="minorHAnsi" w:cstheme="minorHAnsi"/>
        </w:rPr>
        <w:t>manifestations</w:t>
      </w:r>
      <w:r w:rsidRPr="0058490E">
        <w:rPr>
          <w:rFonts w:asciiTheme="minorHAnsi" w:hAnsiTheme="minorHAnsi" w:cstheme="minorHAnsi"/>
        </w:rPr>
        <w:t xml:space="preserve">, il </w:t>
      </w:r>
      <w:r w:rsidR="00235C11" w:rsidRPr="0058490E">
        <w:rPr>
          <w:rFonts w:asciiTheme="minorHAnsi" w:hAnsiTheme="minorHAnsi" w:cstheme="minorHAnsi"/>
        </w:rPr>
        <w:t xml:space="preserve">considère </w:t>
      </w:r>
      <w:r w:rsidRPr="0058490E">
        <w:rPr>
          <w:rFonts w:asciiTheme="minorHAnsi" w:hAnsiTheme="minorHAnsi" w:cstheme="minorHAnsi"/>
        </w:rPr>
        <w:t xml:space="preserve">que les </w:t>
      </w:r>
      <w:r w:rsidR="0065561B" w:rsidRPr="0058490E">
        <w:rPr>
          <w:rFonts w:asciiTheme="minorHAnsi" w:hAnsiTheme="minorHAnsi" w:cstheme="minorHAnsi"/>
        </w:rPr>
        <w:t>C</w:t>
      </w:r>
      <w:r w:rsidRPr="0058490E">
        <w:rPr>
          <w:rFonts w:asciiTheme="minorHAnsi" w:hAnsiTheme="minorHAnsi" w:cstheme="minorHAnsi"/>
        </w:rPr>
        <w:t>onseillers souhaitent demander au secrétariat de proposer de nouvelles dates et un nouveau format.</w:t>
      </w:r>
    </w:p>
    <w:p w14:paraId="62DA5DC6" w14:textId="58FF80A8" w:rsidR="00C512E1" w:rsidRPr="0058490E" w:rsidRDefault="00563FB9" w:rsidP="0058490E">
      <w:pPr>
        <w:tabs>
          <w:tab w:val="clear" w:pos="567"/>
          <w:tab w:val="clear" w:pos="1134"/>
          <w:tab w:val="clear" w:pos="1701"/>
          <w:tab w:val="clear" w:pos="2268"/>
          <w:tab w:val="clear" w:pos="2835"/>
        </w:tabs>
        <w:rPr>
          <w:rFonts w:asciiTheme="minorHAnsi" w:hAnsiTheme="minorHAnsi" w:cstheme="minorHAnsi"/>
        </w:rPr>
      </w:pPr>
      <w:r w:rsidRPr="0058490E">
        <w:rPr>
          <w:rFonts w:asciiTheme="minorHAnsi" w:hAnsiTheme="minorHAnsi" w:cstheme="minorHAnsi"/>
        </w:rPr>
        <w:lastRenderedPageBreak/>
        <w:t>11</w:t>
      </w:r>
      <w:r w:rsidR="00C512E1" w:rsidRPr="0058490E">
        <w:rPr>
          <w:rFonts w:asciiTheme="minorHAnsi" w:hAnsiTheme="minorHAnsi" w:cstheme="minorHAnsi"/>
        </w:rPr>
        <w:t>.</w:t>
      </w:r>
      <w:r w:rsidRPr="0058490E">
        <w:rPr>
          <w:rFonts w:asciiTheme="minorHAnsi" w:hAnsiTheme="minorHAnsi" w:cstheme="minorHAnsi"/>
        </w:rPr>
        <w:t>7</w:t>
      </w:r>
      <w:r w:rsidR="00C512E1" w:rsidRPr="0058490E">
        <w:rPr>
          <w:rFonts w:asciiTheme="minorHAnsi" w:hAnsiTheme="minorHAnsi" w:cstheme="minorHAnsi"/>
        </w:rPr>
        <w:tab/>
      </w:r>
      <w:bookmarkStart w:id="12" w:name="lt_pId203"/>
      <w:r w:rsidR="00C512E1" w:rsidRPr="0058490E">
        <w:rPr>
          <w:rFonts w:asciiTheme="minorHAnsi" w:hAnsiTheme="minorHAnsi" w:cstheme="minorHAnsi"/>
        </w:rPr>
        <w:t xml:space="preserve">Il en est ainsi </w:t>
      </w:r>
      <w:r w:rsidRPr="0058490E">
        <w:rPr>
          <w:rFonts w:asciiTheme="minorHAnsi" w:hAnsiTheme="minorHAnsi" w:cstheme="minorHAnsi"/>
          <w:b/>
        </w:rPr>
        <w:t>décidé</w:t>
      </w:r>
      <w:r w:rsidR="00C512E1" w:rsidRPr="0058490E">
        <w:rPr>
          <w:rFonts w:asciiTheme="minorHAnsi" w:hAnsiTheme="minorHAnsi" w:cstheme="minorHAnsi"/>
        </w:rPr>
        <w:t>.</w:t>
      </w:r>
      <w:bookmarkEnd w:id="12"/>
    </w:p>
    <w:p w14:paraId="6E4C702F" w14:textId="557DC6CA" w:rsidR="00C512E1" w:rsidRPr="00556289" w:rsidRDefault="00C512E1" w:rsidP="00556289">
      <w:pPr>
        <w:tabs>
          <w:tab w:val="clear" w:pos="567"/>
          <w:tab w:val="clear" w:pos="1134"/>
          <w:tab w:val="clear" w:pos="1701"/>
          <w:tab w:val="clear" w:pos="2268"/>
          <w:tab w:val="clear" w:pos="2835"/>
          <w:tab w:val="left" w:pos="6804"/>
        </w:tabs>
        <w:spacing w:before="840"/>
        <w:rPr>
          <w:szCs w:val="24"/>
        </w:rPr>
      </w:pPr>
      <w:bookmarkStart w:id="13" w:name="lt_pId204"/>
      <w:r w:rsidRPr="00556289">
        <w:rPr>
          <w:szCs w:val="24"/>
        </w:rPr>
        <w:t xml:space="preserve">Le Secrétaire </w:t>
      </w:r>
      <w:proofErr w:type="gramStart"/>
      <w:r w:rsidRPr="00556289">
        <w:rPr>
          <w:szCs w:val="24"/>
        </w:rPr>
        <w:t>général:</w:t>
      </w:r>
      <w:bookmarkStart w:id="14" w:name="lt_pId205"/>
      <w:bookmarkEnd w:id="13"/>
      <w:proofErr w:type="gramEnd"/>
      <w:r w:rsidRPr="00556289">
        <w:rPr>
          <w:szCs w:val="24"/>
        </w:rPr>
        <w:tab/>
        <w:t>Le Président:</w:t>
      </w:r>
      <w:bookmarkEnd w:id="14"/>
    </w:p>
    <w:p w14:paraId="0578B390" w14:textId="65D9ED1C" w:rsidR="00C512E1" w:rsidRPr="0058490E" w:rsidRDefault="00C512E1" w:rsidP="00556289">
      <w:pPr>
        <w:tabs>
          <w:tab w:val="clear" w:pos="567"/>
          <w:tab w:val="clear" w:pos="1134"/>
          <w:tab w:val="clear" w:pos="1701"/>
          <w:tab w:val="clear" w:pos="2268"/>
          <w:tab w:val="clear" w:pos="2835"/>
          <w:tab w:val="left" w:pos="6804"/>
        </w:tabs>
        <w:spacing w:before="0"/>
        <w:rPr>
          <w:szCs w:val="24"/>
          <w:lang w:val="en-GB"/>
        </w:rPr>
      </w:pPr>
      <w:bookmarkStart w:id="15" w:name="lt_pId206"/>
      <w:r w:rsidRPr="0058490E">
        <w:rPr>
          <w:szCs w:val="24"/>
          <w:lang w:val="en-GB"/>
        </w:rPr>
        <w:t>H.</w:t>
      </w:r>
      <w:bookmarkEnd w:id="15"/>
      <w:r w:rsidRPr="0058490E">
        <w:rPr>
          <w:szCs w:val="24"/>
          <w:lang w:val="en-GB"/>
        </w:rPr>
        <w:t xml:space="preserve"> </w:t>
      </w:r>
      <w:bookmarkStart w:id="16" w:name="lt_pId207"/>
      <w:r w:rsidRPr="0058490E">
        <w:rPr>
          <w:szCs w:val="24"/>
          <w:lang w:val="en-GB"/>
        </w:rPr>
        <w:t>ZHAO</w:t>
      </w:r>
      <w:bookmarkStart w:id="17" w:name="_Hlk74818766"/>
      <w:bookmarkEnd w:id="16"/>
      <w:r w:rsidRPr="0058490E">
        <w:rPr>
          <w:szCs w:val="24"/>
          <w:lang w:val="en-GB"/>
        </w:rPr>
        <w:tab/>
      </w:r>
      <w:bookmarkStart w:id="18" w:name="lt_pId208"/>
      <w:bookmarkEnd w:id="17"/>
      <w:r w:rsidRPr="0058490E">
        <w:rPr>
          <w:szCs w:val="24"/>
          <w:lang w:val="en-GB"/>
        </w:rPr>
        <w:t>S. BIN GHELAITA</w:t>
      </w:r>
      <w:bookmarkEnd w:id="18"/>
    </w:p>
    <w:p w14:paraId="746A4740" w14:textId="226EDB57" w:rsidR="004C28D9" w:rsidRPr="0058490E" w:rsidRDefault="004C28D9" w:rsidP="004C28D9">
      <w:pPr>
        <w:tabs>
          <w:tab w:val="clear" w:pos="567"/>
          <w:tab w:val="clear" w:pos="1134"/>
          <w:tab w:val="clear" w:pos="1701"/>
          <w:tab w:val="clear" w:pos="2268"/>
          <w:tab w:val="clear" w:pos="2835"/>
          <w:tab w:val="left" w:pos="6804"/>
        </w:tabs>
        <w:spacing w:before="840"/>
        <w:jc w:val="center"/>
        <w:rPr>
          <w:szCs w:val="24"/>
          <w:lang w:val="en-GB"/>
        </w:rPr>
      </w:pPr>
      <w:r w:rsidRPr="00D14D5E">
        <w:rPr>
          <w:rFonts w:eastAsia="MS Mincho" w:cs="Calibri"/>
          <w:sz w:val="22"/>
          <w:szCs w:val="22"/>
          <w:lang w:val="en-US"/>
        </w:rPr>
        <w:t>___________________</w:t>
      </w:r>
    </w:p>
    <w:sectPr w:rsidR="004C28D9" w:rsidRPr="0058490E" w:rsidSect="005C3890">
      <w:headerReference w:type="even" r:id="rId31"/>
      <w:headerReference w:type="default" r:id="rId32"/>
      <w:footerReference w:type="even" r:id="rId33"/>
      <w:footerReference w:type="default" r:id="rId34"/>
      <w:footerReference w:type="first" r:id="rId3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4C5D" w14:textId="77777777" w:rsidR="00425CA5" w:rsidRDefault="00425CA5">
      <w:r>
        <w:separator/>
      </w:r>
    </w:p>
  </w:endnote>
  <w:endnote w:type="continuationSeparator" w:id="0">
    <w:p w14:paraId="7C22354B" w14:textId="77777777" w:rsidR="00425CA5" w:rsidRDefault="0042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788" w14:textId="25BECF19" w:rsidR="00732045" w:rsidRDefault="0058490E">
    <w:pPr>
      <w:pStyle w:val="Footer"/>
    </w:pPr>
    <w:r>
      <w:fldChar w:fldCharType="begin"/>
    </w:r>
    <w:r>
      <w:instrText xml:space="preserve"> FILENAME \p \* MERGEFORMAT </w:instrText>
    </w:r>
    <w:r>
      <w:fldChar w:fldCharType="separate"/>
    </w:r>
    <w:r w:rsidR="006E0BED">
      <w:t>P:\FRA\SG\CONSEIL\C21\000\091F.docx</w:t>
    </w:r>
    <w:r>
      <w:fldChar w:fldCharType="end"/>
    </w:r>
    <w:r w:rsidR="00732045">
      <w:tab/>
    </w:r>
    <w:r w:rsidR="002F1B76">
      <w:fldChar w:fldCharType="begin"/>
    </w:r>
    <w:r w:rsidR="00732045">
      <w:instrText xml:space="preserve"> savedate \@ dd.MM.yy </w:instrText>
    </w:r>
    <w:r w:rsidR="002F1B76">
      <w:fldChar w:fldCharType="separate"/>
    </w:r>
    <w:r>
      <w:t>19.07.21</w:t>
    </w:r>
    <w:r w:rsidR="002F1B76">
      <w:fldChar w:fldCharType="end"/>
    </w:r>
    <w:r w:rsidR="00732045">
      <w:tab/>
    </w:r>
    <w:r w:rsidR="002F1B76">
      <w:fldChar w:fldCharType="begin"/>
    </w:r>
    <w:r w:rsidR="00732045">
      <w:instrText xml:space="preserve"> printdate \@ dd.MM.yy </w:instrText>
    </w:r>
    <w:r w:rsidR="002F1B76">
      <w:fldChar w:fldCharType="separate"/>
    </w:r>
    <w:r w:rsidR="006E0BE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58C" w14:textId="533D5EF8" w:rsidR="00732045" w:rsidRDefault="004C28D9" w:rsidP="00170CE1">
    <w:pPr>
      <w:pStyle w:val="Footer"/>
    </w:pPr>
    <w:r w:rsidRPr="004C28D9">
      <w:rPr>
        <w:color w:val="F2F2F2" w:themeColor="background1" w:themeShade="F2"/>
      </w:rPr>
      <w:fldChar w:fldCharType="begin"/>
    </w:r>
    <w:r w:rsidRPr="004C28D9">
      <w:rPr>
        <w:color w:val="F2F2F2" w:themeColor="background1" w:themeShade="F2"/>
      </w:rPr>
      <w:instrText xml:space="preserve"> FILENAME \p  \* MERGEFORMAT </w:instrText>
    </w:r>
    <w:r w:rsidRPr="004C28D9">
      <w:rPr>
        <w:color w:val="F2F2F2" w:themeColor="background1" w:themeShade="F2"/>
      </w:rPr>
      <w:fldChar w:fldCharType="separate"/>
    </w:r>
    <w:r w:rsidR="00170CE1" w:rsidRPr="004C28D9">
      <w:rPr>
        <w:color w:val="F2F2F2" w:themeColor="background1" w:themeShade="F2"/>
      </w:rPr>
      <w:t>P:\FRA\SG\CONSEIL\C21\000\091V2F.docx</w:t>
    </w:r>
    <w:r w:rsidRPr="004C28D9">
      <w:rPr>
        <w:color w:val="F2F2F2" w:themeColor="background1" w:themeShade="F2"/>
      </w:rPr>
      <w:fldChar w:fldCharType="end"/>
    </w:r>
    <w:r w:rsidR="00CF2E72" w:rsidRPr="004C28D9">
      <w:rPr>
        <w:color w:val="F2F2F2" w:themeColor="background1" w:themeShade="F2"/>
      </w:rPr>
      <w:t xml:space="preserve"> (49</w:t>
    </w:r>
    <w:r w:rsidR="006E23A5" w:rsidRPr="004C28D9">
      <w:rPr>
        <w:color w:val="F2F2F2" w:themeColor="background1" w:themeShade="F2"/>
      </w:rPr>
      <w:t>1252</w:t>
    </w:r>
    <w:r w:rsidR="00CF2E72" w:rsidRPr="004C28D9">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8D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6A92" w14:textId="77777777" w:rsidR="00425CA5" w:rsidRDefault="00425CA5">
      <w:r>
        <w:t>____________________</w:t>
      </w:r>
    </w:p>
  </w:footnote>
  <w:footnote w:type="continuationSeparator" w:id="0">
    <w:p w14:paraId="5FC97175" w14:textId="77777777" w:rsidR="00425CA5" w:rsidRDefault="0042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38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02519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CE09" w14:textId="6B8DC77B" w:rsidR="00732045" w:rsidRDefault="00C27A7C" w:rsidP="00475FB3">
    <w:pPr>
      <w:pStyle w:val="Header"/>
    </w:pPr>
    <w:r>
      <w:fldChar w:fldCharType="begin"/>
    </w:r>
    <w:r>
      <w:instrText>PAGE</w:instrText>
    </w:r>
    <w:r>
      <w:fldChar w:fldCharType="separate"/>
    </w:r>
    <w:r w:rsidR="006E7321">
      <w:rPr>
        <w:noProof/>
      </w:rPr>
      <w:t>11</w:t>
    </w:r>
    <w:r>
      <w:rPr>
        <w:noProof/>
      </w:rPr>
      <w:fldChar w:fldCharType="end"/>
    </w:r>
  </w:p>
  <w:p w14:paraId="1F96E871" w14:textId="4784D9D6" w:rsidR="00732045" w:rsidRDefault="00732045" w:rsidP="00106B19">
    <w:pPr>
      <w:pStyle w:val="Header"/>
    </w:pPr>
    <w:r>
      <w:t>C</w:t>
    </w:r>
    <w:r w:rsidR="009C353C">
      <w:t>2</w:t>
    </w:r>
    <w:r w:rsidR="004D1D50">
      <w:t>1</w:t>
    </w:r>
    <w:r>
      <w:t>/</w:t>
    </w:r>
    <w:r w:rsidR="006E23A5">
      <w:t>91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24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A0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7CB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068E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B01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25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62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7E02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84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DE1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A5"/>
    <w:rsid w:val="00001197"/>
    <w:rsid w:val="0004657F"/>
    <w:rsid w:val="00071E14"/>
    <w:rsid w:val="00077617"/>
    <w:rsid w:val="000B1494"/>
    <w:rsid w:val="000B2DAD"/>
    <w:rsid w:val="000C6287"/>
    <w:rsid w:val="000D0D0A"/>
    <w:rsid w:val="000E3263"/>
    <w:rsid w:val="000F4203"/>
    <w:rsid w:val="000F6FDC"/>
    <w:rsid w:val="00103163"/>
    <w:rsid w:val="00106B19"/>
    <w:rsid w:val="00115D93"/>
    <w:rsid w:val="001247A8"/>
    <w:rsid w:val="00124AC4"/>
    <w:rsid w:val="001378C0"/>
    <w:rsid w:val="00170CE1"/>
    <w:rsid w:val="0018694A"/>
    <w:rsid w:val="001A3287"/>
    <w:rsid w:val="001A6508"/>
    <w:rsid w:val="001D4C31"/>
    <w:rsid w:val="001E0C7D"/>
    <w:rsid w:val="001E22E3"/>
    <w:rsid w:val="001E4D21"/>
    <w:rsid w:val="00207CD1"/>
    <w:rsid w:val="00214698"/>
    <w:rsid w:val="00235C11"/>
    <w:rsid w:val="002477A2"/>
    <w:rsid w:val="00263A51"/>
    <w:rsid w:val="00267E02"/>
    <w:rsid w:val="002A5D44"/>
    <w:rsid w:val="002D6722"/>
    <w:rsid w:val="002E0BC4"/>
    <w:rsid w:val="002F1B76"/>
    <w:rsid w:val="00300FBB"/>
    <w:rsid w:val="0033568E"/>
    <w:rsid w:val="00355FF5"/>
    <w:rsid w:val="00357893"/>
    <w:rsid w:val="00361350"/>
    <w:rsid w:val="00366AC8"/>
    <w:rsid w:val="003A1D3C"/>
    <w:rsid w:val="003B550D"/>
    <w:rsid w:val="003C3FAE"/>
    <w:rsid w:val="003E1940"/>
    <w:rsid w:val="004038CB"/>
    <w:rsid w:val="0040546F"/>
    <w:rsid w:val="0042404A"/>
    <w:rsid w:val="00425CA5"/>
    <w:rsid w:val="0044618F"/>
    <w:rsid w:val="00446FCA"/>
    <w:rsid w:val="0046769A"/>
    <w:rsid w:val="00475FB3"/>
    <w:rsid w:val="00484CAD"/>
    <w:rsid w:val="004A0BAA"/>
    <w:rsid w:val="004B2E7E"/>
    <w:rsid w:val="004B2EE7"/>
    <w:rsid w:val="004B5166"/>
    <w:rsid w:val="004C28D9"/>
    <w:rsid w:val="004C2A99"/>
    <w:rsid w:val="004C37A9"/>
    <w:rsid w:val="004C607A"/>
    <w:rsid w:val="004D1D50"/>
    <w:rsid w:val="004F259E"/>
    <w:rsid w:val="004F2FB2"/>
    <w:rsid w:val="00505708"/>
    <w:rsid w:val="00511F1D"/>
    <w:rsid w:val="00520F36"/>
    <w:rsid w:val="00540615"/>
    <w:rsid w:val="00540A6D"/>
    <w:rsid w:val="00556289"/>
    <w:rsid w:val="00563FB9"/>
    <w:rsid w:val="00571EEA"/>
    <w:rsid w:val="00575417"/>
    <w:rsid w:val="005768E1"/>
    <w:rsid w:val="0058490E"/>
    <w:rsid w:val="005B0D84"/>
    <w:rsid w:val="005B1938"/>
    <w:rsid w:val="005B3DBF"/>
    <w:rsid w:val="005B7D29"/>
    <w:rsid w:val="005C1D6C"/>
    <w:rsid w:val="005C3890"/>
    <w:rsid w:val="005E50D4"/>
    <w:rsid w:val="005F7BFE"/>
    <w:rsid w:val="00600017"/>
    <w:rsid w:val="006060A1"/>
    <w:rsid w:val="006235CA"/>
    <w:rsid w:val="00637E22"/>
    <w:rsid w:val="006405A4"/>
    <w:rsid w:val="0065561B"/>
    <w:rsid w:val="00656244"/>
    <w:rsid w:val="00656913"/>
    <w:rsid w:val="00661C69"/>
    <w:rsid w:val="00662FD2"/>
    <w:rsid w:val="006643AB"/>
    <w:rsid w:val="006C1D1A"/>
    <w:rsid w:val="006E0BED"/>
    <w:rsid w:val="006E18A1"/>
    <w:rsid w:val="006E23A5"/>
    <w:rsid w:val="006E7321"/>
    <w:rsid w:val="0071654C"/>
    <w:rsid w:val="007210CD"/>
    <w:rsid w:val="007247E2"/>
    <w:rsid w:val="00732045"/>
    <w:rsid w:val="007369DB"/>
    <w:rsid w:val="007805F2"/>
    <w:rsid w:val="00790D57"/>
    <w:rsid w:val="00790D88"/>
    <w:rsid w:val="007956C2"/>
    <w:rsid w:val="007A187E"/>
    <w:rsid w:val="007B0B01"/>
    <w:rsid w:val="007C72C2"/>
    <w:rsid w:val="007D4436"/>
    <w:rsid w:val="007F257A"/>
    <w:rsid w:val="007F3665"/>
    <w:rsid w:val="00800037"/>
    <w:rsid w:val="00804177"/>
    <w:rsid w:val="008424C9"/>
    <w:rsid w:val="00861D73"/>
    <w:rsid w:val="008916D7"/>
    <w:rsid w:val="00897553"/>
    <w:rsid w:val="008A003E"/>
    <w:rsid w:val="008A4E87"/>
    <w:rsid w:val="008D76E6"/>
    <w:rsid w:val="008F7803"/>
    <w:rsid w:val="0092392D"/>
    <w:rsid w:val="0093234A"/>
    <w:rsid w:val="009327B6"/>
    <w:rsid w:val="00941992"/>
    <w:rsid w:val="00942F43"/>
    <w:rsid w:val="0097363B"/>
    <w:rsid w:val="00981789"/>
    <w:rsid w:val="009A778F"/>
    <w:rsid w:val="009B7F98"/>
    <w:rsid w:val="009C307F"/>
    <w:rsid w:val="009C353C"/>
    <w:rsid w:val="009D4601"/>
    <w:rsid w:val="009D7EBB"/>
    <w:rsid w:val="009F2CBE"/>
    <w:rsid w:val="00A06DED"/>
    <w:rsid w:val="00A12CC3"/>
    <w:rsid w:val="00A15BDA"/>
    <w:rsid w:val="00A2113E"/>
    <w:rsid w:val="00A23A51"/>
    <w:rsid w:val="00A24607"/>
    <w:rsid w:val="00A25CD3"/>
    <w:rsid w:val="00A53E4A"/>
    <w:rsid w:val="00A709FE"/>
    <w:rsid w:val="00A74D6C"/>
    <w:rsid w:val="00A82767"/>
    <w:rsid w:val="00A90618"/>
    <w:rsid w:val="00AA332F"/>
    <w:rsid w:val="00AA7BBB"/>
    <w:rsid w:val="00AB64A8"/>
    <w:rsid w:val="00AC0266"/>
    <w:rsid w:val="00AD24EC"/>
    <w:rsid w:val="00AE1299"/>
    <w:rsid w:val="00B05042"/>
    <w:rsid w:val="00B309F9"/>
    <w:rsid w:val="00B32B60"/>
    <w:rsid w:val="00B47EB6"/>
    <w:rsid w:val="00B61619"/>
    <w:rsid w:val="00B94189"/>
    <w:rsid w:val="00BB4545"/>
    <w:rsid w:val="00BD5873"/>
    <w:rsid w:val="00BF5468"/>
    <w:rsid w:val="00C04BE3"/>
    <w:rsid w:val="00C25D29"/>
    <w:rsid w:val="00C27A7C"/>
    <w:rsid w:val="00C512E1"/>
    <w:rsid w:val="00C61E44"/>
    <w:rsid w:val="00C70135"/>
    <w:rsid w:val="00C74DC1"/>
    <w:rsid w:val="00CA08ED"/>
    <w:rsid w:val="00CC362E"/>
    <w:rsid w:val="00CE535E"/>
    <w:rsid w:val="00CF183B"/>
    <w:rsid w:val="00CF2E72"/>
    <w:rsid w:val="00D375CD"/>
    <w:rsid w:val="00D531F7"/>
    <w:rsid w:val="00D553A2"/>
    <w:rsid w:val="00D64374"/>
    <w:rsid w:val="00D774D3"/>
    <w:rsid w:val="00D904E8"/>
    <w:rsid w:val="00DA08C3"/>
    <w:rsid w:val="00DA5E2C"/>
    <w:rsid w:val="00DB5A3E"/>
    <w:rsid w:val="00DC22AA"/>
    <w:rsid w:val="00DF2997"/>
    <w:rsid w:val="00DF74DD"/>
    <w:rsid w:val="00E25AD0"/>
    <w:rsid w:val="00E27D50"/>
    <w:rsid w:val="00E42FD0"/>
    <w:rsid w:val="00E91C6F"/>
    <w:rsid w:val="00EB6350"/>
    <w:rsid w:val="00EE4171"/>
    <w:rsid w:val="00F15B57"/>
    <w:rsid w:val="00F427DB"/>
    <w:rsid w:val="00F70A93"/>
    <w:rsid w:val="00F7766B"/>
    <w:rsid w:val="00F94ADC"/>
    <w:rsid w:val="00FA5EB1"/>
    <w:rsid w:val="00FA7439"/>
    <w:rsid w:val="00FB046E"/>
    <w:rsid w:val="00FB36D1"/>
    <w:rsid w:val="00FC4EC0"/>
    <w:rsid w:val="00FC4F1C"/>
    <w:rsid w:val="00FE42AE"/>
    <w:rsid w:val="00FF0181"/>
    <w:rsid w:val="00FF5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A1051F9"/>
  <w15:docId w15:val="{06A451BC-48A0-46F2-A72A-D714835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C512E1"/>
    <w:rPr>
      <w:sz w:val="16"/>
      <w:szCs w:val="16"/>
    </w:rPr>
  </w:style>
  <w:style w:type="paragraph" w:styleId="CommentText">
    <w:name w:val="annotation text"/>
    <w:basedOn w:val="Normal"/>
    <w:link w:val="CommentTextChar"/>
    <w:semiHidden/>
    <w:unhideWhenUsed/>
    <w:rsid w:val="00C512E1"/>
    <w:rPr>
      <w:rFonts w:eastAsia="SimSun"/>
      <w:sz w:val="20"/>
      <w:lang w:val="en-GB"/>
    </w:rPr>
  </w:style>
  <w:style w:type="character" w:customStyle="1" w:styleId="CommentTextChar">
    <w:name w:val="Comment Text Char"/>
    <w:basedOn w:val="DefaultParagraphFont"/>
    <w:link w:val="CommentText"/>
    <w:semiHidden/>
    <w:rsid w:val="00C512E1"/>
    <w:rPr>
      <w:rFonts w:ascii="Calibri" w:eastAsia="SimSun" w:hAnsi="Calibri"/>
      <w:lang w:val="en-GB" w:eastAsia="en-US"/>
    </w:rPr>
  </w:style>
  <w:style w:type="character" w:customStyle="1" w:styleId="UnresolvedMention1">
    <w:name w:val="Unresolved Mention1"/>
    <w:basedOn w:val="DefaultParagraphFont"/>
    <w:uiPriority w:val="99"/>
    <w:semiHidden/>
    <w:unhideWhenUsed/>
    <w:rsid w:val="00C512E1"/>
    <w:rPr>
      <w:color w:val="605E5C"/>
      <w:shd w:val="clear" w:color="auto" w:fill="E1DFDD"/>
    </w:rPr>
  </w:style>
  <w:style w:type="paragraph" w:styleId="Revision">
    <w:name w:val="Revision"/>
    <w:hidden/>
    <w:uiPriority w:val="99"/>
    <w:semiHidden/>
    <w:rsid w:val="00E42FD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9/en" TargetMode="External"/><Relationship Id="rId18" Type="http://schemas.openxmlformats.org/officeDocument/2006/relationships/hyperlink" Target="https://www.itu.int/md/S21-CL-210608-TD-GEN-0006/en" TargetMode="External"/><Relationship Id="rId26" Type="http://schemas.openxmlformats.org/officeDocument/2006/relationships/hyperlink" Target="http://www.itu.int/md/S21-CL-C-0033/en" TargetMode="External"/><Relationship Id="rId21" Type="http://schemas.openxmlformats.org/officeDocument/2006/relationships/hyperlink" Target="https://www.itu.int/md/S21-CL-C-0072/en"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1-CL-C-0010/en" TargetMode="External"/><Relationship Id="rId17" Type="http://schemas.openxmlformats.org/officeDocument/2006/relationships/hyperlink" Target="http://www.itu.int/md/S21-CL-C-0006/en" TargetMode="External"/><Relationship Id="rId25" Type="http://schemas.openxmlformats.org/officeDocument/2006/relationships/hyperlink" Target="https://www.itu.int/md/S21-CL-C-0079/e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md/S21-CL-C-0018/en" TargetMode="External"/><Relationship Id="rId20" Type="http://schemas.openxmlformats.org/officeDocument/2006/relationships/hyperlink" Target="https://www.itu.int/md/S21-CL-C-0068/en" TargetMode="External"/><Relationship Id="rId29" Type="http://schemas.openxmlformats.org/officeDocument/2006/relationships/hyperlink" Target="http://www.itu.int/md/S21-CL-C-000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45/en" TargetMode="External"/><Relationship Id="rId24" Type="http://schemas.openxmlformats.org/officeDocument/2006/relationships/hyperlink" Target="https://www.itu.int/md/S21-CL-C-0010/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1-CL-210608-TD-GEN-0008/en" TargetMode="External"/><Relationship Id="rId23" Type="http://schemas.openxmlformats.org/officeDocument/2006/relationships/hyperlink" Target="https://www.itu.int/md/S21-CL-C-0045/en" TargetMode="External"/><Relationship Id="rId28" Type="http://schemas.openxmlformats.org/officeDocument/2006/relationships/hyperlink" Target="http://www.itu.int/md/S21-CL-C-0018/en" TargetMode="External"/><Relationship Id="rId36" Type="http://schemas.openxmlformats.org/officeDocument/2006/relationships/fontTable" Target="fontTable.xml"/><Relationship Id="rId10" Type="http://schemas.openxmlformats.org/officeDocument/2006/relationships/hyperlink" Target="https://www.itu.int/md/S21-CL-C-0074/en" TargetMode="External"/><Relationship Id="rId19" Type="http://schemas.openxmlformats.org/officeDocument/2006/relationships/hyperlink" Target="https://www.itu.int/md/S21-CL-C-0054/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1-CL-C-0072/en" TargetMode="External"/><Relationship Id="rId14" Type="http://schemas.openxmlformats.org/officeDocument/2006/relationships/hyperlink" Target="http://www.itu.int/md/S21-CL-C-0033/en" TargetMode="External"/><Relationship Id="rId22" Type="http://schemas.openxmlformats.org/officeDocument/2006/relationships/hyperlink" Target="https://www.itu.int/md/S21-CL-C-0074/en" TargetMode="External"/><Relationship Id="rId27" Type="http://schemas.openxmlformats.org/officeDocument/2006/relationships/hyperlink" Target="https://www.itu.int/md/S21-CL-210608-TD-GEN-0008/en" TargetMode="External"/><Relationship Id="rId30" Type="http://schemas.openxmlformats.org/officeDocument/2006/relationships/hyperlink" Target="https://www.itu.int/md/S21-CL-210608-TD-GEN-0006/en" TargetMode="External"/><Relationship Id="rId35" Type="http://schemas.openxmlformats.org/officeDocument/2006/relationships/footer" Target="footer3.xml"/><Relationship Id="rId8" Type="http://schemas.openxmlformats.org/officeDocument/2006/relationships/hyperlink" Target="https://www.itu.int/md/S21-CL-210608-TD-GEN-0001/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7</TotalTime>
  <Pages>11</Pages>
  <Words>5152</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34847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septième séance</dc:title>
  <dc:subject>Council 2021, Virtual consultation of councillors</dc:subject>
  <dc:creator>Collonge, Marion</dc:creator>
  <cp:keywords>C2021, C21, VCC, C21-VCC-1</cp:keywords>
  <dc:description/>
  <cp:lastModifiedBy>Brouard, Ricarda</cp:lastModifiedBy>
  <cp:revision>3</cp:revision>
  <cp:lastPrinted>2000-07-18T08:55:00Z</cp:lastPrinted>
  <dcterms:created xsi:type="dcterms:W3CDTF">2021-07-19T11:30:00Z</dcterms:created>
  <dcterms:modified xsi:type="dcterms:W3CDTF">2021-08-06T10:32:00Z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