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52D57" w14:paraId="78A077B3" w14:textId="77777777">
        <w:trPr>
          <w:cantSplit/>
        </w:trPr>
        <w:tc>
          <w:tcPr>
            <w:tcW w:w="6912" w:type="dxa"/>
          </w:tcPr>
          <w:p w14:paraId="6572F8F7" w14:textId="77777777" w:rsidR="00093EEB" w:rsidRPr="00052D57" w:rsidRDefault="00093EEB" w:rsidP="009C106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52D57">
              <w:rPr>
                <w:b/>
                <w:bCs/>
                <w:sz w:val="30"/>
                <w:szCs w:val="30"/>
              </w:rPr>
              <w:t>Consejo 20</w:t>
            </w:r>
            <w:r w:rsidR="007955DA" w:rsidRPr="00052D57">
              <w:rPr>
                <w:b/>
                <w:bCs/>
                <w:sz w:val="30"/>
                <w:szCs w:val="30"/>
              </w:rPr>
              <w:t>2</w:t>
            </w:r>
            <w:r w:rsidR="000007D1" w:rsidRPr="00052D57">
              <w:rPr>
                <w:b/>
                <w:bCs/>
                <w:sz w:val="30"/>
                <w:szCs w:val="30"/>
              </w:rPr>
              <w:t>1</w:t>
            </w:r>
            <w:r w:rsidRPr="00052D57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052D57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052D57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052D57">
              <w:rPr>
                <w:b/>
                <w:bCs/>
                <w:sz w:val="26"/>
                <w:szCs w:val="26"/>
              </w:rPr>
              <w:t>8</w:t>
            </w:r>
            <w:r w:rsidRPr="00052D57">
              <w:rPr>
                <w:b/>
                <w:bCs/>
                <w:sz w:val="26"/>
                <w:szCs w:val="26"/>
              </w:rPr>
              <w:t>-</w:t>
            </w:r>
            <w:r w:rsidR="007955DA" w:rsidRPr="00052D57">
              <w:rPr>
                <w:b/>
                <w:bCs/>
                <w:sz w:val="26"/>
                <w:szCs w:val="26"/>
              </w:rPr>
              <w:t>1</w:t>
            </w:r>
            <w:r w:rsidR="000007D1" w:rsidRPr="00052D57">
              <w:rPr>
                <w:b/>
                <w:bCs/>
                <w:sz w:val="26"/>
                <w:szCs w:val="26"/>
              </w:rPr>
              <w:t>8</w:t>
            </w:r>
            <w:r w:rsidRPr="00052D57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052D57">
              <w:rPr>
                <w:b/>
                <w:bCs/>
                <w:sz w:val="26"/>
                <w:szCs w:val="26"/>
              </w:rPr>
              <w:t>junio</w:t>
            </w:r>
            <w:r w:rsidRPr="00052D57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52D57">
              <w:rPr>
                <w:b/>
                <w:bCs/>
                <w:sz w:val="26"/>
                <w:szCs w:val="26"/>
              </w:rPr>
              <w:t>2</w:t>
            </w:r>
            <w:r w:rsidR="000007D1" w:rsidRPr="00052D5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06C61857" w14:textId="77777777" w:rsidR="00093EEB" w:rsidRPr="00052D57" w:rsidRDefault="007955DA" w:rsidP="009C106F">
            <w:pPr>
              <w:spacing w:before="0"/>
              <w:rPr>
                <w:szCs w:val="24"/>
              </w:rPr>
            </w:pPr>
            <w:bookmarkStart w:id="3" w:name="ditulogo"/>
            <w:bookmarkEnd w:id="3"/>
            <w:r w:rsidRPr="00052D57">
              <w:rPr>
                <w:noProof/>
                <w:lang w:eastAsia="zh-CN"/>
              </w:rPr>
              <w:drawing>
                <wp:inline distT="0" distB="0" distL="0" distR="0" wp14:anchorId="5437789B" wp14:editId="6F1AAF2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52D57" w14:paraId="598C759C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1D13C6" w14:textId="77777777" w:rsidR="00093EEB" w:rsidRPr="00052D57" w:rsidRDefault="00093EEB" w:rsidP="009C106F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52D57" w14:paraId="32713B7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C88C3F9" w14:textId="77777777" w:rsidR="00093EEB" w:rsidRPr="00052D57" w:rsidRDefault="00093EEB" w:rsidP="009C106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5D333A6" w14:textId="77777777" w:rsidR="00093EEB" w:rsidRPr="00052D57" w:rsidRDefault="00093EEB" w:rsidP="009C106F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52D57" w14:paraId="401F99E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D0283F1" w14:textId="77777777" w:rsidR="00093EEB" w:rsidRPr="00052D57" w:rsidRDefault="00093EEB" w:rsidP="009C106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</w:p>
        </w:tc>
        <w:tc>
          <w:tcPr>
            <w:tcW w:w="3261" w:type="dxa"/>
          </w:tcPr>
          <w:p w14:paraId="248C943C" w14:textId="7C98FEB8" w:rsidR="00093EEB" w:rsidRPr="00052D57" w:rsidRDefault="00093EEB" w:rsidP="009C106F">
            <w:pPr>
              <w:spacing w:before="0"/>
              <w:rPr>
                <w:b/>
                <w:bCs/>
                <w:szCs w:val="24"/>
              </w:rPr>
            </w:pPr>
            <w:r w:rsidRPr="00052D57">
              <w:rPr>
                <w:b/>
                <w:bCs/>
                <w:szCs w:val="24"/>
              </w:rPr>
              <w:t>Documento C</w:t>
            </w:r>
            <w:r w:rsidR="007955DA" w:rsidRPr="00052D57">
              <w:rPr>
                <w:b/>
                <w:bCs/>
                <w:szCs w:val="24"/>
              </w:rPr>
              <w:t>2</w:t>
            </w:r>
            <w:r w:rsidR="000007D1" w:rsidRPr="00052D57">
              <w:rPr>
                <w:b/>
                <w:bCs/>
                <w:szCs w:val="24"/>
              </w:rPr>
              <w:t>1</w:t>
            </w:r>
            <w:r w:rsidRPr="00052D57">
              <w:rPr>
                <w:b/>
                <w:bCs/>
                <w:szCs w:val="24"/>
              </w:rPr>
              <w:t>/</w:t>
            </w:r>
            <w:r w:rsidR="005F5515" w:rsidRPr="00052D57">
              <w:rPr>
                <w:b/>
                <w:bCs/>
                <w:szCs w:val="24"/>
              </w:rPr>
              <w:t>90</w:t>
            </w:r>
            <w:r w:rsidRPr="00052D57">
              <w:rPr>
                <w:b/>
                <w:bCs/>
                <w:szCs w:val="24"/>
              </w:rPr>
              <w:t>-S</w:t>
            </w:r>
          </w:p>
        </w:tc>
      </w:tr>
      <w:tr w:rsidR="00093EEB" w:rsidRPr="00052D57" w14:paraId="67E0691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76070DD" w14:textId="77777777" w:rsidR="00093EEB" w:rsidRPr="00052D57" w:rsidRDefault="00093EEB" w:rsidP="009C106F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69D6935E" w14:textId="011050E4" w:rsidR="00093EEB" w:rsidRPr="00052D57" w:rsidRDefault="005F5515" w:rsidP="009C106F">
            <w:pPr>
              <w:spacing w:before="0"/>
              <w:rPr>
                <w:b/>
                <w:bCs/>
                <w:szCs w:val="24"/>
              </w:rPr>
            </w:pPr>
            <w:r w:rsidRPr="00052D57">
              <w:rPr>
                <w:b/>
                <w:bCs/>
                <w:szCs w:val="24"/>
              </w:rPr>
              <w:t>22 de junio</w:t>
            </w:r>
            <w:r w:rsidR="00093EEB" w:rsidRPr="00052D57">
              <w:rPr>
                <w:b/>
                <w:bCs/>
                <w:szCs w:val="24"/>
              </w:rPr>
              <w:t xml:space="preserve"> de 20</w:t>
            </w:r>
            <w:r w:rsidR="007955DA" w:rsidRPr="00052D57">
              <w:rPr>
                <w:b/>
                <w:bCs/>
                <w:szCs w:val="24"/>
              </w:rPr>
              <w:t>2</w:t>
            </w:r>
            <w:r w:rsidR="000007D1" w:rsidRPr="00052D57">
              <w:rPr>
                <w:b/>
                <w:bCs/>
                <w:szCs w:val="24"/>
              </w:rPr>
              <w:t>1</w:t>
            </w:r>
          </w:p>
        </w:tc>
      </w:tr>
      <w:tr w:rsidR="00093EEB" w:rsidRPr="00052D57" w14:paraId="4E2F679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72D9A49" w14:textId="77777777" w:rsidR="00093EEB" w:rsidRPr="00052D57" w:rsidRDefault="00093EEB" w:rsidP="009C106F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1B84BC10" w14:textId="77777777" w:rsidR="00093EEB" w:rsidRPr="00052D57" w:rsidRDefault="00093EEB" w:rsidP="009C106F">
            <w:pPr>
              <w:spacing w:before="0"/>
              <w:rPr>
                <w:b/>
                <w:bCs/>
                <w:szCs w:val="24"/>
              </w:rPr>
            </w:pPr>
            <w:r w:rsidRPr="00052D57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52D57" w14:paraId="158F8897" w14:textId="77777777">
        <w:trPr>
          <w:cantSplit/>
        </w:trPr>
        <w:tc>
          <w:tcPr>
            <w:tcW w:w="10173" w:type="dxa"/>
            <w:gridSpan w:val="2"/>
          </w:tcPr>
          <w:p w14:paraId="4D2C80A1" w14:textId="77777777" w:rsidR="00310E71" w:rsidRPr="00052D57" w:rsidRDefault="00310E71" w:rsidP="005B1F09">
            <w:pPr>
              <w:pStyle w:val="Title1"/>
              <w:spacing w:before="840"/>
            </w:pPr>
            <w:bookmarkStart w:id="8" w:name="dsource" w:colFirst="0" w:colLast="0"/>
            <w:bookmarkEnd w:id="1"/>
            <w:bookmarkEnd w:id="7"/>
            <w:r w:rsidRPr="00052D57">
              <w:t>RESUMEN DE LOS DEBATES</w:t>
            </w:r>
          </w:p>
          <w:p w14:paraId="3F4F7CE0" w14:textId="77777777" w:rsidR="00310E71" w:rsidRPr="00052D57" w:rsidRDefault="00310E71" w:rsidP="00310E71">
            <w:pPr>
              <w:pStyle w:val="Title1"/>
            </w:pPr>
            <w:r w:rsidRPr="00052D57">
              <w:t>DE LA</w:t>
            </w:r>
          </w:p>
          <w:p w14:paraId="0BA6B58D" w14:textId="4691AD1C" w:rsidR="00093EEB" w:rsidRPr="00052D57" w:rsidRDefault="00310E71" w:rsidP="00310E71">
            <w:pPr>
              <w:pStyle w:val="Title1"/>
            </w:pPr>
            <w:r w:rsidRPr="00052D57">
              <w:t>SEXTA REUNIÓN</w:t>
            </w:r>
          </w:p>
        </w:tc>
      </w:tr>
      <w:tr w:rsidR="00093EEB" w:rsidRPr="00052D57" w14:paraId="1280DA8E" w14:textId="77777777">
        <w:trPr>
          <w:cantSplit/>
        </w:trPr>
        <w:tc>
          <w:tcPr>
            <w:tcW w:w="10173" w:type="dxa"/>
            <w:gridSpan w:val="2"/>
          </w:tcPr>
          <w:p w14:paraId="3E77BC55" w14:textId="6DB12BA9" w:rsidR="00093EEB" w:rsidRPr="00052D57" w:rsidRDefault="00310E71" w:rsidP="00310E71">
            <w:pPr>
              <w:jc w:val="center"/>
            </w:pPr>
            <w:bookmarkStart w:id="9" w:name="dtitle1" w:colFirst="0" w:colLast="0"/>
            <w:bookmarkEnd w:id="8"/>
            <w:r w:rsidRPr="00052D57">
              <w:t>Martes, 15 de junio de 2021, de las 12.00 a las 15.00 horas</w:t>
            </w:r>
          </w:p>
        </w:tc>
      </w:tr>
      <w:tr w:rsidR="00310E71" w:rsidRPr="00052D57" w14:paraId="6E72C796" w14:textId="77777777">
        <w:trPr>
          <w:cantSplit/>
        </w:trPr>
        <w:tc>
          <w:tcPr>
            <w:tcW w:w="10173" w:type="dxa"/>
            <w:gridSpan w:val="2"/>
          </w:tcPr>
          <w:p w14:paraId="004B93D3" w14:textId="4DEF3AD7" w:rsidR="00310E71" w:rsidRPr="00052D57" w:rsidRDefault="00310E71" w:rsidP="00310E71">
            <w:pPr>
              <w:jc w:val="center"/>
            </w:pPr>
            <w:r w:rsidRPr="00052D57">
              <w:rPr>
                <w:b/>
                <w:bCs/>
              </w:rPr>
              <w:t>Presidente:</w:t>
            </w:r>
            <w:r w:rsidRPr="00052D57">
              <w:t xml:space="preserve"> Sr. S. BIN GHELAITA (Emiratos Árabes Unidos)</w:t>
            </w:r>
          </w:p>
        </w:tc>
      </w:tr>
      <w:bookmarkEnd w:id="9"/>
    </w:tbl>
    <w:p w14:paraId="168D6ABC" w14:textId="001F5AE9" w:rsidR="005B3A82" w:rsidRPr="00052D57" w:rsidRDefault="005B3A82" w:rsidP="00310E71"/>
    <w:tbl>
      <w:tblPr>
        <w:tblW w:w="5071" w:type="pct"/>
        <w:tblLook w:val="0000" w:firstRow="0" w:lastRow="0" w:firstColumn="0" w:lastColumn="0" w:noHBand="0" w:noVBand="0"/>
      </w:tblPr>
      <w:tblGrid>
        <w:gridCol w:w="479"/>
        <w:gridCol w:w="7236"/>
        <w:gridCol w:w="2061"/>
      </w:tblGrid>
      <w:tr w:rsidR="005B3A82" w:rsidRPr="00052D57" w14:paraId="031A6994" w14:textId="77777777" w:rsidTr="00DC42CC">
        <w:tc>
          <w:tcPr>
            <w:tcW w:w="245" w:type="pct"/>
          </w:tcPr>
          <w:p w14:paraId="61010CC2" w14:textId="77777777" w:rsidR="005B3A82" w:rsidRPr="00310E71" w:rsidRDefault="005B3A82" w:rsidP="004F4739">
            <w:pPr>
              <w:pStyle w:val="Tablehead"/>
            </w:pPr>
            <w:r w:rsidRPr="00310E71">
              <w:br w:type="page"/>
            </w:r>
            <w:r w:rsidRPr="00310E71">
              <w:br w:type="page"/>
            </w:r>
          </w:p>
        </w:tc>
        <w:tc>
          <w:tcPr>
            <w:tcW w:w="3701" w:type="pct"/>
          </w:tcPr>
          <w:p w14:paraId="005355F5" w14:textId="77777777" w:rsidR="005B3A82" w:rsidRPr="00310E71" w:rsidRDefault="005B3A82" w:rsidP="004F4739">
            <w:pPr>
              <w:pStyle w:val="Tablehead"/>
              <w:jc w:val="left"/>
            </w:pPr>
            <w:r w:rsidRPr="00310E71">
              <w:t>Asuntos tratados</w:t>
            </w:r>
          </w:p>
        </w:tc>
        <w:tc>
          <w:tcPr>
            <w:tcW w:w="1054" w:type="pct"/>
          </w:tcPr>
          <w:p w14:paraId="18154590" w14:textId="77777777" w:rsidR="005B3A82" w:rsidRPr="00310E71" w:rsidRDefault="005B3A82" w:rsidP="004F4739">
            <w:pPr>
              <w:pStyle w:val="Tablehead"/>
            </w:pPr>
            <w:r w:rsidRPr="00310E71">
              <w:t>Documentos</w:t>
            </w:r>
          </w:p>
        </w:tc>
      </w:tr>
      <w:tr w:rsidR="005B3A82" w:rsidRPr="00052D57" w14:paraId="59675783" w14:textId="77777777" w:rsidTr="00DC42CC">
        <w:tc>
          <w:tcPr>
            <w:tcW w:w="245" w:type="pct"/>
          </w:tcPr>
          <w:p w14:paraId="27510074" w14:textId="77777777" w:rsidR="005B3A82" w:rsidRPr="00052D57" w:rsidRDefault="005B3A82" w:rsidP="004F4739">
            <w:pPr>
              <w:pStyle w:val="Tabletext"/>
            </w:pPr>
            <w:r w:rsidRPr="00052D57">
              <w:t>1</w:t>
            </w:r>
          </w:p>
        </w:tc>
        <w:tc>
          <w:tcPr>
            <w:tcW w:w="3701" w:type="pct"/>
          </w:tcPr>
          <w:p w14:paraId="698B3C30" w14:textId="6D6A0AC5" w:rsidR="005B3A82" w:rsidRPr="00052D57" w:rsidRDefault="005B3A82" w:rsidP="004F4739">
            <w:pPr>
              <w:pStyle w:val="Tabletext"/>
            </w:pPr>
            <w:r w:rsidRPr="00052D57">
              <w:t xml:space="preserve">Resultados de las deliberaciones mantenidas el </w:t>
            </w:r>
            <w:r w:rsidR="009C106F" w:rsidRPr="00052D57">
              <w:t>14 de junio de 2021</w:t>
            </w:r>
          </w:p>
        </w:tc>
        <w:bookmarkStart w:id="10" w:name="lt_pId018"/>
        <w:tc>
          <w:tcPr>
            <w:tcW w:w="1054" w:type="pct"/>
          </w:tcPr>
          <w:p w14:paraId="1D90DC7D" w14:textId="5BEAE95F" w:rsidR="005B3A82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"https://www.itu.int/md/S21-CL-210608-TD-GEN-0001/es" </w:instrText>
            </w:r>
            <w:r>
              <w:fldChar w:fldCharType="separate"/>
            </w:r>
            <w:r w:rsidR="005B3A82" w:rsidRPr="00700E81">
              <w:rPr>
                <w:rStyle w:val="Hyperlink"/>
              </w:rPr>
              <w:t>C21/DT/1(Rev.4)</w:t>
            </w:r>
            <w:bookmarkEnd w:id="10"/>
            <w:r>
              <w:fldChar w:fldCharType="end"/>
            </w:r>
          </w:p>
        </w:tc>
      </w:tr>
      <w:tr w:rsidR="00691B6F" w:rsidRPr="00052D57" w14:paraId="1EE0FB6B" w14:textId="77777777" w:rsidTr="00DC42CC">
        <w:tc>
          <w:tcPr>
            <w:tcW w:w="245" w:type="pct"/>
          </w:tcPr>
          <w:p w14:paraId="6C952DF4" w14:textId="77777777" w:rsidR="00691B6F" w:rsidRPr="00052D57" w:rsidRDefault="00691B6F" w:rsidP="004F4739">
            <w:pPr>
              <w:pStyle w:val="Tabletext"/>
            </w:pPr>
            <w:r w:rsidRPr="00052D57">
              <w:t>2</w:t>
            </w:r>
          </w:p>
        </w:tc>
        <w:tc>
          <w:tcPr>
            <w:tcW w:w="3701" w:type="pct"/>
          </w:tcPr>
          <w:p w14:paraId="3210E307" w14:textId="1039B74D" w:rsidR="00691B6F" w:rsidRPr="00052D57" w:rsidRDefault="00691B6F" w:rsidP="004F4739">
            <w:pPr>
              <w:pStyle w:val="Tabletext"/>
            </w:pPr>
            <w:r w:rsidRPr="00052D57">
              <w:t>Fondo para el Desarrollo de las Tecnologías de la Información y la Comunicación</w:t>
            </w:r>
          </w:p>
        </w:tc>
        <w:bookmarkStart w:id="11" w:name="lt_pId021"/>
        <w:tc>
          <w:tcPr>
            <w:tcW w:w="1054" w:type="pct"/>
          </w:tcPr>
          <w:p w14:paraId="4CE240E9" w14:textId="516451CE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"https://www.itu.int/md/S21-CL-C-0034/es"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C21/34</w:t>
            </w:r>
            <w:bookmarkEnd w:id="11"/>
            <w:r>
              <w:fldChar w:fldCharType="end"/>
            </w:r>
          </w:p>
        </w:tc>
      </w:tr>
      <w:tr w:rsidR="00691B6F" w:rsidRPr="00052D57" w14:paraId="2A511049" w14:textId="77777777" w:rsidTr="00DC42CC">
        <w:tc>
          <w:tcPr>
            <w:tcW w:w="245" w:type="pct"/>
          </w:tcPr>
          <w:p w14:paraId="381A0A5E" w14:textId="77777777" w:rsidR="00691B6F" w:rsidRPr="00052D57" w:rsidRDefault="00691B6F" w:rsidP="004F4739">
            <w:pPr>
              <w:pStyle w:val="Tabletext"/>
            </w:pPr>
            <w:r w:rsidRPr="00052D57">
              <w:t>3</w:t>
            </w:r>
          </w:p>
        </w:tc>
        <w:tc>
          <w:tcPr>
            <w:tcW w:w="3701" w:type="pct"/>
          </w:tcPr>
          <w:p w14:paraId="5A0C9176" w14:textId="7393D52E" w:rsidR="00691B6F" w:rsidRPr="00D20DE3" w:rsidRDefault="00691B6F" w:rsidP="004F4739">
            <w:pPr>
              <w:pStyle w:val="Tabletext"/>
            </w:pPr>
            <w:r w:rsidRPr="00052D57">
              <w:t>Fortalecimiento de la presencia regional</w:t>
            </w:r>
          </w:p>
        </w:tc>
        <w:bookmarkStart w:id="12" w:name="lt_pId024"/>
        <w:tc>
          <w:tcPr>
            <w:tcW w:w="1054" w:type="pct"/>
          </w:tcPr>
          <w:p w14:paraId="2F35497D" w14:textId="7B838D8C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"https://www.itu.int/md/S21-CL-C-0025/es"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C21/25</w:t>
            </w:r>
            <w:bookmarkEnd w:id="12"/>
            <w:r>
              <w:fldChar w:fldCharType="end"/>
            </w:r>
          </w:p>
        </w:tc>
      </w:tr>
      <w:tr w:rsidR="00691B6F" w:rsidRPr="00052D57" w14:paraId="448AAFE0" w14:textId="77777777" w:rsidTr="00DC42CC">
        <w:tc>
          <w:tcPr>
            <w:tcW w:w="245" w:type="pct"/>
          </w:tcPr>
          <w:p w14:paraId="02EA8C20" w14:textId="77777777" w:rsidR="00691B6F" w:rsidRPr="00052D57" w:rsidRDefault="00691B6F" w:rsidP="004F4739">
            <w:pPr>
              <w:pStyle w:val="Tabletext"/>
            </w:pPr>
            <w:r w:rsidRPr="00052D57">
              <w:t>4</w:t>
            </w:r>
          </w:p>
        </w:tc>
        <w:tc>
          <w:tcPr>
            <w:tcW w:w="3701" w:type="pct"/>
          </w:tcPr>
          <w:p w14:paraId="7B0E65AA" w14:textId="31E085F5" w:rsidR="00691B6F" w:rsidRPr="00052D57" w:rsidRDefault="009C106F" w:rsidP="004F4739">
            <w:pPr>
              <w:pStyle w:val="Tabletext"/>
            </w:pPr>
            <w:bookmarkStart w:id="13" w:name="_Hlk75355356"/>
            <w:r w:rsidRPr="00052D57">
              <w:t>C</w:t>
            </w:r>
            <w:r w:rsidR="00691B6F" w:rsidRPr="00052D57">
              <w:t>ómo utiliza actualmente la UIT la Agenda sobre Ciberseguridad Global</w:t>
            </w:r>
            <w:bookmarkEnd w:id="13"/>
          </w:p>
        </w:tc>
        <w:bookmarkStart w:id="14" w:name="lt_pId027"/>
        <w:tc>
          <w:tcPr>
            <w:tcW w:w="1054" w:type="pct"/>
          </w:tcPr>
          <w:p w14:paraId="725F13E2" w14:textId="109D71A4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"https://www.itu.int/md/S21-CL-C-0036/es"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C21/36</w:t>
            </w:r>
            <w:bookmarkEnd w:id="14"/>
            <w:r>
              <w:fldChar w:fldCharType="end"/>
            </w:r>
          </w:p>
        </w:tc>
      </w:tr>
      <w:tr w:rsidR="00691B6F" w:rsidRPr="00052D57" w14:paraId="275D7A0D" w14:textId="77777777" w:rsidTr="00DC42CC">
        <w:tc>
          <w:tcPr>
            <w:tcW w:w="245" w:type="pct"/>
          </w:tcPr>
          <w:p w14:paraId="1789F813" w14:textId="77777777" w:rsidR="00691B6F" w:rsidRPr="00052D57" w:rsidRDefault="00691B6F" w:rsidP="004F4739">
            <w:pPr>
              <w:pStyle w:val="Tabletext"/>
            </w:pPr>
            <w:r w:rsidRPr="00052D57">
              <w:t>5</w:t>
            </w:r>
          </w:p>
        </w:tc>
        <w:tc>
          <w:tcPr>
            <w:tcW w:w="3701" w:type="pct"/>
          </w:tcPr>
          <w:p w14:paraId="22FEA042" w14:textId="0CD8FC1A" w:rsidR="00691B6F" w:rsidRPr="00052D57" w:rsidRDefault="00691B6F" w:rsidP="004F4739">
            <w:pPr>
              <w:pStyle w:val="Tabletext"/>
            </w:pPr>
            <w:r w:rsidRPr="00052D57">
              <w:t>Directrices para la utilización de la Agenda sobre Ciberseguridad Global</w:t>
            </w:r>
            <w:r w:rsidR="009C106F" w:rsidRPr="00052D57">
              <w:t xml:space="preserve"> por la</w:t>
            </w:r>
            <w:r w:rsidR="00CF2F8E">
              <w:t> </w:t>
            </w:r>
            <w:r w:rsidR="009C106F" w:rsidRPr="00052D57">
              <w:t>UIT</w:t>
            </w:r>
          </w:p>
        </w:tc>
        <w:bookmarkStart w:id="15" w:name="lt_pId030"/>
        <w:tc>
          <w:tcPr>
            <w:tcW w:w="1054" w:type="pct"/>
          </w:tcPr>
          <w:p w14:paraId="1D56D607" w14:textId="1DE9D2A0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"https://www.itu.int/md/S21-CL-C-0071/es"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C21/71</w:t>
            </w:r>
            <w:r>
              <w:fldChar w:fldCharType="end"/>
            </w:r>
            <w:r w:rsidR="00691B6F" w:rsidRPr="00700E81">
              <w:t xml:space="preserve">, </w:t>
            </w:r>
            <w:hyperlink r:id="rId9" w:history="1">
              <w:r w:rsidR="00691B6F" w:rsidRPr="00700E81">
                <w:rPr>
                  <w:rStyle w:val="Hyperlink"/>
                </w:rPr>
                <w:t>C21/82</w:t>
              </w:r>
              <w:bookmarkEnd w:id="15"/>
            </w:hyperlink>
          </w:p>
        </w:tc>
      </w:tr>
      <w:tr w:rsidR="00691B6F" w:rsidRPr="00052D57" w14:paraId="3D2F9D39" w14:textId="77777777" w:rsidTr="00DC42CC">
        <w:tc>
          <w:tcPr>
            <w:tcW w:w="245" w:type="pct"/>
          </w:tcPr>
          <w:p w14:paraId="481FFE58" w14:textId="77777777" w:rsidR="00691B6F" w:rsidRPr="00052D57" w:rsidRDefault="00691B6F" w:rsidP="004F4739">
            <w:pPr>
              <w:pStyle w:val="Tabletext"/>
            </w:pPr>
            <w:r w:rsidRPr="00052D57">
              <w:t>6</w:t>
            </w:r>
          </w:p>
        </w:tc>
        <w:tc>
          <w:tcPr>
            <w:tcW w:w="3701" w:type="pct"/>
          </w:tcPr>
          <w:p w14:paraId="0E6D4399" w14:textId="4AA42992" w:rsidR="00691B6F" w:rsidRPr="00052D57" w:rsidRDefault="00691B6F" w:rsidP="004F4739">
            <w:pPr>
              <w:pStyle w:val="Tabletext"/>
            </w:pPr>
            <w:r w:rsidRPr="00052D57">
              <w:t xml:space="preserve">Informe de la </w:t>
            </w:r>
            <w:r w:rsidR="00B602B8" w:rsidRPr="00052D57">
              <w:t xml:space="preserve">Oficina </w:t>
            </w:r>
            <w:r w:rsidRPr="00052D57">
              <w:t xml:space="preserve">de </w:t>
            </w:r>
            <w:r w:rsidR="00B602B8" w:rsidRPr="00052D57">
              <w:t>Ética</w:t>
            </w:r>
          </w:p>
        </w:tc>
        <w:bookmarkStart w:id="16" w:name="lt_pId033"/>
        <w:tc>
          <w:tcPr>
            <w:tcW w:w="1054" w:type="pct"/>
          </w:tcPr>
          <w:p w14:paraId="10C6FEF4" w14:textId="7127226D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"https://www.itu.int/md/S21-CL-C-0059/es"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C21/59</w:t>
            </w:r>
            <w:bookmarkEnd w:id="16"/>
            <w:r>
              <w:fldChar w:fldCharType="end"/>
            </w:r>
          </w:p>
        </w:tc>
      </w:tr>
      <w:tr w:rsidR="00691B6F" w:rsidRPr="00052D57" w14:paraId="3CD2B0B2" w14:textId="77777777" w:rsidTr="00DC42CC">
        <w:tc>
          <w:tcPr>
            <w:tcW w:w="245" w:type="pct"/>
          </w:tcPr>
          <w:p w14:paraId="5B5EFA90" w14:textId="61166EDD" w:rsidR="00691B6F" w:rsidRPr="00052D57" w:rsidRDefault="00691B6F" w:rsidP="004F4739">
            <w:pPr>
              <w:pStyle w:val="Tabletext"/>
            </w:pPr>
            <w:r w:rsidRPr="00052D57">
              <w:t>7</w:t>
            </w:r>
          </w:p>
        </w:tc>
        <w:tc>
          <w:tcPr>
            <w:tcW w:w="3701" w:type="pct"/>
          </w:tcPr>
          <w:p w14:paraId="65BF3A88" w14:textId="0CE56458" w:rsidR="00691B6F" w:rsidRPr="00052D57" w:rsidRDefault="00691B6F" w:rsidP="004F4739">
            <w:pPr>
              <w:pStyle w:val="Tabletext"/>
            </w:pPr>
            <w:bookmarkStart w:id="17" w:name="_Hlk75355810"/>
            <w:r w:rsidRPr="00052D57">
              <w:t>Pasivo del seguro médico después del servicio (ASHI)</w:t>
            </w:r>
            <w:bookmarkEnd w:id="17"/>
          </w:p>
        </w:tc>
        <w:bookmarkStart w:id="18" w:name="lt_pId036"/>
        <w:tc>
          <w:tcPr>
            <w:tcW w:w="1054" w:type="pct"/>
          </w:tcPr>
          <w:p w14:paraId="74355389" w14:textId="243F4201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"https://www.itu.int/md/S21-CL-C-0046/es"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C21/46</w:t>
            </w:r>
            <w:bookmarkEnd w:id="18"/>
            <w:r>
              <w:fldChar w:fldCharType="end"/>
            </w:r>
          </w:p>
        </w:tc>
      </w:tr>
      <w:tr w:rsidR="00691B6F" w:rsidRPr="00052D57" w14:paraId="7DD76762" w14:textId="77777777" w:rsidTr="00DC42CC">
        <w:tc>
          <w:tcPr>
            <w:tcW w:w="245" w:type="pct"/>
          </w:tcPr>
          <w:p w14:paraId="5F6D10B1" w14:textId="34A806B4" w:rsidR="00691B6F" w:rsidRPr="00052D57" w:rsidRDefault="00691B6F" w:rsidP="004F4739">
            <w:pPr>
              <w:pStyle w:val="Tabletext"/>
            </w:pPr>
            <w:r w:rsidRPr="00052D57">
              <w:t>8</w:t>
            </w:r>
          </w:p>
        </w:tc>
        <w:tc>
          <w:tcPr>
            <w:tcW w:w="3701" w:type="pct"/>
          </w:tcPr>
          <w:p w14:paraId="762632C2" w14:textId="5A4E54E3" w:rsidR="00691B6F" w:rsidRPr="00052D57" w:rsidRDefault="00691B6F" w:rsidP="004F4739">
            <w:pPr>
              <w:pStyle w:val="Tabletext"/>
            </w:pPr>
            <w:r w:rsidRPr="00052D57">
              <w:t>Índice de desarrollo de las TIC</w:t>
            </w:r>
          </w:p>
        </w:tc>
        <w:bookmarkStart w:id="19" w:name="lt_pId039"/>
        <w:tc>
          <w:tcPr>
            <w:tcW w:w="1054" w:type="pct"/>
          </w:tcPr>
          <w:p w14:paraId="3276423A" w14:textId="04B2E4E2" w:rsidR="00691B6F" w:rsidRPr="00052D57" w:rsidRDefault="00691B6F" w:rsidP="004F4739">
            <w:pPr>
              <w:pStyle w:val="Tabletext"/>
              <w:jc w:val="center"/>
            </w:pPr>
            <w:r w:rsidRPr="00052D57">
              <w:rPr>
                <w:rFonts w:eastAsia="MS Mincho" w:cs="Calibri"/>
                <w:szCs w:val="22"/>
              </w:rPr>
              <w:fldChar w:fldCharType="begin"/>
            </w:r>
            <w:r w:rsidRPr="00052D57">
              <w:rPr>
                <w:rFonts w:eastAsia="MS Mincho" w:cs="Calibri"/>
                <w:szCs w:val="22"/>
              </w:rPr>
              <w:instrText xml:space="preserve"> HYPERLINK "https://www.itu.int/md/S21-CL-C-0062/es" </w:instrText>
            </w:r>
            <w:r w:rsidRPr="00052D57">
              <w:rPr>
                <w:rFonts w:eastAsia="MS Mincho" w:cs="Calibri"/>
                <w:szCs w:val="22"/>
              </w:rPr>
              <w:fldChar w:fldCharType="separate"/>
            </w:r>
            <w:r w:rsidRPr="00052D57">
              <w:rPr>
                <w:rStyle w:val="Hyperlink"/>
                <w:rFonts w:eastAsia="MS Mincho" w:cs="Calibri"/>
                <w:szCs w:val="22"/>
              </w:rPr>
              <w:t>C21/62</w:t>
            </w:r>
            <w:r w:rsidRPr="00052D57">
              <w:rPr>
                <w:rFonts w:eastAsia="MS Mincho" w:cs="Calibri"/>
                <w:szCs w:val="22"/>
              </w:rPr>
              <w:fldChar w:fldCharType="end"/>
            </w:r>
            <w:r w:rsidRPr="00052D57">
              <w:rPr>
                <w:rFonts w:eastAsia="MS Mincho" w:cs="Calibri"/>
                <w:szCs w:val="22"/>
              </w:rPr>
              <w:t xml:space="preserve">, </w:t>
            </w:r>
            <w:hyperlink r:id="rId10" w:history="1">
              <w:r w:rsidRPr="00052D57">
                <w:rPr>
                  <w:rStyle w:val="Hyperlink"/>
                  <w:rFonts w:eastAsia="MS Mincho" w:cs="Calibri"/>
                  <w:szCs w:val="22"/>
                </w:rPr>
                <w:t>C21/80</w:t>
              </w:r>
              <w:bookmarkEnd w:id="19"/>
            </w:hyperlink>
          </w:p>
        </w:tc>
      </w:tr>
      <w:tr w:rsidR="00691B6F" w:rsidRPr="00052D57" w14:paraId="6E01D7D0" w14:textId="77777777" w:rsidTr="00DC42CC">
        <w:tc>
          <w:tcPr>
            <w:tcW w:w="245" w:type="pct"/>
          </w:tcPr>
          <w:p w14:paraId="49D61889" w14:textId="2D15E8E1" w:rsidR="00691B6F" w:rsidRPr="00052D57" w:rsidRDefault="00691B6F" w:rsidP="004F4739">
            <w:pPr>
              <w:pStyle w:val="Tabletext"/>
            </w:pPr>
            <w:r w:rsidRPr="00052D57">
              <w:t>9</w:t>
            </w:r>
          </w:p>
        </w:tc>
        <w:tc>
          <w:tcPr>
            <w:tcW w:w="3701" w:type="pct"/>
          </w:tcPr>
          <w:p w14:paraId="35782393" w14:textId="6FCB3DA9" w:rsidR="00691B6F" w:rsidRPr="00052D57" w:rsidRDefault="00691B6F" w:rsidP="004F4739">
            <w:pPr>
              <w:pStyle w:val="Tabletext"/>
            </w:pPr>
            <w:r w:rsidRPr="00052D57">
              <w:t>Resultados de la CMR-19 con implicaciones financiera</w:t>
            </w:r>
            <w:r w:rsidR="00985454">
              <w:t>s</w:t>
            </w:r>
          </w:p>
        </w:tc>
        <w:bookmarkStart w:id="20" w:name="lt_pId042"/>
        <w:tc>
          <w:tcPr>
            <w:tcW w:w="1054" w:type="pct"/>
          </w:tcPr>
          <w:p w14:paraId="5CF99624" w14:textId="3A087FE5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"https://www.itu.int/md/S21-CL-C-0067/es"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C21/67</w:t>
            </w:r>
            <w:bookmarkEnd w:id="20"/>
            <w:r>
              <w:fldChar w:fldCharType="end"/>
            </w:r>
          </w:p>
        </w:tc>
      </w:tr>
      <w:tr w:rsidR="00691B6F" w:rsidRPr="00052D57" w14:paraId="0D48B3BA" w14:textId="77777777" w:rsidTr="00DC42CC">
        <w:tc>
          <w:tcPr>
            <w:tcW w:w="245" w:type="pct"/>
          </w:tcPr>
          <w:p w14:paraId="777686E9" w14:textId="0DA4A4BC" w:rsidR="00691B6F" w:rsidRPr="00052D57" w:rsidRDefault="00691B6F" w:rsidP="004F4739">
            <w:pPr>
              <w:pStyle w:val="Tabletext"/>
            </w:pPr>
            <w:r w:rsidRPr="00052D57">
              <w:t>10</w:t>
            </w:r>
          </w:p>
        </w:tc>
        <w:tc>
          <w:tcPr>
            <w:tcW w:w="3701" w:type="pct"/>
          </w:tcPr>
          <w:p w14:paraId="1922922E" w14:textId="63FBCAC8" w:rsidR="00691B6F" w:rsidRPr="00052D57" w:rsidRDefault="00691B6F" w:rsidP="004F4739">
            <w:pPr>
              <w:pStyle w:val="Tabletext"/>
            </w:pPr>
            <w:r w:rsidRPr="00052D57">
              <w:t xml:space="preserve">Solicitudes de exoneración del pago de contribuciones financieras para sufragar los gastos </w:t>
            </w:r>
            <w:r w:rsidR="009C106F" w:rsidRPr="00052D57">
              <w:t>de la Unión</w:t>
            </w:r>
          </w:p>
        </w:tc>
        <w:bookmarkStart w:id="21" w:name="lt_pId045"/>
        <w:tc>
          <w:tcPr>
            <w:tcW w:w="1054" w:type="pct"/>
          </w:tcPr>
          <w:p w14:paraId="5E4EBA2A" w14:textId="0CEAC844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"https://www.itu.int/md/S21-CL-C-0039/es"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C21/39+Add.1</w:t>
            </w:r>
            <w:bookmarkEnd w:id="21"/>
            <w:r>
              <w:fldChar w:fldCharType="end"/>
            </w:r>
          </w:p>
        </w:tc>
      </w:tr>
      <w:tr w:rsidR="00691B6F" w:rsidRPr="00052D57" w14:paraId="3D2683EB" w14:textId="77777777" w:rsidTr="00DC42CC">
        <w:tc>
          <w:tcPr>
            <w:tcW w:w="245" w:type="pct"/>
          </w:tcPr>
          <w:p w14:paraId="57B6FD81" w14:textId="2C78A1F2" w:rsidR="00691B6F" w:rsidRPr="00052D57" w:rsidRDefault="00691B6F" w:rsidP="004F4739">
            <w:pPr>
              <w:pStyle w:val="Tabletext"/>
            </w:pPr>
            <w:r w:rsidRPr="00052D57">
              <w:t>11</w:t>
            </w:r>
          </w:p>
        </w:tc>
        <w:tc>
          <w:tcPr>
            <w:tcW w:w="3701" w:type="pct"/>
          </w:tcPr>
          <w:p w14:paraId="2228105D" w14:textId="6FF2BAB4" w:rsidR="00691B6F" w:rsidRPr="00052D57" w:rsidRDefault="00691B6F" w:rsidP="004F4739">
            <w:pPr>
              <w:pStyle w:val="Tabletext"/>
            </w:pPr>
            <w:r w:rsidRPr="00052D57">
              <w:t>Estrategia de coordinación de los trabajos de los tres Sectores de la Unión</w:t>
            </w:r>
          </w:p>
        </w:tc>
        <w:bookmarkStart w:id="22" w:name="lt_pId048"/>
        <w:tc>
          <w:tcPr>
            <w:tcW w:w="1054" w:type="pct"/>
          </w:tcPr>
          <w:p w14:paraId="760872BC" w14:textId="74665DC0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"https://www.itu.int/md/S21-CL-C-0038/es"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C21/38</w:t>
            </w:r>
            <w:bookmarkEnd w:id="22"/>
            <w:r>
              <w:fldChar w:fldCharType="end"/>
            </w:r>
          </w:p>
        </w:tc>
      </w:tr>
      <w:tr w:rsidR="00691B6F" w:rsidRPr="00052D57" w14:paraId="4A714148" w14:textId="77777777" w:rsidTr="00DC42CC">
        <w:tc>
          <w:tcPr>
            <w:tcW w:w="245" w:type="pct"/>
          </w:tcPr>
          <w:p w14:paraId="3ADE59E4" w14:textId="5A483332" w:rsidR="00691B6F" w:rsidRPr="00052D57" w:rsidRDefault="00691B6F" w:rsidP="004F4739">
            <w:pPr>
              <w:pStyle w:val="Tabletext"/>
            </w:pPr>
            <w:r w:rsidRPr="00052D57">
              <w:t>12</w:t>
            </w:r>
          </w:p>
        </w:tc>
        <w:tc>
          <w:tcPr>
            <w:tcW w:w="3701" w:type="pct"/>
          </w:tcPr>
          <w:p w14:paraId="7F2B5013" w14:textId="7B50357D" w:rsidR="00691B6F" w:rsidRPr="00052D57" w:rsidRDefault="00691B6F" w:rsidP="004F4739">
            <w:pPr>
              <w:pStyle w:val="Tabletext"/>
            </w:pPr>
            <w:r w:rsidRPr="00052D57">
              <w:t>Participación de la UIT en el Comité Mixto de Pensiones del Personal de las Naciones Unidas</w:t>
            </w:r>
          </w:p>
        </w:tc>
        <w:bookmarkStart w:id="23" w:name="lt_pId051"/>
        <w:tc>
          <w:tcPr>
            <w:tcW w:w="1054" w:type="pct"/>
          </w:tcPr>
          <w:p w14:paraId="3BABD759" w14:textId="38C51F73" w:rsidR="00691B6F" w:rsidRPr="00700E81" w:rsidRDefault="00700E81" w:rsidP="00700E81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"https://www.itu.int/md/S21-CL-C-0069/es" </w:instrText>
            </w:r>
            <w:r>
              <w:fldChar w:fldCharType="separate"/>
            </w:r>
            <w:r w:rsidR="00691B6F" w:rsidRPr="00700E81">
              <w:rPr>
                <w:rStyle w:val="Hyperlink"/>
              </w:rPr>
              <w:t>C21/69</w:t>
            </w:r>
            <w:bookmarkEnd w:id="23"/>
            <w:r>
              <w:fldChar w:fldCharType="end"/>
            </w:r>
          </w:p>
        </w:tc>
      </w:tr>
    </w:tbl>
    <w:p w14:paraId="6FC10C28" w14:textId="44CD8F07" w:rsidR="00691B6F" w:rsidRPr="00052D57" w:rsidRDefault="00691B6F" w:rsidP="00310E71">
      <w:r w:rsidRPr="00052D57">
        <w:br w:type="page"/>
      </w:r>
    </w:p>
    <w:p w14:paraId="10CE7CC1" w14:textId="3DFFAE92" w:rsidR="004578F1" w:rsidRPr="00D20DE3" w:rsidRDefault="004578F1" w:rsidP="009C106F">
      <w:pPr>
        <w:pStyle w:val="Heading1"/>
      </w:pPr>
      <w:r w:rsidRPr="00D20DE3">
        <w:lastRenderedPageBreak/>
        <w:t>1</w:t>
      </w:r>
      <w:r w:rsidRPr="00D20DE3">
        <w:tab/>
      </w:r>
      <w:bookmarkStart w:id="24" w:name="lt_pId053"/>
      <w:r w:rsidR="009C106F" w:rsidRPr="00052D57">
        <w:t xml:space="preserve">Resultados de las deliberaciones mantenidas el 14 de junio de 2021 </w:t>
      </w:r>
      <w:r w:rsidRPr="00D20DE3">
        <w:t xml:space="preserve">(Documento </w:t>
      </w:r>
      <w:hyperlink r:id="rId11" w:history="1">
        <w:r w:rsidRPr="00D20DE3">
          <w:rPr>
            <w:rStyle w:val="Hyperlink"/>
          </w:rPr>
          <w:t>C21/DT/1(Rev.4)</w:t>
        </w:r>
      </w:hyperlink>
      <w:r w:rsidRPr="00D20DE3">
        <w:t>)</w:t>
      </w:r>
      <w:bookmarkEnd w:id="24"/>
    </w:p>
    <w:p w14:paraId="5C94B40E" w14:textId="04E171C6" w:rsidR="004578F1" w:rsidRPr="00F732D7" w:rsidRDefault="004578F1" w:rsidP="009C106F">
      <w:bookmarkStart w:id="25" w:name="lt_pId054"/>
      <w:r w:rsidRPr="00F732D7">
        <w:t>1.1</w:t>
      </w:r>
      <w:r w:rsidRPr="00F732D7">
        <w:tab/>
      </w:r>
      <w:r w:rsidR="009C106F" w:rsidRPr="00F732D7">
        <w:t xml:space="preserve">Se </w:t>
      </w:r>
      <w:r w:rsidR="009C106F" w:rsidRPr="003F1F3B">
        <w:rPr>
          <w:b/>
          <w:bCs/>
        </w:rPr>
        <w:t>tom</w:t>
      </w:r>
      <w:r w:rsidR="00FB274F" w:rsidRPr="003F1F3B">
        <w:rPr>
          <w:b/>
          <w:bCs/>
        </w:rPr>
        <w:t>a</w:t>
      </w:r>
      <w:r w:rsidR="009C106F" w:rsidRPr="003F1F3B">
        <w:rPr>
          <w:b/>
          <w:bCs/>
        </w:rPr>
        <w:t xml:space="preserve"> nota</w:t>
      </w:r>
      <w:r w:rsidR="009C106F" w:rsidRPr="00F732D7">
        <w:t xml:space="preserve"> del </w:t>
      </w:r>
      <w:r w:rsidR="00B602B8" w:rsidRPr="00F732D7">
        <w:t xml:space="preserve">Documento </w:t>
      </w:r>
      <w:r w:rsidRPr="00F732D7">
        <w:t>C21/DT/1(Rev.4).</w:t>
      </w:r>
      <w:bookmarkEnd w:id="25"/>
    </w:p>
    <w:p w14:paraId="4FCC62EA" w14:textId="166E3000" w:rsidR="004578F1" w:rsidRPr="00D20DE3" w:rsidRDefault="004578F1" w:rsidP="009C106F">
      <w:pPr>
        <w:pStyle w:val="Heading1"/>
      </w:pPr>
      <w:r w:rsidRPr="00D20DE3">
        <w:t>2</w:t>
      </w:r>
      <w:r w:rsidRPr="00D20DE3">
        <w:tab/>
        <w:t xml:space="preserve">Fondo para el Desarrollo de las Tecnologías de la Información y la Comunicación (Documento </w:t>
      </w:r>
      <w:hyperlink r:id="rId12" w:history="1">
        <w:r w:rsidRPr="00D20DE3">
          <w:rPr>
            <w:rStyle w:val="Hyperlink"/>
          </w:rPr>
          <w:t>C21/34</w:t>
        </w:r>
      </w:hyperlink>
      <w:r w:rsidRPr="00D20DE3">
        <w:t>)</w:t>
      </w:r>
    </w:p>
    <w:p w14:paraId="6EFB7F13" w14:textId="5C923676" w:rsidR="004578F1" w:rsidRPr="00F732D7" w:rsidRDefault="004578F1" w:rsidP="004C4532">
      <w:r w:rsidRPr="00F732D7">
        <w:t>2.1</w:t>
      </w:r>
      <w:r w:rsidRPr="00F732D7">
        <w:tab/>
      </w:r>
      <w:bookmarkStart w:id="26" w:name="lt_pId058"/>
      <w:r w:rsidR="00AC7E44" w:rsidRPr="00F732D7">
        <w:t>El representante de la BDT present</w:t>
      </w:r>
      <w:r w:rsidR="00FB274F" w:rsidRPr="00F732D7">
        <w:t>a</w:t>
      </w:r>
      <w:r w:rsidR="00AC7E44" w:rsidRPr="00F732D7">
        <w:t xml:space="preserve"> el Documento C21/34, que contiene el informe sobre el </w:t>
      </w:r>
      <w:r w:rsidR="00FB274F" w:rsidRPr="00F732D7">
        <w:t>Fondo para el Desarrollo de las Tecnologías de la Información y la Comunicación (FD-TIC)</w:t>
      </w:r>
      <w:r w:rsidR="00AC7E44" w:rsidRPr="00F732D7">
        <w:t>. El informe, que</w:t>
      </w:r>
      <w:r w:rsidR="00FB274F" w:rsidRPr="00F732D7">
        <w:t xml:space="preserve"> en principio </w:t>
      </w:r>
      <w:r w:rsidR="00AC7E44" w:rsidRPr="00F732D7">
        <w:t xml:space="preserve">se </w:t>
      </w:r>
      <w:r w:rsidR="00FB274F" w:rsidRPr="00F732D7">
        <w:t>preparó</w:t>
      </w:r>
      <w:r w:rsidR="00AC7E44" w:rsidRPr="00F732D7">
        <w:t xml:space="preserve"> para </w:t>
      </w:r>
      <w:r w:rsidR="00FB274F" w:rsidRPr="00F732D7">
        <w:t>su presentación a la reunión de 2020 del</w:t>
      </w:r>
      <w:r w:rsidR="00AC7E44" w:rsidRPr="00F732D7">
        <w:t xml:space="preserve"> Consejo como Documento C20/34, se ha actualizado para </w:t>
      </w:r>
      <w:r w:rsidR="00FB274F" w:rsidRPr="00F732D7">
        <w:t>inclui</w:t>
      </w:r>
      <w:r w:rsidR="00AC7E44" w:rsidRPr="00F732D7">
        <w:t xml:space="preserve">r los resultados de las tres reuniones </w:t>
      </w:r>
      <w:r w:rsidR="00FB274F" w:rsidRPr="00F732D7">
        <w:t>que el</w:t>
      </w:r>
      <w:r w:rsidR="00AC7E44" w:rsidRPr="00F732D7">
        <w:t xml:space="preserve"> Comité </w:t>
      </w:r>
      <w:r w:rsidR="00FB274F" w:rsidRPr="00F732D7">
        <w:t xml:space="preserve">de Dirección </w:t>
      </w:r>
      <w:r w:rsidR="00AC7E44" w:rsidRPr="00F732D7">
        <w:t>del F</w:t>
      </w:r>
      <w:r w:rsidR="00FB274F" w:rsidRPr="00F732D7">
        <w:t>D-TIC celebró</w:t>
      </w:r>
      <w:r w:rsidR="00AC7E44" w:rsidRPr="00F732D7">
        <w:t xml:space="preserve"> en 2020 a</w:t>
      </w:r>
      <w:r w:rsidR="00FB274F" w:rsidRPr="00F732D7">
        <w:t xml:space="preserve"> fin de</w:t>
      </w:r>
      <w:r w:rsidR="00AC7E44" w:rsidRPr="00F732D7">
        <w:t xml:space="preserve"> examinar </w:t>
      </w:r>
      <w:r w:rsidR="00FB274F" w:rsidRPr="00F732D7">
        <w:t>sendos</w:t>
      </w:r>
      <w:r w:rsidR="00AC7E44" w:rsidRPr="00F732D7">
        <w:t xml:space="preserve"> proyectos. </w:t>
      </w:r>
      <w:r w:rsidR="00FB274F" w:rsidRPr="00F732D7">
        <w:t>Conforme a la normativa vigente</w:t>
      </w:r>
      <w:r w:rsidR="00AC7E44" w:rsidRPr="00F732D7">
        <w:t>, se ha movilizado financiación externa</w:t>
      </w:r>
      <w:r w:rsidR="00FB274F" w:rsidRPr="00F732D7">
        <w:t xml:space="preserve"> por una suma equivalente a</w:t>
      </w:r>
      <w:r w:rsidR="00AC7E44" w:rsidRPr="00F732D7">
        <w:t xml:space="preserve"> más del 75% de los fondos necesarios para </w:t>
      </w:r>
      <w:r w:rsidR="00FB274F" w:rsidRPr="00F732D7">
        <w:t>dichos</w:t>
      </w:r>
      <w:r w:rsidR="00AC7E44" w:rsidRPr="00F732D7">
        <w:t xml:space="preserve"> proyectos. A pesar de las repercusiones negativas de la pandemia de COVID-19 en la ejecución de los proyectos, se han tomado medidas de </w:t>
      </w:r>
      <w:r w:rsidR="00FB274F" w:rsidRPr="00F732D7">
        <w:t>atenuación</w:t>
      </w:r>
      <w:r w:rsidR="00AC7E44" w:rsidRPr="00F732D7">
        <w:t xml:space="preserve"> y todos </w:t>
      </w:r>
      <w:r w:rsidR="00FB274F" w:rsidRPr="00F732D7">
        <w:t>ellos siguen en curso</w:t>
      </w:r>
      <w:r w:rsidR="00AC7E44" w:rsidRPr="00F732D7">
        <w:t xml:space="preserve">. </w:t>
      </w:r>
      <w:r w:rsidR="00FB274F" w:rsidRPr="00F732D7">
        <w:t>Al 31 de diciembre de 2020, e</w:t>
      </w:r>
      <w:r w:rsidR="00AC7E44" w:rsidRPr="00F732D7">
        <w:t xml:space="preserve">l saldo del </w:t>
      </w:r>
      <w:r w:rsidR="00FB274F" w:rsidRPr="00F732D7">
        <w:t>FD-TIC ascendía a</w:t>
      </w:r>
      <w:r w:rsidR="00AC7E44" w:rsidRPr="00F732D7">
        <w:t xml:space="preserve"> algo más de 4,1</w:t>
      </w:r>
      <w:r w:rsidR="003D18A7">
        <w:t> </w:t>
      </w:r>
      <w:r w:rsidR="00AC7E44" w:rsidRPr="00F732D7">
        <w:t xml:space="preserve">millones </w:t>
      </w:r>
      <w:r w:rsidR="00FB274F" w:rsidRPr="00F732D7">
        <w:t>de dólares de los Estados Unidos (</w:t>
      </w:r>
      <w:r w:rsidR="00AC7E44" w:rsidRPr="00F732D7">
        <w:t>USD</w:t>
      </w:r>
      <w:r w:rsidR="00FB274F" w:rsidRPr="00F732D7">
        <w:t>)</w:t>
      </w:r>
      <w:r w:rsidR="00AC7E44" w:rsidRPr="00F732D7">
        <w:t>. Dado que los recursos del Fondo se generan a partir de los ingresos d</w:t>
      </w:r>
      <w:r w:rsidR="00FB274F" w:rsidRPr="00F732D7">
        <w:t>imanantes d</w:t>
      </w:r>
      <w:r w:rsidR="00AC7E44" w:rsidRPr="00F732D7">
        <w:t>e los eventos ITU Telecom, que han disminui</w:t>
      </w:r>
      <w:r w:rsidR="00FB274F" w:rsidRPr="00F732D7">
        <w:t>do</w:t>
      </w:r>
      <w:r w:rsidR="00AC7E44" w:rsidRPr="00F732D7">
        <w:t xml:space="preserve"> con el tiempo, se est</w:t>
      </w:r>
      <w:r w:rsidR="004C4532" w:rsidRPr="00F732D7">
        <w:t>á llevando a cabo</w:t>
      </w:r>
      <w:r w:rsidR="00AC7E44" w:rsidRPr="00F732D7">
        <w:t xml:space="preserve"> un estudio </w:t>
      </w:r>
      <w:r w:rsidR="008F0F7A" w:rsidRPr="00F732D7">
        <w:t>con miras a la</w:t>
      </w:r>
      <w:r w:rsidR="004C4532" w:rsidRPr="00F732D7">
        <w:t xml:space="preserve"> </w:t>
      </w:r>
      <w:r w:rsidR="00AC7E44" w:rsidRPr="00F732D7">
        <w:t>diversifica</w:t>
      </w:r>
      <w:r w:rsidR="008F0F7A" w:rsidRPr="00F732D7">
        <w:t>ción de</w:t>
      </w:r>
      <w:r w:rsidR="00AC7E44" w:rsidRPr="00F732D7">
        <w:t xml:space="preserve"> las fuentes de financiación.</w:t>
      </w:r>
      <w:bookmarkEnd w:id="26"/>
    </w:p>
    <w:p w14:paraId="4146F476" w14:textId="1A9055D1" w:rsidR="004578F1" w:rsidRPr="00F732D7" w:rsidRDefault="004578F1" w:rsidP="008F0F7A">
      <w:r w:rsidRPr="00F732D7">
        <w:t>2.2</w:t>
      </w:r>
      <w:r w:rsidRPr="00F732D7">
        <w:tab/>
      </w:r>
      <w:bookmarkStart w:id="27" w:name="lt_pId065"/>
      <w:r w:rsidR="00AC7E44" w:rsidRPr="00F732D7">
        <w:t xml:space="preserve">Los </w:t>
      </w:r>
      <w:r w:rsidR="003D47F2">
        <w:t>c</w:t>
      </w:r>
      <w:r w:rsidR="004250C7" w:rsidRPr="00F732D7">
        <w:t xml:space="preserve">onsejeros </w:t>
      </w:r>
      <w:r w:rsidR="00AC7E44" w:rsidRPr="00F732D7">
        <w:t>acogen con satisfacción e</w:t>
      </w:r>
      <w:r w:rsidR="004C4532" w:rsidRPr="00F732D7">
        <w:t>ste</w:t>
      </w:r>
      <w:r w:rsidR="00AC7E44" w:rsidRPr="00F732D7">
        <w:t xml:space="preserve"> exhaustivo informe y subrayan </w:t>
      </w:r>
      <w:r w:rsidR="004C4532" w:rsidRPr="00F732D7">
        <w:t>que el</w:t>
      </w:r>
      <w:r w:rsidR="00AC7E44" w:rsidRPr="00F732D7">
        <w:t xml:space="preserve"> seguimiento eficaz de la ejecución y el rendimiento presupuestario de los proyectos apoyados por el </w:t>
      </w:r>
      <w:r w:rsidR="004C4532" w:rsidRPr="00F732D7">
        <w:t>FD-TIC</w:t>
      </w:r>
      <w:r w:rsidR="008F0F7A" w:rsidRPr="00F732D7">
        <w:t xml:space="preserve"> reviste una importancia particular</w:t>
      </w:r>
      <w:r w:rsidR="00AC7E44" w:rsidRPr="00F732D7">
        <w:t xml:space="preserve">. Se </w:t>
      </w:r>
      <w:r w:rsidR="00871848" w:rsidRPr="00F732D7">
        <w:t xml:space="preserve">solicitan aclaraciones en cuanto a </w:t>
      </w:r>
      <w:r w:rsidR="00AC7E44" w:rsidRPr="00F732D7">
        <w:t xml:space="preserve">si el presupuesto </w:t>
      </w:r>
      <w:r w:rsidR="00871848" w:rsidRPr="00F732D7">
        <w:t>destinado al</w:t>
      </w:r>
      <w:r w:rsidR="00AC7E44" w:rsidRPr="00F732D7">
        <w:t xml:space="preserve"> proyecto de centros de transformación digital inclu</w:t>
      </w:r>
      <w:r w:rsidR="00871848" w:rsidRPr="00F732D7">
        <w:t>ye</w:t>
      </w:r>
      <w:r w:rsidR="00AC7E44" w:rsidRPr="00F732D7">
        <w:t xml:space="preserve"> la ejecución de programa</w:t>
      </w:r>
      <w:r w:rsidR="008F0F7A" w:rsidRPr="00F732D7">
        <w:t>s</w:t>
      </w:r>
      <w:r w:rsidR="00AC7E44" w:rsidRPr="00F732D7">
        <w:t xml:space="preserve"> en los países; el proyecto ya </w:t>
      </w:r>
      <w:r w:rsidR="00871848" w:rsidRPr="00F732D7">
        <w:t>está</w:t>
      </w:r>
      <w:r w:rsidR="00AC7E44" w:rsidRPr="00F732D7">
        <w:t xml:space="preserve"> en marcha en algunos países y </w:t>
      </w:r>
      <w:r w:rsidR="00871848" w:rsidRPr="00F732D7">
        <w:t>sus repercusiones están siendo positivas</w:t>
      </w:r>
      <w:r w:rsidR="00AC7E44" w:rsidRPr="00F732D7">
        <w:t>. Un</w:t>
      </w:r>
      <w:r w:rsidR="003D18A7">
        <w:t>a</w:t>
      </w:r>
      <w:r w:rsidR="00AC7E44" w:rsidRPr="00F732D7">
        <w:t xml:space="preserve"> </w:t>
      </w:r>
      <w:r w:rsidR="003D18A7">
        <w:t>c</w:t>
      </w:r>
      <w:r w:rsidR="004250C7" w:rsidRPr="00F732D7">
        <w:t>onsejer</w:t>
      </w:r>
      <w:r w:rsidR="003D18A7">
        <w:t>a</w:t>
      </w:r>
      <w:r w:rsidR="00AC7E44" w:rsidRPr="00F732D7">
        <w:t xml:space="preserve">, refiriéndose al </w:t>
      </w:r>
      <w:r w:rsidR="00871848" w:rsidRPr="00F732D7">
        <w:t>§</w:t>
      </w:r>
      <w:r w:rsidR="00310E71">
        <w:t> </w:t>
      </w:r>
      <w:r w:rsidR="00871848" w:rsidRPr="00F732D7">
        <w:t xml:space="preserve">3.4 </w:t>
      </w:r>
      <w:r w:rsidR="00AC7E44" w:rsidRPr="00F732D7">
        <w:t>del informe, sobre</w:t>
      </w:r>
      <w:r w:rsidR="00871848" w:rsidRPr="00052D57">
        <w:t xml:space="preserve"> </w:t>
      </w:r>
      <w:r w:rsidR="00871848" w:rsidRPr="00F732D7">
        <w:t xml:space="preserve">el reintegro al FD-TIC </w:t>
      </w:r>
      <w:r w:rsidR="008F0F7A" w:rsidRPr="00F732D7">
        <w:t xml:space="preserve">de algunos fondos </w:t>
      </w:r>
      <w:r w:rsidR="00871848" w:rsidRPr="00F732D7">
        <w:t>atribuidos a la implementación de proyectos de desarrollo que posteriormente no lograron atraer financiación de socios externos</w:t>
      </w:r>
      <w:r w:rsidR="00AC7E44" w:rsidRPr="00F732D7">
        <w:t>, solicit</w:t>
      </w:r>
      <w:r w:rsidR="00271AA5" w:rsidRPr="00F732D7">
        <w:t>a</w:t>
      </w:r>
      <w:r w:rsidR="00AC7E44" w:rsidRPr="00F732D7">
        <w:t xml:space="preserve"> más información sobre el importe </w:t>
      </w:r>
      <w:r w:rsidR="00271AA5" w:rsidRPr="00F732D7">
        <w:t xml:space="preserve">de los fondos devueltos </w:t>
      </w:r>
      <w:r w:rsidR="00AC7E44" w:rsidRPr="00F732D7">
        <w:t>y el porcentaje</w:t>
      </w:r>
      <w:r w:rsidR="00271AA5" w:rsidRPr="00F732D7">
        <w:t xml:space="preserve"> al que ascienden</w:t>
      </w:r>
      <w:r w:rsidR="00AC7E44" w:rsidRPr="00F732D7">
        <w:t>.</w:t>
      </w:r>
      <w:bookmarkEnd w:id="27"/>
    </w:p>
    <w:p w14:paraId="5A1D36BF" w14:textId="5431D989" w:rsidR="004578F1" w:rsidRPr="00F732D7" w:rsidRDefault="004578F1" w:rsidP="002669B9">
      <w:r w:rsidRPr="00F732D7">
        <w:t>2.3</w:t>
      </w:r>
      <w:r w:rsidRPr="00F732D7">
        <w:tab/>
      </w:r>
      <w:bookmarkStart w:id="28" w:name="lt_pId069"/>
      <w:r w:rsidR="00AC7E44" w:rsidRPr="00F732D7">
        <w:t xml:space="preserve">El representante de la BDT </w:t>
      </w:r>
      <w:r w:rsidR="008F0F7A" w:rsidRPr="00F732D7">
        <w:t>indica</w:t>
      </w:r>
      <w:r w:rsidR="00AC7E44" w:rsidRPr="00F732D7">
        <w:t xml:space="preserve"> que el proyecto de centros de transformación digital complementa las iniciativas de creación de capacidad y desarrollo de competencias </w:t>
      </w:r>
      <w:r w:rsidR="00EB3E7D" w:rsidRPr="00F732D7">
        <w:t>emprendidas por</w:t>
      </w:r>
      <w:r w:rsidR="00AC7E44" w:rsidRPr="00F732D7">
        <w:t xml:space="preserve"> los </w:t>
      </w:r>
      <w:r w:rsidR="00EB3E7D" w:rsidRPr="00F732D7">
        <w:t xml:space="preserve">Centros </w:t>
      </w:r>
      <w:r w:rsidR="00AC7E44" w:rsidRPr="00F732D7">
        <w:t xml:space="preserve">de </w:t>
      </w:r>
      <w:r w:rsidR="00EB3E7D" w:rsidRPr="00F732D7">
        <w:t xml:space="preserve">Excelencia </w:t>
      </w:r>
      <w:r w:rsidR="00AC7E44" w:rsidRPr="00F732D7">
        <w:t>y la Academia de la UIT. El proyecto se encuentra en su fase inicial y</w:t>
      </w:r>
      <w:r w:rsidR="00EB3E7D" w:rsidRPr="00F732D7">
        <w:t xml:space="preserve">, continuamente, se movilizan </w:t>
      </w:r>
      <w:r w:rsidR="00AC7E44" w:rsidRPr="00F732D7">
        <w:t>recursos para cubrir</w:t>
      </w:r>
      <w:r w:rsidR="00EB3E7D" w:rsidRPr="00F732D7">
        <w:t xml:space="preserve"> las necesidades de</w:t>
      </w:r>
      <w:r w:rsidR="00AC7E44" w:rsidRPr="00F732D7">
        <w:t xml:space="preserve"> todas las regiones</w:t>
      </w:r>
      <w:r w:rsidR="00EB3E7D" w:rsidRPr="00F732D7">
        <w:t>, con un énfasis especial en</w:t>
      </w:r>
      <w:r w:rsidR="00AC7E44" w:rsidRPr="00F732D7">
        <w:t xml:space="preserve"> los países en desarrollo, </w:t>
      </w:r>
      <w:r w:rsidR="000A5DA7" w:rsidRPr="00F732D7">
        <w:t>en función de las necesidades</w:t>
      </w:r>
      <w:r w:rsidR="00AC7E44" w:rsidRPr="00F732D7">
        <w:t xml:space="preserve">. En cuanto </w:t>
      </w:r>
      <w:r w:rsidR="00EB3E7D" w:rsidRPr="00F732D7">
        <w:t>al reintegro de</w:t>
      </w:r>
      <w:r w:rsidR="00AC7E44" w:rsidRPr="00F732D7">
        <w:t xml:space="preserve"> los fondos, cuando un proyecto se </w:t>
      </w:r>
      <w:r w:rsidR="002669B9" w:rsidRPr="00F732D7">
        <w:t>finaliza</w:t>
      </w:r>
      <w:r w:rsidR="00AC7E44" w:rsidRPr="00F732D7">
        <w:t xml:space="preserve">, los fondos restantes se devuelven a prorrata a los socios </w:t>
      </w:r>
      <w:r w:rsidR="002669B9" w:rsidRPr="00F732D7">
        <w:t>contribuyentes</w:t>
      </w:r>
      <w:r w:rsidR="00AC7E44" w:rsidRPr="00F732D7">
        <w:t xml:space="preserve">. </w:t>
      </w:r>
      <w:r w:rsidR="002669B9" w:rsidRPr="00F732D7">
        <w:t>Si</w:t>
      </w:r>
      <w:r w:rsidR="00AC7E44" w:rsidRPr="00F732D7">
        <w:t xml:space="preserve"> un proyecto no </w:t>
      </w:r>
      <w:r w:rsidR="002669B9" w:rsidRPr="00F732D7">
        <w:t>puede</w:t>
      </w:r>
      <w:r w:rsidR="00AC7E44" w:rsidRPr="00F732D7">
        <w:t xml:space="preserve"> llevarse a cabo porque los donantes no </w:t>
      </w:r>
      <w:r w:rsidR="002669B9" w:rsidRPr="00F732D7">
        <w:t>han</w:t>
      </w:r>
      <w:r w:rsidR="00AC7E44" w:rsidRPr="00F732D7">
        <w:t xml:space="preserve"> aportado los fondos </w:t>
      </w:r>
      <w:r w:rsidR="002669B9" w:rsidRPr="00F732D7">
        <w:t>previstos</w:t>
      </w:r>
      <w:r w:rsidR="00AC7E44" w:rsidRPr="00F732D7">
        <w:t xml:space="preserve">, los recursos del </w:t>
      </w:r>
      <w:r w:rsidR="002669B9" w:rsidRPr="00F732D7">
        <w:t>FD-TIC</w:t>
      </w:r>
      <w:r w:rsidR="00AC7E44" w:rsidRPr="00F732D7">
        <w:t xml:space="preserve"> asignados a ese proyecto se </w:t>
      </w:r>
      <w:r w:rsidR="002669B9" w:rsidRPr="00F732D7">
        <w:t>devuelven a</w:t>
      </w:r>
      <w:r w:rsidR="00F55232" w:rsidRPr="00F732D7">
        <w:t xml:space="preserve"> dicho</w:t>
      </w:r>
      <w:r w:rsidR="002669B9" w:rsidRPr="00F732D7">
        <w:t xml:space="preserve"> Fondo</w:t>
      </w:r>
      <w:r w:rsidR="00AC7E44" w:rsidRPr="00F732D7">
        <w:t xml:space="preserve">. </w:t>
      </w:r>
      <w:r w:rsidR="002669B9" w:rsidRPr="00F732D7">
        <w:t>Del mismo modo, si un</w:t>
      </w:r>
      <w:r w:rsidR="00AC7E44" w:rsidRPr="00F732D7">
        <w:t xml:space="preserve"> proyecto se ejecuta en su totalidad y </w:t>
      </w:r>
      <w:r w:rsidR="002669B9" w:rsidRPr="00F732D7">
        <w:t>quedan</w:t>
      </w:r>
      <w:r w:rsidR="00AC7E44" w:rsidRPr="00F732D7">
        <w:t xml:space="preserve"> fondos del F</w:t>
      </w:r>
      <w:r w:rsidR="002669B9" w:rsidRPr="00F732D7">
        <w:t>D</w:t>
      </w:r>
      <w:r w:rsidR="00092831">
        <w:noBreakHyphen/>
      </w:r>
      <w:r w:rsidR="002669B9" w:rsidRPr="00F732D7">
        <w:t xml:space="preserve">TIC disponibles </w:t>
      </w:r>
      <w:r w:rsidR="00F55232" w:rsidRPr="00F732D7">
        <w:t>gracias</w:t>
      </w:r>
      <w:r w:rsidR="002669B9" w:rsidRPr="00F732D7">
        <w:t xml:space="preserve"> </w:t>
      </w:r>
      <w:r w:rsidR="00F55232" w:rsidRPr="00F732D7">
        <w:t>a</w:t>
      </w:r>
      <w:r w:rsidR="002669B9" w:rsidRPr="00F732D7">
        <w:t xml:space="preserve"> las medidas de</w:t>
      </w:r>
      <w:r w:rsidR="00AC7E44" w:rsidRPr="00F732D7">
        <w:t xml:space="preserve"> eficiencia</w:t>
      </w:r>
      <w:r w:rsidR="002669B9" w:rsidRPr="00F732D7">
        <w:t xml:space="preserve"> adoptadas</w:t>
      </w:r>
      <w:r w:rsidR="00AC7E44" w:rsidRPr="00F732D7">
        <w:t xml:space="preserve">, el saldo se </w:t>
      </w:r>
      <w:r w:rsidR="002669B9" w:rsidRPr="00F732D7">
        <w:t>devuelve</w:t>
      </w:r>
      <w:r w:rsidR="00AC7E44" w:rsidRPr="00F732D7">
        <w:t xml:space="preserve"> al </w:t>
      </w:r>
      <w:bookmarkEnd w:id="28"/>
      <w:r w:rsidR="002669B9" w:rsidRPr="00F732D7">
        <w:t>FD-TIC.</w:t>
      </w:r>
    </w:p>
    <w:p w14:paraId="2DCA1C19" w14:textId="4BA6C1AE" w:rsidR="004578F1" w:rsidRPr="00F732D7" w:rsidRDefault="004578F1" w:rsidP="002669B9">
      <w:r w:rsidRPr="00F732D7">
        <w:t>2.4</w:t>
      </w:r>
      <w:r w:rsidRPr="00F732D7">
        <w:tab/>
      </w:r>
      <w:r w:rsidR="002669B9" w:rsidRPr="00F732D7">
        <w:t xml:space="preserve">El Presidente entiende que los </w:t>
      </w:r>
      <w:r w:rsidR="003D47F2">
        <w:t>c</w:t>
      </w:r>
      <w:r w:rsidR="002669B9" w:rsidRPr="00F732D7">
        <w:t xml:space="preserve">onsejeros desean concluir que, dada la urgencia de este punto, </w:t>
      </w:r>
      <w:r w:rsidR="00F55232" w:rsidRPr="00F732D7">
        <w:t>se</w:t>
      </w:r>
      <w:r w:rsidR="002669B9" w:rsidRPr="00F732D7">
        <w:t xml:space="preserve"> llevar</w:t>
      </w:r>
      <w:r w:rsidR="00F55232" w:rsidRPr="00F732D7">
        <w:t>á</w:t>
      </w:r>
      <w:r w:rsidR="002669B9" w:rsidRPr="00F732D7">
        <w:t xml:space="preserve"> a cabo una consulta por correspondencia </w:t>
      </w:r>
      <w:r w:rsidR="00397E90" w:rsidRPr="00F732D7">
        <w:t>con</w:t>
      </w:r>
      <w:r w:rsidR="002669B9" w:rsidRPr="00F732D7">
        <w:t xml:space="preserve"> los Estados Miembros del Consejo para que tomen nota de los </w:t>
      </w:r>
      <w:r w:rsidR="00397E90" w:rsidRPr="00F732D7">
        <w:t xml:space="preserve">Documentos </w:t>
      </w:r>
      <w:r w:rsidR="002669B9" w:rsidRPr="00F732D7">
        <w:t>C21/34 y C20/34.</w:t>
      </w:r>
    </w:p>
    <w:p w14:paraId="3DA4B556" w14:textId="72A8BC55" w:rsidR="004578F1" w:rsidRPr="00F732D7" w:rsidRDefault="004578F1" w:rsidP="009C106F">
      <w:r w:rsidRPr="00F732D7">
        <w:t>2.5</w:t>
      </w:r>
      <w:r w:rsidRPr="00F732D7">
        <w:tab/>
      </w:r>
      <w:bookmarkStart w:id="29" w:name="lt_pId077"/>
      <w:r w:rsidRPr="00052D57">
        <w:t xml:space="preserve">Así se </w:t>
      </w:r>
      <w:r w:rsidRPr="00F732D7">
        <w:rPr>
          <w:b/>
          <w:bCs/>
        </w:rPr>
        <w:t>concluye</w:t>
      </w:r>
      <w:r w:rsidRPr="00F732D7">
        <w:t>.</w:t>
      </w:r>
      <w:bookmarkEnd w:id="29"/>
    </w:p>
    <w:p w14:paraId="72CD7E4E" w14:textId="006E96B9" w:rsidR="004578F1" w:rsidRPr="00D20DE3" w:rsidRDefault="004578F1" w:rsidP="009C106F">
      <w:pPr>
        <w:pStyle w:val="Heading1"/>
      </w:pPr>
      <w:r w:rsidRPr="00D20DE3">
        <w:lastRenderedPageBreak/>
        <w:t>3</w:t>
      </w:r>
      <w:r w:rsidRPr="00D20DE3">
        <w:tab/>
      </w:r>
      <w:bookmarkStart w:id="30" w:name="lt_pId079"/>
      <w:r w:rsidRPr="00D20DE3">
        <w:t>Fortalecimiento de la presencia regional (Document</w:t>
      </w:r>
      <w:r w:rsidR="00ED30FB" w:rsidRPr="00D20DE3">
        <w:t>o</w:t>
      </w:r>
      <w:r w:rsidRPr="00D20DE3">
        <w:t xml:space="preserve"> </w:t>
      </w:r>
      <w:hyperlink r:id="rId13" w:history="1">
        <w:r w:rsidRPr="00D20DE3">
          <w:rPr>
            <w:rStyle w:val="Hyperlink"/>
          </w:rPr>
          <w:t>C21/25</w:t>
        </w:r>
      </w:hyperlink>
      <w:r w:rsidRPr="00D20DE3">
        <w:t>)</w:t>
      </w:r>
      <w:bookmarkEnd w:id="30"/>
    </w:p>
    <w:p w14:paraId="50735CE9" w14:textId="3FF24899" w:rsidR="004578F1" w:rsidRPr="00F732D7" w:rsidRDefault="004578F1" w:rsidP="00CE36BE">
      <w:r w:rsidRPr="00F732D7">
        <w:t>3.1</w:t>
      </w:r>
      <w:r w:rsidRPr="00F732D7">
        <w:tab/>
      </w:r>
      <w:bookmarkStart w:id="31" w:name="lt_pId081"/>
      <w:r w:rsidR="00AC7E44" w:rsidRPr="00F732D7">
        <w:t>El Director Adjunto de la BDT señal</w:t>
      </w:r>
      <w:r w:rsidR="002669B9" w:rsidRPr="00F732D7">
        <w:t>a</w:t>
      </w:r>
      <w:r w:rsidR="00AC7E44" w:rsidRPr="00F732D7">
        <w:t xml:space="preserve"> a la atención </w:t>
      </w:r>
      <w:r w:rsidR="002669B9" w:rsidRPr="00F732D7">
        <w:t xml:space="preserve">de los presentes </w:t>
      </w:r>
      <w:r w:rsidR="00AC7E44" w:rsidRPr="00F732D7">
        <w:t>el Documento C21/25</w:t>
      </w:r>
      <w:r w:rsidR="00F55232" w:rsidRPr="00F732D7">
        <w:t>, relativo a</w:t>
      </w:r>
      <w:r w:rsidR="00AC7E44" w:rsidRPr="00F732D7">
        <w:t xml:space="preserve">l fortalecimiento de la presencia regional, </w:t>
      </w:r>
      <w:r w:rsidR="00F55232" w:rsidRPr="00F732D7">
        <w:t>y</w:t>
      </w:r>
      <w:r w:rsidR="001A3E93" w:rsidRPr="00F732D7">
        <w:t xml:space="preserve"> la detallada información complementaria que figura en </w:t>
      </w:r>
      <w:r w:rsidR="00AC7E44" w:rsidRPr="00F732D7">
        <w:t>el Documento C21/INF/6</w:t>
      </w:r>
      <w:r w:rsidR="001A3E93" w:rsidRPr="00F732D7">
        <w:t xml:space="preserve">. </w:t>
      </w:r>
      <w:r w:rsidR="00AC7E44" w:rsidRPr="00F732D7">
        <w:t>El</w:t>
      </w:r>
      <w:r w:rsidR="00F55232" w:rsidRPr="00F732D7">
        <w:t xml:space="preserve"> primer</w:t>
      </w:r>
      <w:r w:rsidR="00AC7E44" w:rsidRPr="00F732D7">
        <w:t xml:space="preserve"> documento </w:t>
      </w:r>
      <w:r w:rsidR="00F55232" w:rsidRPr="00F732D7">
        <w:t>contiene información sobre</w:t>
      </w:r>
      <w:r w:rsidR="001A3E93" w:rsidRPr="00F732D7">
        <w:t xml:space="preserve"> la aplicación de la Resolución 25 (Rev. Dubái, 2018) y </w:t>
      </w:r>
      <w:r w:rsidR="00F55232" w:rsidRPr="00F732D7">
        <w:t>constituye</w:t>
      </w:r>
      <w:r w:rsidR="00AC7E44" w:rsidRPr="00F732D7">
        <w:t xml:space="preserve"> una versión actualizada del Documento</w:t>
      </w:r>
      <w:r w:rsidR="00092831">
        <w:t> </w:t>
      </w:r>
      <w:r w:rsidR="00AC7E44" w:rsidRPr="00F732D7">
        <w:t>C20/25, que se</w:t>
      </w:r>
      <w:r w:rsidR="001A3E93" w:rsidRPr="00F732D7">
        <w:t xml:space="preserve"> sometió al Consejo en su reunión de</w:t>
      </w:r>
      <w:r w:rsidR="00AC7E44" w:rsidRPr="00F732D7">
        <w:t xml:space="preserve"> 2020, </w:t>
      </w:r>
      <w:r w:rsidR="00F55232" w:rsidRPr="00F732D7">
        <w:t>aunque</w:t>
      </w:r>
      <w:r w:rsidR="001A3E93" w:rsidRPr="00F732D7">
        <w:t xml:space="preserve"> no llegó ni a presentarse ni a examinarse</w:t>
      </w:r>
      <w:r w:rsidR="00AC7E44" w:rsidRPr="00F732D7">
        <w:t>. E</w:t>
      </w:r>
      <w:r w:rsidR="001A3E93" w:rsidRPr="00F732D7">
        <w:t>n e</w:t>
      </w:r>
      <w:r w:rsidR="00AC7E44" w:rsidRPr="00F732D7">
        <w:t xml:space="preserve">l informe </w:t>
      </w:r>
      <w:r w:rsidR="001A3E93" w:rsidRPr="00F732D7">
        <w:t xml:space="preserve">se </w:t>
      </w:r>
      <w:r w:rsidR="00AC7E44" w:rsidRPr="00F732D7">
        <w:t>resum</w:t>
      </w:r>
      <w:r w:rsidR="001A3E93" w:rsidRPr="00F732D7">
        <w:t>en</w:t>
      </w:r>
      <w:r w:rsidR="00AC7E44" w:rsidRPr="00F732D7">
        <w:t xml:space="preserve"> las actividades </w:t>
      </w:r>
      <w:r w:rsidR="001A3E93" w:rsidRPr="00F732D7">
        <w:t xml:space="preserve">principales </w:t>
      </w:r>
      <w:r w:rsidR="00AC7E44" w:rsidRPr="00F732D7">
        <w:t xml:space="preserve">de la BDT en las regiones. Las cifras </w:t>
      </w:r>
      <w:r w:rsidR="00B6600A" w:rsidRPr="00F732D7">
        <w:t>incluidas en dicho</w:t>
      </w:r>
      <w:r w:rsidR="00AC7E44" w:rsidRPr="00F732D7">
        <w:t xml:space="preserve"> documento reflejan los fondos desembolsados en 2020 y no</w:t>
      </w:r>
      <w:r w:rsidR="00B6600A" w:rsidRPr="00F732D7">
        <w:t xml:space="preserve"> hacen</w:t>
      </w:r>
      <w:r w:rsidR="00AC7E44" w:rsidRPr="00F732D7">
        <w:t xml:space="preserve"> necesariamente</w:t>
      </w:r>
      <w:r w:rsidR="00B6600A" w:rsidRPr="00F732D7">
        <w:t xml:space="preserve"> referencia</w:t>
      </w:r>
      <w:r w:rsidR="00AC7E44" w:rsidRPr="00F732D7">
        <w:t xml:space="preserve"> a todos los proyectos ejecutados. A finales de 2020, se aproba</w:t>
      </w:r>
      <w:r w:rsidR="00CE36BE" w:rsidRPr="00F732D7">
        <w:t>ron</w:t>
      </w:r>
      <w:r w:rsidR="00AC7E44" w:rsidRPr="00F732D7">
        <w:t xml:space="preserve"> 25</w:t>
      </w:r>
      <w:r w:rsidR="00310E71">
        <w:t> </w:t>
      </w:r>
      <w:r w:rsidR="00AC7E44" w:rsidRPr="00F732D7">
        <w:t xml:space="preserve">nuevos proyectos </w:t>
      </w:r>
      <w:r w:rsidR="00B6600A" w:rsidRPr="00F732D7">
        <w:t>encaminados a</w:t>
      </w:r>
      <w:r w:rsidR="00AC7E44" w:rsidRPr="00F732D7">
        <w:t xml:space="preserve"> impulsar iniciativas regionales en todas las regiones de la UIT, incluidos varios proyectos multirregionales. </w:t>
      </w:r>
      <w:r w:rsidR="00CE36BE" w:rsidRPr="00F732D7">
        <w:t xml:space="preserve">Actualmente, se están preparando </w:t>
      </w:r>
      <w:r w:rsidR="00AC7E44" w:rsidRPr="00F732D7">
        <w:t>nueve proyectos</w:t>
      </w:r>
      <w:r w:rsidR="00CE36BE" w:rsidRPr="00F732D7">
        <w:t xml:space="preserve"> adicionales en colaboración </w:t>
      </w:r>
      <w:r w:rsidR="00AC7E44" w:rsidRPr="00F732D7">
        <w:t xml:space="preserve">con </w:t>
      </w:r>
      <w:r w:rsidR="00F55232" w:rsidRPr="00F732D7">
        <w:t>diversos</w:t>
      </w:r>
      <w:r w:rsidR="00AC7E44" w:rsidRPr="00F732D7">
        <w:t xml:space="preserve"> socios,</w:t>
      </w:r>
      <w:r w:rsidR="00CE36BE" w:rsidRPr="00F732D7">
        <w:t xml:space="preserve"> cuyos </w:t>
      </w:r>
      <w:r w:rsidR="00AC7E44" w:rsidRPr="00F732D7">
        <w:t>detalles</w:t>
      </w:r>
      <w:r w:rsidR="00CE36BE" w:rsidRPr="00F732D7">
        <w:t xml:space="preserve"> debería</w:t>
      </w:r>
      <w:r w:rsidR="00092831">
        <w:t>n</w:t>
      </w:r>
      <w:r w:rsidR="00CE36BE" w:rsidRPr="00F732D7">
        <w:t xml:space="preserve"> ultimarse</w:t>
      </w:r>
      <w:r w:rsidR="00AC7E44" w:rsidRPr="00F732D7">
        <w:t xml:space="preserve"> y </w:t>
      </w:r>
      <w:r w:rsidR="00CE36BE" w:rsidRPr="00F732D7">
        <w:t>aprobarse</w:t>
      </w:r>
      <w:r w:rsidR="00AC7E44" w:rsidRPr="00F732D7">
        <w:t xml:space="preserve"> en</w:t>
      </w:r>
      <w:r w:rsidR="00310E71">
        <w:t> </w:t>
      </w:r>
      <w:r w:rsidR="00AC7E44" w:rsidRPr="00F732D7">
        <w:t xml:space="preserve">2021. Con respecto a la nueva </w:t>
      </w:r>
      <w:r w:rsidR="008B450E">
        <w:t>o</w:t>
      </w:r>
      <w:r w:rsidR="00CE36BE" w:rsidRPr="00F732D7">
        <w:t xml:space="preserve">ficina </w:t>
      </w:r>
      <w:r w:rsidR="008B450E">
        <w:t>z</w:t>
      </w:r>
      <w:r w:rsidR="00CE36BE" w:rsidRPr="00F732D7">
        <w:t>onal</w:t>
      </w:r>
      <w:r w:rsidR="00AC7E44" w:rsidRPr="00F732D7">
        <w:t xml:space="preserve"> de la UIT para Asia Meridional,</w:t>
      </w:r>
      <w:r w:rsidR="00CE36BE" w:rsidRPr="00F732D7">
        <w:t xml:space="preserve"> que se halla en proceso de </w:t>
      </w:r>
      <w:r w:rsidR="00F55232" w:rsidRPr="00F732D7">
        <w:t>creación</w:t>
      </w:r>
      <w:r w:rsidR="00AC7E44" w:rsidRPr="00F732D7">
        <w:t xml:space="preserve"> en la India, inform</w:t>
      </w:r>
      <w:r w:rsidR="00CE36BE" w:rsidRPr="00F732D7">
        <w:t xml:space="preserve">a la </w:t>
      </w:r>
      <w:r w:rsidR="00460E26">
        <w:t>c</w:t>
      </w:r>
      <w:r w:rsidR="00CE36BE" w:rsidRPr="00F732D7">
        <w:t xml:space="preserve">onsulta </w:t>
      </w:r>
      <w:r w:rsidR="00460E26">
        <w:t>v</w:t>
      </w:r>
      <w:r w:rsidR="00CE36BE" w:rsidRPr="00F732D7">
        <w:t xml:space="preserve">irtual de los </w:t>
      </w:r>
      <w:r w:rsidR="00460E26">
        <w:t>c</w:t>
      </w:r>
      <w:r w:rsidR="00CE36BE" w:rsidRPr="00F732D7">
        <w:t>onsejeros (CVC)</w:t>
      </w:r>
      <w:r w:rsidR="00AC7E44" w:rsidRPr="00F732D7">
        <w:t xml:space="preserve"> de que, desde la preparación del Documento C21/25, </w:t>
      </w:r>
      <w:r w:rsidR="00F55232" w:rsidRPr="00F732D7">
        <w:t xml:space="preserve">tanto la UIT como el Gobierno de la India han aprobado </w:t>
      </w:r>
      <w:r w:rsidR="00CE36BE" w:rsidRPr="00F732D7">
        <w:t xml:space="preserve">el acuerdo </w:t>
      </w:r>
      <w:r w:rsidR="00F55232" w:rsidRPr="00F732D7">
        <w:t>de</w:t>
      </w:r>
      <w:r w:rsidR="00CE36BE" w:rsidRPr="00F732D7">
        <w:t xml:space="preserve"> país anfitrión</w:t>
      </w:r>
      <w:bookmarkEnd w:id="31"/>
      <w:r w:rsidR="00CE36BE" w:rsidRPr="00F732D7">
        <w:t>.</w:t>
      </w:r>
    </w:p>
    <w:p w14:paraId="74C04A1B" w14:textId="45768417" w:rsidR="004578F1" w:rsidRPr="00F732D7" w:rsidRDefault="004578F1" w:rsidP="00965A04">
      <w:r w:rsidRPr="00092831">
        <w:t>3.2</w:t>
      </w:r>
      <w:r w:rsidRPr="00F732D7">
        <w:tab/>
      </w:r>
      <w:bookmarkStart w:id="32" w:name="lt_pId089"/>
      <w:r w:rsidR="00FB75FD" w:rsidRPr="00F732D7">
        <w:t xml:space="preserve">Los </w:t>
      </w:r>
      <w:r w:rsidR="003D47F2">
        <w:t>c</w:t>
      </w:r>
      <w:r w:rsidR="00FB75FD" w:rsidRPr="00F732D7">
        <w:t xml:space="preserve">onsejeros acogen con satisfacción el informe y los esfuerzos realizados </w:t>
      </w:r>
      <w:r w:rsidR="00F35074" w:rsidRPr="00F732D7">
        <w:t>con miras a</w:t>
      </w:r>
      <w:r w:rsidR="00FB75FD" w:rsidRPr="00F732D7">
        <w:t xml:space="preserve"> reforzar la presencia regional de la UIT y mejorar la </w:t>
      </w:r>
      <w:r w:rsidR="00F35074" w:rsidRPr="00F732D7">
        <w:t>rendición de cuentas</w:t>
      </w:r>
      <w:r w:rsidR="00FB75FD" w:rsidRPr="00F732D7">
        <w:t xml:space="preserve"> y la eficacia de las oficinas regionales, </w:t>
      </w:r>
      <w:r w:rsidR="00F35074" w:rsidRPr="00F732D7">
        <w:t>dado</w:t>
      </w:r>
      <w:r w:rsidR="00FB75FD" w:rsidRPr="00F732D7">
        <w:t xml:space="preserve"> que el trabajo</w:t>
      </w:r>
      <w:r w:rsidR="00F35074" w:rsidRPr="00F732D7">
        <w:t xml:space="preserve"> realizado a escala r</w:t>
      </w:r>
      <w:r w:rsidR="00FB75FD" w:rsidRPr="00F732D7">
        <w:t xml:space="preserve">egional </w:t>
      </w:r>
      <w:r w:rsidR="00F55232" w:rsidRPr="00F732D7">
        <w:t>es</w:t>
      </w:r>
      <w:r w:rsidR="00F35074" w:rsidRPr="00F732D7">
        <w:t xml:space="preserve"> crucial </w:t>
      </w:r>
      <w:r w:rsidR="0094306C" w:rsidRPr="00F732D7">
        <w:t xml:space="preserve">tanto </w:t>
      </w:r>
      <w:r w:rsidR="00FB75FD" w:rsidRPr="00F732D7">
        <w:t xml:space="preserve">para mantener la eficacia y la pertinencia de la UIT, </w:t>
      </w:r>
      <w:r w:rsidR="00F35074" w:rsidRPr="00F732D7">
        <w:t xml:space="preserve">como para </w:t>
      </w:r>
      <w:r w:rsidR="00FB75FD" w:rsidRPr="00F732D7">
        <w:t>garantizar que la Unión</w:t>
      </w:r>
      <w:r w:rsidR="00F35074" w:rsidRPr="00F732D7">
        <w:t xml:space="preserve"> pueda</w:t>
      </w:r>
      <w:r w:rsidR="00FB75FD" w:rsidRPr="00F732D7">
        <w:t xml:space="preserve"> respond</w:t>
      </w:r>
      <w:r w:rsidR="00F35074" w:rsidRPr="00F732D7">
        <w:t>er</w:t>
      </w:r>
      <w:r w:rsidR="00FB75FD" w:rsidRPr="00F732D7">
        <w:t xml:space="preserve"> a las necesidades locales. Se </w:t>
      </w:r>
      <w:r w:rsidR="00F55232" w:rsidRPr="00F732D7">
        <w:t>encomia</w:t>
      </w:r>
      <w:r w:rsidR="00FB75FD" w:rsidRPr="00F732D7">
        <w:t xml:space="preserve"> la labor de las oficinas regionales, que desempeñan un papel fundamental en la preparación de las conferencias y, en particular, en la reunión de Estados Miembros y Miembros de Sector de la Unión </w:t>
      </w:r>
      <w:r w:rsidR="00F35074" w:rsidRPr="00F732D7">
        <w:t>en torno a cuestiones</w:t>
      </w:r>
      <w:r w:rsidR="00FB75FD" w:rsidRPr="00F732D7">
        <w:t xml:space="preserve"> de importancia local. Las oficinas regionales deben </w:t>
      </w:r>
      <w:r w:rsidR="00F35074" w:rsidRPr="00F732D7">
        <w:t>contar con toda la financiación necesaria, así como con una dotación de</w:t>
      </w:r>
      <w:r w:rsidR="00FB75FD" w:rsidRPr="00F732D7">
        <w:t xml:space="preserve"> recursos humanos adecuad</w:t>
      </w:r>
      <w:r w:rsidR="00F35074" w:rsidRPr="00F732D7">
        <w:t>a</w:t>
      </w:r>
      <w:r w:rsidR="00FB75FD" w:rsidRPr="00F732D7">
        <w:t xml:space="preserve">, y funcionar de forma coherente entre sí y con la </w:t>
      </w:r>
      <w:r w:rsidR="00092831" w:rsidRPr="00F732D7">
        <w:t xml:space="preserve">Sede </w:t>
      </w:r>
      <w:r w:rsidR="00FB75FD" w:rsidRPr="00F732D7">
        <w:t xml:space="preserve">de la UIT en Ginebra, bajo el </w:t>
      </w:r>
      <w:r w:rsidR="00F35074" w:rsidRPr="00F732D7">
        <w:t>estandarte de</w:t>
      </w:r>
      <w:r w:rsidR="00FB75FD" w:rsidRPr="00F732D7">
        <w:t xml:space="preserve"> </w:t>
      </w:r>
      <w:r w:rsidR="00D20DE3">
        <w:t>"</w:t>
      </w:r>
      <w:r w:rsidR="00FB75FD" w:rsidRPr="00F732D7">
        <w:t>Una UIT</w:t>
      </w:r>
      <w:r w:rsidR="00D20DE3">
        <w:t>"</w:t>
      </w:r>
      <w:r w:rsidR="00FB75FD" w:rsidRPr="00F732D7">
        <w:t xml:space="preserve">. </w:t>
      </w:r>
      <w:r w:rsidR="00965A04" w:rsidRPr="00F732D7">
        <w:t>Toda</w:t>
      </w:r>
      <w:r w:rsidR="00FB75FD" w:rsidRPr="00F732D7">
        <w:t xml:space="preserve"> reestructuración de la presencia regional debe </w:t>
      </w:r>
      <w:r w:rsidR="00965A04" w:rsidRPr="00F732D7">
        <w:t>llevarse a cabo</w:t>
      </w:r>
      <w:r w:rsidR="00FB75FD" w:rsidRPr="00F732D7">
        <w:t xml:space="preserve"> en consonancia con los principios y orientaciones de otros organismos de las Naciones Unidas y debe </w:t>
      </w:r>
      <w:r w:rsidR="0094306C" w:rsidRPr="00F732D7">
        <w:t>considerarse</w:t>
      </w:r>
      <w:r w:rsidR="00965A04" w:rsidRPr="00F732D7">
        <w:t xml:space="preserve"> como una oportunidad</w:t>
      </w:r>
      <w:r w:rsidR="00FB75FD" w:rsidRPr="00F732D7">
        <w:t xml:space="preserve"> para cooperar con sus oficinas regionales. La Secretaría debería preparar </w:t>
      </w:r>
      <w:r w:rsidR="00965A04" w:rsidRPr="00F732D7">
        <w:t>propuestas</w:t>
      </w:r>
      <w:r w:rsidR="00FB75FD" w:rsidRPr="00F732D7">
        <w:t xml:space="preserve"> </w:t>
      </w:r>
      <w:r w:rsidR="00965A04" w:rsidRPr="00F732D7">
        <w:t>de</w:t>
      </w:r>
      <w:r w:rsidR="00FB75FD" w:rsidRPr="00F732D7">
        <w:t xml:space="preserve"> revisión de la presencia regional</w:t>
      </w:r>
      <w:r w:rsidR="00965A04" w:rsidRPr="00F732D7">
        <w:t xml:space="preserve"> y someterlas a consideración del Grupo de Trabajo del Consejo sobre Recursos Humanos y Financieros (GTC-RHF),</w:t>
      </w:r>
      <w:r w:rsidR="00FB75FD" w:rsidRPr="00F732D7">
        <w:t xml:space="preserve"> en su próxima reunión, y </w:t>
      </w:r>
      <w:r w:rsidR="00965A04" w:rsidRPr="00F732D7">
        <w:t>de la Conferencia de Plenipotenciarios de 2022 (</w:t>
      </w:r>
      <w:bookmarkStart w:id="33" w:name="lt_pId093"/>
      <w:bookmarkEnd w:id="32"/>
      <w:r w:rsidRPr="00F732D7">
        <w:t>PP</w:t>
      </w:r>
      <w:r w:rsidRPr="00F732D7">
        <w:noBreakHyphen/>
        <w:t>22</w:t>
      </w:r>
      <w:r w:rsidR="00965A04" w:rsidRPr="00F732D7">
        <w:t>)</w:t>
      </w:r>
      <w:r w:rsidRPr="00F732D7">
        <w:t>.</w:t>
      </w:r>
      <w:bookmarkEnd w:id="33"/>
    </w:p>
    <w:p w14:paraId="0FE7EA7E" w14:textId="77E2533A" w:rsidR="004578F1" w:rsidRPr="00F732D7" w:rsidRDefault="004578F1" w:rsidP="006D0A42">
      <w:r w:rsidRPr="00100052">
        <w:t>3.3</w:t>
      </w:r>
      <w:r w:rsidRPr="00F732D7">
        <w:tab/>
      </w:r>
      <w:bookmarkStart w:id="34" w:name="lt_pId095"/>
      <w:r w:rsidR="00FB75FD" w:rsidRPr="00F732D7">
        <w:t xml:space="preserve">El </w:t>
      </w:r>
      <w:r w:rsidR="006D0A42" w:rsidRPr="006D0A42">
        <w:t xml:space="preserve">Director Adjunto </w:t>
      </w:r>
      <w:r w:rsidR="00FB75FD" w:rsidRPr="00F732D7">
        <w:t>de la BDT agradec</w:t>
      </w:r>
      <w:r w:rsidR="00057A4C" w:rsidRPr="00F732D7">
        <w:t>e</w:t>
      </w:r>
      <w:r w:rsidR="00FB75FD" w:rsidRPr="00F732D7">
        <w:t xml:space="preserve"> </w:t>
      </w:r>
      <w:r w:rsidR="00243C1A">
        <w:t xml:space="preserve">a </w:t>
      </w:r>
      <w:r w:rsidR="00FB75FD" w:rsidRPr="00F732D7">
        <w:t xml:space="preserve">los </w:t>
      </w:r>
      <w:r w:rsidR="003D47F2">
        <w:t>c</w:t>
      </w:r>
      <w:r w:rsidR="00FB75FD" w:rsidRPr="00F732D7">
        <w:t xml:space="preserve">onsejeros su apoyo a la labor de la UIT a </w:t>
      </w:r>
      <w:r w:rsidR="00057A4C" w:rsidRPr="00F732D7">
        <w:t>escala</w:t>
      </w:r>
      <w:r w:rsidR="00FB75FD" w:rsidRPr="00F732D7">
        <w:t xml:space="preserve"> regional </w:t>
      </w:r>
      <w:r w:rsidR="00057A4C" w:rsidRPr="00F732D7">
        <w:t xml:space="preserve">e indica </w:t>
      </w:r>
      <w:r w:rsidR="00FB75FD" w:rsidRPr="00F732D7">
        <w:t xml:space="preserve">que varias de las cuestiones planteadas, incluida la fijación de criterios objetivos para el establecimiento de oficinas regionales, </w:t>
      </w:r>
      <w:r w:rsidR="00057A4C" w:rsidRPr="00F732D7">
        <w:t>se han incluido</w:t>
      </w:r>
      <w:r w:rsidR="00FB75FD" w:rsidRPr="00F732D7">
        <w:t xml:space="preserve"> en el informe de PwC y se</w:t>
      </w:r>
      <w:r w:rsidR="00057A4C" w:rsidRPr="00F732D7">
        <w:t xml:space="preserve"> están</w:t>
      </w:r>
      <w:r w:rsidR="00FB75FD" w:rsidRPr="00F732D7">
        <w:t xml:space="preserve"> abordando </w:t>
      </w:r>
      <w:r w:rsidR="00057A4C" w:rsidRPr="00F732D7">
        <w:t>en el marco del proceso de examen</w:t>
      </w:r>
      <w:r w:rsidR="00FB75FD" w:rsidRPr="00F732D7">
        <w:t xml:space="preserve">. </w:t>
      </w:r>
      <w:r w:rsidR="0043280F" w:rsidRPr="00F732D7">
        <w:t>Efectivamente, l</w:t>
      </w:r>
      <w:r w:rsidR="00FB75FD" w:rsidRPr="00F732D7">
        <w:t xml:space="preserve">a presencia regional debería reflejar </w:t>
      </w:r>
      <w:r w:rsidR="00D20DE3">
        <w:t>"</w:t>
      </w:r>
      <w:r w:rsidR="00FB75FD" w:rsidRPr="00F732D7">
        <w:t>Una UIT</w:t>
      </w:r>
      <w:r w:rsidR="00D20DE3">
        <w:t>"</w:t>
      </w:r>
      <w:r w:rsidR="00FB75FD" w:rsidRPr="00F732D7">
        <w:t xml:space="preserve">; </w:t>
      </w:r>
      <w:r w:rsidR="0043280F" w:rsidRPr="00F732D7">
        <w:t xml:space="preserve">el tema de </w:t>
      </w:r>
      <w:r w:rsidR="00FB75FD" w:rsidRPr="00F732D7">
        <w:t>la coordinación se ha</w:t>
      </w:r>
      <w:r w:rsidR="00100052">
        <w:t xml:space="preserve"> </w:t>
      </w:r>
      <w:r w:rsidR="0043280F" w:rsidRPr="00F732D7">
        <w:t>analizado</w:t>
      </w:r>
      <w:r w:rsidR="00100052">
        <w:t xml:space="preserve"> </w:t>
      </w:r>
      <w:r w:rsidR="0043280F" w:rsidRPr="00F732D7">
        <w:t>pormenorizadamente</w:t>
      </w:r>
      <w:r w:rsidR="00FB75FD" w:rsidRPr="00F732D7">
        <w:t xml:space="preserve"> en el grupo </w:t>
      </w:r>
      <w:r w:rsidR="00FB75FD" w:rsidRPr="00100052">
        <w:rPr>
          <w:i/>
          <w:iCs/>
        </w:rPr>
        <w:t>ad</w:t>
      </w:r>
      <w:r w:rsidR="00100052">
        <w:rPr>
          <w:i/>
          <w:iCs/>
        </w:rPr>
        <w:t> </w:t>
      </w:r>
      <w:r w:rsidR="00FB75FD" w:rsidRPr="00100052">
        <w:rPr>
          <w:i/>
          <w:iCs/>
        </w:rPr>
        <w:t>hoc</w:t>
      </w:r>
      <w:r w:rsidR="00FB75FD" w:rsidRPr="00F732D7">
        <w:t xml:space="preserve"> del </w:t>
      </w:r>
      <w:r w:rsidR="0043280F" w:rsidRPr="00F732D7">
        <w:t>GTC-RHF</w:t>
      </w:r>
      <w:r w:rsidR="00FB75FD" w:rsidRPr="00F732D7">
        <w:t>, y la secretaría est</w:t>
      </w:r>
      <w:r w:rsidR="0043280F" w:rsidRPr="00F732D7">
        <w:t>á</w:t>
      </w:r>
      <w:r w:rsidR="00FB75FD" w:rsidRPr="00F732D7">
        <w:t xml:space="preserve"> tomando medidas para mejorar la coherencia. Se está</w:t>
      </w:r>
      <w:r w:rsidR="0043280F" w:rsidRPr="00F732D7">
        <w:t xml:space="preserve"> considerando la posibilidad de crear </w:t>
      </w:r>
      <w:r w:rsidR="00FB75FD" w:rsidRPr="00F732D7">
        <w:t>un comité de coordinación intern</w:t>
      </w:r>
      <w:r w:rsidR="0043280F" w:rsidRPr="00F732D7">
        <w:t>a</w:t>
      </w:r>
      <w:r w:rsidR="00FB75FD" w:rsidRPr="00F732D7">
        <w:t xml:space="preserve"> y se está revisando la página web</w:t>
      </w:r>
      <w:r w:rsidR="0043280F" w:rsidRPr="00F732D7">
        <w:t>, a fin</w:t>
      </w:r>
      <w:r w:rsidR="0094306C" w:rsidRPr="00F732D7">
        <w:t xml:space="preserve"> </w:t>
      </w:r>
      <w:r w:rsidR="0043280F" w:rsidRPr="00F732D7">
        <w:t>de</w:t>
      </w:r>
      <w:r w:rsidR="00FB75FD" w:rsidRPr="00F732D7">
        <w:t xml:space="preserve"> reflej</w:t>
      </w:r>
      <w:r w:rsidR="0043280F" w:rsidRPr="00F732D7">
        <w:t>ar</w:t>
      </w:r>
      <w:r w:rsidR="00FB75FD" w:rsidRPr="00F732D7">
        <w:t xml:space="preserve"> mejor el trabajo de la BR y la TSB en cada región. Se espera que los Estados </w:t>
      </w:r>
      <w:r w:rsidR="0043280F" w:rsidRPr="00F732D7">
        <w:t xml:space="preserve">Miembros puedan ver pronto una mejora de la calidad de la información </w:t>
      </w:r>
      <w:r w:rsidR="00FB75FD" w:rsidRPr="00F732D7">
        <w:t>ofrec</w:t>
      </w:r>
      <w:r w:rsidR="0043280F" w:rsidRPr="00F732D7">
        <w:t>ida</w:t>
      </w:r>
      <w:r w:rsidR="00FB75FD" w:rsidRPr="00F732D7">
        <w:t xml:space="preserve"> en el sitio web. La secretaría se esforzará por proporcionar la información solicitada al </w:t>
      </w:r>
      <w:r w:rsidR="0043280F" w:rsidRPr="00F732D7">
        <w:t>GTC-RHF a efectos de la</w:t>
      </w:r>
      <w:r w:rsidR="00FB75FD" w:rsidRPr="00F732D7">
        <w:t xml:space="preserve"> preparación de la próxima </w:t>
      </w:r>
      <w:r w:rsidR="0043280F" w:rsidRPr="00F732D7">
        <w:t xml:space="preserve">Conferencia </w:t>
      </w:r>
      <w:bookmarkEnd w:id="34"/>
      <w:r w:rsidR="0043280F" w:rsidRPr="00F732D7">
        <w:t>de Plenipoten</w:t>
      </w:r>
      <w:r w:rsidR="0094306C" w:rsidRPr="00F732D7">
        <w:t>c</w:t>
      </w:r>
      <w:r w:rsidR="0043280F" w:rsidRPr="00F732D7">
        <w:t>iarios.</w:t>
      </w:r>
    </w:p>
    <w:p w14:paraId="4F1BA0D7" w14:textId="10A2926B" w:rsidR="004578F1" w:rsidRPr="00F732D7" w:rsidRDefault="004578F1" w:rsidP="00310E71">
      <w:pPr>
        <w:keepNext/>
        <w:keepLines/>
      </w:pPr>
      <w:bookmarkStart w:id="35" w:name="_Hlk75117460"/>
      <w:r w:rsidRPr="005745FC">
        <w:lastRenderedPageBreak/>
        <w:t>3.4</w:t>
      </w:r>
      <w:r w:rsidRPr="00F732D7">
        <w:tab/>
      </w:r>
      <w:bookmarkStart w:id="36" w:name="lt_pId101"/>
      <w:r w:rsidR="00FB75FD" w:rsidRPr="00F732D7">
        <w:t xml:space="preserve">El </w:t>
      </w:r>
      <w:r w:rsidR="004B7109">
        <w:t>c</w:t>
      </w:r>
      <w:r w:rsidR="004250C7" w:rsidRPr="00F732D7">
        <w:t xml:space="preserve">onsejero </w:t>
      </w:r>
      <w:r w:rsidR="00FB75FD" w:rsidRPr="00F732D7">
        <w:t>de Pakistán solicit</w:t>
      </w:r>
      <w:r w:rsidR="0043280F" w:rsidRPr="00F732D7">
        <w:t>a</w:t>
      </w:r>
      <w:r w:rsidR="00FB75FD" w:rsidRPr="00F732D7">
        <w:t xml:space="preserve"> una aclaración sobre la propuesta de establecer una </w:t>
      </w:r>
      <w:r w:rsidR="008B450E">
        <w:t>o</w:t>
      </w:r>
      <w:r w:rsidR="0043280F" w:rsidRPr="00F732D7">
        <w:t xml:space="preserve">ficina </w:t>
      </w:r>
      <w:r w:rsidR="008B450E">
        <w:t>z</w:t>
      </w:r>
      <w:r w:rsidR="0043280F" w:rsidRPr="00F732D7">
        <w:t>onal</w:t>
      </w:r>
      <w:r w:rsidR="00FB75FD" w:rsidRPr="00F732D7">
        <w:t xml:space="preserve"> </w:t>
      </w:r>
      <w:r w:rsidR="004A4C17" w:rsidRPr="00F732D7">
        <w:t>para</w:t>
      </w:r>
      <w:r w:rsidR="00FB75FD" w:rsidRPr="00F732D7">
        <w:t xml:space="preserve"> Asia Meridional en la India. </w:t>
      </w:r>
      <w:r w:rsidR="00AC0665" w:rsidRPr="00F732D7">
        <w:t>A s</w:t>
      </w:r>
      <w:r w:rsidR="00FB75FD" w:rsidRPr="00F732D7">
        <w:t xml:space="preserve">u Administración, </w:t>
      </w:r>
      <w:r w:rsidR="00AC0665" w:rsidRPr="00F732D7">
        <w:t>que</w:t>
      </w:r>
      <w:r w:rsidR="00FB75FD" w:rsidRPr="00F732D7">
        <w:t xml:space="preserve"> en principio </w:t>
      </w:r>
      <w:r w:rsidR="004A4C17" w:rsidRPr="00F732D7">
        <w:t xml:space="preserve">apoya </w:t>
      </w:r>
      <w:r w:rsidR="00FB75FD" w:rsidRPr="00F732D7">
        <w:t xml:space="preserve">la creación de una </w:t>
      </w:r>
      <w:r w:rsidR="003D62BC" w:rsidRPr="00F732D7">
        <w:t>oficina zonal</w:t>
      </w:r>
      <w:r w:rsidR="00FB75FD" w:rsidRPr="00F732D7">
        <w:t xml:space="preserve">, </w:t>
      </w:r>
      <w:r w:rsidR="00AC0665" w:rsidRPr="00F732D7">
        <w:t>le preocupa que la ubicación de l</w:t>
      </w:r>
      <w:r w:rsidR="00FB75FD" w:rsidRPr="00F732D7">
        <w:t>a oficina</w:t>
      </w:r>
      <w:r w:rsidR="00AC0665" w:rsidRPr="00F732D7">
        <w:t xml:space="preserve"> en cuestión</w:t>
      </w:r>
      <w:r w:rsidR="00FB75FD" w:rsidRPr="00F732D7">
        <w:t xml:space="preserve"> deba decidirse por consenso. Pakistán transmiti</w:t>
      </w:r>
      <w:r w:rsidR="00AC0665" w:rsidRPr="00F732D7">
        <w:t>ó</w:t>
      </w:r>
      <w:r w:rsidR="00FB75FD" w:rsidRPr="00F732D7">
        <w:t xml:space="preserve"> esa</w:t>
      </w:r>
      <w:r w:rsidR="003D62BC" w:rsidRPr="00F732D7">
        <w:t xml:space="preserve"> misma</w:t>
      </w:r>
      <w:r w:rsidR="00FB75FD" w:rsidRPr="00F732D7">
        <w:t xml:space="preserve"> posición por escrito en 2018, junto con la opinión de que </w:t>
      </w:r>
      <w:r w:rsidR="003D62BC" w:rsidRPr="00F732D7">
        <w:t xml:space="preserve">es fundamental definir </w:t>
      </w:r>
      <w:r w:rsidR="00FB75FD" w:rsidRPr="00F732D7">
        <w:t xml:space="preserve">unos criterios de evaluación claros y unos procedimientos operativos normalizados para la presentación y el examen de las propuestas </w:t>
      </w:r>
      <w:r w:rsidR="00AC0665" w:rsidRPr="00F732D7">
        <w:t>relativas a las</w:t>
      </w:r>
      <w:r w:rsidR="00FB75FD" w:rsidRPr="00F732D7">
        <w:t xml:space="preserve"> </w:t>
      </w:r>
      <w:r w:rsidR="00AC0665" w:rsidRPr="00F732D7">
        <w:t>Oficinas Zonales</w:t>
      </w:r>
      <w:r w:rsidR="00FB75FD" w:rsidRPr="00F732D7">
        <w:t xml:space="preserve"> de la UIT. En la </w:t>
      </w:r>
      <w:r w:rsidR="00AC0665" w:rsidRPr="00F732D7">
        <w:t>reunión</w:t>
      </w:r>
      <w:r w:rsidR="00FB75FD" w:rsidRPr="00F732D7">
        <w:t xml:space="preserve"> de 2018 del Consejo, varios </w:t>
      </w:r>
      <w:r w:rsidR="003D47F2">
        <w:t>c</w:t>
      </w:r>
      <w:r w:rsidR="004250C7" w:rsidRPr="00F732D7">
        <w:t xml:space="preserve">onsejeros </w:t>
      </w:r>
      <w:r w:rsidR="00AC0665" w:rsidRPr="00F732D7">
        <w:t>insistieron</w:t>
      </w:r>
      <w:r w:rsidR="00FB75FD" w:rsidRPr="00F732D7">
        <w:t xml:space="preserve"> igualmente en la necesidad de </w:t>
      </w:r>
      <w:r w:rsidR="00AC0665" w:rsidRPr="00F732D7">
        <w:t>establecer</w:t>
      </w:r>
      <w:r w:rsidR="00FB75FD" w:rsidRPr="00F732D7">
        <w:t xml:space="preserve"> criterios objetivos a ese respecto. </w:t>
      </w:r>
      <w:r w:rsidR="002801E5" w:rsidRPr="00F732D7">
        <w:t xml:space="preserve">La dilatación </w:t>
      </w:r>
      <w:r w:rsidR="00FB75FD" w:rsidRPr="00F732D7">
        <w:t>del debate y la falta de consenso</w:t>
      </w:r>
      <w:r w:rsidR="002801E5" w:rsidRPr="00F732D7">
        <w:t xml:space="preserve">s o conclusiones al respecto aparecen reflejadas </w:t>
      </w:r>
      <w:r w:rsidR="00FB75FD" w:rsidRPr="00F732D7">
        <w:t>en</w:t>
      </w:r>
      <w:r w:rsidR="002801E5" w:rsidRPr="00F732D7">
        <w:t xml:space="preserve"> </w:t>
      </w:r>
      <w:r w:rsidR="00FB75FD" w:rsidRPr="00F732D7">
        <w:t>l</w:t>
      </w:r>
      <w:r w:rsidR="002801E5" w:rsidRPr="00F732D7">
        <w:t>as</w:t>
      </w:r>
      <w:r w:rsidR="00FB75FD" w:rsidRPr="00F732D7">
        <w:t xml:space="preserve"> acta</w:t>
      </w:r>
      <w:r w:rsidR="002801E5" w:rsidRPr="00F732D7">
        <w:t>s de dicha reunión</w:t>
      </w:r>
      <w:r w:rsidR="00FB75FD" w:rsidRPr="00F732D7">
        <w:t xml:space="preserve"> del Consejo,</w:t>
      </w:r>
      <w:r w:rsidR="002801E5" w:rsidRPr="00F732D7">
        <w:t xml:space="preserve"> en la</w:t>
      </w:r>
      <w:r w:rsidR="003D62BC" w:rsidRPr="00F732D7">
        <w:t>s</w:t>
      </w:r>
      <w:r w:rsidR="00FB75FD" w:rsidRPr="00F732D7">
        <w:t xml:space="preserve"> que no</w:t>
      </w:r>
      <w:r w:rsidR="002801E5" w:rsidRPr="00F732D7">
        <w:t xml:space="preserve"> se determin</w:t>
      </w:r>
      <w:r w:rsidR="003D62BC" w:rsidRPr="00F732D7">
        <w:t>a</w:t>
      </w:r>
      <w:r w:rsidR="00FB75FD" w:rsidRPr="00F732D7">
        <w:t xml:space="preserve"> </w:t>
      </w:r>
      <w:r w:rsidR="002801E5" w:rsidRPr="00F732D7">
        <w:t>ningún</w:t>
      </w:r>
      <w:r w:rsidR="00FB75FD" w:rsidRPr="00F732D7">
        <w:t xml:space="preserve"> posible país anfitrión. Además, e</w:t>
      </w:r>
      <w:r w:rsidR="002801E5" w:rsidRPr="00F732D7">
        <w:t>s</w:t>
      </w:r>
      <w:r w:rsidR="00FB75FD" w:rsidRPr="00F732D7">
        <w:t xml:space="preserve"> importante que el Consejo confirm</w:t>
      </w:r>
      <w:r w:rsidR="002801E5" w:rsidRPr="00F732D7">
        <w:t>e</w:t>
      </w:r>
      <w:r w:rsidR="00FB75FD" w:rsidRPr="00F732D7">
        <w:t xml:space="preserve"> que la iniciativa de establecer una nueva </w:t>
      </w:r>
      <w:r w:rsidR="003D62BC" w:rsidRPr="00F732D7">
        <w:t xml:space="preserve">oficina zonal </w:t>
      </w:r>
      <w:r w:rsidR="002801E5" w:rsidRPr="00F732D7">
        <w:t>es coherente con</w:t>
      </w:r>
      <w:r w:rsidR="00FB75FD" w:rsidRPr="00F732D7">
        <w:t xml:space="preserve"> </w:t>
      </w:r>
      <w:r w:rsidR="002801E5" w:rsidRPr="00F732D7">
        <w:t>e</w:t>
      </w:r>
      <w:r w:rsidR="00FB75FD" w:rsidRPr="00F732D7">
        <w:t xml:space="preserve">l espíritu de los procesos, decisiones, resoluciones e informes </w:t>
      </w:r>
      <w:r w:rsidR="002801E5" w:rsidRPr="00F732D7">
        <w:t>analíticos</w:t>
      </w:r>
      <w:r w:rsidR="00FB75FD" w:rsidRPr="00F732D7">
        <w:t xml:space="preserve"> anteriores, en particular la Resolución 1114 del Consejo, el informe </w:t>
      </w:r>
      <w:r w:rsidR="002801E5" w:rsidRPr="00F732D7">
        <w:t xml:space="preserve">de 2009 </w:t>
      </w:r>
      <w:r w:rsidR="00FB75FD" w:rsidRPr="00F732D7">
        <w:t>de la DCI de las Naciones Unidas y la Resolución</w:t>
      </w:r>
      <w:r w:rsidR="00310E71">
        <w:t> </w:t>
      </w:r>
      <w:r w:rsidR="00FB75FD" w:rsidRPr="00F732D7">
        <w:t>25 (Rev. Dubái, 2018)</w:t>
      </w:r>
      <w:r w:rsidR="002801E5" w:rsidRPr="00F732D7">
        <w:t xml:space="preserve"> de la PP</w:t>
      </w:r>
      <w:r w:rsidR="00FB75FD" w:rsidRPr="00F732D7">
        <w:t>, que exig</w:t>
      </w:r>
      <w:r w:rsidR="002801E5" w:rsidRPr="00F732D7">
        <w:t>e</w:t>
      </w:r>
      <w:r w:rsidR="00FB75FD" w:rsidRPr="00F732D7">
        <w:t xml:space="preserve">n </w:t>
      </w:r>
      <w:r w:rsidR="002801E5" w:rsidRPr="00F732D7">
        <w:t xml:space="preserve">la fijación de </w:t>
      </w:r>
      <w:r w:rsidR="00FB75FD" w:rsidRPr="00F732D7">
        <w:t>criterios objetivos. Pakistán consider</w:t>
      </w:r>
      <w:r w:rsidR="00F76A8F" w:rsidRPr="00F732D7">
        <w:t>a</w:t>
      </w:r>
      <w:r w:rsidR="00FB75FD" w:rsidRPr="00F732D7">
        <w:t xml:space="preserve"> que seguir adelante con </w:t>
      </w:r>
      <w:r w:rsidR="00F76A8F" w:rsidRPr="00F732D7">
        <w:t>la creación</w:t>
      </w:r>
      <w:r w:rsidR="00FB75FD" w:rsidRPr="00F732D7">
        <w:t xml:space="preserve"> de una </w:t>
      </w:r>
      <w:r w:rsidR="008B450E">
        <w:t>o</w:t>
      </w:r>
      <w:r w:rsidR="00F76A8F" w:rsidRPr="00F732D7">
        <w:t>ficina</w:t>
      </w:r>
      <w:r w:rsidR="00FB75FD" w:rsidRPr="00F732D7">
        <w:t xml:space="preserve"> </w:t>
      </w:r>
      <w:r w:rsidR="008B450E">
        <w:t>z</w:t>
      </w:r>
      <w:r w:rsidR="00F76A8F" w:rsidRPr="00F732D7">
        <w:t>onal para</w:t>
      </w:r>
      <w:r w:rsidR="00FB75FD" w:rsidRPr="00F732D7">
        <w:t xml:space="preserve"> Asia Meridional sin </w:t>
      </w:r>
      <w:r w:rsidR="00F76A8F" w:rsidRPr="00F732D7">
        <w:t>un</w:t>
      </w:r>
      <w:r w:rsidR="00FB75FD" w:rsidRPr="00F732D7">
        <w:t xml:space="preserve"> enfoque basado en criterios y </w:t>
      </w:r>
      <w:r w:rsidR="00F76A8F" w:rsidRPr="00F732D7">
        <w:t>unos</w:t>
      </w:r>
      <w:r w:rsidR="00FB75FD" w:rsidRPr="00F732D7">
        <w:t xml:space="preserve"> objetivos</w:t>
      </w:r>
      <w:r w:rsidR="00F76A8F" w:rsidRPr="00F732D7">
        <w:t xml:space="preserve"> claros</w:t>
      </w:r>
      <w:r w:rsidR="00FB75FD" w:rsidRPr="00F732D7">
        <w:t xml:space="preserve"> iría en detrimento del mecanismo de consenso del Consejo, e inst</w:t>
      </w:r>
      <w:r w:rsidR="00F76A8F" w:rsidRPr="00F732D7">
        <w:t>a</w:t>
      </w:r>
      <w:r w:rsidR="00FB75FD" w:rsidRPr="00F732D7">
        <w:t xml:space="preserve"> al Consejo a adoptar un </w:t>
      </w:r>
      <w:r w:rsidR="00F76A8F" w:rsidRPr="00F732D7">
        <w:t>método</w:t>
      </w:r>
      <w:r w:rsidR="00FB75FD" w:rsidRPr="00F732D7">
        <w:t xml:space="preserve"> gradual para </w:t>
      </w:r>
      <w:r w:rsidR="00F76A8F" w:rsidRPr="00F732D7">
        <w:t>abordar</w:t>
      </w:r>
      <w:r w:rsidR="00FB75FD" w:rsidRPr="00F732D7">
        <w:t xml:space="preserve"> la propuesta, </w:t>
      </w:r>
      <w:r w:rsidR="00F76A8F" w:rsidRPr="00F732D7">
        <w:t>habida</w:t>
      </w:r>
      <w:r w:rsidR="00FB75FD" w:rsidRPr="00F732D7">
        <w:t xml:space="preserve"> cuenta</w:t>
      </w:r>
      <w:r w:rsidR="00F76A8F" w:rsidRPr="00F732D7">
        <w:t xml:space="preserve"> de</w:t>
      </w:r>
      <w:r w:rsidR="00FB75FD" w:rsidRPr="00F732D7">
        <w:t xml:space="preserve"> las opiniones y los acuerdos de todos los países de la región </w:t>
      </w:r>
      <w:bookmarkEnd w:id="36"/>
      <w:r w:rsidR="00F76A8F" w:rsidRPr="00F732D7">
        <w:t>interesada.</w:t>
      </w:r>
    </w:p>
    <w:p w14:paraId="71F6335E" w14:textId="0E0C00DB" w:rsidR="004578F1" w:rsidRPr="00F732D7" w:rsidRDefault="004578F1" w:rsidP="000D755B">
      <w:r w:rsidRPr="005745FC">
        <w:t>3.5</w:t>
      </w:r>
      <w:r w:rsidRPr="00F732D7">
        <w:tab/>
      </w:r>
      <w:bookmarkStart w:id="37" w:name="lt_pId109"/>
      <w:r w:rsidR="00FB75FD" w:rsidRPr="00F732D7">
        <w:t xml:space="preserve">El </w:t>
      </w:r>
      <w:r w:rsidR="004B7109">
        <w:t>c</w:t>
      </w:r>
      <w:r w:rsidR="004250C7" w:rsidRPr="00F732D7">
        <w:t xml:space="preserve">onsejero </w:t>
      </w:r>
      <w:r w:rsidR="00FB75FD" w:rsidRPr="00F732D7">
        <w:t xml:space="preserve">de la India </w:t>
      </w:r>
      <w:r w:rsidR="000D755B" w:rsidRPr="00F732D7">
        <w:t>señala</w:t>
      </w:r>
      <w:r w:rsidR="00FB75FD" w:rsidRPr="00F732D7">
        <w:t xml:space="preserve"> que la decisión relativa a la </w:t>
      </w:r>
      <w:r w:rsidR="00F76A8F" w:rsidRPr="00F732D7">
        <w:t xml:space="preserve">creación de una </w:t>
      </w:r>
      <w:r w:rsidR="00FB75FD" w:rsidRPr="00F732D7">
        <w:t xml:space="preserve">nueva </w:t>
      </w:r>
      <w:r w:rsidR="008B450E">
        <w:t>o</w:t>
      </w:r>
      <w:r w:rsidR="00F76A8F" w:rsidRPr="00F732D7">
        <w:t xml:space="preserve">ficina </w:t>
      </w:r>
      <w:r w:rsidR="008B450E">
        <w:t>z</w:t>
      </w:r>
      <w:r w:rsidR="00F76A8F" w:rsidRPr="00F732D7">
        <w:t xml:space="preserve">onal para Asia Meridional </w:t>
      </w:r>
      <w:r w:rsidR="00FB75FD" w:rsidRPr="00F732D7">
        <w:t xml:space="preserve">se </w:t>
      </w:r>
      <w:r w:rsidR="00F76A8F" w:rsidRPr="00F732D7">
        <w:t>adoptó</w:t>
      </w:r>
      <w:r w:rsidR="00FB75FD" w:rsidRPr="00F732D7">
        <w:t xml:space="preserve"> por consenso en la </w:t>
      </w:r>
      <w:r w:rsidR="000D755B" w:rsidRPr="00F732D7">
        <w:t>sesión final</w:t>
      </w:r>
      <w:r w:rsidR="00FB75FD" w:rsidRPr="00F732D7">
        <w:t xml:space="preserve"> </w:t>
      </w:r>
      <w:r w:rsidR="003D62BC" w:rsidRPr="00F732D7">
        <w:t xml:space="preserve">de 2018 </w:t>
      </w:r>
      <w:r w:rsidR="00FB75FD" w:rsidRPr="00F732D7">
        <w:t xml:space="preserve">del Consejo, </w:t>
      </w:r>
      <w:r w:rsidR="000D755B" w:rsidRPr="00F732D7">
        <w:t>que tuvo lugar</w:t>
      </w:r>
      <w:r w:rsidR="00FB75FD" w:rsidRPr="00F732D7">
        <w:t xml:space="preserve"> en Dubái. </w:t>
      </w:r>
      <w:r w:rsidR="00F76A8F" w:rsidRPr="00F732D7">
        <w:t>Consejeros de todo el mundo apoyaron la propuesta, basándose en</w:t>
      </w:r>
      <w:r w:rsidR="00FB75FD" w:rsidRPr="00F732D7">
        <w:t xml:space="preserve"> criterios objetivos, </w:t>
      </w:r>
      <w:r w:rsidR="000D755B" w:rsidRPr="00F732D7">
        <w:t>como el elevado porcentaje de</w:t>
      </w:r>
      <w:r w:rsidR="00FB75FD" w:rsidRPr="00F732D7">
        <w:t xml:space="preserve"> población cubierta (24% de la población mundial). El proceso de preparación previo a la adopción de esa decisión </w:t>
      </w:r>
      <w:r w:rsidR="000D755B" w:rsidRPr="00F732D7">
        <w:t>fue</w:t>
      </w:r>
      <w:r w:rsidR="00FB75FD" w:rsidRPr="00F732D7">
        <w:t xml:space="preserve"> exhaustivo </w:t>
      </w:r>
      <w:r w:rsidR="000D755B" w:rsidRPr="00F732D7">
        <w:t>e incluyó</w:t>
      </w:r>
      <w:r w:rsidR="00FB75FD" w:rsidRPr="00F732D7">
        <w:t xml:space="preserve"> una consulta con los Estados </w:t>
      </w:r>
      <w:r w:rsidR="000D755B" w:rsidRPr="00F732D7">
        <w:t xml:space="preserve">Miembros </w:t>
      </w:r>
      <w:r w:rsidR="00FB75FD" w:rsidRPr="00F732D7">
        <w:t xml:space="preserve">de la región. La decisión del Consejo quedó claramente recogida en </w:t>
      </w:r>
      <w:r w:rsidR="000D755B" w:rsidRPr="00F732D7">
        <w:t>las</w:t>
      </w:r>
      <w:r w:rsidR="00FB75FD" w:rsidRPr="00F732D7">
        <w:t xml:space="preserve"> acta</w:t>
      </w:r>
      <w:r w:rsidR="000D755B" w:rsidRPr="00F732D7">
        <w:t>s</w:t>
      </w:r>
      <w:r w:rsidR="00FB75FD" w:rsidRPr="00F732D7">
        <w:t xml:space="preserve"> de la reunión. Su Administración</w:t>
      </w:r>
      <w:r w:rsidR="000D755B" w:rsidRPr="00F732D7">
        <w:t xml:space="preserve"> no ha escatimado ni en esfuerzos ni en recursos</w:t>
      </w:r>
      <w:r w:rsidR="00FB75FD" w:rsidRPr="00F732D7">
        <w:t xml:space="preserve"> para completar el proceso y finalizar y concluir el acuerdo </w:t>
      </w:r>
      <w:r w:rsidR="000D755B" w:rsidRPr="00F732D7">
        <w:t>de</w:t>
      </w:r>
      <w:r w:rsidR="00FB75FD" w:rsidRPr="00F732D7">
        <w:t xml:space="preserve"> país anfitrión.</w:t>
      </w:r>
      <w:bookmarkEnd w:id="37"/>
    </w:p>
    <w:p w14:paraId="0D1D8022" w14:textId="42A70DF6" w:rsidR="004578F1" w:rsidRPr="00F732D7" w:rsidRDefault="004578F1" w:rsidP="000D755B">
      <w:r w:rsidRPr="005745FC">
        <w:t>3.6</w:t>
      </w:r>
      <w:r w:rsidRPr="00F732D7">
        <w:tab/>
      </w:r>
      <w:bookmarkStart w:id="38" w:name="lt_pId115"/>
      <w:r w:rsidR="00FB75FD" w:rsidRPr="00F732D7">
        <w:t xml:space="preserve">El Director Adjunto de la BDT </w:t>
      </w:r>
      <w:r w:rsidR="000D755B" w:rsidRPr="00F732D7">
        <w:t>observa</w:t>
      </w:r>
      <w:r w:rsidR="00FB75FD" w:rsidRPr="00F732D7">
        <w:t xml:space="preserve"> que, tras </w:t>
      </w:r>
      <w:r w:rsidR="000D755B" w:rsidRPr="00F732D7">
        <w:t>la</w:t>
      </w:r>
      <w:r w:rsidR="00FB75FD" w:rsidRPr="00F732D7">
        <w:t xml:space="preserve"> consulta celebrada con los Estados Miembros de la región, el </w:t>
      </w:r>
      <w:r w:rsidR="000D755B" w:rsidRPr="00F732D7">
        <w:t>Consejo sopesó el establecimiento d</w:t>
      </w:r>
      <w:r w:rsidR="00FB75FD" w:rsidRPr="00F732D7">
        <w:t xml:space="preserve">e la nueva </w:t>
      </w:r>
      <w:r w:rsidR="003D62BC" w:rsidRPr="00F732D7">
        <w:t xml:space="preserve">oficina zonal </w:t>
      </w:r>
      <w:r w:rsidR="00FB75FD" w:rsidRPr="00F732D7">
        <w:t>en la India</w:t>
      </w:r>
      <w:r w:rsidR="000D755B" w:rsidRPr="00F732D7">
        <w:t xml:space="preserve"> en su sesión </w:t>
      </w:r>
      <w:r w:rsidR="00FB75FD" w:rsidRPr="00F732D7">
        <w:t>de abril</w:t>
      </w:r>
      <w:r w:rsidR="000D755B" w:rsidRPr="00F732D7">
        <w:t xml:space="preserve"> de 2018</w:t>
      </w:r>
      <w:r w:rsidR="00FB75FD" w:rsidRPr="00F732D7">
        <w:t xml:space="preserve"> y </w:t>
      </w:r>
      <w:r w:rsidR="000D755B" w:rsidRPr="00F732D7">
        <w:t>lo debatió de forma pormenorizada e</w:t>
      </w:r>
      <w:r w:rsidR="00FB75FD" w:rsidRPr="00F732D7">
        <w:t xml:space="preserve">n su </w:t>
      </w:r>
      <w:r w:rsidR="000D755B" w:rsidRPr="00F732D7">
        <w:t>ses</w:t>
      </w:r>
      <w:r w:rsidR="00FB75FD" w:rsidRPr="00F732D7">
        <w:t>ión final</w:t>
      </w:r>
      <w:r w:rsidR="000D755B" w:rsidRPr="00F732D7">
        <w:t>,</w:t>
      </w:r>
      <w:r w:rsidR="00FB75FD" w:rsidRPr="00F732D7">
        <w:t xml:space="preserve"> </w:t>
      </w:r>
      <w:r w:rsidR="003D62BC" w:rsidRPr="00F732D7">
        <w:t>que tuvo lugar</w:t>
      </w:r>
      <w:r w:rsidR="00FB75FD" w:rsidRPr="00F732D7">
        <w:t xml:space="preserve"> en octubre de 2018 en </w:t>
      </w:r>
      <w:r w:rsidR="000D755B" w:rsidRPr="00F732D7">
        <w:t>Dubái</w:t>
      </w:r>
      <w:r w:rsidR="00FB75FD" w:rsidRPr="00F732D7">
        <w:t>. La decisión</w:t>
      </w:r>
      <w:r w:rsidR="000D755B" w:rsidRPr="00F732D7">
        <w:t xml:space="preserve"> adoptada a ese respecto figura </w:t>
      </w:r>
      <w:r w:rsidR="00FB75FD" w:rsidRPr="00F732D7">
        <w:t>en l</w:t>
      </w:r>
      <w:r w:rsidR="000D755B" w:rsidRPr="00F732D7">
        <w:t>as</w:t>
      </w:r>
      <w:r w:rsidR="00FB75FD" w:rsidRPr="00F732D7">
        <w:t xml:space="preserve"> acta</w:t>
      </w:r>
      <w:r w:rsidR="000D755B" w:rsidRPr="00F732D7">
        <w:t>s</w:t>
      </w:r>
      <w:r w:rsidR="00FB75FD" w:rsidRPr="00F732D7">
        <w:t xml:space="preserve"> de dicha reunión (</w:t>
      </w:r>
      <w:r w:rsidR="000D755B" w:rsidRPr="00F732D7">
        <w:t xml:space="preserve">véase el </w:t>
      </w:r>
      <w:r w:rsidR="00FB75FD" w:rsidRPr="00F732D7">
        <w:t>§</w:t>
      </w:r>
      <w:r w:rsidR="00310E71">
        <w:t> </w:t>
      </w:r>
      <w:r w:rsidR="00FB75FD" w:rsidRPr="00F732D7">
        <w:t xml:space="preserve">4.11 del </w:t>
      </w:r>
      <w:r w:rsidR="00310E71" w:rsidRPr="00F732D7">
        <w:t xml:space="preserve">Documento </w:t>
      </w:r>
      <w:r w:rsidR="00FB75FD" w:rsidRPr="00F732D7">
        <w:t>C18/129).</w:t>
      </w:r>
      <w:bookmarkEnd w:id="38"/>
    </w:p>
    <w:p w14:paraId="3FC949E1" w14:textId="759FB344" w:rsidR="004578F1" w:rsidRPr="00F732D7" w:rsidRDefault="004578F1" w:rsidP="007760D0">
      <w:r w:rsidRPr="005745FC">
        <w:t>3.7</w:t>
      </w:r>
      <w:r w:rsidRPr="00F732D7">
        <w:tab/>
      </w:r>
      <w:bookmarkStart w:id="39" w:name="lt_pId118"/>
      <w:r w:rsidR="00FB75FD" w:rsidRPr="00F732D7">
        <w:t xml:space="preserve">El </w:t>
      </w:r>
      <w:r w:rsidR="004B7109">
        <w:t>c</w:t>
      </w:r>
      <w:r w:rsidR="004250C7" w:rsidRPr="00F732D7">
        <w:t xml:space="preserve">onsejero </w:t>
      </w:r>
      <w:r w:rsidR="00FB75FD" w:rsidRPr="00F732D7">
        <w:t xml:space="preserve">de Pakistán </w:t>
      </w:r>
      <w:r w:rsidR="007760D0" w:rsidRPr="00F732D7">
        <w:t>considera</w:t>
      </w:r>
      <w:r w:rsidR="00FB75FD" w:rsidRPr="00F732D7">
        <w:t xml:space="preserve"> que la decisión reflejada en</w:t>
      </w:r>
      <w:r w:rsidR="007760D0" w:rsidRPr="00F732D7">
        <w:t xml:space="preserve"> las citadas </w:t>
      </w:r>
      <w:r w:rsidR="00FB75FD" w:rsidRPr="00F732D7">
        <w:t>acta</w:t>
      </w:r>
      <w:r w:rsidR="007760D0" w:rsidRPr="00F732D7">
        <w:t>s</w:t>
      </w:r>
      <w:r w:rsidR="00FB75FD" w:rsidRPr="00F732D7">
        <w:t xml:space="preserve"> </w:t>
      </w:r>
      <w:r w:rsidR="007760D0" w:rsidRPr="00F732D7">
        <w:t>es</w:t>
      </w:r>
      <w:r w:rsidR="00FB75FD" w:rsidRPr="00F732D7">
        <w:t xml:space="preserve"> vaga, contradictoria y ambigua. </w:t>
      </w:r>
      <w:r w:rsidR="007760D0" w:rsidRPr="00F732D7">
        <w:t xml:space="preserve">En ella no se especifica </w:t>
      </w:r>
      <w:r w:rsidR="00FB75FD" w:rsidRPr="00F732D7">
        <w:t>el posible país anfitrión.</w:t>
      </w:r>
      <w:r w:rsidR="007760D0" w:rsidRPr="00F732D7">
        <w:t xml:space="preserve"> Además, se dice que el </w:t>
      </w:r>
      <w:r w:rsidR="00FB75FD" w:rsidRPr="005B1F09">
        <w:rPr>
          <w:spacing w:val="-2"/>
        </w:rPr>
        <w:t>Consejo</w:t>
      </w:r>
      <w:r w:rsidR="007760D0" w:rsidRPr="005B1F09">
        <w:rPr>
          <w:spacing w:val="-2"/>
        </w:rPr>
        <w:t xml:space="preserve"> </w:t>
      </w:r>
      <w:r w:rsidR="00D20DE3" w:rsidRPr="005B1F09">
        <w:rPr>
          <w:spacing w:val="-2"/>
        </w:rPr>
        <w:t>"</w:t>
      </w:r>
      <w:r w:rsidR="007760D0" w:rsidRPr="005B1F09">
        <w:rPr>
          <w:spacing w:val="-2"/>
        </w:rPr>
        <w:t>podría convenir</w:t>
      </w:r>
      <w:r w:rsidR="00D20DE3" w:rsidRPr="005B1F09">
        <w:rPr>
          <w:spacing w:val="-2"/>
        </w:rPr>
        <w:t>"</w:t>
      </w:r>
      <w:r w:rsidR="003D62BC" w:rsidRPr="005B1F09">
        <w:rPr>
          <w:spacing w:val="-2"/>
        </w:rPr>
        <w:t xml:space="preserve"> y no así</w:t>
      </w:r>
      <w:r w:rsidR="00FB75FD" w:rsidRPr="005B1F09">
        <w:rPr>
          <w:spacing w:val="-2"/>
        </w:rPr>
        <w:t xml:space="preserve"> </w:t>
      </w:r>
      <w:r w:rsidR="00D20DE3" w:rsidRPr="005B1F09">
        <w:rPr>
          <w:spacing w:val="-2"/>
        </w:rPr>
        <w:t>"</w:t>
      </w:r>
      <w:r w:rsidR="007760D0" w:rsidRPr="005B1F09">
        <w:rPr>
          <w:spacing w:val="-2"/>
        </w:rPr>
        <w:t>conviene</w:t>
      </w:r>
      <w:r w:rsidR="00D20DE3" w:rsidRPr="005B1F09">
        <w:rPr>
          <w:spacing w:val="-2"/>
        </w:rPr>
        <w:t>"</w:t>
      </w:r>
      <w:r w:rsidR="00FB75FD" w:rsidRPr="005B1F09">
        <w:rPr>
          <w:spacing w:val="-2"/>
        </w:rPr>
        <w:t xml:space="preserve">. </w:t>
      </w:r>
      <w:r w:rsidR="007760D0" w:rsidRPr="005B1F09">
        <w:rPr>
          <w:spacing w:val="-2"/>
        </w:rPr>
        <w:t>Por último</w:t>
      </w:r>
      <w:r w:rsidR="00FB75FD" w:rsidRPr="005B1F09">
        <w:rPr>
          <w:spacing w:val="-2"/>
        </w:rPr>
        <w:t>,</w:t>
      </w:r>
      <w:r w:rsidR="007760D0" w:rsidRPr="005B1F09">
        <w:rPr>
          <w:spacing w:val="-2"/>
        </w:rPr>
        <w:t xml:space="preserve"> se</w:t>
      </w:r>
      <w:r w:rsidR="00FB75FD" w:rsidRPr="005B1F09">
        <w:rPr>
          <w:spacing w:val="-2"/>
        </w:rPr>
        <w:t xml:space="preserve"> afirma que la secretaría </w:t>
      </w:r>
      <w:r w:rsidR="007760D0" w:rsidRPr="005B1F09">
        <w:rPr>
          <w:spacing w:val="-2"/>
        </w:rPr>
        <w:t xml:space="preserve">debería </w:t>
      </w:r>
      <w:r w:rsidR="007760D0" w:rsidRPr="005B1F09">
        <w:rPr>
          <w:spacing w:val="-4"/>
        </w:rPr>
        <w:t xml:space="preserve">proponer criterios </w:t>
      </w:r>
      <w:r w:rsidR="00FB75FD" w:rsidRPr="005B1F09">
        <w:rPr>
          <w:spacing w:val="-4"/>
        </w:rPr>
        <w:t xml:space="preserve">claros, que lógicamente deberían </w:t>
      </w:r>
      <w:r w:rsidR="007760D0" w:rsidRPr="005B1F09">
        <w:rPr>
          <w:spacing w:val="-4"/>
        </w:rPr>
        <w:t xml:space="preserve">aplicarse antes y no después de tomar </w:t>
      </w:r>
      <w:r w:rsidR="00FB75FD" w:rsidRPr="005B1F09">
        <w:rPr>
          <w:spacing w:val="-4"/>
        </w:rPr>
        <w:t>la decisión.</w:t>
      </w:r>
      <w:bookmarkEnd w:id="39"/>
    </w:p>
    <w:p w14:paraId="2824190D" w14:textId="6FCD129C" w:rsidR="004578F1" w:rsidRPr="00F732D7" w:rsidRDefault="004578F1" w:rsidP="00397E90">
      <w:r w:rsidRPr="000C332D">
        <w:t>3.8</w:t>
      </w:r>
      <w:r w:rsidRPr="00F732D7">
        <w:tab/>
      </w:r>
      <w:bookmarkStart w:id="40" w:name="lt_pId123"/>
      <w:r w:rsidR="007760D0" w:rsidRPr="00F732D7">
        <w:t xml:space="preserve">El Asesor Jurídico de la UIT </w:t>
      </w:r>
      <w:r w:rsidR="00C67B77" w:rsidRPr="00F732D7">
        <w:t>señala</w:t>
      </w:r>
      <w:r w:rsidR="007760D0" w:rsidRPr="00F732D7">
        <w:t xml:space="preserve"> que el </w:t>
      </w:r>
      <w:r w:rsidR="00C67B77" w:rsidRPr="00F732D7">
        <w:t>§</w:t>
      </w:r>
      <w:r w:rsidR="00310E71">
        <w:t> </w:t>
      </w:r>
      <w:r w:rsidR="007760D0" w:rsidRPr="00F732D7">
        <w:t>4.11 de</w:t>
      </w:r>
      <w:r w:rsidR="00C67B77" w:rsidRPr="00F732D7">
        <w:t xml:space="preserve"> </w:t>
      </w:r>
      <w:r w:rsidR="007760D0" w:rsidRPr="00F732D7">
        <w:t>l</w:t>
      </w:r>
      <w:r w:rsidR="00C67B77" w:rsidRPr="00F732D7">
        <w:t>as</w:t>
      </w:r>
      <w:r w:rsidR="007760D0" w:rsidRPr="00F732D7">
        <w:t xml:space="preserve"> acta</w:t>
      </w:r>
      <w:r w:rsidR="00C67B77" w:rsidRPr="00F732D7">
        <w:t>s</w:t>
      </w:r>
      <w:r w:rsidR="007760D0" w:rsidRPr="00F732D7">
        <w:t xml:space="preserve"> de la última sesión del Consejo </w:t>
      </w:r>
      <w:r w:rsidR="00C67B77" w:rsidRPr="00F732D7">
        <w:t>de 20</w:t>
      </w:r>
      <w:r w:rsidR="007760D0" w:rsidRPr="00F732D7">
        <w:t>18, que figura</w:t>
      </w:r>
      <w:r w:rsidR="00C67B77" w:rsidRPr="00F732D7">
        <w:t>n</w:t>
      </w:r>
      <w:r w:rsidR="007760D0" w:rsidRPr="00F732D7">
        <w:t xml:space="preserve"> en el Documento C18/129, debe leerse conjuntamente y a la luz del </w:t>
      </w:r>
      <w:r w:rsidR="00C67B77" w:rsidRPr="00F732D7">
        <w:t>§</w:t>
      </w:r>
      <w:r w:rsidR="00310E71">
        <w:t> </w:t>
      </w:r>
      <w:r w:rsidR="007760D0" w:rsidRPr="00F732D7">
        <w:t>4.9 del mismo documento, en el que el Secretario General declara que no parece haber objeción alguna a la creación de una oficina zonal de la UIT en una región que engloba al 24% de la población mundial y</w:t>
      </w:r>
      <w:r w:rsidR="00C67B77" w:rsidRPr="00F732D7">
        <w:t xml:space="preserve"> que,</w:t>
      </w:r>
      <w:r w:rsidR="007760D0" w:rsidRPr="00F732D7">
        <w:t xml:space="preserve"> además, la India ya ha reservado financiación.</w:t>
      </w:r>
      <w:r w:rsidR="00C67B77" w:rsidRPr="00052D57">
        <w:t xml:space="preserve"> </w:t>
      </w:r>
      <w:r w:rsidR="00C67B77" w:rsidRPr="00F732D7">
        <w:t xml:space="preserve">Partiendo de esta base, el </w:t>
      </w:r>
      <w:r w:rsidR="007760D0" w:rsidRPr="00F732D7">
        <w:t>Presidente entiende que el Consejo podría convenir en confirmar la creación de la oficina zonal</w:t>
      </w:r>
      <w:r w:rsidR="006D0A42">
        <w:t xml:space="preserve"> en la India</w:t>
      </w:r>
      <w:r w:rsidR="007760D0" w:rsidRPr="00F732D7">
        <w:t xml:space="preserve"> e invita al Secretario General a iniciar las negociaciones del acuerdo con el país anfitrión, incluidas las disposiciones financieras.</w:t>
      </w:r>
      <w:r w:rsidR="00FB75FD" w:rsidRPr="00F732D7">
        <w:t xml:space="preserve"> </w:t>
      </w:r>
      <w:bookmarkStart w:id="41" w:name="_Hlk76118237"/>
      <w:r w:rsidR="00FB75FD" w:rsidRPr="00F732D7">
        <w:t xml:space="preserve">En cuanto a los criterios, el Consejo </w:t>
      </w:r>
      <w:r w:rsidR="00397E90" w:rsidRPr="00F732D7">
        <w:t>solicitó</w:t>
      </w:r>
      <w:r w:rsidR="00FB75FD" w:rsidRPr="00F732D7">
        <w:t xml:space="preserve"> a la Secretaría que sugiriera criterios claros </w:t>
      </w:r>
      <w:r w:rsidR="00397E90" w:rsidRPr="00F732D7">
        <w:t>para la creación de oficinas zonales</w:t>
      </w:r>
      <w:r w:rsidR="00FB75FD" w:rsidRPr="00F732D7">
        <w:t xml:space="preserve">: </w:t>
      </w:r>
      <w:r w:rsidR="00FB75FD" w:rsidRPr="007E3776">
        <w:t xml:space="preserve">el uso del </w:t>
      </w:r>
      <w:r w:rsidR="00397E90" w:rsidRPr="007E3776">
        <w:t xml:space="preserve">plural en lugar del singular </w:t>
      </w:r>
      <w:r w:rsidR="00FB75FD" w:rsidRPr="007E3776">
        <w:t>indica</w:t>
      </w:r>
      <w:r w:rsidR="00FB75FD" w:rsidRPr="00F732D7">
        <w:t xml:space="preserve"> que la petición</w:t>
      </w:r>
      <w:r w:rsidR="00397E90" w:rsidRPr="00F732D7">
        <w:t xml:space="preserve"> </w:t>
      </w:r>
      <w:r w:rsidR="003D62BC" w:rsidRPr="00F732D7">
        <w:t>n</w:t>
      </w:r>
      <w:r w:rsidR="00397E90" w:rsidRPr="00F732D7">
        <w:t xml:space="preserve">o se refiere </w:t>
      </w:r>
      <w:r w:rsidR="00FB75FD" w:rsidRPr="00F732D7">
        <w:t xml:space="preserve">a </w:t>
      </w:r>
      <w:r w:rsidR="00D20DE3">
        <w:t>"</w:t>
      </w:r>
      <w:r w:rsidR="00FB75FD" w:rsidRPr="00F732D7">
        <w:t>la</w:t>
      </w:r>
      <w:r w:rsidR="00D20DE3">
        <w:t>"</w:t>
      </w:r>
      <w:r w:rsidR="00FB75FD" w:rsidRPr="00F732D7">
        <w:t xml:space="preserve"> oficina zonal cuya creación se ha confirmado, sino a la</w:t>
      </w:r>
      <w:r w:rsidR="00397E90" w:rsidRPr="00F732D7">
        <w:t>s</w:t>
      </w:r>
      <w:r w:rsidR="00FB75FD" w:rsidRPr="00F732D7">
        <w:t xml:space="preserve"> futura</w:t>
      </w:r>
      <w:r w:rsidR="00397E90" w:rsidRPr="00F732D7">
        <w:t>s</w:t>
      </w:r>
      <w:r w:rsidR="00FB75FD" w:rsidRPr="00F732D7">
        <w:t xml:space="preserve"> oficinas zonales en general</w:t>
      </w:r>
      <w:r w:rsidR="00397E90" w:rsidRPr="00F732D7">
        <w:t>.</w:t>
      </w:r>
      <w:r w:rsidR="00FB75FD" w:rsidRPr="00F732D7">
        <w:t xml:space="preserve"> </w:t>
      </w:r>
      <w:bookmarkEnd w:id="41"/>
      <w:r w:rsidR="00397E90" w:rsidRPr="00F732D7">
        <w:t>Habida cuenta de lo anterior, se solicitó</w:t>
      </w:r>
      <w:r w:rsidR="00FB75FD" w:rsidRPr="00F732D7">
        <w:t xml:space="preserve"> a</w:t>
      </w:r>
      <w:r w:rsidR="00397E90" w:rsidRPr="00F732D7">
        <w:t xml:space="preserve"> la </w:t>
      </w:r>
      <w:r w:rsidR="00397E90" w:rsidRPr="00F732D7">
        <w:lastRenderedPageBreak/>
        <w:t>compañía</w:t>
      </w:r>
      <w:r w:rsidR="00FB75FD" w:rsidRPr="00F732D7">
        <w:t xml:space="preserve"> PwC que examinara la cuestión de los criterios </w:t>
      </w:r>
      <w:r w:rsidR="003D62BC" w:rsidRPr="00F732D7">
        <w:t>aplicable a</w:t>
      </w:r>
      <w:r w:rsidR="00FB75FD" w:rsidRPr="00F732D7">
        <w:t xml:space="preserve"> la creación de oficinas zonales de la UIT en su estudio sobre la presencia regional de la UIT.</w:t>
      </w:r>
      <w:bookmarkEnd w:id="40"/>
    </w:p>
    <w:p w14:paraId="0BE1D92C" w14:textId="07FAFC43" w:rsidR="004578F1" w:rsidRPr="00F732D7" w:rsidRDefault="004578F1" w:rsidP="00397E90">
      <w:r w:rsidRPr="00F732D7">
        <w:t>3.9</w:t>
      </w:r>
      <w:r w:rsidRPr="00F732D7">
        <w:tab/>
      </w:r>
      <w:bookmarkStart w:id="42" w:name="lt_pId127"/>
      <w:r w:rsidR="00FB75FD" w:rsidRPr="00F732D7">
        <w:t xml:space="preserve">El Presidente indica que los comentarios de Pakistán y la India quedarán reflejados en </w:t>
      </w:r>
      <w:r w:rsidR="00397E90" w:rsidRPr="00F732D7">
        <w:t>las</w:t>
      </w:r>
      <w:r w:rsidR="00FB75FD" w:rsidRPr="00F732D7">
        <w:t xml:space="preserve"> acta</w:t>
      </w:r>
      <w:r w:rsidR="00397E90" w:rsidRPr="00F732D7">
        <w:t>s</w:t>
      </w:r>
      <w:r w:rsidR="00FB75FD" w:rsidRPr="00F732D7">
        <w:t xml:space="preserve"> de la reunión</w:t>
      </w:r>
      <w:r w:rsidR="00397E90" w:rsidRPr="00F732D7">
        <w:t xml:space="preserve"> y</w:t>
      </w:r>
      <w:r w:rsidR="00FB75FD" w:rsidRPr="00F732D7">
        <w:t xml:space="preserve"> </w:t>
      </w:r>
      <w:r w:rsidR="00397E90" w:rsidRPr="00F732D7">
        <w:t xml:space="preserve">entiende que los </w:t>
      </w:r>
      <w:r w:rsidR="003D47F2">
        <w:t>c</w:t>
      </w:r>
      <w:r w:rsidR="00397E90" w:rsidRPr="00F732D7">
        <w:t xml:space="preserve">onsejeros desean concluir que, dada la urgencia de este punto, </w:t>
      </w:r>
      <w:r w:rsidR="00E22575" w:rsidRPr="00F732D7">
        <w:t xml:space="preserve">se llevará a cabo una consulta </w:t>
      </w:r>
      <w:r w:rsidR="00397E90" w:rsidRPr="00F732D7">
        <w:t xml:space="preserve">por correspondencia con los Estados Miembros del Consejo para que tomen nota de los </w:t>
      </w:r>
      <w:r w:rsidR="00FB75FD" w:rsidRPr="00F732D7">
        <w:t>Documentos C21/25 y C20/25.</w:t>
      </w:r>
      <w:bookmarkEnd w:id="42"/>
    </w:p>
    <w:p w14:paraId="75B0CC48" w14:textId="77777777" w:rsidR="00ED30FB" w:rsidRPr="00F732D7" w:rsidRDefault="004578F1" w:rsidP="009C106F">
      <w:r w:rsidRPr="00F732D7">
        <w:t>3.10</w:t>
      </w:r>
      <w:r w:rsidRPr="00F732D7">
        <w:tab/>
      </w:r>
      <w:bookmarkStart w:id="43" w:name="lt_pId129"/>
      <w:r w:rsidR="00ED30FB" w:rsidRPr="00F732D7">
        <w:t xml:space="preserve">Así se </w:t>
      </w:r>
      <w:r w:rsidR="00ED30FB" w:rsidRPr="00F732D7">
        <w:rPr>
          <w:b/>
          <w:bCs/>
        </w:rPr>
        <w:t>concluye</w:t>
      </w:r>
      <w:r w:rsidRPr="00F732D7">
        <w:t>.</w:t>
      </w:r>
      <w:bookmarkEnd w:id="43"/>
    </w:p>
    <w:bookmarkEnd w:id="35"/>
    <w:p w14:paraId="4957A32F" w14:textId="02D65CC0" w:rsidR="004578F1" w:rsidRPr="00D20DE3" w:rsidRDefault="004578F1" w:rsidP="009C106F">
      <w:pPr>
        <w:pStyle w:val="Heading1"/>
      </w:pPr>
      <w:r w:rsidRPr="00D20DE3">
        <w:t>4</w:t>
      </w:r>
      <w:r w:rsidRPr="00D20DE3">
        <w:tab/>
      </w:r>
      <w:bookmarkStart w:id="44" w:name="lt_pId131"/>
      <w:r w:rsidR="00397E90" w:rsidRPr="00D20DE3">
        <w:t>C</w:t>
      </w:r>
      <w:r w:rsidR="00ED30FB" w:rsidRPr="00052D57">
        <w:t>ómo utiliza actualmente la UIT la Agenda sobre Ciberseguridad Global</w:t>
      </w:r>
      <w:r w:rsidR="00ED30FB" w:rsidRPr="00D20DE3">
        <w:t xml:space="preserve"> </w:t>
      </w:r>
      <w:r w:rsidRPr="00D20DE3">
        <w:t>(Document</w:t>
      </w:r>
      <w:r w:rsidR="00ED30FB" w:rsidRPr="00D20DE3">
        <w:t>o</w:t>
      </w:r>
      <w:r w:rsidRPr="00D20DE3">
        <w:t xml:space="preserve"> </w:t>
      </w:r>
      <w:hyperlink r:id="rId14" w:history="1">
        <w:r w:rsidRPr="00D20DE3">
          <w:rPr>
            <w:rStyle w:val="Hyperlink"/>
          </w:rPr>
          <w:t>C21/36</w:t>
        </w:r>
      </w:hyperlink>
      <w:r w:rsidRPr="00D20DE3">
        <w:t>)</w:t>
      </w:r>
      <w:bookmarkEnd w:id="44"/>
    </w:p>
    <w:p w14:paraId="421C0CC7" w14:textId="375C5841" w:rsidR="004578F1" w:rsidRPr="00F732D7" w:rsidRDefault="004578F1" w:rsidP="005349F4">
      <w:r w:rsidRPr="00F732D7">
        <w:t>4.1</w:t>
      </w:r>
      <w:r w:rsidRPr="00F732D7">
        <w:tab/>
      </w:r>
      <w:bookmarkStart w:id="45" w:name="lt_pId133"/>
      <w:r w:rsidR="00FB75FD" w:rsidRPr="00F732D7">
        <w:t>El representante de la Secretaría General present</w:t>
      </w:r>
      <w:r w:rsidR="005349F4" w:rsidRPr="00F732D7">
        <w:t>a</w:t>
      </w:r>
      <w:r w:rsidR="00FB75FD" w:rsidRPr="00F732D7">
        <w:t xml:space="preserve"> el </w:t>
      </w:r>
      <w:r w:rsidR="005349F4" w:rsidRPr="00F732D7">
        <w:t>informe en el que se explica cómo utiliza actualmente la UIT la Agenda sobre Ciberseguridad Global (ACG),</w:t>
      </w:r>
      <w:r w:rsidR="00FB75FD" w:rsidRPr="00F732D7">
        <w:t xml:space="preserve"> contenido en el Documento C21/36, </w:t>
      </w:r>
      <w:r w:rsidR="00E22575" w:rsidRPr="00F732D7">
        <w:t>que</w:t>
      </w:r>
      <w:r w:rsidR="005349F4" w:rsidRPr="00F732D7">
        <w:t xml:space="preserve"> ofrece una visión de conjunto d</w:t>
      </w:r>
      <w:r w:rsidR="00FB75FD" w:rsidRPr="00F732D7">
        <w:t xml:space="preserve">e las actividades realizadas por la Unión en el marco de la </w:t>
      </w:r>
      <w:r w:rsidR="005349F4" w:rsidRPr="00F732D7">
        <w:t>AGC</w:t>
      </w:r>
      <w:r w:rsidR="00FB75FD" w:rsidRPr="00F732D7">
        <w:t xml:space="preserve"> desde </w:t>
      </w:r>
      <w:r w:rsidR="006D0A42">
        <w:t xml:space="preserve">su puesta en marcha en </w:t>
      </w:r>
      <w:r w:rsidR="00FB75FD" w:rsidRPr="00F732D7">
        <w:t>2007.</w:t>
      </w:r>
      <w:bookmarkEnd w:id="45"/>
    </w:p>
    <w:p w14:paraId="0ED3A2D1" w14:textId="42F799DE" w:rsidR="00FB75FD" w:rsidRPr="00F732D7" w:rsidRDefault="004578F1" w:rsidP="005349F4">
      <w:r w:rsidRPr="00F732D7">
        <w:t>4.2</w:t>
      </w:r>
      <w:r w:rsidRPr="00F732D7">
        <w:tab/>
      </w:r>
      <w:r w:rsidR="005349F4" w:rsidRPr="00F732D7">
        <w:t xml:space="preserve">El Presidente entiende que los </w:t>
      </w:r>
      <w:r w:rsidR="003D47F2">
        <w:t>c</w:t>
      </w:r>
      <w:r w:rsidR="005349F4" w:rsidRPr="00F732D7">
        <w:t xml:space="preserve">onsejeros desean concluir que, dada la urgencia de este punto, </w:t>
      </w:r>
      <w:r w:rsidR="00E22575" w:rsidRPr="00F732D7">
        <w:t xml:space="preserve">se llevará a cabo una consulta </w:t>
      </w:r>
      <w:r w:rsidR="005349F4" w:rsidRPr="00F732D7">
        <w:t>por correspondencia con los Estados Miembros del Consejo para que tomen nota del informe contenido en el Documento C21/36.</w:t>
      </w:r>
    </w:p>
    <w:p w14:paraId="6088ABAF" w14:textId="4277B8AA" w:rsidR="004578F1" w:rsidRPr="00052D57" w:rsidRDefault="004578F1" w:rsidP="005349F4">
      <w:pPr>
        <w:pStyle w:val="Heading1"/>
      </w:pPr>
      <w:r w:rsidRPr="009D1D51">
        <w:t>5</w:t>
      </w:r>
      <w:r w:rsidRPr="00052D57">
        <w:tab/>
      </w:r>
      <w:bookmarkStart w:id="46" w:name="lt_pId137"/>
      <w:r w:rsidR="005349F4" w:rsidRPr="00052D57">
        <w:t>Directrices para la utilización de la Agenda sobre Ciberseguridad Global por la</w:t>
      </w:r>
      <w:r w:rsidR="00D20DE3">
        <w:t> </w:t>
      </w:r>
      <w:r w:rsidR="005349F4" w:rsidRPr="00052D57">
        <w:t xml:space="preserve">UIT </w:t>
      </w:r>
      <w:r w:rsidRPr="00052D57">
        <w:t>(Document</w:t>
      </w:r>
      <w:r w:rsidR="00ED30FB" w:rsidRPr="00052D57">
        <w:t>o</w:t>
      </w:r>
      <w:r w:rsidRPr="00052D57">
        <w:t xml:space="preserve">s </w:t>
      </w:r>
      <w:hyperlink r:id="rId15" w:history="1">
        <w:r w:rsidRPr="00D20DE3">
          <w:rPr>
            <w:rStyle w:val="Hyperlink"/>
          </w:rPr>
          <w:t>C21/71</w:t>
        </w:r>
      </w:hyperlink>
      <w:r w:rsidRPr="00052D57">
        <w:t xml:space="preserve"> </w:t>
      </w:r>
      <w:r w:rsidR="005349F4" w:rsidRPr="00052D57">
        <w:t>y</w:t>
      </w:r>
      <w:r w:rsidRPr="00052D57">
        <w:t xml:space="preserve"> </w:t>
      </w:r>
      <w:hyperlink r:id="rId16" w:history="1">
        <w:r w:rsidRPr="00D20DE3">
          <w:rPr>
            <w:rStyle w:val="Hyperlink"/>
          </w:rPr>
          <w:t>C21/82</w:t>
        </w:r>
      </w:hyperlink>
      <w:r w:rsidRPr="00052D57">
        <w:t>)</w:t>
      </w:r>
      <w:bookmarkEnd w:id="46"/>
    </w:p>
    <w:p w14:paraId="762F4E35" w14:textId="77B1CB64" w:rsidR="004578F1" w:rsidRPr="00052D57" w:rsidRDefault="004578F1" w:rsidP="001C6A3A">
      <w:r w:rsidRPr="00052D57">
        <w:t>5.1</w:t>
      </w:r>
      <w:r w:rsidRPr="00052D57">
        <w:tab/>
      </w:r>
      <w:bookmarkStart w:id="47" w:name="lt_pId139"/>
      <w:r w:rsidR="00FB75FD" w:rsidRPr="00052D57">
        <w:t>El representante de la Secretaría General present</w:t>
      </w:r>
      <w:r w:rsidR="005349F4" w:rsidRPr="00052D57">
        <w:t>a</w:t>
      </w:r>
      <w:r w:rsidR="00FB75FD" w:rsidRPr="00052D57">
        <w:t xml:space="preserve"> el informe contenido en el Documento</w:t>
      </w:r>
      <w:r w:rsidR="00310E71">
        <w:t> </w:t>
      </w:r>
      <w:r w:rsidR="00FB75FD" w:rsidRPr="00052D57">
        <w:t xml:space="preserve">C21/71, </w:t>
      </w:r>
      <w:r w:rsidR="007E15DC" w:rsidRPr="00052D57">
        <w:t xml:space="preserve">en el que se </w:t>
      </w:r>
      <w:r w:rsidR="00FB75FD" w:rsidRPr="00052D57">
        <w:t>proporciona</w:t>
      </w:r>
      <w:r w:rsidR="007E15DC" w:rsidRPr="00052D57">
        <w:t>n</w:t>
      </w:r>
      <w:r w:rsidR="00FB75FD" w:rsidRPr="00052D57">
        <w:t xml:space="preserve"> directrices específicas sobre cada pilar de la </w:t>
      </w:r>
      <w:r w:rsidR="007E15DC" w:rsidRPr="00052D57">
        <w:t>AGC</w:t>
      </w:r>
      <w:r w:rsidR="00FB75FD" w:rsidRPr="00052D57">
        <w:t xml:space="preserve"> y </w:t>
      </w:r>
      <w:r w:rsidR="007E15DC" w:rsidRPr="00052D57">
        <w:t xml:space="preserve">una serie de </w:t>
      </w:r>
      <w:r w:rsidR="00FB75FD" w:rsidRPr="00052D57">
        <w:t>directrices generales transversales</w:t>
      </w:r>
      <w:r w:rsidR="007E15DC" w:rsidRPr="00052D57">
        <w:t>.</w:t>
      </w:r>
      <w:r w:rsidR="00FB75FD" w:rsidRPr="00052D57">
        <w:t xml:space="preserve"> </w:t>
      </w:r>
      <w:r w:rsidR="007E15DC" w:rsidRPr="00052D57">
        <w:t>Estas</w:t>
      </w:r>
      <w:r w:rsidR="00FB75FD" w:rsidRPr="00052D57">
        <w:t xml:space="preserve"> directrices se </w:t>
      </w:r>
      <w:r w:rsidR="007E15DC" w:rsidRPr="00052D57">
        <w:t xml:space="preserve">han elaborado </w:t>
      </w:r>
      <w:r w:rsidR="00FB75FD" w:rsidRPr="00052D57">
        <w:t xml:space="preserve">teniendo </w:t>
      </w:r>
      <w:r w:rsidR="001C6A3A" w:rsidRPr="00052D57">
        <w:t>presente</w:t>
      </w:r>
      <w:r w:rsidR="00FB75FD" w:rsidRPr="00052D57">
        <w:t xml:space="preserve"> el papel de la UIT como facilitador </w:t>
      </w:r>
      <w:r w:rsidR="0057370A" w:rsidRPr="00052D57">
        <w:t xml:space="preserve">único </w:t>
      </w:r>
      <w:r w:rsidR="00FB75FD" w:rsidRPr="00052D57">
        <w:t>de la Línea de Acción C5 de la CMSI y las actividades realizadas hasta la fecha,</w:t>
      </w:r>
      <w:r w:rsidR="001C6A3A" w:rsidRPr="00052D57">
        <w:t xml:space="preserve"> así como</w:t>
      </w:r>
      <w:r w:rsidR="00FB75FD" w:rsidRPr="00052D57">
        <w:t xml:space="preserve"> las recomendaciones contenidas en el informe de 2008 </w:t>
      </w:r>
      <w:r w:rsidR="001C6A3A" w:rsidRPr="00F732D7">
        <w:t>del Grupo de Expertos de Alto Nivel (GEAN)</w:t>
      </w:r>
      <w:r w:rsidR="00FB75FD" w:rsidRPr="00052D57">
        <w:t xml:space="preserve">, la evolución en </w:t>
      </w:r>
      <w:r w:rsidR="001C6A3A" w:rsidRPr="00052D57">
        <w:t>la situación</w:t>
      </w:r>
      <w:r w:rsidR="00FB75FD" w:rsidRPr="00052D57">
        <w:t xml:space="preserve"> desde 2008, las </w:t>
      </w:r>
      <w:r w:rsidR="001C6A3A" w:rsidRPr="00052D57">
        <w:t>contribuciones</w:t>
      </w:r>
      <w:r w:rsidR="00FB75FD" w:rsidRPr="00052D57">
        <w:t xml:space="preserve"> escritas recibidas de los Estados Miembros y </w:t>
      </w:r>
      <w:r w:rsidR="001C6A3A" w:rsidRPr="00052D57">
        <w:t>otras</w:t>
      </w:r>
      <w:r w:rsidR="00FB75FD" w:rsidRPr="00052D57">
        <w:t xml:space="preserve"> partes interesadas</w:t>
      </w:r>
      <w:r w:rsidR="00565470">
        <w:t>,</w:t>
      </w:r>
      <w:r w:rsidR="00FB75FD" w:rsidRPr="00052D57">
        <w:t xml:space="preserve"> y </w:t>
      </w:r>
      <w:r w:rsidR="00565470">
        <w:t>la información obtenida</w:t>
      </w:r>
      <w:r w:rsidR="00FB75FD" w:rsidRPr="00052D57">
        <w:t xml:space="preserve"> en</w:t>
      </w:r>
      <w:r w:rsidR="00565470">
        <w:t xml:space="preserve"> el marco de</w:t>
      </w:r>
      <w:r w:rsidR="00FB75FD" w:rsidRPr="00052D57">
        <w:t xml:space="preserve"> las dos consultas abiertas </w:t>
      </w:r>
      <w:r w:rsidR="00565470">
        <w:t>a todas</w:t>
      </w:r>
      <w:r w:rsidR="00565470" w:rsidRPr="00052D57">
        <w:t xml:space="preserve"> </w:t>
      </w:r>
      <w:r w:rsidR="00FB75FD" w:rsidRPr="00052D57">
        <w:t>las partes interesadas de la</w:t>
      </w:r>
      <w:r w:rsidR="003F1F3B">
        <w:t> </w:t>
      </w:r>
      <w:r w:rsidR="00FB75FD" w:rsidRPr="00052D57">
        <w:t xml:space="preserve">CMSI, </w:t>
      </w:r>
      <w:r w:rsidR="0057370A" w:rsidRPr="00052D57">
        <w:t>cuyo nivel</w:t>
      </w:r>
      <w:r w:rsidR="00FB75FD" w:rsidRPr="00052D57">
        <w:t xml:space="preserve"> </w:t>
      </w:r>
      <w:r w:rsidR="001C6A3A" w:rsidRPr="00052D57">
        <w:t>participación</w:t>
      </w:r>
      <w:r w:rsidR="0057370A" w:rsidRPr="00052D57">
        <w:t xml:space="preserve"> fue un éxito</w:t>
      </w:r>
      <w:r w:rsidR="00FB75FD" w:rsidRPr="00052D57">
        <w:t>. Se invit</w:t>
      </w:r>
      <w:r w:rsidR="001C6A3A" w:rsidRPr="00052D57">
        <w:t>a</w:t>
      </w:r>
      <w:r w:rsidR="00FB75FD" w:rsidRPr="00052D57">
        <w:t xml:space="preserve"> al Consejo a examinar y aprobar el documento.</w:t>
      </w:r>
      <w:bookmarkEnd w:id="47"/>
    </w:p>
    <w:p w14:paraId="0FD84E34" w14:textId="4E5CD371" w:rsidR="004578F1" w:rsidRPr="00052D57" w:rsidRDefault="004578F1" w:rsidP="001C6A3A">
      <w:r w:rsidRPr="00052D57">
        <w:t>5.2</w:t>
      </w:r>
      <w:r w:rsidRPr="00052D57">
        <w:tab/>
      </w:r>
      <w:bookmarkStart w:id="48" w:name="lt_pId143"/>
      <w:r w:rsidR="00FB75FD" w:rsidRPr="00052D57">
        <w:t xml:space="preserve">Algunos </w:t>
      </w:r>
      <w:r w:rsidR="003D47F2">
        <w:t>c</w:t>
      </w:r>
      <w:r w:rsidR="004250C7" w:rsidRPr="00052D57">
        <w:t xml:space="preserve">onsejeros </w:t>
      </w:r>
      <w:r w:rsidR="00FB75FD" w:rsidRPr="00052D57">
        <w:t xml:space="preserve">reconocen la importancia de la </w:t>
      </w:r>
      <w:r w:rsidR="001C6A3A" w:rsidRPr="00052D57">
        <w:t>AGC</w:t>
      </w:r>
      <w:r w:rsidR="00FB75FD" w:rsidRPr="00052D57">
        <w:t xml:space="preserve"> y el valor de las directrices</w:t>
      </w:r>
      <w:r w:rsidR="00565470">
        <w:t xml:space="preserve"> como herramienta</w:t>
      </w:r>
      <w:r w:rsidR="00546C79">
        <w:t>s</w:t>
      </w:r>
      <w:r w:rsidR="00565470">
        <w:t xml:space="preserve"> para facilitar la</w:t>
      </w:r>
      <w:r w:rsidR="00FB75FD" w:rsidRPr="00052D57">
        <w:t xml:space="preserve"> </w:t>
      </w:r>
      <w:r w:rsidR="0057370A" w:rsidRPr="00052D57">
        <w:t>utilización</w:t>
      </w:r>
      <w:r w:rsidR="00565470">
        <w:t xml:space="preserve"> del marco</w:t>
      </w:r>
      <w:r w:rsidR="001C6A3A" w:rsidRPr="00052D57">
        <w:t>,</w:t>
      </w:r>
      <w:r w:rsidR="00565470">
        <w:t xml:space="preserve"> ya que tienen en cuenta las últimas novedades del ciberespacio. </w:t>
      </w:r>
      <w:r w:rsidR="00565470" w:rsidRPr="00565470">
        <w:t>También reconocen la importancia de este proceso</w:t>
      </w:r>
      <w:r w:rsidR="00565470">
        <w:t>, puesto</w:t>
      </w:r>
      <w:r w:rsidR="00565470" w:rsidRPr="00565470">
        <w:t xml:space="preserve"> que </w:t>
      </w:r>
      <w:r w:rsidR="00565470">
        <w:t>la UIT es el único facilitador</w:t>
      </w:r>
      <w:r w:rsidR="00FB75FD" w:rsidRPr="00052D57">
        <w:t xml:space="preserve"> de la Línea de Acción C5 de la CMSI, </w:t>
      </w:r>
      <w:r w:rsidR="00565470">
        <w:t xml:space="preserve">cuyo objetivo es crear </w:t>
      </w:r>
      <w:r w:rsidR="00FB75FD" w:rsidRPr="00052D57">
        <w:t xml:space="preserve">confianza y seguridad en </w:t>
      </w:r>
      <w:r w:rsidR="001C6A3A" w:rsidRPr="00052D57">
        <w:t>la utilización</w:t>
      </w:r>
      <w:r w:rsidR="00FB75FD" w:rsidRPr="00052D57">
        <w:t xml:space="preserve"> de las TIC.</w:t>
      </w:r>
      <w:bookmarkEnd w:id="48"/>
    </w:p>
    <w:p w14:paraId="783CD99C" w14:textId="5A288312" w:rsidR="004578F1" w:rsidRPr="00052D57" w:rsidRDefault="004578F1" w:rsidP="001723DF">
      <w:r w:rsidRPr="009D1D51">
        <w:t>5.3</w:t>
      </w:r>
      <w:r w:rsidRPr="00052D57">
        <w:tab/>
      </w:r>
      <w:bookmarkStart w:id="49" w:name="lt_pId145"/>
      <w:r w:rsidR="00FB75FD" w:rsidRPr="00052D57">
        <w:t xml:space="preserve">Varios </w:t>
      </w:r>
      <w:r w:rsidR="003D47F2">
        <w:t>c</w:t>
      </w:r>
      <w:r w:rsidR="004250C7" w:rsidRPr="00052D57">
        <w:t xml:space="preserve">onsejeros </w:t>
      </w:r>
      <w:r w:rsidR="00FB75FD" w:rsidRPr="00052D57">
        <w:t xml:space="preserve">expresan </w:t>
      </w:r>
      <w:r w:rsidR="001C6A3A" w:rsidRPr="00052D57">
        <w:t xml:space="preserve">su reconocimiento y </w:t>
      </w:r>
      <w:r w:rsidR="0057370A" w:rsidRPr="00052D57">
        <w:t xml:space="preserve">su </w:t>
      </w:r>
      <w:r w:rsidR="001C6A3A" w:rsidRPr="00052D57">
        <w:t xml:space="preserve">apoyo a </w:t>
      </w:r>
      <w:r w:rsidR="00FB75FD" w:rsidRPr="00052D57">
        <w:t>las directrices</w:t>
      </w:r>
      <w:r w:rsidR="001C6A3A" w:rsidRPr="00052D57">
        <w:t xml:space="preserve"> consignadas</w:t>
      </w:r>
      <w:r w:rsidR="00FB75FD" w:rsidRPr="00052D57">
        <w:t xml:space="preserve"> en el Documento C21/71, </w:t>
      </w:r>
      <w:r w:rsidR="001723DF" w:rsidRPr="00052D57">
        <w:t>que consideran representa</w:t>
      </w:r>
      <w:r w:rsidR="00FB75FD" w:rsidRPr="00052D57">
        <w:t xml:space="preserve"> un buen compromiso, </w:t>
      </w:r>
      <w:r w:rsidR="001723DF" w:rsidRPr="00052D57">
        <w:t>integra</w:t>
      </w:r>
      <w:r w:rsidR="00FB75FD" w:rsidRPr="00052D57">
        <w:t xml:space="preserve"> aportaciones de diferentes</w:t>
      </w:r>
      <w:r w:rsidR="00565470">
        <w:t xml:space="preserve"> Estados Miembros y otras partes interesadas</w:t>
      </w:r>
      <w:r w:rsidR="00FB75FD" w:rsidRPr="00052D57">
        <w:t xml:space="preserve"> y mejora la</w:t>
      </w:r>
      <w:r w:rsidR="001723DF" w:rsidRPr="00052D57">
        <w:t xml:space="preserve"> </w:t>
      </w:r>
      <w:r w:rsidR="00FB75FD" w:rsidRPr="00052D57">
        <w:t>A</w:t>
      </w:r>
      <w:r w:rsidR="001723DF" w:rsidRPr="00052D57">
        <w:t>GC</w:t>
      </w:r>
      <w:r w:rsidR="0057370A" w:rsidRPr="00052D57">
        <w:t xml:space="preserve">. Además, señalan que la Agenda </w:t>
      </w:r>
      <w:r w:rsidR="00F23D0B" w:rsidRPr="00052D57">
        <w:t>brinda</w:t>
      </w:r>
      <w:r w:rsidR="001723DF" w:rsidRPr="00052D57">
        <w:t xml:space="preserve"> valiosa</w:t>
      </w:r>
      <w:r w:rsidR="00F23D0B" w:rsidRPr="00052D57">
        <w:t>s</w:t>
      </w:r>
      <w:r w:rsidR="001723DF" w:rsidRPr="00052D57">
        <w:t xml:space="preserve"> </w:t>
      </w:r>
      <w:r w:rsidR="00F23D0B" w:rsidRPr="00052D57">
        <w:t>orientaciones a</w:t>
      </w:r>
      <w:r w:rsidR="001723DF" w:rsidRPr="00052D57">
        <w:t xml:space="preserve"> </w:t>
      </w:r>
      <w:r w:rsidR="00FB75FD" w:rsidRPr="00052D57">
        <w:t xml:space="preserve">los Estados Miembros, en particular </w:t>
      </w:r>
      <w:r w:rsidR="001723DF" w:rsidRPr="00052D57">
        <w:t>par</w:t>
      </w:r>
      <w:r w:rsidR="00FB75FD" w:rsidRPr="00052D57">
        <w:t xml:space="preserve">a los países en desarrollo, </w:t>
      </w:r>
      <w:r w:rsidR="001723DF" w:rsidRPr="00052D57">
        <w:t>interesados en utilizar</w:t>
      </w:r>
      <w:r w:rsidR="00FB75FD" w:rsidRPr="00052D57">
        <w:t xml:space="preserve"> las TIC y </w:t>
      </w:r>
      <w:r w:rsidR="001723DF" w:rsidRPr="00052D57">
        <w:t>f</w:t>
      </w:r>
      <w:r w:rsidR="00FB75FD" w:rsidRPr="00052D57">
        <w:t>ormula</w:t>
      </w:r>
      <w:r w:rsidR="001723DF" w:rsidRPr="00052D57">
        <w:t>r</w:t>
      </w:r>
      <w:r w:rsidR="00FB75FD" w:rsidRPr="00052D57">
        <w:t xml:space="preserve"> estrategias de ciberseguridad.</w:t>
      </w:r>
      <w:bookmarkEnd w:id="49"/>
    </w:p>
    <w:p w14:paraId="517522C4" w14:textId="08824FD9" w:rsidR="004578F1" w:rsidRPr="00052D57" w:rsidRDefault="004578F1" w:rsidP="00310E71">
      <w:pPr>
        <w:keepNext/>
        <w:keepLines/>
      </w:pPr>
      <w:r w:rsidRPr="009D1D51">
        <w:lastRenderedPageBreak/>
        <w:t>5.4</w:t>
      </w:r>
      <w:r w:rsidRPr="00052D57">
        <w:tab/>
      </w:r>
      <w:bookmarkStart w:id="50" w:name="lt_pId147"/>
      <w:r w:rsidR="00FB75FD" w:rsidRPr="00052D57">
        <w:t>Un</w:t>
      </w:r>
      <w:r w:rsidR="003D18A7">
        <w:t>a</w:t>
      </w:r>
      <w:r w:rsidR="00FB75FD" w:rsidRPr="00052D57">
        <w:t xml:space="preserve"> </w:t>
      </w:r>
      <w:r w:rsidR="003D18A7">
        <w:t>c</w:t>
      </w:r>
      <w:r w:rsidR="004250C7" w:rsidRPr="00052D57">
        <w:t>onsejer</w:t>
      </w:r>
      <w:r w:rsidR="003D18A7">
        <w:t>a</w:t>
      </w:r>
      <w:r w:rsidR="004250C7" w:rsidRPr="00052D57">
        <w:t xml:space="preserve"> </w:t>
      </w:r>
      <w:r w:rsidR="00FB75FD" w:rsidRPr="00052D57">
        <w:t>acog</w:t>
      </w:r>
      <w:r w:rsidR="001723DF" w:rsidRPr="00052D57">
        <w:t>e</w:t>
      </w:r>
      <w:r w:rsidR="00FB75FD" w:rsidRPr="00052D57">
        <w:t xml:space="preserve"> con satisfacción la referencia al </w:t>
      </w:r>
      <w:r w:rsidR="001723DF" w:rsidRPr="00052D57">
        <w:t xml:space="preserve">Índice Mundial de Ciberseguridad (GCI) </w:t>
      </w:r>
      <w:r w:rsidR="00FB75FD" w:rsidRPr="00052D57">
        <w:t>en las directrices</w:t>
      </w:r>
      <w:r w:rsidR="001723DF" w:rsidRPr="00052D57">
        <w:t>,</w:t>
      </w:r>
      <w:r w:rsidR="00FB75FD" w:rsidRPr="00052D57">
        <w:t xml:space="preserve"> como </w:t>
      </w:r>
      <w:r w:rsidR="00F23D0B" w:rsidRPr="00052D57">
        <w:t>punto de referencia</w:t>
      </w:r>
      <w:r w:rsidR="00FB75FD" w:rsidRPr="00052D57">
        <w:t xml:space="preserve"> </w:t>
      </w:r>
      <w:r w:rsidR="00F23D0B" w:rsidRPr="00052D57">
        <w:t>para</w:t>
      </w:r>
      <w:r w:rsidR="00FB75FD" w:rsidRPr="00052D57">
        <w:t xml:space="preserve"> la UIT en</w:t>
      </w:r>
      <w:r w:rsidR="00F23D0B" w:rsidRPr="00052D57">
        <w:t xml:space="preserve"> lo que respecta a</w:t>
      </w:r>
      <w:r w:rsidR="00FB75FD" w:rsidRPr="00052D57">
        <w:t xml:space="preserve"> </w:t>
      </w:r>
      <w:r w:rsidR="001723DF" w:rsidRPr="00052D57">
        <w:t>la utilización</w:t>
      </w:r>
      <w:r w:rsidR="00FB75FD" w:rsidRPr="00052D57">
        <w:t xml:space="preserve"> de la </w:t>
      </w:r>
      <w:r w:rsidR="001723DF" w:rsidRPr="00052D57">
        <w:t>AGC</w:t>
      </w:r>
      <w:r w:rsidR="00FB75FD" w:rsidRPr="00052D57">
        <w:t>. Otr</w:t>
      </w:r>
      <w:r w:rsidR="003D18A7">
        <w:t>a</w:t>
      </w:r>
      <w:r w:rsidR="00FB75FD" w:rsidRPr="00052D57">
        <w:t xml:space="preserve"> </w:t>
      </w:r>
      <w:r w:rsidR="003D18A7">
        <w:t>c</w:t>
      </w:r>
      <w:r w:rsidR="004250C7" w:rsidRPr="00052D57">
        <w:t>onsejer</w:t>
      </w:r>
      <w:r w:rsidR="003D18A7">
        <w:t>a</w:t>
      </w:r>
      <w:r w:rsidR="004250C7" w:rsidRPr="00052D57">
        <w:t xml:space="preserve"> </w:t>
      </w:r>
      <w:r w:rsidR="00FB75FD" w:rsidRPr="00052D57">
        <w:t>destac</w:t>
      </w:r>
      <w:r w:rsidR="001723DF" w:rsidRPr="00052D57">
        <w:t>a</w:t>
      </w:r>
      <w:r w:rsidR="00FB75FD" w:rsidRPr="00052D57">
        <w:t xml:space="preserve"> la importancia del GCI para ayudar a los países a </w:t>
      </w:r>
      <w:r w:rsidR="001723DF" w:rsidRPr="00052D57">
        <w:t>elaborar</w:t>
      </w:r>
      <w:r w:rsidR="00FB75FD" w:rsidRPr="00052D57">
        <w:t xml:space="preserve"> estrategias de ciberseguridad y </w:t>
      </w:r>
      <w:r w:rsidR="001723DF" w:rsidRPr="00052D57">
        <w:t>propone que</w:t>
      </w:r>
      <w:r w:rsidR="00FB75FD" w:rsidRPr="00052D57">
        <w:t xml:space="preserve"> las directrices</w:t>
      </w:r>
      <w:r w:rsidR="00F23D0B" w:rsidRPr="00052D57">
        <w:t xml:space="preserve"> reflejen la conveniencia de calcularlo </w:t>
      </w:r>
      <w:r w:rsidR="00FB75FD" w:rsidRPr="00052D57">
        <w:t>a intervalos regulares de dos años.</w:t>
      </w:r>
      <w:bookmarkEnd w:id="50"/>
    </w:p>
    <w:p w14:paraId="15C3A507" w14:textId="5F392E64" w:rsidR="004578F1" w:rsidRPr="00052D57" w:rsidRDefault="004578F1" w:rsidP="006B6C04">
      <w:r w:rsidRPr="00052D57">
        <w:t>5.5</w:t>
      </w:r>
      <w:r w:rsidRPr="00052D57">
        <w:tab/>
      </w:r>
      <w:bookmarkStart w:id="51" w:name="lt_pId150"/>
      <w:r w:rsidR="00565470">
        <w:t>U</w:t>
      </w:r>
      <w:r w:rsidR="00F23D0B" w:rsidRPr="00052D57">
        <w:t>n</w:t>
      </w:r>
      <w:r w:rsidR="003D18A7">
        <w:t>a</w:t>
      </w:r>
      <w:r w:rsidR="00F23D0B" w:rsidRPr="00052D57">
        <w:t xml:space="preserve"> </w:t>
      </w:r>
      <w:r w:rsidR="003D18A7">
        <w:t>c</w:t>
      </w:r>
      <w:r w:rsidR="004250C7" w:rsidRPr="00052D57">
        <w:t>onsejer</w:t>
      </w:r>
      <w:r w:rsidR="003D18A7">
        <w:t>a</w:t>
      </w:r>
      <w:r w:rsidR="004250C7" w:rsidRPr="00052D57">
        <w:t xml:space="preserve"> </w:t>
      </w:r>
      <w:r w:rsidR="006B6C04" w:rsidRPr="00052D57">
        <w:t>sugiere</w:t>
      </w:r>
      <w:r w:rsidR="00FB75FD" w:rsidRPr="00052D57">
        <w:t xml:space="preserve"> modifi</w:t>
      </w:r>
      <w:r w:rsidR="00F23D0B" w:rsidRPr="00052D57">
        <w:t>car</w:t>
      </w:r>
      <w:r w:rsidR="006B6C04" w:rsidRPr="00052D57">
        <w:t xml:space="preserve"> el apartado</w:t>
      </w:r>
      <w:r w:rsidR="00FB75FD" w:rsidRPr="00052D57">
        <w:t xml:space="preserve"> 3.12 del informe para </w:t>
      </w:r>
      <w:r w:rsidR="006B6C04" w:rsidRPr="00052D57">
        <w:t xml:space="preserve">señalar que únicamente las recomendaciones relacionadas con el Pilar 2 del Informe del GEAN de 2008 </w:t>
      </w:r>
      <w:r w:rsidR="00FB75FD" w:rsidRPr="00052D57">
        <w:t>que han</w:t>
      </w:r>
      <w:r w:rsidR="006B6C04" w:rsidRPr="00052D57">
        <w:t xml:space="preserve"> suscitado</w:t>
      </w:r>
      <w:r w:rsidR="00FB75FD" w:rsidRPr="00052D57">
        <w:t xml:space="preserve"> un consenso o un amplio acuerdo</w:t>
      </w:r>
      <w:r w:rsidR="006B6C04" w:rsidRPr="00052D57">
        <w:t xml:space="preserve"> siguen siendo válidas</w:t>
      </w:r>
      <w:r w:rsidR="00FB75FD" w:rsidRPr="00052D57">
        <w:t>.</w:t>
      </w:r>
      <w:bookmarkEnd w:id="51"/>
    </w:p>
    <w:p w14:paraId="0D9EBFA2" w14:textId="0098D66D" w:rsidR="004578F1" w:rsidRPr="00052D57" w:rsidRDefault="004578F1" w:rsidP="003B0DF7">
      <w:r w:rsidRPr="009D1D51">
        <w:t>5.6</w:t>
      </w:r>
      <w:r w:rsidRPr="00052D57">
        <w:tab/>
      </w:r>
      <w:bookmarkStart w:id="52" w:name="lt_pId152"/>
      <w:r w:rsidR="00FB75FD" w:rsidRPr="00052D57">
        <w:t xml:space="preserve">El </w:t>
      </w:r>
      <w:r w:rsidR="003D18A7">
        <w:t>c</w:t>
      </w:r>
      <w:r w:rsidR="004250C7" w:rsidRPr="00052D57">
        <w:t xml:space="preserve">onsejero </w:t>
      </w:r>
      <w:r w:rsidR="00FB75FD" w:rsidRPr="00052D57">
        <w:t>de Canadá present</w:t>
      </w:r>
      <w:r w:rsidR="003B0DF7" w:rsidRPr="00052D57">
        <w:t>a</w:t>
      </w:r>
      <w:r w:rsidR="00FB75FD" w:rsidRPr="00052D57">
        <w:t xml:space="preserve"> la contribución </w:t>
      </w:r>
      <w:r w:rsidR="003B0DF7" w:rsidRPr="00052D57">
        <w:t>incluida</w:t>
      </w:r>
      <w:r w:rsidR="00FB75FD" w:rsidRPr="00052D57">
        <w:t xml:space="preserve"> en el </w:t>
      </w:r>
      <w:r w:rsidR="003B0DF7" w:rsidRPr="00052D57">
        <w:t xml:space="preserve">Documento </w:t>
      </w:r>
      <w:r w:rsidR="00FB75FD" w:rsidRPr="00052D57">
        <w:t>C21/82 en nombre de Australia, Canadá, la República Checa, Ruman</w:t>
      </w:r>
      <w:r w:rsidR="003B0DF7" w:rsidRPr="00052D57">
        <w:t>i</w:t>
      </w:r>
      <w:r w:rsidR="00FB75FD" w:rsidRPr="00052D57">
        <w:t>a y el Reino Unido. Si bien la A</w:t>
      </w:r>
      <w:r w:rsidR="003B0DF7" w:rsidRPr="00052D57">
        <w:t>GC</w:t>
      </w:r>
      <w:r w:rsidR="00FB75FD" w:rsidRPr="00052D57">
        <w:t xml:space="preserve"> </w:t>
      </w:r>
      <w:r w:rsidR="003B0DF7" w:rsidRPr="00052D57">
        <w:t>es</w:t>
      </w:r>
      <w:r w:rsidR="00FB75FD" w:rsidRPr="00052D57">
        <w:t xml:space="preserve"> un documento de referencia útil para la cooperación entre las distintas partes interesadas, exist</w:t>
      </w:r>
      <w:r w:rsidR="003B0DF7" w:rsidRPr="00052D57">
        <w:t>e</w:t>
      </w:r>
      <w:r w:rsidR="00FB75FD" w:rsidRPr="00052D57">
        <w:t>n y seguir</w:t>
      </w:r>
      <w:r w:rsidR="003B0DF7" w:rsidRPr="00052D57">
        <w:t>á</w:t>
      </w:r>
      <w:r w:rsidR="00FB75FD" w:rsidRPr="00052D57">
        <w:t xml:space="preserve">n existiendo posturas divergentes sobre la necesidad, el alcance, la finalidad y los destinatarios de las directrices </w:t>
      </w:r>
      <w:r w:rsidR="00AB143F" w:rsidRPr="00052D57">
        <w:t>relativas a</w:t>
      </w:r>
      <w:r w:rsidR="003B0DF7" w:rsidRPr="00052D57">
        <w:t xml:space="preserve"> su utilización</w:t>
      </w:r>
      <w:r w:rsidR="00FB75FD" w:rsidRPr="00052D57">
        <w:t xml:space="preserve">. Además, el informe contenido en el Documento C21/36 </w:t>
      </w:r>
      <w:r w:rsidR="003B0DF7" w:rsidRPr="00052D57">
        <w:t>demuestra</w:t>
      </w:r>
      <w:r w:rsidR="00FB75FD" w:rsidRPr="00052D57">
        <w:t xml:space="preserve"> que la UIT ya </w:t>
      </w:r>
      <w:r w:rsidR="003B0DF7" w:rsidRPr="00052D57">
        <w:t>utiliza la AGC</w:t>
      </w:r>
      <w:r w:rsidR="00FB75FD" w:rsidRPr="00052D57">
        <w:t xml:space="preserve"> de forma eficaz y eficiente. </w:t>
      </w:r>
      <w:r w:rsidR="003B0DF7" w:rsidRPr="00052D57">
        <w:t>Por otro lado</w:t>
      </w:r>
      <w:r w:rsidR="00FB75FD" w:rsidRPr="00052D57">
        <w:t>,</w:t>
      </w:r>
      <w:r w:rsidR="003B0DF7" w:rsidRPr="00052D57">
        <w:t xml:space="preserve"> también</w:t>
      </w:r>
      <w:r w:rsidR="00FB75FD" w:rsidRPr="00052D57">
        <w:t xml:space="preserve"> exist</w:t>
      </w:r>
      <w:r w:rsidR="003B0DF7" w:rsidRPr="00052D57">
        <w:t>e</w:t>
      </w:r>
      <w:r w:rsidR="00FB75FD" w:rsidRPr="00052D57">
        <w:t xml:space="preserve">n múltiples resoluciones </w:t>
      </w:r>
      <w:r w:rsidR="00AB143F" w:rsidRPr="00052D57">
        <w:t>en materia de</w:t>
      </w:r>
      <w:r w:rsidR="00FB75FD" w:rsidRPr="00052D57">
        <w:t xml:space="preserve"> ciberseguridad, así como directrices e iniciativas </w:t>
      </w:r>
      <w:r w:rsidR="003B0DF7" w:rsidRPr="00052D57">
        <w:t>atinentes a la elaboración</w:t>
      </w:r>
      <w:r w:rsidR="00FB75FD" w:rsidRPr="00052D57">
        <w:t xml:space="preserve"> de estrategias nacionales de ciberseguridad y </w:t>
      </w:r>
      <w:r w:rsidR="003B0DF7" w:rsidRPr="00052D57">
        <w:t>a otras esferas conexas</w:t>
      </w:r>
      <w:r w:rsidR="00FB75FD" w:rsidRPr="00052D57">
        <w:t>,</w:t>
      </w:r>
      <w:r w:rsidR="003B0DF7" w:rsidRPr="00052D57">
        <w:t xml:space="preserve"> </w:t>
      </w:r>
      <w:r w:rsidR="00AB143F" w:rsidRPr="00052D57">
        <w:t>por no mencionar</w:t>
      </w:r>
      <w:r w:rsidR="003B0DF7" w:rsidRPr="00052D57">
        <w:t xml:space="preserve"> la labor emprendida por</w:t>
      </w:r>
      <w:r w:rsidR="00FB75FD" w:rsidRPr="00052D57">
        <w:t xml:space="preserve"> las </w:t>
      </w:r>
      <w:r w:rsidR="003B0DF7" w:rsidRPr="00052D57">
        <w:t xml:space="preserve">Comisiones </w:t>
      </w:r>
      <w:r w:rsidR="00FB75FD" w:rsidRPr="00052D57">
        <w:t xml:space="preserve">de </w:t>
      </w:r>
      <w:r w:rsidR="003B0DF7" w:rsidRPr="00052D57">
        <w:t xml:space="preserve">Estudio </w:t>
      </w:r>
      <w:r w:rsidR="00FB75FD" w:rsidRPr="00052D57">
        <w:t>del UIT-T y del</w:t>
      </w:r>
      <w:r w:rsidR="00450130">
        <w:t> </w:t>
      </w:r>
      <w:r w:rsidR="00FB75FD" w:rsidRPr="00052D57">
        <w:t>UIT</w:t>
      </w:r>
      <w:r w:rsidR="00310E71">
        <w:noBreakHyphen/>
      </w:r>
      <w:r w:rsidR="00FB75FD" w:rsidRPr="00052D57">
        <w:t>D</w:t>
      </w:r>
      <w:r w:rsidR="003B0DF7" w:rsidRPr="00052D57">
        <w:t xml:space="preserve"> en </w:t>
      </w:r>
      <w:r w:rsidR="00AB143F" w:rsidRPr="00052D57">
        <w:t>esa esfera</w:t>
      </w:r>
      <w:r w:rsidR="00FB75FD" w:rsidRPr="00052D57">
        <w:t xml:space="preserve">. </w:t>
      </w:r>
      <w:r w:rsidR="003B0DF7" w:rsidRPr="00052D57">
        <w:t>De redactar</w:t>
      </w:r>
      <w:r w:rsidR="00FB75FD" w:rsidRPr="00052D57">
        <w:t xml:space="preserve"> directrices sobre l</w:t>
      </w:r>
      <w:r w:rsidR="003B0DF7" w:rsidRPr="00052D57">
        <w:t xml:space="preserve">a utilización de la AGC por </w:t>
      </w:r>
      <w:r w:rsidR="00FB75FD" w:rsidRPr="00052D57">
        <w:t xml:space="preserve">la UIT, </w:t>
      </w:r>
      <w:r w:rsidR="003B0DF7" w:rsidRPr="00052D57">
        <w:t xml:space="preserve">estas </w:t>
      </w:r>
      <w:r w:rsidR="00FB75FD" w:rsidRPr="00052D57">
        <w:t>deberían limitarse a una breve introducción y</w:t>
      </w:r>
      <w:r w:rsidR="00AB143F" w:rsidRPr="00052D57">
        <w:t xml:space="preserve"> a</w:t>
      </w:r>
      <w:r w:rsidR="00FB75FD" w:rsidRPr="00052D57">
        <w:t xml:space="preserve"> </w:t>
      </w:r>
      <w:r w:rsidR="003B0DF7" w:rsidRPr="00052D57">
        <w:t>una serie de</w:t>
      </w:r>
      <w:r w:rsidR="00FB75FD" w:rsidRPr="00052D57">
        <w:t xml:space="preserve"> actividades específicas en el marco de los cinco pilares de la </w:t>
      </w:r>
      <w:r w:rsidR="009D1D51">
        <w:t>AGC</w:t>
      </w:r>
      <w:r w:rsidR="00FB75FD" w:rsidRPr="00052D57">
        <w:t xml:space="preserve">, </w:t>
      </w:r>
      <w:r w:rsidR="003B0DF7" w:rsidRPr="00052D57">
        <w:t xml:space="preserve">según se indica </w:t>
      </w:r>
      <w:r w:rsidR="00FB75FD" w:rsidRPr="00052D57">
        <w:t>en el Documento C21/82.</w:t>
      </w:r>
      <w:bookmarkEnd w:id="52"/>
    </w:p>
    <w:p w14:paraId="1E2A6546" w14:textId="7C1DB16B" w:rsidR="004578F1" w:rsidRPr="00052D57" w:rsidRDefault="004578F1" w:rsidP="00603B8D">
      <w:r w:rsidRPr="00450130">
        <w:t>5.7</w:t>
      </w:r>
      <w:r w:rsidRPr="00052D57">
        <w:tab/>
      </w:r>
      <w:bookmarkStart w:id="53" w:name="lt_pId158"/>
      <w:r w:rsidR="00FB75FD" w:rsidRPr="00052D57">
        <w:t xml:space="preserve">Un </w:t>
      </w:r>
      <w:r w:rsidR="004B7109">
        <w:t>c</w:t>
      </w:r>
      <w:r w:rsidR="004250C7" w:rsidRPr="00052D57">
        <w:t xml:space="preserve">onsejero </w:t>
      </w:r>
      <w:r w:rsidR="00603B8D" w:rsidRPr="00052D57">
        <w:t xml:space="preserve">duda de la </w:t>
      </w:r>
      <w:r w:rsidR="00FB75FD" w:rsidRPr="00052D57">
        <w:t>necesidad y</w:t>
      </w:r>
      <w:r w:rsidR="00603B8D" w:rsidRPr="00052D57">
        <w:t xml:space="preserve"> el motivo por el que se ha de conformar una interpretación común del término </w:t>
      </w:r>
      <w:r w:rsidR="00D20DE3">
        <w:t>"</w:t>
      </w:r>
      <w:r w:rsidR="00603B8D" w:rsidRPr="00052D57">
        <w:t>tecnologías emergentes</w:t>
      </w:r>
      <w:r w:rsidR="00D20DE3">
        <w:t>"</w:t>
      </w:r>
      <w:r w:rsidR="00603B8D" w:rsidRPr="00052D57">
        <w:t>, tal y como se solicita en</w:t>
      </w:r>
      <w:r w:rsidR="00FB75FD" w:rsidRPr="00052D57">
        <w:t xml:space="preserve"> el Documento C21/82.</w:t>
      </w:r>
      <w:bookmarkEnd w:id="53"/>
    </w:p>
    <w:p w14:paraId="5B7BE37A" w14:textId="4C2BC7AB" w:rsidR="004578F1" w:rsidRPr="00052D57" w:rsidRDefault="004578F1" w:rsidP="00C529E7">
      <w:r w:rsidRPr="00450130">
        <w:t>5.8</w:t>
      </w:r>
      <w:r w:rsidRPr="00052D57">
        <w:tab/>
      </w:r>
      <w:bookmarkStart w:id="54" w:name="lt_pId160"/>
      <w:r w:rsidR="00565470">
        <w:t>Algunos</w:t>
      </w:r>
      <w:r w:rsidR="00565470" w:rsidRPr="00052D57">
        <w:t xml:space="preserve"> </w:t>
      </w:r>
      <w:r w:rsidR="003D47F2">
        <w:t>c</w:t>
      </w:r>
      <w:r w:rsidR="004250C7" w:rsidRPr="00052D57">
        <w:t xml:space="preserve">onsejeros </w:t>
      </w:r>
      <w:r w:rsidR="00630D0E" w:rsidRPr="00052D57">
        <w:t>abogan por</w:t>
      </w:r>
      <w:r w:rsidR="00FB75FD" w:rsidRPr="00052D57">
        <w:t xml:space="preserve"> simplificar las directrices y prescindir del comentario sobre los cinco pilares de la </w:t>
      </w:r>
      <w:r w:rsidR="00630D0E" w:rsidRPr="00052D57">
        <w:t>AGC,</w:t>
      </w:r>
      <w:r w:rsidR="00FB75FD" w:rsidRPr="00052D57">
        <w:t xml:space="preserve"> y consider</w:t>
      </w:r>
      <w:r w:rsidR="00630D0E" w:rsidRPr="00052D57">
        <w:t>a</w:t>
      </w:r>
      <w:r w:rsidR="00FB75FD" w:rsidRPr="00052D57">
        <w:t xml:space="preserve">n que el Documento C21/82 </w:t>
      </w:r>
      <w:r w:rsidR="00630D0E" w:rsidRPr="00052D57">
        <w:t>supone</w:t>
      </w:r>
      <w:r w:rsidR="00FB75FD" w:rsidRPr="00052D57">
        <w:t xml:space="preserve"> un </w:t>
      </w:r>
      <w:r w:rsidR="00630D0E" w:rsidRPr="00052D57">
        <w:t>avance</w:t>
      </w:r>
      <w:r w:rsidR="00FB75FD" w:rsidRPr="00052D57">
        <w:t xml:space="preserve"> en la dirección correcta.</w:t>
      </w:r>
      <w:bookmarkEnd w:id="54"/>
    </w:p>
    <w:p w14:paraId="4334B7DE" w14:textId="5F843780" w:rsidR="00FB75FD" w:rsidRPr="00052D57" w:rsidRDefault="004578F1" w:rsidP="009C106F">
      <w:r w:rsidRPr="00450130">
        <w:t>5.9</w:t>
      </w:r>
      <w:r w:rsidRPr="00052D57">
        <w:tab/>
      </w:r>
      <w:bookmarkStart w:id="55" w:name="lt_pId163"/>
      <w:r w:rsidR="00C529E7" w:rsidRPr="00052D57">
        <w:t xml:space="preserve">Tras expresar su apoyo al Documento C21/82, otro </w:t>
      </w:r>
      <w:r w:rsidR="004B7109">
        <w:t>c</w:t>
      </w:r>
      <w:r w:rsidR="004250C7" w:rsidRPr="00052D57">
        <w:t xml:space="preserve">onsejero </w:t>
      </w:r>
      <w:r w:rsidR="00C529E7" w:rsidRPr="00052D57">
        <w:t xml:space="preserve">destaca que la UIT no es el único organismo que </w:t>
      </w:r>
      <w:r w:rsidR="00FB75FD" w:rsidRPr="00052D57">
        <w:t>trabajaba en el ámbito de la ciberseguridad</w:t>
      </w:r>
      <w:r w:rsidR="00C529E7" w:rsidRPr="00052D57">
        <w:t xml:space="preserve">. En ese sentido, la Unión </w:t>
      </w:r>
      <w:r w:rsidR="00FB75FD" w:rsidRPr="00052D57">
        <w:t>deb</w:t>
      </w:r>
      <w:r w:rsidR="00C529E7" w:rsidRPr="00052D57">
        <w:t>er</w:t>
      </w:r>
      <w:r w:rsidR="00FB75FD" w:rsidRPr="00052D57">
        <w:t xml:space="preserve">ía seguir promoviendo, </w:t>
      </w:r>
      <w:r w:rsidR="00C529E7" w:rsidRPr="00052D57">
        <w:t>con arreglo a</w:t>
      </w:r>
      <w:r w:rsidR="00FB75FD" w:rsidRPr="00052D57">
        <w:t xml:space="preserve"> su mandato, la colaboración y la coordinación entre las </w:t>
      </w:r>
      <w:r w:rsidR="00C529E7" w:rsidRPr="00052D57">
        <w:t xml:space="preserve">distintas </w:t>
      </w:r>
      <w:r w:rsidR="00FB75FD" w:rsidRPr="00052D57">
        <w:t xml:space="preserve">partes interesadas nacionales, regionales, internacionales y del sector privado </w:t>
      </w:r>
      <w:r w:rsidR="00C529E7" w:rsidRPr="00052D57">
        <w:t xml:space="preserve">que se dedican a </w:t>
      </w:r>
      <w:r w:rsidR="00FB75FD" w:rsidRPr="00052D57">
        <w:t xml:space="preserve">la ciberseguridad y, lo que es más importante, establecer un mecanismo para coordinar los trabajos de sus diversas Comisiones de Estudio en </w:t>
      </w:r>
      <w:r w:rsidR="00C529E7" w:rsidRPr="00052D57">
        <w:t xml:space="preserve">esa esfera, </w:t>
      </w:r>
      <w:r w:rsidR="00FB75FD" w:rsidRPr="00052D57">
        <w:t>a fin de evitar la duplicación</w:t>
      </w:r>
      <w:r w:rsidR="00C529E7" w:rsidRPr="00052D57">
        <w:t xml:space="preserve"> de esfuerzos</w:t>
      </w:r>
      <w:r w:rsidR="00FB75FD" w:rsidRPr="00052D57">
        <w:t>.</w:t>
      </w:r>
    </w:p>
    <w:bookmarkEnd w:id="55"/>
    <w:p w14:paraId="3FBFE3BC" w14:textId="2ED2AC8C" w:rsidR="004578F1" w:rsidRPr="00052D57" w:rsidRDefault="004578F1" w:rsidP="00C529E7">
      <w:r w:rsidRPr="00450130">
        <w:t>5.10</w:t>
      </w:r>
      <w:r w:rsidRPr="00052D57">
        <w:tab/>
      </w:r>
      <w:bookmarkStart w:id="56" w:name="lt_pId165"/>
      <w:r w:rsidR="00FB75FD" w:rsidRPr="00052D57">
        <w:t xml:space="preserve">Un </w:t>
      </w:r>
      <w:r w:rsidR="004B7109">
        <w:t>c</w:t>
      </w:r>
      <w:r w:rsidR="004250C7" w:rsidRPr="00052D57">
        <w:t xml:space="preserve">onsejero </w:t>
      </w:r>
      <w:r w:rsidR="00C529E7" w:rsidRPr="00052D57">
        <w:t>considera</w:t>
      </w:r>
      <w:r w:rsidR="00FB75FD" w:rsidRPr="00052D57">
        <w:t xml:space="preserve"> que la UIT podría desempeñar su papel en el sistema de las Naciones Unidas </w:t>
      </w:r>
      <w:r w:rsidR="00C529E7" w:rsidRPr="00052D57">
        <w:t>valiéndose</w:t>
      </w:r>
      <w:r w:rsidR="00FB75FD" w:rsidRPr="00052D57">
        <w:t xml:space="preserve"> de los mecanismos de coordinación existentes, incluida la </w:t>
      </w:r>
      <w:r w:rsidR="00C529E7" w:rsidRPr="00052D57">
        <w:t>Junta de los Jefes Ejecutivos para la Coordinación</w:t>
      </w:r>
      <w:r w:rsidRPr="00052D57">
        <w:t>.</w:t>
      </w:r>
      <w:bookmarkEnd w:id="56"/>
    </w:p>
    <w:p w14:paraId="3F907964" w14:textId="4697D6A5" w:rsidR="004578F1" w:rsidRPr="00052D57" w:rsidRDefault="004578F1" w:rsidP="008D75B2">
      <w:r w:rsidRPr="00052D57">
        <w:t>5.11</w:t>
      </w:r>
      <w:r w:rsidRPr="00052D57">
        <w:tab/>
      </w:r>
      <w:bookmarkStart w:id="57" w:name="lt_pId167"/>
      <w:r w:rsidR="00FB75FD" w:rsidRPr="00052D57">
        <w:t xml:space="preserve">Otro </w:t>
      </w:r>
      <w:r w:rsidR="004B7109">
        <w:t>c</w:t>
      </w:r>
      <w:r w:rsidR="004250C7" w:rsidRPr="00052D57">
        <w:t xml:space="preserve">onsejero </w:t>
      </w:r>
      <w:r w:rsidR="008D75B2" w:rsidRPr="00052D57">
        <w:t>señala</w:t>
      </w:r>
      <w:r w:rsidR="00FB75FD" w:rsidRPr="00052D57">
        <w:t xml:space="preserve"> que, dada la preocupación </w:t>
      </w:r>
      <w:r w:rsidR="008D75B2" w:rsidRPr="00052D57">
        <w:t>que suscita entre</w:t>
      </w:r>
      <w:r w:rsidR="00FB75FD" w:rsidRPr="00052D57">
        <w:t xml:space="preserve"> los foros y organizaciones internacionales que se ocupan de Internet el hecho de que las iniciativas nacionales de ciberseguridad s</w:t>
      </w:r>
      <w:r w:rsidR="008D75B2" w:rsidRPr="00052D57">
        <w:t>ea</w:t>
      </w:r>
      <w:r w:rsidR="00FB75FD" w:rsidRPr="00052D57">
        <w:t xml:space="preserve">n a menudo contradictorias y </w:t>
      </w:r>
      <w:r w:rsidR="008D75B2" w:rsidRPr="00052D57">
        <w:t>conlleven un</w:t>
      </w:r>
      <w:r w:rsidR="00FB75FD" w:rsidRPr="00052D57">
        <w:t xml:space="preserve">a fragmentación </w:t>
      </w:r>
      <w:r w:rsidR="00356EF6" w:rsidRPr="00052D57">
        <w:t>d</w:t>
      </w:r>
      <w:r w:rsidR="00FB75FD" w:rsidRPr="00052D57">
        <w:t xml:space="preserve">el espacio global de Internet, </w:t>
      </w:r>
      <w:r w:rsidR="008D75B2" w:rsidRPr="00052D57">
        <w:t>e</w:t>
      </w:r>
      <w:r w:rsidR="00FB75FD" w:rsidRPr="00052D57">
        <w:t>l papel de la UIT como único facilitador de la Línea de Acción C5 de la</w:t>
      </w:r>
      <w:r w:rsidR="00310E71">
        <w:t> </w:t>
      </w:r>
      <w:r w:rsidR="00FB75FD" w:rsidRPr="00052D57">
        <w:t>CMSI</w:t>
      </w:r>
      <w:r w:rsidR="008D75B2" w:rsidRPr="00052D57">
        <w:t xml:space="preserve"> no debería </w:t>
      </w:r>
      <w:r w:rsidR="00565470">
        <w:t>subestimarse</w:t>
      </w:r>
      <w:r w:rsidR="00FB75FD" w:rsidRPr="00052D57">
        <w:t xml:space="preserve">. La UIT es el foro en el que todas las partes interesadas, ya sean Estados </w:t>
      </w:r>
      <w:r w:rsidR="008D75B2" w:rsidRPr="00052D57">
        <w:t>Miembros</w:t>
      </w:r>
      <w:r w:rsidR="00FB75FD" w:rsidRPr="00052D57">
        <w:t xml:space="preserve">, </w:t>
      </w:r>
      <w:r w:rsidR="008D75B2" w:rsidRPr="00052D57">
        <w:t>entidades d</w:t>
      </w:r>
      <w:r w:rsidR="00FB75FD" w:rsidRPr="00052D57">
        <w:t>el sector privado o</w:t>
      </w:r>
      <w:r w:rsidR="008D75B2" w:rsidRPr="00052D57">
        <w:t xml:space="preserve"> miembros de</w:t>
      </w:r>
      <w:r w:rsidR="00FB75FD" w:rsidRPr="00052D57">
        <w:t xml:space="preserve"> la sociedad civil, pueden reunirse para alcanzar consenso</w:t>
      </w:r>
      <w:r w:rsidR="00356EF6" w:rsidRPr="00052D57">
        <w:t>s</w:t>
      </w:r>
      <w:r w:rsidR="00FB75FD" w:rsidRPr="00052D57">
        <w:t xml:space="preserve"> al respecto.</w:t>
      </w:r>
      <w:bookmarkEnd w:id="57"/>
    </w:p>
    <w:p w14:paraId="248DBFDB" w14:textId="1949EEAF" w:rsidR="004578F1" w:rsidRPr="00052D57" w:rsidRDefault="004578F1" w:rsidP="00916626">
      <w:r w:rsidRPr="00450130">
        <w:lastRenderedPageBreak/>
        <w:t>5.12</w:t>
      </w:r>
      <w:r w:rsidRPr="00052D57">
        <w:tab/>
      </w:r>
      <w:bookmarkStart w:id="58" w:name="lt_pId170"/>
      <w:r w:rsidR="00FB75FD" w:rsidRPr="00052D57">
        <w:t xml:space="preserve">Varios </w:t>
      </w:r>
      <w:r w:rsidR="003D47F2">
        <w:t>c</w:t>
      </w:r>
      <w:r w:rsidR="004250C7" w:rsidRPr="00052D57">
        <w:t xml:space="preserve">onsejeros </w:t>
      </w:r>
      <w:r w:rsidR="00916626" w:rsidRPr="00052D57">
        <w:t>se declaran a favor de</w:t>
      </w:r>
      <w:r w:rsidR="00FB75FD" w:rsidRPr="00052D57">
        <w:t xml:space="preserve"> </w:t>
      </w:r>
      <w:r w:rsidR="00916626" w:rsidRPr="00052D57">
        <w:t>adoptar</w:t>
      </w:r>
      <w:r w:rsidR="00FB75FD" w:rsidRPr="00052D57">
        <w:t xml:space="preserve"> el </w:t>
      </w:r>
      <w:r w:rsidR="00916626" w:rsidRPr="00052D57">
        <w:t xml:space="preserve">Documento </w:t>
      </w:r>
      <w:r w:rsidR="00FB75FD" w:rsidRPr="00052D57">
        <w:t>C21/71</w:t>
      </w:r>
      <w:r w:rsidR="00916626" w:rsidRPr="00052D57">
        <w:t>,</w:t>
      </w:r>
      <w:r w:rsidR="00FB75FD" w:rsidRPr="00052D57">
        <w:t xml:space="preserve"> sin cambios </w:t>
      </w:r>
      <w:r w:rsidR="00916626" w:rsidRPr="00052D57">
        <w:t>en su</w:t>
      </w:r>
      <w:r w:rsidR="00FB75FD" w:rsidRPr="00052D57">
        <w:t xml:space="preserve"> redacción, mientras que otros insisten en que no </w:t>
      </w:r>
      <w:r w:rsidR="00916626" w:rsidRPr="00052D57">
        <w:t xml:space="preserve">pueden acceder a </w:t>
      </w:r>
      <w:r w:rsidR="00FB75FD" w:rsidRPr="00052D57">
        <w:t xml:space="preserve">las directrices tal </w:t>
      </w:r>
      <w:bookmarkEnd w:id="58"/>
      <w:r w:rsidR="00916626" w:rsidRPr="00052D57">
        <w:t>y como figuran en dicho documento.</w:t>
      </w:r>
    </w:p>
    <w:p w14:paraId="6D05F5D2" w14:textId="39F1F926" w:rsidR="004578F1" w:rsidRPr="00052D57" w:rsidRDefault="004578F1" w:rsidP="00916626">
      <w:r w:rsidRPr="00052D57">
        <w:t>5.13</w:t>
      </w:r>
      <w:r w:rsidRPr="00052D57">
        <w:tab/>
      </w:r>
      <w:bookmarkStart w:id="59" w:name="lt_pId172"/>
      <w:r w:rsidR="00916626" w:rsidRPr="00052D57">
        <w:t>Ante l</w:t>
      </w:r>
      <w:r w:rsidR="00FB75FD" w:rsidRPr="00052D57">
        <w:t xml:space="preserve">a falta de consenso, el </w:t>
      </w:r>
      <w:r w:rsidR="00916626" w:rsidRPr="00052D57">
        <w:t xml:space="preserve">Presidente entiende que los </w:t>
      </w:r>
      <w:r w:rsidR="003D47F2">
        <w:t>c</w:t>
      </w:r>
      <w:r w:rsidR="00916626" w:rsidRPr="00052D57">
        <w:t>onsejeros desean concluir que</w:t>
      </w:r>
      <w:r w:rsidR="00FB75FD" w:rsidRPr="00052D57">
        <w:t xml:space="preserve">, </w:t>
      </w:r>
      <w:r w:rsidR="00916626" w:rsidRPr="00052D57">
        <w:t xml:space="preserve">dada la urgencia de este punto, </w:t>
      </w:r>
      <w:r w:rsidR="00E22575" w:rsidRPr="00052D57">
        <w:t xml:space="preserve">se llevará a cabo una consulta </w:t>
      </w:r>
      <w:r w:rsidR="00916626" w:rsidRPr="00052D57">
        <w:t xml:space="preserve">por correspondencia con los Estados Miembros del Consejo </w:t>
      </w:r>
      <w:r w:rsidR="00356EF6" w:rsidRPr="00052D57">
        <w:t>a fin de</w:t>
      </w:r>
      <w:r w:rsidR="00916626" w:rsidRPr="00052D57">
        <w:t xml:space="preserve"> </w:t>
      </w:r>
      <w:r w:rsidR="00FB75FD" w:rsidRPr="00052D57">
        <w:t xml:space="preserve">encargar a la secretaría que </w:t>
      </w:r>
      <w:r w:rsidR="00916626" w:rsidRPr="00052D57">
        <w:t>celebre</w:t>
      </w:r>
      <w:r w:rsidR="00FB75FD" w:rsidRPr="00052D57">
        <w:t xml:space="preserve"> nuevas consultas con los Estados </w:t>
      </w:r>
      <w:r w:rsidR="00356EF6" w:rsidRPr="00052D57">
        <w:t xml:space="preserve">Miembros </w:t>
      </w:r>
      <w:r w:rsidR="00FB75FD" w:rsidRPr="00052D57">
        <w:t xml:space="preserve">del Consejo, </w:t>
      </w:r>
      <w:r w:rsidR="00916626" w:rsidRPr="00052D57">
        <w:t>habida</w:t>
      </w:r>
      <w:r w:rsidR="00FB75FD" w:rsidRPr="00052D57">
        <w:t xml:space="preserve"> cuenta </w:t>
      </w:r>
      <w:r w:rsidR="00916626" w:rsidRPr="00052D57">
        <w:t xml:space="preserve">de </w:t>
      </w:r>
      <w:r w:rsidR="00FB75FD" w:rsidRPr="00052D57">
        <w:t xml:space="preserve">las </w:t>
      </w:r>
      <w:r w:rsidR="00916626" w:rsidRPr="00052D57">
        <w:t>contribuciones</w:t>
      </w:r>
      <w:r w:rsidR="00FB75FD" w:rsidRPr="00052D57">
        <w:t xml:space="preserve"> recibidas y los comentarios realizados </w:t>
      </w:r>
      <w:r w:rsidR="00916626" w:rsidRPr="00052D57">
        <w:t>en la</w:t>
      </w:r>
      <w:r w:rsidR="00FB75FD" w:rsidRPr="00052D57">
        <w:t xml:space="preserve"> reunión</w:t>
      </w:r>
      <w:r w:rsidR="00916626" w:rsidRPr="00052D57">
        <w:t xml:space="preserve"> en curso</w:t>
      </w:r>
      <w:r w:rsidR="00FB75FD" w:rsidRPr="00052D57">
        <w:t>. La secretaría debería presentar un documento revisado para su examen y aprobación en la próxima reunión del Consejo.</w:t>
      </w:r>
      <w:bookmarkEnd w:id="59"/>
    </w:p>
    <w:p w14:paraId="428EC57C" w14:textId="77777777" w:rsidR="00ED30FB" w:rsidRPr="00052D57" w:rsidRDefault="004578F1" w:rsidP="009C106F">
      <w:r w:rsidRPr="00052D57">
        <w:t>5.14</w:t>
      </w:r>
      <w:r w:rsidRPr="00052D57">
        <w:tab/>
      </w:r>
      <w:bookmarkStart w:id="60" w:name="lt_pId175"/>
      <w:r w:rsidR="00ED30FB" w:rsidRPr="00052D57">
        <w:t xml:space="preserve">Así se </w:t>
      </w:r>
      <w:r w:rsidR="00ED30FB" w:rsidRPr="00F732D7">
        <w:rPr>
          <w:b/>
          <w:bCs/>
        </w:rPr>
        <w:t>concluye</w:t>
      </w:r>
      <w:r w:rsidRPr="00052D57">
        <w:t>.</w:t>
      </w:r>
      <w:bookmarkEnd w:id="60"/>
    </w:p>
    <w:p w14:paraId="5A197CF9" w14:textId="3E066DA5" w:rsidR="004578F1" w:rsidRPr="00052D57" w:rsidRDefault="004578F1" w:rsidP="009C106F">
      <w:pPr>
        <w:pStyle w:val="Heading1"/>
      </w:pPr>
      <w:r w:rsidRPr="00A33E75">
        <w:t>6</w:t>
      </w:r>
      <w:r w:rsidRPr="00052D57">
        <w:tab/>
      </w:r>
      <w:bookmarkStart w:id="61" w:name="lt_pId177"/>
      <w:r w:rsidR="00ED30FB" w:rsidRPr="00052D57">
        <w:t xml:space="preserve">Informe de la </w:t>
      </w:r>
      <w:r w:rsidR="00F33CD5" w:rsidRPr="00052D57">
        <w:t xml:space="preserve">Oficina </w:t>
      </w:r>
      <w:r w:rsidR="00ED30FB" w:rsidRPr="00052D57">
        <w:t xml:space="preserve">de </w:t>
      </w:r>
      <w:r w:rsidR="00F33CD5" w:rsidRPr="00052D57">
        <w:t xml:space="preserve">Ética </w:t>
      </w:r>
      <w:r w:rsidRPr="00052D57">
        <w:t>(Document</w:t>
      </w:r>
      <w:r w:rsidR="00ED30FB" w:rsidRPr="00052D57">
        <w:t>o</w:t>
      </w:r>
      <w:r w:rsidRPr="00052D57">
        <w:t xml:space="preserve"> </w:t>
      </w:r>
      <w:hyperlink r:id="rId17" w:history="1">
        <w:r w:rsidRPr="00D20DE3">
          <w:rPr>
            <w:rStyle w:val="Hyperlink"/>
          </w:rPr>
          <w:t>C21/59</w:t>
        </w:r>
      </w:hyperlink>
      <w:r w:rsidRPr="00052D57">
        <w:t>)</w:t>
      </w:r>
      <w:bookmarkEnd w:id="61"/>
    </w:p>
    <w:p w14:paraId="1EDC30D4" w14:textId="13DE939B" w:rsidR="004578F1" w:rsidRPr="00052D57" w:rsidRDefault="004578F1" w:rsidP="001B5932">
      <w:r w:rsidRPr="00052D57">
        <w:t>6.1</w:t>
      </w:r>
      <w:r w:rsidRPr="00052D57">
        <w:tab/>
      </w:r>
      <w:bookmarkStart w:id="62" w:name="lt_pId179"/>
      <w:r w:rsidR="00FB75FD" w:rsidRPr="00052D57">
        <w:t>La Oficial de Ética present</w:t>
      </w:r>
      <w:r w:rsidR="00393C19" w:rsidRPr="00052D57">
        <w:t>a</w:t>
      </w:r>
      <w:r w:rsidR="00FB75FD" w:rsidRPr="00052D57">
        <w:t xml:space="preserve"> el informe que figura en el Documento C21/59, en el que se hace un balance de las actividades </w:t>
      </w:r>
      <w:r w:rsidR="00393C19" w:rsidRPr="00052D57">
        <w:t>llevadas a cabo por</w:t>
      </w:r>
      <w:r w:rsidR="00FB75FD" w:rsidRPr="00052D57">
        <w:t xml:space="preserve"> la Oficina de Ética en 2020 y se formulan observaciones </w:t>
      </w:r>
      <w:r w:rsidR="00393C19" w:rsidRPr="00052D57">
        <w:t>de cara a sus</w:t>
      </w:r>
      <w:r w:rsidR="00FB75FD" w:rsidRPr="00052D57">
        <w:t xml:space="preserve"> actividades futuras.</w:t>
      </w:r>
      <w:r w:rsidR="00393C19" w:rsidRPr="00052D57">
        <w:t xml:space="preserve"> E</w:t>
      </w:r>
      <w:r w:rsidR="00FB75FD" w:rsidRPr="00052D57">
        <w:t>n particular,</w:t>
      </w:r>
      <w:r w:rsidR="00393C19" w:rsidRPr="00052D57">
        <w:t xml:space="preserve"> señala</w:t>
      </w:r>
      <w:r w:rsidR="00FB75FD" w:rsidRPr="00052D57">
        <w:t xml:space="preserve"> que la </w:t>
      </w:r>
      <w:r w:rsidR="00393C19" w:rsidRPr="00052D57">
        <w:t>elaboración</w:t>
      </w:r>
      <w:r w:rsidR="00FB75FD" w:rsidRPr="00052D57">
        <w:t xml:space="preserve"> </w:t>
      </w:r>
      <w:r w:rsidR="00356EF6" w:rsidRPr="00052D57">
        <w:t xml:space="preserve">de </w:t>
      </w:r>
      <w:r w:rsidR="00FB75FD" w:rsidRPr="00052D57">
        <w:t xml:space="preserve">una carta para la Oficina de Ética ayudaría a definir mejor su función y sus responsabilidades y sería </w:t>
      </w:r>
      <w:r w:rsidR="001B5932" w:rsidRPr="00052D57">
        <w:t xml:space="preserve">una iniciativa </w:t>
      </w:r>
      <w:r w:rsidR="00FB75FD" w:rsidRPr="00052D57">
        <w:t>oportuna</w:t>
      </w:r>
      <w:r w:rsidR="001B5932" w:rsidRPr="00052D57">
        <w:t xml:space="preserve"> en el momento en el que se proceda a</w:t>
      </w:r>
      <w:r w:rsidR="00FB75FD" w:rsidRPr="00052D57">
        <w:t xml:space="preserve"> </w:t>
      </w:r>
      <w:r w:rsidR="001B5932" w:rsidRPr="00052D57">
        <w:t>integrar</w:t>
      </w:r>
      <w:r w:rsidR="00FB75FD" w:rsidRPr="00052D57">
        <w:t xml:space="preserve"> la nueva unidad de investigación en los textos y políticas pertinentes de la UIT. </w:t>
      </w:r>
      <w:r w:rsidR="001B5932" w:rsidRPr="00052D57">
        <w:t>En</w:t>
      </w:r>
      <w:r w:rsidR="00FB75FD" w:rsidRPr="00052D57">
        <w:t xml:space="preserve"> 2021, la Oficina de Ética dar</w:t>
      </w:r>
      <w:r w:rsidR="001B5932" w:rsidRPr="00052D57">
        <w:t>á</w:t>
      </w:r>
      <w:r w:rsidR="00FB75FD" w:rsidRPr="00052D57">
        <w:t xml:space="preserve"> prioridad al fortalecimiento y la armonización del marco y el mecanismo éticos, </w:t>
      </w:r>
      <w:r w:rsidR="001B5932" w:rsidRPr="00052D57">
        <w:t xml:space="preserve">lo que incluye </w:t>
      </w:r>
      <w:r w:rsidR="00FB75FD" w:rsidRPr="00052D57">
        <w:t>desde la revisión de la política sobre el acoso y el acoso sexual hasta la contribución a una revisión de los procedimientos disciplinarios. Se invit</w:t>
      </w:r>
      <w:r w:rsidR="001B5932" w:rsidRPr="00052D57">
        <w:t>a</w:t>
      </w:r>
      <w:r w:rsidR="00FB75FD" w:rsidRPr="00052D57">
        <w:t xml:space="preserve"> al Consejo a tomar nota del </w:t>
      </w:r>
      <w:r w:rsidR="001B5932" w:rsidRPr="00052D57">
        <w:t xml:space="preserve">Documento </w:t>
      </w:r>
      <w:r w:rsidR="00FB75FD" w:rsidRPr="00052D57">
        <w:t xml:space="preserve">C21/59 y del </w:t>
      </w:r>
      <w:r w:rsidR="001B5932" w:rsidRPr="00052D57">
        <w:t xml:space="preserve">Documento </w:t>
      </w:r>
      <w:r w:rsidR="00FB75FD" w:rsidRPr="00052D57">
        <w:t xml:space="preserve">C20/59, que </w:t>
      </w:r>
      <w:r w:rsidR="001B5932" w:rsidRPr="00052D57">
        <w:t>contiene</w:t>
      </w:r>
      <w:r w:rsidR="00FB75FD" w:rsidRPr="00052D57">
        <w:t xml:space="preserve"> el informe del año anterior.</w:t>
      </w:r>
      <w:bookmarkEnd w:id="62"/>
    </w:p>
    <w:p w14:paraId="0049FCBA" w14:textId="6275C8EB" w:rsidR="004578F1" w:rsidRPr="00052D57" w:rsidRDefault="004578F1" w:rsidP="001B5932">
      <w:r w:rsidRPr="00A33E75">
        <w:t>6.2</w:t>
      </w:r>
      <w:r w:rsidRPr="00052D57">
        <w:tab/>
      </w:r>
      <w:bookmarkStart w:id="63" w:name="lt_pId184"/>
      <w:r w:rsidR="00FB75FD" w:rsidRPr="00052D57">
        <w:t xml:space="preserve">Varios </w:t>
      </w:r>
      <w:r w:rsidR="003D47F2">
        <w:t>c</w:t>
      </w:r>
      <w:r w:rsidR="004250C7" w:rsidRPr="00052D57">
        <w:t xml:space="preserve">onsejeros </w:t>
      </w:r>
      <w:r w:rsidR="00FB75FD" w:rsidRPr="00052D57">
        <w:t>expresan su agradecimiento por el informe y el trabajo realizado por la Oficina de Ética.</w:t>
      </w:r>
      <w:bookmarkEnd w:id="63"/>
    </w:p>
    <w:p w14:paraId="31711887" w14:textId="0FC80EA5" w:rsidR="004578F1" w:rsidRPr="00052D57" w:rsidRDefault="004578F1" w:rsidP="001B5932">
      <w:r w:rsidRPr="00052D57">
        <w:t>6.3</w:t>
      </w:r>
      <w:r w:rsidRPr="00052D57">
        <w:tab/>
      </w:r>
      <w:bookmarkStart w:id="64" w:name="lt_pId186"/>
      <w:r w:rsidR="00FB75FD" w:rsidRPr="00052D57">
        <w:t xml:space="preserve">Un </w:t>
      </w:r>
      <w:r w:rsidR="004B7109">
        <w:t>c</w:t>
      </w:r>
      <w:r w:rsidR="00FB75FD" w:rsidRPr="00052D57">
        <w:t xml:space="preserve">onsejero </w:t>
      </w:r>
      <w:r w:rsidR="001B5932" w:rsidRPr="00052D57">
        <w:t>celebra</w:t>
      </w:r>
      <w:r w:rsidR="00FB75FD" w:rsidRPr="00052D57">
        <w:t xml:space="preserve">, en particular, la importancia </w:t>
      </w:r>
      <w:r w:rsidR="001B5932" w:rsidRPr="00052D57">
        <w:t>otorgada</w:t>
      </w:r>
      <w:r w:rsidR="00FB75FD" w:rsidRPr="00052D57">
        <w:t xml:space="preserve"> a las actividades de sensibilización y a la formación del personal de la UIT en materia de ética, a fin de garantizar la plena aplicación de las políticas. También </w:t>
      </w:r>
      <w:r w:rsidR="001B5932" w:rsidRPr="00052D57">
        <w:t>valora</w:t>
      </w:r>
      <w:r w:rsidR="00FB75FD" w:rsidRPr="00052D57">
        <w:t xml:space="preserve"> la colaboración de la Unión en </w:t>
      </w:r>
      <w:r w:rsidR="001B5932" w:rsidRPr="00052D57">
        <w:t>los</w:t>
      </w:r>
      <w:r w:rsidR="00FB75FD" w:rsidRPr="00052D57">
        <w:t xml:space="preserve"> esfuerzo</w:t>
      </w:r>
      <w:r w:rsidR="001B5932" w:rsidRPr="00052D57">
        <w:t>s</w:t>
      </w:r>
      <w:r w:rsidR="00FB75FD" w:rsidRPr="00052D57">
        <w:t xml:space="preserve"> </w:t>
      </w:r>
      <w:r w:rsidR="001B5932" w:rsidRPr="00052D57">
        <w:t>d</w:t>
      </w:r>
      <w:r w:rsidR="00FB75FD" w:rsidRPr="00052D57">
        <w:t xml:space="preserve">el sistema de las Naciones Unidas </w:t>
      </w:r>
      <w:r w:rsidR="001B5932" w:rsidRPr="00052D57">
        <w:t>por</w:t>
      </w:r>
      <w:r w:rsidR="00FB75FD" w:rsidRPr="00052D57">
        <w:t xml:space="preserve"> garantizar que las organizaciones mantengan las normas éticas más estrictas.</w:t>
      </w:r>
      <w:bookmarkEnd w:id="64"/>
    </w:p>
    <w:p w14:paraId="5AC6CC48" w14:textId="28D90FBC" w:rsidR="004578F1" w:rsidRPr="00052D57" w:rsidRDefault="004578F1" w:rsidP="001B5932">
      <w:r w:rsidRPr="00052D57">
        <w:t>6.4</w:t>
      </w:r>
      <w:r w:rsidRPr="00052D57">
        <w:tab/>
      </w:r>
      <w:bookmarkStart w:id="65" w:name="lt_pId189"/>
      <w:r w:rsidR="00FB75FD" w:rsidRPr="00052D57">
        <w:t>Otr</w:t>
      </w:r>
      <w:r w:rsidR="004B7109">
        <w:t>a</w:t>
      </w:r>
      <w:r w:rsidR="00FB75FD" w:rsidRPr="00052D57">
        <w:t xml:space="preserve"> </w:t>
      </w:r>
      <w:r w:rsidR="004B7109">
        <w:t>c</w:t>
      </w:r>
      <w:r w:rsidR="004250C7" w:rsidRPr="00052D57">
        <w:t>onsejer</w:t>
      </w:r>
      <w:r w:rsidR="004B7109">
        <w:t>a</w:t>
      </w:r>
      <w:r w:rsidR="004250C7" w:rsidRPr="00052D57">
        <w:t xml:space="preserve"> </w:t>
      </w:r>
      <w:r w:rsidR="00FB75FD" w:rsidRPr="00052D57">
        <w:t xml:space="preserve">señala la importancia de </w:t>
      </w:r>
      <w:r w:rsidR="001B5932" w:rsidRPr="00052D57">
        <w:t>definir</w:t>
      </w:r>
      <w:r w:rsidR="00FB75FD" w:rsidRPr="00052D57">
        <w:t xml:space="preserve"> las responsabilidades de la Oficina de Ética</w:t>
      </w:r>
      <w:r w:rsidR="001B5932" w:rsidRPr="00052D57">
        <w:t xml:space="preserve"> y</w:t>
      </w:r>
      <w:r w:rsidR="00FB75FD" w:rsidRPr="00052D57">
        <w:t xml:space="preserve"> apoy</w:t>
      </w:r>
      <w:r w:rsidR="001B5932" w:rsidRPr="00052D57">
        <w:t xml:space="preserve">a la propuesta de elaborar </w:t>
      </w:r>
      <w:r w:rsidR="00FB75FD" w:rsidRPr="00052D57">
        <w:t>una carta.</w:t>
      </w:r>
      <w:bookmarkEnd w:id="65"/>
    </w:p>
    <w:p w14:paraId="1797DB32" w14:textId="3293DB65" w:rsidR="004578F1" w:rsidRPr="00052D57" w:rsidRDefault="004578F1" w:rsidP="004250C7">
      <w:r w:rsidRPr="00052D57">
        <w:t>6.5</w:t>
      </w:r>
      <w:r w:rsidRPr="00052D57">
        <w:tab/>
      </w:r>
      <w:bookmarkStart w:id="66" w:name="lt_pId191"/>
      <w:r w:rsidR="00FB75FD" w:rsidRPr="00052D57">
        <w:t>En respuesta a una pregunta de un</w:t>
      </w:r>
      <w:r w:rsidR="004B7109">
        <w:t>a</w:t>
      </w:r>
      <w:r w:rsidR="00FB75FD" w:rsidRPr="00052D57">
        <w:t xml:space="preserve"> </w:t>
      </w:r>
      <w:r w:rsidR="004B7109">
        <w:t>c</w:t>
      </w:r>
      <w:r w:rsidR="004250C7" w:rsidRPr="00052D57">
        <w:t>onsejer</w:t>
      </w:r>
      <w:r w:rsidR="004B7109">
        <w:t>a</w:t>
      </w:r>
      <w:r w:rsidR="00FB75FD" w:rsidRPr="00052D57">
        <w:t xml:space="preserve">, la Responsable de Ética </w:t>
      </w:r>
      <w:r w:rsidR="0069249D" w:rsidRPr="00052D57">
        <w:t>declara</w:t>
      </w:r>
      <w:r w:rsidR="00FB75FD" w:rsidRPr="00052D57">
        <w:t xml:space="preserve"> que las investigaciones no </w:t>
      </w:r>
      <w:r w:rsidR="0069249D" w:rsidRPr="00052D57">
        <w:t>son</w:t>
      </w:r>
      <w:r w:rsidR="00FB75FD" w:rsidRPr="00052D57">
        <w:t xml:space="preserve"> competencia de la Oficina de Ética y que, por tanto, no </w:t>
      </w:r>
      <w:r w:rsidR="0069249D" w:rsidRPr="00052D57">
        <w:t>puede</w:t>
      </w:r>
      <w:r w:rsidR="00FB75FD" w:rsidRPr="00052D57">
        <w:t xml:space="preserve"> proporcionar información actualizada sobre la situación de las cinco denuncias que se han presentado para su investigación formal.</w:t>
      </w:r>
      <w:bookmarkEnd w:id="66"/>
    </w:p>
    <w:p w14:paraId="37C0DC5D" w14:textId="09F48209" w:rsidR="004578F1" w:rsidRPr="00F732D7" w:rsidRDefault="004578F1" w:rsidP="004250C7">
      <w:r w:rsidRPr="00052D57">
        <w:t>6.6</w:t>
      </w:r>
      <w:r w:rsidRPr="00052D57">
        <w:tab/>
      </w:r>
      <w:r w:rsidR="004250C7" w:rsidRPr="00052D57">
        <w:t xml:space="preserve">El Presidente entiende que los </w:t>
      </w:r>
      <w:r w:rsidR="003D47F2">
        <w:t>c</w:t>
      </w:r>
      <w:r w:rsidR="004250C7" w:rsidRPr="00052D57">
        <w:t xml:space="preserve">onsejeros desean concluir que, dada la urgencia de este punto, </w:t>
      </w:r>
      <w:r w:rsidR="00E22575" w:rsidRPr="00052D57">
        <w:t xml:space="preserve">se llevará a cabo una consulta </w:t>
      </w:r>
      <w:r w:rsidR="004250C7" w:rsidRPr="00052D57">
        <w:t>por correspondencia con los Estados Miembros del Consejo para que tomen nota de los Documentos C21/59 y C20/59.</w:t>
      </w:r>
    </w:p>
    <w:p w14:paraId="13D36670" w14:textId="77777777" w:rsidR="00ED30FB" w:rsidRPr="00052D57" w:rsidRDefault="004578F1" w:rsidP="009C106F">
      <w:r w:rsidRPr="00052D57">
        <w:t>6.7</w:t>
      </w:r>
      <w:r w:rsidRPr="00052D57">
        <w:tab/>
      </w:r>
      <w:r w:rsidR="00ED30FB" w:rsidRPr="00052D57">
        <w:t xml:space="preserve">Así se </w:t>
      </w:r>
      <w:r w:rsidR="00ED30FB" w:rsidRPr="00F732D7">
        <w:rPr>
          <w:b/>
          <w:bCs/>
        </w:rPr>
        <w:t>concluye</w:t>
      </w:r>
      <w:r w:rsidR="00ED30FB" w:rsidRPr="00052D57">
        <w:t>.</w:t>
      </w:r>
    </w:p>
    <w:p w14:paraId="3A85ED2F" w14:textId="1C692432" w:rsidR="004578F1" w:rsidRPr="00052D57" w:rsidRDefault="004578F1" w:rsidP="009C106F">
      <w:pPr>
        <w:pStyle w:val="Heading1"/>
      </w:pPr>
      <w:r w:rsidRPr="00A33E75">
        <w:lastRenderedPageBreak/>
        <w:t>7</w:t>
      </w:r>
      <w:r w:rsidRPr="00052D57">
        <w:tab/>
      </w:r>
      <w:bookmarkStart w:id="67" w:name="lt_pId197"/>
      <w:r w:rsidR="00ED30FB" w:rsidRPr="00052D57">
        <w:t xml:space="preserve">Pasivo del seguro médico después del servicio (ASHI) </w:t>
      </w:r>
      <w:r w:rsidRPr="00052D57">
        <w:t>(Document</w:t>
      </w:r>
      <w:r w:rsidR="00ED30FB" w:rsidRPr="00052D57">
        <w:t>o</w:t>
      </w:r>
      <w:r w:rsidRPr="00052D57">
        <w:t xml:space="preserve"> </w:t>
      </w:r>
      <w:hyperlink r:id="rId18" w:history="1">
        <w:r w:rsidRPr="00D20DE3">
          <w:rPr>
            <w:rStyle w:val="Hyperlink"/>
          </w:rPr>
          <w:t>C21/46</w:t>
        </w:r>
      </w:hyperlink>
      <w:r w:rsidRPr="00052D57">
        <w:t>)</w:t>
      </w:r>
      <w:bookmarkEnd w:id="67"/>
    </w:p>
    <w:p w14:paraId="6A4CBE92" w14:textId="78EC771B" w:rsidR="00FB75FD" w:rsidRPr="00052D57" w:rsidRDefault="004578F1" w:rsidP="007D194A">
      <w:r w:rsidRPr="00052D57">
        <w:t>7.1</w:t>
      </w:r>
      <w:r w:rsidRPr="00052D57">
        <w:tab/>
      </w:r>
      <w:bookmarkStart w:id="68" w:name="lt_pId199"/>
      <w:r w:rsidR="004B7109">
        <w:t>La</w:t>
      </w:r>
      <w:r w:rsidR="00FB75FD" w:rsidRPr="00052D57">
        <w:t xml:space="preserve"> representante de la Secretaría General present</w:t>
      </w:r>
      <w:r w:rsidR="00D82690" w:rsidRPr="00052D57">
        <w:t>a</w:t>
      </w:r>
      <w:r w:rsidR="00FB75FD" w:rsidRPr="00052D57">
        <w:t xml:space="preserve"> el Documento C21/46 y </w:t>
      </w:r>
      <w:r w:rsidR="00D82690" w:rsidRPr="00052D57">
        <w:t>señala a</w:t>
      </w:r>
      <w:r w:rsidR="00FB75FD" w:rsidRPr="00052D57">
        <w:t xml:space="preserve"> la atención</w:t>
      </w:r>
      <w:r w:rsidR="00D82690" w:rsidRPr="00052D57">
        <w:t xml:space="preserve"> de los presentes</w:t>
      </w:r>
      <w:r w:rsidR="00FB75FD" w:rsidRPr="00052D57">
        <w:t xml:space="preserve"> l</w:t>
      </w:r>
      <w:r w:rsidR="0097026C" w:rsidRPr="00052D57">
        <w:t>a</w:t>
      </w:r>
      <w:r w:rsidR="00FB75FD" w:rsidRPr="00052D57">
        <w:t xml:space="preserve">s </w:t>
      </w:r>
      <w:r w:rsidR="0097026C" w:rsidRPr="00052D57">
        <w:t>causas del aumento</w:t>
      </w:r>
      <w:r w:rsidR="00FB75FD" w:rsidRPr="00052D57">
        <w:t xml:space="preserve"> del nivel del </w:t>
      </w:r>
      <w:r w:rsidR="007D194A" w:rsidRPr="00052D57">
        <w:t>ASHI, junto con</w:t>
      </w:r>
      <w:r w:rsidR="00FB75FD" w:rsidRPr="00052D57">
        <w:t xml:space="preserve"> la propuesta del </w:t>
      </w:r>
      <w:r w:rsidR="007D194A" w:rsidRPr="00052D57">
        <w:t xml:space="preserve">grupo de trabajo de las Naciones Unidas sobre el </w:t>
      </w:r>
      <w:r w:rsidR="00FB75FD" w:rsidRPr="00052D57">
        <w:t>ASHI</w:t>
      </w:r>
      <w:r w:rsidR="007D194A" w:rsidRPr="00052D57">
        <w:t>, la cual consiste en</w:t>
      </w:r>
      <w:r w:rsidR="00FB75FD" w:rsidRPr="00052D57">
        <w:t xml:space="preserve"> que cada organización de las Naciones Unidas cree </w:t>
      </w:r>
      <w:r w:rsidR="007D194A" w:rsidRPr="00052D57">
        <w:t xml:space="preserve">una reserva financiera </w:t>
      </w:r>
      <w:r w:rsidR="0097026C" w:rsidRPr="00052D57">
        <w:t>específica</w:t>
      </w:r>
      <w:r w:rsidR="007D194A" w:rsidRPr="00052D57">
        <w:t>, a la que destinar una contribución del 5,35% de la masa salarial de los funcionarios contratados a partir del 1 de enero de 2022</w:t>
      </w:r>
      <w:r w:rsidR="00FB75FD" w:rsidRPr="00052D57">
        <w:t>. Se invit</w:t>
      </w:r>
      <w:r w:rsidR="007D194A" w:rsidRPr="00052D57">
        <w:t>a</w:t>
      </w:r>
      <w:r w:rsidR="00FB75FD" w:rsidRPr="00052D57">
        <w:t xml:space="preserve"> al Consejo a tomar nota del </w:t>
      </w:r>
      <w:r w:rsidR="007D194A" w:rsidRPr="00052D57">
        <w:t xml:space="preserve">Documento </w:t>
      </w:r>
      <w:r w:rsidR="00FB75FD" w:rsidRPr="00052D57">
        <w:t xml:space="preserve">C21/46, así como del </w:t>
      </w:r>
      <w:r w:rsidR="007D194A" w:rsidRPr="00052D57">
        <w:t xml:space="preserve">Documento </w:t>
      </w:r>
      <w:r w:rsidR="00FB75FD" w:rsidRPr="00052D57">
        <w:t>C20/46(Rev.1), que contiene el informe del año anterior.</w:t>
      </w:r>
    </w:p>
    <w:bookmarkEnd w:id="68"/>
    <w:p w14:paraId="0D2DB6FE" w14:textId="1D78E743" w:rsidR="004578F1" w:rsidRPr="00052D57" w:rsidRDefault="004578F1" w:rsidP="007D194A">
      <w:r w:rsidRPr="00A22968">
        <w:t>7.2</w:t>
      </w:r>
      <w:r w:rsidRPr="00052D57">
        <w:tab/>
      </w:r>
      <w:bookmarkStart w:id="69" w:name="lt_pId202"/>
      <w:r w:rsidR="007D194A" w:rsidRPr="00052D57">
        <w:t>En respuesta</w:t>
      </w:r>
      <w:r w:rsidR="00FB75FD" w:rsidRPr="00052D57">
        <w:t xml:space="preserve"> a </w:t>
      </w:r>
      <w:r w:rsidR="0097026C" w:rsidRPr="00052D57">
        <w:t>las</w:t>
      </w:r>
      <w:r w:rsidR="00FB75FD" w:rsidRPr="00052D57">
        <w:t xml:space="preserve"> preguntas de </w:t>
      </w:r>
      <w:r w:rsidR="0097026C" w:rsidRPr="00052D57">
        <w:t>vari</w:t>
      </w:r>
      <w:r w:rsidR="00FB75FD" w:rsidRPr="00052D57">
        <w:t xml:space="preserve">os </w:t>
      </w:r>
      <w:r w:rsidR="003D47F2">
        <w:t>c</w:t>
      </w:r>
      <w:r w:rsidR="007D194A" w:rsidRPr="00052D57">
        <w:t>onsejeros</w:t>
      </w:r>
      <w:r w:rsidR="00FB75FD" w:rsidRPr="00052D57">
        <w:t xml:space="preserve">, el Jefe del Departamento de Gestión de Recursos Financieros </w:t>
      </w:r>
      <w:r w:rsidR="007D194A" w:rsidRPr="00052D57">
        <w:t>señala</w:t>
      </w:r>
      <w:r w:rsidR="00FB75FD" w:rsidRPr="00052D57">
        <w:t xml:space="preserve"> que</w:t>
      </w:r>
      <w:r w:rsidR="007D194A" w:rsidRPr="00052D57">
        <w:t xml:space="preserve"> </w:t>
      </w:r>
      <w:r w:rsidR="00FB75FD" w:rsidRPr="00052D57">
        <w:t xml:space="preserve">la propuesta de </w:t>
      </w:r>
      <w:r w:rsidR="007D194A" w:rsidRPr="00052D57">
        <w:t xml:space="preserve">destinar una contribución del 5,35% de </w:t>
      </w:r>
      <w:r w:rsidR="00FB75FD" w:rsidRPr="00052D57">
        <w:t xml:space="preserve">la masa salarial de los futuros funcionarios contratados a partir del 1 de enero de 2022 </w:t>
      </w:r>
      <w:r w:rsidR="007D194A" w:rsidRPr="00052D57">
        <w:t xml:space="preserve">aún ha </w:t>
      </w:r>
      <w:r w:rsidR="0097026C" w:rsidRPr="00052D57">
        <w:t>d</w:t>
      </w:r>
      <w:r w:rsidR="007D194A" w:rsidRPr="00052D57">
        <w:t>e someterse a la consideración de</w:t>
      </w:r>
      <w:r w:rsidR="00FB75FD" w:rsidRPr="00052D57">
        <w:t xml:space="preserve"> la Asamblea General de las Naciones Unidas y</w:t>
      </w:r>
      <w:r w:rsidR="007D194A" w:rsidRPr="00052D57">
        <w:t xml:space="preserve"> que</w:t>
      </w:r>
      <w:r w:rsidR="00FB75FD" w:rsidRPr="00052D57">
        <w:t xml:space="preserve">, por tanto, </w:t>
      </w:r>
      <w:r w:rsidR="007D194A" w:rsidRPr="00052D57">
        <w:t xml:space="preserve">está </w:t>
      </w:r>
      <w:r w:rsidR="00FB75FD" w:rsidRPr="00052D57">
        <w:t xml:space="preserve">pendiente de aprobación. </w:t>
      </w:r>
      <w:r w:rsidR="007D194A" w:rsidRPr="00052D57">
        <w:t xml:space="preserve">No obstante, </w:t>
      </w:r>
      <w:r w:rsidR="0097026C" w:rsidRPr="00052D57">
        <w:t xml:space="preserve">mientras tanto, </w:t>
      </w:r>
      <w:r w:rsidR="00FB75FD" w:rsidRPr="00052D57">
        <w:t>la UIT aplicar</w:t>
      </w:r>
      <w:r w:rsidR="007D194A" w:rsidRPr="00052D57">
        <w:t>á</w:t>
      </w:r>
      <w:r w:rsidR="00FB75FD" w:rsidRPr="00052D57">
        <w:t xml:space="preserve"> esa medida a los nuevos </w:t>
      </w:r>
      <w:r w:rsidR="007D194A" w:rsidRPr="00052D57">
        <w:t xml:space="preserve">funcionarios </w:t>
      </w:r>
      <w:r w:rsidR="00FB75FD" w:rsidRPr="00052D57">
        <w:t>contratados y</w:t>
      </w:r>
      <w:r w:rsidR="007D194A" w:rsidRPr="00052D57">
        <w:t xml:space="preserve">, en principio, incluirá </w:t>
      </w:r>
      <w:r w:rsidR="00FB75FD" w:rsidRPr="00052D57">
        <w:t>una disposición al respecto en el proyecto de plan financiero para 2024-2027.</w:t>
      </w:r>
      <w:bookmarkEnd w:id="69"/>
    </w:p>
    <w:p w14:paraId="2DD1DA1C" w14:textId="70068C5F" w:rsidR="004578F1" w:rsidRPr="00052D57" w:rsidRDefault="004578F1" w:rsidP="00343D28">
      <w:r w:rsidRPr="00A22968">
        <w:t>7.3</w:t>
      </w:r>
      <w:r w:rsidRPr="00052D57">
        <w:tab/>
      </w:r>
      <w:bookmarkStart w:id="70" w:name="lt_pId205"/>
      <w:r w:rsidR="00BB11B4" w:rsidRPr="00052D57">
        <w:t>El orador señala</w:t>
      </w:r>
      <w:r w:rsidR="00FB75FD" w:rsidRPr="00052D57">
        <w:t xml:space="preserve"> que la mayor</w:t>
      </w:r>
      <w:r w:rsidR="00BB11B4" w:rsidRPr="00052D57">
        <w:t xml:space="preserve"> parte</w:t>
      </w:r>
      <w:r w:rsidR="00FB75FD" w:rsidRPr="00052D57">
        <w:t xml:space="preserve"> de las organizaciones se </w:t>
      </w:r>
      <w:r w:rsidR="00BB11B4" w:rsidRPr="00052D57">
        <w:t>halla</w:t>
      </w:r>
      <w:r w:rsidR="00FB75FD" w:rsidRPr="00052D57">
        <w:t xml:space="preserve"> en una situación similar, debido al envejecimiento de sus plantillas y a los elevados costes médicos </w:t>
      </w:r>
      <w:r w:rsidR="0097026C" w:rsidRPr="00052D57">
        <w:t>de</w:t>
      </w:r>
      <w:r w:rsidR="00FB75FD" w:rsidRPr="00052D57">
        <w:t xml:space="preserve"> la zona de Ginebra, y que la UIT est</w:t>
      </w:r>
      <w:r w:rsidR="00BB11B4" w:rsidRPr="00052D57">
        <w:t>á</w:t>
      </w:r>
      <w:r w:rsidR="00FB75FD" w:rsidRPr="00052D57">
        <w:t xml:space="preserve"> colaborando estrechamente con otras organizaciones, incluso </w:t>
      </w:r>
      <w:r w:rsidR="00BB11B4" w:rsidRPr="00052D57">
        <w:t>en el marco</w:t>
      </w:r>
      <w:r w:rsidR="00FB75FD" w:rsidRPr="00052D57">
        <w:t xml:space="preserve"> </w:t>
      </w:r>
      <w:r w:rsidR="00BB11B4" w:rsidRPr="00052D57">
        <w:t>del grupo de trabajo de las Naciones Unidas sobre el ASHI</w:t>
      </w:r>
      <w:r w:rsidR="00FB75FD" w:rsidRPr="00052D57">
        <w:t xml:space="preserve">, para </w:t>
      </w:r>
      <w:r w:rsidR="00BB11B4" w:rsidRPr="00052D57">
        <w:t>definir</w:t>
      </w:r>
      <w:r w:rsidR="00FB75FD" w:rsidRPr="00052D57">
        <w:t xml:space="preserve"> las mejores prácticas de financiación a largo plazo. </w:t>
      </w:r>
      <w:r w:rsidR="0097026C" w:rsidRPr="00052D57">
        <w:t>En ese sentido, señala que</w:t>
      </w:r>
      <w:r w:rsidR="00FB75FD" w:rsidRPr="00052D57">
        <w:t xml:space="preserve"> la Decisión 5 (Rev. Dubái, 2018) </w:t>
      </w:r>
      <w:r w:rsidR="00BB11B4" w:rsidRPr="00052D57">
        <w:t>de</w:t>
      </w:r>
      <w:r w:rsidR="00A71B65" w:rsidRPr="00052D57">
        <w:t xml:space="preserve"> </w:t>
      </w:r>
      <w:r w:rsidR="00BB11B4" w:rsidRPr="00052D57">
        <w:t>l</w:t>
      </w:r>
      <w:r w:rsidR="00A71B65" w:rsidRPr="00052D57">
        <w:t>a</w:t>
      </w:r>
      <w:r w:rsidR="00BB11B4" w:rsidRPr="00052D57">
        <w:t xml:space="preserve"> PP </w:t>
      </w:r>
      <w:r w:rsidR="00FB75FD" w:rsidRPr="00052D57">
        <w:t>permit</w:t>
      </w:r>
      <w:r w:rsidR="0097026C" w:rsidRPr="00052D57">
        <w:t>ió</w:t>
      </w:r>
      <w:r w:rsidR="00FB75FD" w:rsidRPr="00052D57">
        <w:t xml:space="preserve"> </w:t>
      </w:r>
      <w:r w:rsidR="0097026C" w:rsidRPr="00052D57">
        <w:t>destinar</w:t>
      </w:r>
      <w:r w:rsidR="00FB75FD" w:rsidRPr="00052D57">
        <w:t xml:space="preserve"> </w:t>
      </w:r>
      <w:r w:rsidR="00BB11B4" w:rsidRPr="00052D57">
        <w:t xml:space="preserve">parte de </w:t>
      </w:r>
      <w:r w:rsidR="00FB75FD" w:rsidRPr="00052D57">
        <w:t xml:space="preserve">los ahorros </w:t>
      </w:r>
      <w:r w:rsidR="0097026C" w:rsidRPr="00052D57">
        <w:t>a la ampliación del</w:t>
      </w:r>
      <w:r w:rsidR="00BB11B4" w:rsidRPr="00052D57">
        <w:t xml:space="preserve"> </w:t>
      </w:r>
      <w:r w:rsidR="00FB75FD" w:rsidRPr="00052D57">
        <w:t>fondo</w:t>
      </w:r>
      <w:r w:rsidR="0097026C" w:rsidRPr="00052D57">
        <w:t xml:space="preserve"> para e</w:t>
      </w:r>
      <w:r w:rsidR="00BB11B4" w:rsidRPr="00052D57">
        <w:t>l pasivo del ASHI</w:t>
      </w:r>
      <w:r w:rsidR="00996211" w:rsidRPr="00052D57">
        <w:t xml:space="preserve">, al que </w:t>
      </w:r>
      <w:r w:rsidR="00FB75FD" w:rsidRPr="00052D57">
        <w:t>el Secretario General</w:t>
      </w:r>
      <w:r w:rsidR="00343D28" w:rsidRPr="00052D57">
        <w:t xml:space="preserve"> procura</w:t>
      </w:r>
      <w:r w:rsidR="00FB75FD" w:rsidRPr="00052D57">
        <w:t xml:space="preserve"> asignar excedentes de la ejecución presupuestaria </w:t>
      </w:r>
      <w:bookmarkEnd w:id="70"/>
      <w:r w:rsidR="00996211" w:rsidRPr="00052D57">
        <w:t>siempre que puede.</w:t>
      </w:r>
    </w:p>
    <w:p w14:paraId="66A9219C" w14:textId="77224F6F" w:rsidR="004578F1" w:rsidRPr="00052D57" w:rsidRDefault="004578F1" w:rsidP="00343D28">
      <w:r w:rsidRPr="00A22968">
        <w:t>7.4</w:t>
      </w:r>
      <w:r w:rsidRPr="00052D57">
        <w:tab/>
      </w:r>
      <w:bookmarkStart w:id="71" w:name="lt_pId208"/>
      <w:r w:rsidR="00FB75FD" w:rsidRPr="00052D57">
        <w:t xml:space="preserve">Por último </w:t>
      </w:r>
      <w:r w:rsidR="00343D28" w:rsidRPr="00052D57">
        <w:t>observa</w:t>
      </w:r>
      <w:r w:rsidR="00FB75FD" w:rsidRPr="00052D57">
        <w:t xml:space="preserve"> que</w:t>
      </w:r>
      <w:r w:rsidR="00343D28" w:rsidRPr="00052D57">
        <w:t>, a pesar de todo,</w:t>
      </w:r>
      <w:r w:rsidR="00FB75FD" w:rsidRPr="00052D57">
        <w:t xml:space="preserve"> e</w:t>
      </w:r>
      <w:r w:rsidR="00343D28" w:rsidRPr="00052D57">
        <w:t>s</w:t>
      </w:r>
      <w:r w:rsidR="00FB75FD" w:rsidRPr="00052D57">
        <w:t xml:space="preserve"> importante recordar que la Unión e</w:t>
      </w:r>
      <w:r w:rsidR="00343D28" w:rsidRPr="00052D57">
        <w:t>s</w:t>
      </w:r>
      <w:r w:rsidR="00FB75FD" w:rsidRPr="00052D57">
        <w:t xml:space="preserve"> una </w:t>
      </w:r>
      <w:r w:rsidR="00343D28" w:rsidRPr="00052D57">
        <w:t>institución</w:t>
      </w:r>
      <w:r w:rsidR="00FB75FD" w:rsidRPr="00052D57">
        <w:t xml:space="preserve"> viable</w:t>
      </w:r>
      <w:r w:rsidR="00343D28" w:rsidRPr="00052D57">
        <w:t xml:space="preserve"> y</w:t>
      </w:r>
      <w:r w:rsidR="00FB75FD" w:rsidRPr="00052D57">
        <w:t xml:space="preserve"> que el pasivo del </w:t>
      </w:r>
      <w:r w:rsidR="00343D28" w:rsidRPr="00052D57">
        <w:t>ASHI</w:t>
      </w:r>
      <w:r w:rsidR="00FB75FD" w:rsidRPr="00052D57">
        <w:t xml:space="preserve"> sólo sería pagadero en el caso, </w:t>
      </w:r>
      <w:r w:rsidR="00343D28" w:rsidRPr="00052D57">
        <w:t xml:space="preserve">sumamente improbable, de que la </w:t>
      </w:r>
      <w:r w:rsidR="00FB75FD" w:rsidRPr="00052D57">
        <w:t>UIT</w:t>
      </w:r>
      <w:r w:rsidR="00343D28" w:rsidRPr="00052D57">
        <w:t xml:space="preserve"> cesara sus actividades. La cuestión es que l</w:t>
      </w:r>
      <w:r w:rsidR="00FB75FD" w:rsidRPr="00052D57">
        <w:t xml:space="preserve">as </w:t>
      </w:r>
      <w:r w:rsidR="00343D28" w:rsidRPr="00052D57">
        <w:t xml:space="preserve">Normas Internacionales de Contabilidad del Sector Público (IPSAS) </w:t>
      </w:r>
      <w:r w:rsidR="00FB75FD" w:rsidRPr="00052D57">
        <w:t>exig</w:t>
      </w:r>
      <w:r w:rsidR="00343D28" w:rsidRPr="00052D57">
        <w:t>e</w:t>
      </w:r>
      <w:r w:rsidR="00FB75FD" w:rsidRPr="00052D57">
        <w:t xml:space="preserve">n que las organizaciones </w:t>
      </w:r>
      <w:r w:rsidR="00343D28" w:rsidRPr="00052D57">
        <w:t>establezcan las disposiciones adecuadas para atender</w:t>
      </w:r>
      <w:r w:rsidR="00FB75FD" w:rsidRPr="00052D57">
        <w:t xml:space="preserve"> esa improbable eventualidad. </w:t>
      </w:r>
      <w:r w:rsidR="00996211" w:rsidRPr="00052D57">
        <w:t>No obstante, c</w:t>
      </w:r>
      <w:r w:rsidR="00343D28" w:rsidRPr="00052D57">
        <w:t xml:space="preserve">abe afirmar, sin lugar a dudas, que </w:t>
      </w:r>
      <w:r w:rsidR="00FB75FD" w:rsidRPr="00052D57">
        <w:t>no</w:t>
      </w:r>
      <w:r w:rsidR="00343D28" w:rsidRPr="00052D57">
        <w:t xml:space="preserve"> existen</w:t>
      </w:r>
      <w:r w:rsidR="00FB75FD" w:rsidRPr="00052D57">
        <w:t xml:space="preserve"> problemas a corto o medio plazo.</w:t>
      </w:r>
      <w:bookmarkEnd w:id="71"/>
    </w:p>
    <w:p w14:paraId="017B5BC8" w14:textId="7EDF4A6A" w:rsidR="004578F1" w:rsidRPr="00052D57" w:rsidRDefault="004578F1" w:rsidP="00265987">
      <w:r w:rsidRPr="00A22968">
        <w:t>7.5</w:t>
      </w:r>
      <w:r w:rsidRPr="00052D57">
        <w:tab/>
      </w:r>
      <w:bookmarkStart w:id="72" w:name="lt_pId211"/>
      <w:r w:rsidR="00343D28" w:rsidRPr="00052D57">
        <w:t xml:space="preserve">En respuesta a </w:t>
      </w:r>
      <w:r w:rsidR="00FB75FD" w:rsidRPr="00052D57">
        <w:t xml:space="preserve">una pregunta de un </w:t>
      </w:r>
      <w:r w:rsidR="004B7109">
        <w:t>c</w:t>
      </w:r>
      <w:r w:rsidR="00343D28" w:rsidRPr="00052D57">
        <w:t>onsejero</w:t>
      </w:r>
      <w:r w:rsidR="00FB75FD" w:rsidRPr="00052D57">
        <w:t xml:space="preserve">, </w:t>
      </w:r>
      <w:r w:rsidR="004B7109">
        <w:t>la</w:t>
      </w:r>
      <w:r w:rsidR="00FB75FD" w:rsidRPr="00052D57">
        <w:t xml:space="preserve"> representante de la Secretaría General </w:t>
      </w:r>
      <w:r w:rsidR="00343D28" w:rsidRPr="00052D57">
        <w:t>declara que la suma abonada con miras a la adhesión a</w:t>
      </w:r>
      <w:r w:rsidR="00FB75FD" w:rsidRPr="00052D57">
        <w:t>l plan médico de la</w:t>
      </w:r>
      <w:r w:rsidR="00996211" w:rsidRPr="00052D57">
        <w:t xml:space="preserve"> mutualidad</w:t>
      </w:r>
      <w:r w:rsidR="00FB75FD" w:rsidRPr="00052D57">
        <w:t xml:space="preserve"> UNSMIS se </w:t>
      </w:r>
      <w:r w:rsidR="00343D28" w:rsidRPr="00052D57">
        <w:t>obtuvo</w:t>
      </w:r>
      <w:r w:rsidR="00FB75FD" w:rsidRPr="00052D57">
        <w:t xml:space="preserve"> en su totalidad del fondo de garantía del </w:t>
      </w:r>
      <w:r w:rsidR="00343D28" w:rsidRPr="00052D57">
        <w:t xml:space="preserve">Plan Colectivo de Seguro Médico (PCSM) </w:t>
      </w:r>
      <w:r w:rsidR="00FB75FD" w:rsidRPr="00052D57">
        <w:t>y</w:t>
      </w:r>
      <w:r w:rsidR="00996211" w:rsidRPr="00052D57">
        <w:t xml:space="preserve"> que, por tanto, no tenido repercusión alguna</w:t>
      </w:r>
      <w:r w:rsidR="00265987" w:rsidRPr="00052D57">
        <w:t xml:space="preserve"> </w:t>
      </w:r>
      <w:r w:rsidR="00FB75FD" w:rsidRPr="00052D57">
        <w:t>en la liquidez o las finanzas de la Unión.</w:t>
      </w:r>
      <w:bookmarkEnd w:id="72"/>
    </w:p>
    <w:p w14:paraId="747CAFAA" w14:textId="1C8C348F" w:rsidR="004578F1" w:rsidRPr="00F732D7" w:rsidRDefault="004578F1" w:rsidP="00265987">
      <w:r w:rsidRPr="00052D57">
        <w:t>7.6</w:t>
      </w:r>
      <w:r w:rsidRPr="00052D57">
        <w:tab/>
      </w:r>
      <w:r w:rsidR="00265987" w:rsidRPr="00052D57">
        <w:t xml:space="preserve">El Presidente entiende que los </w:t>
      </w:r>
      <w:r w:rsidR="003D47F2">
        <w:t>c</w:t>
      </w:r>
      <w:r w:rsidR="00265987" w:rsidRPr="00052D57">
        <w:t xml:space="preserve">onsejeros desean concluir que, dada la urgencia de este punto, </w:t>
      </w:r>
      <w:r w:rsidR="00E22575" w:rsidRPr="00052D57">
        <w:t xml:space="preserve">se llevará a cabo una consulta </w:t>
      </w:r>
      <w:r w:rsidR="00265987" w:rsidRPr="00052D57">
        <w:t>por correspondencia con los Estados Miembros del Consejo para que tomen nota de los Documentos C21/46 y C20/46(Rev.1).</w:t>
      </w:r>
    </w:p>
    <w:p w14:paraId="6E6C0CCF" w14:textId="7D0A6CAF" w:rsidR="004578F1" w:rsidRPr="00F732D7" w:rsidRDefault="004578F1" w:rsidP="009C106F">
      <w:r w:rsidRPr="00F732D7">
        <w:t>7.7</w:t>
      </w:r>
      <w:r w:rsidRPr="00F732D7">
        <w:tab/>
      </w:r>
      <w:r w:rsidR="00C83AD8" w:rsidRPr="00F732D7">
        <w:t xml:space="preserve">Así se </w:t>
      </w:r>
      <w:r w:rsidR="00C83AD8" w:rsidRPr="00F732D7">
        <w:rPr>
          <w:b/>
          <w:bCs/>
        </w:rPr>
        <w:t>concluye</w:t>
      </w:r>
      <w:r w:rsidR="00C83AD8" w:rsidRPr="00F732D7">
        <w:t>.</w:t>
      </w:r>
    </w:p>
    <w:p w14:paraId="423456E9" w14:textId="2751DFD9" w:rsidR="004578F1" w:rsidRPr="00D20DE3" w:rsidRDefault="004578F1" w:rsidP="009C106F">
      <w:pPr>
        <w:pStyle w:val="Heading1"/>
      </w:pPr>
      <w:r w:rsidRPr="00A9501D">
        <w:lastRenderedPageBreak/>
        <w:t>8</w:t>
      </w:r>
      <w:r w:rsidRPr="00D20DE3">
        <w:tab/>
      </w:r>
      <w:bookmarkStart w:id="73" w:name="lt_pId217"/>
      <w:r w:rsidR="00C83AD8" w:rsidRPr="00052D57">
        <w:t>Índice de desarrollo de las TIC</w:t>
      </w:r>
      <w:r w:rsidR="00C83AD8" w:rsidRPr="00D20DE3">
        <w:t xml:space="preserve"> </w:t>
      </w:r>
      <w:r w:rsidRPr="00D20DE3">
        <w:t>(Document</w:t>
      </w:r>
      <w:r w:rsidR="00C83AD8" w:rsidRPr="00D20DE3">
        <w:t>o</w:t>
      </w:r>
      <w:r w:rsidRPr="00D20DE3">
        <w:t xml:space="preserve">s </w:t>
      </w:r>
      <w:hyperlink r:id="rId19" w:history="1">
        <w:r w:rsidRPr="00D20DE3">
          <w:rPr>
            <w:rStyle w:val="Hyperlink"/>
          </w:rPr>
          <w:t>C21/62</w:t>
        </w:r>
      </w:hyperlink>
      <w:r w:rsidRPr="00D20DE3">
        <w:t xml:space="preserve"> </w:t>
      </w:r>
      <w:r w:rsidR="00D20DE3">
        <w:t>y</w:t>
      </w:r>
      <w:r w:rsidRPr="00D20DE3">
        <w:t xml:space="preserve"> </w:t>
      </w:r>
      <w:hyperlink r:id="rId20" w:history="1">
        <w:r w:rsidRPr="00D20DE3">
          <w:rPr>
            <w:rStyle w:val="Hyperlink"/>
          </w:rPr>
          <w:t>C21/80</w:t>
        </w:r>
      </w:hyperlink>
      <w:r w:rsidRPr="00D20DE3">
        <w:t>)</w:t>
      </w:r>
      <w:bookmarkEnd w:id="73"/>
    </w:p>
    <w:p w14:paraId="6CF71045" w14:textId="1F01E470" w:rsidR="004578F1" w:rsidRPr="00F732D7" w:rsidRDefault="004578F1" w:rsidP="00565470">
      <w:pPr>
        <w:keepNext/>
        <w:keepLines/>
      </w:pPr>
      <w:r w:rsidRPr="00F732D7">
        <w:t>8.1</w:t>
      </w:r>
      <w:r w:rsidRPr="00F732D7">
        <w:tab/>
      </w:r>
      <w:bookmarkStart w:id="74" w:name="lt_pId219"/>
      <w:r w:rsidR="004B7109">
        <w:t>La</w:t>
      </w:r>
      <w:r w:rsidR="00FB75FD" w:rsidRPr="00F732D7">
        <w:t xml:space="preserve"> representante de la BDT presenta el Documento C21/62</w:t>
      </w:r>
      <w:r w:rsidR="00265987" w:rsidRPr="00F732D7">
        <w:t xml:space="preserve"> y observa que el Índice de desarrollo de las TIC</w:t>
      </w:r>
      <w:r w:rsidR="00FB75FD" w:rsidRPr="00F732D7">
        <w:t xml:space="preserve"> (ID</w:t>
      </w:r>
      <w:r w:rsidR="00265987" w:rsidRPr="00F732D7">
        <w:t>T</w:t>
      </w:r>
      <w:r w:rsidR="00FB75FD" w:rsidRPr="00F732D7">
        <w:t xml:space="preserve">) se publicó </w:t>
      </w:r>
      <w:r w:rsidR="00A71B65" w:rsidRPr="00F732D7">
        <w:t>durante el per</w:t>
      </w:r>
      <w:r w:rsidR="00D20DE3">
        <w:t>i</w:t>
      </w:r>
      <w:r w:rsidR="00A71B65" w:rsidRPr="00F732D7">
        <w:t>odo comprendido entre</w:t>
      </w:r>
      <w:r w:rsidR="00FB75FD" w:rsidRPr="00F732D7">
        <w:t xml:space="preserve"> 2009 </w:t>
      </w:r>
      <w:r w:rsidR="00A71B65" w:rsidRPr="00F732D7">
        <w:t>y</w:t>
      </w:r>
      <w:r w:rsidR="00FB75FD" w:rsidRPr="00F732D7">
        <w:t xml:space="preserve"> 2017, año en que se propuso</w:t>
      </w:r>
      <w:r w:rsidR="00A71B65" w:rsidRPr="00F732D7">
        <w:t xml:space="preserve"> </w:t>
      </w:r>
      <w:r w:rsidR="00FB75FD" w:rsidRPr="00F732D7">
        <w:t>un ID</w:t>
      </w:r>
      <w:r w:rsidR="00A71B65" w:rsidRPr="00F732D7">
        <w:t>T</w:t>
      </w:r>
      <w:r w:rsidR="00FB75FD" w:rsidRPr="00F732D7">
        <w:t xml:space="preserve"> revisado</w:t>
      </w:r>
      <w:r w:rsidR="00A71B65" w:rsidRPr="00F732D7">
        <w:t>, a fin de tener cuenta la evolución de la te</w:t>
      </w:r>
      <w:r w:rsidR="00FB75FD" w:rsidRPr="00F732D7">
        <w:t>cnol</w:t>
      </w:r>
      <w:r w:rsidR="00A71B65" w:rsidRPr="00F732D7">
        <w:t>ogía</w:t>
      </w:r>
      <w:r w:rsidR="00FB75FD" w:rsidRPr="00F732D7">
        <w:t xml:space="preserve">. Desde 2018, los intentos de publicar </w:t>
      </w:r>
      <w:r w:rsidR="00A71B65" w:rsidRPr="00F732D7">
        <w:t>ese</w:t>
      </w:r>
      <w:r w:rsidR="00FB75FD" w:rsidRPr="00F732D7">
        <w:t xml:space="preserve"> ID</w:t>
      </w:r>
      <w:r w:rsidR="00A71B65" w:rsidRPr="00F732D7">
        <w:t>T</w:t>
      </w:r>
      <w:r w:rsidR="00FB75FD" w:rsidRPr="00F732D7">
        <w:t xml:space="preserve"> en consonancia con la Resolución 131 (Rev. </w:t>
      </w:r>
      <w:r w:rsidR="00A71B65" w:rsidRPr="00F732D7">
        <w:t>Dubái</w:t>
      </w:r>
      <w:r w:rsidR="00FB75FD" w:rsidRPr="00F732D7">
        <w:t xml:space="preserve">, 2018) </w:t>
      </w:r>
      <w:r w:rsidR="00A71B65" w:rsidRPr="00F732D7">
        <w:t xml:space="preserve">de la PP </w:t>
      </w:r>
      <w:r w:rsidR="00FB75FD" w:rsidRPr="00F732D7">
        <w:t xml:space="preserve">o de elaborar un índice totalmente nuevo han </w:t>
      </w:r>
      <w:r w:rsidR="00A71B65" w:rsidRPr="00F732D7">
        <w:t>resultado</w:t>
      </w:r>
      <w:r w:rsidR="00FB75FD" w:rsidRPr="00F732D7">
        <w:t xml:space="preserve"> infructuosos, ya que no</w:t>
      </w:r>
      <w:r w:rsidR="00A71B65" w:rsidRPr="00F732D7">
        <w:t xml:space="preserve"> ha sido posible alcanzar un </w:t>
      </w:r>
      <w:r w:rsidR="00FB75FD" w:rsidRPr="00F732D7">
        <w:t>consenso</w:t>
      </w:r>
      <w:r w:rsidR="00A71B65" w:rsidRPr="00F732D7">
        <w:t xml:space="preserve"> al respecto en el s</w:t>
      </w:r>
      <w:r w:rsidR="00FB75FD" w:rsidRPr="00F732D7">
        <w:t xml:space="preserve">eno del </w:t>
      </w:r>
      <w:r w:rsidR="00A71B65" w:rsidRPr="00F732D7">
        <w:t>del Grupo de Expertos en Indicadores de Telecomunicaciones/TIC (GEIT) y el Grupo de Expertos en Indicadores de TIC en el Hogar (GEH)</w:t>
      </w:r>
      <w:r w:rsidR="00FB75FD" w:rsidRPr="00F732D7">
        <w:t>. La resolución de</w:t>
      </w:r>
      <w:r w:rsidR="006F33BC" w:rsidRPr="00F732D7">
        <w:t xml:space="preserve"> </w:t>
      </w:r>
      <w:r w:rsidR="00FB75FD" w:rsidRPr="00F732D7">
        <w:t>l</w:t>
      </w:r>
      <w:r w:rsidR="006F33BC" w:rsidRPr="00F732D7">
        <w:t>a</w:t>
      </w:r>
      <w:r w:rsidR="00FB75FD" w:rsidRPr="00F732D7">
        <w:t xml:space="preserve"> PP no prev</w:t>
      </w:r>
      <w:r w:rsidR="006F33BC" w:rsidRPr="00F732D7">
        <w:t>é</w:t>
      </w:r>
      <w:r w:rsidR="00FB75FD" w:rsidRPr="00F732D7">
        <w:t xml:space="preserve"> ningún mecanismo para hacer frente a esta situación. Las múltiples </w:t>
      </w:r>
      <w:r w:rsidR="001C2A0E">
        <w:t xml:space="preserve">y </w:t>
      </w:r>
      <w:r w:rsidR="001C2A0E" w:rsidRPr="00F732D7">
        <w:t xml:space="preserve">profundas </w:t>
      </w:r>
      <w:r w:rsidR="00FB75FD" w:rsidRPr="00F732D7">
        <w:t>divergencias</w:t>
      </w:r>
      <w:r w:rsidR="00DE331A" w:rsidRPr="00F732D7">
        <w:t xml:space="preserve"> existentes</w:t>
      </w:r>
      <w:r w:rsidR="00FB75FD" w:rsidRPr="00F732D7">
        <w:t xml:space="preserve"> sug</w:t>
      </w:r>
      <w:r w:rsidR="00DE331A" w:rsidRPr="00F732D7">
        <w:t>ieren que no será fácil alcanzar un</w:t>
      </w:r>
      <w:r w:rsidR="00FB75FD" w:rsidRPr="00F732D7">
        <w:t xml:space="preserve"> consenso. En particular, los miembros del </w:t>
      </w:r>
      <w:r w:rsidR="00DE331A" w:rsidRPr="00F732D7">
        <w:t>GEIT</w:t>
      </w:r>
      <w:r w:rsidR="00FB75FD" w:rsidRPr="00F732D7">
        <w:t>/</w:t>
      </w:r>
      <w:r w:rsidR="00DE331A" w:rsidRPr="00F732D7">
        <w:t>GEH</w:t>
      </w:r>
      <w:r w:rsidR="00FB75FD" w:rsidRPr="00F732D7">
        <w:t xml:space="preserve"> no </w:t>
      </w:r>
      <w:r w:rsidR="00DE331A" w:rsidRPr="00F732D7">
        <w:t>se han puesto de acuerdo n</w:t>
      </w:r>
      <w:r w:rsidR="00FB75FD" w:rsidRPr="00F732D7">
        <w:t>i sobre la metodología</w:t>
      </w:r>
      <w:r w:rsidR="00DE331A" w:rsidRPr="00F732D7">
        <w:t>,</w:t>
      </w:r>
      <w:r w:rsidR="00FB75FD" w:rsidRPr="00F732D7">
        <w:t xml:space="preserve"> ni sobre el proceso de elaboración. La secretaría ha hecho esfuerzos </w:t>
      </w:r>
      <w:r w:rsidR="009E117F" w:rsidRPr="00F732D7">
        <w:t xml:space="preserve">considerables </w:t>
      </w:r>
      <w:r w:rsidR="00DE331A" w:rsidRPr="00F732D7">
        <w:t>por</w:t>
      </w:r>
      <w:r w:rsidR="00FB75FD" w:rsidRPr="00F732D7">
        <w:t xml:space="preserve"> resolver </w:t>
      </w:r>
      <w:r w:rsidR="00DE331A" w:rsidRPr="00F732D7">
        <w:t>este bloqueo</w:t>
      </w:r>
      <w:r w:rsidR="009E117F" w:rsidRPr="00F732D7">
        <w:t>,</w:t>
      </w:r>
      <w:r w:rsidR="00DE331A" w:rsidRPr="00F732D7">
        <w:t xml:space="preserve"> llega</w:t>
      </w:r>
      <w:r w:rsidR="009E117F" w:rsidRPr="00F732D7">
        <w:t>n</w:t>
      </w:r>
      <w:r w:rsidR="00DE331A" w:rsidRPr="00F732D7">
        <w:t>do</w:t>
      </w:r>
      <w:r w:rsidR="00FB75FD" w:rsidRPr="00F732D7">
        <w:t xml:space="preserve"> incluso</w:t>
      </w:r>
      <w:r w:rsidR="00DE331A" w:rsidRPr="00F732D7">
        <w:t xml:space="preserve"> a</w:t>
      </w:r>
      <w:r w:rsidR="00FB75FD" w:rsidRPr="00F732D7">
        <w:t xml:space="preserve"> propone</w:t>
      </w:r>
      <w:r w:rsidR="00DE331A" w:rsidRPr="00F732D7">
        <w:t xml:space="preserve">r </w:t>
      </w:r>
      <w:r w:rsidR="00565470" w:rsidRPr="00565470">
        <w:t>una versión revisada del ID</w:t>
      </w:r>
      <w:r w:rsidR="00546C79">
        <w:t>T</w:t>
      </w:r>
      <w:r w:rsidR="00565470" w:rsidRPr="00565470">
        <w:t xml:space="preserve"> y un concepto</w:t>
      </w:r>
      <w:r w:rsidR="00565470">
        <w:t xml:space="preserve"> base</w:t>
      </w:r>
      <w:r w:rsidR="00565470" w:rsidRPr="00565470">
        <w:t xml:space="preserve"> para </w:t>
      </w:r>
      <w:r w:rsidR="001C2A0E">
        <w:t xml:space="preserve">la elaboración de </w:t>
      </w:r>
      <w:r w:rsidR="00565470" w:rsidRPr="00565470">
        <w:t>un nuevo índice que vincul</w:t>
      </w:r>
      <w:r w:rsidR="00565470">
        <w:t>ara</w:t>
      </w:r>
      <w:r w:rsidR="00565470" w:rsidRPr="00565470">
        <w:t xml:space="preserve"> las TIC </w:t>
      </w:r>
      <w:r w:rsidR="001C2A0E">
        <w:t>a</w:t>
      </w:r>
      <w:r w:rsidR="00565470" w:rsidRPr="00565470">
        <w:t xml:space="preserve"> los Objetivos de Desarrollo Sostenible (ODS)</w:t>
      </w:r>
      <w:r w:rsidR="00565470">
        <w:t>; sin embargo</w:t>
      </w:r>
      <w:r w:rsidR="00565470" w:rsidRPr="00565470">
        <w:t xml:space="preserve">, </w:t>
      </w:r>
      <w:r w:rsidR="00565470">
        <w:t>no se ha podido</w:t>
      </w:r>
      <w:r w:rsidR="00565470" w:rsidRPr="00565470">
        <w:t xml:space="preserve"> llegar a un consenso sobre ninguna de las dos propuestas. Para resolver </w:t>
      </w:r>
      <w:r w:rsidR="00565470">
        <w:t>la</w:t>
      </w:r>
      <w:r w:rsidR="00565470" w:rsidRPr="00565470">
        <w:t xml:space="preserve"> actual </w:t>
      </w:r>
      <w:r w:rsidR="00565470">
        <w:t xml:space="preserve">situación de bloqueo, </w:t>
      </w:r>
      <w:r w:rsidR="001C2A0E">
        <w:t>es fundamental</w:t>
      </w:r>
      <w:r w:rsidR="00565470">
        <w:t xml:space="preserve"> lograr un consenso en torno al</w:t>
      </w:r>
      <w:r w:rsidR="00565470" w:rsidRPr="00565470">
        <w:t xml:space="preserve"> proceso de elaboración de un índice. </w:t>
      </w:r>
      <w:r w:rsidR="00565470">
        <w:t>A pesar de todo</w:t>
      </w:r>
      <w:r w:rsidR="00565470" w:rsidRPr="00565470">
        <w:t>, la secretaría</w:t>
      </w:r>
      <w:r w:rsidR="00FB75FD" w:rsidRPr="00F732D7">
        <w:t xml:space="preserve"> ha seguido cumpliendo su mandato en lo que respecta a las estadísticas oficiales y buscando nuevas formas de presentar l</w:t>
      </w:r>
      <w:r w:rsidR="009E117F" w:rsidRPr="00F732D7">
        <w:t>a información</w:t>
      </w:r>
      <w:r w:rsidR="00FB75FD" w:rsidRPr="00F732D7">
        <w:t xml:space="preserve"> y reforzar sus </w:t>
      </w:r>
      <w:r w:rsidR="00DE331A" w:rsidRPr="00F732D7">
        <w:t>actividades en materia</w:t>
      </w:r>
      <w:r w:rsidR="00FB75FD" w:rsidRPr="00F732D7">
        <w:t xml:space="preserve"> de recopilación de datos</w:t>
      </w:r>
      <w:bookmarkEnd w:id="74"/>
      <w:r w:rsidR="00874AB6" w:rsidRPr="00F732D7">
        <w:t>.</w:t>
      </w:r>
    </w:p>
    <w:p w14:paraId="5D3808EC" w14:textId="7D693EB8" w:rsidR="004578F1" w:rsidRPr="00F732D7" w:rsidRDefault="004578F1" w:rsidP="00874AB6">
      <w:r w:rsidRPr="00A9501D">
        <w:t>8.2</w:t>
      </w:r>
      <w:r w:rsidRPr="00F732D7">
        <w:tab/>
      </w:r>
      <w:bookmarkStart w:id="75" w:name="lt_pId228"/>
      <w:r w:rsidR="00FB75FD" w:rsidRPr="00F732D7">
        <w:t xml:space="preserve">El </w:t>
      </w:r>
      <w:r w:rsidR="004B7109">
        <w:t>c</w:t>
      </w:r>
      <w:r w:rsidR="00874AB6" w:rsidRPr="00F732D7">
        <w:t xml:space="preserve">onsejero </w:t>
      </w:r>
      <w:r w:rsidR="00FB75FD" w:rsidRPr="00F732D7">
        <w:t>de Túnez</w:t>
      </w:r>
      <w:r w:rsidR="00874AB6" w:rsidRPr="00F732D7">
        <w:t>, tras</w:t>
      </w:r>
      <w:r w:rsidR="00FB75FD" w:rsidRPr="00F732D7">
        <w:t xml:space="preserve"> lamenta</w:t>
      </w:r>
      <w:r w:rsidR="00874AB6" w:rsidRPr="00F732D7">
        <w:t>r</w:t>
      </w:r>
      <w:r w:rsidR="00FB75FD" w:rsidRPr="00F732D7">
        <w:t xml:space="preserve"> que no haya</w:t>
      </w:r>
      <w:r w:rsidR="00874AB6" w:rsidRPr="00F732D7">
        <w:t xml:space="preserve"> sido posible </w:t>
      </w:r>
      <w:r w:rsidR="00FB75FD" w:rsidRPr="00F732D7">
        <w:t>publicar el ID</w:t>
      </w:r>
      <w:r w:rsidR="00874AB6" w:rsidRPr="00F732D7">
        <w:t>T</w:t>
      </w:r>
      <w:r w:rsidR="00FB75FD" w:rsidRPr="00F732D7">
        <w:t xml:space="preserve"> durante varios años</w:t>
      </w:r>
      <w:r w:rsidR="00874AB6" w:rsidRPr="00F732D7">
        <w:t xml:space="preserve">, </w:t>
      </w:r>
      <w:r w:rsidR="00FB75FD" w:rsidRPr="00F732D7">
        <w:t>present</w:t>
      </w:r>
      <w:r w:rsidR="00874AB6" w:rsidRPr="00F732D7">
        <w:t>a</w:t>
      </w:r>
      <w:r w:rsidR="00FB75FD" w:rsidRPr="00F732D7">
        <w:t xml:space="preserve"> el </w:t>
      </w:r>
      <w:r w:rsidR="00874AB6" w:rsidRPr="00F732D7">
        <w:t xml:space="preserve">Documento </w:t>
      </w:r>
      <w:r w:rsidR="00FB75FD" w:rsidRPr="00F732D7">
        <w:t xml:space="preserve">C21/80, </w:t>
      </w:r>
      <w:r w:rsidR="00874AB6" w:rsidRPr="00F732D7">
        <w:t>en el que se propone</w:t>
      </w:r>
      <w:r w:rsidR="00FB75FD" w:rsidRPr="00F732D7">
        <w:t xml:space="preserve"> publicar el ID</w:t>
      </w:r>
      <w:r w:rsidR="00874AB6" w:rsidRPr="00F732D7">
        <w:t>T</w:t>
      </w:r>
      <w:r w:rsidR="00FB75FD" w:rsidRPr="00F732D7">
        <w:t xml:space="preserve"> para</w:t>
      </w:r>
      <w:r w:rsidR="00874AB6" w:rsidRPr="00F732D7">
        <w:t xml:space="preserve"> los años</w:t>
      </w:r>
      <w:r w:rsidR="00FB75FD" w:rsidRPr="00F732D7">
        <w:t xml:space="preserve"> 2018, 2019 y 2020 </w:t>
      </w:r>
      <w:r w:rsidR="00874AB6" w:rsidRPr="00F732D7">
        <w:t>según la metodología original y seguir publicándolo en años futuros con la misma metodología hasta que se apruebe un nuevo enfoque</w:t>
      </w:r>
      <w:r w:rsidR="00FB75FD" w:rsidRPr="00F732D7">
        <w:t xml:space="preserve">, </w:t>
      </w:r>
      <w:r w:rsidR="009E117F" w:rsidRPr="00F732D7">
        <w:t>sin dejar d</w:t>
      </w:r>
      <w:r w:rsidR="00874AB6" w:rsidRPr="00F732D7">
        <w:t>e</w:t>
      </w:r>
      <w:r w:rsidR="00FB75FD" w:rsidRPr="00F732D7">
        <w:t xml:space="preserve"> trabaja</w:t>
      </w:r>
      <w:r w:rsidR="009E117F" w:rsidRPr="00F732D7">
        <w:t>r</w:t>
      </w:r>
      <w:r w:rsidR="00FB75FD" w:rsidRPr="00F732D7">
        <w:t xml:space="preserve"> en la propuesta de la secretaría para 2020, </w:t>
      </w:r>
      <w:r w:rsidR="00874AB6" w:rsidRPr="00F732D7">
        <w:t>así como en</w:t>
      </w:r>
      <w:r w:rsidR="00FB75FD" w:rsidRPr="00F732D7">
        <w:t xml:space="preserve"> una serie de indicadores adicionales.</w:t>
      </w:r>
      <w:bookmarkEnd w:id="75"/>
    </w:p>
    <w:p w14:paraId="49BB2844" w14:textId="31E61795" w:rsidR="004578F1" w:rsidRPr="00F732D7" w:rsidRDefault="004578F1" w:rsidP="00140A4D">
      <w:r w:rsidRPr="00F732D7">
        <w:t>8.3</w:t>
      </w:r>
      <w:r w:rsidRPr="00F732D7">
        <w:tab/>
      </w:r>
      <w:bookmarkStart w:id="76" w:name="lt_pId230"/>
      <w:r w:rsidR="00FB75FD" w:rsidRPr="00F732D7">
        <w:t>El Presidente inst</w:t>
      </w:r>
      <w:r w:rsidR="00874AB6" w:rsidRPr="00F732D7">
        <w:t>a</w:t>
      </w:r>
      <w:r w:rsidR="00FB75FD" w:rsidRPr="00F732D7">
        <w:t xml:space="preserve"> a los </w:t>
      </w:r>
      <w:r w:rsidR="003D47F2">
        <w:t>c</w:t>
      </w:r>
      <w:r w:rsidR="00874AB6" w:rsidRPr="00F732D7">
        <w:t xml:space="preserve">onsejeros </w:t>
      </w:r>
      <w:r w:rsidR="00FB75FD" w:rsidRPr="00F732D7">
        <w:t>a que se centr</w:t>
      </w:r>
      <w:r w:rsidR="00140A4D" w:rsidRPr="00F732D7">
        <w:t>e</w:t>
      </w:r>
      <w:r w:rsidR="00FB75FD" w:rsidRPr="00F732D7">
        <w:t xml:space="preserve">n en </w:t>
      </w:r>
      <w:r w:rsidR="00874AB6" w:rsidRPr="00F732D7">
        <w:t>formas de</w:t>
      </w:r>
      <w:r w:rsidR="00FB75FD" w:rsidRPr="00F732D7">
        <w:t xml:space="preserve"> avanzar</w:t>
      </w:r>
      <w:r w:rsidR="00874AB6" w:rsidRPr="00F732D7">
        <w:t xml:space="preserve"> </w:t>
      </w:r>
      <w:r w:rsidR="00140A4D" w:rsidRPr="00F732D7">
        <w:t>en esta importante esfera</w:t>
      </w:r>
      <w:r w:rsidR="00FB75FD" w:rsidRPr="00F732D7">
        <w:t xml:space="preserve">, en lugar de insistir en cómo </w:t>
      </w:r>
      <w:r w:rsidR="00140A4D" w:rsidRPr="00F732D7">
        <w:t xml:space="preserve">se </w:t>
      </w:r>
      <w:r w:rsidR="00FB75FD" w:rsidRPr="00F732D7">
        <w:t>h</w:t>
      </w:r>
      <w:r w:rsidR="00140A4D" w:rsidRPr="00F732D7">
        <w:t>a</w:t>
      </w:r>
      <w:r w:rsidR="00FB75FD" w:rsidRPr="00F732D7">
        <w:t xml:space="preserve"> </w:t>
      </w:r>
      <w:r w:rsidR="00140A4D" w:rsidRPr="00F732D7">
        <w:t>llegado a es</w:t>
      </w:r>
      <w:r w:rsidR="009E117F" w:rsidRPr="00F732D7">
        <w:t>e punto</w:t>
      </w:r>
      <w:r w:rsidR="00FB75FD" w:rsidRPr="00F732D7">
        <w:t>, y a que evit</w:t>
      </w:r>
      <w:r w:rsidR="00140A4D" w:rsidRPr="00F732D7">
        <w:t>e</w:t>
      </w:r>
      <w:r w:rsidR="00FB75FD" w:rsidRPr="00F732D7">
        <w:t>n reabrir debates anteriores.</w:t>
      </w:r>
      <w:bookmarkEnd w:id="76"/>
    </w:p>
    <w:p w14:paraId="2C048D13" w14:textId="57197D82" w:rsidR="004578F1" w:rsidRPr="00F732D7" w:rsidRDefault="004578F1" w:rsidP="00BF6464">
      <w:r w:rsidRPr="00A9501D">
        <w:t>8.4</w:t>
      </w:r>
      <w:r w:rsidRPr="00F732D7">
        <w:tab/>
      </w:r>
      <w:bookmarkStart w:id="77" w:name="lt_pId232"/>
      <w:r w:rsidR="00FB75FD" w:rsidRPr="00F732D7">
        <w:t xml:space="preserve">Durante el debate, se </w:t>
      </w:r>
      <w:r w:rsidR="00140A4D" w:rsidRPr="00F732D7">
        <w:t>valor</w:t>
      </w:r>
      <w:r w:rsidR="00A9501D">
        <w:t>an</w:t>
      </w:r>
      <w:r w:rsidR="00140A4D" w:rsidRPr="00F732D7">
        <w:t xml:space="preserve"> los esfuerzos de</w:t>
      </w:r>
      <w:r w:rsidR="00FB75FD" w:rsidRPr="00F732D7">
        <w:t xml:space="preserve"> la secretaría por resolver el bloqueo y </w:t>
      </w:r>
      <w:r w:rsidR="00140A4D" w:rsidRPr="00F732D7">
        <w:t>proseguir su labor</w:t>
      </w:r>
      <w:r w:rsidR="00FB75FD" w:rsidRPr="00F732D7">
        <w:t xml:space="preserve"> estadístic</w:t>
      </w:r>
      <w:r w:rsidR="00140A4D" w:rsidRPr="00F732D7">
        <w:t>a al mismo tiempo</w:t>
      </w:r>
      <w:r w:rsidR="00FB75FD" w:rsidRPr="00F732D7">
        <w:t>, y se destac</w:t>
      </w:r>
      <w:r w:rsidR="00140A4D" w:rsidRPr="00F732D7">
        <w:t>a</w:t>
      </w:r>
      <w:r w:rsidR="00FB75FD" w:rsidRPr="00F732D7">
        <w:t xml:space="preserve"> la importancia de contar con un índice fiable. Aunque varios </w:t>
      </w:r>
      <w:r w:rsidR="003D47F2">
        <w:t>c</w:t>
      </w:r>
      <w:r w:rsidR="00140A4D" w:rsidRPr="00F732D7">
        <w:t xml:space="preserve">onsejeros </w:t>
      </w:r>
      <w:r w:rsidR="00FB75FD" w:rsidRPr="00F732D7">
        <w:t xml:space="preserve">consideran que </w:t>
      </w:r>
      <w:r w:rsidR="00140A4D" w:rsidRPr="00F732D7">
        <w:t>conviene redoblar</w:t>
      </w:r>
      <w:r w:rsidR="00FB75FD" w:rsidRPr="00F732D7">
        <w:t xml:space="preserve"> esfuerzos </w:t>
      </w:r>
      <w:r w:rsidR="00140A4D" w:rsidRPr="00F732D7">
        <w:t>a fin de abordar</w:t>
      </w:r>
      <w:r w:rsidR="00FB75FD" w:rsidRPr="00F732D7">
        <w:t xml:space="preserve"> la falta de consenso en el seno de</w:t>
      </w:r>
      <w:r w:rsidR="005962C9">
        <w:t>l</w:t>
      </w:r>
      <w:r w:rsidR="00FB75FD" w:rsidRPr="00F732D7">
        <w:t xml:space="preserve"> </w:t>
      </w:r>
      <w:r w:rsidR="00BF6464" w:rsidRPr="00F732D7">
        <w:t>GEIT/GEH</w:t>
      </w:r>
      <w:r w:rsidR="00FB75FD" w:rsidRPr="00F732D7">
        <w:t xml:space="preserve">, y algunos </w:t>
      </w:r>
      <w:r w:rsidR="00BF6464" w:rsidRPr="00F732D7">
        <w:t>formulan</w:t>
      </w:r>
      <w:r w:rsidR="00FB75FD" w:rsidRPr="00F732D7">
        <w:t xml:space="preserve"> propuestas metodológicas específicas</w:t>
      </w:r>
      <w:r w:rsidR="00BF6464" w:rsidRPr="00F732D7">
        <w:t xml:space="preserve"> a tal efecto</w:t>
      </w:r>
      <w:r w:rsidR="00FB75FD" w:rsidRPr="00F732D7">
        <w:t xml:space="preserve">, otros expresan la firme opinión de que </w:t>
      </w:r>
      <w:r w:rsidR="00BF6464" w:rsidRPr="00F732D7">
        <w:t>el GEIT/GEH no debe celebrar debates adicion</w:t>
      </w:r>
      <w:r w:rsidR="009E117F" w:rsidRPr="00F732D7">
        <w:t>al</w:t>
      </w:r>
      <w:r w:rsidR="00BF6464" w:rsidRPr="00F732D7">
        <w:t xml:space="preserve">es </w:t>
      </w:r>
      <w:r w:rsidR="00FB75FD" w:rsidRPr="00F732D7">
        <w:t xml:space="preserve">hasta que </w:t>
      </w:r>
      <w:r w:rsidR="00BF6464" w:rsidRPr="00F732D7">
        <w:t>no se resuelva</w:t>
      </w:r>
      <w:r w:rsidR="009E117F" w:rsidRPr="00F732D7">
        <w:t>n</w:t>
      </w:r>
      <w:r w:rsidR="00BF6464" w:rsidRPr="00F732D7">
        <w:t xml:space="preserve"> </w:t>
      </w:r>
      <w:r w:rsidR="00FB75FD" w:rsidRPr="00F732D7">
        <w:t xml:space="preserve">las causas subyacentes del bloqueo. Se </w:t>
      </w:r>
      <w:r w:rsidR="00BF6464" w:rsidRPr="00F732D7">
        <w:t>sugiere la posibilidad de remitir la cuestión a</w:t>
      </w:r>
      <w:r w:rsidR="00FB75FD" w:rsidRPr="00F732D7">
        <w:t xml:space="preserve"> la PP-22</w:t>
      </w:r>
      <w:r w:rsidR="00BF6464" w:rsidRPr="00F732D7">
        <w:t>,</w:t>
      </w:r>
      <w:r w:rsidR="00FB75FD" w:rsidRPr="00F732D7">
        <w:t xml:space="preserve"> para que</w:t>
      </w:r>
      <w:r w:rsidR="00BF6464" w:rsidRPr="00F732D7">
        <w:t xml:space="preserve"> esta</w:t>
      </w:r>
      <w:r w:rsidR="00FB75FD" w:rsidRPr="00F732D7">
        <w:t xml:space="preserve"> tom</w:t>
      </w:r>
      <w:r w:rsidR="00BF6464" w:rsidRPr="00F732D7">
        <w:t>e</w:t>
      </w:r>
      <w:r w:rsidR="00FB75FD" w:rsidRPr="00F732D7">
        <w:t xml:space="preserve"> una decisión en el contexto de la Resolución 131. Un </w:t>
      </w:r>
      <w:r w:rsidR="004B7109">
        <w:t>c</w:t>
      </w:r>
      <w:r w:rsidR="00BF6464" w:rsidRPr="00F732D7">
        <w:t xml:space="preserve">onsejero </w:t>
      </w:r>
      <w:r w:rsidR="00FB75FD" w:rsidRPr="00F732D7">
        <w:t>anim</w:t>
      </w:r>
      <w:r w:rsidR="00BF6464" w:rsidRPr="00F732D7">
        <w:t>a</w:t>
      </w:r>
      <w:r w:rsidR="00FB75FD" w:rsidRPr="00F732D7">
        <w:t xml:space="preserve"> a la secretaría a entablar debates</w:t>
      </w:r>
      <w:r w:rsidR="00BF6464" w:rsidRPr="00F732D7">
        <w:t xml:space="preserve"> con los Estados Miembros</w:t>
      </w:r>
      <w:r w:rsidR="00FB75FD" w:rsidRPr="00F732D7">
        <w:t xml:space="preserve">, incluso sobre la metodología y los procesos, antes de informar al Consejo en su próxima sesión. </w:t>
      </w:r>
      <w:r w:rsidR="00BF6464" w:rsidRPr="00F732D7">
        <w:t>Hay quien acoge</w:t>
      </w:r>
      <w:r w:rsidR="00FB75FD" w:rsidRPr="00F732D7">
        <w:t xml:space="preserve"> con satisfacción la propuesta presentada por la Administración de Túnez</w:t>
      </w:r>
      <w:r w:rsidR="00BF6464" w:rsidRPr="00F732D7">
        <w:t xml:space="preserve"> y considera </w:t>
      </w:r>
      <w:r w:rsidR="009E117F" w:rsidRPr="00F732D7">
        <w:t xml:space="preserve">que sienta </w:t>
      </w:r>
      <w:r w:rsidR="00FB75FD" w:rsidRPr="00F732D7">
        <w:t xml:space="preserve">una base constructiva. </w:t>
      </w:r>
      <w:bookmarkStart w:id="78" w:name="_Hlk76118316"/>
      <w:r w:rsidR="00FB75FD" w:rsidRPr="00F732D7">
        <w:t xml:space="preserve">Se expresan opiniones divergentes </w:t>
      </w:r>
      <w:r w:rsidR="00BF6464" w:rsidRPr="00F732D7">
        <w:t>en cuanto a la conveniencia de seguir publicando e</w:t>
      </w:r>
      <w:r w:rsidR="00FB75FD" w:rsidRPr="00F732D7">
        <w:t>l ID</w:t>
      </w:r>
      <w:r w:rsidR="00BF6464" w:rsidRPr="00F732D7">
        <w:t>T</w:t>
      </w:r>
      <w:r w:rsidR="00FB75FD" w:rsidRPr="00F732D7">
        <w:t xml:space="preserve"> </w:t>
      </w:r>
      <w:r w:rsidR="00BF6464" w:rsidRPr="00F732D7">
        <w:t>de acuerdo con</w:t>
      </w:r>
      <w:r w:rsidR="00FB75FD" w:rsidRPr="00F732D7">
        <w:t xml:space="preserve"> la metodología existente</w:t>
      </w:r>
      <w:r w:rsidR="00BF6464" w:rsidRPr="00F732D7">
        <w:t xml:space="preserve">, </w:t>
      </w:r>
      <w:r w:rsidR="00BF6464" w:rsidRPr="007E3776">
        <w:t xml:space="preserve">publicarlo con arreglo </w:t>
      </w:r>
      <w:r w:rsidR="007E3776" w:rsidRPr="007E3776">
        <w:t xml:space="preserve">a </w:t>
      </w:r>
      <w:r w:rsidR="00BF6464" w:rsidRPr="007E3776">
        <w:t>una nueva</w:t>
      </w:r>
      <w:r w:rsidR="00FB75FD" w:rsidRPr="00F732D7">
        <w:t xml:space="preserve">, como </w:t>
      </w:r>
      <w:r w:rsidR="00BF6464" w:rsidRPr="00F732D7">
        <w:t>propone</w:t>
      </w:r>
      <w:r w:rsidR="00FB75FD" w:rsidRPr="00F732D7">
        <w:t xml:space="preserve"> la secretaría para 2020, o </w:t>
      </w:r>
      <w:r w:rsidR="00BF6464" w:rsidRPr="00F732D7">
        <w:t>suspenderlo</w:t>
      </w:r>
      <w:r w:rsidR="00FB75FD" w:rsidRPr="00F732D7">
        <w:t xml:space="preserve">. Se </w:t>
      </w:r>
      <w:r w:rsidR="00BF6464" w:rsidRPr="00F732D7">
        <w:t>solicita información adicional</w:t>
      </w:r>
      <w:r w:rsidR="00FB75FD" w:rsidRPr="00F732D7">
        <w:t xml:space="preserve"> sobre </w:t>
      </w:r>
      <w:r w:rsidR="009E117F" w:rsidRPr="00F732D7">
        <w:t>las medida adoptadas por</w:t>
      </w:r>
      <w:r w:rsidR="00FB75FD" w:rsidRPr="00F732D7">
        <w:t xml:space="preserve"> la secretaría </w:t>
      </w:r>
      <w:r w:rsidR="009E117F" w:rsidRPr="00F732D7">
        <w:t>con miras a</w:t>
      </w:r>
      <w:r w:rsidR="00BF6464" w:rsidRPr="00F732D7">
        <w:t xml:space="preserve"> concitar un consenso en torno a </w:t>
      </w:r>
      <w:r w:rsidR="00FB75FD" w:rsidRPr="00F732D7">
        <w:t>la publicación del ID</w:t>
      </w:r>
      <w:r w:rsidR="00BF6464" w:rsidRPr="00F732D7">
        <w:t>T</w:t>
      </w:r>
      <w:r w:rsidR="00FB75FD" w:rsidRPr="00F732D7">
        <w:t xml:space="preserve"> y, </w:t>
      </w:r>
      <w:r w:rsidR="00BF6464" w:rsidRPr="00F732D7">
        <w:t xml:space="preserve">en </w:t>
      </w:r>
      <w:bookmarkEnd w:id="78"/>
      <w:r w:rsidR="00BF6464" w:rsidRPr="00F732D7">
        <w:t>consecuencia</w:t>
      </w:r>
      <w:r w:rsidR="00FB75FD" w:rsidRPr="00F732D7">
        <w:t>,</w:t>
      </w:r>
      <w:r w:rsidR="00BF6464" w:rsidRPr="00F732D7">
        <w:t xml:space="preserve"> a</w:t>
      </w:r>
      <w:r w:rsidR="00FB75FD" w:rsidRPr="00F732D7">
        <w:t xml:space="preserve"> </w:t>
      </w:r>
      <w:r w:rsidR="009E117F" w:rsidRPr="00F732D7">
        <w:t>aplicar</w:t>
      </w:r>
      <w:r w:rsidR="00FB75FD" w:rsidRPr="00F732D7">
        <w:t xml:space="preserve"> la Resolución 131 (Rev. </w:t>
      </w:r>
      <w:r w:rsidR="00BF6464" w:rsidRPr="00F732D7">
        <w:t>Dubái</w:t>
      </w:r>
      <w:r w:rsidR="00FB75FD" w:rsidRPr="00F732D7">
        <w:t>, 2018).</w:t>
      </w:r>
      <w:bookmarkEnd w:id="77"/>
    </w:p>
    <w:p w14:paraId="45A4D99C" w14:textId="0381CCDA" w:rsidR="004578F1" w:rsidRPr="00F732D7" w:rsidRDefault="004578F1" w:rsidP="003F1F3B">
      <w:pPr>
        <w:keepNext/>
        <w:keepLines/>
      </w:pPr>
      <w:r w:rsidRPr="00A9501D">
        <w:lastRenderedPageBreak/>
        <w:t>8.5</w:t>
      </w:r>
      <w:r w:rsidRPr="00F732D7">
        <w:tab/>
      </w:r>
      <w:bookmarkStart w:id="79" w:name="lt_pId240"/>
      <w:r w:rsidR="00FB75FD" w:rsidRPr="00F732D7">
        <w:t xml:space="preserve">El representante de la BDT </w:t>
      </w:r>
      <w:r w:rsidR="00BF6464" w:rsidRPr="00F732D7">
        <w:t>afirma</w:t>
      </w:r>
      <w:r w:rsidR="00FB75FD" w:rsidRPr="00F732D7">
        <w:t xml:space="preserve"> que se han agotado todas las vías para lograr un consenso sobre la metodología original, el ID</w:t>
      </w:r>
      <w:r w:rsidR="00BF6464" w:rsidRPr="00F732D7">
        <w:t>T</w:t>
      </w:r>
      <w:r w:rsidR="00FB75FD" w:rsidRPr="00F732D7">
        <w:t xml:space="preserve"> revisado o la propuesta de la secretaría para 2020. </w:t>
      </w:r>
      <w:r w:rsidR="00BF6464" w:rsidRPr="00F732D7">
        <w:t>Hasta que no se resuelvan las cuestiones de gobernanza, n</w:t>
      </w:r>
      <w:r w:rsidR="00FB75FD" w:rsidRPr="00F732D7">
        <w:t xml:space="preserve">o será posible </w:t>
      </w:r>
      <w:r w:rsidR="00834C85" w:rsidRPr="00F732D7">
        <w:t xml:space="preserve">ni </w:t>
      </w:r>
      <w:r w:rsidR="00FB75FD" w:rsidRPr="00F732D7">
        <w:t>abordar l</w:t>
      </w:r>
      <w:r w:rsidR="00BF6464" w:rsidRPr="00F732D7">
        <w:t xml:space="preserve">os temas relacionados con </w:t>
      </w:r>
      <w:r w:rsidR="00FB75FD" w:rsidRPr="00F732D7">
        <w:t>la disponibilidad y la calidad de los datos</w:t>
      </w:r>
      <w:r w:rsidR="00834C85" w:rsidRPr="00F732D7">
        <w:t>, ni</w:t>
      </w:r>
      <w:r w:rsidR="00FB75FD" w:rsidRPr="00F732D7">
        <w:t xml:space="preserve"> lograr un consenso</w:t>
      </w:r>
      <w:r w:rsidR="00BF6464" w:rsidRPr="00F732D7">
        <w:t xml:space="preserve"> al respecto</w:t>
      </w:r>
      <w:r w:rsidR="00FB75FD" w:rsidRPr="00F732D7">
        <w:t>.</w:t>
      </w:r>
      <w:bookmarkEnd w:id="79"/>
    </w:p>
    <w:p w14:paraId="603D08FE" w14:textId="709473BB" w:rsidR="004578F1" w:rsidRPr="00F732D7" w:rsidRDefault="004578F1" w:rsidP="005F0A92">
      <w:r w:rsidRPr="00F732D7">
        <w:t>8.6</w:t>
      </w:r>
      <w:r w:rsidRPr="00F732D7">
        <w:tab/>
      </w:r>
      <w:bookmarkStart w:id="80" w:name="lt_pId243"/>
      <w:r w:rsidR="00FB75FD" w:rsidRPr="00F732D7">
        <w:t xml:space="preserve">El Presidente </w:t>
      </w:r>
      <w:r w:rsidR="00834C85" w:rsidRPr="00F732D7">
        <w:t>considera</w:t>
      </w:r>
      <w:r w:rsidR="00FB75FD" w:rsidRPr="00F732D7">
        <w:t xml:space="preserve"> que el Consejo no es el foro</w:t>
      </w:r>
      <w:r w:rsidR="00C07DFC" w:rsidRPr="00F732D7">
        <w:t xml:space="preserve"> adecuado</w:t>
      </w:r>
      <w:r w:rsidR="00FB75FD" w:rsidRPr="00F732D7">
        <w:t xml:space="preserve"> para discutir detalles técnicos</w:t>
      </w:r>
      <w:r w:rsidR="00834C85" w:rsidRPr="00F732D7">
        <w:t>, pero que</w:t>
      </w:r>
      <w:r w:rsidR="005F0A92" w:rsidRPr="00F732D7">
        <w:t xml:space="preserve"> es preciso</w:t>
      </w:r>
      <w:r w:rsidR="00FB75FD" w:rsidRPr="00F732D7">
        <w:t xml:space="preserve"> encontrar un</w:t>
      </w:r>
      <w:r w:rsidR="005F0A92" w:rsidRPr="00F732D7">
        <w:t>a forma de avanzar. En ese sentido</w:t>
      </w:r>
      <w:r w:rsidR="00FB75FD" w:rsidRPr="00F732D7">
        <w:t xml:space="preserve">, </w:t>
      </w:r>
      <w:r w:rsidR="00C07DFC" w:rsidRPr="00F732D7">
        <w:t xml:space="preserve">entiende que los </w:t>
      </w:r>
      <w:r w:rsidR="003D47F2">
        <w:t>c</w:t>
      </w:r>
      <w:r w:rsidR="00C07DFC" w:rsidRPr="00F732D7">
        <w:t xml:space="preserve">onsejeros desean concluir </w:t>
      </w:r>
      <w:r w:rsidR="005F0A92" w:rsidRPr="00F732D7">
        <w:t>lo siguiente:</w:t>
      </w:r>
      <w:bookmarkEnd w:id="80"/>
    </w:p>
    <w:p w14:paraId="471B7083" w14:textId="698DE403" w:rsidR="00FB75FD" w:rsidRPr="00F732D7" w:rsidRDefault="00C83AD8" w:rsidP="00F732D7">
      <w:pPr>
        <w:pStyle w:val="enumlev1"/>
      </w:pPr>
      <w:bookmarkStart w:id="81" w:name="lt_pId244"/>
      <w:r w:rsidRPr="00F732D7">
        <w:t>–</w:t>
      </w:r>
      <w:r w:rsidRPr="00F732D7">
        <w:tab/>
      </w:r>
      <w:r w:rsidR="001E6F9A" w:rsidRPr="00F732D7">
        <w:t xml:space="preserve">se </w:t>
      </w:r>
      <w:r w:rsidR="00FB75FD" w:rsidRPr="00F732D7">
        <w:t>toma nota de todos los puntos de vista y comentarios planteados durante la reunión</w:t>
      </w:r>
      <w:r w:rsidR="001E6F9A" w:rsidRPr="00F732D7">
        <w:t>;</w:t>
      </w:r>
    </w:p>
    <w:p w14:paraId="02B833FA" w14:textId="1E8A616C" w:rsidR="00FB75FD" w:rsidRPr="00F732D7" w:rsidRDefault="00FB75FD" w:rsidP="00FB75FD">
      <w:pPr>
        <w:pStyle w:val="enumlev1"/>
      </w:pPr>
      <w:r w:rsidRPr="00F732D7">
        <w:t>–</w:t>
      </w:r>
      <w:r w:rsidRPr="00F732D7">
        <w:tab/>
      </w:r>
      <w:r w:rsidR="001E6F9A" w:rsidRPr="00F732D7">
        <w:t xml:space="preserve">los </w:t>
      </w:r>
      <w:r w:rsidR="003D47F2">
        <w:t>c</w:t>
      </w:r>
      <w:r w:rsidR="00834C85" w:rsidRPr="00F732D7">
        <w:t>onsejeros valoran</w:t>
      </w:r>
      <w:r w:rsidRPr="00F732D7">
        <w:t xml:space="preserve"> los esfuerzos realizados por la secretaría </w:t>
      </w:r>
      <w:r w:rsidR="00834C85" w:rsidRPr="00F732D7">
        <w:t>a fin de</w:t>
      </w:r>
      <w:r w:rsidR="001E6F9A" w:rsidRPr="00F732D7">
        <w:t xml:space="preserve"> impulsar la labor</w:t>
      </w:r>
      <w:r w:rsidRPr="00F732D7">
        <w:t xml:space="preserve"> estadística</w:t>
      </w:r>
      <w:r w:rsidR="001E6F9A" w:rsidRPr="00F732D7">
        <w:t>;</w:t>
      </w:r>
    </w:p>
    <w:p w14:paraId="39869F85" w14:textId="65B87F8B" w:rsidR="004578F1" w:rsidRPr="00F732D7" w:rsidRDefault="00FB75FD" w:rsidP="001E6F9A">
      <w:pPr>
        <w:pStyle w:val="enumlev1"/>
      </w:pPr>
      <w:r w:rsidRPr="00F732D7">
        <w:t>–</w:t>
      </w:r>
      <w:r w:rsidRPr="00F732D7">
        <w:tab/>
      </w:r>
      <w:r w:rsidR="001E6F9A" w:rsidRPr="00F732D7">
        <w:t>se acuerda</w:t>
      </w:r>
      <w:r w:rsidRPr="00F732D7">
        <w:t xml:space="preserve"> aplazar el debate y cualquier </w:t>
      </w:r>
      <w:r w:rsidR="001E6F9A" w:rsidRPr="00F732D7">
        <w:t xml:space="preserve">otra </w:t>
      </w:r>
      <w:r w:rsidRPr="00F732D7">
        <w:t xml:space="preserve">decisión </w:t>
      </w:r>
      <w:r w:rsidR="001E6F9A" w:rsidRPr="00F732D7">
        <w:t>relativa a</w:t>
      </w:r>
      <w:r w:rsidRPr="00F732D7">
        <w:t>l futuro del ID</w:t>
      </w:r>
      <w:r w:rsidR="001E6F9A" w:rsidRPr="00F732D7">
        <w:t>T</w:t>
      </w:r>
      <w:r w:rsidRPr="00F732D7">
        <w:t xml:space="preserve"> hasta</w:t>
      </w:r>
      <w:r w:rsidR="001E6F9A" w:rsidRPr="00F732D7">
        <w:t xml:space="preserve"> su examen en</w:t>
      </w:r>
      <w:r w:rsidRPr="00F732D7">
        <w:t xml:space="preserve"> la próxima PP</w:t>
      </w:r>
      <w:r w:rsidR="001E6F9A" w:rsidRPr="00F732D7">
        <w:t>,</w:t>
      </w:r>
      <w:r w:rsidRPr="00F732D7">
        <w:t xml:space="preserve"> en el contexto de la Resolución 131</w:t>
      </w:r>
      <w:r w:rsidR="001E6F9A" w:rsidRPr="00F732D7">
        <w:t>; y</w:t>
      </w:r>
      <w:bookmarkEnd w:id="81"/>
    </w:p>
    <w:p w14:paraId="7CA27C8B" w14:textId="2BBEE1E4" w:rsidR="004578F1" w:rsidRPr="00F732D7" w:rsidRDefault="00C83AD8" w:rsidP="001E6F9A">
      <w:pPr>
        <w:pStyle w:val="enumlev1"/>
      </w:pPr>
      <w:bookmarkStart w:id="82" w:name="lt_pId247"/>
      <w:r w:rsidRPr="00F732D7">
        <w:t>–</w:t>
      </w:r>
      <w:r w:rsidRPr="00F732D7">
        <w:tab/>
      </w:r>
      <w:bookmarkEnd w:id="82"/>
      <w:r w:rsidR="001E6F9A" w:rsidRPr="00F732D7">
        <w:t xml:space="preserve">dada la urgencia de este punto, </w:t>
      </w:r>
      <w:r w:rsidR="00E22575" w:rsidRPr="00F732D7">
        <w:t xml:space="preserve">se llevará a cabo una consulta </w:t>
      </w:r>
      <w:r w:rsidR="001E6F9A" w:rsidRPr="00F732D7">
        <w:t xml:space="preserve">por correspondencia con los Estados Miembros del Consejo para que tomen nota del informe contenido en el </w:t>
      </w:r>
      <w:r w:rsidR="00310E71" w:rsidRPr="00F732D7">
        <w:t xml:space="preserve">Documento </w:t>
      </w:r>
      <w:r w:rsidR="001E6F9A" w:rsidRPr="00F732D7">
        <w:t>C21/62.</w:t>
      </w:r>
    </w:p>
    <w:p w14:paraId="0090C86D" w14:textId="652F5A3C" w:rsidR="004578F1" w:rsidRPr="00F732D7" w:rsidRDefault="004578F1" w:rsidP="009C106F">
      <w:r w:rsidRPr="00F732D7">
        <w:t>8.7</w:t>
      </w:r>
      <w:r w:rsidRPr="00F732D7">
        <w:tab/>
      </w:r>
      <w:r w:rsidR="00C83AD8" w:rsidRPr="00F732D7">
        <w:t xml:space="preserve">Así se </w:t>
      </w:r>
      <w:r w:rsidR="00C83AD8" w:rsidRPr="00F732D7">
        <w:rPr>
          <w:b/>
          <w:bCs/>
        </w:rPr>
        <w:t>concluye</w:t>
      </w:r>
      <w:r w:rsidR="00C83AD8" w:rsidRPr="00F732D7">
        <w:t>.</w:t>
      </w:r>
    </w:p>
    <w:p w14:paraId="4D65AEAD" w14:textId="1F43B94F" w:rsidR="004578F1" w:rsidRPr="00D20DE3" w:rsidRDefault="004578F1" w:rsidP="009C106F">
      <w:pPr>
        <w:pStyle w:val="Heading1"/>
      </w:pPr>
      <w:r w:rsidRPr="008D65D6">
        <w:t>9</w:t>
      </w:r>
      <w:r w:rsidRPr="00D20DE3">
        <w:tab/>
      </w:r>
      <w:bookmarkStart w:id="83" w:name="lt_pId251"/>
      <w:r w:rsidR="00C83AD8" w:rsidRPr="00D20DE3">
        <w:t>Resultados de la CMR-19 con implicaciones financiera</w:t>
      </w:r>
      <w:r w:rsidR="001E6F9A" w:rsidRPr="00D20DE3">
        <w:t>s</w:t>
      </w:r>
      <w:r w:rsidR="00C83AD8" w:rsidRPr="00D20DE3">
        <w:t xml:space="preserve"> </w:t>
      </w:r>
      <w:r w:rsidRPr="00D20DE3">
        <w:t>(Document</w:t>
      </w:r>
      <w:r w:rsidR="00C83AD8" w:rsidRPr="00D20DE3">
        <w:t>o</w:t>
      </w:r>
      <w:r w:rsidRPr="00D20DE3">
        <w:t xml:space="preserve"> </w:t>
      </w:r>
      <w:hyperlink r:id="rId21" w:history="1">
        <w:r w:rsidRPr="00D20DE3">
          <w:rPr>
            <w:rStyle w:val="Hyperlink"/>
          </w:rPr>
          <w:t>C21/67</w:t>
        </w:r>
      </w:hyperlink>
      <w:r w:rsidRPr="00D20DE3">
        <w:t>)</w:t>
      </w:r>
      <w:bookmarkEnd w:id="83"/>
    </w:p>
    <w:p w14:paraId="50EAFBB7" w14:textId="53C985BB" w:rsidR="004578F1" w:rsidRPr="00F732D7" w:rsidRDefault="004578F1" w:rsidP="00CD1B2F">
      <w:r w:rsidRPr="00F732D7">
        <w:t>9.1</w:t>
      </w:r>
      <w:r w:rsidRPr="00F732D7">
        <w:tab/>
      </w:r>
      <w:bookmarkStart w:id="84" w:name="lt_pId253"/>
      <w:r w:rsidR="004B7109">
        <w:t>La</w:t>
      </w:r>
      <w:r w:rsidR="001F5D90" w:rsidRPr="00F732D7">
        <w:t xml:space="preserve"> Director</w:t>
      </w:r>
      <w:r w:rsidR="004B7109">
        <w:t>a</w:t>
      </w:r>
      <w:r w:rsidR="001F5D90" w:rsidRPr="00F732D7">
        <w:t xml:space="preserve"> Adjunt</w:t>
      </w:r>
      <w:r w:rsidR="004B7109">
        <w:t>a</w:t>
      </w:r>
      <w:r w:rsidR="001F5D90" w:rsidRPr="00F732D7">
        <w:t xml:space="preserve"> de la BR</w:t>
      </w:r>
      <w:r w:rsidR="001E6F9A" w:rsidRPr="00F732D7">
        <w:t xml:space="preserve"> presenta</w:t>
      </w:r>
      <w:r w:rsidR="001F5D90" w:rsidRPr="00F732D7">
        <w:t xml:space="preserve"> el Documento C21/67</w:t>
      </w:r>
      <w:r w:rsidR="001E6F9A" w:rsidRPr="00F732D7">
        <w:t xml:space="preserve"> y señala</w:t>
      </w:r>
      <w:r w:rsidR="001F5D90" w:rsidRPr="00F732D7">
        <w:t xml:space="preserve"> que, desde </w:t>
      </w:r>
      <w:r w:rsidR="001E6F9A" w:rsidRPr="00F732D7">
        <w:t>que</w:t>
      </w:r>
      <w:r w:rsidR="001F5D90" w:rsidRPr="00F732D7">
        <w:t xml:space="preserve"> los </w:t>
      </w:r>
      <w:r w:rsidR="003D47F2">
        <w:t>c</w:t>
      </w:r>
      <w:r w:rsidR="00834C85" w:rsidRPr="00F732D7">
        <w:t xml:space="preserve">onsejeros </w:t>
      </w:r>
      <w:r w:rsidR="001E6F9A" w:rsidRPr="00F732D7">
        <w:t>abordaron la cuestión</w:t>
      </w:r>
      <w:r w:rsidR="001F5D90" w:rsidRPr="00F732D7">
        <w:t xml:space="preserve"> en 2020, el Secretario General ha</w:t>
      </w:r>
      <w:r w:rsidR="00834C85" w:rsidRPr="00F732D7">
        <w:t>bía</w:t>
      </w:r>
      <w:r w:rsidR="001F5D90" w:rsidRPr="00F732D7">
        <w:t xml:space="preserve"> </w:t>
      </w:r>
      <w:r w:rsidR="00834C85" w:rsidRPr="00F732D7">
        <w:t>ejercido su</w:t>
      </w:r>
      <w:r w:rsidR="001F5D90" w:rsidRPr="00F732D7">
        <w:t xml:space="preserve"> autoridad</w:t>
      </w:r>
      <w:r w:rsidR="00834C85" w:rsidRPr="00F732D7">
        <w:t xml:space="preserve"> a fin</w:t>
      </w:r>
      <w:r w:rsidR="001F5D90" w:rsidRPr="00F732D7">
        <w:t xml:space="preserve"> </w:t>
      </w:r>
      <w:r w:rsidR="00834C85" w:rsidRPr="00F732D7">
        <w:t>de</w:t>
      </w:r>
      <w:r w:rsidR="00F95696" w:rsidRPr="00F732D7">
        <w:t xml:space="preserve"> atribuir parte de</w:t>
      </w:r>
      <w:r w:rsidR="001F5D90" w:rsidRPr="00F732D7">
        <w:t xml:space="preserve"> </w:t>
      </w:r>
      <w:r w:rsidR="00F95696" w:rsidRPr="00F732D7">
        <w:t>los</w:t>
      </w:r>
      <w:r w:rsidR="001F5D90" w:rsidRPr="00F732D7">
        <w:t xml:space="preserve"> ahorros </w:t>
      </w:r>
      <w:r w:rsidR="001C2A0E">
        <w:t xml:space="preserve">dimanantes de la ejecución </w:t>
      </w:r>
      <w:r w:rsidR="00F95696" w:rsidRPr="00F732D7">
        <w:t>d</w:t>
      </w:r>
      <w:r w:rsidR="001F5D90" w:rsidRPr="00F732D7">
        <w:t xml:space="preserve">el presupuesto de </w:t>
      </w:r>
      <w:r w:rsidR="00CD1B2F" w:rsidRPr="00F732D7">
        <w:t xml:space="preserve">2020 de </w:t>
      </w:r>
      <w:r w:rsidR="001F5D90" w:rsidRPr="00F732D7">
        <w:t xml:space="preserve">la BR </w:t>
      </w:r>
      <w:r w:rsidR="00F95696" w:rsidRPr="00F732D7">
        <w:t>a la financiación de</w:t>
      </w:r>
      <w:r w:rsidR="00CD1B2F" w:rsidRPr="00F732D7">
        <w:t>l desarrollo de los programas informáticos n</w:t>
      </w:r>
      <w:r w:rsidR="001F5D90" w:rsidRPr="00F732D7">
        <w:t xml:space="preserve">ecesarios para </w:t>
      </w:r>
      <w:r w:rsidR="00CD1B2F" w:rsidRPr="00F732D7">
        <w:t>aplicar</w:t>
      </w:r>
      <w:r w:rsidR="001F5D90" w:rsidRPr="00F732D7">
        <w:t xml:space="preserve"> algunos de los resultados de la CMR-19. </w:t>
      </w:r>
      <w:r w:rsidR="00CD1B2F" w:rsidRPr="00F732D7">
        <w:t>Habida cuenta de</w:t>
      </w:r>
      <w:r w:rsidR="001F5D90" w:rsidRPr="00F732D7">
        <w:t xml:space="preserve"> la cancelación de las reuniones presenciales como consecuencia de la pandemia de COVID-19, y</w:t>
      </w:r>
      <w:r w:rsidR="00CD1B2F" w:rsidRPr="00F732D7">
        <w:t xml:space="preserve"> de los ahorros logrados en consecuencia</w:t>
      </w:r>
      <w:r w:rsidR="001F5D90" w:rsidRPr="00F732D7">
        <w:t>, no hay cuestiones de financiación pendientes.</w:t>
      </w:r>
      <w:bookmarkEnd w:id="84"/>
    </w:p>
    <w:p w14:paraId="61C76AC1" w14:textId="705B0DD1" w:rsidR="004578F1" w:rsidRPr="00F732D7" w:rsidRDefault="004578F1" w:rsidP="00CD1B2F">
      <w:r w:rsidRPr="00F732D7">
        <w:t>9.2</w:t>
      </w:r>
      <w:r w:rsidRPr="00F732D7">
        <w:tab/>
      </w:r>
      <w:bookmarkStart w:id="85" w:name="lt_pId256"/>
      <w:r w:rsidR="00CD1B2F" w:rsidRPr="00F732D7">
        <w:t xml:space="preserve">El Presidente entiende que los </w:t>
      </w:r>
      <w:r w:rsidR="003D47F2">
        <w:t>c</w:t>
      </w:r>
      <w:r w:rsidR="00CD1B2F" w:rsidRPr="00F732D7">
        <w:t xml:space="preserve">onsejeros desean concluir que, dada la urgencia de este punto, </w:t>
      </w:r>
      <w:r w:rsidR="00E22575" w:rsidRPr="00F732D7">
        <w:t xml:space="preserve">se llevará a cabo una consulta </w:t>
      </w:r>
      <w:r w:rsidR="00CD1B2F" w:rsidRPr="00F732D7">
        <w:t xml:space="preserve">por correspondencia con los Estados Miembros del Consejo para que tomen nota del informe contenido en el </w:t>
      </w:r>
      <w:r w:rsidR="00310E71" w:rsidRPr="00F732D7">
        <w:t xml:space="preserve">Documento </w:t>
      </w:r>
      <w:r w:rsidR="00CD1B2F" w:rsidRPr="00F732D7">
        <w:t>C21/67; que la BR examinar</w:t>
      </w:r>
      <w:r w:rsidR="0012008A" w:rsidRPr="00F732D7">
        <w:t>á</w:t>
      </w:r>
      <w:r w:rsidR="00CD1B2F" w:rsidRPr="00F732D7">
        <w:t xml:space="preserve"> y revisar</w:t>
      </w:r>
      <w:r w:rsidR="0012008A" w:rsidRPr="00F732D7">
        <w:t>á</w:t>
      </w:r>
      <w:r w:rsidR="00CD1B2F" w:rsidRPr="00F732D7">
        <w:t xml:space="preserve">, según proceda, las </w:t>
      </w:r>
      <w:r w:rsidR="0012008A" w:rsidRPr="00F732D7">
        <w:t xml:space="preserve">previsiones para los preparativos </w:t>
      </w:r>
      <w:r w:rsidR="00CD1B2F" w:rsidRPr="00F732D7">
        <w:t xml:space="preserve">de los puntos del orden del día de la CMR-23 </w:t>
      </w:r>
      <w:r w:rsidR="00834C85" w:rsidRPr="00F732D7">
        <w:t>definidos</w:t>
      </w:r>
      <w:r w:rsidR="00CD1B2F" w:rsidRPr="00F732D7">
        <w:t xml:space="preserve"> por la </w:t>
      </w:r>
      <w:r w:rsidR="00CD1B2F" w:rsidRPr="008D65D6">
        <w:t>CMR-</w:t>
      </w:r>
      <w:r w:rsidR="00834C85" w:rsidRPr="008D65D6">
        <w:t>19</w:t>
      </w:r>
      <w:r w:rsidR="00CD1B2F" w:rsidRPr="00F732D7">
        <w:t xml:space="preserve">; y que, en caso necesario, el Secretario General </w:t>
      </w:r>
      <w:r w:rsidR="0012008A" w:rsidRPr="00F732D7">
        <w:t>podrá</w:t>
      </w:r>
      <w:r w:rsidR="00CD1B2F" w:rsidRPr="00F732D7">
        <w:t xml:space="preserve"> presentar una solicitud revisada </w:t>
      </w:r>
      <w:r w:rsidR="00834C85" w:rsidRPr="00F732D7">
        <w:t xml:space="preserve">al Consejo en su </w:t>
      </w:r>
      <w:r w:rsidR="00CD1B2F" w:rsidRPr="00F732D7">
        <w:t>reunión de 2022.</w:t>
      </w:r>
      <w:bookmarkEnd w:id="85"/>
    </w:p>
    <w:p w14:paraId="79623B64" w14:textId="77777777" w:rsidR="00C83AD8" w:rsidRPr="00F732D7" w:rsidRDefault="004578F1" w:rsidP="009C106F">
      <w:r w:rsidRPr="00F732D7">
        <w:t>9.3</w:t>
      </w:r>
      <w:r w:rsidRPr="00F732D7">
        <w:tab/>
      </w:r>
      <w:bookmarkStart w:id="86" w:name="lt_pId258"/>
      <w:r w:rsidR="00C83AD8" w:rsidRPr="00F732D7">
        <w:t xml:space="preserve">Así se </w:t>
      </w:r>
      <w:r w:rsidR="00C83AD8" w:rsidRPr="00F732D7">
        <w:rPr>
          <w:b/>
          <w:bCs/>
        </w:rPr>
        <w:t>concluye</w:t>
      </w:r>
      <w:r w:rsidRPr="00F732D7">
        <w:t>.</w:t>
      </w:r>
      <w:bookmarkEnd w:id="86"/>
    </w:p>
    <w:p w14:paraId="4272E1AC" w14:textId="7F897FCD" w:rsidR="004578F1" w:rsidRPr="00D20DE3" w:rsidRDefault="004578F1" w:rsidP="00D20DE3">
      <w:pPr>
        <w:pStyle w:val="Heading1"/>
      </w:pPr>
      <w:r w:rsidRPr="00DA093A">
        <w:t>10</w:t>
      </w:r>
      <w:r w:rsidRPr="00D20DE3">
        <w:tab/>
      </w:r>
      <w:bookmarkStart w:id="87" w:name="lt_pId260"/>
      <w:r w:rsidR="00CD1B2F" w:rsidRPr="00D20DE3">
        <w:t xml:space="preserve">Solicitudes de exoneración del pago de contribuciones financieras para sufragar los gastos de la Unión </w:t>
      </w:r>
      <w:r w:rsidRPr="00D20DE3">
        <w:t>(Document</w:t>
      </w:r>
      <w:r w:rsidR="00C83AD8" w:rsidRPr="00D20DE3">
        <w:t>o</w:t>
      </w:r>
      <w:r w:rsidRPr="00D20DE3">
        <w:t xml:space="preserve"> </w:t>
      </w:r>
      <w:hyperlink r:id="rId22" w:history="1">
        <w:r w:rsidRPr="00D20DE3">
          <w:rPr>
            <w:rStyle w:val="Hyperlink"/>
          </w:rPr>
          <w:t xml:space="preserve">C21/39 + </w:t>
        </w:r>
        <w:r w:rsidR="00CD1B2F" w:rsidRPr="00D20DE3">
          <w:rPr>
            <w:rStyle w:val="Hyperlink"/>
          </w:rPr>
          <w:t>Addéndum</w:t>
        </w:r>
        <w:r w:rsidRPr="00D20DE3">
          <w:rPr>
            <w:rStyle w:val="Hyperlink"/>
          </w:rPr>
          <w:t xml:space="preserve"> 1</w:t>
        </w:r>
      </w:hyperlink>
      <w:r w:rsidRPr="00D20DE3">
        <w:t>)</w:t>
      </w:r>
      <w:bookmarkEnd w:id="87"/>
    </w:p>
    <w:p w14:paraId="4C48699C" w14:textId="221B346C" w:rsidR="004578F1" w:rsidRPr="00F732D7" w:rsidRDefault="004578F1" w:rsidP="00204C05">
      <w:r w:rsidRPr="00F732D7">
        <w:t>10.1</w:t>
      </w:r>
      <w:r w:rsidRPr="00F732D7">
        <w:tab/>
      </w:r>
      <w:bookmarkStart w:id="88" w:name="lt_pId262"/>
      <w:r w:rsidR="001F5D90" w:rsidRPr="00F732D7">
        <w:t>El representante de la Secretaría General present</w:t>
      </w:r>
      <w:r w:rsidR="00CD1B2F" w:rsidRPr="00F732D7">
        <w:t>a</w:t>
      </w:r>
      <w:r w:rsidR="001F5D90" w:rsidRPr="00F732D7">
        <w:t xml:space="preserve"> el Documento C21/39 y el </w:t>
      </w:r>
      <w:r w:rsidR="00CD1B2F" w:rsidRPr="00F732D7">
        <w:t>Addéndum</w:t>
      </w:r>
      <w:r w:rsidR="001F5D90" w:rsidRPr="00F732D7">
        <w:t xml:space="preserve"> 1, que contienen </w:t>
      </w:r>
      <w:r w:rsidR="0012008A" w:rsidRPr="00F732D7">
        <w:t xml:space="preserve">una serie de </w:t>
      </w:r>
      <w:r w:rsidR="001F5D90" w:rsidRPr="00F732D7">
        <w:t xml:space="preserve">solicitudes de </w:t>
      </w:r>
      <w:r w:rsidR="00204C05" w:rsidRPr="00F732D7">
        <w:t>exoneración del pago de la contribución de</w:t>
      </w:r>
      <w:r w:rsidR="001F5D90" w:rsidRPr="00F732D7">
        <w:t xml:space="preserve"> Miembro de Sector. Entre los principales criterios para la </w:t>
      </w:r>
      <w:r w:rsidR="00204C05" w:rsidRPr="00F732D7">
        <w:t>exoneración</w:t>
      </w:r>
      <w:r w:rsidR="001F5D90" w:rsidRPr="00F732D7">
        <w:t xml:space="preserve">, que el Consejo </w:t>
      </w:r>
      <w:r w:rsidR="00204C05" w:rsidRPr="00F732D7">
        <w:t>puede conceder previ</w:t>
      </w:r>
      <w:r w:rsidR="001F5D90" w:rsidRPr="00F732D7">
        <w:t>a recomendación del Secretario General, figura</w:t>
      </w:r>
      <w:r w:rsidR="00204C05" w:rsidRPr="00F732D7">
        <w:t>n</w:t>
      </w:r>
      <w:r w:rsidR="001F5D90" w:rsidRPr="00F732D7">
        <w:t xml:space="preserve"> que la entidad solicitante </w:t>
      </w:r>
      <w:r w:rsidR="00204C05" w:rsidRPr="00F732D7">
        <w:t>sea</w:t>
      </w:r>
      <w:r w:rsidR="001F5D90" w:rsidRPr="00F732D7">
        <w:t xml:space="preserve"> una organización regional o internacional sin ánimo de lucro</w:t>
      </w:r>
      <w:r w:rsidR="00204C05" w:rsidRPr="00052D57">
        <w:t xml:space="preserve"> </w:t>
      </w:r>
      <w:r w:rsidR="00204C05" w:rsidRPr="00F732D7">
        <w:t>activa en el ámbito de las telecomunicaciones/TIC</w:t>
      </w:r>
      <w:r w:rsidR="00366F75" w:rsidRPr="00366F75">
        <w:t>, que represent</w:t>
      </w:r>
      <w:r w:rsidR="00366F75">
        <w:t>e</w:t>
      </w:r>
      <w:r w:rsidR="00366F75" w:rsidRPr="00366F75">
        <w:t xml:space="preserve"> a miembros que también </w:t>
      </w:r>
      <w:r w:rsidR="00366F75">
        <w:t>tengan un carácter</w:t>
      </w:r>
      <w:r w:rsidR="00366F75" w:rsidRPr="00366F75">
        <w:t xml:space="preserve"> no lucrativo,</w:t>
      </w:r>
      <w:r w:rsidR="00204C05" w:rsidRPr="00F732D7">
        <w:t xml:space="preserve"> y </w:t>
      </w:r>
      <w:r w:rsidR="00546C79">
        <w:t>que ofrezca</w:t>
      </w:r>
      <w:r w:rsidR="001F5D90" w:rsidRPr="00F732D7">
        <w:t xml:space="preserve"> beneficios recíprocos a la Unión.</w:t>
      </w:r>
      <w:bookmarkEnd w:id="88"/>
    </w:p>
    <w:p w14:paraId="1108759E" w14:textId="1132FCDC" w:rsidR="004578F1" w:rsidRPr="00F732D7" w:rsidRDefault="004578F1" w:rsidP="00050361">
      <w:r w:rsidRPr="00F732D7">
        <w:lastRenderedPageBreak/>
        <w:t>10.2</w:t>
      </w:r>
      <w:r w:rsidRPr="00F732D7">
        <w:tab/>
      </w:r>
      <w:bookmarkStart w:id="89" w:name="lt_pId265"/>
      <w:r w:rsidR="001F5D90" w:rsidRPr="00F732D7">
        <w:t xml:space="preserve">Un </w:t>
      </w:r>
      <w:r w:rsidR="004B7109">
        <w:t>c</w:t>
      </w:r>
      <w:r w:rsidR="001F5D90" w:rsidRPr="00F732D7">
        <w:t xml:space="preserve">onsejero </w:t>
      </w:r>
      <w:r w:rsidR="00050361" w:rsidRPr="00F732D7">
        <w:t>solicita</w:t>
      </w:r>
      <w:r w:rsidR="001F5D90" w:rsidRPr="00F732D7">
        <w:t xml:space="preserve"> que se aclar</w:t>
      </w:r>
      <w:r w:rsidR="0012008A" w:rsidRPr="00F732D7">
        <w:t>e</w:t>
      </w:r>
      <w:r w:rsidR="001F5D90" w:rsidRPr="00F732D7">
        <w:t xml:space="preserve"> si</w:t>
      </w:r>
      <w:r w:rsidR="00050361" w:rsidRPr="00F732D7">
        <w:t xml:space="preserve"> </w:t>
      </w:r>
      <w:r w:rsidR="001F5D90" w:rsidRPr="00F732D7">
        <w:t>todos los miembros de dicha</w:t>
      </w:r>
      <w:r w:rsidR="00050361" w:rsidRPr="00F732D7">
        <w:t>s</w:t>
      </w:r>
      <w:r w:rsidR="001F5D90" w:rsidRPr="00F732D7">
        <w:t xml:space="preserve"> organizaci</w:t>
      </w:r>
      <w:r w:rsidR="00050361" w:rsidRPr="00F732D7">
        <w:t>ones</w:t>
      </w:r>
      <w:r w:rsidR="001F5D90" w:rsidRPr="00F732D7">
        <w:t xml:space="preserve"> regional</w:t>
      </w:r>
      <w:r w:rsidR="00050361" w:rsidRPr="00F732D7">
        <w:t>es</w:t>
      </w:r>
      <w:r w:rsidR="001F5D90" w:rsidRPr="00F732D7">
        <w:t xml:space="preserve"> o internacional</w:t>
      </w:r>
      <w:r w:rsidR="00050361" w:rsidRPr="00F732D7">
        <w:t>es</w:t>
      </w:r>
      <w:r w:rsidR="001F5D90" w:rsidRPr="00F732D7">
        <w:t xml:space="preserve"> </w:t>
      </w:r>
      <w:r w:rsidR="00050361" w:rsidRPr="00F732D7">
        <w:t>ha</w:t>
      </w:r>
      <w:r w:rsidR="001F5D90" w:rsidRPr="00F732D7">
        <w:t xml:space="preserve">n </w:t>
      </w:r>
      <w:r w:rsidR="008D65D6">
        <w:t xml:space="preserve">de </w:t>
      </w:r>
      <w:r w:rsidR="001F5D90" w:rsidRPr="00F732D7">
        <w:t>ser también</w:t>
      </w:r>
      <w:r w:rsidR="00050361" w:rsidRPr="00F732D7">
        <w:t xml:space="preserve"> entidades</w:t>
      </w:r>
      <w:r w:rsidR="001F5D90" w:rsidRPr="00F732D7">
        <w:t xml:space="preserve"> sin ánimo de lucro</w:t>
      </w:r>
      <w:r w:rsidR="00050361" w:rsidRPr="00F732D7">
        <w:t>, puesto</w:t>
      </w:r>
      <w:r w:rsidR="001F5D90" w:rsidRPr="00F732D7">
        <w:t xml:space="preserve"> que algunas</w:t>
      </w:r>
      <w:r w:rsidR="00050361" w:rsidRPr="00F732D7">
        <w:t xml:space="preserve"> de las</w:t>
      </w:r>
      <w:r w:rsidR="001F5D90" w:rsidRPr="00F732D7">
        <w:t xml:space="preserve"> </w:t>
      </w:r>
      <w:r w:rsidR="00050361" w:rsidRPr="00F732D7">
        <w:t>exoneraciones</w:t>
      </w:r>
      <w:r w:rsidR="001F5D90" w:rsidRPr="00F732D7">
        <w:t xml:space="preserve"> concedidas </w:t>
      </w:r>
      <w:r w:rsidR="0012008A" w:rsidRPr="00F732D7">
        <w:t>en el pasado</w:t>
      </w:r>
      <w:r w:rsidR="00050361" w:rsidRPr="00F732D7">
        <w:t xml:space="preserve"> sugieren</w:t>
      </w:r>
      <w:r w:rsidR="001F5D90" w:rsidRPr="00F732D7">
        <w:t xml:space="preserve"> lo contrario.</w:t>
      </w:r>
      <w:bookmarkEnd w:id="89"/>
    </w:p>
    <w:p w14:paraId="0C94F01D" w14:textId="6DA059F2" w:rsidR="004578F1" w:rsidRPr="00F732D7" w:rsidRDefault="004578F1" w:rsidP="00050361">
      <w:r w:rsidRPr="00F732D7">
        <w:t>10.3</w:t>
      </w:r>
      <w:r w:rsidRPr="00F732D7">
        <w:tab/>
      </w:r>
      <w:bookmarkStart w:id="90" w:name="lt_pId267"/>
      <w:r w:rsidR="001F5D90" w:rsidRPr="00F732D7">
        <w:t>El representante de la Secretaría General respond</w:t>
      </w:r>
      <w:r w:rsidR="00050361" w:rsidRPr="00F732D7">
        <w:t>e</w:t>
      </w:r>
      <w:r w:rsidR="001F5D90" w:rsidRPr="00F732D7">
        <w:t xml:space="preserve"> que</w:t>
      </w:r>
      <w:r w:rsidR="00050361" w:rsidRPr="00F732D7">
        <w:t xml:space="preserve">, en ocasiones, </w:t>
      </w:r>
      <w:r w:rsidR="001F5D90" w:rsidRPr="00F732D7">
        <w:t xml:space="preserve">se </w:t>
      </w:r>
      <w:r w:rsidR="00050361" w:rsidRPr="00F732D7">
        <w:t xml:space="preserve">recomienda conceder exoneraciones </w:t>
      </w:r>
      <w:r w:rsidR="001F5D90" w:rsidRPr="00F732D7">
        <w:t xml:space="preserve">a organizaciones </w:t>
      </w:r>
      <w:r w:rsidR="00050361" w:rsidRPr="00F732D7">
        <w:t>compuestas</w:t>
      </w:r>
      <w:r w:rsidR="001F5D90" w:rsidRPr="00F732D7">
        <w:t xml:space="preserve"> </w:t>
      </w:r>
      <w:r w:rsidR="00050361" w:rsidRPr="00F732D7">
        <w:t xml:space="preserve">por entidades </w:t>
      </w:r>
      <w:r w:rsidR="001F5D90" w:rsidRPr="00F732D7">
        <w:t>sin ánimo de lucro</w:t>
      </w:r>
      <w:r w:rsidR="0012008A" w:rsidRPr="00F732D7">
        <w:t xml:space="preserve"> predominantemente</w:t>
      </w:r>
      <w:r w:rsidR="001F5D90" w:rsidRPr="00F732D7">
        <w:t xml:space="preserve">, pero que </w:t>
      </w:r>
      <w:bookmarkEnd w:id="90"/>
      <w:r w:rsidR="00050361" w:rsidRPr="00F732D7">
        <w:t>la última palabra la tiene siempre el Consejo.</w:t>
      </w:r>
    </w:p>
    <w:p w14:paraId="48CC477A" w14:textId="5261732B" w:rsidR="004578F1" w:rsidRPr="00F732D7" w:rsidRDefault="004578F1" w:rsidP="00050361">
      <w:r w:rsidRPr="00F732D7">
        <w:t>10.4</w:t>
      </w:r>
      <w:r w:rsidRPr="00F732D7">
        <w:tab/>
      </w:r>
      <w:bookmarkStart w:id="91" w:name="lt_pId269"/>
      <w:r w:rsidR="00050361" w:rsidRPr="00F732D7">
        <w:t xml:space="preserve">El Presidente entiende que los </w:t>
      </w:r>
      <w:r w:rsidR="003D47F2">
        <w:t>c</w:t>
      </w:r>
      <w:r w:rsidR="00050361" w:rsidRPr="00F732D7">
        <w:t xml:space="preserve">onsejeros desean concluir que, dada la urgencia de este punto, </w:t>
      </w:r>
      <w:r w:rsidR="00E22575" w:rsidRPr="00F732D7">
        <w:t xml:space="preserve">se llevará a cabo una consulta </w:t>
      </w:r>
      <w:r w:rsidR="00050361" w:rsidRPr="00F732D7">
        <w:t>por correspondencia con los Estados Miembros del Consejo a efectos de la aprobación de</w:t>
      </w:r>
      <w:r w:rsidR="001F5D90" w:rsidRPr="00F732D7">
        <w:t xml:space="preserve"> las </w:t>
      </w:r>
      <w:r w:rsidR="00050361" w:rsidRPr="00F732D7">
        <w:t xml:space="preserve">solicitudes de admisión como Miembros de Sector, exonerados del pago de la contribución correspondiente, </w:t>
      </w:r>
      <w:r w:rsidR="0012008A" w:rsidRPr="00F732D7">
        <w:t>que</w:t>
      </w:r>
      <w:r w:rsidR="001F5D90" w:rsidRPr="00F732D7">
        <w:t xml:space="preserve"> el Secretario General</w:t>
      </w:r>
      <w:r w:rsidR="0012008A" w:rsidRPr="00F732D7">
        <w:t xml:space="preserve"> recomienda</w:t>
      </w:r>
      <w:r w:rsidR="001F5D90" w:rsidRPr="00F732D7">
        <w:t xml:space="preserve"> en el Documento C21/39 y el </w:t>
      </w:r>
      <w:r w:rsidR="00050361" w:rsidRPr="00F732D7">
        <w:t>Addéndum</w:t>
      </w:r>
      <w:r w:rsidR="001F5D90" w:rsidRPr="00F732D7">
        <w:t xml:space="preserve"> 1.</w:t>
      </w:r>
      <w:bookmarkEnd w:id="91"/>
    </w:p>
    <w:p w14:paraId="2D577F52" w14:textId="77777777" w:rsidR="00C83AD8" w:rsidRPr="00F732D7" w:rsidRDefault="004578F1" w:rsidP="009C106F">
      <w:r w:rsidRPr="00F732D7">
        <w:t>10.5</w:t>
      </w:r>
      <w:r w:rsidRPr="00F732D7">
        <w:tab/>
      </w:r>
      <w:bookmarkStart w:id="92" w:name="lt_pId271"/>
      <w:r w:rsidR="00C83AD8" w:rsidRPr="00F732D7">
        <w:t xml:space="preserve">Así se </w:t>
      </w:r>
      <w:r w:rsidR="00C83AD8" w:rsidRPr="00F732D7">
        <w:rPr>
          <w:b/>
          <w:bCs/>
        </w:rPr>
        <w:t>concluye</w:t>
      </w:r>
      <w:r w:rsidRPr="00F732D7">
        <w:t>.</w:t>
      </w:r>
      <w:bookmarkEnd w:id="92"/>
    </w:p>
    <w:p w14:paraId="03D02B81" w14:textId="65195AF4" w:rsidR="004578F1" w:rsidRPr="00052D57" w:rsidRDefault="004578F1" w:rsidP="009C106F">
      <w:pPr>
        <w:pStyle w:val="Heading1"/>
        <w:rPr>
          <w:rFonts w:eastAsia="MS Mincho"/>
        </w:rPr>
      </w:pPr>
      <w:r w:rsidRPr="00A91768">
        <w:t>11</w:t>
      </w:r>
      <w:r w:rsidRPr="00A91768">
        <w:tab/>
      </w:r>
      <w:bookmarkStart w:id="93" w:name="lt_pId273"/>
      <w:r w:rsidR="00C83AD8" w:rsidRPr="00A91768">
        <w:t>Estrategia de coordinación</w:t>
      </w:r>
      <w:r w:rsidR="00C83AD8" w:rsidRPr="00052D57">
        <w:t xml:space="preserve"> de los trabajos de los tres Sectores de la Unión</w:t>
      </w:r>
      <w:r w:rsidR="00C83AD8" w:rsidRPr="00A91768">
        <w:t xml:space="preserve"> </w:t>
      </w:r>
      <w:r w:rsidRPr="00A91768">
        <w:t>(Document</w:t>
      </w:r>
      <w:r w:rsidR="00C83AD8" w:rsidRPr="00A91768">
        <w:t>o</w:t>
      </w:r>
      <w:r w:rsidRPr="00052D57">
        <w:rPr>
          <w:rFonts w:eastAsia="MS Mincho"/>
        </w:rPr>
        <w:t> </w:t>
      </w:r>
      <w:hyperlink r:id="rId23" w:history="1">
        <w:r w:rsidRPr="00052D57">
          <w:rPr>
            <w:rStyle w:val="Hyperlink"/>
            <w:rFonts w:eastAsia="MS Mincho"/>
          </w:rPr>
          <w:t>C21/38</w:t>
        </w:r>
      </w:hyperlink>
      <w:r w:rsidRPr="00052D57">
        <w:rPr>
          <w:rFonts w:eastAsia="MS Mincho"/>
        </w:rPr>
        <w:t>)</w:t>
      </w:r>
      <w:bookmarkEnd w:id="93"/>
    </w:p>
    <w:p w14:paraId="6421AEAE" w14:textId="65007F87" w:rsidR="004578F1" w:rsidRPr="00F732D7" w:rsidRDefault="004578F1" w:rsidP="00793157">
      <w:r w:rsidRPr="00F732D7">
        <w:t>11.1</w:t>
      </w:r>
      <w:r w:rsidRPr="00F732D7">
        <w:tab/>
      </w:r>
      <w:bookmarkStart w:id="94" w:name="lt_pId275"/>
      <w:r w:rsidR="001F5D90" w:rsidRPr="00F732D7">
        <w:t xml:space="preserve">El representante de la Secretaría General presenta el Documento C21/38, relativo a </w:t>
      </w:r>
      <w:r w:rsidR="00793157" w:rsidRPr="00F732D7">
        <w:t xml:space="preserve">la aplicación de la Resolución 191 (Rev. Dubái, 2018) sobre la estrategia de coordinación de los trabajos de los tres sectores de la </w:t>
      </w:r>
      <w:r w:rsidR="00BE2D25" w:rsidRPr="00F732D7">
        <w:t>Unión</w:t>
      </w:r>
      <w:r w:rsidR="00793157" w:rsidRPr="00F732D7">
        <w:t xml:space="preserve">, y señala que este documento se preparó </w:t>
      </w:r>
      <w:r w:rsidR="001F5D90" w:rsidRPr="00F732D7">
        <w:t>originalmente como Documento C20/38</w:t>
      </w:r>
      <w:r w:rsidR="00793157" w:rsidRPr="00F732D7">
        <w:t xml:space="preserve"> para la reunión de 2020 del Consejo</w:t>
      </w:r>
      <w:r w:rsidR="001F5D90" w:rsidRPr="00F732D7">
        <w:t xml:space="preserve">, </w:t>
      </w:r>
      <w:r w:rsidR="00793157" w:rsidRPr="00F732D7">
        <w:t xml:space="preserve">pero que al final no pudo examinarse. </w:t>
      </w:r>
      <w:r w:rsidR="001F5D90" w:rsidRPr="00F732D7">
        <w:t>Por tanto, se invit</w:t>
      </w:r>
      <w:r w:rsidR="00793157" w:rsidRPr="00F732D7">
        <w:t>a</w:t>
      </w:r>
      <w:r w:rsidR="001F5D90" w:rsidRPr="00F732D7">
        <w:t xml:space="preserve"> a los consejeros a tomar nota de ambos documentos</w:t>
      </w:r>
      <w:bookmarkEnd w:id="94"/>
      <w:r w:rsidR="00793157" w:rsidRPr="00F732D7">
        <w:t>.</w:t>
      </w:r>
    </w:p>
    <w:p w14:paraId="7B37399A" w14:textId="206CFAA3" w:rsidR="004578F1" w:rsidRPr="00F732D7" w:rsidRDefault="004578F1" w:rsidP="00793157">
      <w:r w:rsidRPr="00F732D7">
        <w:t>11.2</w:t>
      </w:r>
      <w:r w:rsidRPr="00F732D7">
        <w:tab/>
      </w:r>
      <w:bookmarkStart w:id="95" w:name="lt_pId278"/>
      <w:r w:rsidR="001F5D90" w:rsidRPr="00F732D7">
        <w:t>Un</w:t>
      </w:r>
      <w:r w:rsidR="004B7109">
        <w:t>a</w:t>
      </w:r>
      <w:r w:rsidR="001F5D90" w:rsidRPr="00F732D7">
        <w:t xml:space="preserve"> consejer</w:t>
      </w:r>
      <w:r w:rsidR="004B7109">
        <w:t>a</w:t>
      </w:r>
      <w:r w:rsidR="00793157" w:rsidRPr="00F732D7">
        <w:t xml:space="preserve"> </w:t>
      </w:r>
      <w:r w:rsidR="001F5D90" w:rsidRPr="00F732D7">
        <w:t>acoge con satisfacción los esfuerzos realizados</w:t>
      </w:r>
      <w:r w:rsidR="00793157" w:rsidRPr="00F732D7">
        <w:t xml:space="preserve"> y</w:t>
      </w:r>
      <w:r w:rsidR="001F5D90" w:rsidRPr="00F732D7">
        <w:t xml:space="preserve"> destac</w:t>
      </w:r>
      <w:r w:rsidR="00793157" w:rsidRPr="00F732D7">
        <w:t>a</w:t>
      </w:r>
      <w:r w:rsidR="001F5D90" w:rsidRPr="00F732D7">
        <w:t xml:space="preserve"> la importancia</w:t>
      </w:r>
      <w:r w:rsidR="00793157" w:rsidRPr="00F732D7">
        <w:t xml:space="preserve"> tanto</w:t>
      </w:r>
      <w:r w:rsidR="001F5D90" w:rsidRPr="00F732D7">
        <w:t xml:space="preserve"> de </w:t>
      </w:r>
      <w:r w:rsidR="00793157" w:rsidRPr="00F732D7">
        <w:t>racionalizar</w:t>
      </w:r>
      <w:r w:rsidR="001F5D90" w:rsidRPr="00F732D7">
        <w:t xml:space="preserve"> los métodos de trabajo electrónicos</w:t>
      </w:r>
      <w:r w:rsidR="00793157" w:rsidRPr="00F732D7">
        <w:t>, como</w:t>
      </w:r>
      <w:r w:rsidR="001F5D90" w:rsidRPr="00F732D7">
        <w:t xml:space="preserve"> de poner los documentos a disposición </w:t>
      </w:r>
      <w:r w:rsidR="00793157" w:rsidRPr="00F732D7">
        <w:t>en los seis idiomas oficiales de la Unión</w:t>
      </w:r>
      <w:r w:rsidR="001F5D90" w:rsidRPr="00F732D7">
        <w:t>.</w:t>
      </w:r>
      <w:bookmarkEnd w:id="95"/>
    </w:p>
    <w:p w14:paraId="10A9B478" w14:textId="1AD0C9A0" w:rsidR="004578F1" w:rsidRPr="00F732D7" w:rsidRDefault="004578F1" w:rsidP="00793157">
      <w:r w:rsidRPr="00F732D7">
        <w:t>11.3</w:t>
      </w:r>
      <w:r w:rsidRPr="00F732D7">
        <w:tab/>
      </w:r>
      <w:r w:rsidR="00793157" w:rsidRPr="00F732D7">
        <w:t xml:space="preserve">El Presidente entiende que los </w:t>
      </w:r>
      <w:r w:rsidR="003D47F2">
        <w:t>c</w:t>
      </w:r>
      <w:r w:rsidR="00793157" w:rsidRPr="00F732D7">
        <w:t xml:space="preserve">onsejeros desean concluir que, dada la urgencia de este punto, </w:t>
      </w:r>
      <w:r w:rsidR="00E22575" w:rsidRPr="00F732D7">
        <w:t xml:space="preserve">se llevará a cabo una consulta </w:t>
      </w:r>
      <w:r w:rsidR="00793157" w:rsidRPr="00F732D7">
        <w:t>por correspondencia con los Estados Miembros del Consejo para que tomen nota de</w:t>
      </w:r>
      <w:r w:rsidR="00BE2D25" w:rsidRPr="00F732D7">
        <w:t xml:space="preserve"> </w:t>
      </w:r>
      <w:r w:rsidR="00793157" w:rsidRPr="00F732D7">
        <w:t>l</w:t>
      </w:r>
      <w:r w:rsidR="00BE2D25" w:rsidRPr="00F732D7">
        <w:t>os</w:t>
      </w:r>
      <w:r w:rsidR="00793157" w:rsidRPr="00F732D7">
        <w:t xml:space="preserve"> informe</w:t>
      </w:r>
      <w:r w:rsidR="00BE2D25" w:rsidRPr="00F732D7">
        <w:t>s</w:t>
      </w:r>
      <w:r w:rsidR="00793157" w:rsidRPr="00F732D7">
        <w:t xml:space="preserve"> contenido</w:t>
      </w:r>
      <w:r w:rsidR="00BE2D25" w:rsidRPr="00F732D7">
        <w:t>s</w:t>
      </w:r>
      <w:r w:rsidR="00793157" w:rsidRPr="00F732D7">
        <w:t xml:space="preserve"> en los Documentos C21/38 y C20/38.</w:t>
      </w:r>
    </w:p>
    <w:p w14:paraId="597D2C3F" w14:textId="44914057" w:rsidR="004578F1" w:rsidRPr="00F732D7" w:rsidRDefault="004578F1" w:rsidP="009C106F">
      <w:r w:rsidRPr="00F732D7">
        <w:t>11.4</w:t>
      </w:r>
      <w:r w:rsidRPr="00F732D7">
        <w:tab/>
      </w:r>
      <w:r w:rsidR="00C83AD8" w:rsidRPr="00F732D7">
        <w:t xml:space="preserve">Así se </w:t>
      </w:r>
      <w:r w:rsidR="00C83AD8" w:rsidRPr="00F732D7">
        <w:rPr>
          <w:b/>
          <w:bCs/>
        </w:rPr>
        <w:t>concluye</w:t>
      </w:r>
      <w:r w:rsidR="00C83AD8" w:rsidRPr="00F732D7">
        <w:t>.</w:t>
      </w:r>
    </w:p>
    <w:p w14:paraId="32173FC2" w14:textId="379CF849" w:rsidR="004578F1" w:rsidRPr="00052D57" w:rsidRDefault="004578F1" w:rsidP="009C106F">
      <w:pPr>
        <w:pStyle w:val="Heading1"/>
        <w:rPr>
          <w:rFonts w:eastAsia="MS Mincho"/>
        </w:rPr>
      </w:pPr>
      <w:r w:rsidRPr="0002499E">
        <w:t>12</w:t>
      </w:r>
      <w:r w:rsidRPr="00A91768">
        <w:tab/>
      </w:r>
      <w:bookmarkStart w:id="96" w:name="lt_pId284"/>
      <w:r w:rsidR="00C83AD8" w:rsidRPr="00052D57">
        <w:t>Participación de la UIT en el Comité Mixto de Pensiones del Personal de las Naciones Unidas</w:t>
      </w:r>
      <w:r w:rsidR="00C83AD8" w:rsidRPr="00A91768">
        <w:t xml:space="preserve"> </w:t>
      </w:r>
      <w:r w:rsidRPr="00A91768">
        <w:t>(Document</w:t>
      </w:r>
      <w:r w:rsidR="00C83AD8" w:rsidRPr="00A91768">
        <w:t>o</w:t>
      </w:r>
      <w:r w:rsidRPr="00052D57">
        <w:rPr>
          <w:rFonts w:eastAsia="MS Mincho"/>
        </w:rPr>
        <w:t> </w:t>
      </w:r>
      <w:hyperlink r:id="rId24" w:history="1">
        <w:r w:rsidRPr="00052D57">
          <w:rPr>
            <w:rStyle w:val="Hyperlink"/>
            <w:rFonts w:eastAsia="MS Mincho"/>
          </w:rPr>
          <w:t>C21/69</w:t>
        </w:r>
      </w:hyperlink>
      <w:r w:rsidRPr="00052D57">
        <w:rPr>
          <w:rFonts w:eastAsia="MS Mincho"/>
        </w:rPr>
        <w:t>)</w:t>
      </w:r>
      <w:bookmarkEnd w:id="96"/>
    </w:p>
    <w:p w14:paraId="43CF6B4B" w14:textId="3D23BA8E" w:rsidR="00EA75E6" w:rsidRPr="00F732D7" w:rsidRDefault="004578F1" w:rsidP="00BE2D25">
      <w:r w:rsidRPr="00F732D7">
        <w:t>12.1</w:t>
      </w:r>
      <w:r w:rsidRPr="00F732D7">
        <w:tab/>
      </w:r>
      <w:bookmarkStart w:id="97" w:name="lt_pId286"/>
      <w:r w:rsidR="001F5D90" w:rsidRPr="00F732D7">
        <w:t>El Jefe del Departamento de Gestión de Recursos Humanos (HRMD) present</w:t>
      </w:r>
      <w:r w:rsidR="00EA75E6" w:rsidRPr="00F732D7">
        <w:t>a</w:t>
      </w:r>
      <w:r w:rsidR="001F5D90" w:rsidRPr="00F732D7">
        <w:t xml:space="preserve"> el Documento C21/69, </w:t>
      </w:r>
      <w:r w:rsidR="00EA75E6" w:rsidRPr="00F732D7">
        <w:t>que contiene</w:t>
      </w:r>
      <w:r w:rsidR="001F5D90" w:rsidRPr="00F732D7">
        <w:t xml:space="preserve"> información de fondo sobre la reducción </w:t>
      </w:r>
      <w:r w:rsidR="00EA75E6" w:rsidRPr="00F732D7">
        <w:t xml:space="preserve">de los escaños con derecho a voto de la Unión en el Comité Mixto de Pensiones del Personal de las Naciones Unidas </w:t>
      </w:r>
      <w:r w:rsidR="001F5D90" w:rsidRPr="00F732D7">
        <w:t>de 1,5 a 1. E</w:t>
      </w:r>
      <w:r w:rsidR="00EA75E6" w:rsidRPr="00F732D7">
        <w:t>l orador e</w:t>
      </w:r>
      <w:r w:rsidR="001F5D90" w:rsidRPr="00F732D7">
        <w:t>xplic</w:t>
      </w:r>
      <w:r w:rsidR="00EA75E6" w:rsidRPr="00F732D7">
        <w:t>a</w:t>
      </w:r>
      <w:r w:rsidR="001F5D90" w:rsidRPr="00F732D7">
        <w:t xml:space="preserve"> que el cambio</w:t>
      </w:r>
      <w:r w:rsidR="00EA75E6" w:rsidRPr="00F732D7">
        <w:t xml:space="preserve"> en cuestión</w:t>
      </w:r>
      <w:r w:rsidR="001F5D90" w:rsidRPr="00F732D7">
        <w:t xml:space="preserve"> ha sido consecuencia de la incorporación de </w:t>
      </w:r>
      <w:r w:rsidR="00EA75E6" w:rsidRPr="00F732D7">
        <w:t>la Organización Internacional para las Migraciones (OIM)</w:t>
      </w:r>
      <w:r w:rsidR="001F5D90" w:rsidRPr="00F732D7">
        <w:t xml:space="preserve"> a la </w:t>
      </w:r>
      <w:r w:rsidR="00EA75E6" w:rsidRPr="00F732D7">
        <w:t xml:space="preserve">Caja Común de Pensiones del Personal de las Naciones Unidas </w:t>
      </w:r>
      <w:r w:rsidR="001F5D90" w:rsidRPr="00F732D7">
        <w:t>(</w:t>
      </w:r>
      <w:r w:rsidR="00EA75E6" w:rsidRPr="00F732D7">
        <w:t>CCPPNU</w:t>
      </w:r>
      <w:r w:rsidR="001F5D90" w:rsidRPr="00F732D7">
        <w:t xml:space="preserve">) en 2007. </w:t>
      </w:r>
      <w:r w:rsidR="00EA75E6" w:rsidRPr="00F732D7">
        <w:t xml:space="preserve">A fin de adjudicar un escaño en el </w:t>
      </w:r>
      <w:r w:rsidR="001F5D90" w:rsidRPr="00F732D7">
        <w:t xml:space="preserve">Comité de Pensiones a la OIM, que </w:t>
      </w:r>
      <w:r w:rsidR="00EA75E6" w:rsidRPr="00F732D7">
        <w:t>en principio no tenía derecho a</w:t>
      </w:r>
      <w:r w:rsidR="001F5D90" w:rsidRPr="00F732D7">
        <w:t xml:space="preserve"> voto, </w:t>
      </w:r>
      <w:r w:rsidR="00EA75E6" w:rsidRPr="00F732D7">
        <w:t>los escaños asignados a la UIT y a la Organización de las Naciones Unidas para el Desarrollo Industrial (ONUDI) se habían reducido</w:t>
      </w:r>
      <w:r w:rsidR="001F5D90" w:rsidRPr="00F732D7">
        <w:t xml:space="preserve">, sin consultar a sus respectivos comités de pensiones del personal, y </w:t>
      </w:r>
      <w:r w:rsidR="00EA75E6" w:rsidRPr="00F732D7">
        <w:t>el</w:t>
      </w:r>
      <w:r w:rsidR="001F5D90" w:rsidRPr="00F732D7">
        <w:t xml:space="preserve"> </w:t>
      </w:r>
      <w:r w:rsidR="00EA75E6" w:rsidRPr="00F732D7">
        <w:t>reglamento de la CCPPNU se había modificado</w:t>
      </w:r>
      <w:r w:rsidR="001F5D90" w:rsidRPr="00F732D7">
        <w:t xml:space="preserve"> en consecuencia. El </w:t>
      </w:r>
      <w:r w:rsidR="00EA75E6" w:rsidRPr="00F732D7">
        <w:t>Comité de Pensiones del Personal de la UIT</w:t>
      </w:r>
      <w:r w:rsidR="001F5D90" w:rsidRPr="00F732D7">
        <w:t xml:space="preserve"> </w:t>
      </w:r>
      <w:r w:rsidR="005F0DD8" w:rsidRPr="00F732D7">
        <w:t>había planteado</w:t>
      </w:r>
      <w:r w:rsidR="00EA75E6" w:rsidRPr="00F732D7">
        <w:t xml:space="preserve"> </w:t>
      </w:r>
      <w:r w:rsidR="001F5D90" w:rsidRPr="00F732D7">
        <w:t>la cuestión al Co</w:t>
      </w:r>
      <w:r w:rsidR="00EA75E6" w:rsidRPr="00F732D7">
        <w:t>mité Mixto</w:t>
      </w:r>
      <w:r w:rsidR="001F5D90" w:rsidRPr="00F732D7">
        <w:t xml:space="preserve">, </w:t>
      </w:r>
      <w:r w:rsidR="00EA75E6" w:rsidRPr="00F732D7">
        <w:t xml:space="preserve">que acordó pedir al Grupo de Trabajo sobre Gobernanza que </w:t>
      </w:r>
      <w:r w:rsidR="00EA75E6" w:rsidRPr="00F732D7">
        <w:lastRenderedPageBreak/>
        <w:t>proporcionara opciones concretas sobre el tamaño y la composición del Comité, para examinarlas en</w:t>
      </w:r>
      <w:r w:rsidR="005F0DD8" w:rsidRPr="00F732D7">
        <w:t xml:space="preserve"> </w:t>
      </w:r>
      <w:r w:rsidR="00EA75E6" w:rsidRPr="00F732D7">
        <w:t>julio de 2021.</w:t>
      </w:r>
    </w:p>
    <w:bookmarkEnd w:id="97"/>
    <w:p w14:paraId="3083EF15" w14:textId="0DA19592" w:rsidR="004578F1" w:rsidRPr="00F732D7" w:rsidRDefault="004578F1" w:rsidP="005F0DD8">
      <w:r w:rsidRPr="003D47F2">
        <w:t>12.2</w:t>
      </w:r>
      <w:r w:rsidRPr="00F732D7">
        <w:tab/>
      </w:r>
      <w:bookmarkStart w:id="98" w:name="lt_pId291"/>
      <w:r w:rsidR="001F5D90" w:rsidRPr="00F732D7">
        <w:t xml:space="preserve">Un </w:t>
      </w:r>
      <w:r w:rsidR="004B7109">
        <w:t>c</w:t>
      </w:r>
      <w:r w:rsidR="001F5D90" w:rsidRPr="00F732D7">
        <w:t xml:space="preserve">onsejero, miembro del Comité de Pensiones del Personal de la UIT, </w:t>
      </w:r>
      <w:r w:rsidR="005F0DD8" w:rsidRPr="00F732D7">
        <w:t>celebra</w:t>
      </w:r>
      <w:r w:rsidR="001F5D90" w:rsidRPr="00F732D7">
        <w:t xml:space="preserve"> los esfuerzos de este último por </w:t>
      </w:r>
      <w:r w:rsidR="005F0DD8" w:rsidRPr="00F732D7">
        <w:t>resolver la</w:t>
      </w:r>
      <w:r w:rsidR="001F5D90" w:rsidRPr="00F732D7">
        <w:t xml:space="preserve"> cuestión y mantener al Consejo informado de la evolución de </w:t>
      </w:r>
      <w:r w:rsidR="005F0DD8" w:rsidRPr="00F732D7">
        <w:t>los hechos</w:t>
      </w:r>
      <w:r w:rsidR="001F5D90" w:rsidRPr="00F732D7">
        <w:t xml:space="preserve">, aunque los Estados Miembros no se vieran directamente afectados. </w:t>
      </w:r>
      <w:r w:rsidR="005F0DD8" w:rsidRPr="00F732D7">
        <w:t>Dicho esto, el orador</w:t>
      </w:r>
      <w:r w:rsidR="001F5D90" w:rsidRPr="00F732D7">
        <w:t xml:space="preserve"> </w:t>
      </w:r>
      <w:r w:rsidR="005F0DD8" w:rsidRPr="00F732D7">
        <w:t xml:space="preserve">y </w:t>
      </w:r>
      <w:r w:rsidR="001F5D90" w:rsidRPr="00F732D7">
        <w:t xml:space="preserve">otro </w:t>
      </w:r>
      <w:r w:rsidR="004B7109">
        <w:t>c</w:t>
      </w:r>
      <w:r w:rsidR="005F0DD8" w:rsidRPr="00F732D7">
        <w:t>onsejero destacan las repercusiones in</w:t>
      </w:r>
      <w:r w:rsidR="001F5D90" w:rsidRPr="00F732D7">
        <w:t>direct</w:t>
      </w:r>
      <w:r w:rsidR="005F0DD8" w:rsidRPr="00F732D7">
        <w:t>as</w:t>
      </w:r>
      <w:r w:rsidR="001F5D90" w:rsidRPr="00F732D7">
        <w:t xml:space="preserve"> </w:t>
      </w:r>
      <w:r w:rsidR="005F0DD8" w:rsidRPr="00F732D7">
        <w:t>para</w:t>
      </w:r>
      <w:r w:rsidR="001F5D90" w:rsidRPr="00F732D7">
        <w:t xml:space="preserve"> los Estados </w:t>
      </w:r>
      <w:r w:rsidR="005F0DD8" w:rsidRPr="00F732D7">
        <w:t>Miembros</w:t>
      </w:r>
      <w:r w:rsidR="001F5D90" w:rsidRPr="00F732D7">
        <w:t xml:space="preserve">, que dependen del personal de la Unión. Un tercer </w:t>
      </w:r>
      <w:r w:rsidR="004B7109">
        <w:t>c</w:t>
      </w:r>
      <w:r w:rsidR="005F0DD8" w:rsidRPr="00F732D7">
        <w:t xml:space="preserve">onsejero </w:t>
      </w:r>
      <w:r w:rsidR="001F5D90" w:rsidRPr="00F732D7">
        <w:t>pregunt</w:t>
      </w:r>
      <w:r w:rsidR="005F0DD8" w:rsidRPr="00F732D7">
        <w:t>a</w:t>
      </w:r>
      <w:r w:rsidR="001F5D90" w:rsidRPr="00F732D7">
        <w:t xml:space="preserve"> por las consecuencias de la reducción de</w:t>
      </w:r>
      <w:r w:rsidR="005F0DD8" w:rsidRPr="00F732D7">
        <w:t>l número de escaños en el Comité Mixto</w:t>
      </w:r>
      <w:r w:rsidR="001F5D90" w:rsidRPr="00F732D7">
        <w:t xml:space="preserve"> y por las medidas</w:t>
      </w:r>
      <w:bookmarkEnd w:id="98"/>
      <w:r w:rsidR="005F0DD8" w:rsidRPr="00F732D7">
        <w:t xml:space="preserve"> que se ha previsto adoptar.</w:t>
      </w:r>
    </w:p>
    <w:p w14:paraId="5077CA60" w14:textId="55CE988F" w:rsidR="004578F1" w:rsidRPr="00F732D7" w:rsidRDefault="004578F1" w:rsidP="005F0DD8">
      <w:r w:rsidRPr="00F732D7">
        <w:t>12.3</w:t>
      </w:r>
      <w:r w:rsidRPr="00F732D7">
        <w:tab/>
      </w:r>
      <w:bookmarkStart w:id="99" w:name="lt_pId295"/>
      <w:r w:rsidR="001F5D90" w:rsidRPr="00F732D7">
        <w:t>El Jefe de HRMD respond</w:t>
      </w:r>
      <w:r w:rsidR="005F0DD8" w:rsidRPr="00F732D7">
        <w:t>e</w:t>
      </w:r>
      <w:r w:rsidR="001F5D90" w:rsidRPr="00F732D7">
        <w:t xml:space="preserve"> que </w:t>
      </w:r>
      <w:r w:rsidR="005F0DD8" w:rsidRPr="00F732D7">
        <w:t>dicha</w:t>
      </w:r>
      <w:r w:rsidR="001F5D90" w:rsidRPr="00F732D7">
        <w:t xml:space="preserve"> reducción </w:t>
      </w:r>
      <w:r w:rsidR="005F0DD8" w:rsidRPr="00F732D7">
        <w:t>mermará</w:t>
      </w:r>
      <w:r w:rsidR="001F5D90" w:rsidRPr="00F732D7">
        <w:t xml:space="preserve"> la influencia de la Unión en </w:t>
      </w:r>
      <w:r w:rsidR="005F0DD8" w:rsidRPr="00F732D7">
        <w:t>los procesos de</w:t>
      </w:r>
      <w:r w:rsidR="001F5D90" w:rsidRPr="00F732D7">
        <w:t xml:space="preserve"> toma de decisiones. El Comité de Pensiones del Personal de la UIT tratará de recuperar su posición </w:t>
      </w:r>
      <w:r w:rsidR="005F0DD8" w:rsidRPr="00F732D7">
        <w:t>y volverá a informar</w:t>
      </w:r>
      <w:r w:rsidR="001F5D90" w:rsidRPr="00F732D7">
        <w:t xml:space="preserve"> al Consejo </w:t>
      </w:r>
      <w:r w:rsidR="005F0DD8" w:rsidRPr="00F732D7">
        <w:t xml:space="preserve">al respecto, </w:t>
      </w:r>
      <w:r w:rsidR="001F5D90" w:rsidRPr="00F732D7">
        <w:t>una vez que</w:t>
      </w:r>
      <w:r w:rsidR="005F0DD8" w:rsidRPr="00F732D7">
        <w:t xml:space="preserve"> el </w:t>
      </w:r>
      <w:r w:rsidR="005F0DD8" w:rsidRPr="009227BE">
        <w:t>Comité Mixto</w:t>
      </w:r>
      <w:r w:rsidR="005F0DD8" w:rsidRPr="00F732D7">
        <w:t xml:space="preserve"> haya debatido </w:t>
      </w:r>
      <w:r w:rsidR="001F5D90" w:rsidRPr="00F732D7">
        <w:t>las propuestas del Grupo de Trabajo sobre Gobernanza</w:t>
      </w:r>
      <w:bookmarkStart w:id="100" w:name="lt_pId296"/>
      <w:bookmarkEnd w:id="99"/>
      <w:r w:rsidRPr="00F732D7">
        <w:t>.</w:t>
      </w:r>
      <w:bookmarkEnd w:id="100"/>
    </w:p>
    <w:p w14:paraId="1E9BA53C" w14:textId="09FDBC3B" w:rsidR="004578F1" w:rsidRPr="00F732D7" w:rsidRDefault="004578F1" w:rsidP="00E23EDA">
      <w:r w:rsidRPr="003D47F2">
        <w:t>12.4</w:t>
      </w:r>
      <w:r w:rsidRPr="00F732D7">
        <w:tab/>
      </w:r>
      <w:bookmarkStart w:id="101" w:name="lt_pId298"/>
      <w:r w:rsidR="001F5D90" w:rsidRPr="00F732D7">
        <w:t>El Secretario General añad</w:t>
      </w:r>
      <w:r w:rsidR="00E23EDA" w:rsidRPr="00F732D7">
        <w:t>e</w:t>
      </w:r>
      <w:r w:rsidR="001F5D90" w:rsidRPr="00F732D7">
        <w:t xml:space="preserve"> que</w:t>
      </w:r>
      <w:r w:rsidR="00E23EDA" w:rsidRPr="00F732D7">
        <w:t xml:space="preserve"> lo más </w:t>
      </w:r>
      <w:r w:rsidR="001F5D90" w:rsidRPr="00F732D7">
        <w:t>preocupante de la situación e</w:t>
      </w:r>
      <w:r w:rsidR="00E23EDA" w:rsidRPr="00F732D7">
        <w:t>s que no se hayan realizado consultas. L</w:t>
      </w:r>
      <w:r w:rsidR="001F5D90" w:rsidRPr="00F732D7">
        <w:t>a reducción en sí misma e</w:t>
      </w:r>
      <w:r w:rsidR="00E23EDA" w:rsidRPr="00F732D7">
        <w:t>s</w:t>
      </w:r>
      <w:r w:rsidR="001F5D90" w:rsidRPr="00F732D7">
        <w:t xml:space="preserve"> relativamente pequeña y las </w:t>
      </w:r>
      <w:r w:rsidR="00052D57" w:rsidRPr="00F732D7">
        <w:t>concesiones</w:t>
      </w:r>
      <w:r w:rsidR="001F5D90" w:rsidRPr="00F732D7">
        <w:t xml:space="preserve"> est</w:t>
      </w:r>
      <w:r w:rsidR="00E23EDA" w:rsidRPr="00F732D7">
        <w:t>án en todo caso</w:t>
      </w:r>
      <w:r w:rsidR="001F5D90" w:rsidRPr="00F732D7">
        <w:t xml:space="preserve"> limitadas por el número fijo de </w:t>
      </w:r>
      <w:r w:rsidR="00E23EDA" w:rsidRPr="00F732D7">
        <w:t>escaños</w:t>
      </w:r>
      <w:r w:rsidR="001F5D90" w:rsidRPr="00F732D7">
        <w:t xml:space="preserve"> con derecho a voto en el </w:t>
      </w:r>
      <w:r w:rsidR="00E23EDA" w:rsidRPr="009227BE">
        <w:t>Comité Mixto</w:t>
      </w:r>
      <w:r w:rsidR="001F5D90" w:rsidRPr="00F732D7">
        <w:t xml:space="preserve">. </w:t>
      </w:r>
      <w:r w:rsidR="00E23EDA" w:rsidRPr="00F732D7">
        <w:t>Por último, afirma que l</w:t>
      </w:r>
      <w:r w:rsidR="001F5D90" w:rsidRPr="00F732D7">
        <w:t>a secretaría está trabajando con otras organizaciones afectadas de forma similar</w:t>
      </w:r>
      <w:r w:rsidR="00E23EDA" w:rsidRPr="00F732D7">
        <w:t xml:space="preserve"> e</w:t>
      </w:r>
      <w:r w:rsidR="001F5D90" w:rsidRPr="00F732D7">
        <w:t xml:space="preserve"> insta a los Estados </w:t>
      </w:r>
      <w:r w:rsidR="00E23EDA" w:rsidRPr="00F732D7">
        <w:t xml:space="preserve">Miembros </w:t>
      </w:r>
      <w:r w:rsidR="001F5D90" w:rsidRPr="00F732D7">
        <w:t>a promover la causa de la Unión siempre que sea posible.</w:t>
      </w:r>
      <w:bookmarkEnd w:id="101"/>
    </w:p>
    <w:p w14:paraId="541EB8E6" w14:textId="477F8492" w:rsidR="004578F1" w:rsidRPr="00F732D7" w:rsidRDefault="004578F1" w:rsidP="00E23EDA">
      <w:r w:rsidRPr="00F732D7">
        <w:t>12.5</w:t>
      </w:r>
      <w:r w:rsidRPr="00F732D7">
        <w:tab/>
      </w:r>
      <w:r w:rsidR="00E23EDA" w:rsidRPr="00F732D7">
        <w:t xml:space="preserve">El Presidente entiende que los </w:t>
      </w:r>
      <w:r w:rsidR="003D47F2">
        <w:t>c</w:t>
      </w:r>
      <w:r w:rsidR="00E23EDA" w:rsidRPr="00F732D7">
        <w:t xml:space="preserve">onsejeros desean concluir que, dada la urgencia de este punto, </w:t>
      </w:r>
      <w:r w:rsidR="00E22575" w:rsidRPr="00F732D7">
        <w:t xml:space="preserve">se llevará a cabo una consulta </w:t>
      </w:r>
      <w:r w:rsidR="00E23EDA" w:rsidRPr="00F732D7">
        <w:t>por correspondencia con los Estados Miembros del Consejo para que tomen nota del Documento C21/69</w:t>
      </w:r>
      <w:r w:rsidR="006B2275" w:rsidRPr="00F732D7">
        <w:t>.</w:t>
      </w:r>
    </w:p>
    <w:p w14:paraId="39A8420C" w14:textId="6E4662A1" w:rsidR="004578F1" w:rsidRPr="00F732D7" w:rsidRDefault="004578F1" w:rsidP="009C106F">
      <w:r w:rsidRPr="00F732D7">
        <w:t>12.6</w:t>
      </w:r>
      <w:r w:rsidRPr="00F732D7">
        <w:tab/>
      </w:r>
      <w:r w:rsidR="00C83AD8" w:rsidRPr="00F732D7">
        <w:t xml:space="preserve">Así se </w:t>
      </w:r>
      <w:r w:rsidR="00C83AD8" w:rsidRPr="00F732D7">
        <w:rPr>
          <w:b/>
          <w:bCs/>
        </w:rPr>
        <w:t>concluye</w:t>
      </w:r>
      <w:r w:rsidR="00C83AD8" w:rsidRPr="00F732D7">
        <w:t>.</w:t>
      </w:r>
    </w:p>
    <w:p w14:paraId="1CF4DA82" w14:textId="78D6B4C3" w:rsidR="00691B6F" w:rsidRDefault="00C83AD8" w:rsidP="003F1F3B">
      <w:pPr>
        <w:tabs>
          <w:tab w:val="clear" w:pos="1134"/>
          <w:tab w:val="clear" w:pos="1701"/>
          <w:tab w:val="clear" w:pos="2268"/>
          <w:tab w:val="clear" w:pos="2835"/>
          <w:tab w:val="center" w:pos="7513"/>
        </w:tabs>
        <w:spacing w:before="1080"/>
      </w:pPr>
      <w:r w:rsidRPr="00052D57">
        <w:t xml:space="preserve">El </w:t>
      </w:r>
      <w:proofErr w:type="gramStart"/>
      <w:r w:rsidRPr="00052D57">
        <w:t>Secretario General</w:t>
      </w:r>
      <w:proofErr w:type="gramEnd"/>
      <w:r w:rsidRPr="00052D57">
        <w:t>:</w:t>
      </w:r>
      <w:r w:rsidRPr="00052D57">
        <w:tab/>
        <w:t>El Presidente:</w:t>
      </w:r>
      <w:r w:rsidR="003F1F3B">
        <w:br/>
      </w:r>
      <w:r w:rsidRPr="00052D57">
        <w:t>H. ZHAO</w:t>
      </w:r>
      <w:r w:rsidRPr="00052D57">
        <w:tab/>
        <w:t>S. BIN GHELAITA</w:t>
      </w:r>
    </w:p>
    <w:p w14:paraId="5FE186A3" w14:textId="498C0853" w:rsidR="0050584B" w:rsidRPr="00052D57" w:rsidRDefault="0050584B" w:rsidP="005B1F09">
      <w:pPr>
        <w:tabs>
          <w:tab w:val="clear" w:pos="709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7088"/>
        </w:tabs>
        <w:snapToGrid w:val="0"/>
        <w:spacing w:before="840"/>
        <w:jc w:val="center"/>
      </w:pPr>
      <w:r w:rsidRPr="0050584B">
        <w:rPr>
          <w:rFonts w:eastAsia="MS Mincho" w:cs="Calibri"/>
          <w:sz w:val="22"/>
          <w:szCs w:val="22"/>
          <w:lang w:val="de-DE"/>
        </w:rPr>
        <w:t>___________________</w:t>
      </w:r>
    </w:p>
    <w:sectPr w:rsidR="0050584B" w:rsidRPr="00052D57" w:rsidSect="006710F6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ABF5" w14:textId="77777777" w:rsidR="00076C4B" w:rsidRDefault="00076C4B">
      <w:r>
        <w:separator/>
      </w:r>
    </w:p>
  </w:endnote>
  <w:endnote w:type="continuationSeparator" w:id="0">
    <w:p w14:paraId="061299C3" w14:textId="77777777" w:rsidR="00076C4B" w:rsidRDefault="0007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2" w:name="_Hlk76651964"/>
  <w:bookmarkStart w:id="103" w:name="_Hlk76651965"/>
  <w:p w14:paraId="222D785E" w14:textId="72E50008" w:rsidR="00760F1C" w:rsidRPr="0050584B" w:rsidRDefault="006B2275">
    <w:pPr>
      <w:pStyle w:val="Footer"/>
      <w:rPr>
        <w:lang w:val="fr-CH"/>
      </w:rPr>
    </w:pPr>
    <w:r w:rsidRPr="0050584B">
      <w:rPr>
        <w:color w:val="F2F2F2" w:themeColor="background1" w:themeShade="F2"/>
      </w:rPr>
      <w:fldChar w:fldCharType="begin"/>
    </w:r>
    <w:r w:rsidRPr="0050584B">
      <w:rPr>
        <w:color w:val="F2F2F2" w:themeColor="background1" w:themeShade="F2"/>
        <w:lang w:val="fr-CH"/>
      </w:rPr>
      <w:instrText xml:space="preserve"> FILENAME \p \* MERGEFORMAT </w:instrText>
    </w:r>
    <w:r w:rsidRPr="0050584B">
      <w:rPr>
        <w:color w:val="F2F2F2" w:themeColor="background1" w:themeShade="F2"/>
      </w:rPr>
      <w:fldChar w:fldCharType="separate"/>
    </w:r>
    <w:r w:rsidR="003C3315" w:rsidRPr="0050584B">
      <w:rPr>
        <w:color w:val="F2F2F2" w:themeColor="background1" w:themeShade="F2"/>
        <w:lang w:val="fr-CH"/>
      </w:rPr>
      <w:t>P:\ESP\SG\CONSEIL\C21\000\090V2S.docx</w:t>
    </w:r>
    <w:r w:rsidRPr="0050584B">
      <w:rPr>
        <w:color w:val="F2F2F2" w:themeColor="background1" w:themeShade="F2"/>
        <w:lang w:val="en-US"/>
      </w:rPr>
      <w:fldChar w:fldCharType="end"/>
    </w:r>
    <w:r w:rsidR="00C83AD8" w:rsidRPr="0050584B">
      <w:rPr>
        <w:color w:val="F2F2F2" w:themeColor="background1" w:themeShade="F2"/>
        <w:lang w:val="fr-CH"/>
      </w:rPr>
      <w:t xml:space="preserve"> (491132)</w:t>
    </w:r>
    <w:bookmarkEnd w:id="102"/>
    <w:bookmarkEnd w:id="10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2C24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8137" w14:textId="77777777" w:rsidR="00076C4B" w:rsidRDefault="00076C4B">
      <w:r>
        <w:t>____________________</w:t>
      </w:r>
    </w:p>
  </w:footnote>
  <w:footnote w:type="continuationSeparator" w:id="0">
    <w:p w14:paraId="1CD28750" w14:textId="77777777" w:rsidR="00076C4B" w:rsidRDefault="0007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5930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17795A49" w14:textId="58CA8551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C83AD8">
      <w:t>90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5C24"/>
    <w:multiLevelType w:val="multilevel"/>
    <w:tmpl w:val="E1540AC8"/>
    <w:lvl w:ilvl="0">
      <w:start w:val="1"/>
      <w:numFmt w:val="decimal"/>
      <w:lvlText w:val="%1"/>
      <w:lvlJc w:val="left"/>
      <w:pPr>
        <w:ind w:left="720" w:hanging="72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BA86B1D"/>
    <w:multiLevelType w:val="hybridMultilevel"/>
    <w:tmpl w:val="99EC9C40"/>
    <w:lvl w:ilvl="0" w:tplc="F0EA08F0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lang w:val="en-US"/>
      </w:rPr>
    </w:lvl>
    <w:lvl w:ilvl="1" w:tplc="31420812">
      <w:numFmt w:val="bullet"/>
      <w:lvlText w:val="-"/>
      <w:lvlJc w:val="left"/>
      <w:pPr>
        <w:ind w:left="2160" w:hanging="720"/>
      </w:pPr>
      <w:rPr>
        <w:rFonts w:ascii="Calibri" w:eastAsiaTheme="minorEastAsia" w:hAnsi="Calibri" w:cs="Calibri" w:hint="default"/>
      </w:rPr>
    </w:lvl>
    <w:lvl w:ilvl="2" w:tplc="0E94C3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6E81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0496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DC93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E2EE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54DD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D4B6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15"/>
    <w:rsid w:val="000007D1"/>
    <w:rsid w:val="0002499E"/>
    <w:rsid w:val="00050361"/>
    <w:rsid w:val="00052D57"/>
    <w:rsid w:val="00057A4C"/>
    <w:rsid w:val="00076C4B"/>
    <w:rsid w:val="00092831"/>
    <w:rsid w:val="00093EEB"/>
    <w:rsid w:val="00095E75"/>
    <w:rsid w:val="000A5DA7"/>
    <w:rsid w:val="000B0D00"/>
    <w:rsid w:val="000B7C15"/>
    <w:rsid w:val="000C332D"/>
    <w:rsid w:val="000D1D0F"/>
    <w:rsid w:val="000D6E27"/>
    <w:rsid w:val="000D755B"/>
    <w:rsid w:val="000F5290"/>
    <w:rsid w:val="00100052"/>
    <w:rsid w:val="0010165C"/>
    <w:rsid w:val="0012008A"/>
    <w:rsid w:val="00140A4D"/>
    <w:rsid w:val="00146BFB"/>
    <w:rsid w:val="00150F2A"/>
    <w:rsid w:val="001723DF"/>
    <w:rsid w:val="001A3E93"/>
    <w:rsid w:val="001B5932"/>
    <w:rsid w:val="001C2A0E"/>
    <w:rsid w:val="001C6A3A"/>
    <w:rsid w:val="001E6F9A"/>
    <w:rsid w:val="001F14A2"/>
    <w:rsid w:val="001F5D90"/>
    <w:rsid w:val="00204C05"/>
    <w:rsid w:val="00243394"/>
    <w:rsid w:val="00243C1A"/>
    <w:rsid w:val="00244250"/>
    <w:rsid w:val="00265987"/>
    <w:rsid w:val="002669B9"/>
    <w:rsid w:val="00271AA5"/>
    <w:rsid w:val="002801AA"/>
    <w:rsid w:val="002801E5"/>
    <w:rsid w:val="002C4676"/>
    <w:rsid w:val="002C70B0"/>
    <w:rsid w:val="002F3CC4"/>
    <w:rsid w:val="00310E71"/>
    <w:rsid w:val="00343D28"/>
    <w:rsid w:val="00356EF6"/>
    <w:rsid w:val="00366F75"/>
    <w:rsid w:val="00393C19"/>
    <w:rsid w:val="00397E90"/>
    <w:rsid w:val="003B0DF7"/>
    <w:rsid w:val="003C3315"/>
    <w:rsid w:val="003D18A7"/>
    <w:rsid w:val="003D47F2"/>
    <w:rsid w:val="003D62BC"/>
    <w:rsid w:val="003F1F3B"/>
    <w:rsid w:val="004250C7"/>
    <w:rsid w:val="0043280F"/>
    <w:rsid w:val="00450130"/>
    <w:rsid w:val="004578F1"/>
    <w:rsid w:val="00460E26"/>
    <w:rsid w:val="004A4C17"/>
    <w:rsid w:val="004B7109"/>
    <w:rsid w:val="004C4532"/>
    <w:rsid w:val="004D0F51"/>
    <w:rsid w:val="004F4739"/>
    <w:rsid w:val="0050584B"/>
    <w:rsid w:val="00513630"/>
    <w:rsid w:val="005349F4"/>
    <w:rsid w:val="00546C79"/>
    <w:rsid w:val="00560125"/>
    <w:rsid w:val="00565470"/>
    <w:rsid w:val="0057370A"/>
    <w:rsid w:val="005745FC"/>
    <w:rsid w:val="00585553"/>
    <w:rsid w:val="005962C9"/>
    <w:rsid w:val="005B1F09"/>
    <w:rsid w:val="005B34D9"/>
    <w:rsid w:val="005B3A82"/>
    <w:rsid w:val="005D0CCF"/>
    <w:rsid w:val="005F0A92"/>
    <w:rsid w:val="005F0DD8"/>
    <w:rsid w:val="005F3BCB"/>
    <w:rsid w:val="005F410F"/>
    <w:rsid w:val="005F5515"/>
    <w:rsid w:val="005F6515"/>
    <w:rsid w:val="0060149A"/>
    <w:rsid w:val="00601924"/>
    <w:rsid w:val="00603B8D"/>
    <w:rsid w:val="00630D0E"/>
    <w:rsid w:val="00642CE4"/>
    <w:rsid w:val="006447EA"/>
    <w:rsid w:val="0064731F"/>
    <w:rsid w:val="00664572"/>
    <w:rsid w:val="006709E5"/>
    <w:rsid w:val="006710F6"/>
    <w:rsid w:val="00691B6F"/>
    <w:rsid w:val="0069249D"/>
    <w:rsid w:val="006B2275"/>
    <w:rsid w:val="006B492A"/>
    <w:rsid w:val="006B6C04"/>
    <w:rsid w:val="006C1B56"/>
    <w:rsid w:val="006D0A42"/>
    <w:rsid w:val="006D34D9"/>
    <w:rsid w:val="006D4761"/>
    <w:rsid w:val="006F33BC"/>
    <w:rsid w:val="00700E81"/>
    <w:rsid w:val="0072643B"/>
    <w:rsid w:val="00726872"/>
    <w:rsid w:val="00760F1C"/>
    <w:rsid w:val="007657F0"/>
    <w:rsid w:val="0077252D"/>
    <w:rsid w:val="00773F0F"/>
    <w:rsid w:val="007760D0"/>
    <w:rsid w:val="00793157"/>
    <w:rsid w:val="007955DA"/>
    <w:rsid w:val="007D194A"/>
    <w:rsid w:val="007D5999"/>
    <w:rsid w:val="007E15DC"/>
    <w:rsid w:val="007E3776"/>
    <w:rsid w:val="007E5DD3"/>
    <w:rsid w:val="007F350B"/>
    <w:rsid w:val="00820BE4"/>
    <w:rsid w:val="00824CD3"/>
    <w:rsid w:val="00834C85"/>
    <w:rsid w:val="008451E8"/>
    <w:rsid w:val="00871848"/>
    <w:rsid w:val="00874AB6"/>
    <w:rsid w:val="008B450E"/>
    <w:rsid w:val="008D5A8D"/>
    <w:rsid w:val="008D65D6"/>
    <w:rsid w:val="008D75B2"/>
    <w:rsid w:val="008F0F7A"/>
    <w:rsid w:val="00913B9C"/>
    <w:rsid w:val="00916626"/>
    <w:rsid w:val="009227BE"/>
    <w:rsid w:val="0094306C"/>
    <w:rsid w:val="00956E77"/>
    <w:rsid w:val="00965A04"/>
    <w:rsid w:val="0097026C"/>
    <w:rsid w:val="00985454"/>
    <w:rsid w:val="00996211"/>
    <w:rsid w:val="009C106F"/>
    <w:rsid w:val="009D1D51"/>
    <w:rsid w:val="009D611D"/>
    <w:rsid w:val="009E117F"/>
    <w:rsid w:val="009F4811"/>
    <w:rsid w:val="00A200D0"/>
    <w:rsid w:val="00A22968"/>
    <w:rsid w:val="00A321A1"/>
    <w:rsid w:val="00A33E75"/>
    <w:rsid w:val="00A71B65"/>
    <w:rsid w:val="00A91768"/>
    <w:rsid w:val="00A9501D"/>
    <w:rsid w:val="00A95193"/>
    <w:rsid w:val="00AA390C"/>
    <w:rsid w:val="00AB143F"/>
    <w:rsid w:val="00AC0665"/>
    <w:rsid w:val="00AC7E44"/>
    <w:rsid w:val="00B0200A"/>
    <w:rsid w:val="00B574DB"/>
    <w:rsid w:val="00B602B8"/>
    <w:rsid w:val="00B6600A"/>
    <w:rsid w:val="00B75952"/>
    <w:rsid w:val="00B76EB3"/>
    <w:rsid w:val="00B826C2"/>
    <w:rsid w:val="00B8298E"/>
    <w:rsid w:val="00BB11B4"/>
    <w:rsid w:val="00BD0723"/>
    <w:rsid w:val="00BD2518"/>
    <w:rsid w:val="00BE2D25"/>
    <w:rsid w:val="00BF1D1C"/>
    <w:rsid w:val="00BF6464"/>
    <w:rsid w:val="00C07DFC"/>
    <w:rsid w:val="00C20C59"/>
    <w:rsid w:val="00C2727F"/>
    <w:rsid w:val="00C529E7"/>
    <w:rsid w:val="00C55B1F"/>
    <w:rsid w:val="00C67B77"/>
    <w:rsid w:val="00C83AD8"/>
    <w:rsid w:val="00CB0FA4"/>
    <w:rsid w:val="00CD1B2F"/>
    <w:rsid w:val="00CE36BE"/>
    <w:rsid w:val="00CE7E66"/>
    <w:rsid w:val="00CF1A67"/>
    <w:rsid w:val="00CF2F8E"/>
    <w:rsid w:val="00D20DE3"/>
    <w:rsid w:val="00D2750E"/>
    <w:rsid w:val="00D62446"/>
    <w:rsid w:val="00D82690"/>
    <w:rsid w:val="00DA093A"/>
    <w:rsid w:val="00DA4EA2"/>
    <w:rsid w:val="00DC3D3E"/>
    <w:rsid w:val="00DE2C90"/>
    <w:rsid w:val="00DE331A"/>
    <w:rsid w:val="00DE3B24"/>
    <w:rsid w:val="00E0248D"/>
    <w:rsid w:val="00E06947"/>
    <w:rsid w:val="00E22575"/>
    <w:rsid w:val="00E23EDA"/>
    <w:rsid w:val="00E2524C"/>
    <w:rsid w:val="00E3592D"/>
    <w:rsid w:val="00E92DE8"/>
    <w:rsid w:val="00EA75E6"/>
    <w:rsid w:val="00EB1212"/>
    <w:rsid w:val="00EB3E7D"/>
    <w:rsid w:val="00ED30FB"/>
    <w:rsid w:val="00ED65AB"/>
    <w:rsid w:val="00F12850"/>
    <w:rsid w:val="00F23D0B"/>
    <w:rsid w:val="00F33BF4"/>
    <w:rsid w:val="00F33CD5"/>
    <w:rsid w:val="00F35074"/>
    <w:rsid w:val="00F55232"/>
    <w:rsid w:val="00F7105E"/>
    <w:rsid w:val="00F732D7"/>
    <w:rsid w:val="00F75F57"/>
    <w:rsid w:val="00F76A8F"/>
    <w:rsid w:val="00F82FEE"/>
    <w:rsid w:val="00F95696"/>
    <w:rsid w:val="00FB274F"/>
    <w:rsid w:val="00FB75FD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436941"/>
  <w15:docId w15:val="{E87D3BDF-1037-4D88-9CCD-377DC480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DE3"/>
    <w:pPr>
      <w:tabs>
        <w:tab w:val="left" w:pos="709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20DE3"/>
    <w:pPr>
      <w:keepNext/>
      <w:keepLines/>
      <w:spacing w:before="480"/>
      <w:ind w:left="709" w:hanging="709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D20DE3"/>
    <w:pPr>
      <w:spacing w:before="86"/>
      <w:ind w:left="709" w:hanging="709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9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C-0025/es" TargetMode="External"/><Relationship Id="rId18" Type="http://schemas.openxmlformats.org/officeDocument/2006/relationships/hyperlink" Target="https://www.itu.int/md/S21-CL-C-0046/e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1-CL-C-0067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34/es" TargetMode="External"/><Relationship Id="rId17" Type="http://schemas.openxmlformats.org/officeDocument/2006/relationships/hyperlink" Target="https://www.itu.int/md/S21-CL-C-0059/e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82/es" TargetMode="External"/><Relationship Id="rId20" Type="http://schemas.openxmlformats.org/officeDocument/2006/relationships/hyperlink" Target="https://www.itu.int/md/S21-CL-C-0080/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210608-TD-GEN-0001/es" TargetMode="External"/><Relationship Id="rId24" Type="http://schemas.openxmlformats.org/officeDocument/2006/relationships/hyperlink" Target="https://www.itu.int/md/S21-CL-C-0069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71/es" TargetMode="External"/><Relationship Id="rId23" Type="http://schemas.openxmlformats.org/officeDocument/2006/relationships/hyperlink" Target="https://www.itu.int/md/S21-CL-C-0038/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1-CL-C-0080/es" TargetMode="External"/><Relationship Id="rId19" Type="http://schemas.openxmlformats.org/officeDocument/2006/relationships/hyperlink" Target="https://www.itu.int/md/S21-CL-C-0062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82/es" TargetMode="External"/><Relationship Id="rId14" Type="http://schemas.openxmlformats.org/officeDocument/2006/relationships/hyperlink" Target="https://www.itu.int/md/S21-CL-C-0036/es" TargetMode="External"/><Relationship Id="rId22" Type="http://schemas.openxmlformats.org/officeDocument/2006/relationships/hyperlink" Target="https://www.itu.int/md/S21-CL-C-0039/es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9226-F48C-4C39-8FE6-046F5619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4</TotalTime>
  <Pages>12</Pages>
  <Words>6154</Words>
  <Characters>32937</Characters>
  <Application>Microsoft Office Word</Application>
  <DocSecurity>0</DocSecurity>
  <Lines>274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39013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 los debates de la sexta reunión</dc:title>
  <dc:subject>Council 2021, Virtual consultation of councillors</dc:subject>
  <dc:creator>Spanish</dc:creator>
  <cp:keywords>C2021, C21, VCC, C21-VCC-1</cp:keywords>
  <dc:description/>
  <cp:lastModifiedBy>Brouard, Ricarda</cp:lastModifiedBy>
  <cp:revision>3</cp:revision>
  <cp:lastPrinted>2006-03-24T09:51:00Z</cp:lastPrinted>
  <dcterms:created xsi:type="dcterms:W3CDTF">2021-07-19T09:43:00Z</dcterms:created>
  <dcterms:modified xsi:type="dcterms:W3CDTF">2021-08-06T09:38:00Z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