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FF0208" w14:paraId="7B9142DB" w14:textId="77777777">
        <w:trPr>
          <w:cantSplit/>
        </w:trPr>
        <w:tc>
          <w:tcPr>
            <w:tcW w:w="6912" w:type="dxa"/>
          </w:tcPr>
          <w:p w14:paraId="53E300A4" w14:textId="77777777" w:rsidR="00520F36" w:rsidRPr="00FF0208" w:rsidRDefault="00520F36" w:rsidP="00106B19">
            <w:pPr>
              <w:spacing w:before="360"/>
            </w:pPr>
            <w:bookmarkStart w:id="0" w:name="dc06"/>
            <w:bookmarkEnd w:id="0"/>
            <w:r w:rsidRPr="00FF0208">
              <w:rPr>
                <w:b/>
                <w:bCs/>
                <w:sz w:val="30"/>
                <w:szCs w:val="30"/>
              </w:rPr>
              <w:t>Conseil 20</w:t>
            </w:r>
            <w:r w:rsidR="009C353C" w:rsidRPr="00FF0208">
              <w:rPr>
                <w:b/>
                <w:bCs/>
                <w:sz w:val="30"/>
                <w:szCs w:val="30"/>
              </w:rPr>
              <w:t>2</w:t>
            </w:r>
            <w:r w:rsidR="004D1D50" w:rsidRPr="00FF0208">
              <w:rPr>
                <w:b/>
                <w:bCs/>
                <w:sz w:val="30"/>
                <w:szCs w:val="30"/>
              </w:rPr>
              <w:t>1</w:t>
            </w:r>
            <w:r w:rsidRPr="00FF0208">
              <w:rPr>
                <w:rFonts w:ascii="Verdana" w:hAnsi="Verdana"/>
                <w:b/>
                <w:bCs/>
                <w:sz w:val="26"/>
                <w:szCs w:val="26"/>
              </w:rPr>
              <w:br/>
            </w:r>
            <w:r w:rsidR="004D1D50" w:rsidRPr="00FF0208">
              <w:rPr>
                <w:b/>
                <w:bCs/>
                <w:sz w:val="28"/>
                <w:szCs w:val="28"/>
              </w:rPr>
              <w:t>Consultation virtuelle des Conseillers</w:t>
            </w:r>
            <w:r w:rsidRPr="00FF0208">
              <w:rPr>
                <w:b/>
                <w:bCs/>
                <w:sz w:val="28"/>
                <w:szCs w:val="28"/>
              </w:rPr>
              <w:t xml:space="preserve">, </w:t>
            </w:r>
            <w:r w:rsidR="004D1D50" w:rsidRPr="00FF0208">
              <w:rPr>
                <w:b/>
                <w:bCs/>
                <w:sz w:val="28"/>
                <w:szCs w:val="28"/>
              </w:rPr>
              <w:t>8</w:t>
            </w:r>
            <w:r w:rsidRPr="00FF0208">
              <w:rPr>
                <w:b/>
                <w:bCs/>
                <w:sz w:val="28"/>
                <w:szCs w:val="28"/>
              </w:rPr>
              <w:t>-</w:t>
            </w:r>
            <w:r w:rsidR="009C353C" w:rsidRPr="00FF0208">
              <w:rPr>
                <w:b/>
                <w:bCs/>
                <w:sz w:val="28"/>
                <w:szCs w:val="28"/>
              </w:rPr>
              <w:t>1</w:t>
            </w:r>
            <w:r w:rsidR="004D1D50" w:rsidRPr="00FF0208">
              <w:rPr>
                <w:b/>
                <w:bCs/>
                <w:sz w:val="28"/>
                <w:szCs w:val="28"/>
              </w:rPr>
              <w:t>8</w:t>
            </w:r>
            <w:r w:rsidR="00106B19" w:rsidRPr="00FF0208">
              <w:rPr>
                <w:b/>
                <w:bCs/>
                <w:sz w:val="28"/>
                <w:szCs w:val="28"/>
              </w:rPr>
              <w:t xml:space="preserve"> juin</w:t>
            </w:r>
            <w:r w:rsidRPr="00FF0208">
              <w:rPr>
                <w:b/>
                <w:bCs/>
                <w:sz w:val="28"/>
                <w:szCs w:val="28"/>
              </w:rPr>
              <w:t xml:space="preserve"> 20</w:t>
            </w:r>
            <w:r w:rsidR="009C353C" w:rsidRPr="00FF0208">
              <w:rPr>
                <w:b/>
                <w:bCs/>
                <w:sz w:val="28"/>
                <w:szCs w:val="28"/>
              </w:rPr>
              <w:t>2</w:t>
            </w:r>
            <w:r w:rsidR="004D1D50" w:rsidRPr="00FF0208">
              <w:rPr>
                <w:b/>
                <w:bCs/>
                <w:sz w:val="28"/>
                <w:szCs w:val="28"/>
              </w:rPr>
              <w:t>1</w:t>
            </w:r>
          </w:p>
        </w:tc>
        <w:tc>
          <w:tcPr>
            <w:tcW w:w="3261" w:type="dxa"/>
          </w:tcPr>
          <w:p w14:paraId="469C7715" w14:textId="77777777" w:rsidR="00520F36" w:rsidRPr="00FF0208" w:rsidRDefault="009C353C" w:rsidP="009C353C">
            <w:pPr>
              <w:spacing w:before="0"/>
            </w:pPr>
            <w:bookmarkStart w:id="1" w:name="ditulogo"/>
            <w:bookmarkEnd w:id="1"/>
            <w:r w:rsidRPr="00FF0208">
              <w:rPr>
                <w:noProof/>
              </w:rPr>
              <w:drawing>
                <wp:inline distT="0" distB="0" distL="0" distR="0" wp14:anchorId="7E231BED" wp14:editId="23F35B05">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FF0208" w14:paraId="7801F664" w14:textId="77777777" w:rsidTr="00EF41DD">
        <w:trPr>
          <w:cantSplit/>
          <w:trHeight w:val="20"/>
        </w:trPr>
        <w:tc>
          <w:tcPr>
            <w:tcW w:w="6912" w:type="dxa"/>
            <w:tcBorders>
              <w:bottom w:val="single" w:sz="12" w:space="0" w:color="auto"/>
            </w:tcBorders>
            <w:vAlign w:val="center"/>
          </w:tcPr>
          <w:p w14:paraId="0EBED0C9" w14:textId="77777777" w:rsidR="00520F36" w:rsidRPr="00FF0208" w:rsidRDefault="00520F36" w:rsidP="004C37A9">
            <w:pPr>
              <w:spacing w:before="0"/>
              <w:rPr>
                <w:b/>
                <w:bCs/>
                <w:sz w:val="26"/>
                <w:szCs w:val="26"/>
              </w:rPr>
            </w:pPr>
          </w:p>
        </w:tc>
        <w:tc>
          <w:tcPr>
            <w:tcW w:w="3261" w:type="dxa"/>
            <w:tcBorders>
              <w:bottom w:val="single" w:sz="12" w:space="0" w:color="auto"/>
            </w:tcBorders>
          </w:tcPr>
          <w:p w14:paraId="495C60FF" w14:textId="77777777" w:rsidR="00520F36" w:rsidRPr="00FF0208" w:rsidRDefault="00520F36" w:rsidP="00DF74DD">
            <w:pPr>
              <w:spacing w:before="0"/>
              <w:rPr>
                <w:b/>
                <w:bCs/>
              </w:rPr>
            </w:pPr>
          </w:p>
        </w:tc>
      </w:tr>
      <w:tr w:rsidR="00520F36" w:rsidRPr="00FF0208" w14:paraId="2333DDF3" w14:textId="77777777">
        <w:trPr>
          <w:cantSplit/>
          <w:trHeight w:val="20"/>
        </w:trPr>
        <w:tc>
          <w:tcPr>
            <w:tcW w:w="6912" w:type="dxa"/>
            <w:tcBorders>
              <w:top w:val="single" w:sz="12" w:space="0" w:color="auto"/>
            </w:tcBorders>
          </w:tcPr>
          <w:p w14:paraId="7E565FC6" w14:textId="77777777" w:rsidR="00520F36" w:rsidRPr="00FF0208" w:rsidRDefault="00520F36" w:rsidP="00DF74DD">
            <w:pPr>
              <w:spacing w:before="0"/>
              <w:rPr>
                <w:smallCaps/>
                <w:sz w:val="22"/>
              </w:rPr>
            </w:pPr>
          </w:p>
        </w:tc>
        <w:tc>
          <w:tcPr>
            <w:tcW w:w="3261" w:type="dxa"/>
            <w:tcBorders>
              <w:top w:val="single" w:sz="12" w:space="0" w:color="auto"/>
            </w:tcBorders>
          </w:tcPr>
          <w:p w14:paraId="52A51C19" w14:textId="77777777" w:rsidR="00520F36" w:rsidRPr="00FF0208" w:rsidRDefault="00520F36" w:rsidP="00DF74DD">
            <w:pPr>
              <w:spacing w:before="0"/>
              <w:rPr>
                <w:b/>
                <w:bCs/>
              </w:rPr>
            </w:pPr>
          </w:p>
        </w:tc>
      </w:tr>
      <w:tr w:rsidR="00520F36" w:rsidRPr="00FF0208" w14:paraId="241D17EF" w14:textId="77777777">
        <w:trPr>
          <w:cantSplit/>
          <w:trHeight w:val="20"/>
        </w:trPr>
        <w:tc>
          <w:tcPr>
            <w:tcW w:w="6912" w:type="dxa"/>
            <w:vMerge w:val="restart"/>
          </w:tcPr>
          <w:p w14:paraId="17D67837" w14:textId="77777777" w:rsidR="00520F36" w:rsidRPr="00FF0208" w:rsidRDefault="00520F36" w:rsidP="00DF74DD">
            <w:pPr>
              <w:spacing w:before="0"/>
              <w:rPr>
                <w:rFonts w:cs="Times"/>
                <w:b/>
                <w:bCs/>
                <w:szCs w:val="24"/>
              </w:rPr>
            </w:pPr>
            <w:bookmarkStart w:id="2" w:name="dnum" w:colFirst="1" w:colLast="1"/>
            <w:bookmarkStart w:id="3" w:name="dmeeting" w:colFirst="0" w:colLast="0"/>
          </w:p>
        </w:tc>
        <w:tc>
          <w:tcPr>
            <w:tcW w:w="3261" w:type="dxa"/>
          </w:tcPr>
          <w:p w14:paraId="19CE8DA8" w14:textId="6F99D7EB" w:rsidR="00520F36" w:rsidRPr="00FF0208" w:rsidRDefault="00520F36" w:rsidP="00106B19">
            <w:pPr>
              <w:spacing w:before="0"/>
              <w:rPr>
                <w:b/>
                <w:bCs/>
              </w:rPr>
            </w:pPr>
            <w:r w:rsidRPr="00FF0208">
              <w:rPr>
                <w:b/>
                <w:bCs/>
              </w:rPr>
              <w:t>Document C</w:t>
            </w:r>
            <w:r w:rsidR="009C353C" w:rsidRPr="00FF0208">
              <w:rPr>
                <w:b/>
                <w:bCs/>
              </w:rPr>
              <w:t>2</w:t>
            </w:r>
            <w:r w:rsidR="004D1D50" w:rsidRPr="00FF0208">
              <w:rPr>
                <w:b/>
                <w:bCs/>
              </w:rPr>
              <w:t>1</w:t>
            </w:r>
            <w:r w:rsidRPr="00FF0208">
              <w:rPr>
                <w:b/>
                <w:bCs/>
              </w:rPr>
              <w:t>/</w:t>
            </w:r>
            <w:r w:rsidR="006E61C5" w:rsidRPr="00FF0208">
              <w:rPr>
                <w:b/>
                <w:bCs/>
              </w:rPr>
              <w:t>90</w:t>
            </w:r>
            <w:r w:rsidRPr="00FF0208">
              <w:rPr>
                <w:b/>
                <w:bCs/>
              </w:rPr>
              <w:t>-F</w:t>
            </w:r>
          </w:p>
        </w:tc>
      </w:tr>
      <w:tr w:rsidR="00520F36" w:rsidRPr="00FF0208" w14:paraId="1F8FB6E2" w14:textId="77777777">
        <w:trPr>
          <w:cantSplit/>
          <w:trHeight w:val="20"/>
        </w:trPr>
        <w:tc>
          <w:tcPr>
            <w:tcW w:w="6912" w:type="dxa"/>
            <w:vMerge/>
          </w:tcPr>
          <w:p w14:paraId="0B2C049E" w14:textId="77777777" w:rsidR="00520F36" w:rsidRPr="00FF0208" w:rsidRDefault="00520F36" w:rsidP="00DF74DD">
            <w:pPr>
              <w:shd w:val="solid" w:color="FFFFFF" w:fill="FFFFFF"/>
              <w:spacing w:before="180"/>
              <w:rPr>
                <w:smallCaps/>
              </w:rPr>
            </w:pPr>
            <w:bookmarkStart w:id="4" w:name="ddate" w:colFirst="1" w:colLast="1"/>
            <w:bookmarkEnd w:id="2"/>
            <w:bookmarkEnd w:id="3"/>
          </w:p>
        </w:tc>
        <w:tc>
          <w:tcPr>
            <w:tcW w:w="3261" w:type="dxa"/>
          </w:tcPr>
          <w:p w14:paraId="32B9DE3E" w14:textId="52B0CE24" w:rsidR="00520F36" w:rsidRPr="00FF0208" w:rsidRDefault="006E61C5" w:rsidP="00106B19">
            <w:pPr>
              <w:spacing w:before="0"/>
              <w:rPr>
                <w:b/>
                <w:bCs/>
              </w:rPr>
            </w:pPr>
            <w:r w:rsidRPr="00FF0208">
              <w:rPr>
                <w:b/>
                <w:bCs/>
              </w:rPr>
              <w:t>22 juin</w:t>
            </w:r>
            <w:r w:rsidR="00520F36" w:rsidRPr="00FF0208">
              <w:rPr>
                <w:b/>
                <w:bCs/>
              </w:rPr>
              <w:t xml:space="preserve"> 20</w:t>
            </w:r>
            <w:r w:rsidR="009C353C" w:rsidRPr="00FF0208">
              <w:rPr>
                <w:b/>
                <w:bCs/>
              </w:rPr>
              <w:t>2</w:t>
            </w:r>
            <w:r w:rsidR="0097363B" w:rsidRPr="00FF0208">
              <w:rPr>
                <w:b/>
                <w:bCs/>
              </w:rPr>
              <w:t>1</w:t>
            </w:r>
          </w:p>
        </w:tc>
      </w:tr>
      <w:tr w:rsidR="00520F36" w:rsidRPr="00FF0208" w14:paraId="173A62B3" w14:textId="77777777">
        <w:trPr>
          <w:cantSplit/>
          <w:trHeight w:val="20"/>
        </w:trPr>
        <w:tc>
          <w:tcPr>
            <w:tcW w:w="6912" w:type="dxa"/>
            <w:vMerge/>
          </w:tcPr>
          <w:p w14:paraId="6767C514" w14:textId="77777777" w:rsidR="00520F36" w:rsidRPr="00FF0208" w:rsidRDefault="00520F36" w:rsidP="00DF74DD">
            <w:pPr>
              <w:shd w:val="solid" w:color="FFFFFF" w:fill="FFFFFF"/>
              <w:spacing w:before="180"/>
              <w:rPr>
                <w:smallCaps/>
              </w:rPr>
            </w:pPr>
            <w:bookmarkStart w:id="5" w:name="dorlang" w:colFirst="1" w:colLast="1"/>
            <w:bookmarkEnd w:id="4"/>
          </w:p>
        </w:tc>
        <w:tc>
          <w:tcPr>
            <w:tcW w:w="3261" w:type="dxa"/>
          </w:tcPr>
          <w:p w14:paraId="13008D53" w14:textId="77777777" w:rsidR="00520F36" w:rsidRPr="00FF0208" w:rsidRDefault="00520F36" w:rsidP="00520F36">
            <w:pPr>
              <w:spacing w:before="0"/>
              <w:rPr>
                <w:b/>
                <w:bCs/>
              </w:rPr>
            </w:pPr>
            <w:r w:rsidRPr="00FF0208">
              <w:rPr>
                <w:b/>
                <w:bCs/>
              </w:rPr>
              <w:t>Original: anglais</w:t>
            </w:r>
          </w:p>
        </w:tc>
      </w:tr>
      <w:tr w:rsidR="00520F36" w:rsidRPr="00FF0208" w14:paraId="27C2DA08" w14:textId="77777777">
        <w:trPr>
          <w:cantSplit/>
        </w:trPr>
        <w:tc>
          <w:tcPr>
            <w:tcW w:w="10173" w:type="dxa"/>
            <w:gridSpan w:val="2"/>
          </w:tcPr>
          <w:p w14:paraId="31FF9299" w14:textId="77777777" w:rsidR="006E61C5" w:rsidRPr="00FF0208" w:rsidRDefault="006E61C5" w:rsidP="007C2BEF">
            <w:pPr>
              <w:spacing w:before="840"/>
              <w:jc w:val="center"/>
            </w:pPr>
            <w:bookmarkStart w:id="6" w:name="lt_pId009"/>
            <w:bookmarkStart w:id="7" w:name="dtitle1" w:colFirst="0" w:colLast="0"/>
            <w:bookmarkEnd w:id="5"/>
            <w:r w:rsidRPr="00FF0208">
              <w:t>COMPTE RENDU</w:t>
            </w:r>
            <w:bookmarkEnd w:id="6"/>
          </w:p>
          <w:p w14:paraId="34A7BAB8" w14:textId="77777777" w:rsidR="006E61C5" w:rsidRPr="00FF0208" w:rsidRDefault="006E61C5" w:rsidP="006E61C5">
            <w:pPr>
              <w:jc w:val="center"/>
            </w:pPr>
            <w:bookmarkStart w:id="8" w:name="lt_pId010"/>
            <w:r w:rsidRPr="00FF0208">
              <w:t>DE LA</w:t>
            </w:r>
            <w:bookmarkEnd w:id="8"/>
          </w:p>
          <w:p w14:paraId="21B2F518" w14:textId="77777777" w:rsidR="006E61C5" w:rsidRPr="00FF0208" w:rsidRDefault="006E61C5" w:rsidP="006E61C5">
            <w:pPr>
              <w:jc w:val="center"/>
            </w:pPr>
            <w:bookmarkStart w:id="9" w:name="lt_pId011"/>
            <w:r w:rsidRPr="00FF0208">
              <w:t>SIXIÈME SÉANCE</w:t>
            </w:r>
            <w:bookmarkEnd w:id="9"/>
          </w:p>
          <w:p w14:paraId="697161CC" w14:textId="319864AA" w:rsidR="006E61C5" w:rsidRPr="00FF0208" w:rsidRDefault="006E61C5" w:rsidP="006E61C5">
            <w:pPr>
              <w:jc w:val="center"/>
            </w:pPr>
            <w:bookmarkStart w:id="10" w:name="lt_pId012"/>
            <w:r w:rsidRPr="00FF0208">
              <w:t>Mardi 15 juin 2021, de 12 h</w:t>
            </w:r>
            <w:r w:rsidR="004D06B5" w:rsidRPr="00FF0208">
              <w:t xml:space="preserve"> 00</w:t>
            </w:r>
            <w:r w:rsidRPr="00FF0208">
              <w:t xml:space="preserve"> à 15 h</w:t>
            </w:r>
            <w:bookmarkEnd w:id="10"/>
            <w:r w:rsidR="004D06B5" w:rsidRPr="00FF0208">
              <w:t xml:space="preserve"> 00</w:t>
            </w:r>
          </w:p>
          <w:p w14:paraId="5287332B" w14:textId="59EACCFE" w:rsidR="00520F36" w:rsidRPr="00FF0208" w:rsidRDefault="006E61C5" w:rsidP="006E61C5">
            <w:pPr>
              <w:jc w:val="center"/>
            </w:pPr>
            <w:bookmarkStart w:id="11" w:name="lt_pId013"/>
            <w:r w:rsidRPr="00FF0208">
              <w:rPr>
                <w:b/>
                <w:bCs/>
              </w:rPr>
              <w:t xml:space="preserve">Président: </w:t>
            </w:r>
            <w:r w:rsidRPr="00FF0208">
              <w:rPr>
                <w:bCs/>
              </w:rPr>
              <w:t>M. S. BIN GHELAITA (Émirats arabes unis)</w:t>
            </w:r>
            <w:bookmarkEnd w:id="11"/>
          </w:p>
        </w:tc>
      </w:tr>
      <w:bookmarkEnd w:id="7"/>
    </w:tbl>
    <w:p w14:paraId="49A1789B" w14:textId="77777777" w:rsidR="006E61C5" w:rsidRPr="00FF0208" w:rsidRDefault="006E61C5" w:rsidP="006E61C5"/>
    <w:tbl>
      <w:tblPr>
        <w:tblW w:w="5221" w:type="pct"/>
        <w:tblLook w:val="0000" w:firstRow="0" w:lastRow="0" w:firstColumn="0" w:lastColumn="0" w:noHBand="0" w:noVBand="0"/>
      </w:tblPr>
      <w:tblGrid>
        <w:gridCol w:w="505"/>
        <w:gridCol w:w="7575"/>
        <w:gridCol w:w="1985"/>
      </w:tblGrid>
      <w:tr w:rsidR="006E61C5" w:rsidRPr="00FF0208" w14:paraId="33D8E317" w14:textId="77777777" w:rsidTr="009E4E4F">
        <w:tc>
          <w:tcPr>
            <w:tcW w:w="251" w:type="pct"/>
          </w:tcPr>
          <w:p w14:paraId="529CB01E" w14:textId="77777777" w:rsidR="006E61C5" w:rsidRPr="00FF0208" w:rsidRDefault="006E61C5" w:rsidP="006E61C5">
            <w:pPr>
              <w:pStyle w:val="Tablehead"/>
            </w:pPr>
            <w:r w:rsidRPr="00FF0208">
              <w:br w:type="page"/>
            </w:r>
            <w:r w:rsidRPr="00FF0208">
              <w:br w:type="page"/>
            </w:r>
          </w:p>
        </w:tc>
        <w:tc>
          <w:tcPr>
            <w:tcW w:w="3763" w:type="pct"/>
          </w:tcPr>
          <w:p w14:paraId="601D589F" w14:textId="77777777" w:rsidR="006E61C5" w:rsidRPr="00FF0208" w:rsidRDefault="006E61C5" w:rsidP="006E61C5">
            <w:pPr>
              <w:pStyle w:val="Tablehead"/>
              <w:jc w:val="left"/>
            </w:pPr>
            <w:bookmarkStart w:id="12" w:name="lt_pId014"/>
            <w:r w:rsidRPr="00FF0208">
              <w:t>Sujets traités</w:t>
            </w:r>
            <w:bookmarkEnd w:id="12"/>
          </w:p>
        </w:tc>
        <w:tc>
          <w:tcPr>
            <w:tcW w:w="986" w:type="pct"/>
          </w:tcPr>
          <w:p w14:paraId="60DDB0EA" w14:textId="77777777" w:rsidR="006E61C5" w:rsidRPr="00FF0208" w:rsidRDefault="006E61C5" w:rsidP="006E61C5">
            <w:pPr>
              <w:pStyle w:val="Tablehead"/>
            </w:pPr>
            <w:bookmarkStart w:id="13" w:name="lt_pId015"/>
            <w:r w:rsidRPr="00FF0208">
              <w:t>Documents</w:t>
            </w:r>
            <w:bookmarkEnd w:id="13"/>
          </w:p>
        </w:tc>
      </w:tr>
      <w:tr w:rsidR="006E61C5" w:rsidRPr="00FF0208" w14:paraId="2D28D373" w14:textId="77777777" w:rsidTr="009E4E4F">
        <w:tc>
          <w:tcPr>
            <w:tcW w:w="251" w:type="pct"/>
          </w:tcPr>
          <w:p w14:paraId="228CBA48" w14:textId="77777777" w:rsidR="006E61C5" w:rsidRPr="00FF0208" w:rsidRDefault="006E61C5" w:rsidP="006E61C5">
            <w:pPr>
              <w:pStyle w:val="Tabletext"/>
            </w:pPr>
            <w:r w:rsidRPr="00FF0208">
              <w:t>1</w:t>
            </w:r>
          </w:p>
        </w:tc>
        <w:tc>
          <w:tcPr>
            <w:tcW w:w="3763" w:type="pct"/>
          </w:tcPr>
          <w:p w14:paraId="0BD3163B" w14:textId="77777777" w:rsidR="006E61C5" w:rsidRPr="00FF0208" w:rsidRDefault="006E61C5" w:rsidP="006E61C5">
            <w:pPr>
              <w:pStyle w:val="Tabletext"/>
            </w:pPr>
            <w:bookmarkStart w:id="14" w:name="lt_pId017"/>
            <w:r w:rsidRPr="00FF0208">
              <w:t>Résultats des discussions menées le 14 juin 2021</w:t>
            </w:r>
            <w:bookmarkEnd w:id="14"/>
          </w:p>
        </w:tc>
        <w:tc>
          <w:tcPr>
            <w:tcW w:w="986" w:type="pct"/>
          </w:tcPr>
          <w:p w14:paraId="3C088025" w14:textId="77777777" w:rsidR="006E61C5" w:rsidRPr="00FF0208" w:rsidRDefault="007C2BEF" w:rsidP="006E61C5">
            <w:pPr>
              <w:pStyle w:val="Tabletext"/>
              <w:jc w:val="center"/>
            </w:pPr>
            <w:hyperlink r:id="rId8" w:history="1">
              <w:bookmarkStart w:id="15" w:name="lt_pId018"/>
              <w:r w:rsidR="006E61C5" w:rsidRPr="00FF0208">
                <w:rPr>
                  <w:rStyle w:val="Hyperlink"/>
                </w:rPr>
                <w:t>C21/DT/1(Rév.4)</w:t>
              </w:r>
              <w:bookmarkEnd w:id="15"/>
            </w:hyperlink>
          </w:p>
        </w:tc>
      </w:tr>
      <w:tr w:rsidR="006E61C5" w:rsidRPr="00FF0208" w14:paraId="566F3CCF" w14:textId="77777777" w:rsidTr="009E4E4F">
        <w:tc>
          <w:tcPr>
            <w:tcW w:w="251" w:type="pct"/>
          </w:tcPr>
          <w:p w14:paraId="1244AB9C" w14:textId="77777777" w:rsidR="006E61C5" w:rsidRPr="00FF0208" w:rsidRDefault="006E61C5" w:rsidP="006E61C5">
            <w:pPr>
              <w:pStyle w:val="Tabletext"/>
            </w:pPr>
            <w:r w:rsidRPr="00FF0208">
              <w:t>2</w:t>
            </w:r>
          </w:p>
        </w:tc>
        <w:tc>
          <w:tcPr>
            <w:tcW w:w="3763" w:type="pct"/>
          </w:tcPr>
          <w:p w14:paraId="6F78486D" w14:textId="77777777" w:rsidR="006E61C5" w:rsidRPr="00FF0208" w:rsidRDefault="006E61C5" w:rsidP="006E61C5">
            <w:pPr>
              <w:pStyle w:val="Tabletext"/>
            </w:pPr>
            <w:bookmarkStart w:id="16" w:name="lt_pId020"/>
            <w:r w:rsidRPr="00FF0208">
              <w:rPr>
                <w:bCs/>
              </w:rPr>
              <w:t>Fonds pour le développement des technologies de l'information et de la communication</w:t>
            </w:r>
            <w:bookmarkEnd w:id="16"/>
          </w:p>
        </w:tc>
        <w:tc>
          <w:tcPr>
            <w:tcW w:w="986" w:type="pct"/>
          </w:tcPr>
          <w:p w14:paraId="747F65BF" w14:textId="77777777" w:rsidR="006E61C5" w:rsidRPr="00FF0208" w:rsidRDefault="007C2BEF" w:rsidP="006E61C5">
            <w:pPr>
              <w:pStyle w:val="Tabletext"/>
              <w:jc w:val="center"/>
            </w:pPr>
            <w:hyperlink r:id="rId9" w:history="1">
              <w:bookmarkStart w:id="17" w:name="lt_pId021"/>
              <w:r w:rsidR="006E61C5" w:rsidRPr="00FF0208">
                <w:rPr>
                  <w:rStyle w:val="Hyperlink"/>
                </w:rPr>
                <w:t>C21/34</w:t>
              </w:r>
              <w:bookmarkEnd w:id="17"/>
            </w:hyperlink>
          </w:p>
        </w:tc>
      </w:tr>
      <w:tr w:rsidR="006E61C5" w:rsidRPr="00FF0208" w14:paraId="2E7011C4" w14:textId="77777777" w:rsidTr="009E4E4F">
        <w:tc>
          <w:tcPr>
            <w:tcW w:w="251" w:type="pct"/>
          </w:tcPr>
          <w:p w14:paraId="047CA4C0" w14:textId="77777777" w:rsidR="006E61C5" w:rsidRPr="00FF0208" w:rsidRDefault="006E61C5" w:rsidP="006E61C5">
            <w:pPr>
              <w:pStyle w:val="Tabletext"/>
            </w:pPr>
            <w:r w:rsidRPr="00FF0208">
              <w:t>3</w:t>
            </w:r>
          </w:p>
        </w:tc>
        <w:tc>
          <w:tcPr>
            <w:tcW w:w="3763" w:type="pct"/>
          </w:tcPr>
          <w:p w14:paraId="3CC8FB2B" w14:textId="77777777" w:rsidR="006E61C5" w:rsidRPr="00FF0208" w:rsidRDefault="006E61C5" w:rsidP="006E61C5">
            <w:pPr>
              <w:pStyle w:val="Tabletext"/>
            </w:pPr>
            <w:bookmarkStart w:id="18" w:name="lt_pId023"/>
            <w:r w:rsidRPr="00FF0208">
              <w:t>Renforcement de la présence régionale</w:t>
            </w:r>
            <w:bookmarkEnd w:id="18"/>
          </w:p>
        </w:tc>
        <w:tc>
          <w:tcPr>
            <w:tcW w:w="986" w:type="pct"/>
          </w:tcPr>
          <w:p w14:paraId="05587AEA" w14:textId="77777777" w:rsidR="006E61C5" w:rsidRPr="00FF0208" w:rsidRDefault="007C2BEF" w:rsidP="006E61C5">
            <w:pPr>
              <w:pStyle w:val="Tabletext"/>
              <w:jc w:val="center"/>
            </w:pPr>
            <w:hyperlink r:id="rId10" w:history="1">
              <w:bookmarkStart w:id="19" w:name="lt_pId024"/>
              <w:r w:rsidR="006E61C5" w:rsidRPr="00FF0208">
                <w:rPr>
                  <w:rStyle w:val="Hyperlink"/>
                </w:rPr>
                <w:t>C21/25</w:t>
              </w:r>
              <w:bookmarkEnd w:id="19"/>
            </w:hyperlink>
          </w:p>
        </w:tc>
      </w:tr>
      <w:tr w:rsidR="006E61C5" w:rsidRPr="00FF0208" w14:paraId="2ECD8DB0" w14:textId="77777777" w:rsidTr="009E4E4F">
        <w:tc>
          <w:tcPr>
            <w:tcW w:w="251" w:type="pct"/>
          </w:tcPr>
          <w:p w14:paraId="1C664CDE" w14:textId="77777777" w:rsidR="006E61C5" w:rsidRPr="00FF0208" w:rsidRDefault="006E61C5" w:rsidP="006E61C5">
            <w:pPr>
              <w:pStyle w:val="Tabletext"/>
            </w:pPr>
            <w:r w:rsidRPr="00FF0208">
              <w:t>4</w:t>
            </w:r>
          </w:p>
        </w:tc>
        <w:tc>
          <w:tcPr>
            <w:tcW w:w="3763" w:type="pct"/>
          </w:tcPr>
          <w:p w14:paraId="1B9FB120" w14:textId="77777777" w:rsidR="006E61C5" w:rsidRPr="00FF0208" w:rsidRDefault="006E61C5" w:rsidP="006E61C5">
            <w:pPr>
              <w:pStyle w:val="Tabletext"/>
            </w:pPr>
            <w:bookmarkStart w:id="20" w:name="lt_pId026"/>
            <w:r w:rsidRPr="00FF0208">
              <w:t>Rapport décrivant la façon dont le cadre offert par le Programme mondial cybersécurité est actuellement utilisé par l'UIT</w:t>
            </w:r>
            <w:bookmarkEnd w:id="20"/>
          </w:p>
        </w:tc>
        <w:tc>
          <w:tcPr>
            <w:tcW w:w="986" w:type="pct"/>
          </w:tcPr>
          <w:p w14:paraId="585ACF3F" w14:textId="77777777" w:rsidR="006E61C5" w:rsidRPr="00FF0208" w:rsidRDefault="007C2BEF" w:rsidP="006E61C5">
            <w:pPr>
              <w:pStyle w:val="Tabletext"/>
              <w:jc w:val="center"/>
            </w:pPr>
            <w:hyperlink r:id="rId11" w:history="1">
              <w:bookmarkStart w:id="21" w:name="lt_pId027"/>
              <w:r w:rsidR="006E61C5" w:rsidRPr="00FF0208">
                <w:rPr>
                  <w:rStyle w:val="Hyperlink"/>
                </w:rPr>
                <w:t>C21/36</w:t>
              </w:r>
              <w:bookmarkEnd w:id="21"/>
            </w:hyperlink>
          </w:p>
        </w:tc>
      </w:tr>
      <w:tr w:rsidR="006E61C5" w:rsidRPr="00FF0208" w14:paraId="0BC0FB39" w14:textId="77777777" w:rsidTr="009E4E4F">
        <w:tc>
          <w:tcPr>
            <w:tcW w:w="251" w:type="pct"/>
          </w:tcPr>
          <w:p w14:paraId="1EC15EB3" w14:textId="77777777" w:rsidR="006E61C5" w:rsidRPr="00FF0208" w:rsidRDefault="006E61C5" w:rsidP="006E61C5">
            <w:pPr>
              <w:pStyle w:val="Tabletext"/>
            </w:pPr>
            <w:r w:rsidRPr="00FF0208">
              <w:t>5</w:t>
            </w:r>
          </w:p>
        </w:tc>
        <w:tc>
          <w:tcPr>
            <w:tcW w:w="3763" w:type="pct"/>
          </w:tcPr>
          <w:p w14:paraId="7B5AB09F" w14:textId="77777777" w:rsidR="006E61C5" w:rsidRPr="00FF0208" w:rsidRDefault="006E61C5" w:rsidP="006E61C5">
            <w:pPr>
              <w:pStyle w:val="Tabletext"/>
            </w:pPr>
            <w:bookmarkStart w:id="22" w:name="lt_pId029"/>
            <w:r w:rsidRPr="00FF0208">
              <w:t xml:space="preserve">Lignes directrices relatives à l'utilisation par l'UIT du cadre offert par le Programme mondial cybersécurité </w:t>
            </w:r>
            <w:bookmarkEnd w:id="22"/>
          </w:p>
        </w:tc>
        <w:bookmarkStart w:id="23" w:name="lt_pId030"/>
        <w:tc>
          <w:tcPr>
            <w:tcW w:w="986" w:type="pct"/>
          </w:tcPr>
          <w:p w14:paraId="6136BB6C" w14:textId="77777777" w:rsidR="006E61C5" w:rsidRPr="00FF0208" w:rsidRDefault="006E61C5" w:rsidP="006E61C5">
            <w:pPr>
              <w:pStyle w:val="Tabletext"/>
              <w:jc w:val="center"/>
            </w:pPr>
            <w:r w:rsidRPr="00FF0208">
              <w:fldChar w:fldCharType="begin"/>
            </w:r>
            <w:r w:rsidRPr="00FF0208">
              <w:instrText xml:space="preserve"> HYPERLINK "https://www.itu.int/md/S21-CL-C-0071/en" </w:instrText>
            </w:r>
            <w:r w:rsidRPr="00FF0208">
              <w:fldChar w:fldCharType="separate"/>
            </w:r>
            <w:r w:rsidRPr="00FF0208">
              <w:rPr>
                <w:rStyle w:val="Hyperlink"/>
              </w:rPr>
              <w:t>C21/71</w:t>
            </w:r>
            <w:r w:rsidRPr="00FF0208">
              <w:fldChar w:fldCharType="end"/>
            </w:r>
            <w:r w:rsidRPr="00FF0208">
              <w:t xml:space="preserve">, </w:t>
            </w:r>
            <w:hyperlink r:id="rId12" w:history="1">
              <w:r w:rsidRPr="00FF0208">
                <w:rPr>
                  <w:rStyle w:val="Hyperlink"/>
                </w:rPr>
                <w:t>C21/82</w:t>
              </w:r>
            </w:hyperlink>
            <w:bookmarkEnd w:id="23"/>
          </w:p>
        </w:tc>
      </w:tr>
      <w:tr w:rsidR="006E61C5" w:rsidRPr="00FF0208" w14:paraId="46F1D0B5" w14:textId="77777777" w:rsidTr="009E4E4F">
        <w:tc>
          <w:tcPr>
            <w:tcW w:w="251" w:type="pct"/>
          </w:tcPr>
          <w:p w14:paraId="05727D25" w14:textId="77777777" w:rsidR="006E61C5" w:rsidRPr="00FF0208" w:rsidRDefault="006E61C5" w:rsidP="006E61C5">
            <w:pPr>
              <w:pStyle w:val="Tabletext"/>
            </w:pPr>
            <w:r w:rsidRPr="00FF0208">
              <w:t>6</w:t>
            </w:r>
          </w:p>
        </w:tc>
        <w:tc>
          <w:tcPr>
            <w:tcW w:w="3763" w:type="pct"/>
          </w:tcPr>
          <w:p w14:paraId="1437BA34" w14:textId="77777777" w:rsidR="006E61C5" w:rsidRPr="00FF0208" w:rsidRDefault="006E61C5" w:rsidP="006E61C5">
            <w:pPr>
              <w:pStyle w:val="Tabletext"/>
            </w:pPr>
            <w:bookmarkStart w:id="24" w:name="lt_pId032"/>
            <w:r w:rsidRPr="00FF0208">
              <w:t>Rapport du Bureau de l'éthique</w:t>
            </w:r>
            <w:bookmarkEnd w:id="24"/>
          </w:p>
        </w:tc>
        <w:tc>
          <w:tcPr>
            <w:tcW w:w="986" w:type="pct"/>
          </w:tcPr>
          <w:p w14:paraId="38EF147D" w14:textId="77777777" w:rsidR="006E61C5" w:rsidRPr="00FF0208" w:rsidRDefault="007C2BEF" w:rsidP="006E61C5">
            <w:pPr>
              <w:pStyle w:val="Tabletext"/>
              <w:jc w:val="center"/>
            </w:pPr>
            <w:hyperlink r:id="rId13" w:history="1">
              <w:bookmarkStart w:id="25" w:name="lt_pId033"/>
              <w:r w:rsidR="006E61C5" w:rsidRPr="00FF0208">
                <w:rPr>
                  <w:rStyle w:val="Hyperlink"/>
                </w:rPr>
                <w:t>C21/59</w:t>
              </w:r>
              <w:bookmarkEnd w:id="25"/>
            </w:hyperlink>
          </w:p>
        </w:tc>
      </w:tr>
      <w:tr w:rsidR="006E61C5" w:rsidRPr="00FF0208" w14:paraId="2E8F83E2" w14:textId="77777777" w:rsidTr="009E4E4F">
        <w:tc>
          <w:tcPr>
            <w:tcW w:w="251" w:type="pct"/>
          </w:tcPr>
          <w:p w14:paraId="45E08CAA" w14:textId="77777777" w:rsidR="006E61C5" w:rsidRPr="00FF0208" w:rsidRDefault="006E61C5" w:rsidP="006E61C5">
            <w:pPr>
              <w:pStyle w:val="Tabletext"/>
            </w:pPr>
            <w:r w:rsidRPr="00FF0208">
              <w:t>7</w:t>
            </w:r>
          </w:p>
        </w:tc>
        <w:tc>
          <w:tcPr>
            <w:tcW w:w="3763" w:type="pct"/>
          </w:tcPr>
          <w:p w14:paraId="52813896" w14:textId="77777777" w:rsidR="006E61C5" w:rsidRPr="00FF0208" w:rsidRDefault="006E61C5" w:rsidP="006E61C5">
            <w:pPr>
              <w:pStyle w:val="Tabletext"/>
            </w:pPr>
            <w:bookmarkStart w:id="26" w:name="lt_pId035"/>
            <w:r w:rsidRPr="00FF0208">
              <w:t>Passifs de l'assurance maladie après la cessation de service (ASHI)</w:t>
            </w:r>
            <w:bookmarkEnd w:id="26"/>
          </w:p>
        </w:tc>
        <w:tc>
          <w:tcPr>
            <w:tcW w:w="986" w:type="pct"/>
          </w:tcPr>
          <w:p w14:paraId="4264C2BC" w14:textId="77777777" w:rsidR="006E61C5" w:rsidRPr="00FF0208" w:rsidRDefault="007C2BEF" w:rsidP="006E61C5">
            <w:pPr>
              <w:pStyle w:val="Tabletext"/>
              <w:jc w:val="center"/>
            </w:pPr>
            <w:hyperlink r:id="rId14" w:history="1">
              <w:bookmarkStart w:id="27" w:name="lt_pId036"/>
              <w:r w:rsidR="006E61C5" w:rsidRPr="00FF0208">
                <w:rPr>
                  <w:rStyle w:val="Hyperlink"/>
                </w:rPr>
                <w:t>C21/46</w:t>
              </w:r>
              <w:bookmarkEnd w:id="27"/>
            </w:hyperlink>
          </w:p>
        </w:tc>
      </w:tr>
      <w:tr w:rsidR="006E61C5" w:rsidRPr="00FF0208" w14:paraId="095410BA" w14:textId="77777777" w:rsidTr="009E4E4F">
        <w:tc>
          <w:tcPr>
            <w:tcW w:w="251" w:type="pct"/>
          </w:tcPr>
          <w:p w14:paraId="52C349EB" w14:textId="77777777" w:rsidR="006E61C5" w:rsidRPr="00FF0208" w:rsidRDefault="006E61C5" w:rsidP="006E61C5">
            <w:pPr>
              <w:pStyle w:val="Tabletext"/>
            </w:pPr>
            <w:r w:rsidRPr="00FF0208">
              <w:t>8</w:t>
            </w:r>
          </w:p>
        </w:tc>
        <w:tc>
          <w:tcPr>
            <w:tcW w:w="3763" w:type="pct"/>
          </w:tcPr>
          <w:p w14:paraId="28F7ADE4" w14:textId="77777777" w:rsidR="006E61C5" w:rsidRPr="00FF0208" w:rsidRDefault="006E61C5" w:rsidP="006E61C5">
            <w:pPr>
              <w:pStyle w:val="Tabletext"/>
            </w:pPr>
            <w:bookmarkStart w:id="28" w:name="lt_pId038"/>
            <w:r w:rsidRPr="00FF0208">
              <w:t>Indice de développement des TIC</w:t>
            </w:r>
            <w:bookmarkEnd w:id="28"/>
          </w:p>
        </w:tc>
        <w:bookmarkStart w:id="29" w:name="lt_pId039"/>
        <w:tc>
          <w:tcPr>
            <w:tcW w:w="986" w:type="pct"/>
          </w:tcPr>
          <w:p w14:paraId="40D6BE6C" w14:textId="77777777" w:rsidR="006E61C5" w:rsidRPr="00FF0208" w:rsidRDefault="006E61C5" w:rsidP="006E61C5">
            <w:pPr>
              <w:pStyle w:val="Tabletext"/>
              <w:jc w:val="center"/>
            </w:pPr>
            <w:r w:rsidRPr="00FF0208">
              <w:fldChar w:fldCharType="begin"/>
            </w:r>
            <w:r w:rsidRPr="00FF0208">
              <w:instrText xml:space="preserve"> HYPERLINK "https://www.itu.int/md/S21-CL-C-0062/en" </w:instrText>
            </w:r>
            <w:r w:rsidRPr="00FF0208">
              <w:fldChar w:fldCharType="separate"/>
            </w:r>
            <w:r w:rsidRPr="00FF0208">
              <w:rPr>
                <w:rStyle w:val="Hyperlink"/>
              </w:rPr>
              <w:t>C21/62</w:t>
            </w:r>
            <w:r w:rsidRPr="00FF0208">
              <w:fldChar w:fldCharType="end"/>
            </w:r>
            <w:r w:rsidRPr="00FF0208">
              <w:t xml:space="preserve">, </w:t>
            </w:r>
            <w:hyperlink r:id="rId15" w:history="1">
              <w:r w:rsidRPr="00FF0208">
                <w:rPr>
                  <w:rStyle w:val="Hyperlink"/>
                </w:rPr>
                <w:t>C21/80</w:t>
              </w:r>
            </w:hyperlink>
            <w:bookmarkEnd w:id="29"/>
          </w:p>
        </w:tc>
      </w:tr>
      <w:tr w:rsidR="006E61C5" w:rsidRPr="00FF0208" w14:paraId="55BAA432" w14:textId="77777777" w:rsidTr="009E4E4F">
        <w:tc>
          <w:tcPr>
            <w:tcW w:w="251" w:type="pct"/>
          </w:tcPr>
          <w:p w14:paraId="79125ABA" w14:textId="77777777" w:rsidR="006E61C5" w:rsidRPr="00FF0208" w:rsidRDefault="006E61C5" w:rsidP="006E61C5">
            <w:pPr>
              <w:pStyle w:val="Tabletext"/>
            </w:pPr>
            <w:r w:rsidRPr="00FF0208">
              <w:t>9</w:t>
            </w:r>
          </w:p>
        </w:tc>
        <w:tc>
          <w:tcPr>
            <w:tcW w:w="3763" w:type="pct"/>
          </w:tcPr>
          <w:p w14:paraId="502F8363" w14:textId="77777777" w:rsidR="006E61C5" w:rsidRPr="00FF0208" w:rsidRDefault="006E61C5" w:rsidP="006E61C5">
            <w:pPr>
              <w:pStyle w:val="Tabletext"/>
            </w:pPr>
            <w:bookmarkStart w:id="30" w:name="lt_pId041"/>
            <w:r w:rsidRPr="00FF0208">
              <w:t>Résultats de la CMR-19 ayant des incidences financières</w:t>
            </w:r>
            <w:bookmarkEnd w:id="30"/>
          </w:p>
        </w:tc>
        <w:tc>
          <w:tcPr>
            <w:tcW w:w="986" w:type="pct"/>
          </w:tcPr>
          <w:p w14:paraId="49D04382" w14:textId="77777777" w:rsidR="006E61C5" w:rsidRPr="00FF0208" w:rsidRDefault="007C2BEF" w:rsidP="006E61C5">
            <w:pPr>
              <w:pStyle w:val="Tabletext"/>
              <w:jc w:val="center"/>
            </w:pPr>
            <w:hyperlink r:id="rId16" w:history="1">
              <w:bookmarkStart w:id="31" w:name="lt_pId042"/>
              <w:r w:rsidR="006E61C5" w:rsidRPr="00FF0208">
                <w:rPr>
                  <w:rStyle w:val="Hyperlink"/>
                </w:rPr>
                <w:t>C21/67</w:t>
              </w:r>
              <w:bookmarkEnd w:id="31"/>
            </w:hyperlink>
          </w:p>
        </w:tc>
      </w:tr>
      <w:tr w:rsidR="006E61C5" w:rsidRPr="00FF0208" w14:paraId="239D49E9" w14:textId="77777777" w:rsidTr="009E4E4F">
        <w:tc>
          <w:tcPr>
            <w:tcW w:w="251" w:type="pct"/>
          </w:tcPr>
          <w:p w14:paraId="743A076D" w14:textId="77777777" w:rsidR="006E61C5" w:rsidRPr="00FF0208" w:rsidRDefault="006E61C5" w:rsidP="006E61C5">
            <w:pPr>
              <w:pStyle w:val="Tabletext"/>
            </w:pPr>
            <w:r w:rsidRPr="00FF0208">
              <w:t>10</w:t>
            </w:r>
          </w:p>
        </w:tc>
        <w:tc>
          <w:tcPr>
            <w:tcW w:w="3763" w:type="pct"/>
          </w:tcPr>
          <w:p w14:paraId="713BC4B3" w14:textId="77777777" w:rsidR="006E61C5" w:rsidRPr="00FF0208" w:rsidRDefault="006E61C5" w:rsidP="006E61C5">
            <w:pPr>
              <w:pStyle w:val="Tabletext"/>
            </w:pPr>
            <w:bookmarkStart w:id="32" w:name="lt_pId044"/>
            <w:r w:rsidRPr="00FF0208">
              <w:t>Demandes d'exonération des contributions au financement des dépenses de l'Union</w:t>
            </w:r>
            <w:bookmarkEnd w:id="32"/>
          </w:p>
        </w:tc>
        <w:tc>
          <w:tcPr>
            <w:tcW w:w="986" w:type="pct"/>
          </w:tcPr>
          <w:p w14:paraId="1CF5FAA5" w14:textId="77777777" w:rsidR="006E61C5" w:rsidRPr="00FF0208" w:rsidRDefault="007C2BEF" w:rsidP="006E61C5">
            <w:pPr>
              <w:pStyle w:val="Tabletext"/>
              <w:jc w:val="center"/>
            </w:pPr>
            <w:hyperlink r:id="rId17" w:history="1">
              <w:bookmarkStart w:id="33" w:name="lt_pId045"/>
              <w:r w:rsidR="006E61C5" w:rsidRPr="00FF0208">
                <w:rPr>
                  <w:rStyle w:val="Hyperlink"/>
                </w:rPr>
                <w:t>C21/39+Add.1</w:t>
              </w:r>
              <w:bookmarkEnd w:id="33"/>
            </w:hyperlink>
          </w:p>
        </w:tc>
      </w:tr>
      <w:tr w:rsidR="006E61C5" w:rsidRPr="00FF0208" w14:paraId="430EE9B6" w14:textId="77777777" w:rsidTr="009E4E4F">
        <w:tc>
          <w:tcPr>
            <w:tcW w:w="251" w:type="pct"/>
          </w:tcPr>
          <w:p w14:paraId="64292B6F" w14:textId="77777777" w:rsidR="006E61C5" w:rsidRPr="00FF0208" w:rsidRDefault="006E61C5" w:rsidP="006E61C5">
            <w:pPr>
              <w:pStyle w:val="Tabletext"/>
            </w:pPr>
            <w:r w:rsidRPr="00FF0208">
              <w:t>11</w:t>
            </w:r>
          </w:p>
        </w:tc>
        <w:tc>
          <w:tcPr>
            <w:tcW w:w="3763" w:type="pct"/>
          </w:tcPr>
          <w:p w14:paraId="1A743F95" w14:textId="77777777" w:rsidR="006E61C5" w:rsidRPr="00FF0208" w:rsidRDefault="006E61C5" w:rsidP="006E61C5">
            <w:pPr>
              <w:pStyle w:val="Tabletext"/>
            </w:pPr>
            <w:bookmarkStart w:id="34" w:name="lt_pId047"/>
            <w:r w:rsidRPr="00FF0208">
              <w:t>Stratégie de coordination des efforts entre les trois Secteurs de l'Union</w:t>
            </w:r>
            <w:bookmarkEnd w:id="34"/>
          </w:p>
        </w:tc>
        <w:tc>
          <w:tcPr>
            <w:tcW w:w="986" w:type="pct"/>
          </w:tcPr>
          <w:p w14:paraId="78B7ED13" w14:textId="77777777" w:rsidR="006E61C5" w:rsidRPr="00FF0208" w:rsidRDefault="007C2BEF" w:rsidP="006E61C5">
            <w:pPr>
              <w:pStyle w:val="Tabletext"/>
              <w:jc w:val="center"/>
            </w:pPr>
            <w:hyperlink r:id="rId18" w:history="1">
              <w:bookmarkStart w:id="35" w:name="lt_pId048"/>
              <w:r w:rsidR="006E61C5" w:rsidRPr="00FF0208">
                <w:rPr>
                  <w:rStyle w:val="Hyperlink"/>
                </w:rPr>
                <w:t>C21/38</w:t>
              </w:r>
              <w:bookmarkEnd w:id="35"/>
            </w:hyperlink>
          </w:p>
        </w:tc>
      </w:tr>
      <w:tr w:rsidR="006E61C5" w:rsidRPr="00FF0208" w14:paraId="58BEEAB1" w14:textId="77777777" w:rsidTr="009E4E4F">
        <w:tc>
          <w:tcPr>
            <w:tcW w:w="251" w:type="pct"/>
          </w:tcPr>
          <w:p w14:paraId="2E28D60B" w14:textId="77777777" w:rsidR="006E61C5" w:rsidRPr="00FF0208" w:rsidRDefault="006E61C5" w:rsidP="006E61C5">
            <w:pPr>
              <w:pStyle w:val="Tabletext"/>
            </w:pPr>
            <w:r w:rsidRPr="00FF0208">
              <w:t>12</w:t>
            </w:r>
          </w:p>
        </w:tc>
        <w:tc>
          <w:tcPr>
            <w:tcW w:w="3763" w:type="pct"/>
          </w:tcPr>
          <w:p w14:paraId="6FA81F30" w14:textId="77777777" w:rsidR="006E61C5" w:rsidRPr="00FF0208" w:rsidRDefault="006E61C5" w:rsidP="006E61C5">
            <w:pPr>
              <w:pStyle w:val="Tabletext"/>
            </w:pPr>
            <w:bookmarkStart w:id="36" w:name="lt_pId050"/>
            <w:r w:rsidRPr="00FF0208">
              <w:t>Participation de l'UIT aux travaux du Comité mixte de la Caisse commune des pensions du personnel des Nations Unies</w:t>
            </w:r>
            <w:bookmarkEnd w:id="36"/>
          </w:p>
        </w:tc>
        <w:tc>
          <w:tcPr>
            <w:tcW w:w="986" w:type="pct"/>
          </w:tcPr>
          <w:p w14:paraId="1FC16150" w14:textId="77777777" w:rsidR="006E61C5" w:rsidRPr="00FF0208" w:rsidRDefault="007C2BEF" w:rsidP="006E61C5">
            <w:pPr>
              <w:pStyle w:val="Tabletext"/>
              <w:jc w:val="center"/>
            </w:pPr>
            <w:hyperlink r:id="rId19" w:history="1">
              <w:bookmarkStart w:id="37" w:name="lt_pId051"/>
              <w:r w:rsidR="006E61C5" w:rsidRPr="00FF0208">
                <w:rPr>
                  <w:rStyle w:val="Hyperlink"/>
                </w:rPr>
                <w:t>C21/69</w:t>
              </w:r>
              <w:bookmarkEnd w:id="37"/>
            </w:hyperlink>
          </w:p>
        </w:tc>
      </w:tr>
    </w:tbl>
    <w:p w14:paraId="61B60C01" w14:textId="77777777" w:rsidR="006E61C5" w:rsidRPr="00FF0208" w:rsidRDefault="006E61C5">
      <w:pPr>
        <w:tabs>
          <w:tab w:val="clear" w:pos="567"/>
          <w:tab w:val="clear" w:pos="1134"/>
          <w:tab w:val="clear" w:pos="1701"/>
          <w:tab w:val="clear" w:pos="2268"/>
          <w:tab w:val="clear" w:pos="2835"/>
        </w:tabs>
        <w:overflowPunct/>
        <w:autoSpaceDE/>
        <w:autoSpaceDN/>
        <w:adjustRightInd/>
        <w:spacing w:before="0"/>
        <w:textAlignment w:val="auto"/>
        <w:rPr>
          <w:b/>
        </w:rPr>
      </w:pPr>
      <w:r w:rsidRPr="00FF0208">
        <w:rPr>
          <w:b/>
        </w:rPr>
        <w:br w:type="page"/>
      </w:r>
    </w:p>
    <w:p w14:paraId="2F3E5DB8" w14:textId="7D007DA9" w:rsidR="006E61C5" w:rsidRPr="00FF0208" w:rsidRDefault="006E61C5" w:rsidP="007C2BEF">
      <w:pPr>
        <w:pStyle w:val="Heading1"/>
        <w:tabs>
          <w:tab w:val="clear" w:pos="567"/>
          <w:tab w:val="clear" w:pos="1134"/>
          <w:tab w:val="clear" w:pos="1701"/>
          <w:tab w:val="clear" w:pos="2268"/>
          <w:tab w:val="clear" w:pos="2835"/>
        </w:tabs>
        <w:ind w:left="709" w:hanging="709"/>
      </w:pPr>
      <w:r w:rsidRPr="00FF0208">
        <w:lastRenderedPageBreak/>
        <w:t>1</w:t>
      </w:r>
      <w:r w:rsidRPr="00FF0208">
        <w:tab/>
      </w:r>
      <w:bookmarkStart w:id="38" w:name="lt_pId053"/>
      <w:r w:rsidRPr="00FF0208">
        <w:t>Résultats des discussions menées le 14 juin 2021 (Document </w:t>
      </w:r>
      <w:hyperlink r:id="rId20" w:history="1">
        <w:r w:rsidRPr="00FF0208">
          <w:rPr>
            <w:rStyle w:val="Hyperlink"/>
          </w:rPr>
          <w:t>C21/DT/1(Rév.4)</w:t>
        </w:r>
      </w:hyperlink>
      <w:r w:rsidRPr="00FF0208">
        <w:t>)</w:t>
      </w:r>
      <w:bookmarkEnd w:id="38"/>
    </w:p>
    <w:p w14:paraId="069E3862" w14:textId="77777777" w:rsidR="006E61C5" w:rsidRPr="00FF0208" w:rsidRDefault="006E61C5" w:rsidP="007C2BEF">
      <w:pPr>
        <w:numPr>
          <w:ilvl w:val="1"/>
          <w:numId w:val="20"/>
        </w:numPr>
        <w:tabs>
          <w:tab w:val="clear" w:pos="567"/>
          <w:tab w:val="clear" w:pos="1134"/>
          <w:tab w:val="clear" w:pos="1701"/>
          <w:tab w:val="clear" w:pos="2268"/>
          <w:tab w:val="clear" w:pos="2835"/>
        </w:tabs>
      </w:pPr>
      <w:bookmarkStart w:id="39" w:name="lt_pId054"/>
      <w:r w:rsidRPr="00FF0208">
        <w:t xml:space="preserve">Il est </w:t>
      </w:r>
      <w:r w:rsidRPr="00FF0208">
        <w:rPr>
          <w:b/>
          <w:bCs/>
        </w:rPr>
        <w:t>pris note</w:t>
      </w:r>
      <w:r w:rsidRPr="00FF0208">
        <w:t xml:space="preserve"> du Document C21/DT/1(Rév.4).</w:t>
      </w:r>
      <w:bookmarkEnd w:id="39"/>
    </w:p>
    <w:p w14:paraId="7EE5C796" w14:textId="77777777" w:rsidR="006E61C5" w:rsidRPr="00FF0208" w:rsidRDefault="006E61C5" w:rsidP="007C2BEF">
      <w:pPr>
        <w:pStyle w:val="Heading1"/>
        <w:tabs>
          <w:tab w:val="clear" w:pos="567"/>
          <w:tab w:val="clear" w:pos="1134"/>
          <w:tab w:val="clear" w:pos="1701"/>
          <w:tab w:val="clear" w:pos="2268"/>
          <w:tab w:val="clear" w:pos="2835"/>
        </w:tabs>
        <w:ind w:left="709" w:hanging="709"/>
      </w:pPr>
      <w:r w:rsidRPr="00FF0208">
        <w:t>2</w:t>
      </w:r>
      <w:r w:rsidRPr="00FF0208">
        <w:tab/>
      </w:r>
      <w:bookmarkStart w:id="40" w:name="lt_pId056"/>
      <w:r w:rsidRPr="00FF0208">
        <w:t xml:space="preserve">Fonds pour le développement des technologies de l'information et de la communication (Document </w:t>
      </w:r>
      <w:hyperlink r:id="rId21" w:history="1">
        <w:r w:rsidRPr="00FF0208">
          <w:rPr>
            <w:rStyle w:val="Hyperlink"/>
            <w:bCs/>
          </w:rPr>
          <w:t>C21/34</w:t>
        </w:r>
      </w:hyperlink>
      <w:r w:rsidRPr="00FF0208">
        <w:t>)</w:t>
      </w:r>
      <w:bookmarkEnd w:id="40"/>
    </w:p>
    <w:p w14:paraId="5026CA57" w14:textId="20C102D5" w:rsidR="006E61C5" w:rsidRPr="00FF0208" w:rsidRDefault="006E61C5" w:rsidP="007C2BEF">
      <w:pPr>
        <w:tabs>
          <w:tab w:val="clear" w:pos="567"/>
          <w:tab w:val="clear" w:pos="1134"/>
          <w:tab w:val="clear" w:pos="1701"/>
          <w:tab w:val="clear" w:pos="2268"/>
          <w:tab w:val="clear" w:pos="2835"/>
        </w:tabs>
      </w:pPr>
      <w:r w:rsidRPr="00FF0208">
        <w:t>2.1</w:t>
      </w:r>
      <w:r w:rsidRPr="00FF0208">
        <w:tab/>
      </w:r>
      <w:bookmarkStart w:id="41" w:name="lt_pId058"/>
      <w:r w:rsidRPr="00FF0208">
        <w:t>Le représentant du BDT présente le Document C21/34, qui contient le rapport sur le Fonds pour le développement des technologies de l'information et de la communication (FDTIC).</w:t>
      </w:r>
      <w:bookmarkEnd w:id="41"/>
      <w:r w:rsidRPr="00FF0208">
        <w:t xml:space="preserve"> </w:t>
      </w:r>
      <w:bookmarkStart w:id="42" w:name="lt_pId059"/>
      <w:r w:rsidRPr="00FF0208">
        <w:t>Le rapport, qui a été élaboré initialement sous la cote C20/34 en vue de sa soumission à la session de</w:t>
      </w:r>
      <w:r w:rsidR="00C47851" w:rsidRPr="00FF0208">
        <w:t> </w:t>
      </w:r>
      <w:r w:rsidRPr="00FF0208">
        <w:t>2020 du Conseil, a été mis à jour afin de rendre compte des résultats des trois réunions que la Commission de direction du FDTIC a organisées en 2020 afin d'examiner trois projets.</w:t>
      </w:r>
      <w:bookmarkEnd w:id="42"/>
      <w:r w:rsidRPr="00FF0208">
        <w:t xml:space="preserve"> </w:t>
      </w:r>
      <w:bookmarkStart w:id="43" w:name="lt_pId060"/>
      <w:r w:rsidRPr="00FF0208">
        <w:t>En vertu des règles applicables, des financements extérieurs ont été mobilisés, comptant pour plus de 75% des fonds requis pour ces projets.</w:t>
      </w:r>
      <w:bookmarkEnd w:id="43"/>
      <w:r w:rsidRPr="00FF0208">
        <w:t xml:space="preserve"> </w:t>
      </w:r>
      <w:bookmarkStart w:id="44" w:name="lt_pId061"/>
      <w:r w:rsidRPr="00FF0208">
        <w:t xml:space="preserve">Malgré les incidences négatives de la pandémie de COVID-19 sur la mise en </w:t>
      </w:r>
      <w:r w:rsidR="00FF0208" w:rsidRPr="00FF0208">
        <w:t>œuvre</w:t>
      </w:r>
      <w:r w:rsidRPr="00FF0208">
        <w:t xml:space="preserve"> des projets, des mesures d'atténuation des effets ont</w:t>
      </w:r>
      <w:r w:rsidR="00713A81" w:rsidRPr="00FF0208">
        <w:t xml:space="preserve"> été prises et tous les projets </w:t>
      </w:r>
      <w:r w:rsidRPr="00FF0208">
        <w:t>sont en cours.</w:t>
      </w:r>
      <w:bookmarkEnd w:id="44"/>
      <w:r w:rsidRPr="00FF0208">
        <w:t xml:space="preserve"> </w:t>
      </w:r>
      <w:bookmarkStart w:id="45" w:name="lt_pId062"/>
      <w:r w:rsidRPr="00FF0208">
        <w:t>Au 31 décembre 2020, le solde du FDT</w:t>
      </w:r>
      <w:r w:rsidR="00713A81" w:rsidRPr="00FF0208">
        <w:t>IC était légèrement supérieur à </w:t>
      </w:r>
      <w:r w:rsidRPr="00FF0208">
        <w:t>4,1</w:t>
      </w:r>
      <w:r w:rsidR="00C47851" w:rsidRPr="00FF0208">
        <w:t> </w:t>
      </w:r>
      <w:r w:rsidRPr="00FF0208">
        <w:t>millions</w:t>
      </w:r>
      <w:r w:rsidR="00C47851" w:rsidRPr="00FF0208">
        <w:t> </w:t>
      </w:r>
      <w:r w:rsidRPr="00FF0208">
        <w:t>USD.</w:t>
      </w:r>
      <w:bookmarkEnd w:id="45"/>
      <w:r w:rsidRPr="00FF0208">
        <w:t xml:space="preserve"> </w:t>
      </w:r>
      <w:bookmarkStart w:id="46" w:name="lt_pId063"/>
      <w:r w:rsidRPr="00FF0208">
        <w:t>Étant donné que les ressources du Fonds sont générées par les recettes tirées des manifestations ITU Telecom, lesquelles ont diminué progressivement, une étude est menée actuellement pour explorer la façon de diversifier les sources de financement.</w:t>
      </w:r>
      <w:bookmarkEnd w:id="46"/>
    </w:p>
    <w:p w14:paraId="7B2D4764" w14:textId="5735DEEE" w:rsidR="006E61C5" w:rsidRPr="00FF0208" w:rsidRDefault="006E61C5" w:rsidP="007C2BEF">
      <w:pPr>
        <w:tabs>
          <w:tab w:val="clear" w:pos="567"/>
          <w:tab w:val="clear" w:pos="1134"/>
          <w:tab w:val="clear" w:pos="1701"/>
          <w:tab w:val="clear" w:pos="2268"/>
          <w:tab w:val="clear" w:pos="2835"/>
        </w:tabs>
      </w:pPr>
      <w:r w:rsidRPr="00FF0208">
        <w:t>2.2</w:t>
      </w:r>
      <w:r w:rsidRPr="00FF0208">
        <w:tab/>
      </w:r>
      <w:bookmarkStart w:id="47" w:name="lt_pId065"/>
      <w:r w:rsidRPr="00FF0208">
        <w:t xml:space="preserve">Les Conseillers se félicitent de ce rapport exhaustif et soulignent qu'il est important de suivre efficacement la mise en </w:t>
      </w:r>
      <w:r w:rsidR="00FF0208" w:rsidRPr="00FF0208">
        <w:t>œuvre</w:t>
      </w:r>
      <w:r w:rsidRPr="00FF0208">
        <w:t xml:space="preserve"> et les résultats budgétaires des projets appuyés par le FDTIC.</w:t>
      </w:r>
      <w:bookmarkEnd w:id="47"/>
      <w:r w:rsidRPr="00FF0208">
        <w:t xml:space="preserve"> </w:t>
      </w:r>
      <w:bookmarkStart w:id="48" w:name="lt_pId066"/>
      <w:r w:rsidRPr="00FF0208">
        <w:t xml:space="preserve">Des précisions sont demandées quant à la question de savoir si le budget pour le projet relatif aux centres de transformation numérique comprend la mise en </w:t>
      </w:r>
      <w:r w:rsidR="00FF0208" w:rsidRPr="00FF0208">
        <w:t>œuvre</w:t>
      </w:r>
      <w:r w:rsidRPr="00FF0208">
        <w:t xml:space="preserve"> du programme dans les pays; le projet est déjà en cours dans certains pays et produit des effets positifs.</w:t>
      </w:r>
      <w:bookmarkEnd w:id="48"/>
      <w:r w:rsidRPr="00FF0208">
        <w:t xml:space="preserve"> </w:t>
      </w:r>
      <w:bookmarkStart w:id="49" w:name="lt_pId067"/>
      <w:r w:rsidRPr="00FF0208">
        <w:t xml:space="preserve">Une Conseillère se réfère au § 3.4 du rapport, qui porte sur la restitution au FDTIC de certains financements attribués pour la mise en </w:t>
      </w:r>
      <w:r w:rsidR="00FF0208" w:rsidRPr="00FF0208">
        <w:t>œuvre</w:t>
      </w:r>
      <w:r w:rsidRPr="00FF0208">
        <w:t xml:space="preserve"> de projets de développement pour lesquels aucun partenaire extérieur n'a été trouvé pour le financement, et demande des précisions quant au montant et au pourcentage des financements restitués.</w:t>
      </w:r>
      <w:bookmarkEnd w:id="49"/>
    </w:p>
    <w:p w14:paraId="1318B4BA" w14:textId="1CBCC81F" w:rsidR="006E61C5" w:rsidRPr="00FF0208" w:rsidRDefault="006E61C5" w:rsidP="007C2BEF">
      <w:pPr>
        <w:tabs>
          <w:tab w:val="clear" w:pos="567"/>
          <w:tab w:val="clear" w:pos="1134"/>
          <w:tab w:val="clear" w:pos="1701"/>
          <w:tab w:val="clear" w:pos="2268"/>
          <w:tab w:val="clear" w:pos="2835"/>
        </w:tabs>
      </w:pPr>
      <w:r w:rsidRPr="00FF0208">
        <w:t>2.3</w:t>
      </w:r>
      <w:r w:rsidRPr="00FF0208">
        <w:tab/>
      </w:r>
      <w:bookmarkStart w:id="50" w:name="lt_pId069"/>
      <w:r w:rsidRPr="00FF0208">
        <w:t>Le représentant du BDT dit que le projet relatif aux centres de transformation numérique vient compléter des initiatives de renforcement des capacités et des compétences qui sont mises en œuvre actuellement par les Centres d'excellence de l'UIT et l'Académie de l'UIT.</w:t>
      </w:r>
      <w:bookmarkEnd w:id="50"/>
      <w:r w:rsidRPr="00FF0208">
        <w:t xml:space="preserve"> </w:t>
      </w:r>
      <w:bookmarkStart w:id="51" w:name="lt_pId070"/>
      <w:r w:rsidRPr="00FF0208">
        <w:t>Le projet est encore à ses débuts et des ressources sont mobilisées en permanence pour couvrir toutes les régions et, en particulier, les pays en développement, selon les besoins.</w:t>
      </w:r>
      <w:bookmarkEnd w:id="51"/>
      <w:r w:rsidRPr="00FF0208">
        <w:t xml:space="preserve"> </w:t>
      </w:r>
      <w:bookmarkStart w:id="52" w:name="lt_pId071"/>
      <w:r w:rsidRPr="00FF0208">
        <w:t>En ce qui concerne la restitution des fonds, lorsqu'un projet est mené à bien, les fonds restants sont restitués au prorata aux partenaires qui ont contribué au projet en question.</w:t>
      </w:r>
      <w:bookmarkEnd w:id="52"/>
      <w:r w:rsidRPr="00FF0208">
        <w:t xml:space="preserve"> </w:t>
      </w:r>
      <w:bookmarkStart w:id="53" w:name="lt_pId072"/>
      <w:r w:rsidRPr="00FF0208">
        <w:t xml:space="preserve">Si un projet n'a pas pu être mis en </w:t>
      </w:r>
      <w:r w:rsidR="00FF0208" w:rsidRPr="00FF0208">
        <w:t>œuvre</w:t>
      </w:r>
      <w:r w:rsidRPr="00FF0208">
        <w:t xml:space="preserve"> car les donateurs n'ont pas été en mesure de rassembler les fonds</w:t>
      </w:r>
      <w:r w:rsidR="00713A81" w:rsidRPr="00FF0208">
        <w:t xml:space="preserve"> nécessaires, les ressources du </w:t>
      </w:r>
      <w:r w:rsidRPr="00FF0208">
        <w:t>FDTIC affectées audit projet seront restituées au FDTIC.</w:t>
      </w:r>
      <w:bookmarkEnd w:id="53"/>
      <w:r w:rsidRPr="00FF0208">
        <w:t xml:space="preserve"> </w:t>
      </w:r>
      <w:bookmarkStart w:id="54" w:name="lt_pId073"/>
      <w:r w:rsidRPr="00FF0208">
        <w:t xml:space="preserve">Dans certains cas, lorsque des projets ont été pleinement mis en </w:t>
      </w:r>
      <w:r w:rsidR="00FF0208" w:rsidRPr="00FF0208">
        <w:t>œuvre</w:t>
      </w:r>
      <w:r w:rsidRPr="00FF0208">
        <w:t xml:space="preserve"> et qu'il reste des ressources du FDTIC du fait de gains d'efficacité, le solde sera restitué au FDTIC.</w:t>
      </w:r>
      <w:bookmarkEnd w:id="54"/>
    </w:p>
    <w:p w14:paraId="35D9FE8A" w14:textId="77777777" w:rsidR="006E61C5" w:rsidRPr="00FF0208" w:rsidRDefault="006E61C5" w:rsidP="007C2BEF">
      <w:pPr>
        <w:tabs>
          <w:tab w:val="clear" w:pos="567"/>
          <w:tab w:val="clear" w:pos="1134"/>
          <w:tab w:val="clear" w:pos="1701"/>
          <w:tab w:val="clear" w:pos="2268"/>
          <w:tab w:val="clear" w:pos="2835"/>
        </w:tabs>
      </w:pPr>
      <w:r w:rsidRPr="00FF0208">
        <w:t>2.4</w:t>
      </w:r>
      <w:r w:rsidRPr="00FF0208">
        <w:tab/>
      </w:r>
      <w:bookmarkStart w:id="55" w:name="lt_pId075"/>
      <w:r w:rsidRPr="00FF0208">
        <w:t>Le Président considère que les Conseillers souhaitent conclure, compte tenu du caractère urgent de cette question, qu'une consultation par correspondance des États Membres du Conseil sera organisée afin de prendre note des Documents C21/34 et C20/34.</w:t>
      </w:r>
      <w:bookmarkEnd w:id="55"/>
    </w:p>
    <w:p w14:paraId="0706CC1A" w14:textId="77777777" w:rsidR="006E61C5" w:rsidRPr="00FF0208" w:rsidRDefault="006E61C5" w:rsidP="007C2BEF">
      <w:pPr>
        <w:tabs>
          <w:tab w:val="clear" w:pos="567"/>
          <w:tab w:val="clear" w:pos="1134"/>
          <w:tab w:val="clear" w:pos="1701"/>
          <w:tab w:val="clear" w:pos="2268"/>
          <w:tab w:val="clear" w:pos="2835"/>
        </w:tabs>
      </w:pPr>
      <w:r w:rsidRPr="00FF0208">
        <w:t>2.5</w:t>
      </w:r>
      <w:r w:rsidRPr="00FF0208">
        <w:tab/>
      </w:r>
      <w:bookmarkStart w:id="56" w:name="lt_pId077"/>
      <w:r w:rsidRPr="00FF0208">
        <w:t xml:space="preserve">Il en est ainsi </w:t>
      </w:r>
      <w:r w:rsidRPr="00FF0208">
        <w:rPr>
          <w:b/>
        </w:rPr>
        <w:t>conclu</w:t>
      </w:r>
      <w:r w:rsidRPr="00FF0208">
        <w:t>.</w:t>
      </w:r>
      <w:bookmarkEnd w:id="56"/>
    </w:p>
    <w:p w14:paraId="2AD0BE5D" w14:textId="77777777" w:rsidR="006E61C5" w:rsidRPr="00FF0208" w:rsidRDefault="006E61C5" w:rsidP="007C2BEF">
      <w:pPr>
        <w:pStyle w:val="Heading1"/>
        <w:tabs>
          <w:tab w:val="clear" w:pos="567"/>
          <w:tab w:val="clear" w:pos="1134"/>
          <w:tab w:val="clear" w:pos="1701"/>
          <w:tab w:val="clear" w:pos="2268"/>
          <w:tab w:val="clear" w:pos="2835"/>
        </w:tabs>
        <w:ind w:left="709" w:hanging="709"/>
        <w:rPr>
          <w:bCs/>
        </w:rPr>
      </w:pPr>
      <w:r w:rsidRPr="00FF0208">
        <w:lastRenderedPageBreak/>
        <w:t>3</w:t>
      </w:r>
      <w:r w:rsidRPr="00FF0208">
        <w:tab/>
      </w:r>
      <w:bookmarkStart w:id="57" w:name="lt_pId079"/>
      <w:r w:rsidRPr="00FF0208">
        <w:rPr>
          <w:bCs/>
        </w:rPr>
        <w:t xml:space="preserve">Renforcement de la présence régionale (Document </w:t>
      </w:r>
      <w:hyperlink r:id="rId22" w:history="1">
        <w:r w:rsidRPr="00FF0208">
          <w:rPr>
            <w:rStyle w:val="Hyperlink"/>
            <w:bCs/>
          </w:rPr>
          <w:t>C21/25</w:t>
        </w:r>
      </w:hyperlink>
      <w:r w:rsidRPr="00FF0208">
        <w:rPr>
          <w:bCs/>
        </w:rPr>
        <w:t>)</w:t>
      </w:r>
      <w:bookmarkEnd w:id="57"/>
    </w:p>
    <w:p w14:paraId="2523C31D" w14:textId="3B88B2A7" w:rsidR="006E61C5" w:rsidRPr="00FF0208" w:rsidRDefault="006E61C5" w:rsidP="007C2BEF">
      <w:pPr>
        <w:tabs>
          <w:tab w:val="clear" w:pos="567"/>
          <w:tab w:val="clear" w:pos="1134"/>
          <w:tab w:val="clear" w:pos="1701"/>
          <w:tab w:val="clear" w:pos="2268"/>
          <w:tab w:val="clear" w:pos="2835"/>
        </w:tabs>
      </w:pPr>
      <w:r w:rsidRPr="00FF0208">
        <w:t>3.1</w:t>
      </w:r>
      <w:r w:rsidRPr="00FF0208">
        <w:tab/>
      </w:r>
      <w:bookmarkStart w:id="58" w:name="lt_pId081"/>
      <w:r w:rsidRPr="00FF0208">
        <w:t xml:space="preserve">L'Adjoint à la Directrice du BDT attire l'attention sur le Document C21/25, qui porte sur le renforcement de la présence régionale, complété par des informations détaillées figurant dans le Document C21/INF/6, qui rend compte de la mise en </w:t>
      </w:r>
      <w:r w:rsidR="00FF0208" w:rsidRPr="00FF0208">
        <w:t>œuvre</w:t>
      </w:r>
      <w:r w:rsidRPr="00FF0208">
        <w:t xml:space="preserve"> de la Résolution 25 (Rév.</w:t>
      </w:r>
      <w:r w:rsidR="00C47851" w:rsidRPr="00FF0208">
        <w:t> </w:t>
      </w:r>
      <w:r w:rsidRPr="00FF0208">
        <w:t>Dubaï,</w:t>
      </w:r>
      <w:r w:rsidR="00C47851" w:rsidRPr="00FF0208">
        <w:t> </w:t>
      </w:r>
      <w:r w:rsidRPr="00FF0208">
        <w:t>2018).</w:t>
      </w:r>
      <w:bookmarkEnd w:id="58"/>
      <w:r w:rsidRPr="00FF0208">
        <w:t xml:space="preserve"> </w:t>
      </w:r>
      <w:bookmarkStart w:id="59" w:name="lt_pId082"/>
      <w:r w:rsidRPr="00FF0208">
        <w:t>Le document examiné est une version mise à jour du Document C20/25, qui a été soumis au Conseil en 2020, mais n'a pas été présenté ni examiné.</w:t>
      </w:r>
      <w:bookmarkEnd w:id="59"/>
      <w:r w:rsidRPr="00FF0208">
        <w:t xml:space="preserve"> </w:t>
      </w:r>
      <w:bookmarkStart w:id="60" w:name="lt_pId083"/>
      <w:r w:rsidRPr="00FF0208">
        <w:t>Le rapport fait le point sur les principales activités régionales menées par le BDT.</w:t>
      </w:r>
      <w:bookmarkEnd w:id="60"/>
      <w:r w:rsidRPr="00FF0208">
        <w:t xml:space="preserve"> </w:t>
      </w:r>
      <w:bookmarkStart w:id="61" w:name="lt_pId084"/>
      <w:r w:rsidRPr="00FF0208">
        <w:t xml:space="preserve">Les chiffres qui figurent dans le rapport reflètent les décaissements en 2020 mais ne se réfèrent pas nécessairement à tous les projets mis en </w:t>
      </w:r>
      <w:r w:rsidR="00FF0208" w:rsidRPr="00FF0208">
        <w:t>œuvre</w:t>
      </w:r>
      <w:r w:rsidRPr="00FF0208">
        <w:t>.</w:t>
      </w:r>
      <w:bookmarkEnd w:id="61"/>
      <w:r w:rsidRPr="00FF0208">
        <w:t xml:space="preserve"> </w:t>
      </w:r>
      <w:bookmarkStart w:id="62" w:name="lt_pId085"/>
      <w:r w:rsidRPr="00FF0208">
        <w:t xml:space="preserve">Fin 2020, 25 nouveaux projets ont été approuvés pour faire avancer la mise en </w:t>
      </w:r>
      <w:r w:rsidR="00FF0208" w:rsidRPr="00FF0208">
        <w:t>œuvre</w:t>
      </w:r>
      <w:r w:rsidRPr="00FF0208">
        <w:t xml:space="preserve"> des initiatives régionales dans toutes les régions de l'UIT, y compris plusieurs projets qui concernent plusieurs régions.</w:t>
      </w:r>
      <w:bookmarkEnd w:id="62"/>
      <w:r w:rsidRPr="00FF0208">
        <w:t xml:space="preserve"> </w:t>
      </w:r>
      <w:bookmarkStart w:id="63" w:name="lt_pId086"/>
      <w:r w:rsidRPr="00FF0208">
        <w:t>Neuf nouveaux projets sont en cours d'élaboration avec des partenaires, et il est prévu d'y mettre la dernière main et de les approuver en 2021.</w:t>
      </w:r>
      <w:bookmarkEnd w:id="63"/>
      <w:r w:rsidRPr="00FF0208">
        <w:t xml:space="preserve"> </w:t>
      </w:r>
      <w:bookmarkStart w:id="64" w:name="lt_pId087"/>
      <w:r w:rsidRPr="00FF0208">
        <w:t>En ce qui concerne le nouveau bureau de zone de l'UIT pour l'Asie du Sud, lequel sera établi en Inde, l'orateur informe les participants à la consultation virtuelle des Conseillers que, depuis l'élaboration du Document C21/25, l'accord de pays hôte a été approuvé à la fois par l'UIT et le Gouvernement de l'Inde.</w:t>
      </w:r>
      <w:bookmarkEnd w:id="64"/>
      <w:r w:rsidRPr="00FF0208">
        <w:t xml:space="preserve"> </w:t>
      </w:r>
    </w:p>
    <w:p w14:paraId="6800F464" w14:textId="6A56C911" w:rsidR="006E61C5" w:rsidRPr="00FF0208" w:rsidRDefault="006E61C5" w:rsidP="007C2BEF">
      <w:pPr>
        <w:tabs>
          <w:tab w:val="clear" w:pos="567"/>
          <w:tab w:val="clear" w:pos="1134"/>
          <w:tab w:val="clear" w:pos="1701"/>
          <w:tab w:val="clear" w:pos="2268"/>
          <w:tab w:val="clear" w:pos="2835"/>
        </w:tabs>
      </w:pPr>
      <w:r w:rsidRPr="00FF0208">
        <w:t>3.2</w:t>
      </w:r>
      <w:r w:rsidRPr="00FF0208">
        <w:tab/>
      </w:r>
      <w:bookmarkStart w:id="65" w:name="lt_pId089"/>
      <w:r w:rsidRPr="00FF0208">
        <w:t>Les Conseillers se félicitent du rapport et des efforts mobilisés pour renforcer la présence régionale de l'UIT et améliorer la responsabilisation et l'efficacité des bureaux régionaux, les activités régionales étant essentielles pour maintenir l'efficacité et la pertinence de l'UIT, et pour veiller à ce que l'Union réponde aux besoins locaux.</w:t>
      </w:r>
      <w:bookmarkEnd w:id="65"/>
      <w:r w:rsidRPr="00FF0208">
        <w:t xml:space="preserve"> </w:t>
      </w:r>
      <w:bookmarkStart w:id="66" w:name="lt_pId090"/>
      <w:r w:rsidRPr="00FF0208">
        <w:t>Les participants apprécient les travaux des bureaux régionaux, lesquels jouent un rôle fondamental dans la préparation des conférences, en particulier en ce qu'ils rassemblent les États Membres et les Membres de Secteur de l'Union autour de questions qui présentent un intérêt au niveau local.</w:t>
      </w:r>
      <w:bookmarkEnd w:id="66"/>
      <w:r w:rsidRPr="00FF0208">
        <w:t xml:space="preserve"> </w:t>
      </w:r>
      <w:bookmarkStart w:id="67" w:name="lt_pId091"/>
      <w:r w:rsidRPr="00FF0208">
        <w:t>Les bureaux régionaux doivent être entièrement financés et bénéficier des ressources humaines adéquates, et exercer leurs activités de façon cohérente avec les autres bureaux et avec le siège de l'UI</w:t>
      </w:r>
      <w:r w:rsidR="00713A81" w:rsidRPr="00FF0208">
        <w:t>T à Genève, dans l'esprit d'une </w:t>
      </w:r>
      <w:r w:rsidRPr="00FF0208">
        <w:t>UIT unie dans l'action.</w:t>
      </w:r>
      <w:bookmarkEnd w:id="67"/>
      <w:r w:rsidRPr="00FF0208">
        <w:t xml:space="preserve"> </w:t>
      </w:r>
      <w:bookmarkStart w:id="68" w:name="lt_pId092"/>
      <w:r w:rsidRPr="00FF0208">
        <w:t>Toute restructuration de la présence régionale devrait être réalisée conformément aux principes et aux orientations d'autres organismes des Nations Unies, et mise à profit pour coopérer avec leurs bureaux régionaux.</w:t>
      </w:r>
      <w:bookmarkEnd w:id="68"/>
      <w:r w:rsidRPr="00FF0208">
        <w:t xml:space="preserve"> </w:t>
      </w:r>
      <w:bookmarkStart w:id="69" w:name="lt_pId093"/>
      <w:r w:rsidRPr="00FF0208">
        <w:t>Il convient que le secrétariat élabore des propositions de révision concernant la présence régionale, pour examen par le Groupe de travail du Conseil sur les ressources financières et les ressources humaines (GTC-FHR) à sa réunion suivante, et pour examen par la PP-22.</w:t>
      </w:r>
      <w:bookmarkEnd w:id="69"/>
      <w:r w:rsidRPr="00FF0208">
        <w:t xml:space="preserve"> </w:t>
      </w:r>
    </w:p>
    <w:p w14:paraId="07AC9DC3" w14:textId="5E71ECC3" w:rsidR="006E61C5" w:rsidRPr="00FF0208" w:rsidRDefault="006E61C5" w:rsidP="007C2BEF">
      <w:pPr>
        <w:tabs>
          <w:tab w:val="clear" w:pos="567"/>
          <w:tab w:val="clear" w:pos="1134"/>
          <w:tab w:val="clear" w:pos="1701"/>
          <w:tab w:val="clear" w:pos="2268"/>
          <w:tab w:val="clear" w:pos="2835"/>
        </w:tabs>
      </w:pPr>
      <w:r w:rsidRPr="00FF0208">
        <w:t>3.3</w:t>
      </w:r>
      <w:r w:rsidRPr="00FF0208">
        <w:tab/>
      </w:r>
      <w:bookmarkStart w:id="70" w:name="lt_pId095"/>
      <w:r w:rsidR="00A15D98" w:rsidRPr="00FF0208">
        <w:t>L'Adjoint à la Directrice</w:t>
      </w:r>
      <w:r w:rsidRPr="00FF0208">
        <w:t xml:space="preserve"> du BDT remercie les Conseillers pour leurs marques de soutien aux travaux menés par l'UIT au niveau régional et dit que plusieurs des questions soulevées, notamment la formulation de critères objectifs applicables à l'établissement des bureaux régionaux, figurent dans le rapport de PwC et sont actuellement examinées dans le cadre du processus d'examen.</w:t>
      </w:r>
      <w:bookmarkEnd w:id="70"/>
      <w:r w:rsidRPr="00FF0208">
        <w:t xml:space="preserve"> </w:t>
      </w:r>
      <w:bookmarkStart w:id="71" w:name="lt_pId096"/>
      <w:r w:rsidRPr="00FF0208">
        <w:t>La présence régionale doit être le reflet d'une UIT unie dans l'action; la question de la coordination a été largement débattue au sein du Groupe ad hoc du GTC-FHR et des mesures sont prises par le secrétariat pour améliorer la cohérence.</w:t>
      </w:r>
      <w:bookmarkEnd w:id="71"/>
      <w:r w:rsidRPr="00FF0208">
        <w:t xml:space="preserve"> </w:t>
      </w:r>
      <w:bookmarkStart w:id="72" w:name="lt_pId097"/>
      <w:r w:rsidRPr="00FF0208">
        <w:t>La création d'un comité de coordination interne est envisagée et des modifications sont actuellement apportées au site web afin de mieux refléter les travaux du BR et du TSB dans chaque région.</w:t>
      </w:r>
      <w:bookmarkEnd w:id="72"/>
      <w:r w:rsidRPr="00FF0208">
        <w:t xml:space="preserve"> </w:t>
      </w:r>
      <w:bookmarkStart w:id="73" w:name="lt_pId098"/>
      <w:r w:rsidRPr="00FF0208">
        <w:t>Il est à espérer que les États Membres constatent prochainement des améliorations dans les informations fournies sur le site web.</w:t>
      </w:r>
      <w:bookmarkEnd w:id="73"/>
      <w:r w:rsidRPr="00FF0208">
        <w:t xml:space="preserve"> </w:t>
      </w:r>
      <w:bookmarkStart w:id="74" w:name="lt_pId099"/>
      <w:r w:rsidRPr="00FF0208">
        <w:t>Le secrétariat s'efforcera de fournir les informations demandées au GTC-FHR en vue de la prochaine Conférence de plénipotentiaires.</w:t>
      </w:r>
      <w:bookmarkEnd w:id="74"/>
    </w:p>
    <w:p w14:paraId="042CF7DE" w14:textId="4E4B9429" w:rsidR="006E61C5" w:rsidRPr="00FF0208" w:rsidRDefault="006E61C5" w:rsidP="007C2BEF">
      <w:pPr>
        <w:keepLines/>
        <w:tabs>
          <w:tab w:val="clear" w:pos="567"/>
          <w:tab w:val="clear" w:pos="1134"/>
          <w:tab w:val="clear" w:pos="1701"/>
          <w:tab w:val="clear" w:pos="2268"/>
          <w:tab w:val="clear" w:pos="2835"/>
        </w:tabs>
      </w:pPr>
      <w:bookmarkStart w:id="75" w:name="_Hlk75117460"/>
      <w:r w:rsidRPr="00FF0208">
        <w:lastRenderedPageBreak/>
        <w:t>3.4</w:t>
      </w:r>
      <w:r w:rsidRPr="00FF0208">
        <w:tab/>
      </w:r>
      <w:bookmarkStart w:id="76" w:name="lt_pId101"/>
      <w:r w:rsidRPr="00FF0208">
        <w:t>Le Conseiller du Pakistan demande des précisions en ce qui concerne la proposition qui consiste à établir un bureau de zone pour l'Asie du Sud en Inde.</w:t>
      </w:r>
      <w:bookmarkEnd w:id="76"/>
      <w:r w:rsidRPr="00FF0208">
        <w:t xml:space="preserve"> </w:t>
      </w:r>
      <w:bookmarkStart w:id="77" w:name="lt_pId102"/>
      <w:r w:rsidRPr="00FF0208">
        <w:t>Bien qu'elle se déclare favorable en principe à la création d'un bureau de zone, son administration est soucieuse de ce que l'emplacement d'un tel bureau doive être décidé par voie de consensus.</w:t>
      </w:r>
      <w:bookmarkEnd w:id="77"/>
      <w:r w:rsidRPr="00FF0208">
        <w:t xml:space="preserve"> </w:t>
      </w:r>
      <w:bookmarkStart w:id="78" w:name="lt_pId103"/>
      <w:r w:rsidRPr="00FF0208">
        <w:t>Le Pakistan a fait part de sa position par écrit en 2018 et a fait observer que des critères d'évaluation précis et des procédures opérationnelles standard applicables à la soumission et à l'examen des propositions relatives aux bureaux de zone de l'UIT sont essentiels.</w:t>
      </w:r>
      <w:bookmarkEnd w:id="78"/>
      <w:r w:rsidRPr="00FF0208">
        <w:t xml:space="preserve"> </w:t>
      </w:r>
      <w:bookmarkStart w:id="79" w:name="lt_pId104"/>
      <w:r w:rsidRPr="00FF0208">
        <w:t>À la session de 2018 du Conseil, plusieurs Conseillers ont également souligné la nécessité de disposer de critères objectifs à cet égard.</w:t>
      </w:r>
      <w:bookmarkEnd w:id="79"/>
      <w:r w:rsidRPr="00FF0208">
        <w:t xml:space="preserve"> </w:t>
      </w:r>
      <w:bookmarkStart w:id="80" w:name="lt_pId105"/>
      <w:r w:rsidRPr="00FF0208">
        <w:t>Le caractère prolongé des débats et l'absence de consensus ou de conclusion ressortent du compte rendu des discussions de la session de 2018 du Conseil, dans lequel on ne précise pas le pays hôte pressenti pour accueillir un tel bureau.</w:t>
      </w:r>
      <w:bookmarkEnd w:id="80"/>
      <w:r w:rsidRPr="00FF0208">
        <w:t xml:space="preserve"> </w:t>
      </w:r>
      <w:bookmarkStart w:id="81" w:name="lt_pId106"/>
      <w:r w:rsidRPr="00FF0208">
        <w:t>Il est en outre important pour le Conseil de confirmer que la décision d'établir un nouveau bureau de zone fait écho à l'esprit des processus, des Décisions, des Résolutions et des rapports d'examen précédents, en particulier la Résolution 1114 du Conseil, le rapport de 2019 du Corps commun d'inspection (CCI) des Nations Unies et la Résolution 25 (Rév. Dubaï, 2018) de la PP, qui tous prônent la formulation de critères objectifs.</w:t>
      </w:r>
      <w:bookmarkEnd w:id="81"/>
      <w:r w:rsidRPr="00FF0208">
        <w:t xml:space="preserve"> </w:t>
      </w:r>
      <w:bookmarkStart w:id="82" w:name="lt_pId107"/>
      <w:r w:rsidRPr="00FF0208">
        <w:t>Le Pakistan considère qu'aller de l'avant avec l'établissement d'un bureau de zone pour l'Asie du Sud sans suivre une approche fondée sur des critères et sans préciser l'objectif visé sera préjudiciable au mécanisme de consensus du Conseil, et prie instamment le Conseil d'adopter une approche progressive pour examiner la proposition, en tenant compte des avis et des assentiments de tous les pays de la région concernée.</w:t>
      </w:r>
      <w:bookmarkEnd w:id="82"/>
    </w:p>
    <w:p w14:paraId="4C2DB1B3" w14:textId="77777777" w:rsidR="006E61C5" w:rsidRPr="00FF0208" w:rsidRDefault="006E61C5" w:rsidP="007C2BEF">
      <w:pPr>
        <w:tabs>
          <w:tab w:val="clear" w:pos="567"/>
          <w:tab w:val="clear" w:pos="1134"/>
          <w:tab w:val="clear" w:pos="1701"/>
          <w:tab w:val="clear" w:pos="2268"/>
          <w:tab w:val="clear" w:pos="2835"/>
        </w:tabs>
      </w:pPr>
      <w:r w:rsidRPr="00FF0208">
        <w:t>3.5</w:t>
      </w:r>
      <w:r w:rsidRPr="00FF0208">
        <w:tab/>
      </w:r>
      <w:bookmarkStart w:id="83" w:name="lt_pId109"/>
      <w:r w:rsidRPr="00FF0208">
        <w:t>Le Conseiller de l'Inde dit que la décision relative au nouveau bureau de zone pour l'Asie du Sud a été prise par consensus à la séance finale de la session de 2018 du Conseil, qui s'est tenue à Dubaï.</w:t>
      </w:r>
      <w:bookmarkEnd w:id="83"/>
      <w:r w:rsidRPr="00FF0208">
        <w:t xml:space="preserve"> </w:t>
      </w:r>
      <w:bookmarkStart w:id="84" w:name="lt_pId110"/>
      <w:r w:rsidRPr="00FF0208">
        <w:t>Des Conseillers du monde entier ont souscrit à cette décision, en tenant compte de critères objectifs, par exemple la taille de la population particulièrement élevée (24% de la population mondiale).</w:t>
      </w:r>
      <w:bookmarkEnd w:id="84"/>
      <w:r w:rsidRPr="00FF0208">
        <w:t xml:space="preserve"> </w:t>
      </w:r>
      <w:bookmarkStart w:id="85" w:name="lt_pId111"/>
      <w:r w:rsidRPr="00FF0208">
        <w:t>Le processus préparatoire qui a précédé cette prise de décision a été rigoureux et a inclus une consultation des États Membres de la région.</w:t>
      </w:r>
      <w:bookmarkEnd w:id="85"/>
      <w:r w:rsidRPr="00FF0208">
        <w:t xml:space="preserve"> </w:t>
      </w:r>
      <w:bookmarkStart w:id="86" w:name="lt_pId112"/>
      <w:r w:rsidRPr="00FF0208">
        <w:t>La décision du Conseil a été dûment consignée dans le compte rendu de la séance.</w:t>
      </w:r>
      <w:bookmarkEnd w:id="86"/>
      <w:r w:rsidRPr="00FF0208">
        <w:t xml:space="preserve"> </w:t>
      </w:r>
      <w:bookmarkStart w:id="87" w:name="lt_pId113"/>
      <w:r w:rsidRPr="00FF0208">
        <w:t>L'Administration de l'Inde n'a ménagé aucun effort et a déployé de nombreuses ressources pour mener à bien le processus, et finaliser et conclure l'accord de pays hôte.</w:t>
      </w:r>
      <w:bookmarkEnd w:id="87"/>
    </w:p>
    <w:p w14:paraId="100706C2" w14:textId="447FD5B1" w:rsidR="006E61C5" w:rsidRPr="00FF0208" w:rsidRDefault="006E61C5" w:rsidP="007C2BEF">
      <w:pPr>
        <w:tabs>
          <w:tab w:val="clear" w:pos="567"/>
          <w:tab w:val="clear" w:pos="1134"/>
          <w:tab w:val="clear" w:pos="1701"/>
          <w:tab w:val="clear" w:pos="2268"/>
          <w:tab w:val="clear" w:pos="2835"/>
        </w:tabs>
      </w:pPr>
      <w:r w:rsidRPr="00FF0208">
        <w:t>3.6</w:t>
      </w:r>
      <w:r w:rsidRPr="00FF0208">
        <w:tab/>
      </w:r>
      <w:bookmarkStart w:id="88" w:name="lt_pId115"/>
      <w:r w:rsidRPr="00FF0208">
        <w:t>L'Adjoint à la Directrice du BDT dit que, après avoir organisé une consultation des États Membres de la région, l'établissement d'un nouveau bureau de zone en Inde a été débattu à la session d'avril 2018 du Conseil, avant d'être examiné plus avant à sa séance finale, qui s'est tenue en octobre 2018 à Dubaï.</w:t>
      </w:r>
      <w:bookmarkEnd w:id="88"/>
      <w:r w:rsidRPr="00FF0208">
        <w:t xml:space="preserve"> </w:t>
      </w:r>
      <w:bookmarkStart w:id="89" w:name="lt_pId116"/>
      <w:r w:rsidRPr="00FF0208">
        <w:t>La décision figure dans le compte rendu de cette séance (§ 4.11 du Document C18/129).</w:t>
      </w:r>
      <w:bookmarkEnd w:id="89"/>
    </w:p>
    <w:p w14:paraId="789AF513" w14:textId="77777777" w:rsidR="006E61C5" w:rsidRPr="00FF0208" w:rsidRDefault="006E61C5" w:rsidP="007C2BEF">
      <w:pPr>
        <w:tabs>
          <w:tab w:val="clear" w:pos="567"/>
          <w:tab w:val="clear" w:pos="1134"/>
          <w:tab w:val="clear" w:pos="1701"/>
          <w:tab w:val="clear" w:pos="2268"/>
          <w:tab w:val="clear" w:pos="2835"/>
        </w:tabs>
      </w:pPr>
      <w:r w:rsidRPr="00FF0208">
        <w:t>3.7</w:t>
      </w:r>
      <w:r w:rsidRPr="00FF0208">
        <w:tab/>
      </w:r>
      <w:bookmarkStart w:id="90" w:name="lt_pId118"/>
      <w:r w:rsidRPr="00FF0208">
        <w:t>Le Conseiller du Pakistan dit que la décision figurant dans le compte rendu susmentionné est vague, contradictoire et ambiguë.</w:t>
      </w:r>
      <w:bookmarkEnd w:id="90"/>
      <w:r w:rsidRPr="00FF0208">
        <w:t xml:space="preserve"> </w:t>
      </w:r>
      <w:bookmarkStart w:id="91" w:name="lt_pId119"/>
      <w:r w:rsidRPr="00FF0208">
        <w:t>Elle ne mentionne pas le pays hôte pressenti pour accueillir un tel bureau.</w:t>
      </w:r>
      <w:bookmarkEnd w:id="91"/>
      <w:r w:rsidRPr="00FF0208">
        <w:t xml:space="preserve"> </w:t>
      </w:r>
      <w:bookmarkStart w:id="92" w:name="lt_pId120"/>
      <w:r w:rsidRPr="00FF0208">
        <w:t>Il est écrit que le Conseil "peut décider", et non "décide".</w:t>
      </w:r>
      <w:bookmarkEnd w:id="92"/>
      <w:r w:rsidRPr="00FF0208">
        <w:t xml:space="preserve"> </w:t>
      </w:r>
      <w:bookmarkStart w:id="93" w:name="lt_pId121"/>
      <w:r w:rsidRPr="00FF0208">
        <w:t>Il est écrit en outre que le secrétariat devrait proposer des critères précis, lesquels devraient en toute logique être appliqués avant et non après que la décision a été prise.</w:t>
      </w:r>
      <w:bookmarkEnd w:id="93"/>
    </w:p>
    <w:p w14:paraId="6BB8C75F" w14:textId="39CF249F" w:rsidR="006E61C5" w:rsidRPr="00FF0208" w:rsidRDefault="006E61C5" w:rsidP="007C2BEF">
      <w:pPr>
        <w:tabs>
          <w:tab w:val="clear" w:pos="567"/>
          <w:tab w:val="clear" w:pos="1134"/>
          <w:tab w:val="clear" w:pos="1701"/>
          <w:tab w:val="clear" w:pos="2268"/>
          <w:tab w:val="clear" w:pos="2835"/>
        </w:tabs>
      </w:pPr>
      <w:r w:rsidRPr="00FF0208">
        <w:t>3.8</w:t>
      </w:r>
      <w:r w:rsidRPr="00FF0208">
        <w:tab/>
      </w:r>
      <w:bookmarkStart w:id="94" w:name="lt_pId123"/>
      <w:r w:rsidRPr="00FF0208">
        <w:t>Le Conseiller juridique de l'UIT dit que le § 4.11 du compte rendu de la séance finale de la session de 2018 du Conseil (Document C18/129) doit être lu à la lumière du § 4.9 du même document, dans lequel le Secrétaire général indique qu'il semble n'y avoir aucune objection à l'établissement d'un bureau de zone de l'UIT dans une région où vivent 24% de la population mondiale, et que des fonds ont déjà été affectés par l'Inde.</w:t>
      </w:r>
      <w:bookmarkEnd w:id="94"/>
      <w:r w:rsidRPr="00FF0208">
        <w:t xml:space="preserve"> </w:t>
      </w:r>
      <w:bookmarkStart w:id="95" w:name="lt_pId124"/>
      <w:r w:rsidRPr="00FF0208">
        <w:t xml:space="preserve">Le Président s'est fondé sur cette base pour considérer que le Conseil pouvait décider de confirmer la création </w:t>
      </w:r>
      <w:r w:rsidR="00925616" w:rsidRPr="00FF0208">
        <w:t xml:space="preserve">du </w:t>
      </w:r>
      <w:r w:rsidRPr="00FF0208">
        <w:t>bureau de zone</w:t>
      </w:r>
      <w:r w:rsidR="00A15D98" w:rsidRPr="00FF0208">
        <w:t xml:space="preserve"> en Inde</w:t>
      </w:r>
      <w:r w:rsidRPr="00FF0208">
        <w:t xml:space="preserve"> et d'inviter le Secrétaire général à entamer les négociations sur un accord de pays hôte, portant </w:t>
      </w:r>
      <w:r w:rsidRPr="00FF0208">
        <w:lastRenderedPageBreak/>
        <w:t>notamment sur les dispositions financières.</w:t>
      </w:r>
      <w:bookmarkEnd w:id="95"/>
      <w:r w:rsidRPr="00FF0208">
        <w:t xml:space="preserve"> </w:t>
      </w:r>
      <w:bookmarkStart w:id="96" w:name="lt_pId125"/>
      <w:r w:rsidRPr="00FF0208">
        <w:t>En ce qui concerne les critères, le Conseil a en outre demandé au secrétariat de proposer des critères précis applicables à l'établissement d'un bureau de zone: l'utilisation de l'article indéfini "un" en lieu et place d'un article défini indique que la demande ne concerne pas "le" bureau de zone dont l'établissement a été confirmé, mais l'établissement futur de bureaux de zone en général, et c'est sur c</w:t>
      </w:r>
      <w:r w:rsidR="00713A81" w:rsidRPr="00FF0208">
        <w:t>ette base qu'il a été demandé à </w:t>
      </w:r>
      <w:r w:rsidRPr="00FF0208">
        <w:t>PwC d'examiner la question des critères applicables à l'établissement de bureaux de zone de l'UIT dans son étude sur la présence régionale de l'UIT.</w:t>
      </w:r>
      <w:bookmarkEnd w:id="96"/>
      <w:r w:rsidRPr="00FF0208">
        <w:t xml:space="preserve"> </w:t>
      </w:r>
    </w:p>
    <w:p w14:paraId="2AC56FE3" w14:textId="77777777" w:rsidR="006E61C5" w:rsidRPr="00FF0208" w:rsidRDefault="006E61C5" w:rsidP="007C2BEF">
      <w:pPr>
        <w:tabs>
          <w:tab w:val="clear" w:pos="567"/>
          <w:tab w:val="clear" w:pos="1134"/>
          <w:tab w:val="clear" w:pos="1701"/>
          <w:tab w:val="clear" w:pos="2268"/>
          <w:tab w:val="clear" w:pos="2835"/>
        </w:tabs>
      </w:pPr>
      <w:r w:rsidRPr="00FF0208">
        <w:t>3.9</w:t>
      </w:r>
      <w:r w:rsidRPr="00FF0208">
        <w:tab/>
      </w:r>
      <w:bookmarkStart w:id="97" w:name="lt_pId127"/>
      <w:r w:rsidRPr="00FF0208">
        <w:t>Le Président dit que les commentaires soulevés par le Pakistan et l'Inde seront consignés dans le compte rendu de la présente séance et considère que les Conseillers souhaitent conclure, compte tenu du caractère urgent de cette question, qu'une consultation par correspondance des États Membres du Conseil sera organisée afin de prendre note des Documents C21/25 et C20/25.</w:t>
      </w:r>
      <w:bookmarkEnd w:id="97"/>
    </w:p>
    <w:p w14:paraId="7362325A" w14:textId="77777777" w:rsidR="006E61C5" w:rsidRPr="00FF0208" w:rsidRDefault="006E61C5" w:rsidP="007C2BEF">
      <w:pPr>
        <w:tabs>
          <w:tab w:val="clear" w:pos="567"/>
          <w:tab w:val="clear" w:pos="1134"/>
          <w:tab w:val="clear" w:pos="1701"/>
          <w:tab w:val="clear" w:pos="2268"/>
          <w:tab w:val="clear" w:pos="2835"/>
        </w:tabs>
      </w:pPr>
      <w:r w:rsidRPr="00FF0208">
        <w:t>3.10</w:t>
      </w:r>
      <w:r w:rsidRPr="00FF0208">
        <w:tab/>
      </w:r>
      <w:bookmarkStart w:id="98" w:name="lt_pId129"/>
      <w:r w:rsidRPr="00FF0208">
        <w:t xml:space="preserve">Il en est ainsi </w:t>
      </w:r>
      <w:r w:rsidRPr="00FF0208">
        <w:rPr>
          <w:b/>
        </w:rPr>
        <w:t>conclu</w:t>
      </w:r>
      <w:r w:rsidRPr="00FF0208">
        <w:t>.</w:t>
      </w:r>
      <w:bookmarkEnd w:id="98"/>
    </w:p>
    <w:bookmarkEnd w:id="75"/>
    <w:p w14:paraId="19328D33" w14:textId="77777777" w:rsidR="006E61C5" w:rsidRPr="00FF0208" w:rsidRDefault="006E61C5" w:rsidP="007C2BEF">
      <w:pPr>
        <w:pStyle w:val="Heading1"/>
        <w:tabs>
          <w:tab w:val="clear" w:pos="567"/>
          <w:tab w:val="clear" w:pos="1134"/>
          <w:tab w:val="clear" w:pos="1701"/>
          <w:tab w:val="clear" w:pos="2268"/>
          <w:tab w:val="clear" w:pos="2835"/>
        </w:tabs>
        <w:ind w:left="709" w:hanging="709"/>
      </w:pPr>
      <w:r w:rsidRPr="00FF0208">
        <w:t>4</w:t>
      </w:r>
      <w:r w:rsidRPr="00FF0208">
        <w:tab/>
      </w:r>
      <w:bookmarkStart w:id="99" w:name="lt_pId131"/>
      <w:r w:rsidRPr="00FF0208">
        <w:t xml:space="preserve">Rapport décrivant la façon dont le cadre offert par le Programme mondial cybersécurité est actuellement utilisé par l'UIT (Document </w:t>
      </w:r>
      <w:hyperlink r:id="rId23" w:history="1">
        <w:r w:rsidRPr="00FF0208">
          <w:rPr>
            <w:rStyle w:val="Hyperlink"/>
            <w:bCs/>
          </w:rPr>
          <w:t>C21/36</w:t>
        </w:r>
      </w:hyperlink>
      <w:r w:rsidRPr="00FF0208">
        <w:t>)</w:t>
      </w:r>
      <w:bookmarkEnd w:id="99"/>
    </w:p>
    <w:p w14:paraId="435FA396" w14:textId="69E9DD79" w:rsidR="006E61C5" w:rsidRPr="00FF0208" w:rsidRDefault="006E61C5" w:rsidP="007C2BEF">
      <w:pPr>
        <w:tabs>
          <w:tab w:val="clear" w:pos="567"/>
          <w:tab w:val="clear" w:pos="1134"/>
          <w:tab w:val="clear" w:pos="1701"/>
          <w:tab w:val="clear" w:pos="2268"/>
          <w:tab w:val="clear" w:pos="2835"/>
        </w:tabs>
      </w:pPr>
      <w:r w:rsidRPr="00FF0208">
        <w:t>4.1</w:t>
      </w:r>
      <w:r w:rsidRPr="00FF0208">
        <w:tab/>
      </w:r>
      <w:bookmarkStart w:id="100" w:name="lt_pId133"/>
      <w:r w:rsidRPr="00FF0208">
        <w:t>Le représentant du Secrétariat général présente le rapport sur la façon dont le cadre offert par le Programme mondial cybersécurité (GCA) est utilisé par l'UIT, reproduit dans le Document C21/36, lequel offre un aperçu des activités menées pa</w:t>
      </w:r>
      <w:r w:rsidR="00713A81" w:rsidRPr="00FF0208">
        <w:t>r l'Union au titre du Programme </w:t>
      </w:r>
      <w:r w:rsidRPr="00FF0208">
        <w:t>GCA depuis</w:t>
      </w:r>
      <w:r w:rsidR="00A15D98" w:rsidRPr="00FF0208">
        <w:t xml:space="preserve"> son lancement en</w:t>
      </w:r>
      <w:r w:rsidRPr="00FF0208">
        <w:t xml:space="preserve"> 2007.</w:t>
      </w:r>
      <w:bookmarkEnd w:id="100"/>
    </w:p>
    <w:p w14:paraId="471384F6" w14:textId="77777777" w:rsidR="006E61C5" w:rsidRPr="00FF0208" w:rsidRDefault="006E61C5" w:rsidP="007C2BEF">
      <w:pPr>
        <w:tabs>
          <w:tab w:val="clear" w:pos="567"/>
          <w:tab w:val="clear" w:pos="1134"/>
          <w:tab w:val="clear" w:pos="1701"/>
          <w:tab w:val="clear" w:pos="2268"/>
          <w:tab w:val="clear" w:pos="2835"/>
        </w:tabs>
      </w:pPr>
      <w:r w:rsidRPr="00FF0208">
        <w:t>4.2</w:t>
      </w:r>
      <w:r w:rsidRPr="00FF0208">
        <w:tab/>
      </w:r>
      <w:bookmarkStart w:id="101" w:name="lt_pId135"/>
      <w:r w:rsidRPr="00FF0208">
        <w:t>Le Président considère que les Conseillers souhaitent conclure, compte tenu du caractère urgent de cette question, qu'une consultation par correspondance des États Membres du Conseil sera organisée afin de prendre note du rapport reproduit dans le Document C21/36.</w:t>
      </w:r>
      <w:bookmarkEnd w:id="101"/>
    </w:p>
    <w:p w14:paraId="52E0B88B" w14:textId="77777777" w:rsidR="006E61C5" w:rsidRPr="00FF0208" w:rsidRDefault="006E61C5" w:rsidP="007C2BEF">
      <w:pPr>
        <w:pStyle w:val="Heading1"/>
        <w:tabs>
          <w:tab w:val="clear" w:pos="567"/>
          <w:tab w:val="clear" w:pos="1134"/>
          <w:tab w:val="clear" w:pos="1701"/>
          <w:tab w:val="clear" w:pos="2268"/>
          <w:tab w:val="clear" w:pos="2835"/>
        </w:tabs>
        <w:ind w:left="709" w:hanging="709"/>
        <w:rPr>
          <w:bCs/>
        </w:rPr>
      </w:pPr>
      <w:r w:rsidRPr="00FF0208">
        <w:rPr>
          <w:bCs/>
        </w:rPr>
        <w:t>5</w:t>
      </w:r>
      <w:r w:rsidRPr="00FF0208">
        <w:rPr>
          <w:bCs/>
        </w:rPr>
        <w:tab/>
      </w:r>
      <w:bookmarkStart w:id="102" w:name="lt_pId137"/>
      <w:r w:rsidRPr="00FF0208">
        <w:t xml:space="preserve">Lignes directrices relatives à l'utilisation par l'UIT du cadre offert par le Programme mondial cybersécurité (Documents </w:t>
      </w:r>
      <w:hyperlink r:id="rId24" w:history="1">
        <w:r w:rsidRPr="00FF0208">
          <w:rPr>
            <w:rStyle w:val="Hyperlink"/>
          </w:rPr>
          <w:t>C21/71</w:t>
        </w:r>
      </w:hyperlink>
      <w:r w:rsidRPr="00FF0208">
        <w:t xml:space="preserve"> et </w:t>
      </w:r>
      <w:hyperlink r:id="rId25" w:history="1">
        <w:r w:rsidRPr="00FF0208">
          <w:rPr>
            <w:rStyle w:val="Hyperlink"/>
          </w:rPr>
          <w:t>C21/82</w:t>
        </w:r>
      </w:hyperlink>
      <w:r w:rsidRPr="00FF0208">
        <w:t>)</w:t>
      </w:r>
      <w:bookmarkEnd w:id="102"/>
    </w:p>
    <w:p w14:paraId="12148AE9" w14:textId="57809140" w:rsidR="006E61C5" w:rsidRPr="00FF0208" w:rsidRDefault="006E61C5" w:rsidP="007C2BEF">
      <w:pPr>
        <w:tabs>
          <w:tab w:val="clear" w:pos="567"/>
          <w:tab w:val="clear" w:pos="1134"/>
          <w:tab w:val="clear" w:pos="1701"/>
          <w:tab w:val="clear" w:pos="2268"/>
          <w:tab w:val="clear" w:pos="2835"/>
        </w:tabs>
      </w:pPr>
      <w:r w:rsidRPr="00FF0208">
        <w:t>5.1</w:t>
      </w:r>
      <w:r w:rsidRPr="00FF0208">
        <w:tab/>
      </w:r>
      <w:bookmarkStart w:id="103" w:name="lt_pId139"/>
      <w:r w:rsidRPr="00FF0208">
        <w:t>Le représentant du Secrétariat général présente le rapport figurant dans le Document C21/71, qui contient des lignes directrices relatives à chaque pilier du Programme GCA ainsi que des lignes directrices générales et transversales.</w:t>
      </w:r>
      <w:bookmarkEnd w:id="103"/>
      <w:r w:rsidRPr="00FF0208">
        <w:t xml:space="preserve"> </w:t>
      </w:r>
      <w:bookmarkStart w:id="104" w:name="lt_pId140"/>
      <w:r w:rsidRPr="00FF0208">
        <w:t xml:space="preserve">Les lignes directrices ont été élaborées compte tenu du rôle de l'UIT en tant que coordonnateur unique de la grande orientation C5 du SMSI et des activités menées à ce jour, des recommandations figurant dans le Rapport de 2008 du Groupe d'experts de haut niveau (HLEG), des évolutions observées dans ce domaine depuis 2008, des contributions écrites soumises par les États Membres et </w:t>
      </w:r>
      <w:r w:rsidR="00A15D98" w:rsidRPr="00FF0208">
        <w:t xml:space="preserve">d'autres </w:t>
      </w:r>
      <w:r w:rsidRPr="00FF0208">
        <w:t xml:space="preserve">parties prenantes, et </w:t>
      </w:r>
      <w:r w:rsidR="00A15D98" w:rsidRPr="00FF0208">
        <w:t xml:space="preserve">des retours d'informations présentés </w:t>
      </w:r>
      <w:r w:rsidRPr="00FF0208">
        <w:t>lors des deux consultations ouvertes organisées à l'intention d</w:t>
      </w:r>
      <w:r w:rsidR="00A15D98" w:rsidRPr="00FF0208">
        <w:t>e toutes l</w:t>
      </w:r>
      <w:r w:rsidRPr="00FF0208">
        <w:t>es parties prenantes du SMSI, lesquelles ont rencontré un franc succès.</w:t>
      </w:r>
      <w:bookmarkEnd w:id="104"/>
      <w:r w:rsidRPr="00FF0208">
        <w:t xml:space="preserve"> </w:t>
      </w:r>
      <w:bookmarkStart w:id="105" w:name="lt_pId141"/>
      <w:r w:rsidRPr="00FF0208">
        <w:t>Le Conseil est invité à examiner et à approuver le document.</w:t>
      </w:r>
      <w:bookmarkEnd w:id="105"/>
    </w:p>
    <w:p w14:paraId="3921BB07" w14:textId="4B4B3B79" w:rsidR="006E61C5" w:rsidRPr="00FF0208" w:rsidRDefault="006E61C5" w:rsidP="007C2BEF">
      <w:pPr>
        <w:tabs>
          <w:tab w:val="clear" w:pos="567"/>
          <w:tab w:val="clear" w:pos="1134"/>
          <w:tab w:val="clear" w:pos="1701"/>
          <w:tab w:val="clear" w:pos="2268"/>
          <w:tab w:val="clear" w:pos="2835"/>
        </w:tabs>
      </w:pPr>
      <w:r w:rsidRPr="00FF0208">
        <w:t>5.2</w:t>
      </w:r>
      <w:r w:rsidRPr="00FF0208">
        <w:tab/>
      </w:r>
      <w:bookmarkStart w:id="106" w:name="lt_pId143"/>
      <w:r w:rsidRPr="00FF0208">
        <w:t xml:space="preserve">Des Conseillers reconnaissent l'importance du Programme GCA et l'utilité des lignes directrices </w:t>
      </w:r>
      <w:r w:rsidR="00A15D98" w:rsidRPr="00FF0208">
        <w:t xml:space="preserve">visant à améliorer l'utilisation du cadre, dans la mesure où elles tiennent compte des évolutions actuelles du cyberespace. </w:t>
      </w:r>
      <w:r w:rsidR="00925616" w:rsidRPr="00FF0208">
        <w:t xml:space="preserve">Ils reconnaissent </w:t>
      </w:r>
      <w:r w:rsidR="00A15D98" w:rsidRPr="00FF0208">
        <w:t>également l'importance de ce processus, compte tenu du rôle de l'UIT en tant que coordonnateur unique pour</w:t>
      </w:r>
      <w:r w:rsidR="00713A81" w:rsidRPr="00FF0208">
        <w:t xml:space="preserve"> la grande orientation C5 du </w:t>
      </w:r>
      <w:r w:rsidRPr="00FF0208">
        <w:t>SMSI, laquelle vise à instaurer la confiance et la sécurité dans l'utilisation des TIC.</w:t>
      </w:r>
      <w:bookmarkEnd w:id="106"/>
    </w:p>
    <w:p w14:paraId="5E10BFBA" w14:textId="4E156B30" w:rsidR="006E61C5" w:rsidRPr="00FF0208" w:rsidRDefault="006E61C5" w:rsidP="007C2BEF">
      <w:pPr>
        <w:keepLines/>
        <w:tabs>
          <w:tab w:val="clear" w:pos="567"/>
          <w:tab w:val="clear" w:pos="1134"/>
          <w:tab w:val="clear" w:pos="1701"/>
          <w:tab w:val="clear" w:pos="2268"/>
          <w:tab w:val="clear" w:pos="2835"/>
        </w:tabs>
      </w:pPr>
      <w:r w:rsidRPr="00FF0208">
        <w:lastRenderedPageBreak/>
        <w:t>5.3</w:t>
      </w:r>
      <w:r w:rsidRPr="00FF0208">
        <w:tab/>
      </w:r>
      <w:bookmarkStart w:id="107" w:name="lt_pId145"/>
      <w:r w:rsidRPr="00FF0208">
        <w:t xml:space="preserve">Plusieurs Conseillers expriment leur satisfaction et leur soutien vis-à-vis des lignes directrices, telles qu'elles figurent dans le Document C21/71, et sont convaincus que ce document est un bon compromis, en ce sens </w:t>
      </w:r>
      <w:r w:rsidR="00A15D98" w:rsidRPr="00FF0208">
        <w:t>qu'il tient compte des contributions des États Membres et d'autres parties prenantes,</w:t>
      </w:r>
      <w:r w:rsidRPr="00FF0208">
        <w:t xml:space="preserve"> et permet d'améliorer le Programme GCA, qui </w:t>
      </w:r>
      <w:r w:rsidR="008F61BC" w:rsidRPr="00FF0208">
        <w:t xml:space="preserve">est </w:t>
      </w:r>
      <w:r w:rsidRPr="00FF0208">
        <w:t xml:space="preserve">un outil précieux pour orienter les États Membres, en particulier les pays en développement, dans l'utilisation des TIC et l'élaboration de stratégies de cybersécurité. </w:t>
      </w:r>
      <w:bookmarkEnd w:id="107"/>
    </w:p>
    <w:p w14:paraId="439827A6" w14:textId="0200D9EB" w:rsidR="006E61C5" w:rsidRPr="00FF0208" w:rsidRDefault="006E61C5" w:rsidP="007C2BEF">
      <w:pPr>
        <w:tabs>
          <w:tab w:val="clear" w:pos="567"/>
          <w:tab w:val="clear" w:pos="1134"/>
          <w:tab w:val="clear" w:pos="1701"/>
          <w:tab w:val="clear" w:pos="2268"/>
          <w:tab w:val="clear" w:pos="2835"/>
        </w:tabs>
      </w:pPr>
      <w:r w:rsidRPr="00FF0208">
        <w:t>5.4</w:t>
      </w:r>
      <w:r w:rsidRPr="00FF0208">
        <w:tab/>
      </w:r>
      <w:bookmarkStart w:id="108" w:name="lt_pId147"/>
      <w:r w:rsidRPr="00FF0208">
        <w:t>Une Conseillère salue la référence à l'Indice mondial de cybersécurité (GCI) dans les lignes directrices en tant qu'outil permettant d'orienter l'UIT dans son utilisation du Programme GCA.</w:t>
      </w:r>
      <w:bookmarkEnd w:id="108"/>
      <w:r w:rsidRPr="00FF0208">
        <w:t xml:space="preserve"> </w:t>
      </w:r>
      <w:bookmarkStart w:id="109" w:name="lt_pId148"/>
      <w:r w:rsidRPr="00FF0208">
        <w:t>Une autre Conseillère souligne l'importance de l'indice GCI pour aider les pays à élaborer des stratégies de cybersécurité et suggère que les lignes directrices indiquent que cet indice devrait être élaboré à intervalles réguliers, soit tous les deux ans.</w:t>
      </w:r>
      <w:bookmarkEnd w:id="109"/>
    </w:p>
    <w:p w14:paraId="3F35E66B" w14:textId="2D46642E" w:rsidR="006E61C5" w:rsidRPr="00FF0208" w:rsidRDefault="006E61C5" w:rsidP="007C2BEF">
      <w:pPr>
        <w:tabs>
          <w:tab w:val="clear" w:pos="567"/>
          <w:tab w:val="clear" w:pos="1134"/>
          <w:tab w:val="clear" w:pos="1701"/>
          <w:tab w:val="clear" w:pos="2268"/>
          <w:tab w:val="clear" w:pos="2835"/>
        </w:tabs>
      </w:pPr>
      <w:r w:rsidRPr="00FF0208">
        <w:t>5.5</w:t>
      </w:r>
      <w:r w:rsidRPr="00FF0208">
        <w:tab/>
      </w:r>
      <w:bookmarkStart w:id="110" w:name="lt_pId150"/>
      <w:r w:rsidRPr="00FF0208">
        <w:t>Une Conseillère suggère de modifier le point 3.12 du rapport afin d'indiquer que seules les recommandations relatives au Pilier 2 énoncées dans le Rapport de 2008 du Groupe HLEG ayant fait l'objet d'un consensus ou ayant été largement approuvées restent valables.</w:t>
      </w:r>
      <w:bookmarkEnd w:id="110"/>
    </w:p>
    <w:p w14:paraId="11D56BEB" w14:textId="77777777" w:rsidR="006E61C5" w:rsidRPr="00FF0208" w:rsidRDefault="006E61C5" w:rsidP="007C2BEF">
      <w:pPr>
        <w:tabs>
          <w:tab w:val="clear" w:pos="567"/>
          <w:tab w:val="clear" w:pos="1134"/>
          <w:tab w:val="clear" w:pos="1701"/>
          <w:tab w:val="clear" w:pos="2268"/>
          <w:tab w:val="clear" w:pos="2835"/>
        </w:tabs>
      </w:pPr>
      <w:r w:rsidRPr="00FF0208">
        <w:t>5.6</w:t>
      </w:r>
      <w:r w:rsidRPr="00FF0208">
        <w:tab/>
      </w:r>
      <w:bookmarkStart w:id="111" w:name="lt_pId152"/>
      <w:r w:rsidRPr="00FF0208">
        <w:t>Le Conseiller du Canada présente la contribution figurant dans le Document C21/82, au nom de l'Australie, du Canada, de la République tchèque, de la Roumanie et du Royaume-Uni de Grande-Bretagne et d'Irlande du Nord.</w:t>
      </w:r>
      <w:bookmarkEnd w:id="111"/>
      <w:r w:rsidRPr="00FF0208">
        <w:t xml:space="preserve"> </w:t>
      </w:r>
      <w:bookmarkStart w:id="112" w:name="lt_pId153"/>
      <w:r w:rsidRPr="00FF0208">
        <w:t>Bien que le Programme GCA soit un outil de référence utile pour la coopération multipartite, force est de constater que des positions divergentes existent et subsisteront en ce qui concerne l'utilité, la portée, l'objectif et le public cible des lignes directrices relatives à son utilisation.</w:t>
      </w:r>
      <w:bookmarkEnd w:id="112"/>
      <w:r w:rsidRPr="00FF0208">
        <w:t xml:space="preserve"> </w:t>
      </w:r>
      <w:bookmarkStart w:id="113" w:name="lt_pId154"/>
      <w:r w:rsidRPr="00FF0208">
        <w:t>De plus, le rapport reproduit dans le Document C21/36 montre que l'UIT utilise déjà le Programme GCA de manière efficace et rationnelle.</w:t>
      </w:r>
      <w:bookmarkEnd w:id="113"/>
      <w:r w:rsidRPr="00FF0208">
        <w:t xml:space="preserve"> </w:t>
      </w:r>
      <w:bookmarkStart w:id="114" w:name="lt_pId155"/>
      <w:r w:rsidRPr="00FF0208">
        <w:t>En outre, il existe déjà plusieurs Résolutions relatives à la cybersécurité ainsi que des lignes directrices et initiatives sur l'élaboration de stratégies nationales de cybersécurité et des domaines connexes, auxquelles viennent s'ajouter les travaux menés actuellement par les Commissions d'études de l'UIT-T et de l'UIT-D.</w:t>
      </w:r>
      <w:bookmarkEnd w:id="114"/>
      <w:r w:rsidRPr="00FF0208">
        <w:t xml:space="preserve"> </w:t>
      </w:r>
      <w:bookmarkStart w:id="115" w:name="lt_pId156"/>
      <w:r w:rsidRPr="00FF0208">
        <w:t>S'il doit y avoir des lignes directrices relatives à l'utilisation du Programme GCA par l'UIT, celles-ci devraient se limiter à une brève introduction et à des activités précises menées au titre des cinq piliers du Programme GCA, comme indiqué dans le Document C21/82.</w:t>
      </w:r>
      <w:bookmarkEnd w:id="115"/>
    </w:p>
    <w:p w14:paraId="4399D011" w14:textId="77777777" w:rsidR="006E61C5" w:rsidRPr="00FF0208" w:rsidRDefault="006E61C5" w:rsidP="007C2BEF">
      <w:pPr>
        <w:tabs>
          <w:tab w:val="clear" w:pos="567"/>
          <w:tab w:val="clear" w:pos="1134"/>
          <w:tab w:val="clear" w:pos="1701"/>
          <w:tab w:val="clear" w:pos="2268"/>
          <w:tab w:val="clear" w:pos="2835"/>
        </w:tabs>
      </w:pPr>
      <w:r w:rsidRPr="00FF0208">
        <w:t>5.7</w:t>
      </w:r>
      <w:r w:rsidRPr="00FF0208">
        <w:tab/>
      </w:r>
      <w:bookmarkStart w:id="116" w:name="lt_pId158"/>
      <w:r w:rsidRPr="00FF0208">
        <w:t>Un Conseiller n'est pas certain qu'il soit nécessaire et fondé de s'accorder sur une idée commune du terme "technologies émergentes", tel que demandé dans le Document C21/82.</w:t>
      </w:r>
      <w:bookmarkEnd w:id="116"/>
    </w:p>
    <w:p w14:paraId="7ECFF0C4" w14:textId="444E4E7B" w:rsidR="006E61C5" w:rsidRPr="00FF0208" w:rsidRDefault="006E61C5" w:rsidP="007C2BEF">
      <w:pPr>
        <w:tabs>
          <w:tab w:val="clear" w:pos="567"/>
          <w:tab w:val="clear" w:pos="1134"/>
          <w:tab w:val="clear" w:pos="1701"/>
          <w:tab w:val="clear" w:pos="2268"/>
          <w:tab w:val="clear" w:pos="2835"/>
        </w:tabs>
      </w:pPr>
      <w:r w:rsidRPr="00FF0208">
        <w:t>5.8</w:t>
      </w:r>
      <w:r w:rsidRPr="00FF0208">
        <w:tab/>
      </w:r>
      <w:bookmarkStart w:id="117" w:name="lt_pId160"/>
      <w:r w:rsidR="00A15D98" w:rsidRPr="00FF0208">
        <w:t>Certains</w:t>
      </w:r>
      <w:r w:rsidRPr="00FF0208">
        <w:t xml:space="preserve"> Conseillers se disent favorables à la rationalisation des lignes directrices ainsi qu'à la suppression des commentaires relatifs aux cinq piliers du Programme GCA, et sont convaincus que le Document C21/82 constitue un pas dans la bonne direction.</w:t>
      </w:r>
      <w:bookmarkEnd w:id="117"/>
      <w:r w:rsidRPr="00FF0208">
        <w:t xml:space="preserve"> </w:t>
      </w:r>
    </w:p>
    <w:p w14:paraId="0A54922E" w14:textId="707310AC" w:rsidR="006E61C5" w:rsidRPr="00FF0208" w:rsidRDefault="006E61C5" w:rsidP="007C2BEF">
      <w:pPr>
        <w:tabs>
          <w:tab w:val="clear" w:pos="567"/>
          <w:tab w:val="clear" w:pos="1134"/>
          <w:tab w:val="clear" w:pos="1701"/>
          <w:tab w:val="clear" w:pos="2268"/>
          <w:tab w:val="clear" w:pos="2835"/>
        </w:tabs>
      </w:pPr>
      <w:r w:rsidRPr="00FF0208">
        <w:t>5.9</w:t>
      </w:r>
      <w:r w:rsidRPr="00FF0208">
        <w:tab/>
      </w:r>
      <w:bookmarkStart w:id="118" w:name="lt_pId163"/>
      <w:r w:rsidRPr="00FF0208">
        <w:t>Un autre Conseiller appuie le Document C21/82 et souligne que l'UIT n'est pas la seule institution active dans le domaine de la cybersécurité et qu'elle devrait continuer, dans le cadre de son mandat, de promouvoir la collaboration et la coordination entre les parties prenantes nationales, régionales et internationales, et les acteurs du secteur privé œuvrant en faveur de la cybersécurité et, surtout, établir un mécanisme afin de coordonner les travaux de ses diverses commissions d'études dans le domaine de la cybersécurité, afin d'éviter tout chevauchement.</w:t>
      </w:r>
      <w:bookmarkEnd w:id="118"/>
    </w:p>
    <w:p w14:paraId="6978B5AA" w14:textId="77777777" w:rsidR="006E61C5" w:rsidRPr="00FF0208" w:rsidRDefault="006E61C5" w:rsidP="007C2BEF">
      <w:pPr>
        <w:tabs>
          <w:tab w:val="clear" w:pos="567"/>
          <w:tab w:val="clear" w:pos="1134"/>
          <w:tab w:val="clear" w:pos="1701"/>
          <w:tab w:val="clear" w:pos="2268"/>
          <w:tab w:val="clear" w:pos="2835"/>
        </w:tabs>
      </w:pPr>
      <w:r w:rsidRPr="00FF0208">
        <w:t>5.10</w:t>
      </w:r>
      <w:r w:rsidRPr="00FF0208">
        <w:tab/>
      </w:r>
      <w:bookmarkStart w:id="119" w:name="lt_pId165"/>
      <w:r w:rsidRPr="00FF0208">
        <w:t>Un Conseiller dit que l'UIT peut assumer son rôle au sein du système des Nations Unies à la faveur des mécanismes de coordination existants, notamment par l'intermédiaire du Conseil des chefs de secrétariat des organismes des Nations Unies pour la coordination.</w:t>
      </w:r>
      <w:bookmarkEnd w:id="119"/>
    </w:p>
    <w:p w14:paraId="56DE3B7C" w14:textId="77777777" w:rsidR="006E61C5" w:rsidRPr="00FF0208" w:rsidRDefault="006E61C5" w:rsidP="007C2BEF">
      <w:pPr>
        <w:tabs>
          <w:tab w:val="clear" w:pos="567"/>
          <w:tab w:val="clear" w:pos="1134"/>
          <w:tab w:val="clear" w:pos="1701"/>
          <w:tab w:val="clear" w:pos="2268"/>
          <w:tab w:val="clear" w:pos="2835"/>
        </w:tabs>
      </w:pPr>
      <w:r w:rsidRPr="00FF0208">
        <w:t>5.11</w:t>
      </w:r>
      <w:r w:rsidRPr="00FF0208">
        <w:tab/>
      </w:r>
      <w:bookmarkStart w:id="120" w:name="lt_pId167"/>
      <w:r w:rsidRPr="00FF0208">
        <w:t xml:space="preserve">Compte tenu du fait que des organisations et des forums internationaux s'occupant des questions liées à l'Internet s'inquiètent de ce que les initiatives nationales de cybersécurité sont souvent contradictoires et conduisent à la fragmentation de l'espace Internet mondial dans son </w:t>
      </w:r>
      <w:r w:rsidRPr="00FF0208">
        <w:lastRenderedPageBreak/>
        <w:t>ensemble, un Conseiller dit que le rôle de l'UIT en tant que coordonnateur unique de la grande orientation C5 du SMSI ne doit pas être minimisé.</w:t>
      </w:r>
      <w:bookmarkEnd w:id="120"/>
      <w:r w:rsidRPr="00FF0208">
        <w:t xml:space="preserve"> </w:t>
      </w:r>
      <w:bookmarkStart w:id="121" w:name="lt_pId168"/>
      <w:r w:rsidRPr="00FF0208">
        <w:t>L'UIT est l'instance où toutes les parties prenantes, que ce soient des États Membres, des entreprises du secteur privé ou des acteurs de la société civile, peuvent se rassembler pour parvenir à un consensus à cet égard.</w:t>
      </w:r>
      <w:bookmarkEnd w:id="121"/>
    </w:p>
    <w:p w14:paraId="269CE023" w14:textId="77777777" w:rsidR="006E61C5" w:rsidRPr="00FF0208" w:rsidRDefault="006E61C5" w:rsidP="007C2BEF">
      <w:pPr>
        <w:tabs>
          <w:tab w:val="clear" w:pos="567"/>
          <w:tab w:val="clear" w:pos="1134"/>
          <w:tab w:val="clear" w:pos="1701"/>
          <w:tab w:val="clear" w:pos="2268"/>
          <w:tab w:val="clear" w:pos="2835"/>
        </w:tabs>
      </w:pPr>
      <w:r w:rsidRPr="00FF0208">
        <w:t>5.12</w:t>
      </w:r>
      <w:r w:rsidRPr="00FF0208">
        <w:tab/>
      </w:r>
      <w:bookmarkStart w:id="122" w:name="lt_pId170"/>
      <w:r w:rsidRPr="00FF0208">
        <w:t>Plusieurs Conseillers disent appuyer l'adoption du Document C21/71, sans modification de forme, tandis que d'autres maintiennent ne pas pouvoir approuver les lignes directrices telles qu'elles figurent dans le document en question.</w:t>
      </w:r>
      <w:bookmarkEnd w:id="122"/>
    </w:p>
    <w:p w14:paraId="6B4F5B41" w14:textId="3EA61B14" w:rsidR="006E61C5" w:rsidRPr="00FF0208" w:rsidRDefault="006E61C5" w:rsidP="007C2BEF">
      <w:pPr>
        <w:tabs>
          <w:tab w:val="clear" w:pos="567"/>
          <w:tab w:val="clear" w:pos="1134"/>
          <w:tab w:val="clear" w:pos="1701"/>
          <w:tab w:val="clear" w:pos="2268"/>
          <w:tab w:val="clear" w:pos="2835"/>
        </w:tabs>
      </w:pPr>
      <w:r w:rsidRPr="00FF0208">
        <w:t>5.13</w:t>
      </w:r>
      <w:r w:rsidRPr="00FF0208">
        <w:tab/>
      </w:r>
      <w:bookmarkStart w:id="123" w:name="lt_pId172"/>
      <w:r w:rsidRPr="00FF0208">
        <w:t xml:space="preserve">Le Président, constatant l'absence de consensus, considère que les Conseillers souhaitent conclure, compte tenu du caractère urgent de cette question, qu'une consultation par correspondance des États Membres du Conseil sera organisée afin de charger le secrétariat de mener de nouvelles consultations avec les États Membres du Conseil, compte tenu des contributions reçues et des commentaires formulés à </w:t>
      </w:r>
      <w:r w:rsidR="005B335C">
        <w:t>cette</w:t>
      </w:r>
      <w:r w:rsidRPr="00FF0208">
        <w:t xml:space="preserve"> séance.</w:t>
      </w:r>
      <w:bookmarkEnd w:id="123"/>
      <w:r w:rsidRPr="00FF0208">
        <w:t xml:space="preserve"> </w:t>
      </w:r>
      <w:bookmarkStart w:id="124" w:name="lt_pId173"/>
      <w:r w:rsidRPr="00FF0208">
        <w:t>Le secrétariat devra présenter un document révisé pour examen et approbation à la prochaine session du Conseil.</w:t>
      </w:r>
      <w:bookmarkEnd w:id="124"/>
    </w:p>
    <w:p w14:paraId="5E6CC3D3" w14:textId="77777777" w:rsidR="006E61C5" w:rsidRPr="00FF0208" w:rsidRDefault="006E61C5" w:rsidP="007C2BEF">
      <w:pPr>
        <w:tabs>
          <w:tab w:val="clear" w:pos="567"/>
          <w:tab w:val="clear" w:pos="1134"/>
          <w:tab w:val="clear" w:pos="1701"/>
          <w:tab w:val="clear" w:pos="2268"/>
          <w:tab w:val="clear" w:pos="2835"/>
        </w:tabs>
      </w:pPr>
      <w:r w:rsidRPr="00FF0208">
        <w:t>5.14</w:t>
      </w:r>
      <w:r w:rsidRPr="00FF0208">
        <w:tab/>
      </w:r>
      <w:bookmarkStart w:id="125" w:name="lt_pId175"/>
      <w:r w:rsidRPr="00FF0208">
        <w:t xml:space="preserve">Il en est ainsi </w:t>
      </w:r>
      <w:r w:rsidRPr="00FF0208">
        <w:rPr>
          <w:b/>
        </w:rPr>
        <w:t>conclu</w:t>
      </w:r>
      <w:r w:rsidRPr="00FF0208">
        <w:t>.</w:t>
      </w:r>
      <w:bookmarkEnd w:id="125"/>
    </w:p>
    <w:p w14:paraId="0DA14F32" w14:textId="77777777" w:rsidR="006E61C5" w:rsidRPr="00FF0208" w:rsidRDefault="006E61C5" w:rsidP="007C2BEF">
      <w:pPr>
        <w:pStyle w:val="Heading1"/>
        <w:tabs>
          <w:tab w:val="clear" w:pos="567"/>
          <w:tab w:val="clear" w:pos="1134"/>
          <w:tab w:val="clear" w:pos="1701"/>
          <w:tab w:val="clear" w:pos="2268"/>
          <w:tab w:val="clear" w:pos="2835"/>
        </w:tabs>
        <w:ind w:left="709" w:hanging="709"/>
      </w:pPr>
      <w:r w:rsidRPr="00FF0208">
        <w:rPr>
          <w:bCs/>
        </w:rPr>
        <w:t>6</w:t>
      </w:r>
      <w:r w:rsidRPr="00FF0208">
        <w:rPr>
          <w:bCs/>
        </w:rPr>
        <w:tab/>
      </w:r>
      <w:bookmarkStart w:id="126" w:name="lt_pId177"/>
      <w:r w:rsidRPr="00FF0208">
        <w:t xml:space="preserve">Rapport du Bureau de l'éthique (Document </w:t>
      </w:r>
      <w:hyperlink r:id="rId26" w:history="1">
        <w:r w:rsidRPr="00FF0208">
          <w:rPr>
            <w:rStyle w:val="Hyperlink"/>
          </w:rPr>
          <w:t>C21/59</w:t>
        </w:r>
      </w:hyperlink>
      <w:r w:rsidRPr="00FF0208">
        <w:t>)</w:t>
      </w:r>
      <w:bookmarkEnd w:id="126"/>
    </w:p>
    <w:p w14:paraId="0067E6F7" w14:textId="77777777" w:rsidR="006E61C5" w:rsidRPr="00FF0208" w:rsidRDefault="006E61C5" w:rsidP="007C2BEF">
      <w:pPr>
        <w:tabs>
          <w:tab w:val="clear" w:pos="567"/>
          <w:tab w:val="clear" w:pos="1134"/>
          <w:tab w:val="clear" w:pos="1701"/>
          <w:tab w:val="clear" w:pos="2268"/>
          <w:tab w:val="clear" w:pos="2835"/>
        </w:tabs>
      </w:pPr>
      <w:r w:rsidRPr="00FF0208">
        <w:t>6.1</w:t>
      </w:r>
      <w:r w:rsidRPr="00FF0208">
        <w:tab/>
      </w:r>
      <w:bookmarkStart w:id="127" w:name="lt_pId179"/>
      <w:r w:rsidRPr="00FF0208">
        <w:t>La Responsable de l'éthique présente le rapport reproduit dans le Document C21/59, qui rend compte des activités menées par le Bureau de l'éthique en 2020 et contient des observations à prendre en considération dans le cadre des activités futures.</w:t>
      </w:r>
      <w:bookmarkEnd w:id="127"/>
      <w:r w:rsidRPr="00FF0208">
        <w:t xml:space="preserve"> </w:t>
      </w:r>
      <w:bookmarkStart w:id="128" w:name="lt_pId180"/>
      <w:r w:rsidRPr="00FF0208">
        <w:t>Elle note en particulier que la publication d'une Charte du Bureau de l'éthique permettrait de mieux définir le rôle et les responsabilités du bureau, et serait bienvenue dans le cadre de la poursuite des travaux visant à intégrer la nouvelle Unité d'investigation dans les textes et politiques pertinents de l'UIT.</w:t>
      </w:r>
      <w:bookmarkEnd w:id="128"/>
      <w:r w:rsidRPr="00FF0208">
        <w:t xml:space="preserve"> </w:t>
      </w:r>
      <w:bookmarkStart w:id="129" w:name="lt_pId181"/>
      <w:r w:rsidRPr="00FF0208">
        <w:t xml:space="preserve">En 2021, le Bureau de l'éthique s'attachera en priorité à renforcer et à harmoniser le cadre et le mécanisme </w:t>
      </w:r>
      <w:r w:rsidRPr="007C2BEF">
        <w:rPr>
          <w:spacing w:val="-2"/>
        </w:rPr>
        <w:t>en matière d'éthique, notamment en révisant les politiques relatives au harcèlement et au harcèlement sexuel et en contribuant à l'examen des procédures disciplinaires.</w:t>
      </w:r>
      <w:bookmarkEnd w:id="129"/>
      <w:r w:rsidRPr="007C2BEF">
        <w:rPr>
          <w:spacing w:val="-2"/>
        </w:rPr>
        <w:t xml:space="preserve"> </w:t>
      </w:r>
      <w:bookmarkStart w:id="130" w:name="lt_pId182"/>
      <w:r w:rsidRPr="007C2BEF">
        <w:rPr>
          <w:spacing w:val="-2"/>
        </w:rPr>
        <w:t>Le Conseil est invité à prendre note des Documents C21/59 et C20/59, lequel contient le rapport de l'année précédente.</w:t>
      </w:r>
      <w:bookmarkEnd w:id="130"/>
    </w:p>
    <w:p w14:paraId="2D14553E" w14:textId="77777777" w:rsidR="006E61C5" w:rsidRPr="00FF0208" w:rsidRDefault="006E61C5" w:rsidP="007C2BEF">
      <w:pPr>
        <w:tabs>
          <w:tab w:val="clear" w:pos="567"/>
          <w:tab w:val="clear" w:pos="1134"/>
          <w:tab w:val="clear" w:pos="1701"/>
          <w:tab w:val="clear" w:pos="2268"/>
          <w:tab w:val="clear" w:pos="2835"/>
        </w:tabs>
      </w:pPr>
      <w:r w:rsidRPr="00FF0208">
        <w:t>6.2</w:t>
      </w:r>
      <w:r w:rsidRPr="00FF0208">
        <w:tab/>
      </w:r>
      <w:bookmarkStart w:id="131" w:name="lt_pId184"/>
      <w:r w:rsidRPr="007C2BEF">
        <w:rPr>
          <w:spacing w:val="-2"/>
        </w:rPr>
        <w:t>Plusieurs Conseillers se félicitent du rapport et des travaux menés par le Bureau de l'éthique.</w:t>
      </w:r>
      <w:bookmarkEnd w:id="131"/>
    </w:p>
    <w:p w14:paraId="0016F841" w14:textId="0C2BAE12" w:rsidR="006E61C5" w:rsidRPr="00FF0208" w:rsidRDefault="006E61C5" w:rsidP="007C2BEF">
      <w:pPr>
        <w:tabs>
          <w:tab w:val="clear" w:pos="567"/>
          <w:tab w:val="clear" w:pos="1134"/>
          <w:tab w:val="clear" w:pos="1701"/>
          <w:tab w:val="clear" w:pos="2268"/>
          <w:tab w:val="clear" w:pos="2835"/>
        </w:tabs>
      </w:pPr>
      <w:r w:rsidRPr="00FF0208">
        <w:t>6.3</w:t>
      </w:r>
      <w:r w:rsidRPr="00FF0208">
        <w:tab/>
      </w:r>
      <w:bookmarkStart w:id="132" w:name="lt_pId186"/>
      <w:r w:rsidRPr="00FF0208">
        <w:t xml:space="preserve">Un Conseiller salue en particulier l'importance accordée aux activités de sensibilisation et à la formation des fonctionnaires de l'UIT en ce qui concerne les questions d'éthique, afin de s'assurer que les politiques sont pleinement mises en </w:t>
      </w:r>
      <w:r w:rsidR="00FF0208" w:rsidRPr="00FF0208">
        <w:t>œuvre</w:t>
      </w:r>
      <w:r w:rsidRPr="00FF0208">
        <w:t>.</w:t>
      </w:r>
      <w:bookmarkEnd w:id="132"/>
      <w:r w:rsidRPr="00FF0208">
        <w:t xml:space="preserve"> </w:t>
      </w:r>
      <w:bookmarkStart w:id="133" w:name="lt_pId187"/>
      <w:r w:rsidRPr="00FF0208">
        <w:t>L'orateur se félicite en outre de la participation de l'Union aux activités menées à l'échelle des Nations Unies en vue de veiller à ce que les organisations respectent les normes les plus rigoureuses en matière d'éthique.</w:t>
      </w:r>
      <w:bookmarkEnd w:id="133"/>
    </w:p>
    <w:p w14:paraId="0C3E977B" w14:textId="77777777" w:rsidR="006E61C5" w:rsidRPr="00FF0208" w:rsidRDefault="006E61C5" w:rsidP="007C2BEF">
      <w:pPr>
        <w:tabs>
          <w:tab w:val="clear" w:pos="567"/>
          <w:tab w:val="clear" w:pos="1134"/>
          <w:tab w:val="clear" w:pos="1701"/>
          <w:tab w:val="clear" w:pos="2268"/>
          <w:tab w:val="clear" w:pos="2835"/>
        </w:tabs>
      </w:pPr>
      <w:r w:rsidRPr="00FF0208">
        <w:t>6.4</w:t>
      </w:r>
      <w:r w:rsidRPr="00FF0208">
        <w:tab/>
      </w:r>
      <w:bookmarkStart w:id="134" w:name="lt_pId189"/>
      <w:r w:rsidRPr="00FF0208">
        <w:t>Une autre Conseillère note combien il est important de définir les responsabilités du Bureau de l'éthique et appuie la demande en faveur de la publication d'une charte.</w:t>
      </w:r>
      <w:bookmarkEnd w:id="134"/>
    </w:p>
    <w:p w14:paraId="5845F032" w14:textId="77777777" w:rsidR="006E61C5" w:rsidRPr="00FF0208" w:rsidRDefault="006E61C5" w:rsidP="007C2BEF">
      <w:pPr>
        <w:tabs>
          <w:tab w:val="clear" w:pos="567"/>
          <w:tab w:val="clear" w:pos="1134"/>
          <w:tab w:val="clear" w:pos="1701"/>
          <w:tab w:val="clear" w:pos="2268"/>
          <w:tab w:val="clear" w:pos="2835"/>
        </w:tabs>
      </w:pPr>
      <w:r w:rsidRPr="00FF0208">
        <w:t>6.5</w:t>
      </w:r>
      <w:r w:rsidRPr="00FF0208">
        <w:tab/>
      </w:r>
      <w:bookmarkStart w:id="135" w:name="lt_pId191"/>
      <w:r w:rsidRPr="00FF0208">
        <w:t>En réponse à une question posée par une Conseillère, la Responsable de l'éthique explique que les investigations ne relèvent pas du mandat du Bureau de l'éthique, raison pour laquelle elle n'est pas en mesure de fournir des informations actualisées quant à l'état d'avancement des cinq plaintes qui ont été déposées à des fins d'enquête formelle.</w:t>
      </w:r>
      <w:bookmarkEnd w:id="135"/>
    </w:p>
    <w:p w14:paraId="0E1CA399" w14:textId="77777777" w:rsidR="006E61C5" w:rsidRPr="00FF0208" w:rsidRDefault="006E61C5" w:rsidP="007C2BEF">
      <w:pPr>
        <w:tabs>
          <w:tab w:val="clear" w:pos="567"/>
          <w:tab w:val="clear" w:pos="1134"/>
          <w:tab w:val="clear" w:pos="1701"/>
          <w:tab w:val="clear" w:pos="2268"/>
          <w:tab w:val="clear" w:pos="2835"/>
        </w:tabs>
      </w:pPr>
      <w:r w:rsidRPr="00FF0208">
        <w:t>6.6</w:t>
      </w:r>
      <w:r w:rsidRPr="00FF0208">
        <w:tab/>
      </w:r>
      <w:bookmarkStart w:id="136" w:name="lt_pId193"/>
      <w:r w:rsidRPr="00FF0208">
        <w:t>Le Président considère que les Conseillers souhaitent conclure, compte tenu du caractère urgent de cette question, qu'une consultation par correspondance des États Membres du Conseil sera organisée afin de prendre note des Documents C21/59 et C20/59.</w:t>
      </w:r>
      <w:bookmarkEnd w:id="136"/>
    </w:p>
    <w:p w14:paraId="7BBCE864" w14:textId="77777777" w:rsidR="006E61C5" w:rsidRPr="00FF0208" w:rsidRDefault="006E61C5" w:rsidP="007C2BEF">
      <w:pPr>
        <w:tabs>
          <w:tab w:val="clear" w:pos="567"/>
          <w:tab w:val="clear" w:pos="1134"/>
          <w:tab w:val="clear" w:pos="1701"/>
          <w:tab w:val="clear" w:pos="2268"/>
          <w:tab w:val="clear" w:pos="2835"/>
        </w:tabs>
      </w:pPr>
      <w:r w:rsidRPr="00FF0208">
        <w:t>6.7</w:t>
      </w:r>
      <w:r w:rsidRPr="00FF0208">
        <w:tab/>
      </w:r>
      <w:bookmarkStart w:id="137" w:name="lt_pId195"/>
      <w:r w:rsidRPr="00FF0208">
        <w:t xml:space="preserve">Il en est ainsi </w:t>
      </w:r>
      <w:r w:rsidRPr="00FF0208">
        <w:rPr>
          <w:b/>
        </w:rPr>
        <w:t>conclu</w:t>
      </w:r>
      <w:r w:rsidRPr="00FF0208">
        <w:t>.</w:t>
      </w:r>
      <w:bookmarkEnd w:id="137"/>
    </w:p>
    <w:p w14:paraId="192C2CEE" w14:textId="77777777" w:rsidR="006E61C5" w:rsidRPr="00FF0208" w:rsidRDefault="006E61C5" w:rsidP="007C2BEF">
      <w:pPr>
        <w:pStyle w:val="Heading1"/>
        <w:tabs>
          <w:tab w:val="clear" w:pos="567"/>
          <w:tab w:val="clear" w:pos="1134"/>
          <w:tab w:val="clear" w:pos="1701"/>
          <w:tab w:val="clear" w:pos="2268"/>
          <w:tab w:val="clear" w:pos="2835"/>
        </w:tabs>
        <w:ind w:left="709" w:hanging="709"/>
      </w:pPr>
      <w:r w:rsidRPr="00FF0208">
        <w:rPr>
          <w:bCs/>
        </w:rPr>
        <w:lastRenderedPageBreak/>
        <w:t>7</w:t>
      </w:r>
      <w:r w:rsidRPr="00FF0208">
        <w:rPr>
          <w:bCs/>
        </w:rPr>
        <w:tab/>
      </w:r>
      <w:bookmarkStart w:id="138" w:name="lt_pId197"/>
      <w:r w:rsidRPr="00FF0208">
        <w:t>Passifs de l'assurance maladie après la cessation de service (ASHI) (Document </w:t>
      </w:r>
      <w:hyperlink r:id="rId27" w:history="1">
        <w:r w:rsidRPr="00FF0208">
          <w:rPr>
            <w:rStyle w:val="Hyperlink"/>
          </w:rPr>
          <w:t>C21/46</w:t>
        </w:r>
      </w:hyperlink>
      <w:r w:rsidRPr="00FF0208">
        <w:t>)</w:t>
      </w:r>
      <w:bookmarkEnd w:id="138"/>
    </w:p>
    <w:p w14:paraId="4EC46FD1" w14:textId="77777777" w:rsidR="006E61C5" w:rsidRPr="00FF0208" w:rsidRDefault="006E61C5" w:rsidP="007C2BEF">
      <w:pPr>
        <w:tabs>
          <w:tab w:val="clear" w:pos="567"/>
          <w:tab w:val="clear" w:pos="1134"/>
          <w:tab w:val="clear" w:pos="1701"/>
          <w:tab w:val="clear" w:pos="2268"/>
          <w:tab w:val="clear" w:pos="2835"/>
        </w:tabs>
      </w:pPr>
      <w:r w:rsidRPr="00FF0208">
        <w:t>7.1</w:t>
      </w:r>
      <w:r w:rsidRPr="00FF0208">
        <w:tab/>
      </w:r>
      <w:bookmarkStart w:id="139" w:name="lt_pId199"/>
      <w:r w:rsidRPr="00FF0208">
        <w:t>La représentante du Secrétariat général présente le Document C21/46 et attire l'attention sur les facteurs occasionnant une hausse du niveau des passifs de l'assurance maladie après la cessation de service (ASHI) et la proposition formulée par le Groupe de travail des Nations Unies sur l'ASHI visant à ce que chaque organisation du système des Nations Unies crée une réserve spéciale qui serait financée par le prélèvement d'une contribution correspondant à 5,35% de la masse salariale pour le personnel recruté à partir du 1er janvier 2022.</w:t>
      </w:r>
      <w:bookmarkEnd w:id="139"/>
      <w:r w:rsidRPr="00FF0208">
        <w:t xml:space="preserve"> </w:t>
      </w:r>
      <w:bookmarkStart w:id="140" w:name="lt_pId200"/>
      <w:r w:rsidRPr="00FF0208">
        <w:t>Le Conseil est invité à prendre note du Document C21/46 ainsi que du Document C20/46(Rév.1), lequel contient le rapport de l'année précédente.</w:t>
      </w:r>
      <w:bookmarkEnd w:id="140"/>
    </w:p>
    <w:p w14:paraId="61027818" w14:textId="77777777" w:rsidR="006E61C5" w:rsidRPr="00FF0208" w:rsidRDefault="006E61C5" w:rsidP="007C2BEF">
      <w:pPr>
        <w:tabs>
          <w:tab w:val="clear" w:pos="567"/>
          <w:tab w:val="clear" w:pos="1134"/>
          <w:tab w:val="clear" w:pos="1701"/>
          <w:tab w:val="clear" w:pos="2268"/>
          <w:tab w:val="clear" w:pos="2835"/>
        </w:tabs>
      </w:pPr>
      <w:r w:rsidRPr="00FF0208">
        <w:t>7.2</w:t>
      </w:r>
      <w:r w:rsidRPr="00FF0208">
        <w:tab/>
      </w:r>
      <w:bookmarkStart w:id="141" w:name="lt_pId202"/>
      <w:r w:rsidRPr="00FF0208">
        <w:t>En réponse aux questions soulevées par les Conseillers, le Chef du Département de la gestion des ressources financières (FRMD) explique que la proposition tendant à prélever une contribution correspondant à 5,35% de la masse salariale pour le personnel qui sera recruté à partir du 1er janvier 2022 doit être soumise à l'Assemblée générale des Nations Unies et doit donc encore être approuvée.</w:t>
      </w:r>
      <w:bookmarkEnd w:id="141"/>
      <w:r w:rsidRPr="00FF0208">
        <w:t xml:space="preserve"> </w:t>
      </w:r>
      <w:bookmarkStart w:id="142" w:name="lt_pId203"/>
      <w:r w:rsidRPr="00FF0208">
        <w:t>Toutefois, dans l'intervalle, l'UIT appliquera déjà cette mesure aux personnes nouvellement recrutées et prévoit également d'inclure une provision à ce sujet dans le projet de plan financier pour 2024-2027.</w:t>
      </w:r>
      <w:bookmarkEnd w:id="142"/>
    </w:p>
    <w:p w14:paraId="36C62263" w14:textId="57D5FF45" w:rsidR="006E61C5" w:rsidRPr="00FF0208" w:rsidRDefault="006E61C5" w:rsidP="007C2BEF">
      <w:pPr>
        <w:tabs>
          <w:tab w:val="clear" w:pos="567"/>
          <w:tab w:val="clear" w:pos="1134"/>
          <w:tab w:val="clear" w:pos="1701"/>
          <w:tab w:val="clear" w:pos="2268"/>
          <w:tab w:val="clear" w:pos="2835"/>
        </w:tabs>
      </w:pPr>
      <w:r w:rsidRPr="00FF0208">
        <w:t>7.3</w:t>
      </w:r>
      <w:r w:rsidRPr="00FF0208">
        <w:tab/>
      </w:r>
      <w:bookmarkStart w:id="143" w:name="lt_pId205"/>
      <w:r w:rsidRPr="00FF0208">
        <w:t>Le Chef du Département FRMD souligne que la plupart des organisations se trouvent une situation similaire, en raison de leurs effectifs vieillissants et des coûts médicaux élevés dans la région de Genève, et que l'UIT travaille en étroite collaboration avec d'autres organisations, notamment dans le cadre des travaux du Groupe de travail des Nations Unies sur l'ASHI, afin de déterminer les meilleures pratiques financières à long terme.</w:t>
      </w:r>
      <w:bookmarkEnd w:id="143"/>
      <w:r w:rsidRPr="00FF0208">
        <w:t xml:space="preserve"> </w:t>
      </w:r>
      <w:bookmarkStart w:id="144" w:name="lt_pId206"/>
      <w:r w:rsidRPr="00FF0208">
        <w:t xml:space="preserve">En outre, la Décision 5 (Rév. Dubaï, 2018) de la PP dispose qu'il est possible d'utiliser les économies pour alimenter le Fonds ASHI, et le Secrétaire général s'efforce d'affecter les excédents découlant de la mise en </w:t>
      </w:r>
      <w:r w:rsidR="00FF0208" w:rsidRPr="00FF0208">
        <w:t>œuvre</w:t>
      </w:r>
      <w:r w:rsidRPr="00FF0208">
        <w:t xml:space="preserve"> du budget au Fonds ASHI, chaque fois que possible.</w:t>
      </w:r>
      <w:bookmarkEnd w:id="144"/>
    </w:p>
    <w:p w14:paraId="6A21F87E" w14:textId="77777777" w:rsidR="006E61C5" w:rsidRPr="00FF0208" w:rsidRDefault="006E61C5" w:rsidP="007C2BEF">
      <w:pPr>
        <w:tabs>
          <w:tab w:val="clear" w:pos="567"/>
          <w:tab w:val="clear" w:pos="1134"/>
          <w:tab w:val="clear" w:pos="1701"/>
          <w:tab w:val="clear" w:pos="2268"/>
          <w:tab w:val="clear" w:pos="2835"/>
        </w:tabs>
      </w:pPr>
      <w:r w:rsidRPr="00FF0208">
        <w:t>7.4</w:t>
      </w:r>
      <w:r w:rsidRPr="00FF0208">
        <w:tab/>
      </w:r>
      <w:bookmarkStart w:id="145" w:name="lt_pId208"/>
      <w:r w:rsidRPr="00FF0208">
        <w:t>Enfin, le Chef du Département FRMD souligne qu'il est important de ne pas oublier, cependant, que l'Union est une entité viable et que les passifs de l'ASHI ne seront exigibles que dans le cas très hypothétique de la cessation d'activités de l'UIT; il se trouve simplement que, conformément aux normes comptables pour le secteur public international (IPSAS), les organisations doivent prévoir une provision pour faire face à cette éventualité peu probable.</w:t>
      </w:r>
      <w:bookmarkEnd w:id="145"/>
      <w:r w:rsidRPr="00FF0208">
        <w:t xml:space="preserve"> </w:t>
      </w:r>
      <w:bookmarkStart w:id="146" w:name="lt_pId209"/>
      <w:r w:rsidRPr="00FF0208">
        <w:t>Assurément, aucun problème ne se pose à court ou à moyen terme.</w:t>
      </w:r>
      <w:bookmarkEnd w:id="146"/>
    </w:p>
    <w:p w14:paraId="3446F362" w14:textId="77777777" w:rsidR="006E61C5" w:rsidRPr="00FF0208" w:rsidRDefault="006E61C5" w:rsidP="007C2BEF">
      <w:pPr>
        <w:tabs>
          <w:tab w:val="clear" w:pos="567"/>
          <w:tab w:val="clear" w:pos="1134"/>
          <w:tab w:val="clear" w:pos="1701"/>
          <w:tab w:val="clear" w:pos="2268"/>
          <w:tab w:val="clear" w:pos="2835"/>
        </w:tabs>
      </w:pPr>
      <w:r w:rsidRPr="00FF0208">
        <w:t>7.5</w:t>
      </w:r>
      <w:r w:rsidRPr="00FF0208">
        <w:tab/>
      </w:r>
      <w:bookmarkStart w:id="147" w:name="lt_pId211"/>
      <w:r w:rsidRPr="00FF0208">
        <w:t>En réponse à une question posée par un Conseiller, la représentante du Secrétariat général dit que l'argent versé pour rejoindre le régime d'assurance maladie UNSMIS provient entièrement du Fonds de garantie de l'assurance maladie (CCAM) et n'a donc eu aucune incidence sur les liquidités ou les finances de l'Union.</w:t>
      </w:r>
      <w:bookmarkEnd w:id="147"/>
    </w:p>
    <w:p w14:paraId="20F3C8E0" w14:textId="77777777" w:rsidR="006E61C5" w:rsidRPr="00FF0208" w:rsidRDefault="006E61C5" w:rsidP="007C2BEF">
      <w:pPr>
        <w:tabs>
          <w:tab w:val="clear" w:pos="567"/>
          <w:tab w:val="clear" w:pos="1134"/>
          <w:tab w:val="clear" w:pos="1701"/>
          <w:tab w:val="clear" w:pos="2268"/>
          <w:tab w:val="clear" w:pos="2835"/>
        </w:tabs>
      </w:pPr>
      <w:r w:rsidRPr="00FF0208">
        <w:t>7.6</w:t>
      </w:r>
      <w:r w:rsidRPr="00FF0208">
        <w:tab/>
      </w:r>
      <w:bookmarkStart w:id="148" w:name="lt_pId213"/>
      <w:r w:rsidRPr="00FF0208">
        <w:t>Le Président considère que les Conseillers souhaitent conclure, compte tenu du caractère urgent de cette question, qu'une consultation par correspondance des États Membres du Conseil sera organisée afin de prendre note des Documents C21/46 et C20/46(Rév.1).</w:t>
      </w:r>
      <w:bookmarkEnd w:id="148"/>
    </w:p>
    <w:p w14:paraId="436DFDC9" w14:textId="77777777" w:rsidR="006E61C5" w:rsidRPr="00FF0208" w:rsidRDefault="006E61C5" w:rsidP="007C2BEF">
      <w:pPr>
        <w:tabs>
          <w:tab w:val="clear" w:pos="567"/>
          <w:tab w:val="clear" w:pos="1134"/>
          <w:tab w:val="clear" w:pos="1701"/>
          <w:tab w:val="clear" w:pos="2268"/>
          <w:tab w:val="clear" w:pos="2835"/>
        </w:tabs>
      </w:pPr>
      <w:r w:rsidRPr="00FF0208">
        <w:t>7.7</w:t>
      </w:r>
      <w:r w:rsidRPr="00FF0208">
        <w:tab/>
      </w:r>
      <w:bookmarkStart w:id="149" w:name="lt_pId215"/>
      <w:r w:rsidRPr="00FF0208">
        <w:t xml:space="preserve">Il en est ainsi </w:t>
      </w:r>
      <w:r w:rsidRPr="00FF0208">
        <w:rPr>
          <w:b/>
        </w:rPr>
        <w:t>conclu</w:t>
      </w:r>
      <w:r w:rsidRPr="00FF0208">
        <w:t>.</w:t>
      </w:r>
      <w:bookmarkEnd w:id="149"/>
    </w:p>
    <w:p w14:paraId="6DADDBA3" w14:textId="0F99F427" w:rsidR="006E61C5" w:rsidRPr="00FF0208" w:rsidRDefault="006E61C5" w:rsidP="007C2BEF">
      <w:pPr>
        <w:pStyle w:val="Heading1"/>
        <w:tabs>
          <w:tab w:val="clear" w:pos="567"/>
          <w:tab w:val="clear" w:pos="1134"/>
          <w:tab w:val="clear" w:pos="1701"/>
          <w:tab w:val="clear" w:pos="2268"/>
          <w:tab w:val="clear" w:pos="2835"/>
        </w:tabs>
        <w:ind w:left="709" w:hanging="709"/>
      </w:pPr>
      <w:r w:rsidRPr="00FF0208">
        <w:rPr>
          <w:bCs/>
        </w:rPr>
        <w:lastRenderedPageBreak/>
        <w:t>8</w:t>
      </w:r>
      <w:r w:rsidRPr="00FF0208">
        <w:rPr>
          <w:bCs/>
        </w:rPr>
        <w:tab/>
      </w:r>
      <w:bookmarkStart w:id="150" w:name="lt_pId217"/>
      <w:r w:rsidRPr="00FF0208">
        <w:t xml:space="preserve">Indice de développement des TIC (Documents </w:t>
      </w:r>
      <w:hyperlink r:id="rId28" w:history="1">
        <w:r w:rsidRPr="00FF0208">
          <w:rPr>
            <w:rStyle w:val="Hyperlink"/>
          </w:rPr>
          <w:t>C21/62</w:t>
        </w:r>
      </w:hyperlink>
      <w:r w:rsidRPr="00FF0208">
        <w:t xml:space="preserve"> et </w:t>
      </w:r>
      <w:hyperlink r:id="rId29" w:history="1">
        <w:r w:rsidRPr="00FF0208">
          <w:rPr>
            <w:rStyle w:val="Hyperlink"/>
          </w:rPr>
          <w:t>C21/80</w:t>
        </w:r>
      </w:hyperlink>
      <w:r w:rsidRPr="00FF0208">
        <w:t>)</w:t>
      </w:r>
      <w:bookmarkEnd w:id="150"/>
    </w:p>
    <w:p w14:paraId="41CFF154" w14:textId="64C73665" w:rsidR="006E61C5" w:rsidRPr="00FF0208" w:rsidRDefault="006E61C5" w:rsidP="007C2BEF">
      <w:pPr>
        <w:keepNext/>
        <w:keepLines/>
        <w:tabs>
          <w:tab w:val="clear" w:pos="567"/>
          <w:tab w:val="clear" w:pos="1134"/>
          <w:tab w:val="clear" w:pos="1701"/>
          <w:tab w:val="clear" w:pos="2268"/>
          <w:tab w:val="clear" w:pos="2835"/>
        </w:tabs>
      </w:pPr>
      <w:r w:rsidRPr="00FF0208">
        <w:t>8.1</w:t>
      </w:r>
      <w:r w:rsidRPr="00FF0208">
        <w:tab/>
      </w:r>
      <w:bookmarkStart w:id="151" w:name="lt_pId219"/>
      <w:r w:rsidRPr="00FF0208">
        <w:t>La représentante du BDT présente le Document C21/62 et dit que l'Indice de développement des TIC (IDI) a été publié de 2009 à 2017, lorsqu'un indice IDI révisé a été proposé afin de tenir compte des avancées techniques.</w:t>
      </w:r>
      <w:bookmarkEnd w:id="151"/>
      <w:r w:rsidRPr="00FF0208">
        <w:t xml:space="preserve"> </w:t>
      </w:r>
      <w:bookmarkStart w:id="152" w:name="lt_pId220"/>
      <w:r w:rsidRPr="00FF0208">
        <w:t>Depuis 2018, les efforts déployés, soit pour publier l'indice IDI conformément à la Résolution 131 (Rév. Dubaï, 2018) de la PP, soit pour élaborer un indice entièrement nouveau, n'ont pas abouti, étant donné que le Groupe d'experts sur les indicateurs des télécommunications/TIC (EGTI) et le Groupe d'experts sur les indicateurs relatifs à l'utilisation des TIC par les ménages (EGH) ne sont parvenus à aucun consensus.</w:t>
      </w:r>
      <w:bookmarkEnd w:id="152"/>
      <w:r w:rsidRPr="00FF0208">
        <w:t xml:space="preserve"> </w:t>
      </w:r>
      <w:bookmarkStart w:id="153" w:name="lt_pId221"/>
      <w:r w:rsidRPr="00FF0208">
        <w:t>La Résolution de la PP ne prévoit aucun mécanisme pour résoudre ce genre de situation.</w:t>
      </w:r>
      <w:bookmarkEnd w:id="153"/>
      <w:r w:rsidRPr="00FF0208">
        <w:t xml:space="preserve"> </w:t>
      </w:r>
      <w:bookmarkStart w:id="154" w:name="lt_pId222"/>
      <w:r w:rsidRPr="00FF0208">
        <w:t>Au vu des divergences profondes et multiples, il semble difficile de parvenir à un consensus.</w:t>
      </w:r>
      <w:bookmarkEnd w:id="154"/>
      <w:r w:rsidRPr="00FF0208">
        <w:t xml:space="preserve"> </w:t>
      </w:r>
      <w:bookmarkStart w:id="155" w:name="lt_pId223"/>
      <w:r w:rsidRPr="00FF0208">
        <w:t>En particulier, les membres des Groupes EGTI et EGH ne se sont entendus ni sur une méthodologie à utiliser, ni sur le processus d'élaboration de cette méthodologie.</w:t>
      </w:r>
      <w:bookmarkEnd w:id="155"/>
      <w:r w:rsidRPr="00FF0208">
        <w:t xml:space="preserve"> </w:t>
      </w:r>
      <w:bookmarkStart w:id="156" w:name="lt_pId224"/>
      <w:r w:rsidRPr="00FF0208">
        <w:t xml:space="preserve">Le secrétariat a mobilisé des efforts considérables pour sortir de cette impasse, notamment en proposant </w:t>
      </w:r>
      <w:bookmarkStart w:id="157" w:name="lt_pId225"/>
      <w:bookmarkEnd w:id="156"/>
      <w:r w:rsidR="002974A8" w:rsidRPr="00FF0208">
        <w:t xml:space="preserve">une version révisée de l'Indice IDI et un concept concernant un nouvel indice établissant des liens entre les TIC et les Objectifs de développement durable (ODD), mais aucun consensus n'a été obtenu concernant l'une ou l'autre </w:t>
      </w:r>
      <w:r w:rsidR="004C0F81" w:rsidRPr="00FF0208">
        <w:t xml:space="preserve">des </w:t>
      </w:r>
      <w:r w:rsidR="002974A8" w:rsidRPr="00FF0208">
        <w:t>proposition</w:t>
      </w:r>
      <w:r w:rsidR="004C0F81" w:rsidRPr="00FF0208">
        <w:t>s</w:t>
      </w:r>
      <w:r w:rsidR="002974A8" w:rsidRPr="00FF0208">
        <w:t xml:space="preserve">. Afin de sortir de l'impasse actuelle, il convient de trouver un consensus au sujet du processus qui sous-tend l'élaboration d'un indice. </w:t>
      </w:r>
      <w:r w:rsidR="00A15D98" w:rsidRPr="00FF0208">
        <w:t xml:space="preserve">Le Secrétariat </w:t>
      </w:r>
      <w:r w:rsidR="008F61BC" w:rsidRPr="00FF0208">
        <w:t xml:space="preserve">continue </w:t>
      </w:r>
      <w:r w:rsidRPr="00FF0208">
        <w:t>néanmoins de s'acquitter de son mandat en ce qui concerne les statistiques officielles et de rechercher de nouvelles solutions pour présenter les données et renforcer ses mesures de collecte de données</w:t>
      </w:r>
      <w:bookmarkEnd w:id="157"/>
      <w:r w:rsidR="002974A8" w:rsidRPr="00FF0208">
        <w:t>.</w:t>
      </w:r>
    </w:p>
    <w:p w14:paraId="6169F9C2" w14:textId="78D6B4F4" w:rsidR="006E61C5" w:rsidRPr="00FF0208" w:rsidRDefault="006E61C5" w:rsidP="007C2BEF">
      <w:pPr>
        <w:tabs>
          <w:tab w:val="clear" w:pos="567"/>
          <w:tab w:val="clear" w:pos="1134"/>
          <w:tab w:val="clear" w:pos="1701"/>
          <w:tab w:val="clear" w:pos="2268"/>
          <w:tab w:val="clear" w:pos="2835"/>
        </w:tabs>
      </w:pPr>
      <w:r w:rsidRPr="00FF0208">
        <w:t>8.2</w:t>
      </w:r>
      <w:r w:rsidRPr="00FF0208">
        <w:tab/>
      </w:r>
      <w:bookmarkStart w:id="158" w:name="lt_pId228"/>
      <w:r w:rsidRPr="00FF0208">
        <w:t>Le Conseiller de la Tunisie regrette qu'il n'ait pas été possible de publier l'indice IDI depuis plusieurs années et présente le Document C21/80, qui contient une proposition visant à publier l'indice IDI pour les années 2018, 2019, 2020 et pour les années à venir, selon la métho</w:t>
      </w:r>
      <w:r w:rsidR="002D0EE0" w:rsidRPr="00FF0208">
        <w:t>do</w:t>
      </w:r>
      <w:r w:rsidRPr="00FF0208">
        <w:t>logie initiale, tant qu'une nouvelle approche n'a pas été approuvée, tout en poursuivant les travaux relatifs à la proposition formulée par le secrétariat en 2020, complétée par un certain nombre d'indicateurs supplémentaires.</w:t>
      </w:r>
      <w:bookmarkEnd w:id="158"/>
    </w:p>
    <w:p w14:paraId="399F63F0" w14:textId="77777777" w:rsidR="006E61C5" w:rsidRPr="00FF0208" w:rsidRDefault="006E61C5" w:rsidP="007C2BEF">
      <w:pPr>
        <w:tabs>
          <w:tab w:val="clear" w:pos="567"/>
          <w:tab w:val="clear" w:pos="1134"/>
          <w:tab w:val="clear" w:pos="1701"/>
          <w:tab w:val="clear" w:pos="2268"/>
          <w:tab w:val="clear" w:pos="2835"/>
        </w:tabs>
      </w:pPr>
      <w:r w:rsidRPr="00FF0208">
        <w:t>8.3</w:t>
      </w:r>
      <w:r w:rsidRPr="00FF0208">
        <w:tab/>
      </w:r>
      <w:bookmarkStart w:id="159" w:name="lt_pId230"/>
      <w:r w:rsidRPr="00FF0208">
        <w:t>Le Président prie instamment les Conseillers de se concentrer sur la façon de progresser dans l'examen d'une question importante, plutôt que de s'attarder sur les raisons à l'origine de cette situation, et d'éviter de rouvrir d'anciens débats.</w:t>
      </w:r>
      <w:bookmarkEnd w:id="159"/>
    </w:p>
    <w:p w14:paraId="32C9CD93" w14:textId="39B5CF45" w:rsidR="006E61C5" w:rsidRPr="00FF0208" w:rsidRDefault="006E61C5" w:rsidP="007C2BEF">
      <w:pPr>
        <w:tabs>
          <w:tab w:val="clear" w:pos="567"/>
          <w:tab w:val="clear" w:pos="1134"/>
          <w:tab w:val="clear" w:pos="1701"/>
          <w:tab w:val="clear" w:pos="2268"/>
          <w:tab w:val="clear" w:pos="2835"/>
        </w:tabs>
      </w:pPr>
      <w:r w:rsidRPr="00FF0208">
        <w:t>8.4</w:t>
      </w:r>
      <w:r w:rsidRPr="00FF0208">
        <w:tab/>
      </w:r>
      <w:bookmarkStart w:id="160" w:name="lt_pId232"/>
      <w:r w:rsidRPr="00FF0208">
        <w:t>Lors de la discussion qui suit, les participants expriment leur gratitude au secrétariat pour les efforts qu'il a consentis afin de sortir de cette impasse et de poursuivre ses activités sur le plan des statistiques, et soulignent combien il est important d'élaborer un indice fiable.</w:t>
      </w:r>
      <w:bookmarkEnd w:id="160"/>
      <w:r w:rsidRPr="00FF0208">
        <w:t xml:space="preserve"> </w:t>
      </w:r>
      <w:bookmarkStart w:id="161" w:name="lt_pId233"/>
      <w:r w:rsidRPr="00FF0208">
        <w:t>Si plusieurs Conseillers sont d'avis que des efforts supplémentaires sont nécessaires pour résoudre l'absence de consensus au sein des Groupes EGTI et EGH, certains formulant des propositions de métho</w:t>
      </w:r>
      <w:r w:rsidR="002D0EE0" w:rsidRPr="00FF0208">
        <w:t>do</w:t>
      </w:r>
      <w:r w:rsidRPr="00FF0208">
        <w:t>logie précises, d'autres expriment la ferme conviction que la poursuite des discussions des Groupes EGTI et EGH devrait être reportée jusqu'à ce que les causes sous-jacentes de cette impasse soient résolues.</w:t>
      </w:r>
      <w:bookmarkEnd w:id="161"/>
      <w:r w:rsidRPr="00FF0208">
        <w:t xml:space="preserve"> </w:t>
      </w:r>
      <w:bookmarkStart w:id="162" w:name="lt_pId234"/>
      <w:r w:rsidRPr="00FF0208">
        <w:t>Il est suggéré de porter cette question à la PP-22 afin qu'une décision soit prise dans le cadre de la Résolution 131.</w:t>
      </w:r>
      <w:bookmarkEnd w:id="162"/>
      <w:r w:rsidRPr="00FF0208">
        <w:t xml:space="preserve"> </w:t>
      </w:r>
      <w:bookmarkStart w:id="163" w:name="lt_pId235"/>
      <w:r w:rsidRPr="00FF0208">
        <w:t>Un Conseiller encourage le secrétariat à entamer des discussions, notamment sur la méthodologie et les processus, avec les États Membres, avant de présenter un rapport au Conseil à sa session suivante.</w:t>
      </w:r>
      <w:bookmarkEnd w:id="163"/>
      <w:r w:rsidRPr="00FF0208">
        <w:t xml:space="preserve"> </w:t>
      </w:r>
      <w:bookmarkStart w:id="164" w:name="lt_pId236"/>
      <w:r w:rsidRPr="00FF0208">
        <w:t>D'autres Conseillers accueillent favorablement la proposition soumise par l'Administration de la Tunisie en ce qu'elle constitue un bon point de départ.</w:t>
      </w:r>
      <w:bookmarkEnd w:id="164"/>
      <w:r w:rsidRPr="00FF0208">
        <w:t xml:space="preserve"> </w:t>
      </w:r>
      <w:bookmarkStart w:id="165" w:name="lt_pId237"/>
      <w:r w:rsidRPr="00FF0208">
        <w:t>Des avis divergents sont exprimés quant à la question de savoir si l'indice IDI doit être publié selon la méthodologie existante ou selon une nouvelle méthodologie, comme celle proposée par le secrétariat en 2020, ou s'il faut cesser de le publier.</w:t>
      </w:r>
      <w:bookmarkEnd w:id="165"/>
      <w:r w:rsidRPr="00FF0208">
        <w:t xml:space="preserve"> </w:t>
      </w:r>
      <w:bookmarkStart w:id="166" w:name="lt_pId238"/>
      <w:r w:rsidRPr="00FF0208">
        <w:t xml:space="preserve">Des informations supplémentaires sont demandées concernant les efforts consentis par le secrétariat pour parvenir </w:t>
      </w:r>
      <w:r w:rsidRPr="00FF0208">
        <w:lastRenderedPageBreak/>
        <w:t>à un consensus sur la publication de l'indice IDI et, partant, sur l'application de la Résolution 131 (Rév. Dubaï, 2018).</w:t>
      </w:r>
      <w:bookmarkEnd w:id="166"/>
    </w:p>
    <w:p w14:paraId="02E03CA6" w14:textId="77777777" w:rsidR="006E61C5" w:rsidRPr="00FF0208" w:rsidRDefault="006E61C5" w:rsidP="007C2BEF">
      <w:pPr>
        <w:tabs>
          <w:tab w:val="clear" w:pos="567"/>
          <w:tab w:val="clear" w:pos="1134"/>
          <w:tab w:val="clear" w:pos="1701"/>
          <w:tab w:val="clear" w:pos="2268"/>
          <w:tab w:val="clear" w:pos="2835"/>
        </w:tabs>
      </w:pPr>
      <w:r w:rsidRPr="00FF0208">
        <w:t>8.5</w:t>
      </w:r>
      <w:r w:rsidRPr="00FF0208">
        <w:tab/>
      </w:r>
      <w:bookmarkStart w:id="167" w:name="lt_pId240"/>
      <w:r w:rsidRPr="00FF0208">
        <w:t>Le représentant du BDT dit que tous les moyens pour parvenir à un consensus, que ce soit concernant la méthodologie initiale, l'indice IDI révisé, ou la proposition formulée par le secrétariat en 2020, ont été épuisés.</w:t>
      </w:r>
      <w:bookmarkEnd w:id="167"/>
      <w:r w:rsidRPr="00FF0208">
        <w:t xml:space="preserve"> </w:t>
      </w:r>
      <w:bookmarkStart w:id="168" w:name="lt_pId241"/>
      <w:r w:rsidRPr="00FF0208">
        <w:t>Il ne sera pas possible de résoudre les problèmes relatifs à la disponibilité et à la qualité des données, ni de parvenir à un consensus, tant que les questions de gouvernance ne sont pas résolues.</w:t>
      </w:r>
      <w:bookmarkEnd w:id="168"/>
    </w:p>
    <w:p w14:paraId="6F836147" w14:textId="77777777" w:rsidR="006E61C5" w:rsidRPr="00FF0208" w:rsidRDefault="006E61C5" w:rsidP="007C2BEF">
      <w:pPr>
        <w:tabs>
          <w:tab w:val="clear" w:pos="567"/>
          <w:tab w:val="clear" w:pos="1134"/>
          <w:tab w:val="clear" w:pos="1701"/>
          <w:tab w:val="clear" w:pos="2268"/>
          <w:tab w:val="clear" w:pos="2835"/>
        </w:tabs>
      </w:pPr>
      <w:r w:rsidRPr="00FF0208">
        <w:t>8.6</w:t>
      </w:r>
      <w:r w:rsidRPr="00FF0208">
        <w:tab/>
      </w:r>
      <w:bookmarkStart w:id="169" w:name="lt_pId243"/>
      <w:r w:rsidRPr="00FF0208">
        <w:t>Le Président observe que le Conseil n'est pas le cadre indiqué pour débattre de détails techniques mais qu'une solution doit être trouvée, et considère que les Conseillers souhaitent conclure ce qui suit:</w:t>
      </w:r>
      <w:bookmarkEnd w:id="169"/>
    </w:p>
    <w:p w14:paraId="1E37CABF" w14:textId="50AAFB7C" w:rsidR="006E61C5" w:rsidRPr="00FF0208" w:rsidRDefault="002D0EE0" w:rsidP="007C2BEF">
      <w:pPr>
        <w:pStyle w:val="enumlev1"/>
        <w:tabs>
          <w:tab w:val="clear" w:pos="567"/>
          <w:tab w:val="clear" w:pos="1134"/>
          <w:tab w:val="clear" w:pos="1701"/>
          <w:tab w:val="clear" w:pos="2268"/>
          <w:tab w:val="clear" w:pos="2835"/>
        </w:tabs>
        <w:ind w:left="709" w:hanging="709"/>
      </w:pPr>
      <w:bookmarkStart w:id="170" w:name="lt_pId244"/>
      <w:r w:rsidRPr="00FF0208">
        <w:t>–</w:t>
      </w:r>
      <w:r w:rsidRPr="00FF0208">
        <w:tab/>
      </w:r>
      <w:r w:rsidR="006E61C5" w:rsidRPr="00FF0208">
        <w:t>Il est pris note de toutes les vues et de tous les commentaires formulés durant la séance.</w:t>
      </w:r>
      <w:bookmarkEnd w:id="170"/>
    </w:p>
    <w:p w14:paraId="5D69C5CB" w14:textId="30751220" w:rsidR="006E61C5" w:rsidRPr="00FF0208" w:rsidRDefault="002D0EE0" w:rsidP="007C2BEF">
      <w:pPr>
        <w:pStyle w:val="enumlev1"/>
        <w:tabs>
          <w:tab w:val="clear" w:pos="567"/>
          <w:tab w:val="clear" w:pos="1134"/>
          <w:tab w:val="clear" w:pos="1701"/>
          <w:tab w:val="clear" w:pos="2268"/>
          <w:tab w:val="clear" w:pos="2835"/>
        </w:tabs>
        <w:ind w:left="709" w:hanging="709"/>
      </w:pPr>
      <w:bookmarkStart w:id="171" w:name="lt_pId245"/>
      <w:r w:rsidRPr="00FF0208">
        <w:t>–</w:t>
      </w:r>
      <w:r w:rsidRPr="00FF0208">
        <w:tab/>
      </w:r>
      <w:r w:rsidR="006E61C5" w:rsidRPr="00FF0208">
        <w:t>Les Conseillers apprécient les efforts entrepris par le secrétariat pour faire avancer les travaux dans le domaine des statistiques.</w:t>
      </w:r>
      <w:bookmarkEnd w:id="171"/>
    </w:p>
    <w:p w14:paraId="3DD5F6BB" w14:textId="2F6B4EB6" w:rsidR="006E61C5" w:rsidRPr="00FF0208" w:rsidRDefault="002D0EE0" w:rsidP="007C2BEF">
      <w:pPr>
        <w:pStyle w:val="enumlev1"/>
        <w:tabs>
          <w:tab w:val="clear" w:pos="567"/>
          <w:tab w:val="clear" w:pos="1134"/>
          <w:tab w:val="clear" w:pos="1701"/>
          <w:tab w:val="clear" w:pos="2268"/>
          <w:tab w:val="clear" w:pos="2835"/>
        </w:tabs>
        <w:ind w:left="709" w:hanging="709"/>
      </w:pPr>
      <w:bookmarkStart w:id="172" w:name="lt_pId246"/>
      <w:r w:rsidRPr="00FF0208">
        <w:t>–</w:t>
      </w:r>
      <w:r w:rsidRPr="00FF0208">
        <w:tab/>
      </w:r>
      <w:r w:rsidR="006E61C5" w:rsidRPr="007C2BEF">
        <w:rPr>
          <w:spacing w:val="-2"/>
        </w:rPr>
        <w:t>Il est convenu que les discussions ultérieures ainsi que toute décision concernant l'avenir de l'indice IDI seront reportées à la prochaine PP dans le cadre de l'examen de la Résolution</w:t>
      </w:r>
      <w:r w:rsidRPr="007C2BEF">
        <w:rPr>
          <w:spacing w:val="-2"/>
        </w:rPr>
        <w:t> </w:t>
      </w:r>
      <w:r w:rsidR="006E61C5" w:rsidRPr="007C2BEF">
        <w:rPr>
          <w:spacing w:val="-2"/>
        </w:rPr>
        <w:t>131.</w:t>
      </w:r>
      <w:bookmarkEnd w:id="172"/>
    </w:p>
    <w:p w14:paraId="161039BF" w14:textId="3DBD4BE6" w:rsidR="006E61C5" w:rsidRPr="00FF0208" w:rsidRDefault="002D0EE0" w:rsidP="007C2BEF">
      <w:pPr>
        <w:pStyle w:val="enumlev1"/>
        <w:tabs>
          <w:tab w:val="clear" w:pos="567"/>
          <w:tab w:val="clear" w:pos="1134"/>
          <w:tab w:val="clear" w:pos="1701"/>
          <w:tab w:val="clear" w:pos="2268"/>
          <w:tab w:val="clear" w:pos="2835"/>
        </w:tabs>
        <w:ind w:left="709" w:hanging="709"/>
      </w:pPr>
      <w:bookmarkStart w:id="173" w:name="lt_pId247"/>
      <w:r w:rsidRPr="00FF0208">
        <w:t>–</w:t>
      </w:r>
      <w:r w:rsidRPr="00FF0208">
        <w:tab/>
      </w:r>
      <w:r w:rsidR="006E61C5" w:rsidRPr="00FF0208">
        <w:t>Compte tenu du caractère urgent de cette question, une consultation par correspondance des États Membres du Conseil sera organisée afin de prendre note du rapport figurant dans le Document C21/62</w:t>
      </w:r>
      <w:bookmarkEnd w:id="173"/>
      <w:r w:rsidR="006E61C5" w:rsidRPr="00FF0208">
        <w:t>.</w:t>
      </w:r>
    </w:p>
    <w:p w14:paraId="07840385" w14:textId="77777777" w:rsidR="006E61C5" w:rsidRPr="00FF0208" w:rsidRDefault="006E61C5" w:rsidP="007C2BEF">
      <w:pPr>
        <w:tabs>
          <w:tab w:val="clear" w:pos="567"/>
          <w:tab w:val="clear" w:pos="1134"/>
          <w:tab w:val="clear" w:pos="1701"/>
          <w:tab w:val="clear" w:pos="2268"/>
          <w:tab w:val="clear" w:pos="2835"/>
        </w:tabs>
        <w:ind w:left="709" w:hanging="709"/>
      </w:pPr>
      <w:r w:rsidRPr="00FF0208">
        <w:t>8.7</w:t>
      </w:r>
      <w:r w:rsidRPr="00FF0208">
        <w:tab/>
      </w:r>
      <w:bookmarkStart w:id="174" w:name="lt_pId249"/>
      <w:r w:rsidRPr="00FF0208">
        <w:t xml:space="preserve">Il en est ainsi </w:t>
      </w:r>
      <w:r w:rsidRPr="00FF0208">
        <w:rPr>
          <w:b/>
        </w:rPr>
        <w:t>conclu</w:t>
      </w:r>
      <w:r w:rsidRPr="00FF0208">
        <w:t>.</w:t>
      </w:r>
      <w:bookmarkEnd w:id="174"/>
    </w:p>
    <w:p w14:paraId="6E87C275" w14:textId="77777777" w:rsidR="006E61C5" w:rsidRPr="00FF0208" w:rsidRDefault="006E61C5" w:rsidP="007C2BEF">
      <w:pPr>
        <w:pStyle w:val="Heading1"/>
        <w:tabs>
          <w:tab w:val="clear" w:pos="567"/>
          <w:tab w:val="clear" w:pos="1134"/>
          <w:tab w:val="clear" w:pos="1701"/>
          <w:tab w:val="clear" w:pos="2268"/>
          <w:tab w:val="clear" w:pos="2835"/>
        </w:tabs>
        <w:ind w:left="709" w:hanging="709"/>
      </w:pPr>
      <w:r w:rsidRPr="00FF0208">
        <w:rPr>
          <w:bCs/>
        </w:rPr>
        <w:t>9</w:t>
      </w:r>
      <w:r w:rsidRPr="00FF0208">
        <w:rPr>
          <w:bCs/>
        </w:rPr>
        <w:tab/>
      </w:r>
      <w:bookmarkStart w:id="175" w:name="lt_pId251"/>
      <w:r w:rsidRPr="00FF0208">
        <w:t xml:space="preserve">Résultats de la CMR-19 ayant des incidences financières (Document </w:t>
      </w:r>
      <w:hyperlink r:id="rId30" w:history="1">
        <w:r w:rsidRPr="00FF0208">
          <w:rPr>
            <w:rStyle w:val="Hyperlink"/>
          </w:rPr>
          <w:t>C21/67</w:t>
        </w:r>
      </w:hyperlink>
      <w:r w:rsidRPr="00FF0208">
        <w:t>)</w:t>
      </w:r>
      <w:bookmarkEnd w:id="175"/>
    </w:p>
    <w:p w14:paraId="693BE4BC" w14:textId="1D5CC1E9" w:rsidR="006E61C5" w:rsidRPr="00FF0208" w:rsidRDefault="006E61C5" w:rsidP="007C2BEF">
      <w:pPr>
        <w:tabs>
          <w:tab w:val="clear" w:pos="567"/>
          <w:tab w:val="clear" w:pos="1134"/>
          <w:tab w:val="clear" w:pos="1701"/>
          <w:tab w:val="clear" w:pos="2268"/>
          <w:tab w:val="clear" w:pos="2835"/>
        </w:tabs>
      </w:pPr>
      <w:r w:rsidRPr="00FF0208">
        <w:t>9.1</w:t>
      </w:r>
      <w:r w:rsidRPr="00FF0208">
        <w:tab/>
      </w:r>
      <w:bookmarkStart w:id="176" w:name="lt_pId253"/>
      <w:r w:rsidRPr="00FF0208">
        <w:t xml:space="preserve">L'Adjointe au Directeur du BR présente le Document C21/67 et dit que, depuis l'examen de cette question par les Conseillers en 2020, le Secrétaire général a fait usage du pouvoir qui lui est conféré pour affecter les économies découlant de la mise en </w:t>
      </w:r>
      <w:r w:rsidR="00FF0208" w:rsidRPr="00FF0208">
        <w:t>œuvre</w:t>
      </w:r>
      <w:r w:rsidRPr="00FF0208">
        <w:t xml:space="preserve"> du budget du BR pour 2020 afin de financer l'élaboration des logiciels nécessaires à la mise en œuvre de certains des résultats </w:t>
      </w:r>
      <w:r w:rsidRPr="007C2BEF">
        <w:rPr>
          <w:spacing w:val="-2"/>
        </w:rPr>
        <w:t>de la CMR-19.</w:t>
      </w:r>
      <w:bookmarkEnd w:id="176"/>
      <w:r w:rsidRPr="007C2BEF">
        <w:rPr>
          <w:spacing w:val="-2"/>
        </w:rPr>
        <w:t xml:space="preserve"> </w:t>
      </w:r>
      <w:bookmarkStart w:id="177" w:name="lt_pId254"/>
      <w:r w:rsidRPr="007C2BEF">
        <w:rPr>
          <w:spacing w:val="-2"/>
        </w:rPr>
        <w:t>Compte tenu de l'annulation des réunions en présentiel en raison de la pandémie de COVID-19, et des économies qui en résultent, aucune question liée au financement n'est à résoudre.</w:t>
      </w:r>
      <w:bookmarkEnd w:id="177"/>
    </w:p>
    <w:p w14:paraId="39C2DF3B" w14:textId="42B765EC" w:rsidR="006E61C5" w:rsidRPr="00FF0208" w:rsidRDefault="006E61C5" w:rsidP="007C2BEF">
      <w:pPr>
        <w:tabs>
          <w:tab w:val="clear" w:pos="567"/>
          <w:tab w:val="clear" w:pos="1134"/>
          <w:tab w:val="clear" w:pos="1701"/>
          <w:tab w:val="clear" w:pos="2268"/>
          <w:tab w:val="clear" w:pos="2835"/>
        </w:tabs>
      </w:pPr>
      <w:r w:rsidRPr="00FF0208">
        <w:t>9.2</w:t>
      </w:r>
      <w:r w:rsidRPr="00FF0208">
        <w:tab/>
      </w:r>
      <w:bookmarkStart w:id="178" w:name="lt_pId256"/>
      <w:r w:rsidRPr="00FF0208">
        <w:t>Le Président considère que les Conseillers souhaitent conclure, compte tenu du caractère urgent de cette question, qu'une consultation par correspondance des États Membres du Conseil sera organisée afin de prendre note du rapport figurant dans le Document C21/67; que le BR examinera et révisera, si nécessaire, les coûts estimés des travaux préparatoires sur les points inscrits à l'ordre du jour de la CMR-23 identifiés par la CMR-19; et que, le cas échéant, le Secrétaire général pourra soumettre une demande révisée à la session de 2022 du Conseil.</w:t>
      </w:r>
      <w:bookmarkEnd w:id="178"/>
    </w:p>
    <w:p w14:paraId="03FAB999" w14:textId="77777777" w:rsidR="006E61C5" w:rsidRPr="00FF0208" w:rsidRDefault="006E61C5" w:rsidP="007C2BEF">
      <w:pPr>
        <w:tabs>
          <w:tab w:val="clear" w:pos="567"/>
          <w:tab w:val="clear" w:pos="1134"/>
          <w:tab w:val="clear" w:pos="1701"/>
          <w:tab w:val="clear" w:pos="2268"/>
          <w:tab w:val="clear" w:pos="2835"/>
        </w:tabs>
      </w:pPr>
      <w:r w:rsidRPr="00FF0208">
        <w:t>9.3</w:t>
      </w:r>
      <w:r w:rsidRPr="00FF0208">
        <w:tab/>
      </w:r>
      <w:bookmarkStart w:id="179" w:name="lt_pId258"/>
      <w:r w:rsidRPr="00FF0208">
        <w:t xml:space="preserve">Il en est ainsi </w:t>
      </w:r>
      <w:r w:rsidRPr="00FF0208">
        <w:rPr>
          <w:b/>
        </w:rPr>
        <w:t>conclu</w:t>
      </w:r>
      <w:r w:rsidRPr="00FF0208">
        <w:t>.</w:t>
      </w:r>
      <w:bookmarkEnd w:id="179"/>
    </w:p>
    <w:p w14:paraId="44AEC9EB" w14:textId="77777777" w:rsidR="006E61C5" w:rsidRPr="00FF0208" w:rsidRDefault="006E61C5" w:rsidP="007C2BEF">
      <w:pPr>
        <w:pStyle w:val="Heading1"/>
        <w:tabs>
          <w:tab w:val="clear" w:pos="567"/>
          <w:tab w:val="clear" w:pos="1134"/>
          <w:tab w:val="clear" w:pos="1701"/>
          <w:tab w:val="clear" w:pos="2268"/>
          <w:tab w:val="clear" w:pos="2835"/>
        </w:tabs>
        <w:ind w:left="709" w:hanging="709"/>
      </w:pPr>
      <w:r w:rsidRPr="00FF0208">
        <w:t>10</w:t>
      </w:r>
      <w:r w:rsidRPr="00FF0208">
        <w:tab/>
      </w:r>
      <w:bookmarkStart w:id="180" w:name="lt_pId260"/>
      <w:r w:rsidRPr="00FF0208">
        <w:t xml:space="preserve">Demandes d'exonération des contributions au financement des dépenses de l'Union (Document </w:t>
      </w:r>
      <w:hyperlink r:id="rId31" w:history="1">
        <w:r w:rsidRPr="00FF0208">
          <w:rPr>
            <w:rStyle w:val="Hyperlink"/>
            <w:bCs/>
          </w:rPr>
          <w:t>C21/39 + Addendum 1</w:t>
        </w:r>
      </w:hyperlink>
      <w:r w:rsidRPr="00FF0208">
        <w:t>)</w:t>
      </w:r>
      <w:bookmarkEnd w:id="180"/>
    </w:p>
    <w:p w14:paraId="00852413" w14:textId="7426B42C" w:rsidR="006E61C5" w:rsidRPr="00FF0208" w:rsidRDefault="006E61C5" w:rsidP="007C2BEF">
      <w:pPr>
        <w:tabs>
          <w:tab w:val="clear" w:pos="567"/>
          <w:tab w:val="clear" w:pos="1134"/>
          <w:tab w:val="clear" w:pos="1701"/>
          <w:tab w:val="clear" w:pos="2268"/>
          <w:tab w:val="clear" w:pos="2835"/>
        </w:tabs>
      </w:pPr>
      <w:r w:rsidRPr="00FF0208">
        <w:t>10.1</w:t>
      </w:r>
      <w:r w:rsidRPr="00FF0208">
        <w:tab/>
      </w:r>
      <w:bookmarkStart w:id="181" w:name="lt_pId262"/>
      <w:r w:rsidRPr="00FF0208">
        <w:t>Le représentant du Secrétariat général présente le Document C21/39 et l'Addendum 1, qui contiennent des demandes d'exonération du paiement des droits de Membre de Secteur.</w:t>
      </w:r>
      <w:bookmarkEnd w:id="181"/>
      <w:r w:rsidRPr="00FF0208">
        <w:t xml:space="preserve"> </w:t>
      </w:r>
      <w:bookmarkStart w:id="182" w:name="lt_pId263"/>
      <w:r w:rsidRPr="00FF0208">
        <w:t xml:space="preserve">Les principaux critères relatifs à l'exonération, laquelle peut être accordée par le Conseil sur recommandation du Secrétaire général, sont notamment que l'entité ayant formulé la demande </w:t>
      </w:r>
      <w:r w:rsidRPr="00FF0208">
        <w:lastRenderedPageBreak/>
        <w:t xml:space="preserve">d'exonération doit être une organisation régionale ou internationale à but non lucratif dans le domaine des télécommunications/TIC, </w:t>
      </w:r>
      <w:r w:rsidR="002974A8" w:rsidRPr="00FF0208">
        <w:t xml:space="preserve">représentant des membres ayant également le statut d'organisation à but non lucratif, </w:t>
      </w:r>
      <w:r w:rsidRPr="00FF0208">
        <w:t>et qu'elle doit offrir des avantages à l'UIT en échange de l'exonération.</w:t>
      </w:r>
      <w:bookmarkEnd w:id="182"/>
    </w:p>
    <w:p w14:paraId="0EC5AF5E" w14:textId="21EE5061" w:rsidR="006E61C5" w:rsidRPr="00FF0208" w:rsidRDefault="006E61C5" w:rsidP="007C2BEF">
      <w:pPr>
        <w:tabs>
          <w:tab w:val="clear" w:pos="567"/>
          <w:tab w:val="clear" w:pos="1134"/>
          <w:tab w:val="clear" w:pos="1701"/>
          <w:tab w:val="clear" w:pos="2268"/>
          <w:tab w:val="clear" w:pos="2835"/>
        </w:tabs>
      </w:pPr>
      <w:r w:rsidRPr="00FF0208">
        <w:t>10.2</w:t>
      </w:r>
      <w:r w:rsidRPr="00FF0208">
        <w:tab/>
      </w:r>
      <w:bookmarkStart w:id="183" w:name="lt_pId265"/>
      <w:r w:rsidRPr="00FF0208">
        <w:t>Un Conseiller demande des précisions quant à la question de savoir si tous les membres d'une organisation régionale ou internationale doivent exercer des activités à but non lucratif, car certaines exonérations accordées précédemment laissent entendre le contraire.</w:t>
      </w:r>
      <w:bookmarkEnd w:id="183"/>
    </w:p>
    <w:p w14:paraId="50E5610C" w14:textId="6461EC29" w:rsidR="006E61C5" w:rsidRPr="00FF0208" w:rsidRDefault="006E61C5" w:rsidP="007C2BEF">
      <w:pPr>
        <w:tabs>
          <w:tab w:val="clear" w:pos="567"/>
          <w:tab w:val="clear" w:pos="1134"/>
          <w:tab w:val="clear" w:pos="1701"/>
          <w:tab w:val="clear" w:pos="2268"/>
          <w:tab w:val="clear" w:pos="2835"/>
        </w:tabs>
      </w:pPr>
      <w:r w:rsidRPr="00FF0208">
        <w:t>10.3</w:t>
      </w:r>
      <w:r w:rsidRPr="00FF0208">
        <w:tab/>
      </w:r>
      <w:bookmarkStart w:id="184" w:name="lt_pId267"/>
      <w:r w:rsidRPr="00FF0208">
        <w:t xml:space="preserve">Le représentant du Secrétariat général répond que des </w:t>
      </w:r>
      <w:r w:rsidR="00582567" w:rsidRPr="00FF0208">
        <w:t xml:space="preserve">exonérations </w:t>
      </w:r>
      <w:r w:rsidRPr="00FF0208">
        <w:t>sont parfois recommandées pour des organisations dont la majorité des membres exercent des activités à but non lucratif, mais que la décision revient toujours au Conseil.</w:t>
      </w:r>
      <w:bookmarkEnd w:id="184"/>
    </w:p>
    <w:p w14:paraId="0AC8DBAC" w14:textId="77777777" w:rsidR="006E61C5" w:rsidRPr="00FF0208" w:rsidRDefault="006E61C5" w:rsidP="007C2BEF">
      <w:pPr>
        <w:tabs>
          <w:tab w:val="clear" w:pos="567"/>
          <w:tab w:val="clear" w:pos="1134"/>
          <w:tab w:val="clear" w:pos="1701"/>
          <w:tab w:val="clear" w:pos="2268"/>
          <w:tab w:val="clear" w:pos="2835"/>
        </w:tabs>
      </w:pPr>
      <w:r w:rsidRPr="00FF0208">
        <w:t>10.4</w:t>
      </w:r>
      <w:r w:rsidRPr="00FF0208">
        <w:tab/>
      </w:r>
      <w:bookmarkStart w:id="185" w:name="lt_pId269"/>
      <w:r w:rsidRPr="00FF0208">
        <w:t>Le Président considère que les Conseillers souhaitent conclure, compte tenu du caractère urgent de cette question, qu'une consultation par correspondance des États Membres du Conseil sera organisée afin d'approuver les demandes d'admission en qualité de Membre de Secteur exonéré de contribution financière, conformément aux recommandations formulées par le Secrétaire général dans le Document C21/39 et son Addendum 1.</w:t>
      </w:r>
      <w:bookmarkEnd w:id="185"/>
    </w:p>
    <w:p w14:paraId="56A00A3C" w14:textId="77777777" w:rsidR="006E61C5" w:rsidRPr="00FF0208" w:rsidRDefault="006E61C5" w:rsidP="007C2BEF">
      <w:pPr>
        <w:tabs>
          <w:tab w:val="clear" w:pos="567"/>
          <w:tab w:val="clear" w:pos="1134"/>
          <w:tab w:val="clear" w:pos="1701"/>
          <w:tab w:val="clear" w:pos="2268"/>
          <w:tab w:val="clear" w:pos="2835"/>
        </w:tabs>
      </w:pPr>
      <w:r w:rsidRPr="00FF0208">
        <w:t>10.5</w:t>
      </w:r>
      <w:r w:rsidRPr="00FF0208">
        <w:tab/>
      </w:r>
      <w:bookmarkStart w:id="186" w:name="lt_pId271"/>
      <w:r w:rsidRPr="00FF0208">
        <w:t xml:space="preserve">Il en est ainsi </w:t>
      </w:r>
      <w:r w:rsidRPr="00FF0208">
        <w:rPr>
          <w:b/>
        </w:rPr>
        <w:t>conclu</w:t>
      </w:r>
      <w:r w:rsidRPr="00FF0208">
        <w:t>.</w:t>
      </w:r>
      <w:bookmarkEnd w:id="186"/>
    </w:p>
    <w:p w14:paraId="54B574D7" w14:textId="77777777" w:rsidR="006E61C5" w:rsidRPr="00FF0208" w:rsidRDefault="006E61C5" w:rsidP="007C2BEF">
      <w:pPr>
        <w:pStyle w:val="Heading1"/>
        <w:tabs>
          <w:tab w:val="clear" w:pos="567"/>
          <w:tab w:val="clear" w:pos="1134"/>
          <w:tab w:val="clear" w:pos="1701"/>
          <w:tab w:val="clear" w:pos="2268"/>
          <w:tab w:val="clear" w:pos="2835"/>
        </w:tabs>
        <w:ind w:left="709" w:hanging="709"/>
      </w:pPr>
      <w:r w:rsidRPr="00FF0208">
        <w:t>11</w:t>
      </w:r>
      <w:r w:rsidRPr="00FF0208">
        <w:tab/>
      </w:r>
      <w:bookmarkStart w:id="187" w:name="lt_pId273"/>
      <w:r w:rsidRPr="00FF0208">
        <w:t>Stratégie de coordination des efforts entre les trois Secteurs de l'Union (Document </w:t>
      </w:r>
      <w:hyperlink r:id="rId32" w:history="1">
        <w:r w:rsidRPr="00FF0208">
          <w:rPr>
            <w:rStyle w:val="Hyperlink"/>
            <w:bCs/>
          </w:rPr>
          <w:t>C21/38</w:t>
        </w:r>
      </w:hyperlink>
      <w:r w:rsidRPr="00FF0208">
        <w:t>)</w:t>
      </w:r>
      <w:bookmarkEnd w:id="187"/>
      <w:r w:rsidRPr="00FF0208">
        <w:t xml:space="preserve"> </w:t>
      </w:r>
    </w:p>
    <w:p w14:paraId="50503C2A" w14:textId="410BA952" w:rsidR="006E61C5" w:rsidRPr="00FF0208" w:rsidRDefault="006E61C5" w:rsidP="007C2BEF">
      <w:pPr>
        <w:tabs>
          <w:tab w:val="clear" w:pos="567"/>
          <w:tab w:val="clear" w:pos="1134"/>
          <w:tab w:val="clear" w:pos="1701"/>
          <w:tab w:val="clear" w:pos="2268"/>
          <w:tab w:val="clear" w:pos="2835"/>
        </w:tabs>
      </w:pPr>
      <w:r w:rsidRPr="00FF0208">
        <w:t>11.1</w:t>
      </w:r>
      <w:r w:rsidRPr="00FF0208">
        <w:tab/>
      </w:r>
      <w:bookmarkStart w:id="188" w:name="lt_pId275"/>
      <w:r w:rsidRPr="00FF0208">
        <w:t xml:space="preserve">Le représentant du Secrétariat général présente le Document C21/38 relatif à la mise en </w:t>
      </w:r>
      <w:r w:rsidR="00FF0208" w:rsidRPr="00FF0208">
        <w:t>œuvre</w:t>
      </w:r>
      <w:r w:rsidRPr="00FF0208">
        <w:t xml:space="preserve"> de la Résolution 191 (Rév. Dubaï, 2018) de la PP sur la stratégie de coordination des efforts entre les trois Secteurs de l'Union et dit que le document a initialement été élaboré sous la cote</w:t>
      </w:r>
      <w:r w:rsidR="008607CB" w:rsidRPr="00FF0208">
        <w:t> </w:t>
      </w:r>
      <w:r w:rsidRPr="00FF0208">
        <w:t>C20/38 pour soumission à la session de 2020 du Conseil, mais n'a pas été examiné.</w:t>
      </w:r>
      <w:bookmarkEnd w:id="188"/>
      <w:r w:rsidRPr="00FF0208">
        <w:t xml:space="preserve"> </w:t>
      </w:r>
      <w:bookmarkStart w:id="189" w:name="lt_pId276"/>
      <w:r w:rsidRPr="00FF0208">
        <w:t>Les Conseillers sont donc invités à prendre note des deux documents.</w:t>
      </w:r>
      <w:bookmarkEnd w:id="189"/>
    </w:p>
    <w:p w14:paraId="3120EBDA" w14:textId="77777777" w:rsidR="006E61C5" w:rsidRPr="00FF0208" w:rsidRDefault="006E61C5" w:rsidP="007C2BEF">
      <w:pPr>
        <w:tabs>
          <w:tab w:val="clear" w:pos="567"/>
          <w:tab w:val="clear" w:pos="1134"/>
          <w:tab w:val="clear" w:pos="1701"/>
          <w:tab w:val="clear" w:pos="2268"/>
          <w:tab w:val="clear" w:pos="2835"/>
        </w:tabs>
      </w:pPr>
      <w:r w:rsidRPr="00FF0208">
        <w:t>11.2</w:t>
      </w:r>
      <w:r w:rsidRPr="00FF0208">
        <w:tab/>
      </w:r>
      <w:bookmarkStart w:id="190" w:name="lt_pId278"/>
      <w:r w:rsidRPr="00FF0208">
        <w:t>Une Conseillère salue les efforts mobilisés et souligne combien il est important de rationaliser les méthodes de travail électroniques et de mettre à disposition les documents dans les six langues officielles de l'Union.</w:t>
      </w:r>
      <w:bookmarkEnd w:id="190"/>
    </w:p>
    <w:p w14:paraId="5704E6CE" w14:textId="77777777" w:rsidR="006E61C5" w:rsidRPr="00FF0208" w:rsidRDefault="006E61C5" w:rsidP="007C2BEF">
      <w:pPr>
        <w:tabs>
          <w:tab w:val="clear" w:pos="567"/>
          <w:tab w:val="clear" w:pos="1134"/>
          <w:tab w:val="clear" w:pos="1701"/>
          <w:tab w:val="clear" w:pos="2268"/>
          <w:tab w:val="clear" w:pos="2835"/>
        </w:tabs>
      </w:pPr>
      <w:r w:rsidRPr="00FF0208">
        <w:t>11.3</w:t>
      </w:r>
      <w:r w:rsidRPr="00FF0208">
        <w:tab/>
      </w:r>
      <w:bookmarkStart w:id="191" w:name="lt_pId280"/>
      <w:r w:rsidRPr="00FF0208">
        <w:t>Le Président considère que les Conseillers souhaitent conclure, compte tenu du caractère urgent de cette question, qu'une consultation par correspondance des États Membres du Conseil sera organisée afin de prendre note du rapport reproduit dans les Documents C21/38 et C20/38.</w:t>
      </w:r>
      <w:bookmarkEnd w:id="191"/>
      <w:r w:rsidRPr="00FF0208">
        <w:t xml:space="preserve"> </w:t>
      </w:r>
    </w:p>
    <w:p w14:paraId="72175A27" w14:textId="77777777" w:rsidR="006E61C5" w:rsidRPr="00FF0208" w:rsidRDefault="006E61C5" w:rsidP="007C2BEF">
      <w:pPr>
        <w:tabs>
          <w:tab w:val="clear" w:pos="567"/>
          <w:tab w:val="clear" w:pos="1134"/>
          <w:tab w:val="clear" w:pos="1701"/>
          <w:tab w:val="clear" w:pos="2268"/>
          <w:tab w:val="clear" w:pos="2835"/>
        </w:tabs>
      </w:pPr>
      <w:r w:rsidRPr="00FF0208">
        <w:t>11.4</w:t>
      </w:r>
      <w:r w:rsidRPr="00FF0208">
        <w:tab/>
      </w:r>
      <w:bookmarkStart w:id="192" w:name="lt_pId282"/>
      <w:r w:rsidRPr="00FF0208">
        <w:t xml:space="preserve">Il en est ainsi </w:t>
      </w:r>
      <w:r w:rsidRPr="00FF0208">
        <w:rPr>
          <w:b/>
        </w:rPr>
        <w:t>conclu</w:t>
      </w:r>
      <w:r w:rsidRPr="00FF0208">
        <w:t>.</w:t>
      </w:r>
      <w:bookmarkEnd w:id="192"/>
    </w:p>
    <w:p w14:paraId="04EA8AE6" w14:textId="77777777" w:rsidR="006E61C5" w:rsidRPr="00FF0208" w:rsidRDefault="006E61C5" w:rsidP="007C2BEF">
      <w:pPr>
        <w:pStyle w:val="Heading1"/>
        <w:tabs>
          <w:tab w:val="clear" w:pos="567"/>
          <w:tab w:val="clear" w:pos="1134"/>
          <w:tab w:val="clear" w:pos="1701"/>
          <w:tab w:val="clear" w:pos="2268"/>
          <w:tab w:val="clear" w:pos="2835"/>
        </w:tabs>
        <w:ind w:left="709" w:hanging="709"/>
        <w:rPr>
          <w:bCs/>
        </w:rPr>
      </w:pPr>
      <w:r w:rsidRPr="00FF0208">
        <w:rPr>
          <w:bCs/>
        </w:rPr>
        <w:t>12</w:t>
      </w:r>
      <w:r w:rsidRPr="00FF0208">
        <w:rPr>
          <w:bCs/>
        </w:rPr>
        <w:tab/>
      </w:r>
      <w:bookmarkStart w:id="193" w:name="lt_pId284"/>
      <w:r w:rsidRPr="00FF0208">
        <w:t xml:space="preserve">Participation de l'UIT aux travaux du Comité mixte de la Caisse commune des pensions du personnel des Nations Unies (Document </w:t>
      </w:r>
      <w:hyperlink r:id="rId33" w:history="1">
        <w:r w:rsidRPr="00FF0208">
          <w:rPr>
            <w:rStyle w:val="Hyperlink"/>
          </w:rPr>
          <w:t>C21/69</w:t>
        </w:r>
      </w:hyperlink>
      <w:r w:rsidRPr="00FF0208">
        <w:t>)</w:t>
      </w:r>
      <w:bookmarkEnd w:id="193"/>
    </w:p>
    <w:p w14:paraId="34DF4F6E" w14:textId="77777777" w:rsidR="006E61C5" w:rsidRPr="00FF0208" w:rsidRDefault="006E61C5" w:rsidP="007C2BEF">
      <w:pPr>
        <w:tabs>
          <w:tab w:val="clear" w:pos="567"/>
          <w:tab w:val="clear" w:pos="1134"/>
          <w:tab w:val="clear" w:pos="1701"/>
          <w:tab w:val="clear" w:pos="2268"/>
          <w:tab w:val="clear" w:pos="2835"/>
        </w:tabs>
      </w:pPr>
      <w:r w:rsidRPr="00FF0208">
        <w:t>12.1</w:t>
      </w:r>
      <w:r w:rsidRPr="00FF0208">
        <w:tab/>
      </w:r>
      <w:bookmarkStart w:id="194" w:name="lt_pId286"/>
      <w:r w:rsidRPr="00FF0208">
        <w:t>Le Chef du Département de la gestion des ressources humaines (HRMD) présente le Document C21/69, qui fournit un historique des faits ayant entraîné une diminution du nombre de sièges avec droit de vote de l'Union au Comité mixte de la Caisse commune des pensions du personnel des Nations Unies, qui a été ramené de 1,5 à 1.</w:t>
      </w:r>
      <w:bookmarkEnd w:id="194"/>
      <w:r w:rsidRPr="00FF0208">
        <w:t xml:space="preserve"> </w:t>
      </w:r>
      <w:bookmarkStart w:id="195" w:name="lt_pId287"/>
      <w:r w:rsidRPr="00FF0208">
        <w:t>Il explique que ce changement résulte de l'affiliation de l'Organisation internationale pour les migrations (OIM) à la Caisse commune des pensions du personnel des Nations Unies en 2007.</w:t>
      </w:r>
      <w:bookmarkEnd w:id="195"/>
      <w:r w:rsidRPr="00FF0208">
        <w:t xml:space="preserve"> </w:t>
      </w:r>
      <w:bookmarkStart w:id="196" w:name="lt_pId288"/>
      <w:r w:rsidRPr="00FF0208">
        <w:t xml:space="preserve">Afin d'attribuer un siège au Comité mixte à l'OIM, laquelle était initialement dépourvue de siège avec droit de vote, le nombre de sièges attribués à l'UIT et à l'Organisation des Nations Unies pour le développement industriel (ONUDI) a </w:t>
      </w:r>
      <w:r w:rsidRPr="00FF0208">
        <w:lastRenderedPageBreak/>
        <w:t>été réduit, sans consulter le Comité des pensions du personnel (CPP) ni de l'UIT, ni de l'ONUDI, et le règlement intérieur de la Caisse a été modifié en conséquence.</w:t>
      </w:r>
      <w:bookmarkEnd w:id="196"/>
      <w:r w:rsidRPr="00FF0208">
        <w:t xml:space="preserve"> </w:t>
      </w:r>
      <w:bookmarkStart w:id="197" w:name="lt_pId289"/>
      <w:r w:rsidRPr="00FF0208">
        <w:t>Le CPP de l'UIT a soulevé la question auprès du Comité mixte, lequel a demandé au Groupe de travail sur la gouvernance (GTG) de lui présenter des options concrètes concernant la taille et la composition du Comité mixte, pour examen à sa session de juillet 2021.</w:t>
      </w:r>
      <w:bookmarkEnd w:id="197"/>
    </w:p>
    <w:p w14:paraId="75F6F970" w14:textId="77777777" w:rsidR="006E61C5" w:rsidRPr="00FF0208" w:rsidRDefault="006E61C5" w:rsidP="007C2BEF">
      <w:pPr>
        <w:tabs>
          <w:tab w:val="clear" w:pos="567"/>
          <w:tab w:val="clear" w:pos="1134"/>
          <w:tab w:val="clear" w:pos="1701"/>
          <w:tab w:val="clear" w:pos="2268"/>
          <w:tab w:val="clear" w:pos="2835"/>
        </w:tabs>
      </w:pPr>
      <w:r w:rsidRPr="00FF0208">
        <w:t>12.2</w:t>
      </w:r>
      <w:r w:rsidRPr="00FF0208">
        <w:tab/>
      </w:r>
      <w:bookmarkStart w:id="198" w:name="lt_pId291"/>
      <w:r w:rsidRPr="00FF0208">
        <w:t>Un Conseiller, membre du CPP de l'UIT, remercie ce dernier pour les efforts mobilisés afin d'approfondir cette question et de tenir le Conseil informé de l'évolution de la situation, même si les États Membres ne sont pas directement concernés.</w:t>
      </w:r>
      <w:bookmarkEnd w:id="198"/>
      <w:r w:rsidRPr="00FF0208">
        <w:t xml:space="preserve"> </w:t>
      </w:r>
      <w:bookmarkStart w:id="199" w:name="lt_pId292"/>
      <w:r w:rsidRPr="00FF0208">
        <w:t>Un Conseiller se joint à lui pour souligner néanmoins les incidences indirectes sur les États Membres, qui comptent sur le personnel de l'Union.</w:t>
      </w:r>
      <w:bookmarkEnd w:id="199"/>
      <w:r w:rsidRPr="00FF0208">
        <w:t xml:space="preserve"> </w:t>
      </w:r>
      <w:bookmarkStart w:id="200" w:name="lt_pId293"/>
      <w:r w:rsidRPr="00FF0208">
        <w:t>Un troisième Conseiller s'interroge sur les effets de la baisse du nombre de sièges au sein du Comité mixte et sur les mesures envisagées.</w:t>
      </w:r>
      <w:bookmarkEnd w:id="200"/>
    </w:p>
    <w:p w14:paraId="1ECC2CA9" w14:textId="77777777" w:rsidR="006E61C5" w:rsidRPr="00FF0208" w:rsidRDefault="006E61C5" w:rsidP="007C2BEF">
      <w:pPr>
        <w:tabs>
          <w:tab w:val="clear" w:pos="567"/>
          <w:tab w:val="clear" w:pos="1134"/>
          <w:tab w:val="clear" w:pos="1701"/>
          <w:tab w:val="clear" w:pos="2268"/>
          <w:tab w:val="clear" w:pos="2835"/>
        </w:tabs>
      </w:pPr>
      <w:r w:rsidRPr="00FF0208">
        <w:t>12.3</w:t>
      </w:r>
      <w:r w:rsidRPr="00FF0208">
        <w:tab/>
      </w:r>
      <w:bookmarkStart w:id="201" w:name="lt_pId295"/>
      <w:r w:rsidRPr="00FF0208">
        <w:t>Le Chef du Département HRMD répond que la réduction sera synonyme d'une érosion de l'influence de l'Union sur la prise de décisions.</w:t>
      </w:r>
      <w:bookmarkEnd w:id="201"/>
      <w:r w:rsidRPr="00FF0208">
        <w:t xml:space="preserve"> </w:t>
      </w:r>
      <w:bookmarkStart w:id="202" w:name="lt_pId296"/>
      <w:r w:rsidRPr="00FF0208">
        <w:t>Le CPP de l'UIT s'emploiera à retrouver sa place et rendra compte de l'évolution de la situation au Conseil une fois que le Comité mixte aura examiné les propositions formulées par le GTG.</w:t>
      </w:r>
      <w:bookmarkEnd w:id="202"/>
    </w:p>
    <w:p w14:paraId="19DA0353" w14:textId="77777777" w:rsidR="006E61C5" w:rsidRPr="00FF0208" w:rsidRDefault="006E61C5" w:rsidP="007C2BEF">
      <w:pPr>
        <w:tabs>
          <w:tab w:val="clear" w:pos="567"/>
          <w:tab w:val="clear" w:pos="1134"/>
          <w:tab w:val="clear" w:pos="1701"/>
          <w:tab w:val="clear" w:pos="2268"/>
          <w:tab w:val="clear" w:pos="2835"/>
        </w:tabs>
      </w:pPr>
      <w:r w:rsidRPr="00FF0208">
        <w:t>12.4</w:t>
      </w:r>
      <w:r w:rsidRPr="00FF0208">
        <w:tab/>
      </w:r>
      <w:bookmarkStart w:id="203" w:name="lt_pId298"/>
      <w:r w:rsidRPr="00FF0208">
        <w:t>Le Secrétaire général ajoute que l'aspect le plus inquiétant de cette situation est l'absence de consultation.</w:t>
      </w:r>
      <w:bookmarkEnd w:id="203"/>
      <w:r w:rsidRPr="00FF0208">
        <w:t xml:space="preserve"> </w:t>
      </w:r>
      <w:bookmarkStart w:id="204" w:name="lt_pId299"/>
      <w:r w:rsidRPr="00FF0208">
        <w:t>La réduction en elle-même est relativement insignifiante, et le nombre de sièges attribués est dans tous les cas limité par le nombre fixe de sièges avec droit de vote au sein du Comité mixte.</w:t>
      </w:r>
      <w:bookmarkEnd w:id="204"/>
      <w:r w:rsidRPr="00FF0208">
        <w:t xml:space="preserve"> </w:t>
      </w:r>
      <w:bookmarkStart w:id="205" w:name="lt_pId300"/>
      <w:r w:rsidRPr="00FF0208">
        <w:t>Le secrétariat coopère actuellement avec d'autres organisations confrontées à une situation analogue; le Secrétaire général prie instamment les États Membres de défendre la cause de l'Union chaque fois que possible.</w:t>
      </w:r>
      <w:bookmarkEnd w:id="205"/>
    </w:p>
    <w:p w14:paraId="5BBE35E8" w14:textId="77777777" w:rsidR="006E61C5" w:rsidRPr="00FF0208" w:rsidRDefault="006E61C5" w:rsidP="007C2BEF">
      <w:pPr>
        <w:tabs>
          <w:tab w:val="clear" w:pos="567"/>
          <w:tab w:val="clear" w:pos="1134"/>
          <w:tab w:val="clear" w:pos="1701"/>
          <w:tab w:val="clear" w:pos="2268"/>
          <w:tab w:val="clear" w:pos="2835"/>
        </w:tabs>
      </w:pPr>
      <w:r w:rsidRPr="00FF0208">
        <w:t>12.5</w:t>
      </w:r>
      <w:r w:rsidRPr="00FF0208">
        <w:tab/>
      </w:r>
      <w:bookmarkStart w:id="206" w:name="lt_pId302"/>
      <w:r w:rsidRPr="00FF0208">
        <w:t>Le Président considère que les Conseillers souhaitent conclure, compte tenu du caractère urgent de cette question, qu'une consultation par correspondance des États Membres du Conseil sera organisée afin de prendre note du Document C21/69.</w:t>
      </w:r>
      <w:bookmarkEnd w:id="206"/>
    </w:p>
    <w:p w14:paraId="2B26EC4F" w14:textId="77777777" w:rsidR="006E61C5" w:rsidRPr="00FF0208" w:rsidRDefault="006E61C5" w:rsidP="007C2BEF">
      <w:pPr>
        <w:tabs>
          <w:tab w:val="clear" w:pos="567"/>
          <w:tab w:val="clear" w:pos="1134"/>
          <w:tab w:val="clear" w:pos="1701"/>
          <w:tab w:val="clear" w:pos="2268"/>
          <w:tab w:val="clear" w:pos="2835"/>
        </w:tabs>
      </w:pPr>
      <w:r w:rsidRPr="00FF0208">
        <w:t>12.6</w:t>
      </w:r>
      <w:r w:rsidRPr="00FF0208">
        <w:tab/>
      </w:r>
      <w:bookmarkStart w:id="207" w:name="lt_pId304"/>
      <w:r w:rsidRPr="00FF0208">
        <w:t xml:space="preserve">Il en est ainsi </w:t>
      </w:r>
      <w:r w:rsidRPr="00FF0208">
        <w:rPr>
          <w:b/>
        </w:rPr>
        <w:t>conclu</w:t>
      </w:r>
      <w:r w:rsidRPr="00FF0208">
        <w:t>.</w:t>
      </w:r>
      <w:bookmarkEnd w:id="207"/>
      <w:r w:rsidRPr="00FF0208">
        <w:t xml:space="preserve"> </w:t>
      </w:r>
    </w:p>
    <w:p w14:paraId="354DA0EB" w14:textId="59F6831C" w:rsidR="00897553" w:rsidRDefault="006E61C5" w:rsidP="002D0EE0">
      <w:pPr>
        <w:tabs>
          <w:tab w:val="clear" w:pos="567"/>
          <w:tab w:val="clear" w:pos="1134"/>
          <w:tab w:val="clear" w:pos="1701"/>
          <w:tab w:val="clear" w:pos="2268"/>
          <w:tab w:val="clear" w:pos="2835"/>
          <w:tab w:val="left" w:pos="7371"/>
        </w:tabs>
        <w:spacing w:before="840"/>
      </w:pPr>
      <w:bookmarkStart w:id="208" w:name="lt_pId305"/>
      <w:r w:rsidRPr="00FF0208">
        <w:t xml:space="preserve">Le Secrétaire </w:t>
      </w:r>
      <w:proofErr w:type="gramStart"/>
      <w:r w:rsidRPr="00FF0208">
        <w:t>général:</w:t>
      </w:r>
      <w:bookmarkEnd w:id="208"/>
      <w:proofErr w:type="gramEnd"/>
      <w:r w:rsidRPr="00FF0208">
        <w:tab/>
      </w:r>
      <w:bookmarkStart w:id="209" w:name="lt_pId306"/>
      <w:r w:rsidRPr="00FF0208">
        <w:t>Le Président:</w:t>
      </w:r>
      <w:bookmarkEnd w:id="209"/>
      <w:r w:rsidRPr="00FF0208">
        <w:br/>
      </w:r>
      <w:bookmarkStart w:id="210" w:name="lt_pId307"/>
      <w:r w:rsidRPr="00FF0208">
        <w:t>H.</w:t>
      </w:r>
      <w:bookmarkEnd w:id="210"/>
      <w:r w:rsidRPr="00FF0208">
        <w:t xml:space="preserve"> </w:t>
      </w:r>
      <w:bookmarkStart w:id="211" w:name="lt_pId308"/>
      <w:r w:rsidRPr="00FF0208">
        <w:t>ZHAO</w:t>
      </w:r>
      <w:bookmarkEnd w:id="211"/>
      <w:r w:rsidRPr="00FF0208">
        <w:tab/>
      </w:r>
      <w:bookmarkStart w:id="212" w:name="lt_pId309"/>
      <w:r w:rsidRPr="00FF0208">
        <w:t>S. BIN GHELAITA</w:t>
      </w:r>
      <w:bookmarkEnd w:id="212"/>
    </w:p>
    <w:p w14:paraId="6110A21C" w14:textId="677EF941" w:rsidR="007937AF" w:rsidRPr="00FF0208" w:rsidRDefault="007937AF" w:rsidP="007937AF">
      <w:pPr>
        <w:tabs>
          <w:tab w:val="clear" w:pos="567"/>
          <w:tab w:val="clear" w:pos="1134"/>
          <w:tab w:val="clear" w:pos="1701"/>
          <w:tab w:val="clear" w:pos="2268"/>
          <w:tab w:val="clear" w:pos="2835"/>
          <w:tab w:val="left" w:pos="794"/>
          <w:tab w:val="left" w:pos="1191"/>
          <w:tab w:val="left" w:pos="1588"/>
          <w:tab w:val="left" w:pos="1985"/>
          <w:tab w:val="left" w:pos="7088"/>
        </w:tabs>
        <w:snapToGrid w:val="0"/>
        <w:spacing w:before="840"/>
        <w:jc w:val="center"/>
      </w:pPr>
      <w:r w:rsidRPr="007937AF">
        <w:rPr>
          <w:rFonts w:eastAsia="MS Mincho" w:cs="Calibri"/>
          <w:sz w:val="22"/>
          <w:szCs w:val="22"/>
          <w:lang w:val="de-DE"/>
        </w:rPr>
        <w:t>___________________</w:t>
      </w:r>
    </w:p>
    <w:sectPr w:rsidR="007937AF" w:rsidRPr="00FF0208" w:rsidSect="005C3890">
      <w:headerReference w:type="even" r:id="rId34"/>
      <w:headerReference w:type="default" r:id="rId35"/>
      <w:footerReference w:type="even" r:id="rId36"/>
      <w:footerReference w:type="default" r:id="rId37"/>
      <w:footerReference w:type="first" r:id="rId38"/>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907D" w14:textId="77777777" w:rsidR="00600410" w:rsidRDefault="00600410">
      <w:r>
        <w:separator/>
      </w:r>
    </w:p>
  </w:endnote>
  <w:endnote w:type="continuationSeparator" w:id="0">
    <w:p w14:paraId="049FEEE0" w14:textId="77777777" w:rsidR="00600410" w:rsidRDefault="0060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49CC" w14:textId="7022C542" w:rsidR="00732045" w:rsidRDefault="005B335C">
    <w:pPr>
      <w:pStyle w:val="Footer"/>
    </w:pPr>
    <w:fldSimple w:instr=" FILENAME \p \* MERGEFORMAT ">
      <w:r w:rsidR="000C1519">
        <w:t>\\blue\dfs\POOL\FRA\SG\CONSEIL\C21\000\090F.docx</w:t>
      </w:r>
    </w:fldSimple>
    <w:r w:rsidR="00732045">
      <w:tab/>
    </w:r>
    <w:r w:rsidR="002F1B76">
      <w:fldChar w:fldCharType="begin"/>
    </w:r>
    <w:r w:rsidR="00732045">
      <w:instrText xml:space="preserve"> savedate \@ dd.MM.yy </w:instrText>
    </w:r>
    <w:r w:rsidR="002F1B76">
      <w:fldChar w:fldCharType="separate"/>
    </w:r>
    <w:r w:rsidR="007C2BEF">
      <w:t>03.08.21</w:t>
    </w:r>
    <w:r w:rsidR="002F1B76">
      <w:fldChar w:fldCharType="end"/>
    </w:r>
    <w:r w:rsidR="00732045">
      <w:tab/>
    </w:r>
    <w:r w:rsidR="002F1B76">
      <w:fldChar w:fldCharType="begin"/>
    </w:r>
    <w:r w:rsidR="00732045">
      <w:instrText xml:space="preserve"> printdate \@ dd.MM.yy </w:instrText>
    </w:r>
    <w:r w:rsidR="002F1B76">
      <w:fldChar w:fldCharType="separate"/>
    </w:r>
    <w:r w:rsidR="000C1519">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9793" w14:textId="76CB01FA" w:rsidR="00732045" w:rsidRDefault="00582567">
    <w:pPr>
      <w:pStyle w:val="Footer"/>
    </w:pPr>
    <w:r w:rsidRPr="007937AF">
      <w:rPr>
        <w:color w:val="F2F2F2" w:themeColor="background1" w:themeShade="F2"/>
      </w:rPr>
      <w:fldChar w:fldCharType="begin"/>
    </w:r>
    <w:r w:rsidRPr="007937AF">
      <w:rPr>
        <w:color w:val="F2F2F2" w:themeColor="background1" w:themeShade="F2"/>
      </w:rPr>
      <w:instrText xml:space="preserve"> FILENAME \p \* MERGEFORMAT </w:instrText>
    </w:r>
    <w:r w:rsidRPr="007937AF">
      <w:rPr>
        <w:color w:val="F2F2F2" w:themeColor="background1" w:themeShade="F2"/>
      </w:rPr>
      <w:fldChar w:fldCharType="separate"/>
    </w:r>
    <w:r w:rsidR="00FF0208" w:rsidRPr="007937AF">
      <w:rPr>
        <w:color w:val="F2F2F2" w:themeColor="background1" w:themeShade="F2"/>
      </w:rPr>
      <w:t>P:\FRA\SG\CONSEIL\C21\000\090V2F.docx</w:t>
    </w:r>
    <w:r w:rsidRPr="007937AF">
      <w:rPr>
        <w:color w:val="F2F2F2" w:themeColor="background1" w:themeShade="F2"/>
      </w:rPr>
      <w:fldChar w:fldCharType="end"/>
    </w:r>
    <w:r w:rsidR="006E61C5" w:rsidRPr="007937AF">
      <w:rPr>
        <w:color w:val="F2F2F2" w:themeColor="background1" w:themeShade="F2"/>
      </w:rPr>
      <w:t xml:space="preserve"> (491132)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AA78"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27D0" w14:textId="77777777" w:rsidR="00600410" w:rsidRDefault="00600410">
      <w:r>
        <w:t>____________________</w:t>
      </w:r>
    </w:p>
  </w:footnote>
  <w:footnote w:type="continuationSeparator" w:id="0">
    <w:p w14:paraId="59EE92F9" w14:textId="77777777" w:rsidR="00600410" w:rsidRDefault="0060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F50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0B5EE2B"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D27A" w14:textId="13F5ECD8" w:rsidR="00732045" w:rsidRDefault="00C27A7C" w:rsidP="00475FB3">
    <w:pPr>
      <w:pStyle w:val="Header"/>
    </w:pPr>
    <w:r>
      <w:fldChar w:fldCharType="begin"/>
    </w:r>
    <w:r>
      <w:instrText>PAGE</w:instrText>
    </w:r>
    <w:r>
      <w:fldChar w:fldCharType="separate"/>
    </w:r>
    <w:r w:rsidR="00582567">
      <w:rPr>
        <w:noProof/>
      </w:rPr>
      <w:t>11</w:t>
    </w:r>
    <w:r>
      <w:rPr>
        <w:noProof/>
      </w:rPr>
      <w:fldChar w:fldCharType="end"/>
    </w:r>
  </w:p>
  <w:p w14:paraId="42D04E30" w14:textId="2298012C" w:rsidR="00732045" w:rsidRDefault="00732045" w:rsidP="00106B19">
    <w:pPr>
      <w:pStyle w:val="Header"/>
    </w:pPr>
    <w:r>
      <w:t>C</w:t>
    </w:r>
    <w:r w:rsidR="009C353C">
      <w:t>2</w:t>
    </w:r>
    <w:r w:rsidR="004D1D50">
      <w:t>1</w:t>
    </w:r>
    <w:r>
      <w:t>/</w:t>
    </w:r>
    <w:r w:rsidR="006E61C5">
      <w:t>90</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613BD"/>
    <w:multiLevelType w:val="hybridMultilevel"/>
    <w:tmpl w:val="4C4EBE8C"/>
    <w:lvl w:ilvl="0" w:tplc="EBE2E3FC">
      <w:numFmt w:val="bullet"/>
      <w:lvlText w:val="-"/>
      <w:lvlJc w:val="left"/>
      <w:pPr>
        <w:ind w:left="360" w:hanging="360"/>
      </w:pPr>
      <w:rPr>
        <w:rFonts w:ascii="Calibri" w:eastAsiaTheme="minorEastAsia" w:hAnsi="Calibri" w:hint="default"/>
      </w:rPr>
    </w:lvl>
    <w:lvl w:ilvl="1" w:tplc="E2CAF1B8">
      <w:start w:val="1"/>
      <w:numFmt w:val="bullet"/>
      <w:lvlText w:val="o"/>
      <w:lvlJc w:val="left"/>
      <w:pPr>
        <w:ind w:left="1080" w:hanging="360"/>
      </w:pPr>
      <w:rPr>
        <w:rFonts w:ascii="Courier New" w:hAnsi="Courier New" w:hint="default"/>
      </w:rPr>
    </w:lvl>
    <w:lvl w:ilvl="2" w:tplc="B5948D48" w:tentative="1">
      <w:start w:val="1"/>
      <w:numFmt w:val="bullet"/>
      <w:lvlText w:val=""/>
      <w:lvlJc w:val="left"/>
      <w:pPr>
        <w:ind w:left="1800" w:hanging="360"/>
      </w:pPr>
      <w:rPr>
        <w:rFonts w:ascii="Wingdings" w:hAnsi="Wingdings" w:hint="default"/>
      </w:rPr>
    </w:lvl>
    <w:lvl w:ilvl="3" w:tplc="7AE40FAE" w:tentative="1">
      <w:start w:val="1"/>
      <w:numFmt w:val="bullet"/>
      <w:lvlText w:val=""/>
      <w:lvlJc w:val="left"/>
      <w:pPr>
        <w:ind w:left="2520" w:hanging="360"/>
      </w:pPr>
      <w:rPr>
        <w:rFonts w:ascii="Symbol" w:hAnsi="Symbol" w:hint="default"/>
      </w:rPr>
    </w:lvl>
    <w:lvl w:ilvl="4" w:tplc="C1462F42" w:tentative="1">
      <w:start w:val="1"/>
      <w:numFmt w:val="bullet"/>
      <w:lvlText w:val="o"/>
      <w:lvlJc w:val="left"/>
      <w:pPr>
        <w:ind w:left="3240" w:hanging="360"/>
      </w:pPr>
      <w:rPr>
        <w:rFonts w:ascii="Courier New" w:hAnsi="Courier New" w:hint="default"/>
      </w:rPr>
    </w:lvl>
    <w:lvl w:ilvl="5" w:tplc="6E46F2A2" w:tentative="1">
      <w:start w:val="1"/>
      <w:numFmt w:val="bullet"/>
      <w:lvlText w:val=""/>
      <w:lvlJc w:val="left"/>
      <w:pPr>
        <w:ind w:left="3960" w:hanging="360"/>
      </w:pPr>
      <w:rPr>
        <w:rFonts w:ascii="Wingdings" w:hAnsi="Wingdings" w:hint="default"/>
      </w:rPr>
    </w:lvl>
    <w:lvl w:ilvl="6" w:tplc="E67A9ACC" w:tentative="1">
      <w:start w:val="1"/>
      <w:numFmt w:val="bullet"/>
      <w:lvlText w:val=""/>
      <w:lvlJc w:val="left"/>
      <w:pPr>
        <w:ind w:left="4680" w:hanging="360"/>
      </w:pPr>
      <w:rPr>
        <w:rFonts w:ascii="Symbol" w:hAnsi="Symbol" w:hint="default"/>
      </w:rPr>
    </w:lvl>
    <w:lvl w:ilvl="7" w:tplc="FC725112" w:tentative="1">
      <w:start w:val="1"/>
      <w:numFmt w:val="bullet"/>
      <w:lvlText w:val="o"/>
      <w:lvlJc w:val="left"/>
      <w:pPr>
        <w:ind w:left="5400" w:hanging="360"/>
      </w:pPr>
      <w:rPr>
        <w:rFonts w:ascii="Courier New" w:hAnsi="Courier New" w:hint="default"/>
      </w:rPr>
    </w:lvl>
    <w:lvl w:ilvl="8" w:tplc="7390F574" w:tentative="1">
      <w:start w:val="1"/>
      <w:numFmt w:val="bullet"/>
      <w:lvlText w:val=""/>
      <w:lvlJc w:val="left"/>
      <w:pPr>
        <w:ind w:left="6120" w:hanging="360"/>
      </w:pPr>
      <w:rPr>
        <w:rFonts w:ascii="Wingdings" w:hAnsi="Wingdings" w:hint="default"/>
      </w:rPr>
    </w:lvl>
  </w:abstractNum>
  <w:abstractNum w:abstractNumId="11" w15:restartNumberingAfterBreak="0">
    <w:nsid w:val="12305C24"/>
    <w:multiLevelType w:val="multilevel"/>
    <w:tmpl w:val="E1540AC8"/>
    <w:lvl w:ilvl="0">
      <w:start w:val="1"/>
      <w:numFmt w:val="decimal"/>
      <w:lvlText w:val="%1"/>
      <w:lvlJc w:val="left"/>
      <w:pPr>
        <w:ind w:left="720" w:hanging="720"/>
      </w:pPr>
      <w:rPr>
        <w:rFonts w:asciiTheme="minorHAnsi" w:hAnsiTheme="minorHAnsi"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B3563B9"/>
    <w:multiLevelType w:val="hybridMultilevel"/>
    <w:tmpl w:val="F0F0C1B0"/>
    <w:lvl w:ilvl="0" w:tplc="103ADA78">
      <w:start w:val="1"/>
      <w:numFmt w:val="bullet"/>
      <w:lvlText w:val=""/>
      <w:lvlJc w:val="left"/>
      <w:pPr>
        <w:ind w:left="720" w:hanging="360"/>
      </w:pPr>
      <w:rPr>
        <w:rFonts w:ascii="Symbol" w:hAnsi="Symbol" w:hint="default"/>
      </w:rPr>
    </w:lvl>
    <w:lvl w:ilvl="1" w:tplc="C8CCACF0" w:tentative="1">
      <w:start w:val="1"/>
      <w:numFmt w:val="bullet"/>
      <w:lvlText w:val="o"/>
      <w:lvlJc w:val="left"/>
      <w:pPr>
        <w:ind w:left="1440" w:hanging="360"/>
      </w:pPr>
      <w:rPr>
        <w:rFonts w:ascii="Courier New" w:hAnsi="Courier New" w:cs="Courier New" w:hint="default"/>
      </w:rPr>
    </w:lvl>
    <w:lvl w:ilvl="2" w:tplc="0A7C8176" w:tentative="1">
      <w:start w:val="1"/>
      <w:numFmt w:val="bullet"/>
      <w:lvlText w:val=""/>
      <w:lvlJc w:val="left"/>
      <w:pPr>
        <w:ind w:left="2160" w:hanging="360"/>
      </w:pPr>
      <w:rPr>
        <w:rFonts w:ascii="Wingdings" w:hAnsi="Wingdings" w:hint="default"/>
      </w:rPr>
    </w:lvl>
    <w:lvl w:ilvl="3" w:tplc="F59AC6D2" w:tentative="1">
      <w:start w:val="1"/>
      <w:numFmt w:val="bullet"/>
      <w:lvlText w:val=""/>
      <w:lvlJc w:val="left"/>
      <w:pPr>
        <w:ind w:left="2880" w:hanging="360"/>
      </w:pPr>
      <w:rPr>
        <w:rFonts w:ascii="Symbol" w:hAnsi="Symbol" w:hint="default"/>
      </w:rPr>
    </w:lvl>
    <w:lvl w:ilvl="4" w:tplc="F0CEA664" w:tentative="1">
      <w:start w:val="1"/>
      <w:numFmt w:val="bullet"/>
      <w:lvlText w:val="o"/>
      <w:lvlJc w:val="left"/>
      <w:pPr>
        <w:ind w:left="3600" w:hanging="360"/>
      </w:pPr>
      <w:rPr>
        <w:rFonts w:ascii="Courier New" w:hAnsi="Courier New" w:cs="Courier New" w:hint="default"/>
      </w:rPr>
    </w:lvl>
    <w:lvl w:ilvl="5" w:tplc="D04C9348" w:tentative="1">
      <w:start w:val="1"/>
      <w:numFmt w:val="bullet"/>
      <w:lvlText w:val=""/>
      <w:lvlJc w:val="left"/>
      <w:pPr>
        <w:ind w:left="4320" w:hanging="360"/>
      </w:pPr>
      <w:rPr>
        <w:rFonts w:ascii="Wingdings" w:hAnsi="Wingdings" w:hint="default"/>
      </w:rPr>
    </w:lvl>
    <w:lvl w:ilvl="6" w:tplc="AB5EAAFE" w:tentative="1">
      <w:start w:val="1"/>
      <w:numFmt w:val="bullet"/>
      <w:lvlText w:val=""/>
      <w:lvlJc w:val="left"/>
      <w:pPr>
        <w:ind w:left="5040" w:hanging="360"/>
      </w:pPr>
      <w:rPr>
        <w:rFonts w:ascii="Symbol" w:hAnsi="Symbol" w:hint="default"/>
      </w:rPr>
    </w:lvl>
    <w:lvl w:ilvl="7" w:tplc="64906C86" w:tentative="1">
      <w:start w:val="1"/>
      <w:numFmt w:val="bullet"/>
      <w:lvlText w:val="o"/>
      <w:lvlJc w:val="left"/>
      <w:pPr>
        <w:ind w:left="5760" w:hanging="360"/>
      </w:pPr>
      <w:rPr>
        <w:rFonts w:ascii="Courier New" w:hAnsi="Courier New" w:cs="Courier New" w:hint="default"/>
      </w:rPr>
    </w:lvl>
    <w:lvl w:ilvl="8" w:tplc="DC00ADB0" w:tentative="1">
      <w:start w:val="1"/>
      <w:numFmt w:val="bullet"/>
      <w:lvlText w:val=""/>
      <w:lvlJc w:val="left"/>
      <w:pPr>
        <w:ind w:left="6480" w:hanging="360"/>
      </w:pPr>
      <w:rPr>
        <w:rFonts w:ascii="Wingdings" w:hAnsi="Wingdings" w:hint="default"/>
      </w:rPr>
    </w:lvl>
  </w:abstractNum>
  <w:abstractNum w:abstractNumId="13" w15:restartNumberingAfterBreak="0">
    <w:nsid w:val="289A55F8"/>
    <w:multiLevelType w:val="hybridMultilevel"/>
    <w:tmpl w:val="C428D3E2"/>
    <w:lvl w:ilvl="0" w:tplc="CFAEC1F6">
      <w:start w:val="1"/>
      <w:numFmt w:val="bullet"/>
      <w:lvlText w:val=""/>
      <w:lvlJc w:val="left"/>
      <w:pPr>
        <w:ind w:left="720" w:hanging="360"/>
      </w:pPr>
      <w:rPr>
        <w:rFonts w:ascii="Symbol" w:hAnsi="Symbol" w:hint="default"/>
      </w:rPr>
    </w:lvl>
    <w:lvl w:ilvl="1" w:tplc="B3821B6E">
      <w:start w:val="1"/>
      <w:numFmt w:val="lowerLetter"/>
      <w:lvlText w:val="%2)"/>
      <w:lvlJc w:val="left"/>
      <w:pPr>
        <w:ind w:left="1650" w:hanging="570"/>
      </w:pPr>
      <w:rPr>
        <w:rFonts w:hint="default"/>
      </w:rPr>
    </w:lvl>
    <w:lvl w:ilvl="2" w:tplc="9550C9AA" w:tentative="1">
      <w:start w:val="1"/>
      <w:numFmt w:val="lowerRoman"/>
      <w:lvlText w:val="%3."/>
      <w:lvlJc w:val="right"/>
      <w:pPr>
        <w:ind w:left="2160" w:hanging="180"/>
      </w:pPr>
    </w:lvl>
    <w:lvl w:ilvl="3" w:tplc="FCF27128" w:tentative="1">
      <w:start w:val="1"/>
      <w:numFmt w:val="decimal"/>
      <w:lvlText w:val="%4."/>
      <w:lvlJc w:val="left"/>
      <w:pPr>
        <w:ind w:left="2880" w:hanging="360"/>
      </w:pPr>
    </w:lvl>
    <w:lvl w:ilvl="4" w:tplc="8A0A15DC" w:tentative="1">
      <w:start w:val="1"/>
      <w:numFmt w:val="lowerLetter"/>
      <w:lvlText w:val="%5."/>
      <w:lvlJc w:val="left"/>
      <w:pPr>
        <w:ind w:left="3600" w:hanging="360"/>
      </w:pPr>
    </w:lvl>
    <w:lvl w:ilvl="5" w:tplc="04023E42" w:tentative="1">
      <w:start w:val="1"/>
      <w:numFmt w:val="lowerRoman"/>
      <w:lvlText w:val="%6."/>
      <w:lvlJc w:val="right"/>
      <w:pPr>
        <w:ind w:left="4320" w:hanging="180"/>
      </w:pPr>
    </w:lvl>
    <w:lvl w:ilvl="6" w:tplc="F110939C" w:tentative="1">
      <w:start w:val="1"/>
      <w:numFmt w:val="decimal"/>
      <w:lvlText w:val="%7."/>
      <w:lvlJc w:val="left"/>
      <w:pPr>
        <w:ind w:left="5040" w:hanging="360"/>
      </w:pPr>
    </w:lvl>
    <w:lvl w:ilvl="7" w:tplc="54DA8A98" w:tentative="1">
      <w:start w:val="1"/>
      <w:numFmt w:val="lowerLetter"/>
      <w:lvlText w:val="%8."/>
      <w:lvlJc w:val="left"/>
      <w:pPr>
        <w:ind w:left="5760" w:hanging="360"/>
      </w:pPr>
    </w:lvl>
    <w:lvl w:ilvl="8" w:tplc="722C6F80" w:tentative="1">
      <w:start w:val="1"/>
      <w:numFmt w:val="lowerRoman"/>
      <w:lvlText w:val="%9."/>
      <w:lvlJc w:val="right"/>
      <w:pPr>
        <w:ind w:left="6480" w:hanging="180"/>
      </w:pPr>
    </w:lvl>
  </w:abstractNum>
  <w:abstractNum w:abstractNumId="14" w15:restartNumberingAfterBreak="0">
    <w:nsid w:val="3BA86B1D"/>
    <w:multiLevelType w:val="hybridMultilevel"/>
    <w:tmpl w:val="99EC9C40"/>
    <w:lvl w:ilvl="0" w:tplc="F71EC8B8">
      <w:start w:val="9"/>
      <w:numFmt w:val="bullet"/>
      <w:lvlText w:val="-"/>
      <w:lvlJc w:val="left"/>
      <w:pPr>
        <w:ind w:left="1080" w:hanging="360"/>
      </w:pPr>
      <w:rPr>
        <w:rFonts w:ascii="Calibri" w:eastAsia="Times New Roman" w:hAnsi="Calibri" w:cs="Calibri" w:hint="default"/>
        <w:lang w:val="en-US"/>
      </w:rPr>
    </w:lvl>
    <w:lvl w:ilvl="1" w:tplc="DC0402AC">
      <w:numFmt w:val="bullet"/>
      <w:lvlText w:val="-"/>
      <w:lvlJc w:val="left"/>
      <w:pPr>
        <w:ind w:left="2160" w:hanging="720"/>
      </w:pPr>
      <w:rPr>
        <w:rFonts w:ascii="Calibri" w:eastAsiaTheme="minorEastAsia" w:hAnsi="Calibri" w:cs="Calibri" w:hint="default"/>
      </w:rPr>
    </w:lvl>
    <w:lvl w:ilvl="2" w:tplc="C98C888A" w:tentative="1">
      <w:start w:val="1"/>
      <w:numFmt w:val="bullet"/>
      <w:lvlText w:val=""/>
      <w:lvlJc w:val="left"/>
      <w:pPr>
        <w:ind w:left="2520" w:hanging="360"/>
      </w:pPr>
      <w:rPr>
        <w:rFonts w:ascii="Wingdings" w:hAnsi="Wingdings" w:hint="default"/>
      </w:rPr>
    </w:lvl>
    <w:lvl w:ilvl="3" w:tplc="AD3E994A" w:tentative="1">
      <w:start w:val="1"/>
      <w:numFmt w:val="bullet"/>
      <w:lvlText w:val=""/>
      <w:lvlJc w:val="left"/>
      <w:pPr>
        <w:ind w:left="3240" w:hanging="360"/>
      </w:pPr>
      <w:rPr>
        <w:rFonts w:ascii="Symbol" w:hAnsi="Symbol" w:hint="default"/>
      </w:rPr>
    </w:lvl>
    <w:lvl w:ilvl="4" w:tplc="11B0F532" w:tentative="1">
      <w:start w:val="1"/>
      <w:numFmt w:val="bullet"/>
      <w:lvlText w:val="o"/>
      <w:lvlJc w:val="left"/>
      <w:pPr>
        <w:ind w:left="3960" w:hanging="360"/>
      </w:pPr>
      <w:rPr>
        <w:rFonts w:ascii="Courier New" w:hAnsi="Courier New" w:cs="Courier New" w:hint="default"/>
      </w:rPr>
    </w:lvl>
    <w:lvl w:ilvl="5" w:tplc="232218BE" w:tentative="1">
      <w:start w:val="1"/>
      <w:numFmt w:val="bullet"/>
      <w:lvlText w:val=""/>
      <w:lvlJc w:val="left"/>
      <w:pPr>
        <w:ind w:left="4680" w:hanging="360"/>
      </w:pPr>
      <w:rPr>
        <w:rFonts w:ascii="Wingdings" w:hAnsi="Wingdings" w:hint="default"/>
      </w:rPr>
    </w:lvl>
    <w:lvl w:ilvl="6" w:tplc="71462C18" w:tentative="1">
      <w:start w:val="1"/>
      <w:numFmt w:val="bullet"/>
      <w:lvlText w:val=""/>
      <w:lvlJc w:val="left"/>
      <w:pPr>
        <w:ind w:left="5400" w:hanging="360"/>
      </w:pPr>
      <w:rPr>
        <w:rFonts w:ascii="Symbol" w:hAnsi="Symbol" w:hint="default"/>
      </w:rPr>
    </w:lvl>
    <w:lvl w:ilvl="7" w:tplc="DE04BCB4" w:tentative="1">
      <w:start w:val="1"/>
      <w:numFmt w:val="bullet"/>
      <w:lvlText w:val="o"/>
      <w:lvlJc w:val="left"/>
      <w:pPr>
        <w:ind w:left="6120" w:hanging="360"/>
      </w:pPr>
      <w:rPr>
        <w:rFonts w:ascii="Courier New" w:hAnsi="Courier New" w:cs="Courier New" w:hint="default"/>
      </w:rPr>
    </w:lvl>
    <w:lvl w:ilvl="8" w:tplc="D12ABEA4" w:tentative="1">
      <w:start w:val="1"/>
      <w:numFmt w:val="bullet"/>
      <w:lvlText w:val=""/>
      <w:lvlJc w:val="left"/>
      <w:pPr>
        <w:ind w:left="6840" w:hanging="360"/>
      </w:pPr>
      <w:rPr>
        <w:rFonts w:ascii="Wingdings" w:hAnsi="Wingdings" w:hint="default"/>
      </w:rPr>
    </w:lvl>
  </w:abstractNum>
  <w:abstractNum w:abstractNumId="15" w15:restartNumberingAfterBreak="0">
    <w:nsid w:val="3FDB6BBC"/>
    <w:multiLevelType w:val="hybridMultilevel"/>
    <w:tmpl w:val="95DEF63C"/>
    <w:lvl w:ilvl="0" w:tplc="A1D84446">
      <w:start w:val="1"/>
      <w:numFmt w:val="bullet"/>
      <w:lvlText w:val=""/>
      <w:lvlJc w:val="left"/>
      <w:pPr>
        <w:ind w:left="720" w:hanging="360"/>
      </w:pPr>
      <w:rPr>
        <w:rFonts w:ascii="Symbol" w:hAnsi="Symbol" w:hint="default"/>
      </w:rPr>
    </w:lvl>
    <w:lvl w:ilvl="1" w:tplc="B62C6972">
      <w:start w:val="1"/>
      <w:numFmt w:val="lowerLetter"/>
      <w:lvlText w:val="%2."/>
      <w:lvlJc w:val="left"/>
      <w:pPr>
        <w:ind w:left="1650" w:hanging="570"/>
      </w:pPr>
      <w:rPr>
        <w:rFonts w:hint="default"/>
      </w:rPr>
    </w:lvl>
    <w:lvl w:ilvl="2" w:tplc="C0FAF1C8" w:tentative="1">
      <w:start w:val="1"/>
      <w:numFmt w:val="lowerRoman"/>
      <w:lvlText w:val="%3."/>
      <w:lvlJc w:val="right"/>
      <w:pPr>
        <w:ind w:left="2160" w:hanging="180"/>
      </w:pPr>
    </w:lvl>
    <w:lvl w:ilvl="3" w:tplc="2CC867AA" w:tentative="1">
      <w:start w:val="1"/>
      <w:numFmt w:val="decimal"/>
      <w:lvlText w:val="%4."/>
      <w:lvlJc w:val="left"/>
      <w:pPr>
        <w:ind w:left="2880" w:hanging="360"/>
      </w:pPr>
    </w:lvl>
    <w:lvl w:ilvl="4" w:tplc="5F720504" w:tentative="1">
      <w:start w:val="1"/>
      <w:numFmt w:val="lowerLetter"/>
      <w:lvlText w:val="%5."/>
      <w:lvlJc w:val="left"/>
      <w:pPr>
        <w:ind w:left="3600" w:hanging="360"/>
      </w:pPr>
    </w:lvl>
    <w:lvl w:ilvl="5" w:tplc="ED2EAE3A" w:tentative="1">
      <w:start w:val="1"/>
      <w:numFmt w:val="lowerRoman"/>
      <w:lvlText w:val="%6."/>
      <w:lvlJc w:val="right"/>
      <w:pPr>
        <w:ind w:left="4320" w:hanging="180"/>
      </w:pPr>
    </w:lvl>
    <w:lvl w:ilvl="6" w:tplc="7714C1A6" w:tentative="1">
      <w:start w:val="1"/>
      <w:numFmt w:val="decimal"/>
      <w:lvlText w:val="%7."/>
      <w:lvlJc w:val="left"/>
      <w:pPr>
        <w:ind w:left="5040" w:hanging="360"/>
      </w:pPr>
    </w:lvl>
    <w:lvl w:ilvl="7" w:tplc="959E5300" w:tentative="1">
      <w:start w:val="1"/>
      <w:numFmt w:val="lowerLetter"/>
      <w:lvlText w:val="%8."/>
      <w:lvlJc w:val="left"/>
      <w:pPr>
        <w:ind w:left="5760" w:hanging="360"/>
      </w:pPr>
    </w:lvl>
    <w:lvl w:ilvl="8" w:tplc="78B40616" w:tentative="1">
      <w:start w:val="1"/>
      <w:numFmt w:val="lowerRoman"/>
      <w:lvlText w:val="%9."/>
      <w:lvlJc w:val="right"/>
      <w:pPr>
        <w:ind w:left="6480" w:hanging="180"/>
      </w:pPr>
    </w:lvl>
  </w:abstractNum>
  <w:abstractNum w:abstractNumId="16" w15:restartNumberingAfterBreak="0">
    <w:nsid w:val="48BD3B3B"/>
    <w:multiLevelType w:val="hybridMultilevel"/>
    <w:tmpl w:val="8A70927A"/>
    <w:lvl w:ilvl="0" w:tplc="96FCDEFE">
      <w:start w:val="1"/>
      <w:numFmt w:val="lowerLetter"/>
      <w:lvlText w:val="%1)"/>
      <w:lvlJc w:val="left"/>
      <w:pPr>
        <w:ind w:left="720" w:hanging="360"/>
      </w:pPr>
      <w:rPr>
        <w:rFonts w:hint="default"/>
      </w:rPr>
    </w:lvl>
    <w:lvl w:ilvl="1" w:tplc="6526D6A6" w:tentative="1">
      <w:start w:val="1"/>
      <w:numFmt w:val="lowerLetter"/>
      <w:lvlText w:val="%2."/>
      <w:lvlJc w:val="left"/>
      <w:pPr>
        <w:ind w:left="1440" w:hanging="360"/>
      </w:pPr>
    </w:lvl>
    <w:lvl w:ilvl="2" w:tplc="4C48B90A" w:tentative="1">
      <w:start w:val="1"/>
      <w:numFmt w:val="lowerRoman"/>
      <w:lvlText w:val="%3."/>
      <w:lvlJc w:val="right"/>
      <w:pPr>
        <w:ind w:left="2160" w:hanging="180"/>
      </w:pPr>
    </w:lvl>
    <w:lvl w:ilvl="3" w:tplc="3138B120" w:tentative="1">
      <w:start w:val="1"/>
      <w:numFmt w:val="decimal"/>
      <w:lvlText w:val="%4."/>
      <w:lvlJc w:val="left"/>
      <w:pPr>
        <w:ind w:left="2880" w:hanging="360"/>
      </w:pPr>
    </w:lvl>
    <w:lvl w:ilvl="4" w:tplc="A6FEE244" w:tentative="1">
      <w:start w:val="1"/>
      <w:numFmt w:val="lowerLetter"/>
      <w:lvlText w:val="%5."/>
      <w:lvlJc w:val="left"/>
      <w:pPr>
        <w:ind w:left="3600" w:hanging="360"/>
      </w:pPr>
    </w:lvl>
    <w:lvl w:ilvl="5" w:tplc="EF504F52" w:tentative="1">
      <w:start w:val="1"/>
      <w:numFmt w:val="lowerRoman"/>
      <w:lvlText w:val="%6."/>
      <w:lvlJc w:val="right"/>
      <w:pPr>
        <w:ind w:left="4320" w:hanging="180"/>
      </w:pPr>
    </w:lvl>
    <w:lvl w:ilvl="6" w:tplc="50BA8366" w:tentative="1">
      <w:start w:val="1"/>
      <w:numFmt w:val="decimal"/>
      <w:lvlText w:val="%7."/>
      <w:lvlJc w:val="left"/>
      <w:pPr>
        <w:ind w:left="5040" w:hanging="360"/>
      </w:pPr>
    </w:lvl>
    <w:lvl w:ilvl="7" w:tplc="5D5E5800" w:tentative="1">
      <w:start w:val="1"/>
      <w:numFmt w:val="lowerLetter"/>
      <w:lvlText w:val="%8."/>
      <w:lvlJc w:val="left"/>
      <w:pPr>
        <w:ind w:left="5760" w:hanging="360"/>
      </w:pPr>
    </w:lvl>
    <w:lvl w:ilvl="8" w:tplc="4DDC435E" w:tentative="1">
      <w:start w:val="1"/>
      <w:numFmt w:val="lowerRoman"/>
      <w:lvlText w:val="%9."/>
      <w:lvlJc w:val="right"/>
      <w:pPr>
        <w:ind w:left="6480" w:hanging="180"/>
      </w:pPr>
    </w:lvl>
  </w:abstractNum>
  <w:abstractNum w:abstractNumId="17" w15:restartNumberingAfterBreak="0">
    <w:nsid w:val="4BA36BC2"/>
    <w:multiLevelType w:val="hybridMultilevel"/>
    <w:tmpl w:val="F62A537C"/>
    <w:lvl w:ilvl="0" w:tplc="84EA9AB6">
      <w:numFmt w:val="bullet"/>
      <w:lvlText w:val="-"/>
      <w:lvlJc w:val="left"/>
      <w:pPr>
        <w:ind w:left="720" w:hanging="360"/>
      </w:pPr>
      <w:rPr>
        <w:rFonts w:ascii="Calibri" w:eastAsia="Times New Roman" w:hAnsi="Calibri" w:cs="Calibri" w:hint="default"/>
      </w:rPr>
    </w:lvl>
    <w:lvl w:ilvl="1" w:tplc="E11470E4" w:tentative="1">
      <w:start w:val="1"/>
      <w:numFmt w:val="bullet"/>
      <w:lvlText w:val="o"/>
      <w:lvlJc w:val="left"/>
      <w:pPr>
        <w:ind w:left="1440" w:hanging="360"/>
      </w:pPr>
      <w:rPr>
        <w:rFonts w:ascii="Courier New" w:hAnsi="Courier New" w:cs="Courier New" w:hint="default"/>
      </w:rPr>
    </w:lvl>
    <w:lvl w:ilvl="2" w:tplc="588A1FF4" w:tentative="1">
      <w:start w:val="1"/>
      <w:numFmt w:val="bullet"/>
      <w:lvlText w:val=""/>
      <w:lvlJc w:val="left"/>
      <w:pPr>
        <w:ind w:left="2160" w:hanging="360"/>
      </w:pPr>
      <w:rPr>
        <w:rFonts w:ascii="Wingdings" w:hAnsi="Wingdings" w:hint="default"/>
      </w:rPr>
    </w:lvl>
    <w:lvl w:ilvl="3" w:tplc="5F62AC82" w:tentative="1">
      <w:start w:val="1"/>
      <w:numFmt w:val="bullet"/>
      <w:lvlText w:val=""/>
      <w:lvlJc w:val="left"/>
      <w:pPr>
        <w:ind w:left="2880" w:hanging="360"/>
      </w:pPr>
      <w:rPr>
        <w:rFonts w:ascii="Symbol" w:hAnsi="Symbol" w:hint="default"/>
      </w:rPr>
    </w:lvl>
    <w:lvl w:ilvl="4" w:tplc="784442FC" w:tentative="1">
      <w:start w:val="1"/>
      <w:numFmt w:val="bullet"/>
      <w:lvlText w:val="o"/>
      <w:lvlJc w:val="left"/>
      <w:pPr>
        <w:ind w:left="3600" w:hanging="360"/>
      </w:pPr>
      <w:rPr>
        <w:rFonts w:ascii="Courier New" w:hAnsi="Courier New" w:cs="Courier New" w:hint="default"/>
      </w:rPr>
    </w:lvl>
    <w:lvl w:ilvl="5" w:tplc="0D1EB354" w:tentative="1">
      <w:start w:val="1"/>
      <w:numFmt w:val="bullet"/>
      <w:lvlText w:val=""/>
      <w:lvlJc w:val="left"/>
      <w:pPr>
        <w:ind w:left="4320" w:hanging="360"/>
      </w:pPr>
      <w:rPr>
        <w:rFonts w:ascii="Wingdings" w:hAnsi="Wingdings" w:hint="default"/>
      </w:rPr>
    </w:lvl>
    <w:lvl w:ilvl="6" w:tplc="24D2F672" w:tentative="1">
      <w:start w:val="1"/>
      <w:numFmt w:val="bullet"/>
      <w:lvlText w:val=""/>
      <w:lvlJc w:val="left"/>
      <w:pPr>
        <w:ind w:left="5040" w:hanging="360"/>
      </w:pPr>
      <w:rPr>
        <w:rFonts w:ascii="Symbol" w:hAnsi="Symbol" w:hint="default"/>
      </w:rPr>
    </w:lvl>
    <w:lvl w:ilvl="7" w:tplc="3ED62014" w:tentative="1">
      <w:start w:val="1"/>
      <w:numFmt w:val="bullet"/>
      <w:lvlText w:val="o"/>
      <w:lvlJc w:val="left"/>
      <w:pPr>
        <w:ind w:left="5760" w:hanging="360"/>
      </w:pPr>
      <w:rPr>
        <w:rFonts w:ascii="Courier New" w:hAnsi="Courier New" w:cs="Courier New" w:hint="default"/>
      </w:rPr>
    </w:lvl>
    <w:lvl w:ilvl="8" w:tplc="270C6310" w:tentative="1">
      <w:start w:val="1"/>
      <w:numFmt w:val="bullet"/>
      <w:lvlText w:val=""/>
      <w:lvlJc w:val="left"/>
      <w:pPr>
        <w:ind w:left="6480" w:hanging="360"/>
      </w:pPr>
      <w:rPr>
        <w:rFonts w:ascii="Wingdings" w:hAnsi="Wingdings" w:hint="default"/>
      </w:rPr>
    </w:lvl>
  </w:abstractNum>
  <w:abstractNum w:abstractNumId="18" w15:restartNumberingAfterBreak="0">
    <w:nsid w:val="4C727C5D"/>
    <w:multiLevelType w:val="multilevel"/>
    <w:tmpl w:val="7B7CB0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205EFC"/>
    <w:multiLevelType w:val="hybridMultilevel"/>
    <w:tmpl w:val="70EA2BF2"/>
    <w:lvl w:ilvl="0" w:tplc="1A36DFC0">
      <w:start w:val="1"/>
      <w:numFmt w:val="decimal"/>
      <w:lvlText w:val="%1."/>
      <w:lvlJc w:val="left"/>
      <w:pPr>
        <w:ind w:left="720" w:hanging="360"/>
      </w:pPr>
      <w:rPr>
        <w:b w:val="0"/>
      </w:rPr>
    </w:lvl>
    <w:lvl w:ilvl="1" w:tplc="78FE2DBA" w:tentative="1">
      <w:start w:val="1"/>
      <w:numFmt w:val="lowerLetter"/>
      <w:lvlText w:val="%2."/>
      <w:lvlJc w:val="left"/>
      <w:pPr>
        <w:ind w:left="1440" w:hanging="360"/>
      </w:pPr>
    </w:lvl>
    <w:lvl w:ilvl="2" w:tplc="BAC497D0" w:tentative="1">
      <w:start w:val="1"/>
      <w:numFmt w:val="lowerRoman"/>
      <w:lvlText w:val="%3."/>
      <w:lvlJc w:val="right"/>
      <w:pPr>
        <w:ind w:left="2160" w:hanging="180"/>
      </w:pPr>
    </w:lvl>
    <w:lvl w:ilvl="3" w:tplc="8A568C6E" w:tentative="1">
      <w:start w:val="1"/>
      <w:numFmt w:val="decimal"/>
      <w:lvlText w:val="%4."/>
      <w:lvlJc w:val="left"/>
      <w:pPr>
        <w:ind w:left="2880" w:hanging="360"/>
      </w:pPr>
    </w:lvl>
    <w:lvl w:ilvl="4" w:tplc="CCD6B7DE" w:tentative="1">
      <w:start w:val="1"/>
      <w:numFmt w:val="lowerLetter"/>
      <w:lvlText w:val="%5."/>
      <w:lvlJc w:val="left"/>
      <w:pPr>
        <w:ind w:left="3600" w:hanging="360"/>
      </w:pPr>
    </w:lvl>
    <w:lvl w:ilvl="5" w:tplc="4092852C" w:tentative="1">
      <w:start w:val="1"/>
      <w:numFmt w:val="lowerRoman"/>
      <w:lvlText w:val="%6."/>
      <w:lvlJc w:val="right"/>
      <w:pPr>
        <w:ind w:left="4320" w:hanging="180"/>
      </w:pPr>
    </w:lvl>
    <w:lvl w:ilvl="6" w:tplc="731A1510" w:tentative="1">
      <w:start w:val="1"/>
      <w:numFmt w:val="decimal"/>
      <w:lvlText w:val="%7."/>
      <w:lvlJc w:val="left"/>
      <w:pPr>
        <w:ind w:left="5040" w:hanging="360"/>
      </w:pPr>
    </w:lvl>
    <w:lvl w:ilvl="7" w:tplc="4FEC9F04" w:tentative="1">
      <w:start w:val="1"/>
      <w:numFmt w:val="lowerLetter"/>
      <w:lvlText w:val="%8."/>
      <w:lvlJc w:val="left"/>
      <w:pPr>
        <w:ind w:left="5760" w:hanging="360"/>
      </w:pPr>
    </w:lvl>
    <w:lvl w:ilvl="8" w:tplc="EB5A75FE" w:tentative="1">
      <w:start w:val="1"/>
      <w:numFmt w:val="lowerRoman"/>
      <w:lvlText w:val="%9."/>
      <w:lvlJc w:val="right"/>
      <w:pPr>
        <w:ind w:left="6480" w:hanging="180"/>
      </w:pPr>
    </w:lvl>
  </w:abstractNum>
  <w:abstractNum w:abstractNumId="20" w15:restartNumberingAfterBreak="0">
    <w:nsid w:val="7D1D10B6"/>
    <w:multiLevelType w:val="hybridMultilevel"/>
    <w:tmpl w:val="726C17CA"/>
    <w:lvl w:ilvl="0" w:tplc="13561102">
      <w:start w:val="1"/>
      <w:numFmt w:val="bullet"/>
      <w:lvlText w:val=""/>
      <w:lvlJc w:val="left"/>
      <w:pPr>
        <w:ind w:left="720" w:hanging="360"/>
      </w:pPr>
      <w:rPr>
        <w:rFonts w:ascii="Symbol" w:hAnsi="Symbol" w:hint="default"/>
      </w:rPr>
    </w:lvl>
    <w:lvl w:ilvl="1" w:tplc="FD5C7DC8" w:tentative="1">
      <w:start w:val="1"/>
      <w:numFmt w:val="bullet"/>
      <w:lvlText w:val="o"/>
      <w:lvlJc w:val="left"/>
      <w:pPr>
        <w:ind w:left="1440" w:hanging="360"/>
      </w:pPr>
      <w:rPr>
        <w:rFonts w:ascii="Courier New" w:hAnsi="Courier New" w:cs="Courier New" w:hint="default"/>
      </w:rPr>
    </w:lvl>
    <w:lvl w:ilvl="2" w:tplc="F5EE6630" w:tentative="1">
      <w:start w:val="1"/>
      <w:numFmt w:val="bullet"/>
      <w:lvlText w:val=""/>
      <w:lvlJc w:val="left"/>
      <w:pPr>
        <w:ind w:left="2160" w:hanging="360"/>
      </w:pPr>
      <w:rPr>
        <w:rFonts w:ascii="Wingdings" w:hAnsi="Wingdings" w:hint="default"/>
      </w:rPr>
    </w:lvl>
    <w:lvl w:ilvl="3" w:tplc="C0DA1808" w:tentative="1">
      <w:start w:val="1"/>
      <w:numFmt w:val="bullet"/>
      <w:lvlText w:val=""/>
      <w:lvlJc w:val="left"/>
      <w:pPr>
        <w:ind w:left="2880" w:hanging="360"/>
      </w:pPr>
      <w:rPr>
        <w:rFonts w:ascii="Symbol" w:hAnsi="Symbol" w:hint="default"/>
      </w:rPr>
    </w:lvl>
    <w:lvl w:ilvl="4" w:tplc="3BA0E90A" w:tentative="1">
      <w:start w:val="1"/>
      <w:numFmt w:val="bullet"/>
      <w:lvlText w:val="o"/>
      <w:lvlJc w:val="left"/>
      <w:pPr>
        <w:ind w:left="3600" w:hanging="360"/>
      </w:pPr>
      <w:rPr>
        <w:rFonts w:ascii="Courier New" w:hAnsi="Courier New" w:cs="Courier New" w:hint="default"/>
      </w:rPr>
    </w:lvl>
    <w:lvl w:ilvl="5" w:tplc="B992CAC4" w:tentative="1">
      <w:start w:val="1"/>
      <w:numFmt w:val="bullet"/>
      <w:lvlText w:val=""/>
      <w:lvlJc w:val="left"/>
      <w:pPr>
        <w:ind w:left="4320" w:hanging="360"/>
      </w:pPr>
      <w:rPr>
        <w:rFonts w:ascii="Wingdings" w:hAnsi="Wingdings" w:hint="default"/>
      </w:rPr>
    </w:lvl>
    <w:lvl w:ilvl="6" w:tplc="63460A92" w:tentative="1">
      <w:start w:val="1"/>
      <w:numFmt w:val="bullet"/>
      <w:lvlText w:val=""/>
      <w:lvlJc w:val="left"/>
      <w:pPr>
        <w:ind w:left="5040" w:hanging="360"/>
      </w:pPr>
      <w:rPr>
        <w:rFonts w:ascii="Symbol" w:hAnsi="Symbol" w:hint="default"/>
      </w:rPr>
    </w:lvl>
    <w:lvl w:ilvl="7" w:tplc="F8347B7A" w:tentative="1">
      <w:start w:val="1"/>
      <w:numFmt w:val="bullet"/>
      <w:lvlText w:val="o"/>
      <w:lvlJc w:val="left"/>
      <w:pPr>
        <w:ind w:left="5760" w:hanging="360"/>
      </w:pPr>
      <w:rPr>
        <w:rFonts w:ascii="Courier New" w:hAnsi="Courier New" w:cs="Courier New" w:hint="default"/>
      </w:rPr>
    </w:lvl>
    <w:lvl w:ilvl="8" w:tplc="56B4D042"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7"/>
  </w:num>
  <w:num w:numId="15">
    <w:abstractNumId w:val="13"/>
  </w:num>
  <w:num w:numId="16">
    <w:abstractNumId w:val="18"/>
  </w:num>
  <w:num w:numId="17">
    <w:abstractNumId w:val="15"/>
  </w:num>
  <w:num w:numId="18">
    <w:abstractNumId w:val="10"/>
  </w:num>
  <w:num w:numId="19">
    <w:abstractNumId w:val="20"/>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410"/>
    <w:rsid w:val="00007DF1"/>
    <w:rsid w:val="000C1519"/>
    <w:rsid w:val="000D0D0A"/>
    <w:rsid w:val="00103163"/>
    <w:rsid w:val="00106B19"/>
    <w:rsid w:val="00115D93"/>
    <w:rsid w:val="001247A8"/>
    <w:rsid w:val="001378C0"/>
    <w:rsid w:val="0018694A"/>
    <w:rsid w:val="001A3287"/>
    <w:rsid w:val="001A6508"/>
    <w:rsid w:val="001D4C31"/>
    <w:rsid w:val="001E4D21"/>
    <w:rsid w:val="00207CD1"/>
    <w:rsid w:val="002477A2"/>
    <w:rsid w:val="00263A51"/>
    <w:rsid w:val="00267E02"/>
    <w:rsid w:val="002974A8"/>
    <w:rsid w:val="002A5D44"/>
    <w:rsid w:val="002D0EE0"/>
    <w:rsid w:val="002E0BC4"/>
    <w:rsid w:val="002F1B76"/>
    <w:rsid w:val="0033568E"/>
    <w:rsid w:val="00355FF5"/>
    <w:rsid w:val="00361350"/>
    <w:rsid w:val="003C3FAE"/>
    <w:rsid w:val="004038CB"/>
    <w:rsid w:val="0040546F"/>
    <w:rsid w:val="0042404A"/>
    <w:rsid w:val="0044618F"/>
    <w:rsid w:val="0046769A"/>
    <w:rsid w:val="00475FB3"/>
    <w:rsid w:val="004C0F81"/>
    <w:rsid w:val="004C37A9"/>
    <w:rsid w:val="004D06B5"/>
    <w:rsid w:val="004D1D50"/>
    <w:rsid w:val="004F259E"/>
    <w:rsid w:val="00511F1D"/>
    <w:rsid w:val="00520F36"/>
    <w:rsid w:val="00540615"/>
    <w:rsid w:val="00540A6D"/>
    <w:rsid w:val="00571EEA"/>
    <w:rsid w:val="00575417"/>
    <w:rsid w:val="005768E1"/>
    <w:rsid w:val="00582567"/>
    <w:rsid w:val="005B1938"/>
    <w:rsid w:val="005B335C"/>
    <w:rsid w:val="005C3890"/>
    <w:rsid w:val="005F7BFE"/>
    <w:rsid w:val="00600017"/>
    <w:rsid w:val="00600410"/>
    <w:rsid w:val="006235CA"/>
    <w:rsid w:val="006643AB"/>
    <w:rsid w:val="006E61C5"/>
    <w:rsid w:val="00713A81"/>
    <w:rsid w:val="007210CD"/>
    <w:rsid w:val="00732045"/>
    <w:rsid w:val="007369DB"/>
    <w:rsid w:val="007532B0"/>
    <w:rsid w:val="007937AF"/>
    <w:rsid w:val="007956C2"/>
    <w:rsid w:val="007A187E"/>
    <w:rsid w:val="007C2BEF"/>
    <w:rsid w:val="007C72C2"/>
    <w:rsid w:val="007D36C3"/>
    <w:rsid w:val="007D4436"/>
    <w:rsid w:val="007F257A"/>
    <w:rsid w:val="007F3665"/>
    <w:rsid w:val="00800037"/>
    <w:rsid w:val="008607CB"/>
    <w:rsid w:val="00861D73"/>
    <w:rsid w:val="00897553"/>
    <w:rsid w:val="008A4E87"/>
    <w:rsid w:val="008D76E6"/>
    <w:rsid w:val="008F61BC"/>
    <w:rsid w:val="0092392D"/>
    <w:rsid w:val="00925616"/>
    <w:rsid w:val="0093234A"/>
    <w:rsid w:val="0097363B"/>
    <w:rsid w:val="009C307F"/>
    <w:rsid w:val="009C353C"/>
    <w:rsid w:val="009E64E8"/>
    <w:rsid w:val="00A15D98"/>
    <w:rsid w:val="00A2113E"/>
    <w:rsid w:val="00A23A51"/>
    <w:rsid w:val="00A24607"/>
    <w:rsid w:val="00A25CD3"/>
    <w:rsid w:val="00A709FE"/>
    <w:rsid w:val="00A82767"/>
    <w:rsid w:val="00AA2B79"/>
    <w:rsid w:val="00AA332F"/>
    <w:rsid w:val="00AA7BBB"/>
    <w:rsid w:val="00AB64A8"/>
    <w:rsid w:val="00AC0266"/>
    <w:rsid w:val="00AC6748"/>
    <w:rsid w:val="00AD24EC"/>
    <w:rsid w:val="00B309F9"/>
    <w:rsid w:val="00B32B60"/>
    <w:rsid w:val="00B61619"/>
    <w:rsid w:val="00BB4545"/>
    <w:rsid w:val="00BD5873"/>
    <w:rsid w:val="00C04BE3"/>
    <w:rsid w:val="00C25D29"/>
    <w:rsid w:val="00C27A7C"/>
    <w:rsid w:val="00C47851"/>
    <w:rsid w:val="00CA08ED"/>
    <w:rsid w:val="00CE66AD"/>
    <w:rsid w:val="00CF183B"/>
    <w:rsid w:val="00D375CD"/>
    <w:rsid w:val="00D553A2"/>
    <w:rsid w:val="00D774D3"/>
    <w:rsid w:val="00D904E8"/>
    <w:rsid w:val="00DA08C3"/>
    <w:rsid w:val="00DB5A3E"/>
    <w:rsid w:val="00DC22AA"/>
    <w:rsid w:val="00DF74DD"/>
    <w:rsid w:val="00E25AD0"/>
    <w:rsid w:val="00EB6350"/>
    <w:rsid w:val="00F15B57"/>
    <w:rsid w:val="00F427DB"/>
    <w:rsid w:val="00FA5EB1"/>
    <w:rsid w:val="00FA7439"/>
    <w:rsid w:val="00FC4EC0"/>
    <w:rsid w:val="00FF0181"/>
    <w:rsid w:val="00FF0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E78032"/>
  <w15:docId w15:val="{2C040E8D-5334-4AB2-BB63-0354F452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link w:val="FootnoteTextChar"/>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NoSpacing">
    <w:name w:val="No Spacing"/>
    <w:uiPriority w:val="1"/>
    <w:qFormat/>
    <w:rsid w:val="006E61C5"/>
    <w:rPr>
      <w:rFonts w:asciiTheme="minorHAnsi" w:eastAsiaTheme="minorHAnsi" w:hAnsiTheme="minorHAnsi" w:cstheme="minorBidi"/>
      <w:sz w:val="22"/>
      <w:szCs w:val="22"/>
      <w:lang w:eastAsia="en-US"/>
    </w:rPr>
  </w:style>
  <w:style w:type="paragraph" w:customStyle="1" w:styleId="Default">
    <w:name w:val="Default"/>
    <w:rsid w:val="006E61C5"/>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6E61C5"/>
    <w:rPr>
      <w:rFonts w:ascii="Calibri" w:hAnsi="Calibri"/>
      <w:sz w:val="24"/>
      <w:lang w:val="fr-FR" w:eastAsia="en-US"/>
    </w:rPr>
  </w:style>
  <w:style w:type="character" w:customStyle="1" w:styleId="UnresolvedMention1">
    <w:name w:val="Unresolved Mention1"/>
    <w:basedOn w:val="DefaultParagraphFont"/>
    <w:uiPriority w:val="99"/>
    <w:semiHidden/>
    <w:unhideWhenUsed/>
    <w:rsid w:val="006E61C5"/>
    <w:rPr>
      <w:color w:val="605E5C"/>
      <w:shd w:val="clear" w:color="auto" w:fill="E1DFDD"/>
    </w:rPr>
  </w:style>
  <w:style w:type="paragraph" w:styleId="ListParagraph">
    <w:name w:val="List Paragraph"/>
    <w:basedOn w:val="Normal"/>
    <w:uiPriority w:val="34"/>
    <w:qFormat/>
    <w:rsid w:val="006E61C5"/>
    <w:pPr>
      <w:ind w:left="720"/>
      <w:contextualSpacing/>
    </w:pPr>
    <w:rPr>
      <w:rFonts w:eastAsia="SimSun"/>
      <w:lang w:val="en-GB"/>
    </w:rPr>
  </w:style>
  <w:style w:type="paragraph" w:styleId="BodyText3">
    <w:name w:val="Body Text 3"/>
    <w:basedOn w:val="Normal"/>
    <w:link w:val="BodyText3Char"/>
    <w:rsid w:val="006E61C5"/>
    <w:pPr>
      <w:spacing w:after="120"/>
    </w:pPr>
    <w:rPr>
      <w:rFonts w:eastAsia="SimSun"/>
      <w:sz w:val="16"/>
      <w:szCs w:val="16"/>
      <w:lang w:val="en-GB"/>
    </w:rPr>
  </w:style>
  <w:style w:type="character" w:customStyle="1" w:styleId="BodyText3Char">
    <w:name w:val="Body Text 3 Char"/>
    <w:basedOn w:val="DefaultParagraphFont"/>
    <w:link w:val="BodyText3"/>
    <w:rsid w:val="006E61C5"/>
    <w:rPr>
      <w:rFonts w:ascii="Calibri" w:eastAsia="SimSun" w:hAnsi="Calibri"/>
      <w:sz w:val="16"/>
      <w:szCs w:val="16"/>
      <w:lang w:val="en-GB" w:eastAsia="en-US"/>
    </w:rPr>
  </w:style>
  <w:style w:type="character" w:styleId="CommentReference">
    <w:name w:val="annotation reference"/>
    <w:basedOn w:val="DefaultParagraphFont"/>
    <w:semiHidden/>
    <w:unhideWhenUsed/>
    <w:rsid w:val="006E61C5"/>
    <w:rPr>
      <w:sz w:val="16"/>
      <w:szCs w:val="16"/>
    </w:rPr>
  </w:style>
  <w:style w:type="paragraph" w:styleId="CommentText">
    <w:name w:val="annotation text"/>
    <w:basedOn w:val="Normal"/>
    <w:link w:val="CommentTextChar"/>
    <w:unhideWhenUsed/>
    <w:rsid w:val="006E61C5"/>
    <w:rPr>
      <w:rFonts w:eastAsia="SimSun"/>
      <w:sz w:val="20"/>
      <w:lang w:val="en-GB"/>
    </w:rPr>
  </w:style>
  <w:style w:type="character" w:customStyle="1" w:styleId="CommentTextChar">
    <w:name w:val="Comment Text Char"/>
    <w:basedOn w:val="DefaultParagraphFont"/>
    <w:link w:val="CommentText"/>
    <w:rsid w:val="006E61C5"/>
    <w:rPr>
      <w:rFonts w:ascii="Calibri" w:eastAsia="SimSun" w:hAnsi="Calibri"/>
      <w:lang w:val="en-GB" w:eastAsia="en-US"/>
    </w:rPr>
  </w:style>
  <w:style w:type="paragraph" w:styleId="CommentSubject">
    <w:name w:val="annotation subject"/>
    <w:basedOn w:val="CommentText"/>
    <w:next w:val="CommentText"/>
    <w:link w:val="CommentSubjectChar"/>
    <w:semiHidden/>
    <w:unhideWhenUsed/>
    <w:rsid w:val="006E61C5"/>
    <w:rPr>
      <w:b/>
      <w:bCs/>
    </w:rPr>
  </w:style>
  <w:style w:type="character" w:customStyle="1" w:styleId="CommentSubjectChar">
    <w:name w:val="Comment Subject Char"/>
    <w:basedOn w:val="CommentTextChar"/>
    <w:link w:val="CommentSubject"/>
    <w:semiHidden/>
    <w:rsid w:val="006E61C5"/>
    <w:rPr>
      <w:rFonts w:ascii="Calibri" w:eastAsia="SimSun" w:hAnsi="Calibri"/>
      <w:b/>
      <w:bCs/>
      <w:lang w:val="en-GB" w:eastAsia="en-US"/>
    </w:rPr>
  </w:style>
  <w:style w:type="paragraph" w:styleId="Revision">
    <w:name w:val="Revision"/>
    <w:hidden/>
    <w:uiPriority w:val="99"/>
    <w:semiHidden/>
    <w:rsid w:val="006E61C5"/>
    <w:rPr>
      <w:rFonts w:ascii="Calibri" w:eastAsia="SimSun" w:hAnsi="Calibri"/>
      <w:sz w:val="24"/>
      <w:lang w:val="en-GB" w:eastAsia="en-US"/>
    </w:rPr>
  </w:style>
  <w:style w:type="character" w:customStyle="1" w:styleId="UnresolvedMention2">
    <w:name w:val="Unresolved Mention2"/>
    <w:basedOn w:val="DefaultParagraphFont"/>
    <w:uiPriority w:val="99"/>
    <w:semiHidden/>
    <w:unhideWhenUsed/>
    <w:rsid w:val="006E6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1-CL-C-0059/en" TargetMode="External"/><Relationship Id="rId18" Type="http://schemas.openxmlformats.org/officeDocument/2006/relationships/hyperlink" Target="https://www.itu.int/md/S21-CL-C-0038/en" TargetMode="External"/><Relationship Id="rId26" Type="http://schemas.openxmlformats.org/officeDocument/2006/relationships/hyperlink" Target="https://www.itu.int/md/S21-CL-C-0059/en" TargetMode="External"/><Relationship Id="rId39" Type="http://schemas.openxmlformats.org/officeDocument/2006/relationships/fontTable" Target="fontTable.xml"/><Relationship Id="rId21" Type="http://schemas.openxmlformats.org/officeDocument/2006/relationships/hyperlink" Target="https://www.itu.int/md/S21-CL-C-0034/en"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itu.int/md/S21-CL-C-0082/en" TargetMode="External"/><Relationship Id="rId17" Type="http://schemas.openxmlformats.org/officeDocument/2006/relationships/hyperlink" Target="https://www.itu.int/md/S21-CL-C-0039/en" TargetMode="External"/><Relationship Id="rId25" Type="http://schemas.openxmlformats.org/officeDocument/2006/relationships/hyperlink" Target="https://www.itu.int/md/S21-CL-C-0082/en" TargetMode="External"/><Relationship Id="rId33" Type="http://schemas.openxmlformats.org/officeDocument/2006/relationships/hyperlink" Target="https://www.itu.int/md/S21-CL-C-0069/en"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itu.int/md/S21-CL-C-0067/en" TargetMode="External"/><Relationship Id="rId20" Type="http://schemas.openxmlformats.org/officeDocument/2006/relationships/hyperlink" Target="https://www.itu.int/md/S21-CL-210608-TD-GEN-0001/en" TargetMode="External"/><Relationship Id="rId29" Type="http://schemas.openxmlformats.org/officeDocument/2006/relationships/hyperlink" Target="https://www.itu.int/md/S21-CL-C-0080/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1-CL-C-0036/en" TargetMode="External"/><Relationship Id="rId24" Type="http://schemas.openxmlformats.org/officeDocument/2006/relationships/hyperlink" Target="https://www.itu.int/md/S21-CL-C-0071/en" TargetMode="External"/><Relationship Id="rId32" Type="http://schemas.openxmlformats.org/officeDocument/2006/relationships/hyperlink" Target="https://www.itu.int/md/S21-CL-C-0038/en"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S21-CL-C-0080/en" TargetMode="External"/><Relationship Id="rId23" Type="http://schemas.openxmlformats.org/officeDocument/2006/relationships/hyperlink" Target="https://www.itu.int/md/S21-CL-C-0036/en" TargetMode="External"/><Relationship Id="rId28" Type="http://schemas.openxmlformats.org/officeDocument/2006/relationships/hyperlink" Target="https://www.itu.int/md/S21-CL-C-0062/en" TargetMode="External"/><Relationship Id="rId36" Type="http://schemas.openxmlformats.org/officeDocument/2006/relationships/footer" Target="footer1.xml"/><Relationship Id="rId10" Type="http://schemas.openxmlformats.org/officeDocument/2006/relationships/hyperlink" Target="https://www.itu.int/md/S21-CL-C-0025/en" TargetMode="External"/><Relationship Id="rId19" Type="http://schemas.openxmlformats.org/officeDocument/2006/relationships/hyperlink" Target="https://www.itu.int/md/S21-CL-C-0069/en" TargetMode="External"/><Relationship Id="rId31" Type="http://schemas.openxmlformats.org/officeDocument/2006/relationships/hyperlink" Target="https://www.itu.int/md/S21-CL-C-0039/en" TargetMode="External"/><Relationship Id="rId4" Type="http://schemas.openxmlformats.org/officeDocument/2006/relationships/webSettings" Target="webSettings.xml"/><Relationship Id="rId9" Type="http://schemas.openxmlformats.org/officeDocument/2006/relationships/hyperlink" Target="https://www.itu.int/md/S21-CL-C-0034/en" TargetMode="External"/><Relationship Id="rId14" Type="http://schemas.openxmlformats.org/officeDocument/2006/relationships/hyperlink" Target="https://www.itu.int/md/S21-CL-C-0046/en" TargetMode="External"/><Relationship Id="rId22" Type="http://schemas.openxmlformats.org/officeDocument/2006/relationships/hyperlink" Target="https://www.itu.int/md/S21-CL-C-0025/en" TargetMode="External"/><Relationship Id="rId27" Type="http://schemas.openxmlformats.org/officeDocument/2006/relationships/hyperlink" Target="https://www.itu.int/md/S21-CL-C-0046/en" TargetMode="External"/><Relationship Id="rId30" Type="http://schemas.openxmlformats.org/officeDocument/2006/relationships/hyperlink" Target="https://www.itu.int/md/S21-CL-C-0067/en" TargetMode="External"/><Relationship Id="rId35" Type="http://schemas.openxmlformats.org/officeDocument/2006/relationships/header" Target="header2.xml"/><Relationship Id="rId8" Type="http://schemas.openxmlformats.org/officeDocument/2006/relationships/hyperlink" Target="https://www.itu.int/md/S21-CL-210608-TD-GEN-0001/en"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7</TotalTime>
  <Pages>12</Pages>
  <Words>6212</Words>
  <Characters>34852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40983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sixième séance</dc:title>
  <dc:subject>Council 2021, Virtual consultation of councillors</dc:subject>
  <dc:creator>French</dc:creator>
  <cp:keywords>C2021, C21, VCC, C21-VCC-1</cp:keywords>
  <dc:description/>
  <cp:lastModifiedBy>Brouard, Ricarda</cp:lastModifiedBy>
  <cp:revision>3</cp:revision>
  <cp:lastPrinted>2000-07-18T08:55:00Z</cp:lastPrinted>
  <dcterms:created xsi:type="dcterms:W3CDTF">2021-08-03T14:44:00Z</dcterms:created>
  <dcterms:modified xsi:type="dcterms:W3CDTF">2021-08-06T09:31:00Z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