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722CEEAF" w:rsidR="002A2188" w:rsidRPr="00813E5E" w:rsidRDefault="002A2188" w:rsidP="009F66A3">
            <w:pPr>
              <w:spacing w:before="360" w:after="48" w:line="240" w:lineRule="atLeast"/>
              <w:rPr>
                <w:position w:val="6"/>
              </w:rPr>
            </w:pPr>
            <w:bookmarkStart w:id="0" w:name="dc06"/>
            <w:bookmarkEnd w:id="0"/>
            <w:r w:rsidRPr="00DE4373">
              <w:rPr>
                <w:b/>
                <w:bCs/>
                <w:position w:val="6"/>
                <w:sz w:val="30"/>
                <w:szCs w:val="30"/>
              </w:rPr>
              <w:t>C</w:t>
            </w:r>
            <w:r w:rsidR="009F66A3" w:rsidRPr="00DE4373">
              <w:rPr>
                <w:b/>
                <w:bCs/>
                <w:position w:val="6"/>
                <w:sz w:val="30"/>
                <w:szCs w:val="30"/>
              </w:rPr>
              <w:t>ouncil 202</w:t>
            </w:r>
            <w:r w:rsidR="00F56668" w:rsidRPr="00DE4373">
              <w:rPr>
                <w:b/>
                <w:bCs/>
                <w:position w:val="6"/>
                <w:sz w:val="30"/>
                <w:szCs w:val="30"/>
              </w:rPr>
              <w:t>1</w:t>
            </w:r>
            <w:r w:rsidR="00F56668" w:rsidRPr="00DE4373">
              <w:rPr>
                <w:b/>
                <w:bCs/>
                <w:position w:val="6"/>
                <w:sz w:val="30"/>
                <w:szCs w:val="30"/>
              </w:rPr>
              <w:br/>
            </w:r>
            <w:r w:rsidR="00EA2120" w:rsidRPr="00DE4373">
              <w:rPr>
                <w:b/>
                <w:bCs/>
                <w:position w:val="6"/>
                <w:sz w:val="28"/>
                <w:szCs w:val="28"/>
              </w:rPr>
              <w:t>Virtual consultation of councillors</w:t>
            </w:r>
            <w:r w:rsidR="00F56668" w:rsidRPr="00DE4373">
              <w:rPr>
                <w:b/>
                <w:bCs/>
                <w:position w:val="6"/>
                <w:sz w:val="28"/>
                <w:szCs w:val="28"/>
              </w:rPr>
              <w:t xml:space="preserve">, </w:t>
            </w:r>
            <w:r w:rsidR="00F56668" w:rsidRPr="00722181">
              <w:rPr>
                <w:b/>
                <w:bCs/>
                <w:position w:val="6"/>
                <w:sz w:val="28"/>
                <w:szCs w:val="28"/>
              </w:rPr>
              <w:t>8-18 June</w:t>
            </w:r>
            <w:r w:rsidR="00F56668" w:rsidRPr="00DE4373">
              <w:rPr>
                <w:b/>
                <w:bCs/>
                <w:position w:val="6"/>
                <w:sz w:val="28"/>
                <w:szCs w:val="28"/>
              </w:rPr>
              <w:t xml:space="preserve"> 2021</w:t>
            </w:r>
          </w:p>
        </w:tc>
        <w:tc>
          <w:tcPr>
            <w:tcW w:w="3120" w:type="dxa"/>
            <w:vAlign w:val="center"/>
          </w:tcPr>
          <w:p w14:paraId="049BF09C" w14:textId="77777777" w:rsidR="002A2188" w:rsidRPr="00813E5E" w:rsidRDefault="009F66A3" w:rsidP="009F66A3">
            <w:pPr>
              <w:spacing w:before="0" w:line="240" w:lineRule="atLeast"/>
            </w:pPr>
            <w:bookmarkStart w:id="1" w:name="ditulogo"/>
            <w:bookmarkEnd w:id="1"/>
            <w:r>
              <w:rPr>
                <w:noProof/>
                <w:lang w:val="en-US"/>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DE4373">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DE4373">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DE4373">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DE4373">
            <w:pPr>
              <w:spacing w:before="0" w:line="240" w:lineRule="atLeast"/>
              <w:rPr>
                <w:szCs w:val="24"/>
              </w:rPr>
            </w:pPr>
          </w:p>
        </w:tc>
      </w:tr>
      <w:tr w:rsidR="002A2188" w:rsidRPr="00813E5E" w14:paraId="6804D83E" w14:textId="77777777" w:rsidTr="00464B6C">
        <w:trPr>
          <w:cantSplit/>
          <w:trHeight w:val="23"/>
        </w:trPr>
        <w:tc>
          <w:tcPr>
            <w:tcW w:w="6911" w:type="dxa"/>
            <w:vMerge w:val="restart"/>
          </w:tcPr>
          <w:p w14:paraId="42A03540" w14:textId="10EA13D3" w:rsidR="002A2188" w:rsidRPr="00E85629" w:rsidRDefault="002A2188" w:rsidP="00DE4373">
            <w:pPr>
              <w:tabs>
                <w:tab w:val="left" w:pos="851"/>
              </w:tabs>
              <w:spacing w:before="0" w:line="240" w:lineRule="atLeast"/>
              <w:rPr>
                <w:b/>
              </w:rPr>
            </w:pPr>
            <w:bookmarkStart w:id="2" w:name="dmeeting" w:colFirst="0" w:colLast="0"/>
            <w:bookmarkStart w:id="3" w:name="dnum" w:colFirst="1" w:colLast="1"/>
          </w:p>
        </w:tc>
        <w:tc>
          <w:tcPr>
            <w:tcW w:w="3120" w:type="dxa"/>
          </w:tcPr>
          <w:p w14:paraId="1727AC2C" w14:textId="258E754E" w:rsidR="002A2188" w:rsidRPr="00E85629" w:rsidRDefault="009F66A3" w:rsidP="00DE4373">
            <w:pPr>
              <w:tabs>
                <w:tab w:val="left" w:pos="851"/>
              </w:tabs>
              <w:spacing w:before="0" w:line="240" w:lineRule="atLeast"/>
              <w:rPr>
                <w:b/>
              </w:rPr>
            </w:pPr>
            <w:r>
              <w:rPr>
                <w:b/>
              </w:rPr>
              <w:t>Document C2</w:t>
            </w:r>
            <w:r w:rsidR="00F56668">
              <w:rPr>
                <w:b/>
              </w:rPr>
              <w:t>1</w:t>
            </w:r>
            <w:r w:rsidR="002A2188">
              <w:rPr>
                <w:b/>
              </w:rPr>
              <w:t>/</w:t>
            </w:r>
            <w:r w:rsidR="00195967">
              <w:rPr>
                <w:b/>
              </w:rPr>
              <w:t>8</w:t>
            </w:r>
            <w:r w:rsidR="00A046C5">
              <w:rPr>
                <w:rFonts w:hint="eastAsia"/>
                <w:b/>
                <w:lang w:eastAsia="zh-CN"/>
              </w:rPr>
              <w:t>6</w:t>
            </w:r>
            <w:r w:rsidR="002A2188">
              <w:rPr>
                <w:b/>
              </w:rPr>
              <w:t>-E</w:t>
            </w:r>
          </w:p>
        </w:tc>
      </w:tr>
      <w:tr w:rsidR="002A2188" w:rsidRPr="00813E5E" w14:paraId="6B217E52" w14:textId="77777777" w:rsidTr="00464B6C">
        <w:trPr>
          <w:cantSplit/>
          <w:trHeight w:val="23"/>
        </w:trPr>
        <w:tc>
          <w:tcPr>
            <w:tcW w:w="6911" w:type="dxa"/>
            <w:vMerge/>
          </w:tcPr>
          <w:p w14:paraId="1CE8AE93" w14:textId="77777777"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14:paraId="257DEE08" w14:textId="551CFB99" w:rsidR="002A2188" w:rsidRPr="00E85629" w:rsidRDefault="00195967" w:rsidP="009F66A3">
            <w:pPr>
              <w:tabs>
                <w:tab w:val="left" w:pos="993"/>
              </w:tabs>
              <w:spacing w:before="0"/>
              <w:rPr>
                <w:b/>
              </w:rPr>
            </w:pPr>
            <w:r>
              <w:rPr>
                <w:b/>
              </w:rPr>
              <w:t>16 June</w:t>
            </w:r>
            <w:r w:rsidR="002A2188">
              <w:rPr>
                <w:b/>
              </w:rPr>
              <w:t xml:space="preserve"> 20</w:t>
            </w:r>
            <w:r w:rsidR="009F66A3">
              <w:rPr>
                <w:b/>
              </w:rPr>
              <w:t>2</w:t>
            </w:r>
            <w:r w:rsidR="00F56668">
              <w:rPr>
                <w:b/>
              </w:rPr>
              <w:t>1</w:t>
            </w:r>
          </w:p>
        </w:tc>
      </w:tr>
      <w:tr w:rsidR="002A2188" w:rsidRPr="00813E5E" w14:paraId="10D36551" w14:textId="77777777" w:rsidTr="00464B6C">
        <w:trPr>
          <w:cantSplit/>
          <w:trHeight w:val="23"/>
        </w:trPr>
        <w:tc>
          <w:tcPr>
            <w:tcW w:w="6911" w:type="dxa"/>
            <w:vMerge/>
          </w:tcPr>
          <w:p w14:paraId="7EF812AF" w14:textId="77777777"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14:paraId="0DF1D05E" w14:textId="3B429F99" w:rsidR="002A2188" w:rsidRPr="00E85629" w:rsidRDefault="002A2188" w:rsidP="00464B6C">
            <w:pPr>
              <w:tabs>
                <w:tab w:val="left" w:pos="993"/>
              </w:tabs>
              <w:spacing w:before="0"/>
              <w:rPr>
                <w:b/>
              </w:rPr>
            </w:pPr>
            <w:r>
              <w:rPr>
                <w:b/>
              </w:rPr>
              <w:t xml:space="preserve">Original: </w:t>
            </w:r>
            <w:r w:rsidR="00DE4373">
              <w:rPr>
                <w:b/>
              </w:rPr>
              <w:t>English</w:t>
            </w:r>
          </w:p>
        </w:tc>
      </w:tr>
    </w:tbl>
    <w:bookmarkEnd w:id="5"/>
    <w:p w14:paraId="12932384" w14:textId="77777777" w:rsidR="00A046C5" w:rsidRPr="00A046C5" w:rsidRDefault="00A046C5" w:rsidP="00A046C5">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r w:rsidRPr="00A046C5">
        <w:rPr>
          <w:rFonts w:eastAsia="MS Mincho" w:cs="Calibri"/>
          <w:szCs w:val="24"/>
          <w:lang w:val="en-US"/>
        </w:rPr>
        <w:t xml:space="preserve">SUMMARY RECORD </w:t>
      </w:r>
    </w:p>
    <w:p w14:paraId="31C6440A" w14:textId="77777777" w:rsidR="00A046C5" w:rsidRPr="00A046C5" w:rsidRDefault="00A046C5" w:rsidP="00A046C5">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r w:rsidRPr="00A046C5">
        <w:rPr>
          <w:rFonts w:eastAsia="MS Mincho" w:cs="Calibri"/>
          <w:szCs w:val="24"/>
          <w:lang w:val="en-US"/>
        </w:rPr>
        <w:t xml:space="preserve">OF THE </w:t>
      </w:r>
    </w:p>
    <w:p w14:paraId="1E2CF93E" w14:textId="77777777" w:rsidR="00A046C5" w:rsidRPr="00A046C5" w:rsidRDefault="00A046C5" w:rsidP="00A046C5">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r w:rsidRPr="00A046C5">
        <w:rPr>
          <w:rFonts w:eastAsia="MS Mincho" w:cs="Calibri"/>
          <w:szCs w:val="24"/>
          <w:lang w:val="en-US"/>
        </w:rPr>
        <w:t>SECOND MEETING</w:t>
      </w:r>
    </w:p>
    <w:p w14:paraId="3E628F8C" w14:textId="77777777" w:rsidR="00A046C5" w:rsidRPr="00A046C5" w:rsidRDefault="00A046C5" w:rsidP="00A046C5">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r w:rsidRPr="00A046C5">
        <w:rPr>
          <w:rFonts w:eastAsia="MS Mincho" w:cs="Calibri"/>
          <w:szCs w:val="24"/>
          <w:lang w:val="en-US"/>
        </w:rPr>
        <w:t>Wednesday, 9 June 2021, from 1200 to 1505 hours</w:t>
      </w:r>
    </w:p>
    <w:p w14:paraId="6629C766" w14:textId="77777777" w:rsidR="00A046C5" w:rsidRPr="00A046C5" w:rsidRDefault="00A046C5" w:rsidP="00A046C5">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r w:rsidRPr="00A046C5">
        <w:rPr>
          <w:rFonts w:eastAsia="MS Mincho" w:cs="Calibri"/>
          <w:b/>
          <w:bCs/>
          <w:szCs w:val="24"/>
          <w:lang w:val="en-US"/>
        </w:rPr>
        <w:t>Chairman:</w:t>
      </w:r>
      <w:r w:rsidRPr="00A046C5">
        <w:rPr>
          <w:rFonts w:eastAsia="MS Mincho" w:cs="Calibri"/>
          <w:szCs w:val="24"/>
          <w:lang w:val="en-US"/>
        </w:rPr>
        <w:t xml:space="preserve"> Mr S. BIN GHELAITA (United Arab Emirates)</w:t>
      </w:r>
    </w:p>
    <w:p w14:paraId="6BD37037" w14:textId="77777777" w:rsidR="00A046C5" w:rsidRPr="00A046C5" w:rsidRDefault="00A046C5" w:rsidP="00A046C5">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p>
    <w:tbl>
      <w:tblPr>
        <w:tblW w:w="5221" w:type="pct"/>
        <w:tblLook w:val="0000" w:firstRow="0" w:lastRow="0" w:firstColumn="0" w:lastColumn="0" w:noHBand="0" w:noVBand="0"/>
      </w:tblPr>
      <w:tblGrid>
        <w:gridCol w:w="505"/>
        <w:gridCol w:w="7575"/>
        <w:gridCol w:w="1985"/>
      </w:tblGrid>
      <w:tr w:rsidR="00A046C5" w:rsidRPr="00A046C5" w14:paraId="1C08A7FD" w14:textId="77777777" w:rsidTr="00303CD0">
        <w:tc>
          <w:tcPr>
            <w:tcW w:w="251" w:type="pct"/>
          </w:tcPr>
          <w:p w14:paraId="2984D7DB"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
                <w:sz w:val="22"/>
                <w:szCs w:val="22"/>
              </w:rPr>
            </w:pPr>
            <w:r w:rsidRPr="00A046C5">
              <w:rPr>
                <w:rFonts w:eastAsia="Times New Roman"/>
                <w:sz w:val="22"/>
                <w:szCs w:val="22"/>
              </w:rPr>
              <w:br w:type="page"/>
            </w:r>
            <w:r w:rsidRPr="00A046C5">
              <w:rPr>
                <w:rFonts w:eastAsia="Times New Roman"/>
                <w:sz w:val="22"/>
                <w:szCs w:val="22"/>
              </w:rPr>
              <w:br w:type="page"/>
            </w:r>
          </w:p>
        </w:tc>
        <w:tc>
          <w:tcPr>
            <w:tcW w:w="3763" w:type="pct"/>
          </w:tcPr>
          <w:p w14:paraId="6859B95C"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
                <w:sz w:val="22"/>
                <w:szCs w:val="22"/>
              </w:rPr>
            </w:pPr>
            <w:r w:rsidRPr="00A046C5">
              <w:rPr>
                <w:rFonts w:eastAsia="Times New Roman"/>
                <w:b/>
                <w:sz w:val="22"/>
                <w:szCs w:val="22"/>
              </w:rPr>
              <w:t>Subjects discussed</w:t>
            </w:r>
          </w:p>
        </w:tc>
        <w:tc>
          <w:tcPr>
            <w:tcW w:w="986" w:type="pct"/>
          </w:tcPr>
          <w:p w14:paraId="5528DF3A" w14:textId="77777777" w:rsidR="00A046C5" w:rsidRPr="00A046C5" w:rsidRDefault="00A046C5" w:rsidP="00A046C5">
            <w:pPr>
              <w:tabs>
                <w:tab w:val="clear" w:pos="567"/>
                <w:tab w:val="clear" w:pos="1134"/>
                <w:tab w:val="clear" w:pos="1701"/>
                <w:tab w:val="clear" w:pos="2268"/>
                <w:tab w:val="clear" w:pos="2835"/>
                <w:tab w:val="right" w:pos="9781"/>
              </w:tabs>
              <w:spacing w:after="120"/>
              <w:jc w:val="center"/>
              <w:rPr>
                <w:rFonts w:eastAsia="Times New Roman"/>
                <w:b/>
                <w:sz w:val="22"/>
                <w:szCs w:val="22"/>
              </w:rPr>
            </w:pPr>
            <w:r w:rsidRPr="00A046C5">
              <w:rPr>
                <w:rFonts w:eastAsia="Times New Roman"/>
                <w:b/>
                <w:sz w:val="22"/>
                <w:szCs w:val="22"/>
              </w:rPr>
              <w:t>Documents</w:t>
            </w:r>
          </w:p>
        </w:tc>
      </w:tr>
      <w:tr w:rsidR="00A046C5" w:rsidRPr="00A046C5" w14:paraId="21DF653B" w14:textId="77777777" w:rsidTr="00303CD0">
        <w:tc>
          <w:tcPr>
            <w:tcW w:w="251" w:type="pct"/>
          </w:tcPr>
          <w:p w14:paraId="13214850"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sz w:val="22"/>
                <w:szCs w:val="22"/>
              </w:rPr>
            </w:pPr>
            <w:r w:rsidRPr="00A046C5">
              <w:rPr>
                <w:rFonts w:eastAsia="Times New Roman"/>
                <w:sz w:val="22"/>
                <w:szCs w:val="22"/>
              </w:rPr>
              <w:t>1</w:t>
            </w:r>
          </w:p>
        </w:tc>
        <w:tc>
          <w:tcPr>
            <w:tcW w:w="3763" w:type="pct"/>
          </w:tcPr>
          <w:p w14:paraId="7EDFEFC3"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
                <w:sz w:val="22"/>
                <w:szCs w:val="22"/>
              </w:rPr>
            </w:pPr>
            <w:r w:rsidRPr="00A046C5">
              <w:rPr>
                <w:rFonts w:eastAsia="Times New Roman" w:cs="Calibri"/>
                <w:bCs/>
                <w:sz w:val="22"/>
                <w:szCs w:val="22"/>
              </w:rPr>
              <w:t>Outcomes of discussions held on 8 June 2021</w:t>
            </w:r>
          </w:p>
        </w:tc>
        <w:tc>
          <w:tcPr>
            <w:tcW w:w="986" w:type="pct"/>
          </w:tcPr>
          <w:p w14:paraId="00ADAD56" w14:textId="46AC7E4E" w:rsidR="00A046C5" w:rsidRPr="00A046C5" w:rsidRDefault="00F05195" w:rsidP="002B43B0">
            <w:pPr>
              <w:tabs>
                <w:tab w:val="clear" w:pos="567"/>
                <w:tab w:val="clear" w:pos="1134"/>
                <w:tab w:val="clear" w:pos="1701"/>
                <w:tab w:val="clear" w:pos="2268"/>
                <w:tab w:val="clear" w:pos="2835"/>
                <w:tab w:val="right" w:pos="9781"/>
              </w:tabs>
              <w:spacing w:after="120"/>
              <w:jc w:val="center"/>
              <w:rPr>
                <w:rFonts w:eastAsia="MS Mincho" w:cs="Calibri"/>
                <w:sz w:val="22"/>
                <w:szCs w:val="22"/>
              </w:rPr>
            </w:pPr>
            <w:hyperlink r:id="rId9" w:history="1">
              <w:r w:rsidR="00A046C5" w:rsidRPr="00A046C5">
                <w:rPr>
                  <w:rFonts w:eastAsia="Times New Roman"/>
                  <w:bCs/>
                  <w:color w:val="0563C1"/>
                  <w:sz w:val="22"/>
                  <w:szCs w:val="22"/>
                  <w:u w:val="single"/>
                </w:rPr>
                <w:t>C21/DT/1</w:t>
              </w:r>
            </w:hyperlink>
          </w:p>
        </w:tc>
      </w:tr>
      <w:tr w:rsidR="00A046C5" w:rsidRPr="00A046C5" w14:paraId="3FF44279" w14:textId="77777777" w:rsidTr="00303CD0">
        <w:tc>
          <w:tcPr>
            <w:tcW w:w="251" w:type="pct"/>
          </w:tcPr>
          <w:p w14:paraId="123B49A0"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2</w:t>
            </w:r>
          </w:p>
        </w:tc>
        <w:tc>
          <w:tcPr>
            <w:tcW w:w="3763" w:type="pct"/>
          </w:tcPr>
          <w:p w14:paraId="07843F28"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 xml:space="preserve">World Telecommunication and Information Society Day </w:t>
            </w:r>
          </w:p>
        </w:tc>
        <w:bookmarkStart w:id="6" w:name="_Hlk74121987"/>
        <w:tc>
          <w:tcPr>
            <w:tcW w:w="986" w:type="pct"/>
          </w:tcPr>
          <w:p w14:paraId="777789F4" w14:textId="77777777" w:rsidR="00A046C5" w:rsidRPr="00A046C5" w:rsidRDefault="00A046C5" w:rsidP="00A046C5">
            <w:pPr>
              <w:tabs>
                <w:tab w:val="clear" w:pos="567"/>
                <w:tab w:val="clear" w:pos="1134"/>
                <w:tab w:val="clear" w:pos="1701"/>
                <w:tab w:val="clear" w:pos="2268"/>
                <w:tab w:val="clear" w:pos="2835"/>
                <w:tab w:val="right" w:pos="9781"/>
              </w:tabs>
              <w:spacing w:after="120"/>
              <w:jc w:val="center"/>
              <w:rPr>
                <w:rFonts w:eastAsia="Times New Roman"/>
                <w:bCs/>
                <w:sz w:val="22"/>
                <w:szCs w:val="22"/>
              </w:rPr>
            </w:pPr>
            <w:r w:rsidRPr="00A046C5">
              <w:rPr>
                <w:rFonts w:eastAsia="Times New Roman"/>
                <w:b/>
              </w:rPr>
              <w:fldChar w:fldCharType="begin"/>
            </w:r>
            <w:r w:rsidRPr="00A046C5">
              <w:rPr>
                <w:rFonts w:eastAsia="Times New Roman"/>
                <w:bCs/>
                <w:sz w:val="22"/>
                <w:szCs w:val="22"/>
              </w:rPr>
              <w:instrText xml:space="preserve"> HYPERLINK "https://www.itu.int/md/S21-CL-C-0017/en" </w:instrText>
            </w:r>
            <w:r w:rsidRPr="00A046C5">
              <w:rPr>
                <w:rFonts w:eastAsia="Times New Roman"/>
                <w:b/>
              </w:rPr>
              <w:fldChar w:fldCharType="separate"/>
            </w:r>
            <w:r w:rsidRPr="00A046C5">
              <w:rPr>
                <w:rFonts w:eastAsia="Times New Roman" w:cs="Calibri"/>
                <w:bCs/>
                <w:color w:val="0563C1"/>
                <w:sz w:val="22"/>
                <w:szCs w:val="22"/>
                <w:u w:val="single"/>
                <w:lang w:eastAsia="en-GB"/>
              </w:rPr>
              <w:t>C21/17</w:t>
            </w:r>
            <w:r w:rsidRPr="00A046C5">
              <w:rPr>
                <w:rFonts w:eastAsia="Times New Roman" w:cs="Calibri"/>
                <w:bCs/>
                <w:color w:val="0563C1"/>
                <w:sz w:val="22"/>
                <w:szCs w:val="22"/>
                <w:u w:val="single"/>
                <w:lang w:eastAsia="en-GB"/>
              </w:rPr>
              <w:fldChar w:fldCharType="end"/>
            </w:r>
            <w:bookmarkEnd w:id="6"/>
          </w:p>
        </w:tc>
      </w:tr>
      <w:tr w:rsidR="00A046C5" w:rsidRPr="00A046C5" w14:paraId="1FE14B76" w14:textId="77777777" w:rsidTr="00303CD0">
        <w:tc>
          <w:tcPr>
            <w:tcW w:w="251" w:type="pct"/>
          </w:tcPr>
          <w:p w14:paraId="18A702B0"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3</w:t>
            </w:r>
          </w:p>
        </w:tc>
        <w:tc>
          <w:tcPr>
            <w:tcW w:w="3763" w:type="pct"/>
            <w:vAlign w:val="center"/>
          </w:tcPr>
          <w:p w14:paraId="5A1ECE89" w14:textId="20366AFE"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cs="Calibri"/>
                <w:bCs/>
                <w:sz w:val="22"/>
                <w:szCs w:val="22"/>
                <w:lang w:eastAsia="en-GB"/>
              </w:rPr>
            </w:pPr>
            <w:r w:rsidRPr="00A046C5">
              <w:rPr>
                <w:rFonts w:eastAsia="Times New Roman"/>
                <w:bCs/>
                <w:sz w:val="22"/>
                <w:szCs w:val="22"/>
              </w:rPr>
              <w:t>Preparations</w:t>
            </w:r>
            <w:r w:rsidRPr="00A046C5">
              <w:rPr>
                <w:rFonts w:eastAsia="Times New Roman" w:cs="Calibri"/>
                <w:b/>
                <w:sz w:val="22"/>
                <w:szCs w:val="22"/>
                <w:lang w:val="en-CA"/>
              </w:rPr>
              <w:t xml:space="preserve"> </w:t>
            </w:r>
            <w:r w:rsidRPr="00A046C5">
              <w:rPr>
                <w:rFonts w:eastAsia="Times New Roman"/>
                <w:bCs/>
                <w:sz w:val="22"/>
                <w:szCs w:val="22"/>
              </w:rPr>
              <w:t>for the</w:t>
            </w:r>
            <w:r w:rsidRPr="00A046C5">
              <w:rPr>
                <w:rFonts w:eastAsia="Times New Roman" w:cs="Calibri"/>
                <w:b/>
                <w:sz w:val="22"/>
                <w:szCs w:val="22"/>
                <w:lang w:val="en-CA"/>
              </w:rPr>
              <w:t xml:space="preserve"> </w:t>
            </w:r>
            <w:r w:rsidRPr="00A046C5">
              <w:rPr>
                <w:rFonts w:eastAsia="Times New Roman" w:cs="Calibri"/>
                <w:bCs/>
                <w:sz w:val="22"/>
                <w:szCs w:val="22"/>
                <w:lang w:val="en-CA"/>
              </w:rPr>
              <w:t xml:space="preserve">2023 </w:t>
            </w:r>
            <w:r w:rsidR="002B43B0" w:rsidRPr="00A046C5">
              <w:rPr>
                <w:rFonts w:eastAsia="Times New Roman" w:cs="Calibri"/>
                <w:bCs/>
                <w:sz w:val="22"/>
                <w:szCs w:val="22"/>
                <w:lang w:val="en-CA"/>
              </w:rPr>
              <w:t>W</w:t>
            </w:r>
            <w:proofErr w:type="spellStart"/>
            <w:r w:rsidR="002B43B0" w:rsidRPr="00A046C5">
              <w:rPr>
                <w:rFonts w:eastAsia="Times New Roman"/>
                <w:bCs/>
                <w:sz w:val="22"/>
                <w:szCs w:val="22"/>
              </w:rPr>
              <w:t>orld</w:t>
            </w:r>
            <w:proofErr w:type="spellEnd"/>
            <w:r w:rsidR="002B43B0" w:rsidRPr="00A046C5">
              <w:rPr>
                <w:rFonts w:eastAsia="Times New Roman" w:cs="Calibri"/>
                <w:b/>
                <w:sz w:val="22"/>
                <w:szCs w:val="22"/>
                <w:lang w:val="en-CA"/>
              </w:rPr>
              <w:t xml:space="preserve"> </w:t>
            </w:r>
            <w:r w:rsidR="002B43B0" w:rsidRPr="00A046C5">
              <w:rPr>
                <w:rFonts w:eastAsia="Times New Roman"/>
                <w:bCs/>
                <w:sz w:val="22"/>
                <w:szCs w:val="22"/>
                <w:lang w:val="en-CA"/>
              </w:rPr>
              <w:t>Ra</w:t>
            </w:r>
            <w:proofErr w:type="spellStart"/>
            <w:r w:rsidR="002B43B0" w:rsidRPr="00A046C5">
              <w:rPr>
                <w:rFonts w:eastAsia="Times New Roman"/>
                <w:bCs/>
                <w:sz w:val="22"/>
                <w:szCs w:val="22"/>
              </w:rPr>
              <w:t>diocommunication</w:t>
            </w:r>
            <w:proofErr w:type="spellEnd"/>
            <w:r w:rsidR="002B43B0" w:rsidRPr="00A046C5">
              <w:rPr>
                <w:rFonts w:eastAsia="Times New Roman" w:cs="Calibri"/>
                <w:b/>
                <w:sz w:val="22"/>
                <w:szCs w:val="22"/>
                <w:lang w:val="en-CA"/>
              </w:rPr>
              <w:t xml:space="preserve"> </w:t>
            </w:r>
            <w:r w:rsidR="002B43B0" w:rsidRPr="00A046C5">
              <w:rPr>
                <w:rFonts w:eastAsia="Times New Roman"/>
                <w:bCs/>
                <w:sz w:val="22"/>
                <w:szCs w:val="22"/>
              </w:rPr>
              <w:t>Conference</w:t>
            </w:r>
            <w:r w:rsidR="002B43B0" w:rsidRPr="00A046C5">
              <w:rPr>
                <w:rFonts w:eastAsia="Times New Roman" w:cs="Calibri"/>
                <w:b/>
                <w:sz w:val="22"/>
                <w:szCs w:val="22"/>
                <w:lang w:val="en-CA"/>
              </w:rPr>
              <w:t xml:space="preserve"> </w:t>
            </w:r>
          </w:p>
        </w:tc>
        <w:tc>
          <w:tcPr>
            <w:tcW w:w="986" w:type="pct"/>
            <w:vAlign w:val="center"/>
          </w:tcPr>
          <w:p w14:paraId="6AE64B3D" w14:textId="77777777" w:rsidR="00A046C5" w:rsidRPr="00A046C5" w:rsidRDefault="00F05195" w:rsidP="00A046C5">
            <w:pPr>
              <w:tabs>
                <w:tab w:val="clear" w:pos="567"/>
                <w:tab w:val="clear" w:pos="1134"/>
                <w:tab w:val="clear" w:pos="1701"/>
                <w:tab w:val="clear" w:pos="2268"/>
                <w:tab w:val="clear" w:pos="2835"/>
                <w:tab w:val="right" w:pos="9781"/>
              </w:tabs>
              <w:spacing w:after="120"/>
              <w:jc w:val="center"/>
              <w:rPr>
                <w:rFonts w:eastAsia="Times New Roman"/>
                <w:bCs/>
                <w:sz w:val="22"/>
                <w:szCs w:val="22"/>
              </w:rPr>
            </w:pPr>
            <w:hyperlink r:id="rId10" w:history="1">
              <w:r w:rsidR="00A046C5" w:rsidRPr="00A046C5">
                <w:rPr>
                  <w:rFonts w:eastAsia="Times New Roman"/>
                  <w:bCs/>
                  <w:color w:val="0563C1"/>
                  <w:sz w:val="22"/>
                  <w:szCs w:val="22"/>
                  <w:u w:val="single"/>
                  <w:lang w:eastAsia="en-GB"/>
                </w:rPr>
                <w:t>C21/55</w:t>
              </w:r>
            </w:hyperlink>
          </w:p>
        </w:tc>
      </w:tr>
      <w:tr w:rsidR="00A046C5" w:rsidRPr="00A046C5" w14:paraId="660479E9" w14:textId="77777777" w:rsidTr="00303CD0">
        <w:tc>
          <w:tcPr>
            <w:tcW w:w="251" w:type="pct"/>
          </w:tcPr>
          <w:p w14:paraId="2118C1B7"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4</w:t>
            </w:r>
          </w:p>
        </w:tc>
        <w:tc>
          <w:tcPr>
            <w:tcW w:w="3763" w:type="pct"/>
            <w:vAlign w:val="center"/>
          </w:tcPr>
          <w:p w14:paraId="4DCC46C5" w14:textId="7CD72325"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cs="Calibri"/>
                <w:bCs/>
                <w:sz w:val="22"/>
                <w:szCs w:val="22"/>
                <w:lang w:eastAsia="en-GB"/>
              </w:rPr>
              <w:t xml:space="preserve">Proposed improvements for the </w:t>
            </w:r>
            <w:r w:rsidR="00B16F07">
              <w:rPr>
                <w:rFonts w:eastAsia="Times New Roman" w:cs="Calibri"/>
                <w:bCs/>
                <w:sz w:val="22"/>
                <w:szCs w:val="22"/>
                <w:lang w:eastAsia="en-GB"/>
              </w:rPr>
              <w:t>p</w:t>
            </w:r>
            <w:r w:rsidR="002B43B0" w:rsidRPr="00A046C5">
              <w:rPr>
                <w:rFonts w:eastAsia="Times New Roman" w:cs="Calibri"/>
                <w:bCs/>
                <w:sz w:val="22"/>
                <w:szCs w:val="22"/>
                <w:lang w:eastAsia="en-GB"/>
              </w:rPr>
              <w:t xml:space="preserve">lenipotentiary </w:t>
            </w:r>
            <w:r w:rsidR="00B16F07">
              <w:rPr>
                <w:rFonts w:eastAsia="Times New Roman" w:cs="Calibri"/>
                <w:bCs/>
                <w:sz w:val="22"/>
                <w:szCs w:val="22"/>
                <w:lang w:eastAsia="en-GB"/>
              </w:rPr>
              <w:t>c</w:t>
            </w:r>
            <w:r w:rsidR="002B43B0" w:rsidRPr="00A046C5">
              <w:rPr>
                <w:rFonts w:eastAsia="Times New Roman" w:cs="Calibri"/>
                <w:bCs/>
                <w:sz w:val="22"/>
                <w:szCs w:val="22"/>
                <w:lang w:eastAsia="en-GB"/>
              </w:rPr>
              <w:t>onference</w:t>
            </w:r>
          </w:p>
        </w:tc>
        <w:tc>
          <w:tcPr>
            <w:tcW w:w="986" w:type="pct"/>
            <w:vAlign w:val="center"/>
          </w:tcPr>
          <w:p w14:paraId="30C3E3BC" w14:textId="77777777" w:rsidR="00A046C5" w:rsidRPr="00A046C5" w:rsidRDefault="00F05195" w:rsidP="00A046C5">
            <w:pPr>
              <w:tabs>
                <w:tab w:val="clear" w:pos="567"/>
                <w:tab w:val="clear" w:pos="1134"/>
                <w:tab w:val="clear" w:pos="1701"/>
                <w:tab w:val="clear" w:pos="2268"/>
                <w:tab w:val="clear" w:pos="2835"/>
                <w:tab w:val="right" w:pos="9781"/>
              </w:tabs>
              <w:spacing w:after="120"/>
              <w:jc w:val="center"/>
              <w:rPr>
                <w:rFonts w:eastAsia="Times New Roman"/>
                <w:bCs/>
                <w:sz w:val="22"/>
                <w:szCs w:val="22"/>
              </w:rPr>
            </w:pPr>
            <w:hyperlink r:id="rId11" w:history="1">
              <w:r w:rsidR="00A046C5" w:rsidRPr="00A046C5">
                <w:rPr>
                  <w:rFonts w:eastAsia="Times New Roman" w:cs="Calibri"/>
                  <w:bCs/>
                  <w:color w:val="0563C1"/>
                  <w:sz w:val="22"/>
                  <w:szCs w:val="22"/>
                  <w:u w:val="single"/>
                  <w:lang w:eastAsia="en-GB"/>
                </w:rPr>
                <w:t>C21/13</w:t>
              </w:r>
            </w:hyperlink>
          </w:p>
        </w:tc>
      </w:tr>
      <w:tr w:rsidR="00A046C5" w:rsidRPr="00A046C5" w14:paraId="19336068" w14:textId="77777777" w:rsidTr="00303CD0">
        <w:tc>
          <w:tcPr>
            <w:tcW w:w="251" w:type="pct"/>
          </w:tcPr>
          <w:p w14:paraId="54C5DEF2"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5</w:t>
            </w:r>
          </w:p>
        </w:tc>
        <w:tc>
          <w:tcPr>
            <w:tcW w:w="3763" w:type="pct"/>
            <w:vAlign w:val="center"/>
          </w:tcPr>
          <w:p w14:paraId="4606DB0E"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cs="Calibri"/>
                <w:bCs/>
                <w:sz w:val="22"/>
                <w:szCs w:val="22"/>
                <w:lang w:eastAsia="en-GB"/>
              </w:rPr>
            </w:pPr>
            <w:r w:rsidRPr="00A046C5">
              <w:rPr>
                <w:rFonts w:eastAsia="Times New Roman" w:cs="Calibri"/>
                <w:bCs/>
                <w:sz w:val="22"/>
                <w:szCs w:val="22"/>
                <w:lang w:eastAsia="en-GB"/>
              </w:rPr>
              <w:t>Preparations for the Plenipotentiary Conference (Bucharest, 2022)</w:t>
            </w:r>
          </w:p>
        </w:tc>
        <w:tc>
          <w:tcPr>
            <w:tcW w:w="986" w:type="pct"/>
            <w:vAlign w:val="center"/>
          </w:tcPr>
          <w:p w14:paraId="100E8C91" w14:textId="77777777" w:rsidR="00A046C5" w:rsidRPr="00A046C5" w:rsidRDefault="00F05195" w:rsidP="00A046C5">
            <w:pPr>
              <w:tabs>
                <w:tab w:val="clear" w:pos="567"/>
                <w:tab w:val="clear" w:pos="1134"/>
                <w:tab w:val="clear" w:pos="1701"/>
                <w:tab w:val="clear" w:pos="2268"/>
                <w:tab w:val="clear" w:pos="2835"/>
                <w:tab w:val="right" w:pos="9781"/>
              </w:tabs>
              <w:spacing w:after="120"/>
              <w:jc w:val="center"/>
              <w:rPr>
                <w:rFonts w:eastAsia="Times New Roman"/>
                <w:bCs/>
                <w:sz w:val="22"/>
                <w:szCs w:val="22"/>
              </w:rPr>
            </w:pPr>
            <w:hyperlink r:id="rId12" w:history="1">
              <w:r w:rsidR="00A046C5" w:rsidRPr="00A046C5">
                <w:rPr>
                  <w:rFonts w:eastAsia="Times New Roman" w:cs="Calibri"/>
                  <w:bCs/>
                  <w:color w:val="0563C1"/>
                  <w:sz w:val="22"/>
                  <w:szCs w:val="22"/>
                  <w:u w:val="single"/>
                  <w:lang w:eastAsia="en-GB"/>
                </w:rPr>
                <w:t>C21/73</w:t>
              </w:r>
            </w:hyperlink>
          </w:p>
        </w:tc>
      </w:tr>
      <w:tr w:rsidR="00A046C5" w:rsidRPr="00A046C5" w14:paraId="07036623" w14:textId="77777777" w:rsidTr="00303CD0">
        <w:tc>
          <w:tcPr>
            <w:tcW w:w="251" w:type="pct"/>
          </w:tcPr>
          <w:p w14:paraId="6306456E"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6</w:t>
            </w:r>
          </w:p>
        </w:tc>
        <w:tc>
          <w:tcPr>
            <w:tcW w:w="3763" w:type="pct"/>
            <w:vAlign w:val="center"/>
          </w:tcPr>
          <w:p w14:paraId="02A26A07"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cs="Calibri"/>
                <w:bCs/>
                <w:sz w:val="22"/>
                <w:szCs w:val="22"/>
                <w:lang w:eastAsia="en-GB"/>
              </w:rPr>
            </w:pPr>
            <w:r w:rsidRPr="00A046C5">
              <w:rPr>
                <w:rFonts w:eastAsia="Times New Roman" w:cs="Calibri"/>
                <w:bCs/>
                <w:sz w:val="22"/>
                <w:szCs w:val="22"/>
                <w:lang w:eastAsia="en-GB"/>
              </w:rPr>
              <w:t>Implementation of PP recommendations on ITU electoral processes</w:t>
            </w:r>
          </w:p>
        </w:tc>
        <w:tc>
          <w:tcPr>
            <w:tcW w:w="986" w:type="pct"/>
            <w:vAlign w:val="center"/>
          </w:tcPr>
          <w:p w14:paraId="2BCA3296" w14:textId="77777777" w:rsidR="00A046C5" w:rsidRPr="00A046C5" w:rsidRDefault="00F05195" w:rsidP="00A046C5">
            <w:pPr>
              <w:tabs>
                <w:tab w:val="clear" w:pos="567"/>
                <w:tab w:val="clear" w:pos="1134"/>
                <w:tab w:val="clear" w:pos="1701"/>
                <w:tab w:val="clear" w:pos="2268"/>
                <w:tab w:val="clear" w:pos="2835"/>
                <w:tab w:val="right" w:pos="9781"/>
              </w:tabs>
              <w:spacing w:after="120"/>
              <w:jc w:val="center"/>
              <w:rPr>
                <w:rFonts w:eastAsia="Times New Roman"/>
                <w:bCs/>
                <w:sz w:val="22"/>
                <w:szCs w:val="22"/>
              </w:rPr>
            </w:pPr>
            <w:hyperlink r:id="rId13" w:history="1">
              <w:r w:rsidR="00A046C5" w:rsidRPr="00A046C5">
                <w:rPr>
                  <w:rFonts w:eastAsia="Times New Roman" w:cs="Calibri"/>
                  <w:bCs/>
                  <w:color w:val="0563C1"/>
                  <w:sz w:val="22"/>
                  <w:szCs w:val="22"/>
                  <w:u w:val="single"/>
                  <w:lang w:eastAsia="en-GB"/>
                </w:rPr>
                <w:t>C21/4(Rev.1)</w:t>
              </w:r>
            </w:hyperlink>
          </w:p>
        </w:tc>
      </w:tr>
      <w:tr w:rsidR="00A046C5" w:rsidRPr="00A046C5" w14:paraId="46B71728" w14:textId="77777777" w:rsidTr="00303CD0">
        <w:tc>
          <w:tcPr>
            <w:tcW w:w="251" w:type="pct"/>
          </w:tcPr>
          <w:p w14:paraId="2871F554"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7</w:t>
            </w:r>
          </w:p>
        </w:tc>
        <w:tc>
          <w:tcPr>
            <w:tcW w:w="3763" w:type="pct"/>
            <w:vAlign w:val="center"/>
          </w:tcPr>
          <w:p w14:paraId="36DD5C3A"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cs="Calibri"/>
                <w:bCs/>
                <w:sz w:val="22"/>
                <w:szCs w:val="22"/>
                <w:lang w:eastAsia="en-GB"/>
              </w:rPr>
            </w:pPr>
            <w:r w:rsidRPr="00A046C5">
              <w:rPr>
                <w:rFonts w:eastAsia="Times New Roman" w:cs="Calibri"/>
                <w:bCs/>
                <w:sz w:val="22"/>
                <w:szCs w:val="22"/>
                <w:lang w:eastAsia="en-GB"/>
              </w:rPr>
              <w:t>Draft budget of the Union for 2022-2023</w:t>
            </w:r>
          </w:p>
        </w:tc>
        <w:tc>
          <w:tcPr>
            <w:tcW w:w="986" w:type="pct"/>
            <w:vAlign w:val="center"/>
          </w:tcPr>
          <w:p w14:paraId="6527E633" w14:textId="77777777" w:rsidR="00A046C5" w:rsidRPr="00A046C5" w:rsidRDefault="00F05195" w:rsidP="00A046C5">
            <w:pPr>
              <w:tabs>
                <w:tab w:val="clear" w:pos="567"/>
                <w:tab w:val="clear" w:pos="1134"/>
                <w:tab w:val="clear" w:pos="1701"/>
                <w:tab w:val="clear" w:pos="2268"/>
                <w:tab w:val="clear" w:pos="2835"/>
                <w:tab w:val="right" w:pos="9781"/>
              </w:tabs>
              <w:spacing w:after="120"/>
              <w:jc w:val="center"/>
              <w:rPr>
                <w:rFonts w:eastAsia="Times New Roman"/>
                <w:bCs/>
                <w:sz w:val="22"/>
                <w:szCs w:val="22"/>
              </w:rPr>
            </w:pPr>
            <w:hyperlink r:id="rId14" w:history="1">
              <w:r w:rsidR="00A046C5" w:rsidRPr="00A046C5">
                <w:rPr>
                  <w:rFonts w:eastAsia="Times New Roman" w:cs="Calibri"/>
                  <w:bCs/>
                  <w:color w:val="0563C1"/>
                  <w:sz w:val="22"/>
                  <w:szCs w:val="22"/>
                  <w:u w:val="single"/>
                  <w:lang w:eastAsia="en-GB"/>
                </w:rPr>
                <w:t>C21/65+Add.1</w:t>
              </w:r>
            </w:hyperlink>
          </w:p>
        </w:tc>
      </w:tr>
      <w:tr w:rsidR="00A046C5" w:rsidRPr="00A046C5" w14:paraId="46FB3E72" w14:textId="77777777" w:rsidTr="00303CD0">
        <w:tc>
          <w:tcPr>
            <w:tcW w:w="251" w:type="pct"/>
          </w:tcPr>
          <w:p w14:paraId="79003132"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8</w:t>
            </w:r>
          </w:p>
        </w:tc>
        <w:tc>
          <w:tcPr>
            <w:tcW w:w="3763" w:type="pct"/>
            <w:vAlign w:val="center"/>
          </w:tcPr>
          <w:p w14:paraId="176C38F0" w14:textId="77777777" w:rsidR="00A046C5" w:rsidRPr="002B43B0" w:rsidRDefault="00A046C5" w:rsidP="00A046C5">
            <w:pPr>
              <w:tabs>
                <w:tab w:val="clear" w:pos="567"/>
                <w:tab w:val="clear" w:pos="1134"/>
                <w:tab w:val="clear" w:pos="1701"/>
                <w:tab w:val="clear" w:pos="2268"/>
                <w:tab w:val="clear" w:pos="2835"/>
                <w:tab w:val="right" w:pos="9781"/>
              </w:tabs>
              <w:spacing w:after="120"/>
              <w:rPr>
                <w:rFonts w:eastAsia="Times New Roman" w:cs="Calibri"/>
                <w:bCs/>
                <w:spacing w:val="-2"/>
                <w:sz w:val="22"/>
                <w:szCs w:val="22"/>
                <w:lang w:eastAsia="en-GB"/>
              </w:rPr>
            </w:pPr>
            <w:r w:rsidRPr="002B43B0">
              <w:rPr>
                <w:rFonts w:eastAsia="Times New Roman" w:cs="Calibri"/>
                <w:bCs/>
                <w:spacing w:val="-2"/>
                <w:sz w:val="22"/>
                <w:szCs w:val="22"/>
                <w:lang w:eastAsia="en-GB"/>
              </w:rPr>
              <w:t>Announcements by Member States – Candidatures for elections to be held at PP-22</w:t>
            </w:r>
          </w:p>
        </w:tc>
        <w:tc>
          <w:tcPr>
            <w:tcW w:w="986" w:type="pct"/>
            <w:vAlign w:val="center"/>
          </w:tcPr>
          <w:p w14:paraId="2DD106B6" w14:textId="77777777" w:rsidR="00A046C5" w:rsidRPr="00A046C5" w:rsidRDefault="00A046C5" w:rsidP="00A046C5">
            <w:pPr>
              <w:tabs>
                <w:tab w:val="clear" w:pos="567"/>
                <w:tab w:val="clear" w:pos="1134"/>
                <w:tab w:val="clear" w:pos="1701"/>
                <w:tab w:val="clear" w:pos="2268"/>
                <w:tab w:val="clear" w:pos="2835"/>
                <w:tab w:val="right" w:pos="9781"/>
              </w:tabs>
              <w:spacing w:after="120"/>
              <w:jc w:val="center"/>
              <w:rPr>
                <w:rFonts w:eastAsia="Times New Roman"/>
                <w:b/>
              </w:rPr>
            </w:pPr>
            <w:r w:rsidRPr="00A046C5">
              <w:rPr>
                <w:rFonts w:eastAsia="Times New Roman"/>
                <w:b/>
              </w:rPr>
              <w:t>-</w:t>
            </w:r>
          </w:p>
        </w:tc>
      </w:tr>
      <w:tr w:rsidR="00A046C5" w:rsidRPr="00A046C5" w14:paraId="04EE6157" w14:textId="77777777" w:rsidTr="00303CD0">
        <w:tc>
          <w:tcPr>
            <w:tcW w:w="251" w:type="pct"/>
          </w:tcPr>
          <w:p w14:paraId="2F977C73"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bCs/>
                <w:sz w:val="22"/>
                <w:szCs w:val="22"/>
              </w:rPr>
            </w:pPr>
            <w:r w:rsidRPr="00A046C5">
              <w:rPr>
                <w:rFonts w:eastAsia="Times New Roman"/>
                <w:bCs/>
                <w:sz w:val="22"/>
                <w:szCs w:val="22"/>
              </w:rPr>
              <w:t>9</w:t>
            </w:r>
          </w:p>
        </w:tc>
        <w:tc>
          <w:tcPr>
            <w:tcW w:w="3763" w:type="pct"/>
            <w:vAlign w:val="center"/>
          </w:tcPr>
          <w:p w14:paraId="618E03DE" w14:textId="77777777" w:rsidR="00A046C5" w:rsidRPr="00A046C5" w:rsidRDefault="00A046C5" w:rsidP="00A046C5">
            <w:pPr>
              <w:tabs>
                <w:tab w:val="clear" w:pos="567"/>
                <w:tab w:val="clear" w:pos="1134"/>
                <w:tab w:val="clear" w:pos="1701"/>
                <w:tab w:val="clear" w:pos="2268"/>
                <w:tab w:val="clear" w:pos="2835"/>
                <w:tab w:val="right" w:pos="9781"/>
              </w:tabs>
              <w:spacing w:after="120"/>
              <w:rPr>
                <w:rFonts w:eastAsia="Times New Roman" w:cs="Calibri"/>
                <w:bCs/>
                <w:sz w:val="22"/>
                <w:szCs w:val="22"/>
                <w:lang w:eastAsia="en-GB"/>
              </w:rPr>
            </w:pPr>
            <w:r w:rsidRPr="00A046C5">
              <w:rPr>
                <w:rFonts w:eastAsia="Times New Roman" w:cs="Calibri"/>
                <w:bCs/>
                <w:sz w:val="22"/>
                <w:szCs w:val="22"/>
                <w:lang w:eastAsia="en-GB"/>
              </w:rPr>
              <w:t>Announcement by a Member State – Candidature for chairmanship of the 2022 session of the Council</w:t>
            </w:r>
          </w:p>
        </w:tc>
        <w:tc>
          <w:tcPr>
            <w:tcW w:w="986" w:type="pct"/>
            <w:vAlign w:val="center"/>
          </w:tcPr>
          <w:p w14:paraId="20374F6A" w14:textId="77777777" w:rsidR="00A046C5" w:rsidRPr="00A046C5" w:rsidRDefault="00A046C5" w:rsidP="00A046C5">
            <w:pPr>
              <w:tabs>
                <w:tab w:val="clear" w:pos="567"/>
                <w:tab w:val="clear" w:pos="1134"/>
                <w:tab w:val="clear" w:pos="1701"/>
                <w:tab w:val="clear" w:pos="2268"/>
                <w:tab w:val="clear" w:pos="2835"/>
                <w:tab w:val="right" w:pos="9781"/>
              </w:tabs>
              <w:spacing w:after="120"/>
              <w:jc w:val="center"/>
              <w:rPr>
                <w:rFonts w:eastAsia="Times New Roman"/>
                <w:b/>
              </w:rPr>
            </w:pPr>
            <w:r w:rsidRPr="00A046C5">
              <w:rPr>
                <w:rFonts w:eastAsia="Times New Roman"/>
                <w:b/>
              </w:rPr>
              <w:t>-</w:t>
            </w:r>
          </w:p>
        </w:tc>
      </w:tr>
    </w:tbl>
    <w:p w14:paraId="3F6F5A6C" w14:textId="3A8657F3" w:rsidR="00A046C5" w:rsidRPr="00A046C5" w:rsidRDefault="00A046C5" w:rsidP="002B43B0">
      <w:pPr>
        <w:tabs>
          <w:tab w:val="clear" w:pos="567"/>
          <w:tab w:val="clear" w:pos="1134"/>
          <w:tab w:val="clear" w:pos="1701"/>
          <w:tab w:val="clear" w:pos="2268"/>
          <w:tab w:val="clear" w:pos="2835"/>
        </w:tabs>
        <w:overflowPunct/>
        <w:autoSpaceDE/>
        <w:autoSpaceDN/>
        <w:adjustRightInd/>
        <w:spacing w:after="120"/>
        <w:jc w:val="both"/>
        <w:textAlignment w:val="auto"/>
        <w:rPr>
          <w:rFonts w:eastAsia="MS Mincho" w:cs="Calibri"/>
          <w:b/>
          <w:bCs/>
          <w:sz w:val="26"/>
          <w:szCs w:val="26"/>
          <w:lang w:val="en-CA"/>
        </w:rPr>
      </w:pPr>
      <w:r w:rsidRPr="00A046C5">
        <w:rPr>
          <w:rFonts w:eastAsia="MS Mincho" w:cs="Calibri"/>
          <w:b/>
          <w:bCs/>
          <w:sz w:val="26"/>
          <w:szCs w:val="26"/>
          <w:lang w:val="en-CA"/>
        </w:rPr>
        <w:br w:type="page"/>
      </w:r>
      <w:bookmarkStart w:id="7" w:name="_Hlk74125834"/>
      <w:r w:rsidRPr="00A046C5">
        <w:rPr>
          <w:rFonts w:eastAsia="Times New Roman" w:cs="Calibri"/>
          <w:b/>
          <w:bCs/>
          <w:sz w:val="26"/>
          <w:szCs w:val="26"/>
          <w:lang w:val="en-CA"/>
        </w:rPr>
        <w:lastRenderedPageBreak/>
        <w:t>1</w:t>
      </w:r>
      <w:r w:rsidRPr="00A046C5">
        <w:rPr>
          <w:rFonts w:eastAsia="Times New Roman" w:cs="Calibri"/>
          <w:b/>
          <w:bCs/>
          <w:sz w:val="26"/>
          <w:szCs w:val="26"/>
          <w:lang w:val="en-CA"/>
        </w:rPr>
        <w:tab/>
      </w:r>
      <w:bookmarkStart w:id="8" w:name="_Hlk56507058"/>
      <w:r w:rsidRPr="00A046C5">
        <w:rPr>
          <w:rFonts w:eastAsia="Times New Roman" w:cs="Calibri"/>
          <w:b/>
          <w:bCs/>
          <w:sz w:val="26"/>
          <w:szCs w:val="26"/>
          <w:lang w:val="en-CA"/>
        </w:rPr>
        <w:t xml:space="preserve">Outcomes of discussions held on 8 June 2021 (Document </w:t>
      </w:r>
      <w:hyperlink r:id="rId15" w:history="1">
        <w:r w:rsidRPr="00A046C5">
          <w:rPr>
            <w:rFonts w:eastAsia="Times New Roman"/>
            <w:b/>
            <w:bCs/>
            <w:color w:val="0563C1"/>
            <w:sz w:val="26"/>
            <w:szCs w:val="26"/>
            <w:u w:val="single"/>
          </w:rPr>
          <w:t>C21/DT/1</w:t>
        </w:r>
      </w:hyperlink>
      <w:r w:rsidRPr="00A046C5">
        <w:rPr>
          <w:rFonts w:eastAsia="Times New Roman"/>
          <w:b/>
          <w:bCs/>
          <w:sz w:val="26"/>
          <w:szCs w:val="26"/>
        </w:rPr>
        <w:t>)</w:t>
      </w:r>
    </w:p>
    <w:p w14:paraId="2DECB35C"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1.1</w:t>
      </w:r>
      <w:r w:rsidRPr="00A046C5">
        <w:rPr>
          <w:rFonts w:eastAsia="MS Mincho" w:cs="Calibri"/>
          <w:sz w:val="22"/>
          <w:szCs w:val="22"/>
          <w:lang w:val="en-CA"/>
        </w:rPr>
        <w:tab/>
        <w:t>The Chairman drew attention to Document C21/DT/1, which contained the outcomes of the previous day’s discussions. The document would be updated for review on a daily basis.</w:t>
      </w:r>
    </w:p>
    <w:p w14:paraId="6CA99547"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1.2</w:t>
      </w:r>
      <w:r w:rsidRPr="00A046C5">
        <w:rPr>
          <w:rFonts w:eastAsia="MS Mincho" w:cs="Calibri"/>
          <w:sz w:val="22"/>
          <w:szCs w:val="22"/>
          <w:lang w:val="en-CA"/>
        </w:rPr>
        <w:tab/>
        <w:t xml:space="preserve">Document C21/DT/1 was </w:t>
      </w:r>
      <w:r w:rsidRPr="00A046C5">
        <w:rPr>
          <w:rFonts w:eastAsia="MS Mincho" w:cs="Calibri"/>
          <w:b/>
          <w:bCs/>
          <w:sz w:val="22"/>
          <w:szCs w:val="22"/>
          <w:lang w:val="en-CA"/>
        </w:rPr>
        <w:t>noted</w:t>
      </w:r>
      <w:r w:rsidRPr="00A046C5">
        <w:rPr>
          <w:rFonts w:eastAsia="MS Mincho" w:cs="Calibri"/>
          <w:sz w:val="22"/>
          <w:szCs w:val="22"/>
          <w:lang w:val="en-CA"/>
        </w:rPr>
        <w:t>.</w:t>
      </w:r>
    </w:p>
    <w:p w14:paraId="40D0C239"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before="360" w:after="120"/>
        <w:jc w:val="both"/>
        <w:rPr>
          <w:rFonts w:eastAsia="MS Mincho" w:cs="Calibri"/>
          <w:sz w:val="26"/>
          <w:szCs w:val="26"/>
          <w:lang w:val="en-CA"/>
        </w:rPr>
      </w:pPr>
      <w:r w:rsidRPr="00A046C5">
        <w:rPr>
          <w:rFonts w:eastAsia="MS Mincho" w:cs="Calibri"/>
          <w:b/>
          <w:bCs/>
          <w:sz w:val="26"/>
          <w:szCs w:val="26"/>
          <w:lang w:val="en-CA"/>
        </w:rPr>
        <w:t>2</w:t>
      </w:r>
      <w:r w:rsidRPr="00A046C5">
        <w:rPr>
          <w:rFonts w:eastAsia="MS Mincho" w:cs="Calibri"/>
          <w:b/>
          <w:bCs/>
          <w:sz w:val="26"/>
          <w:szCs w:val="26"/>
          <w:lang w:val="en-CA"/>
        </w:rPr>
        <w:tab/>
      </w:r>
      <w:bookmarkStart w:id="9" w:name="_Hlk56507072"/>
      <w:r w:rsidRPr="00A046C5">
        <w:rPr>
          <w:rFonts w:eastAsia="MS Mincho" w:cs="Calibri"/>
          <w:b/>
          <w:bCs/>
          <w:spacing w:val="-4"/>
          <w:sz w:val="26"/>
          <w:szCs w:val="26"/>
          <w:lang w:val="en-CA"/>
        </w:rPr>
        <w:t xml:space="preserve">World Telecommunication and Information Society Day (Document </w:t>
      </w:r>
      <w:hyperlink r:id="rId16" w:history="1">
        <w:r w:rsidRPr="00A046C5">
          <w:rPr>
            <w:rFonts w:eastAsia="MS Mincho" w:cs="Calibri"/>
            <w:b/>
            <w:color w:val="0563C1"/>
            <w:sz w:val="26"/>
            <w:szCs w:val="26"/>
            <w:u w:val="single"/>
            <w:lang w:val="en-US"/>
          </w:rPr>
          <w:t>C21/17</w:t>
        </w:r>
      </w:hyperlink>
      <w:r w:rsidRPr="00A046C5">
        <w:rPr>
          <w:rFonts w:eastAsia="MS Mincho" w:cs="Calibri"/>
          <w:b/>
          <w:bCs/>
          <w:spacing w:val="-4"/>
          <w:sz w:val="26"/>
          <w:szCs w:val="26"/>
          <w:lang w:val="en-CA"/>
        </w:rPr>
        <w:t>)</w:t>
      </w:r>
    </w:p>
    <w:bookmarkEnd w:id="9"/>
    <w:p w14:paraId="23B7E13F"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2.1</w:t>
      </w:r>
      <w:r w:rsidRPr="00A046C5">
        <w:rPr>
          <w:rFonts w:eastAsia="MS Mincho" w:cs="Calibri"/>
          <w:sz w:val="22"/>
          <w:szCs w:val="22"/>
          <w:lang w:val="en-CA"/>
        </w:rPr>
        <w:tab/>
        <w:t>The representative of the General Secretariat introduced Document C21/17, which contained a report on the celebration of World Telecommunication and Information Society Day 2021 (WTISD-21) under the theme “Accelerating digital transformation in challenging times”.</w:t>
      </w:r>
    </w:p>
    <w:p w14:paraId="6048EDE0" w14:textId="3E2C6D02"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2.2</w:t>
      </w:r>
      <w:r w:rsidRPr="00A046C5">
        <w:rPr>
          <w:rFonts w:eastAsia="MS Mincho" w:cs="Calibri"/>
          <w:sz w:val="22"/>
          <w:szCs w:val="22"/>
          <w:lang w:val="en-CA"/>
        </w:rPr>
        <w:tab/>
        <w:t xml:space="preserve">The celebration of WTISD-21 had opened with a message from the UN Secretary-General and remarks from the ITU Secretary-General and involved a high-level panel </w:t>
      </w:r>
      <w:r w:rsidR="00401C01">
        <w:rPr>
          <w:rFonts w:eastAsia="MS Mincho" w:cs="Calibri"/>
          <w:sz w:val="22"/>
          <w:szCs w:val="22"/>
          <w:lang w:val="en-CA"/>
        </w:rPr>
        <w:t>moderate</w:t>
      </w:r>
      <w:r w:rsidRPr="00A046C5">
        <w:rPr>
          <w:rFonts w:eastAsia="MS Mincho" w:cs="Calibri"/>
          <w:sz w:val="22"/>
          <w:szCs w:val="22"/>
          <w:lang w:val="en-CA"/>
        </w:rPr>
        <w:t xml:space="preserve"> by the ITU Deputy Secretary-General with participants from Member States and other UN organizations, who had shared strategies aimed at facilitating digital transformation for the benefit of society.</w:t>
      </w:r>
    </w:p>
    <w:p w14:paraId="68DA88DB"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2.3</w:t>
      </w:r>
      <w:r w:rsidRPr="00A046C5">
        <w:rPr>
          <w:rFonts w:eastAsia="MS Mincho" w:cs="Calibri"/>
          <w:sz w:val="22"/>
          <w:szCs w:val="22"/>
          <w:lang w:val="en-CA"/>
        </w:rPr>
        <w:tab/>
        <w:t>In accordance with Resolution 68 (Rev. Guadalajara, 2010) of the Plenipotentiary Conference, the report also proposed the theme for WTISD-22: “Digital technologies for older persons and healthy ageing”.</w:t>
      </w:r>
    </w:p>
    <w:p w14:paraId="22C13BA3"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2.4</w:t>
      </w:r>
      <w:r w:rsidRPr="00A046C5">
        <w:rPr>
          <w:rFonts w:eastAsia="MS Mincho" w:cs="Calibri"/>
          <w:sz w:val="22"/>
          <w:szCs w:val="22"/>
          <w:lang w:val="en-CA"/>
        </w:rPr>
        <w:tab/>
      </w:r>
      <w:r w:rsidRPr="002B43B0">
        <w:rPr>
          <w:rFonts w:eastAsia="MS Mincho" w:cs="Calibri"/>
          <w:spacing w:val="2"/>
          <w:sz w:val="22"/>
          <w:szCs w:val="22"/>
          <w:lang w:val="en-CA"/>
        </w:rPr>
        <w:t>The Council was requested to note the celebration of WTISD-21 and to approve the theme for WTISD-22.</w:t>
      </w:r>
    </w:p>
    <w:p w14:paraId="6A199C47"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2.5</w:t>
      </w:r>
      <w:r w:rsidRPr="00A046C5">
        <w:rPr>
          <w:rFonts w:eastAsia="MS Mincho" w:cs="Calibri"/>
          <w:sz w:val="22"/>
          <w:szCs w:val="22"/>
          <w:lang w:val="en-CA"/>
        </w:rPr>
        <w:tab/>
        <w:t>Councillors welcomed the celebration of WTISD-21, the theme of which had been highly relevant against the backdrop of the global pandemic.</w:t>
      </w:r>
    </w:p>
    <w:p w14:paraId="738D353E"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2.6</w:t>
      </w:r>
      <w:r w:rsidRPr="00A046C5">
        <w:rPr>
          <w:rFonts w:eastAsia="MS Mincho" w:cs="Calibri"/>
          <w:sz w:val="22"/>
          <w:szCs w:val="22"/>
          <w:lang w:val="en-CA"/>
        </w:rPr>
        <w:tab/>
        <w:t>Regarding the proposed theme for WTISD-22, councillors expressed support for the focus on older persons, given the important challenges associated with managing ageing populations and ensuring that no one was left behind by technological progress. Recognizing that ICTs had been crucial to maintaining normal lives during the COVID-19 pandemic, some councillors suggested expanding the theme in various ways, including a reference to “digital literacy” and “smart living”, and stressed the importance of incorporating topics on telemedicine, financial and banking technology and skill acquisition, as well as the social benefits of ICTs.</w:t>
      </w:r>
    </w:p>
    <w:p w14:paraId="0B40897B"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2.7</w:t>
      </w:r>
      <w:r w:rsidRPr="00A046C5">
        <w:rPr>
          <w:rFonts w:eastAsia="MS Mincho" w:cs="Calibri"/>
          <w:sz w:val="22"/>
          <w:szCs w:val="22"/>
          <w:lang w:val="en-CA"/>
        </w:rPr>
        <w:tab/>
        <w:t>The councillor from China stressed that his country stood ready to assist ITU and Member States in overcoming the challenges of ageing populations to ensure that older persons enjoyed the benefits of digital technologies and participated in the digital transformation.</w:t>
      </w:r>
    </w:p>
    <w:p w14:paraId="45E6F432"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2.8</w:t>
      </w:r>
      <w:r w:rsidRPr="00A046C5">
        <w:rPr>
          <w:rFonts w:eastAsia="MS Mincho" w:cs="Calibri"/>
          <w:sz w:val="22"/>
          <w:szCs w:val="22"/>
          <w:lang w:val="en-CA"/>
        </w:rPr>
        <w:tab/>
        <w:t>The Chairman pointed out that the proposed theme for WTISD-22 had been designed to be generic in nature and therefore cover many important points; sub-themes or topics, however, could be easily added. He therefore suggested that councillors note several topics such as digital literacy and smart living that could be included under the umbrella of the approved theme for 2022.</w:t>
      </w:r>
    </w:p>
    <w:p w14:paraId="48330B10"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2.9</w:t>
      </w:r>
      <w:r w:rsidRPr="00A046C5">
        <w:rPr>
          <w:rFonts w:eastAsia="MS Mincho" w:cs="Calibri"/>
          <w:sz w:val="22"/>
          <w:szCs w:val="22"/>
          <w:lang w:val="en-CA"/>
        </w:rPr>
        <w:tab/>
        <w:t xml:space="preserve">It was so </w:t>
      </w:r>
      <w:r w:rsidRPr="00A046C5">
        <w:rPr>
          <w:rFonts w:eastAsia="MS Mincho" w:cs="Calibri"/>
          <w:b/>
          <w:bCs/>
          <w:sz w:val="22"/>
          <w:szCs w:val="22"/>
          <w:lang w:val="en-CA"/>
        </w:rPr>
        <w:t>agreed</w:t>
      </w:r>
      <w:r w:rsidRPr="00A046C5">
        <w:rPr>
          <w:rFonts w:eastAsia="MS Mincho" w:cs="Calibri"/>
          <w:sz w:val="22"/>
          <w:szCs w:val="22"/>
          <w:lang w:val="en-CA"/>
        </w:rPr>
        <w:t>.</w:t>
      </w:r>
    </w:p>
    <w:p w14:paraId="693C4A0A" w14:textId="3F53EB3E"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2.10</w:t>
      </w:r>
      <w:r w:rsidRPr="00A046C5">
        <w:rPr>
          <w:rFonts w:eastAsia="MS Mincho" w:cs="Calibri"/>
          <w:sz w:val="22"/>
          <w:szCs w:val="22"/>
          <w:lang w:val="en-CA"/>
        </w:rPr>
        <w:tab/>
        <w:t>He further took it that, keeping in mind the fact that the item was urgent, a consultation by correspondence of Council Member States would be undertaken to note the celebrations of WTISD</w:t>
      </w:r>
      <w:r w:rsidR="002B43B0">
        <w:rPr>
          <w:rFonts w:eastAsia="MS Mincho" w:cs="Calibri"/>
          <w:sz w:val="22"/>
          <w:szCs w:val="22"/>
          <w:lang w:val="en-CA"/>
        </w:rPr>
        <w:t>-</w:t>
      </w:r>
      <w:r w:rsidRPr="00A046C5">
        <w:rPr>
          <w:rFonts w:eastAsia="MS Mincho" w:cs="Calibri"/>
          <w:sz w:val="22"/>
          <w:szCs w:val="22"/>
          <w:lang w:val="en-CA"/>
        </w:rPr>
        <w:t>21 and to approve the theme “Digital technologies for older persons and healthy ageing” for WTISD-22.</w:t>
      </w:r>
    </w:p>
    <w:p w14:paraId="48F14AAF"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2.11</w:t>
      </w:r>
      <w:r w:rsidRPr="00A046C5">
        <w:rPr>
          <w:rFonts w:eastAsia="MS Mincho" w:cs="Calibri"/>
          <w:sz w:val="22"/>
          <w:szCs w:val="22"/>
          <w:lang w:val="en-CA"/>
        </w:rPr>
        <w:tab/>
        <w:t xml:space="preserve">It was so </w:t>
      </w:r>
      <w:r w:rsidRPr="00A046C5">
        <w:rPr>
          <w:rFonts w:eastAsia="MS Mincho" w:cs="Calibri"/>
          <w:b/>
          <w:bCs/>
          <w:sz w:val="22"/>
          <w:szCs w:val="22"/>
          <w:lang w:val="en-CA"/>
        </w:rPr>
        <w:t>concluded</w:t>
      </w:r>
      <w:r w:rsidRPr="00A046C5">
        <w:rPr>
          <w:rFonts w:eastAsia="MS Mincho" w:cs="Calibri"/>
          <w:sz w:val="22"/>
          <w:szCs w:val="22"/>
          <w:lang w:val="en-CA"/>
        </w:rPr>
        <w:t>.</w:t>
      </w:r>
    </w:p>
    <w:p w14:paraId="6BCAE860" w14:textId="1D557AFE" w:rsidR="00A046C5" w:rsidRPr="00A046C5" w:rsidRDefault="00A046C5" w:rsidP="002B43B0">
      <w:pPr>
        <w:tabs>
          <w:tab w:val="clear" w:pos="567"/>
          <w:tab w:val="clear" w:pos="1134"/>
          <w:tab w:val="clear" w:pos="1701"/>
          <w:tab w:val="clear" w:pos="2268"/>
          <w:tab w:val="clear" w:pos="2835"/>
        </w:tabs>
        <w:overflowPunct/>
        <w:autoSpaceDE/>
        <w:snapToGrid w:val="0"/>
        <w:spacing w:before="360" w:after="120"/>
        <w:ind w:left="720" w:hanging="720"/>
        <w:jc w:val="both"/>
        <w:rPr>
          <w:rFonts w:eastAsia="MS Mincho" w:cs="Calibri"/>
          <w:b/>
          <w:sz w:val="26"/>
          <w:szCs w:val="26"/>
          <w:lang w:val="en-CA"/>
        </w:rPr>
      </w:pPr>
      <w:r w:rsidRPr="00A046C5">
        <w:rPr>
          <w:rFonts w:eastAsia="MS Mincho" w:cs="Calibri"/>
          <w:b/>
          <w:sz w:val="26"/>
          <w:szCs w:val="26"/>
          <w:lang w:val="en-CA"/>
        </w:rPr>
        <w:t>3</w:t>
      </w:r>
      <w:r w:rsidRPr="00A046C5">
        <w:rPr>
          <w:rFonts w:eastAsia="MS Mincho" w:cs="Calibri"/>
          <w:b/>
          <w:sz w:val="26"/>
          <w:szCs w:val="26"/>
          <w:lang w:val="en-CA"/>
        </w:rPr>
        <w:tab/>
        <w:t xml:space="preserve">Preparations for the 2023 </w:t>
      </w:r>
      <w:r w:rsidR="009965A4">
        <w:rPr>
          <w:rFonts w:eastAsia="MS Mincho" w:cs="Calibri"/>
          <w:b/>
          <w:sz w:val="26"/>
          <w:szCs w:val="26"/>
          <w:lang w:val="en-CA"/>
        </w:rPr>
        <w:t>W</w:t>
      </w:r>
      <w:r w:rsidRPr="00A046C5">
        <w:rPr>
          <w:rFonts w:eastAsia="MS Mincho" w:cs="Calibri"/>
          <w:b/>
          <w:sz w:val="26"/>
          <w:szCs w:val="26"/>
          <w:lang w:val="en-CA"/>
        </w:rPr>
        <w:t xml:space="preserve">orld </w:t>
      </w:r>
      <w:r w:rsidR="009965A4">
        <w:rPr>
          <w:rFonts w:eastAsia="MS Mincho" w:cs="Calibri"/>
          <w:b/>
          <w:sz w:val="26"/>
          <w:szCs w:val="26"/>
          <w:lang w:val="en-CA"/>
        </w:rPr>
        <w:t>R</w:t>
      </w:r>
      <w:r w:rsidRPr="00A046C5">
        <w:rPr>
          <w:rFonts w:eastAsia="MS Mincho" w:cs="Calibri"/>
          <w:b/>
          <w:sz w:val="26"/>
          <w:szCs w:val="26"/>
          <w:lang w:val="en-CA"/>
        </w:rPr>
        <w:t xml:space="preserve">adiocommunication </w:t>
      </w:r>
      <w:r w:rsidR="009965A4">
        <w:rPr>
          <w:rFonts w:eastAsia="MS Mincho" w:cs="Calibri"/>
          <w:b/>
          <w:sz w:val="26"/>
          <w:szCs w:val="26"/>
          <w:lang w:val="en-CA"/>
        </w:rPr>
        <w:t>C</w:t>
      </w:r>
      <w:r w:rsidRPr="00A046C5">
        <w:rPr>
          <w:rFonts w:eastAsia="MS Mincho" w:cs="Calibri"/>
          <w:b/>
          <w:sz w:val="26"/>
          <w:szCs w:val="26"/>
          <w:lang w:val="en-CA"/>
        </w:rPr>
        <w:t xml:space="preserve">onference </w:t>
      </w:r>
      <w:r w:rsidR="00A830E3">
        <w:rPr>
          <w:rFonts w:eastAsia="MS Mincho" w:cs="Calibri"/>
          <w:b/>
          <w:sz w:val="26"/>
          <w:szCs w:val="26"/>
          <w:lang w:val="en-CA"/>
        </w:rPr>
        <w:br/>
      </w:r>
      <w:r w:rsidRPr="00A046C5">
        <w:rPr>
          <w:rFonts w:eastAsia="MS Mincho" w:cs="Calibri"/>
          <w:b/>
          <w:sz w:val="26"/>
          <w:szCs w:val="26"/>
          <w:lang w:val="en-CA"/>
        </w:rPr>
        <w:t xml:space="preserve">(Document </w:t>
      </w:r>
      <w:hyperlink r:id="rId17" w:history="1">
        <w:r w:rsidRPr="00A046C5">
          <w:rPr>
            <w:rFonts w:eastAsia="MS Mincho" w:cs="Calibri"/>
            <w:b/>
            <w:bCs/>
            <w:color w:val="0563C1"/>
            <w:sz w:val="26"/>
            <w:szCs w:val="26"/>
            <w:u w:val="single"/>
            <w:lang w:val="en-US" w:eastAsia="en-GB"/>
          </w:rPr>
          <w:t>C21/55</w:t>
        </w:r>
      </w:hyperlink>
      <w:r w:rsidRPr="00A046C5">
        <w:rPr>
          <w:rFonts w:eastAsia="MS Mincho" w:cs="Calibri"/>
          <w:b/>
          <w:sz w:val="26"/>
          <w:szCs w:val="26"/>
          <w:lang w:val="en-CA"/>
        </w:rPr>
        <w:t>)</w:t>
      </w:r>
    </w:p>
    <w:p w14:paraId="62418BAE" w14:textId="495EA903"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3.1</w:t>
      </w:r>
      <w:r w:rsidRPr="00A046C5">
        <w:rPr>
          <w:rFonts w:eastAsia="MS Mincho" w:cs="Calibri"/>
          <w:sz w:val="22"/>
          <w:szCs w:val="22"/>
          <w:lang w:val="en-CA"/>
        </w:rPr>
        <w:tab/>
        <w:t xml:space="preserve">The Director of BR introduced Document C21/55 on the date and place of the 2023 </w:t>
      </w:r>
      <w:r w:rsidR="002B43B0" w:rsidRPr="00A046C5">
        <w:rPr>
          <w:rFonts w:eastAsia="MS Mincho" w:cs="Calibri"/>
          <w:sz w:val="22"/>
          <w:szCs w:val="22"/>
          <w:lang w:val="en-CA"/>
        </w:rPr>
        <w:t xml:space="preserve">World Radiocommunication Conference </w:t>
      </w:r>
      <w:r w:rsidRPr="00A046C5">
        <w:rPr>
          <w:rFonts w:eastAsia="MS Mincho" w:cs="Calibri"/>
          <w:sz w:val="22"/>
          <w:szCs w:val="22"/>
          <w:lang w:val="en-CA"/>
        </w:rPr>
        <w:t xml:space="preserve">(WRC-23). It was proposed to hold the conference in the United Arab Emirates from 20 November to </w:t>
      </w:r>
      <w:r w:rsidR="001560A4">
        <w:rPr>
          <w:rFonts w:eastAsia="MS Mincho" w:cs="Calibri"/>
          <w:sz w:val="22"/>
          <w:szCs w:val="22"/>
          <w:lang w:val="en-CA"/>
        </w:rPr>
        <w:t>15</w:t>
      </w:r>
      <w:r w:rsidR="001560A4" w:rsidRPr="00A046C5">
        <w:rPr>
          <w:rFonts w:eastAsia="MS Mincho" w:cs="Calibri"/>
          <w:sz w:val="22"/>
          <w:szCs w:val="22"/>
          <w:lang w:val="en-CA"/>
        </w:rPr>
        <w:t xml:space="preserve"> </w:t>
      </w:r>
      <w:r w:rsidRPr="00A046C5">
        <w:rPr>
          <w:rFonts w:eastAsia="MS Mincho" w:cs="Calibri"/>
          <w:sz w:val="22"/>
          <w:szCs w:val="22"/>
          <w:lang w:val="en-CA"/>
        </w:rPr>
        <w:t xml:space="preserve">December 2023, immediately preceded by 2023 </w:t>
      </w:r>
      <w:r w:rsidR="002B43B0" w:rsidRPr="00A046C5">
        <w:rPr>
          <w:rFonts w:eastAsia="MS Mincho" w:cs="Calibri"/>
          <w:sz w:val="22"/>
          <w:szCs w:val="22"/>
          <w:lang w:val="en-CA"/>
        </w:rPr>
        <w:t xml:space="preserve">Radiocommunication </w:t>
      </w:r>
      <w:r w:rsidR="002B43B0" w:rsidRPr="00A046C5">
        <w:rPr>
          <w:rFonts w:eastAsia="MS Mincho" w:cs="Calibri"/>
          <w:sz w:val="22"/>
          <w:szCs w:val="22"/>
          <w:lang w:val="en-CA"/>
        </w:rPr>
        <w:lastRenderedPageBreak/>
        <w:t xml:space="preserve">Assembly </w:t>
      </w:r>
      <w:r w:rsidRPr="00A046C5">
        <w:rPr>
          <w:rFonts w:eastAsia="MS Mincho" w:cs="Calibri"/>
          <w:sz w:val="22"/>
          <w:szCs w:val="22"/>
          <w:lang w:val="en-CA"/>
        </w:rPr>
        <w:t>(RA-23). The United Arab Emirates was conducting an internal assessment to decide whether the conference would be held in Dubai or Abu Dhabi and would inform the Council of the outcome in due course.</w:t>
      </w:r>
    </w:p>
    <w:p w14:paraId="07988621" w14:textId="56561EC3"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3.2</w:t>
      </w:r>
      <w:r w:rsidRPr="00A046C5">
        <w:rPr>
          <w:rFonts w:eastAsia="MS Mincho" w:cs="Calibri"/>
          <w:sz w:val="22"/>
          <w:szCs w:val="22"/>
          <w:lang w:val="en-CA"/>
        </w:rPr>
        <w:tab/>
        <w:t>The Council was invited to decide on the place and exact dates of WRC-23, preceded by RA</w:t>
      </w:r>
      <w:r w:rsidR="002B43B0">
        <w:rPr>
          <w:rFonts w:eastAsia="MS Mincho" w:cs="Calibri"/>
          <w:sz w:val="22"/>
          <w:szCs w:val="22"/>
          <w:lang w:val="en-CA"/>
        </w:rPr>
        <w:t>-</w:t>
      </w:r>
      <w:r w:rsidRPr="00A046C5">
        <w:rPr>
          <w:rFonts w:eastAsia="MS Mincho" w:cs="Calibri"/>
          <w:sz w:val="22"/>
          <w:szCs w:val="22"/>
          <w:lang w:val="en-CA"/>
        </w:rPr>
        <w:t xml:space="preserve">23, </w:t>
      </w:r>
      <w:r w:rsidRPr="002B43B0">
        <w:rPr>
          <w:rFonts w:eastAsia="MS Mincho" w:cs="Calibri"/>
          <w:spacing w:val="-2"/>
          <w:sz w:val="22"/>
          <w:szCs w:val="22"/>
          <w:lang w:val="en-CA"/>
        </w:rPr>
        <w:t>following which a consultation of the Member States should take place, and to adopt the decision in Annex B</w:t>
      </w:r>
      <w:r w:rsidRPr="00A046C5">
        <w:rPr>
          <w:rFonts w:eastAsia="MS Mincho" w:cs="Calibri"/>
          <w:sz w:val="22"/>
          <w:szCs w:val="22"/>
          <w:lang w:val="en-CA"/>
        </w:rPr>
        <w:t xml:space="preserve"> to the document.</w:t>
      </w:r>
    </w:p>
    <w:p w14:paraId="015E5365"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3.3</w:t>
      </w:r>
      <w:r w:rsidRPr="00A046C5">
        <w:rPr>
          <w:rFonts w:eastAsia="MS Mincho" w:cs="Calibri"/>
          <w:sz w:val="22"/>
          <w:szCs w:val="22"/>
          <w:lang w:val="en-CA"/>
        </w:rPr>
        <w:tab/>
        <w:t>The councillor from the United Arab Emirates said that his country, with a proud tradition of hosting such important global events, was ready and eager to host WRC-23 and RA-23 and would spare no effort in ensuring their success. As soon as the Council approved the place and dates, he would be able to inform the Council of the host city.</w:t>
      </w:r>
    </w:p>
    <w:p w14:paraId="1AB1EE09"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3.4</w:t>
      </w:r>
      <w:r w:rsidRPr="00A046C5">
        <w:rPr>
          <w:rFonts w:eastAsia="MS Mincho" w:cs="Calibri"/>
          <w:sz w:val="22"/>
          <w:szCs w:val="22"/>
          <w:lang w:val="en-CA"/>
        </w:rPr>
        <w:tab/>
        <w:t xml:space="preserve">Councillors expressed support for the United Arab Emirates as host country and for the proposed dates. </w:t>
      </w:r>
    </w:p>
    <w:p w14:paraId="3705866B"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3.5</w:t>
      </w:r>
      <w:r w:rsidRPr="00A046C5">
        <w:rPr>
          <w:rFonts w:eastAsia="MS Mincho" w:cs="Calibri"/>
          <w:sz w:val="22"/>
          <w:szCs w:val="22"/>
          <w:lang w:val="en-CA"/>
        </w:rPr>
        <w:tab/>
        <w:t>Responding to a question from one councillor, the Director of BR said that while he recognized that the proposed dates were later than normal and meant that the first conference preparatory meeting for WRC-27 (CPM27-1) would be held on 18-19 December 2023, they were the outcome of careful consideration and the best option available. He expressed his hope that the Council would approve the dates despite the proximity to the end-of-year festivities.</w:t>
      </w:r>
    </w:p>
    <w:p w14:paraId="6A029039"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3.6</w:t>
      </w:r>
      <w:r w:rsidRPr="00A046C5">
        <w:rPr>
          <w:rFonts w:eastAsia="MS Mincho" w:cs="Calibri"/>
          <w:sz w:val="22"/>
          <w:szCs w:val="22"/>
          <w:lang w:val="en-CA"/>
        </w:rPr>
        <w:tab/>
        <w:t>Responding to a further question from a councillor, he explained that the major conferences of the Union came under the responsibility of the Secretary-General, although of course in conjunction with the Director of BR for WRC, and said that the Spanish text of Annex B to Document C21/55 would be aligned with the other languages.</w:t>
      </w:r>
    </w:p>
    <w:p w14:paraId="7F63B8AA"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3.7</w:t>
      </w:r>
      <w:r w:rsidRPr="00A046C5">
        <w:rPr>
          <w:rFonts w:eastAsia="MS Mincho" w:cs="Calibri"/>
          <w:sz w:val="22"/>
          <w:szCs w:val="22"/>
          <w:lang w:val="en-CA"/>
        </w:rPr>
        <w:tab/>
        <w:t>The Chairman took it that councillors wished to conclude that, keeping in mind the fact that the item was urgent, a consultation by correspondence of Council Member States would be undertaken to adopt the decision in Annex B of document C21/55.</w:t>
      </w:r>
    </w:p>
    <w:p w14:paraId="2FB0496B"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3.8</w:t>
      </w:r>
      <w:r w:rsidRPr="00A046C5">
        <w:rPr>
          <w:rFonts w:eastAsia="MS Mincho" w:cs="Calibri"/>
          <w:sz w:val="22"/>
          <w:szCs w:val="22"/>
          <w:lang w:val="en-CA"/>
        </w:rPr>
        <w:tab/>
        <w:t xml:space="preserve">It was so </w:t>
      </w:r>
      <w:r w:rsidRPr="00A046C5">
        <w:rPr>
          <w:rFonts w:eastAsia="MS Mincho" w:cs="Calibri"/>
          <w:b/>
          <w:bCs/>
          <w:sz w:val="22"/>
          <w:szCs w:val="22"/>
          <w:lang w:val="en-CA"/>
        </w:rPr>
        <w:t>concluded</w:t>
      </w:r>
      <w:r w:rsidRPr="00A046C5">
        <w:rPr>
          <w:rFonts w:eastAsia="MS Mincho" w:cs="Calibri"/>
          <w:sz w:val="22"/>
          <w:szCs w:val="22"/>
          <w:lang w:val="en-CA"/>
        </w:rPr>
        <w:t>.</w:t>
      </w:r>
    </w:p>
    <w:p w14:paraId="18FD6ADC" w14:textId="0ABCDAF4"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3.9</w:t>
      </w:r>
      <w:r w:rsidRPr="00A046C5">
        <w:rPr>
          <w:rFonts w:eastAsia="MS Mincho" w:cs="Calibri"/>
          <w:sz w:val="22"/>
          <w:szCs w:val="22"/>
          <w:lang w:val="en-CA"/>
        </w:rPr>
        <w:tab/>
        <w:t>The Director of BR indicated, for information only, that the later than normal dates for WRC-23 and RA-23 could allow for CPM23-2 to be pushed back from March 2022 to May 2022, to accommodate the wishes of some Member States, but only if a Member State was able to host the event; otherwise, it would remain at the existing dates (27 March – 6 April 2023) with the current CICG reservation, as the CICG was unavailable in May. He would continue consultations with the membership in that regard.</w:t>
      </w:r>
    </w:p>
    <w:p w14:paraId="4CF93D5B"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3.10</w:t>
      </w:r>
      <w:r w:rsidRPr="00A046C5">
        <w:rPr>
          <w:rFonts w:eastAsia="MS Mincho" w:cs="Calibri"/>
          <w:sz w:val="22"/>
          <w:szCs w:val="22"/>
          <w:lang w:val="en-CA"/>
        </w:rPr>
        <w:tab/>
        <w:t>The Chairman, therefore, further took it that councillors wish to conclude that, regarding CPM23-2, it was noted that the CICG was currently booked for the end of March, but the meeting could be held during the first half of May provided that a Member State would be interested to host.</w:t>
      </w:r>
    </w:p>
    <w:p w14:paraId="10B3B82F"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3.11</w:t>
      </w:r>
      <w:r w:rsidRPr="00A046C5">
        <w:rPr>
          <w:rFonts w:eastAsia="MS Mincho" w:cs="Calibri"/>
          <w:sz w:val="22"/>
          <w:szCs w:val="22"/>
          <w:lang w:val="en-CA"/>
        </w:rPr>
        <w:tab/>
        <w:t xml:space="preserve">It was so </w:t>
      </w:r>
      <w:r w:rsidRPr="00A046C5">
        <w:rPr>
          <w:rFonts w:eastAsia="MS Mincho" w:cs="Calibri"/>
          <w:b/>
          <w:bCs/>
          <w:sz w:val="22"/>
          <w:szCs w:val="22"/>
          <w:lang w:val="en-CA"/>
        </w:rPr>
        <w:t>concluded</w:t>
      </w:r>
      <w:r w:rsidRPr="00A046C5">
        <w:rPr>
          <w:rFonts w:eastAsia="MS Mincho" w:cs="Calibri"/>
          <w:sz w:val="22"/>
          <w:szCs w:val="22"/>
          <w:lang w:val="en-CA"/>
        </w:rPr>
        <w:t>.</w:t>
      </w:r>
      <w:bookmarkEnd w:id="7"/>
      <w:bookmarkEnd w:id="8"/>
    </w:p>
    <w:p w14:paraId="59AD9AAB"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3.12</w:t>
      </w:r>
      <w:r w:rsidRPr="00A046C5">
        <w:rPr>
          <w:rFonts w:eastAsia="MS Mincho" w:cs="Calibri"/>
          <w:sz w:val="22"/>
          <w:szCs w:val="22"/>
          <w:lang w:val="en-CA"/>
        </w:rPr>
        <w:tab/>
        <w:t>One councillor, while understanding the desire of some Member States to push back the CPM, said that in view of the importance and complexity of WRC and in order to preserve the CPM process, the current dates and venue should be maintained.</w:t>
      </w:r>
    </w:p>
    <w:p w14:paraId="2C999A92" w14:textId="641EB8EC" w:rsidR="00A046C5" w:rsidRPr="00A046C5" w:rsidRDefault="00A046C5" w:rsidP="002B43B0">
      <w:pPr>
        <w:tabs>
          <w:tab w:val="clear" w:pos="567"/>
          <w:tab w:val="clear" w:pos="1134"/>
          <w:tab w:val="clear" w:pos="1701"/>
          <w:tab w:val="clear" w:pos="2268"/>
          <w:tab w:val="clear" w:pos="2835"/>
        </w:tabs>
        <w:spacing w:before="360" w:after="120"/>
        <w:ind w:left="794" w:hanging="794"/>
        <w:jc w:val="both"/>
        <w:rPr>
          <w:rFonts w:eastAsia="MS Mincho" w:cs="Calibri"/>
          <w:b/>
          <w:bCs/>
          <w:sz w:val="22"/>
          <w:szCs w:val="22"/>
          <w:lang w:val="en-US"/>
        </w:rPr>
      </w:pPr>
      <w:r w:rsidRPr="00A046C5">
        <w:rPr>
          <w:rFonts w:eastAsia="MS Mincho" w:cs="Calibri"/>
          <w:b/>
          <w:bCs/>
          <w:sz w:val="22"/>
          <w:szCs w:val="22"/>
          <w:lang w:val="en-US"/>
        </w:rPr>
        <w:t>4</w:t>
      </w:r>
      <w:r w:rsidRPr="00A046C5">
        <w:rPr>
          <w:rFonts w:eastAsia="MS Mincho" w:cs="Calibri"/>
          <w:b/>
          <w:bCs/>
          <w:sz w:val="22"/>
          <w:szCs w:val="22"/>
          <w:lang w:val="en-US"/>
        </w:rPr>
        <w:tab/>
      </w:r>
      <w:r w:rsidRPr="00A046C5">
        <w:rPr>
          <w:rFonts w:eastAsia="MS Mincho" w:cs="Calibri"/>
          <w:b/>
          <w:bCs/>
          <w:sz w:val="26"/>
          <w:szCs w:val="26"/>
          <w:lang w:val="en-US"/>
        </w:rPr>
        <w:t xml:space="preserve">Proposed improvements for the </w:t>
      </w:r>
      <w:r w:rsidR="00B16F07">
        <w:rPr>
          <w:rFonts w:eastAsia="MS Mincho" w:cs="Calibri"/>
          <w:b/>
          <w:bCs/>
          <w:sz w:val="26"/>
          <w:szCs w:val="26"/>
          <w:lang w:val="en-US"/>
        </w:rPr>
        <w:t>p</w:t>
      </w:r>
      <w:r w:rsidRPr="00A046C5">
        <w:rPr>
          <w:rFonts w:eastAsia="MS Mincho" w:cs="Calibri"/>
          <w:b/>
          <w:bCs/>
          <w:sz w:val="26"/>
          <w:szCs w:val="26"/>
          <w:lang w:val="en-US"/>
        </w:rPr>
        <w:t xml:space="preserve">lenipotentiary </w:t>
      </w:r>
      <w:r w:rsidR="00B16F07">
        <w:rPr>
          <w:rFonts w:eastAsia="MS Mincho" w:cs="Calibri"/>
          <w:b/>
          <w:bCs/>
          <w:sz w:val="26"/>
          <w:szCs w:val="26"/>
          <w:lang w:val="en-US"/>
        </w:rPr>
        <w:t>c</w:t>
      </w:r>
      <w:r w:rsidRPr="00A046C5">
        <w:rPr>
          <w:rFonts w:eastAsia="MS Mincho" w:cs="Calibri"/>
          <w:b/>
          <w:bCs/>
          <w:sz w:val="26"/>
          <w:szCs w:val="26"/>
          <w:lang w:val="en-US"/>
        </w:rPr>
        <w:t>onference</w:t>
      </w:r>
      <w:r w:rsidRPr="00A046C5">
        <w:rPr>
          <w:rFonts w:eastAsia="MS Mincho" w:cs="Calibri"/>
          <w:sz w:val="26"/>
          <w:szCs w:val="26"/>
          <w:lang w:val="en-US"/>
        </w:rPr>
        <w:t xml:space="preserve"> </w:t>
      </w:r>
      <w:r w:rsidRPr="00A046C5">
        <w:rPr>
          <w:rFonts w:eastAsia="MS Mincho" w:cs="Calibri"/>
          <w:b/>
          <w:bCs/>
          <w:sz w:val="26"/>
          <w:szCs w:val="26"/>
          <w:lang w:val="en-US"/>
        </w:rPr>
        <w:t>(Document </w:t>
      </w:r>
      <w:hyperlink r:id="rId18" w:history="1">
        <w:r w:rsidRPr="00123167">
          <w:rPr>
            <w:rFonts w:eastAsia="MS Mincho" w:cs="Calibri"/>
            <w:b/>
            <w:bCs/>
            <w:color w:val="0563C1"/>
            <w:sz w:val="26"/>
            <w:szCs w:val="26"/>
            <w:u w:val="single"/>
            <w:lang w:val="en-US" w:eastAsia="en-GB"/>
          </w:rPr>
          <w:t>C21/13</w:t>
        </w:r>
      </w:hyperlink>
      <w:r w:rsidRPr="00A046C5">
        <w:rPr>
          <w:rFonts w:eastAsia="MS Mincho" w:cs="Calibri"/>
          <w:b/>
          <w:bCs/>
          <w:sz w:val="26"/>
          <w:szCs w:val="26"/>
          <w:lang w:val="en-US"/>
        </w:rPr>
        <w:t>)</w:t>
      </w:r>
    </w:p>
    <w:p w14:paraId="1BCB8F82"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4.1</w:t>
      </w:r>
      <w:r w:rsidRPr="00A046C5">
        <w:rPr>
          <w:rFonts w:eastAsia="MS Mincho" w:cs="Calibri"/>
          <w:sz w:val="22"/>
          <w:szCs w:val="22"/>
          <w:lang w:val="en-US"/>
        </w:rPr>
        <w:tab/>
        <w:t>The</w:t>
      </w:r>
      <w:r w:rsidRPr="00A046C5">
        <w:rPr>
          <w:rFonts w:eastAsia="MS Mincho" w:cs="Calibri"/>
          <w:b/>
          <w:bCs/>
          <w:sz w:val="22"/>
          <w:szCs w:val="22"/>
          <w:lang w:val="en-US"/>
        </w:rPr>
        <w:t xml:space="preserve"> </w:t>
      </w:r>
      <w:r w:rsidRPr="00A046C5">
        <w:rPr>
          <w:rFonts w:eastAsia="MS Mincho" w:cs="Calibri"/>
          <w:sz w:val="22"/>
          <w:szCs w:val="22"/>
          <w:lang w:val="en-US"/>
        </w:rPr>
        <w:t>Secretary of the meeting, introducing Document C21/13, drew attention to the proposals it contained to improve the work of PP, which focused on three main areas: strengthening the interregional preparatory process; preparation and training for delegates; and “greening” the conference. The need for further steps to be taken to advance the gender-equality agenda had also been raised. Other proposals received from Member States and reflected in the document included several that had been considered previously but had not achieved consensus.</w:t>
      </w:r>
    </w:p>
    <w:p w14:paraId="6B4D381B"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lastRenderedPageBreak/>
        <w:t>4.2</w:t>
      </w:r>
      <w:r w:rsidRPr="00A046C5">
        <w:rPr>
          <w:rFonts w:eastAsia="MS Mincho" w:cs="Calibri"/>
          <w:sz w:val="22"/>
          <w:szCs w:val="22"/>
          <w:lang w:val="en-US"/>
        </w:rPr>
        <w:tab/>
        <w:t>During the ensuing discussion, councillors emphasized the need to streamline the work of the conference and optimize the use of resources, and particular support was expressed for the aims of strengthening the interregional preparatory process, providing training for delegates and greening the conference. One councillor emphasized that such actions should be carried out within existing budgetary resources and should not entail excessive costs for host countries. Positive developments from recent PPs, in particular Member States’ definitive choice of their class of contribution on the third day of the conference, should be maintained. Several councillors expressed support for all the proposals set out in the document. While one councillor expressed the view that the conference as a whole should be shortened, or that limits on speaking time or number of statements per speaker should be introduced, others stressed that such moves should not come at the expense of meaningful discussions or undermine the role of PP as the Union’s highest policy-making body. Several councillors highlighted the potential difficulties of a shorter conference for small delegations.</w:t>
      </w:r>
    </w:p>
    <w:p w14:paraId="0C6E4166"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4.3</w:t>
      </w:r>
      <w:r w:rsidRPr="00A046C5">
        <w:rPr>
          <w:rFonts w:eastAsia="MS Mincho" w:cs="Calibri"/>
          <w:sz w:val="22"/>
          <w:szCs w:val="22"/>
          <w:lang w:val="en-US"/>
        </w:rPr>
        <w:tab/>
        <w:t xml:space="preserve"> While the utility of the interregional preparatory process for exchanging information and ideas and potentially reducing the length of discussions during PP was underscored, one councillor said that further support for the process from the secretariat should not involve additional human or financial resources and stressed that the process should remain informal; another highlighted its usefulness in resolving procedural questions but said that it was not the place to settle substantive issues. A third emphasized that, while it could not serve as a substitute for PP negotiations, it should be taken into account in scheduling other meetings. Some support was expressed for the process becoming virtual, including a one-day online regional preparatory meeting to be held shortly before the conference.</w:t>
      </w:r>
    </w:p>
    <w:p w14:paraId="7CCF9495" w14:textId="298C66B8"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4.4</w:t>
      </w:r>
      <w:r w:rsidRPr="00A046C5">
        <w:rPr>
          <w:rFonts w:eastAsia="MS Mincho" w:cs="Calibri"/>
          <w:sz w:val="22"/>
          <w:szCs w:val="22"/>
          <w:lang w:val="en-US"/>
        </w:rPr>
        <w:tab/>
        <w:t>Several councillors expressed specific support for the proposal for an existing Council working group or a new dedicated group to be asked to facilitate preliminary discussions of draft resolutions, but others doubted whether sufficient time remained for such an innovation before PP</w:t>
      </w:r>
      <w:r w:rsidR="00504300">
        <w:rPr>
          <w:rFonts w:eastAsia="MS Mincho" w:cs="Calibri"/>
          <w:sz w:val="22"/>
          <w:szCs w:val="22"/>
          <w:lang w:val="en-US"/>
        </w:rPr>
        <w:t>-</w:t>
      </w:r>
      <w:r w:rsidRPr="00A046C5">
        <w:rPr>
          <w:rFonts w:eastAsia="MS Mincho" w:cs="Calibri"/>
          <w:sz w:val="22"/>
          <w:szCs w:val="22"/>
          <w:lang w:val="en-US"/>
        </w:rPr>
        <w:t>22, especially in view of the heavy burden of meetings in the interim, and expressed concern at the potential for the Council to restrict what draft resolutions might be discussed by the conference, which should be able to receive proposals from any Member State. Two councillors suggested that, if a new CWG were created for the purpose, it could also discuss the organization of elections. Another suggested that the Council’s involvement in its current format could simply be expanded.</w:t>
      </w:r>
    </w:p>
    <w:p w14:paraId="4284109D"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4.5</w:t>
      </w:r>
      <w:r w:rsidRPr="00A046C5">
        <w:rPr>
          <w:rFonts w:eastAsia="MS Mincho" w:cs="Calibri"/>
          <w:sz w:val="22"/>
          <w:szCs w:val="22"/>
          <w:lang w:val="en-US"/>
        </w:rPr>
        <w:tab/>
        <w:t>Some councillors underlined the need to promote gender equality in the context of the conference; one suggested that more proposals could be made in that regard, and that action taken could be replicated at future PPs, adding that efforts should also be made to better include older and younger people and persons with disabilities.</w:t>
      </w:r>
    </w:p>
    <w:p w14:paraId="5F7E33DF"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4.6</w:t>
      </w:r>
      <w:r w:rsidRPr="00A046C5">
        <w:rPr>
          <w:rFonts w:eastAsia="MS Mincho" w:cs="Calibri"/>
          <w:sz w:val="22"/>
          <w:szCs w:val="22"/>
          <w:lang w:val="en-US"/>
        </w:rPr>
        <w:tab/>
        <w:t xml:space="preserve">With regard to training for delegates, the idea of which was widely welcomed, one councillor asked whether online courses were planned and whether the user-friendly training package referred to in Document C21/13 would be adapted for remote use during PP-22 itself. Another encouraged the secretariat to ensure that such training could be delivered online early in 2022 and to work with regional telecommunication organizations and experienced delegates in developing training materials. </w:t>
      </w:r>
    </w:p>
    <w:p w14:paraId="0798CDE1"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4.7</w:t>
      </w:r>
      <w:r w:rsidRPr="00A046C5">
        <w:rPr>
          <w:rFonts w:eastAsia="MS Mincho" w:cs="Calibri"/>
          <w:sz w:val="22"/>
          <w:szCs w:val="22"/>
          <w:lang w:val="en-US"/>
        </w:rPr>
        <w:tab/>
        <w:t>Further information was requested on the implications of the suggestions in section V of the document regarding a ministerial week, to be organized on the sidelines of the conference, and the elimination of the two days of sessions allocated to speeches and statements. The latter suggestion was met with caution by one councillor, who emphasized the importance of a shared awareness of current ICT policies around the world for the work of the Union, but another supported the suggestion of a reduction in the time allocated to high-level speeches. One councillor said that the conference should become fully paperless; another asked whether a paperless policy would also apply to campaign materials produced by Member States.</w:t>
      </w:r>
    </w:p>
    <w:p w14:paraId="0C1ED861" w14:textId="7EBD367F"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4.8</w:t>
      </w:r>
      <w:r w:rsidRPr="00A046C5">
        <w:rPr>
          <w:rFonts w:eastAsia="MS Mincho" w:cs="Calibri"/>
          <w:sz w:val="22"/>
          <w:szCs w:val="22"/>
          <w:lang w:val="en-US"/>
        </w:rPr>
        <w:tab/>
        <w:t xml:space="preserve">The councillor from Romania, which </w:t>
      </w:r>
      <w:r w:rsidR="00F05195">
        <w:rPr>
          <w:rFonts w:eastAsia="MS Mincho" w:cs="Calibri"/>
          <w:sz w:val="22"/>
          <w:szCs w:val="22"/>
          <w:lang w:val="en-US"/>
        </w:rPr>
        <w:t>is</w:t>
      </w:r>
      <w:r w:rsidRPr="00A046C5">
        <w:rPr>
          <w:rFonts w:eastAsia="MS Mincho" w:cs="Calibri"/>
          <w:sz w:val="22"/>
          <w:szCs w:val="22"/>
          <w:lang w:val="en-US"/>
        </w:rPr>
        <w:t xml:space="preserve"> to host PP-22, welcomed the improvements suggested, especially in terms of gender-responsiveness, inclusion of young people, older people and persons with disabilities, and providing training for new delegates, as well as the interregional preparatory process.</w:t>
      </w:r>
    </w:p>
    <w:p w14:paraId="165FB817"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lastRenderedPageBreak/>
        <w:t>4.9</w:t>
      </w:r>
      <w:r w:rsidRPr="00A046C5">
        <w:rPr>
          <w:rFonts w:eastAsia="MS Mincho" w:cs="Calibri"/>
          <w:sz w:val="22"/>
          <w:szCs w:val="22"/>
          <w:lang w:val="en-US"/>
        </w:rPr>
        <w:tab/>
        <w:t>The</w:t>
      </w:r>
      <w:r w:rsidRPr="00A046C5">
        <w:rPr>
          <w:rFonts w:eastAsia="MS Mincho" w:cs="Calibri"/>
          <w:b/>
          <w:bCs/>
          <w:sz w:val="22"/>
          <w:szCs w:val="22"/>
          <w:lang w:val="en-US"/>
        </w:rPr>
        <w:t xml:space="preserve"> </w:t>
      </w:r>
      <w:r w:rsidRPr="00A046C5">
        <w:rPr>
          <w:rFonts w:eastAsia="MS Mincho" w:cs="Calibri"/>
          <w:sz w:val="22"/>
          <w:szCs w:val="22"/>
          <w:lang w:val="en-US"/>
        </w:rPr>
        <w:t xml:space="preserve">Secretary of the meeting, responding to points raised, said that it would be for the Council to decide whether to task an existing working group with facilitating preliminary discussion of draft resolutions and other matters or to create a new one. The suggestion to organize a ministerial week on the sidelines of the conference had been discussed in previous years but had not garnered support; however, consideration was being given to how to improve the conference experience for ministers. PP-18 had been a fully paperless conference apart from documents provided to interpreters and further progress was planned for PP-22, in cooperation with the host country. As in previous years, a dedicated page on the conference website would be available for campaign materials produced by Member States. Details of how high-level policy statements would be incorporated into PP-22 would be included in the Secretary-General’s invitation letter. </w:t>
      </w:r>
    </w:p>
    <w:p w14:paraId="7125FC54"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4.10</w:t>
      </w:r>
      <w:r w:rsidRPr="00A046C5">
        <w:rPr>
          <w:rFonts w:eastAsia="MS Mincho" w:cs="Calibri"/>
          <w:sz w:val="22"/>
          <w:szCs w:val="22"/>
          <w:lang w:val="en-US"/>
        </w:rPr>
        <w:tab/>
        <w:t xml:space="preserve">The Chairman, observing that there seemed to be consensus on most issues except creating a dedicated working group to handle the issue, said he took it that councillors wished to conclude, keeping in mind the fact that the item was urgent, that a consultation by correspondence of Council Member States would be undertaken to approve the secretariat’s proposals, within the existing budget, regarding: </w:t>
      </w:r>
    </w:p>
    <w:p w14:paraId="594E28A3" w14:textId="77777777" w:rsidR="00A046C5" w:rsidRPr="00A046C5" w:rsidRDefault="00A046C5" w:rsidP="00504300">
      <w:pPr>
        <w:numPr>
          <w:ilvl w:val="0"/>
          <w:numId w:val="19"/>
        </w:numPr>
        <w:tabs>
          <w:tab w:val="clear" w:pos="567"/>
          <w:tab w:val="clear" w:pos="1134"/>
          <w:tab w:val="clear" w:pos="1701"/>
          <w:tab w:val="clear" w:pos="2268"/>
          <w:tab w:val="clear" w:pos="2835"/>
        </w:tabs>
        <w:spacing w:after="60"/>
        <w:jc w:val="both"/>
        <w:rPr>
          <w:rFonts w:eastAsia="MS Mincho" w:cs="Calibri"/>
          <w:sz w:val="22"/>
          <w:szCs w:val="22"/>
          <w:lang w:val="en-US"/>
        </w:rPr>
      </w:pPr>
      <w:r w:rsidRPr="00A046C5">
        <w:rPr>
          <w:rFonts w:eastAsia="MS Mincho" w:cs="Calibri"/>
          <w:sz w:val="22"/>
          <w:szCs w:val="22"/>
          <w:lang w:val="en-US"/>
        </w:rPr>
        <w:t xml:space="preserve">strengthening the interregional preparatory process and the scheduling and holding of interregional meetings which had no formal outcomes; </w:t>
      </w:r>
    </w:p>
    <w:p w14:paraId="2679D473" w14:textId="77777777" w:rsidR="00A046C5" w:rsidRPr="00A046C5" w:rsidRDefault="00A046C5" w:rsidP="00504300">
      <w:pPr>
        <w:numPr>
          <w:ilvl w:val="0"/>
          <w:numId w:val="19"/>
        </w:numPr>
        <w:tabs>
          <w:tab w:val="clear" w:pos="567"/>
          <w:tab w:val="clear" w:pos="1134"/>
          <w:tab w:val="clear" w:pos="1701"/>
          <w:tab w:val="clear" w:pos="2268"/>
          <w:tab w:val="clear" w:pos="2835"/>
        </w:tabs>
        <w:spacing w:before="60" w:after="60"/>
        <w:jc w:val="both"/>
        <w:rPr>
          <w:rFonts w:eastAsia="MS Mincho" w:cs="Calibri"/>
          <w:sz w:val="22"/>
          <w:szCs w:val="22"/>
          <w:lang w:val="en-US"/>
        </w:rPr>
      </w:pPr>
      <w:r w:rsidRPr="00A046C5">
        <w:rPr>
          <w:rFonts w:eastAsia="MS Mincho" w:cs="Calibri"/>
          <w:sz w:val="22"/>
          <w:szCs w:val="22"/>
          <w:lang w:val="en-US"/>
        </w:rPr>
        <w:t xml:space="preserve">the tasking of streamlining resolutions and decisions within the context of the secretariat’s preparation for interregional meetings, without creating a separate council working group; </w:t>
      </w:r>
    </w:p>
    <w:p w14:paraId="2AD81473" w14:textId="77777777" w:rsidR="00A046C5" w:rsidRPr="00A046C5" w:rsidRDefault="00A046C5" w:rsidP="00504300">
      <w:pPr>
        <w:numPr>
          <w:ilvl w:val="0"/>
          <w:numId w:val="19"/>
        </w:numPr>
        <w:tabs>
          <w:tab w:val="clear" w:pos="567"/>
          <w:tab w:val="clear" w:pos="1134"/>
          <w:tab w:val="clear" w:pos="1701"/>
          <w:tab w:val="clear" w:pos="2268"/>
          <w:tab w:val="clear" w:pos="2835"/>
        </w:tabs>
        <w:spacing w:before="60" w:after="60"/>
        <w:jc w:val="both"/>
        <w:rPr>
          <w:rFonts w:eastAsia="MS Mincho" w:cs="Calibri"/>
          <w:sz w:val="22"/>
          <w:szCs w:val="22"/>
          <w:lang w:val="en-US"/>
        </w:rPr>
      </w:pPr>
      <w:r w:rsidRPr="00A046C5">
        <w:rPr>
          <w:rFonts w:eastAsia="MS Mincho" w:cs="Calibri"/>
          <w:sz w:val="22"/>
          <w:szCs w:val="22"/>
          <w:lang w:val="en-US"/>
        </w:rPr>
        <w:t xml:space="preserve">the preparation and training of delegates; </w:t>
      </w:r>
    </w:p>
    <w:p w14:paraId="3E953CFF" w14:textId="77777777" w:rsidR="00A046C5" w:rsidRPr="00A046C5" w:rsidRDefault="00A046C5" w:rsidP="00504300">
      <w:pPr>
        <w:numPr>
          <w:ilvl w:val="0"/>
          <w:numId w:val="19"/>
        </w:numPr>
        <w:tabs>
          <w:tab w:val="clear" w:pos="567"/>
          <w:tab w:val="clear" w:pos="1134"/>
          <w:tab w:val="clear" w:pos="1701"/>
          <w:tab w:val="clear" w:pos="2268"/>
          <w:tab w:val="clear" w:pos="2835"/>
        </w:tabs>
        <w:spacing w:before="60" w:after="60"/>
        <w:jc w:val="both"/>
        <w:rPr>
          <w:rFonts w:eastAsia="MS Mincho" w:cs="Calibri"/>
          <w:sz w:val="22"/>
          <w:szCs w:val="22"/>
          <w:lang w:val="en-US"/>
        </w:rPr>
      </w:pPr>
      <w:r w:rsidRPr="00A046C5">
        <w:rPr>
          <w:rFonts w:eastAsia="MS Mincho" w:cs="Calibri"/>
          <w:sz w:val="22"/>
          <w:szCs w:val="22"/>
          <w:lang w:val="en-US"/>
        </w:rPr>
        <w:t xml:space="preserve">the greening of the conference; </w:t>
      </w:r>
    </w:p>
    <w:p w14:paraId="7E51C578" w14:textId="77777777" w:rsidR="00A046C5" w:rsidRPr="00A046C5" w:rsidRDefault="00A046C5" w:rsidP="00504300">
      <w:pPr>
        <w:numPr>
          <w:ilvl w:val="0"/>
          <w:numId w:val="19"/>
        </w:numPr>
        <w:tabs>
          <w:tab w:val="clear" w:pos="567"/>
          <w:tab w:val="clear" w:pos="1134"/>
          <w:tab w:val="clear" w:pos="1701"/>
          <w:tab w:val="clear" w:pos="2268"/>
          <w:tab w:val="clear" w:pos="2835"/>
        </w:tabs>
        <w:spacing w:before="60" w:after="120"/>
        <w:jc w:val="both"/>
        <w:rPr>
          <w:rFonts w:eastAsia="MS Mincho" w:cs="Calibri"/>
          <w:sz w:val="22"/>
          <w:szCs w:val="22"/>
          <w:lang w:val="en-US"/>
        </w:rPr>
      </w:pPr>
      <w:r w:rsidRPr="00A046C5">
        <w:rPr>
          <w:rFonts w:eastAsia="MS Mincho" w:cs="Calibri"/>
          <w:sz w:val="22"/>
          <w:szCs w:val="22"/>
          <w:lang w:val="en-US"/>
        </w:rPr>
        <w:t>the importance of organizing a fully gender-responsive and inclusive PP.</w:t>
      </w:r>
    </w:p>
    <w:p w14:paraId="22118DB3" w14:textId="265A7A21"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4.11</w:t>
      </w:r>
      <w:r w:rsidRPr="00A046C5">
        <w:rPr>
          <w:rFonts w:eastAsia="MS Mincho" w:cs="Calibri"/>
          <w:sz w:val="22"/>
          <w:szCs w:val="22"/>
          <w:lang w:val="en-US"/>
        </w:rPr>
        <w:tab/>
        <w:t xml:space="preserve">It was so </w:t>
      </w:r>
      <w:r w:rsidRPr="00A046C5">
        <w:rPr>
          <w:rFonts w:eastAsia="MS Mincho" w:cs="Calibri"/>
          <w:b/>
          <w:bCs/>
          <w:sz w:val="22"/>
          <w:szCs w:val="22"/>
          <w:lang w:val="en-US"/>
        </w:rPr>
        <w:t>concluded</w:t>
      </w:r>
      <w:r w:rsidRPr="00A046C5">
        <w:rPr>
          <w:rFonts w:eastAsia="MS Mincho" w:cs="Calibri"/>
          <w:sz w:val="22"/>
          <w:szCs w:val="22"/>
          <w:lang w:val="en-US"/>
        </w:rPr>
        <w:t>.</w:t>
      </w:r>
    </w:p>
    <w:p w14:paraId="3E128B9B" w14:textId="77777777" w:rsidR="00A046C5" w:rsidRPr="00A046C5" w:rsidRDefault="00A046C5" w:rsidP="002B43B0">
      <w:pPr>
        <w:tabs>
          <w:tab w:val="clear" w:pos="567"/>
          <w:tab w:val="clear" w:pos="1134"/>
          <w:tab w:val="clear" w:pos="1701"/>
          <w:tab w:val="clear" w:pos="2268"/>
          <w:tab w:val="clear" w:pos="2835"/>
        </w:tabs>
        <w:spacing w:before="360" w:after="120"/>
        <w:ind w:left="794" w:hanging="794"/>
        <w:jc w:val="both"/>
        <w:rPr>
          <w:rFonts w:eastAsia="MS Mincho" w:cs="Calibri"/>
          <w:b/>
          <w:bCs/>
          <w:sz w:val="26"/>
          <w:szCs w:val="26"/>
          <w:lang w:val="en-US"/>
        </w:rPr>
      </w:pPr>
      <w:r w:rsidRPr="00A046C5">
        <w:rPr>
          <w:rFonts w:eastAsia="MS Mincho" w:cs="Calibri"/>
          <w:b/>
          <w:bCs/>
          <w:sz w:val="26"/>
          <w:szCs w:val="26"/>
          <w:lang w:val="en-US"/>
        </w:rPr>
        <w:t>5</w:t>
      </w:r>
      <w:r w:rsidRPr="00A046C5">
        <w:rPr>
          <w:rFonts w:eastAsia="MS Mincho" w:cs="Calibri"/>
          <w:b/>
          <w:bCs/>
          <w:sz w:val="26"/>
          <w:szCs w:val="26"/>
          <w:lang w:val="en-US"/>
        </w:rPr>
        <w:tab/>
        <w:t>Preparations for the Plenipotentiary Conference (Bucharest, 2022)</w:t>
      </w:r>
      <w:r w:rsidRPr="00A046C5">
        <w:rPr>
          <w:rFonts w:eastAsia="MS Mincho" w:cs="Calibri"/>
          <w:sz w:val="26"/>
          <w:szCs w:val="26"/>
          <w:lang w:val="en-US"/>
        </w:rPr>
        <w:t xml:space="preserve"> </w:t>
      </w:r>
      <w:r w:rsidRPr="00A046C5">
        <w:rPr>
          <w:rFonts w:eastAsia="MS Mincho" w:cs="Calibri"/>
          <w:b/>
          <w:bCs/>
          <w:sz w:val="26"/>
          <w:szCs w:val="26"/>
          <w:lang w:val="en-US"/>
        </w:rPr>
        <w:t xml:space="preserve">(Document </w:t>
      </w:r>
      <w:hyperlink r:id="rId19" w:history="1">
        <w:r w:rsidRPr="00A046C5">
          <w:rPr>
            <w:rFonts w:eastAsia="MS Mincho" w:cs="Calibri"/>
            <w:b/>
            <w:bCs/>
            <w:color w:val="0563C1"/>
            <w:sz w:val="26"/>
            <w:szCs w:val="26"/>
            <w:u w:val="single"/>
            <w:lang w:val="en-US" w:eastAsia="en-GB"/>
          </w:rPr>
          <w:t>C21/73</w:t>
        </w:r>
      </w:hyperlink>
      <w:r w:rsidRPr="00A046C5">
        <w:rPr>
          <w:rFonts w:eastAsia="MS Mincho" w:cs="Calibri"/>
          <w:b/>
          <w:bCs/>
          <w:sz w:val="26"/>
          <w:szCs w:val="26"/>
          <w:lang w:val="en-US"/>
        </w:rPr>
        <w:t>)</w:t>
      </w:r>
    </w:p>
    <w:p w14:paraId="688287E8" w14:textId="7B17C3B3"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5.1</w:t>
      </w:r>
      <w:r w:rsidRPr="00A046C5">
        <w:rPr>
          <w:rFonts w:eastAsia="MS Mincho" w:cs="Calibri"/>
          <w:sz w:val="22"/>
          <w:szCs w:val="22"/>
          <w:lang w:val="en-CA"/>
        </w:rPr>
        <w:tab/>
        <w:t xml:space="preserve">H.E. Mr </w:t>
      </w:r>
      <w:proofErr w:type="spellStart"/>
      <w:r w:rsidRPr="00A046C5">
        <w:rPr>
          <w:rFonts w:eastAsia="MS Mincho" w:cs="Calibri"/>
          <w:sz w:val="22"/>
          <w:szCs w:val="22"/>
          <w:lang w:val="en-CA"/>
        </w:rPr>
        <w:t>Ciprian</w:t>
      </w:r>
      <w:proofErr w:type="spellEnd"/>
      <w:r w:rsidRPr="00A046C5">
        <w:rPr>
          <w:rFonts w:eastAsia="MS Mincho" w:cs="Calibri"/>
          <w:sz w:val="22"/>
          <w:szCs w:val="22"/>
          <w:lang w:val="en-CA"/>
        </w:rPr>
        <w:t xml:space="preserve"> Teleman, Minister of Research, Innovation and Digitalization of Romania, addressed the meeting on behalf of his government to provide an update on preparations for the upcoming plenipotentiary conference. He also introduced the conference logo, which in its intricate composition evoked Romanian tradition, the national flag, ICTs, the three distinct Sectors of ITU and the importance of unity at PP-22, and announced that Romania would soon be ready to sign the host-country agreement. His statement is available at:</w:t>
      </w:r>
      <w:r w:rsidR="006445DF">
        <w:rPr>
          <w:rFonts w:eastAsia="MS Mincho" w:cs="Calibri"/>
          <w:sz w:val="22"/>
          <w:szCs w:val="22"/>
          <w:lang w:val="en-CA"/>
        </w:rPr>
        <w:t xml:space="preserve"> </w:t>
      </w:r>
      <w:hyperlink r:id="rId20" w:history="1">
        <w:r w:rsidR="008628BB" w:rsidRPr="003E3F9B">
          <w:rPr>
            <w:rStyle w:val="Hyperlink"/>
            <w:rFonts w:eastAsia="MS Mincho" w:cs="Calibri"/>
            <w:sz w:val="22"/>
            <w:szCs w:val="22"/>
            <w:lang w:val="en-CA"/>
          </w:rPr>
          <w:t>https://www.itu.int/en/council/Documents/2021/VCC1-Romania.pdf</w:t>
        </w:r>
      </w:hyperlink>
      <w:r w:rsidR="006445DF">
        <w:rPr>
          <w:rFonts w:eastAsia="MS Mincho" w:cs="Calibri"/>
          <w:sz w:val="22"/>
          <w:szCs w:val="22"/>
          <w:lang w:val="en-CA"/>
        </w:rPr>
        <w:t>.</w:t>
      </w:r>
    </w:p>
    <w:p w14:paraId="72A4BDDF"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5.2</w:t>
      </w:r>
      <w:r w:rsidRPr="00A046C5">
        <w:rPr>
          <w:rFonts w:eastAsia="MS Mincho" w:cs="Calibri"/>
          <w:sz w:val="22"/>
          <w:szCs w:val="22"/>
          <w:lang w:val="en-CA"/>
        </w:rPr>
        <w:tab/>
        <w:t>A short video was played promoting Romania as a host country and destination.</w:t>
      </w:r>
    </w:p>
    <w:p w14:paraId="3515181C" w14:textId="77777777" w:rsidR="00A046C5" w:rsidRPr="00A046C5" w:rsidRDefault="00A046C5" w:rsidP="002B43B0">
      <w:pPr>
        <w:tabs>
          <w:tab w:val="clear" w:pos="567"/>
          <w:tab w:val="clear" w:pos="1134"/>
          <w:tab w:val="clear" w:pos="1701"/>
          <w:tab w:val="clear" w:pos="2268"/>
          <w:tab w:val="clear" w:pos="2835"/>
        </w:tabs>
        <w:overflowPunct/>
        <w:autoSpaceDE/>
        <w:snapToGrid w:val="0"/>
        <w:spacing w:after="120"/>
        <w:jc w:val="both"/>
        <w:rPr>
          <w:rFonts w:eastAsia="MS Mincho" w:cs="Calibri"/>
          <w:sz w:val="22"/>
          <w:szCs w:val="22"/>
          <w:lang w:val="en-CA"/>
        </w:rPr>
      </w:pPr>
      <w:r w:rsidRPr="00A046C5">
        <w:rPr>
          <w:rFonts w:eastAsia="MS Mincho" w:cs="Calibri"/>
          <w:sz w:val="22"/>
          <w:szCs w:val="22"/>
          <w:lang w:val="en-CA"/>
        </w:rPr>
        <w:t>5.3</w:t>
      </w:r>
      <w:r w:rsidRPr="00A046C5">
        <w:rPr>
          <w:rFonts w:eastAsia="MS Mincho" w:cs="Calibri"/>
          <w:sz w:val="22"/>
          <w:szCs w:val="22"/>
          <w:lang w:val="en-CA"/>
        </w:rPr>
        <w:tab/>
        <w:t>The Secretary-General thanked the minister for his attendance and the impressive video and expressed great appreciation for the PP-22 logo, which wove Romanian tradition into ITU identity. He also thanked the Romanian Government for its tireless work in preparing for a successful conference, to which its readiness to sign the host-country agreement ahead of schedule was testament. For its part, ITU would do its utmost to make the event a landmark in its history.</w:t>
      </w:r>
    </w:p>
    <w:p w14:paraId="054ACD02"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5.4</w:t>
      </w:r>
      <w:r w:rsidRPr="00A046C5">
        <w:rPr>
          <w:rFonts w:eastAsia="MS Mincho" w:cs="Calibri"/>
          <w:sz w:val="22"/>
          <w:szCs w:val="22"/>
          <w:lang w:val="en-US"/>
        </w:rPr>
        <w:tab/>
        <w:t>The Secretary of the meeting, introducing Document C21/73, reported that negotiations on the host-country agreement for the Plenipotentiary Conference (Bucharest, 2022) had been conducted on the basis of the model HCA approved by the Council at its 2007 session, with reference to the agreement concluded for PP-18, and had recently been finalized. The PP-22 invitation letter from the Secretary-General would be sent out one year in advance.</w:t>
      </w:r>
    </w:p>
    <w:p w14:paraId="21A7693F"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5.5</w:t>
      </w:r>
      <w:r w:rsidRPr="00A046C5">
        <w:rPr>
          <w:rFonts w:eastAsia="MS Mincho" w:cs="Calibri"/>
          <w:sz w:val="22"/>
          <w:szCs w:val="22"/>
          <w:lang w:val="en-US"/>
        </w:rPr>
        <w:tab/>
        <w:t>The councillor from Romania, welcoming the progress made, stressed that RTOs had an important collaborative role to play in preparing effectively for the conference and encouraged them to share information to that end.</w:t>
      </w:r>
    </w:p>
    <w:p w14:paraId="2E7D4D1C"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lastRenderedPageBreak/>
        <w:t>5.6</w:t>
      </w:r>
      <w:r w:rsidRPr="00A046C5">
        <w:rPr>
          <w:rFonts w:eastAsia="MS Mincho" w:cs="Calibri"/>
          <w:sz w:val="22"/>
          <w:szCs w:val="22"/>
          <w:lang w:val="en-US"/>
        </w:rPr>
        <w:tab/>
        <w:t>One councillor asked when the PP-22 website would be available, especially in view of its importance to those Member States submitting candidatures for elections. Another asked whether the interregional preparatory meetings planned for 2022 would be held online or in person.</w:t>
      </w:r>
    </w:p>
    <w:p w14:paraId="1803FFFE"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5.7</w:t>
      </w:r>
      <w:r w:rsidRPr="00A046C5">
        <w:rPr>
          <w:rFonts w:eastAsia="MS Mincho" w:cs="Calibri"/>
          <w:sz w:val="22"/>
          <w:szCs w:val="22"/>
          <w:lang w:val="en-US"/>
        </w:rPr>
        <w:tab/>
        <w:t>The Chairman, while acknowledging the importance of the interregional preparatory process, suggested that it might be premature to specify a format, given the experience of recent months and the concerns expressed about the additional burden on Member States and the Union.</w:t>
      </w:r>
    </w:p>
    <w:p w14:paraId="6C807E6D"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5.8</w:t>
      </w:r>
      <w:r w:rsidRPr="00A046C5">
        <w:rPr>
          <w:rFonts w:eastAsia="MS Mincho" w:cs="Calibri"/>
          <w:sz w:val="22"/>
          <w:szCs w:val="22"/>
          <w:lang w:val="en-US"/>
        </w:rPr>
        <w:tab/>
        <w:t>The Secretary of the meeting said that the PP-22 website, which would include dedicated pages on the interregional preparatory process and meetings organized by RTOs, would be ready by the end of the summer. The secretariat would appreciate receiving information on when such meetings would be held. The invitation letter from the Secretary-General would include details of the election process and the call for candidatures for elected officials; curricula vitae, biographies and vision statements for all candidates would be published on the PP-22 website, in accordance with previous practice.</w:t>
      </w:r>
    </w:p>
    <w:p w14:paraId="187EFC8F"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5.9</w:t>
      </w:r>
      <w:r w:rsidRPr="00A046C5">
        <w:rPr>
          <w:rFonts w:eastAsia="MS Mincho" w:cs="Calibri"/>
          <w:sz w:val="22"/>
          <w:szCs w:val="22"/>
          <w:lang w:val="en-US"/>
        </w:rPr>
        <w:tab/>
        <w:t>The Chairman took it that councillors wished to conclude, keeping in mind the fact that the item was urgent, that a consultation by correspondence of Council Member States would be undertaken to note the current status of the preparations for PP-22 and to endorse the proposed schedule of interregional meetings contained in Document C21/73.</w:t>
      </w:r>
    </w:p>
    <w:p w14:paraId="5AABAF39"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5.10</w:t>
      </w:r>
      <w:r w:rsidRPr="00A046C5">
        <w:rPr>
          <w:rFonts w:eastAsia="MS Mincho" w:cs="Calibri"/>
          <w:sz w:val="22"/>
          <w:szCs w:val="22"/>
          <w:lang w:val="en-US"/>
        </w:rPr>
        <w:tab/>
        <w:t xml:space="preserve">It was so </w:t>
      </w:r>
      <w:r w:rsidRPr="00A046C5">
        <w:rPr>
          <w:rFonts w:eastAsia="MS Mincho" w:cs="Calibri"/>
          <w:b/>
          <w:bCs/>
          <w:sz w:val="22"/>
          <w:szCs w:val="22"/>
          <w:lang w:val="en-US"/>
        </w:rPr>
        <w:t>concluded</w:t>
      </w:r>
      <w:r w:rsidRPr="00A046C5">
        <w:rPr>
          <w:rFonts w:eastAsia="MS Mincho" w:cs="Calibri"/>
          <w:sz w:val="22"/>
          <w:szCs w:val="22"/>
          <w:lang w:val="en-US"/>
        </w:rPr>
        <w:t>.</w:t>
      </w:r>
    </w:p>
    <w:p w14:paraId="21961DD5" w14:textId="477DABE2" w:rsidR="00A046C5" w:rsidRPr="00A046C5" w:rsidRDefault="00A046C5" w:rsidP="002B43B0">
      <w:pPr>
        <w:tabs>
          <w:tab w:val="clear" w:pos="567"/>
          <w:tab w:val="clear" w:pos="1134"/>
          <w:tab w:val="clear" w:pos="1701"/>
          <w:tab w:val="clear" w:pos="2268"/>
          <w:tab w:val="clear" w:pos="2835"/>
        </w:tabs>
        <w:spacing w:before="360" w:after="120"/>
        <w:ind w:left="794" w:hanging="794"/>
        <w:jc w:val="both"/>
        <w:rPr>
          <w:rFonts w:eastAsia="MS Mincho" w:cs="Calibri"/>
          <w:sz w:val="26"/>
          <w:szCs w:val="26"/>
          <w:lang w:val="en-US"/>
        </w:rPr>
      </w:pPr>
      <w:r w:rsidRPr="00A046C5">
        <w:rPr>
          <w:rFonts w:eastAsia="MS Mincho" w:cs="Calibri"/>
          <w:b/>
          <w:sz w:val="26"/>
          <w:szCs w:val="26"/>
          <w:lang w:val="en-US"/>
        </w:rPr>
        <w:t>6</w:t>
      </w:r>
      <w:r w:rsidRPr="00A046C5">
        <w:rPr>
          <w:rFonts w:eastAsia="MS Mincho" w:cs="Calibri"/>
          <w:b/>
          <w:sz w:val="26"/>
          <w:szCs w:val="26"/>
          <w:lang w:val="en-US"/>
        </w:rPr>
        <w:tab/>
      </w:r>
      <w:r w:rsidRPr="00A046C5">
        <w:rPr>
          <w:rFonts w:eastAsia="Times New Roman" w:cs="Calibri"/>
          <w:b/>
          <w:sz w:val="26"/>
          <w:szCs w:val="26"/>
          <w:lang w:val="en-US" w:eastAsia="en-GB"/>
        </w:rPr>
        <w:t>Implementation of PP-18 recommendations on ITU electoral processes</w:t>
      </w:r>
      <w:r w:rsidR="00A830E3">
        <w:rPr>
          <w:rFonts w:eastAsia="Times New Roman" w:cs="Calibri"/>
          <w:b/>
          <w:sz w:val="26"/>
          <w:szCs w:val="26"/>
          <w:lang w:val="en-US" w:eastAsia="en-GB"/>
        </w:rPr>
        <w:br/>
      </w:r>
      <w:r w:rsidRPr="00A046C5">
        <w:rPr>
          <w:rFonts w:eastAsia="Times New Roman" w:cs="Calibri"/>
          <w:b/>
          <w:sz w:val="26"/>
          <w:szCs w:val="26"/>
          <w:lang w:val="en-US" w:eastAsia="en-GB"/>
        </w:rPr>
        <w:t>(Document </w:t>
      </w:r>
      <w:hyperlink r:id="rId21" w:history="1">
        <w:r w:rsidRPr="00A046C5">
          <w:rPr>
            <w:rFonts w:eastAsia="Times New Roman" w:cs="Calibri"/>
            <w:b/>
            <w:color w:val="0563C1"/>
            <w:sz w:val="26"/>
            <w:szCs w:val="26"/>
            <w:u w:val="single"/>
            <w:lang w:val="en-US" w:eastAsia="en-GB"/>
          </w:rPr>
          <w:t>C21/4(Rev.1)</w:t>
        </w:r>
      </w:hyperlink>
      <w:r w:rsidRPr="00A046C5">
        <w:rPr>
          <w:rFonts w:eastAsia="Times New Roman" w:cs="Calibri"/>
          <w:b/>
          <w:sz w:val="26"/>
          <w:szCs w:val="26"/>
          <w:lang w:val="en-US" w:eastAsia="en-GB"/>
        </w:rPr>
        <w:t>)</w:t>
      </w:r>
    </w:p>
    <w:p w14:paraId="17034B99"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6.1</w:t>
      </w:r>
      <w:r w:rsidRPr="00A046C5">
        <w:rPr>
          <w:rFonts w:eastAsia="MS Mincho" w:cs="Calibri"/>
          <w:sz w:val="22"/>
          <w:szCs w:val="22"/>
          <w:lang w:val="en-US"/>
        </w:rPr>
        <w:tab/>
        <w:t xml:space="preserve">The Secretary of the meeting introduced Document C21/4(Rev.1), outlining the evolution of ITU electoral processes since PP-14. The document had originally been submitted to the Council in 2020 but had not been reviewed. Since the topic of revision of electoral processes had been raised repeatedly over a number of years, with no agreement reached, it was suggested that the matter should be addressed in a more structured and holistic manner, driven by Member States, through the establishment of a dedicated group to formulate suggestions for Council approval. Given the particularly short time-frame before the opening of candidatures for elections at PP-22, it was proposed that the guidelines on ethical aspects of certain campaign activities be applied. </w:t>
      </w:r>
    </w:p>
    <w:p w14:paraId="7477F08A"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6.2</w:t>
      </w:r>
      <w:r w:rsidRPr="00A046C5">
        <w:rPr>
          <w:rFonts w:eastAsia="MS Mincho" w:cs="Calibri"/>
          <w:sz w:val="22"/>
          <w:szCs w:val="22"/>
          <w:lang w:val="en-US"/>
        </w:rPr>
        <w:tab/>
        <w:t xml:space="preserve">Councillors welcomed the report and the efforts to improve electoral processes, and agreed that the guidelines on ethical aspects of certain campaign activities be re-endorsed, so as to be applied to the elections scheduled to take place at PP-22. An effective supervision mechanism was required to ensure that the guidelines were adhered to at all times and by all involved. Particular consideration should be given to the conditions for candidates’ hearings to ensure absolute equality between candidates that were and were not ITU staff members. Regarding staff candidates for elected posts, the Staff Regulations and Staff Rules must be applied to the letter, in particular in respect of special leave prior to hearings and elections. </w:t>
      </w:r>
    </w:p>
    <w:p w14:paraId="3853D4AC"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6.3</w:t>
      </w:r>
      <w:r w:rsidRPr="00A046C5">
        <w:rPr>
          <w:rFonts w:eastAsia="MS Mincho" w:cs="Calibri"/>
          <w:sz w:val="22"/>
          <w:szCs w:val="22"/>
          <w:lang w:val="en-US"/>
        </w:rPr>
        <w:tab/>
        <w:t>While some councillors supported the recommendation to establish a dedicated group to formulate proposals for the revision to electoral processes, others were reticent and requested more information about the proposed structure, objectives and purpose of the group. One councillor suggested that existing Council working groups could be mandated to look into different aspects of electoral processes, rather than setting up a new group specifically for that task.</w:t>
      </w:r>
    </w:p>
    <w:p w14:paraId="03128BC0"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6.4</w:t>
      </w:r>
      <w:r w:rsidRPr="00A046C5">
        <w:rPr>
          <w:rFonts w:eastAsia="MS Mincho" w:cs="Calibri"/>
          <w:sz w:val="22"/>
          <w:szCs w:val="22"/>
          <w:lang w:val="en-US"/>
        </w:rPr>
        <w:tab/>
        <w:t>The Chairman took it that councillors wished to conclude that, keeping in mind that the item was urgent, a consultation by correspondence of Council Member States would be undertaken to note Document C21/73, request the Council to submit Document C21/73 to the PP for further discussion, and re-endorse for PP-22 the guidelines contained in Annex 3 on ethical aspects of certain campaign activities.</w:t>
      </w:r>
    </w:p>
    <w:p w14:paraId="7988003D"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6.5</w:t>
      </w:r>
      <w:r w:rsidRPr="00A046C5">
        <w:rPr>
          <w:rFonts w:eastAsia="MS Mincho" w:cs="Calibri"/>
          <w:sz w:val="22"/>
          <w:szCs w:val="22"/>
          <w:lang w:val="en-US"/>
        </w:rPr>
        <w:tab/>
        <w:t xml:space="preserve">It was so </w:t>
      </w:r>
      <w:r w:rsidRPr="00A046C5">
        <w:rPr>
          <w:rFonts w:eastAsia="MS Mincho" w:cs="Calibri"/>
          <w:b/>
          <w:sz w:val="22"/>
          <w:szCs w:val="22"/>
          <w:lang w:val="en-US"/>
        </w:rPr>
        <w:t>concluded</w:t>
      </w:r>
      <w:r w:rsidRPr="00A046C5">
        <w:rPr>
          <w:rFonts w:eastAsia="MS Mincho" w:cs="Calibri"/>
          <w:sz w:val="22"/>
          <w:szCs w:val="22"/>
          <w:lang w:val="en-US"/>
        </w:rPr>
        <w:t>.</w:t>
      </w:r>
    </w:p>
    <w:p w14:paraId="108D9DB8" w14:textId="77777777" w:rsidR="00A046C5" w:rsidRPr="00A046C5" w:rsidRDefault="00A046C5" w:rsidP="002B43B0">
      <w:pPr>
        <w:tabs>
          <w:tab w:val="clear" w:pos="567"/>
          <w:tab w:val="clear" w:pos="1134"/>
          <w:tab w:val="clear" w:pos="1701"/>
          <w:tab w:val="clear" w:pos="2268"/>
          <w:tab w:val="clear" w:pos="2835"/>
        </w:tabs>
        <w:spacing w:before="360" w:after="120"/>
        <w:jc w:val="both"/>
        <w:rPr>
          <w:rFonts w:eastAsia="MS Mincho" w:cs="Calibri"/>
          <w:b/>
          <w:sz w:val="26"/>
          <w:szCs w:val="26"/>
          <w:lang w:val="en-US"/>
        </w:rPr>
      </w:pPr>
      <w:r w:rsidRPr="00A046C5">
        <w:rPr>
          <w:rFonts w:eastAsia="MS Mincho" w:cs="Calibri"/>
          <w:b/>
          <w:sz w:val="26"/>
          <w:szCs w:val="26"/>
          <w:lang w:val="en-US"/>
        </w:rPr>
        <w:lastRenderedPageBreak/>
        <w:t>7</w:t>
      </w:r>
      <w:r w:rsidRPr="00A046C5">
        <w:rPr>
          <w:rFonts w:eastAsia="MS Mincho" w:cs="Calibri"/>
          <w:b/>
          <w:sz w:val="26"/>
          <w:szCs w:val="26"/>
          <w:lang w:val="en-US"/>
        </w:rPr>
        <w:tab/>
        <w:t>Draft budget of the Union for 2022-2023 (Document</w:t>
      </w:r>
      <w:r w:rsidRPr="00A046C5">
        <w:rPr>
          <w:rFonts w:eastAsia="MS Mincho" w:cs="Calibri"/>
          <w:sz w:val="26"/>
          <w:szCs w:val="26"/>
          <w:lang w:val="en-US"/>
        </w:rPr>
        <w:t> </w:t>
      </w:r>
      <w:hyperlink r:id="rId22" w:history="1">
        <w:r w:rsidRPr="00123167">
          <w:rPr>
            <w:rFonts w:eastAsia="Times New Roman" w:cs="Calibri"/>
            <w:b/>
            <w:bCs/>
            <w:color w:val="0563C1"/>
            <w:sz w:val="26"/>
            <w:szCs w:val="26"/>
            <w:u w:val="single"/>
            <w:lang w:val="en-US" w:eastAsia="en-GB"/>
          </w:rPr>
          <w:t>C21/65 + Addendum 1</w:t>
        </w:r>
      </w:hyperlink>
      <w:r w:rsidRPr="00A046C5">
        <w:rPr>
          <w:rFonts w:eastAsia="MS Mincho" w:cs="Calibri"/>
          <w:b/>
          <w:sz w:val="26"/>
          <w:szCs w:val="26"/>
          <w:lang w:val="en-US"/>
        </w:rPr>
        <w:t>)</w:t>
      </w:r>
    </w:p>
    <w:p w14:paraId="23E862CE"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b/>
          <w:sz w:val="26"/>
          <w:szCs w:val="26"/>
          <w:lang w:val="en-US"/>
        </w:rPr>
      </w:pPr>
      <w:r w:rsidRPr="00A046C5">
        <w:rPr>
          <w:rFonts w:eastAsia="MS Mincho" w:cs="Calibri"/>
          <w:sz w:val="22"/>
          <w:szCs w:val="22"/>
          <w:lang w:val="en-US"/>
        </w:rPr>
        <w:t>7.1</w:t>
      </w:r>
      <w:r w:rsidRPr="00A046C5">
        <w:rPr>
          <w:rFonts w:eastAsia="MS Mincho" w:cs="Calibri"/>
          <w:sz w:val="22"/>
          <w:szCs w:val="22"/>
          <w:lang w:val="en-US"/>
        </w:rPr>
        <w:tab/>
        <w:t xml:space="preserve">The Chief of the Financial Resources Management Department (FRMD) introduced Document C21/65 containing the draft biennial budget of the Union for 2022-2023. </w:t>
      </w:r>
    </w:p>
    <w:p w14:paraId="25232CD7"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7.2</w:t>
      </w:r>
      <w:r w:rsidRPr="00A046C5">
        <w:rPr>
          <w:rFonts w:eastAsia="MS Mincho" w:cs="Calibri"/>
          <w:sz w:val="22"/>
          <w:szCs w:val="22"/>
          <w:lang w:val="en-US"/>
        </w:rPr>
        <w:tab/>
        <w:t xml:space="preserve">The draft budget for 2022-2023 had been prepared on the basis of the strategic plan (PP Resolution 71) and the financial plan (PP Decision 5). Expenses and revenue were balanced at CHF 325.16 million, based on zero nominal growth in the contributory unit. The budget was CHF 5.4 million lower than the 2020-2021 budget, representing a decrease of CHF -0.9 million in real terms. As in previous budgets, a 5 per cent vacancy rate had been applied to all posts (except for elected official posts). The draft 2022-2023 budget showed the same number of posts as the 2020-2021 updated budget. The Council was requested </w:t>
      </w:r>
      <w:r w:rsidRPr="00A046C5">
        <w:rPr>
          <w:rFonts w:eastAsia="MS Mincho" w:cs="Calibri"/>
          <w:bCs/>
          <w:sz w:val="22"/>
          <w:szCs w:val="22"/>
          <w:lang w:val="en-US"/>
        </w:rPr>
        <w:t>to review</w:t>
      </w:r>
      <w:r w:rsidRPr="00A046C5">
        <w:rPr>
          <w:rFonts w:eastAsia="MS Mincho" w:cs="Calibri"/>
          <w:sz w:val="22"/>
          <w:szCs w:val="22"/>
          <w:lang w:val="en-US"/>
        </w:rPr>
        <w:t xml:space="preserve"> the draft budget and </w:t>
      </w:r>
      <w:r w:rsidRPr="00A046C5">
        <w:rPr>
          <w:rFonts w:eastAsia="MS Mincho" w:cs="Calibri"/>
          <w:bCs/>
          <w:sz w:val="22"/>
          <w:szCs w:val="22"/>
          <w:lang w:val="en-US"/>
        </w:rPr>
        <w:t>approve</w:t>
      </w:r>
      <w:r w:rsidRPr="00A046C5">
        <w:rPr>
          <w:rFonts w:eastAsia="MS Mincho" w:cs="Calibri"/>
          <w:sz w:val="22"/>
          <w:szCs w:val="22"/>
          <w:lang w:val="en-US"/>
        </w:rPr>
        <w:t xml:space="preserve"> the draft resolution set out in Part 3 of Document C21/65.</w:t>
      </w:r>
    </w:p>
    <w:p w14:paraId="517BE9D4"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7.3</w:t>
      </w:r>
      <w:r w:rsidRPr="00A046C5">
        <w:rPr>
          <w:rFonts w:eastAsia="MS Mincho" w:cs="Calibri"/>
          <w:sz w:val="22"/>
          <w:szCs w:val="22"/>
          <w:lang w:val="en-US"/>
        </w:rPr>
        <w:tab/>
        <w:t>Councillors welcomed the draft budget. Clarification was requested with regard to how unfunded mandatory activities were accounted for. In view of the decline in contributions from Sector Members, the attractiveness of ITU should be strengthened, in order to identify more diverse potential sources of funding. One councillor requested confirmation that the recommendations of the International Civil Service Commission with regard to staffing had been reflected in the draft budget. With a view to increasing accountability and transparency, it would be useful to have as many indicators as possible for the budget outputs. Lastly, adequate budgetary provisions should be made for strengthening ITU’s regional presence, in particular the Regional Office for CIS; and for the translation services, for whom the burden of work had become particularly heavy during the COVID-19 pandemic.</w:t>
      </w:r>
    </w:p>
    <w:p w14:paraId="19C64CEC" w14:textId="4F86B646"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7.4</w:t>
      </w:r>
      <w:r w:rsidRPr="00A046C5">
        <w:rPr>
          <w:rFonts w:eastAsia="MS Mincho" w:cs="Calibri"/>
          <w:sz w:val="22"/>
          <w:szCs w:val="22"/>
          <w:lang w:val="en-US"/>
        </w:rPr>
        <w:tab/>
        <w:t>One councillor asked, with regard to the Addendum to the document, why the options for the future of ITU Telecom events as proposed by the Dalberg consultancy firm, which had been presented at the previous VCC, ha</w:t>
      </w:r>
      <w:r w:rsidR="001560A4">
        <w:rPr>
          <w:rFonts w:eastAsia="MS Mincho" w:cs="Calibri"/>
          <w:sz w:val="22"/>
          <w:szCs w:val="22"/>
          <w:lang w:val="en-US"/>
        </w:rPr>
        <w:t>s</w:t>
      </w:r>
      <w:r w:rsidRPr="00A046C5">
        <w:rPr>
          <w:rFonts w:eastAsia="MS Mincho" w:cs="Calibri"/>
          <w:sz w:val="22"/>
          <w:szCs w:val="22"/>
          <w:lang w:val="en-US"/>
        </w:rPr>
        <w:t xml:space="preserve"> not been taken into consideration. He requested clarification on the status of that report and the implementation of its recommendations.</w:t>
      </w:r>
    </w:p>
    <w:p w14:paraId="6781CA94" w14:textId="37AF7499"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7.5</w:t>
      </w:r>
      <w:r w:rsidRPr="00A046C5">
        <w:rPr>
          <w:rFonts w:eastAsia="MS Mincho" w:cs="Calibri"/>
          <w:sz w:val="22"/>
          <w:szCs w:val="22"/>
          <w:lang w:val="en-US"/>
        </w:rPr>
        <w:tab/>
        <w:t xml:space="preserve">The Chief of FRMD, responding to comments raised, </w:t>
      </w:r>
      <w:r w:rsidR="006363BE">
        <w:rPr>
          <w:rFonts w:eastAsia="MS Mincho" w:cs="Calibri"/>
          <w:sz w:val="22"/>
          <w:szCs w:val="22"/>
          <w:lang w:val="en-US"/>
        </w:rPr>
        <w:t>highlighted</w:t>
      </w:r>
      <w:r w:rsidRPr="00A046C5">
        <w:rPr>
          <w:rFonts w:eastAsia="MS Mincho" w:cs="Calibri"/>
          <w:sz w:val="22"/>
          <w:szCs w:val="22"/>
          <w:lang w:val="en-US"/>
        </w:rPr>
        <w:t xml:space="preserve"> that the ITU Telecom budget in the addendum </w:t>
      </w:r>
      <w:r w:rsidR="006363BE">
        <w:rPr>
          <w:rFonts w:eastAsia="MS Mincho" w:cs="Calibri"/>
          <w:sz w:val="22"/>
          <w:szCs w:val="22"/>
          <w:lang w:val="en-US"/>
        </w:rPr>
        <w:t>was</w:t>
      </w:r>
      <w:r w:rsidRPr="00A046C5">
        <w:rPr>
          <w:rFonts w:eastAsia="MS Mincho" w:cs="Calibri"/>
          <w:sz w:val="22"/>
          <w:szCs w:val="22"/>
          <w:lang w:val="en-US"/>
        </w:rPr>
        <w:t xml:space="preserve"> presented for information only. The future of ITU Telecom </w:t>
      </w:r>
      <w:r w:rsidR="006363BE">
        <w:rPr>
          <w:rFonts w:eastAsia="MS Mincho" w:cs="Calibri"/>
          <w:sz w:val="22"/>
          <w:szCs w:val="22"/>
          <w:lang w:val="en-US"/>
        </w:rPr>
        <w:t xml:space="preserve">events </w:t>
      </w:r>
      <w:r w:rsidRPr="00A046C5">
        <w:rPr>
          <w:rFonts w:eastAsia="MS Mincho" w:cs="Calibri"/>
          <w:sz w:val="22"/>
          <w:szCs w:val="22"/>
          <w:lang w:val="en-US"/>
        </w:rPr>
        <w:t xml:space="preserve">and the outcome of the Dalberg report </w:t>
      </w:r>
      <w:r w:rsidR="006363BE">
        <w:rPr>
          <w:rFonts w:eastAsia="MS Mincho" w:cs="Calibri"/>
          <w:sz w:val="22"/>
          <w:szCs w:val="22"/>
          <w:lang w:val="en-US"/>
        </w:rPr>
        <w:t>are</w:t>
      </w:r>
      <w:r w:rsidR="006363BE" w:rsidRPr="00A046C5">
        <w:rPr>
          <w:rFonts w:eastAsia="MS Mincho" w:cs="Calibri"/>
          <w:sz w:val="22"/>
          <w:szCs w:val="22"/>
          <w:lang w:val="en-US"/>
        </w:rPr>
        <w:t xml:space="preserve"> </w:t>
      </w:r>
      <w:r w:rsidRPr="00A046C5">
        <w:rPr>
          <w:rFonts w:eastAsia="MS Mincho" w:cs="Calibri"/>
          <w:sz w:val="22"/>
          <w:szCs w:val="22"/>
          <w:lang w:val="en-US"/>
        </w:rPr>
        <w:t xml:space="preserve">covered under </w:t>
      </w:r>
      <w:r w:rsidR="006363BE">
        <w:rPr>
          <w:rFonts w:eastAsia="MS Mincho" w:cs="Calibri"/>
          <w:sz w:val="22"/>
          <w:szCs w:val="22"/>
          <w:lang w:val="en-US"/>
        </w:rPr>
        <w:t>the forthcoming</w:t>
      </w:r>
      <w:r w:rsidR="006363BE" w:rsidRPr="00A046C5">
        <w:rPr>
          <w:rFonts w:eastAsia="MS Mincho" w:cs="Calibri"/>
          <w:sz w:val="22"/>
          <w:szCs w:val="22"/>
          <w:lang w:val="en-US"/>
        </w:rPr>
        <w:t xml:space="preserve"> </w:t>
      </w:r>
      <w:r w:rsidRPr="00A046C5">
        <w:rPr>
          <w:rFonts w:eastAsia="MS Mincho" w:cs="Calibri"/>
          <w:sz w:val="22"/>
          <w:szCs w:val="22"/>
          <w:lang w:val="en-US"/>
        </w:rPr>
        <w:t xml:space="preserve">agenda items. </w:t>
      </w:r>
      <w:r w:rsidR="006363BE">
        <w:rPr>
          <w:rFonts w:eastAsia="MS Mincho" w:cs="Calibri"/>
          <w:sz w:val="22"/>
          <w:szCs w:val="22"/>
          <w:lang w:val="en-US"/>
        </w:rPr>
        <w:t>With</w:t>
      </w:r>
      <w:r w:rsidR="006363BE" w:rsidRPr="00A046C5">
        <w:rPr>
          <w:rFonts w:eastAsia="MS Mincho" w:cs="Calibri"/>
          <w:sz w:val="22"/>
          <w:szCs w:val="22"/>
          <w:lang w:val="en-US"/>
        </w:rPr>
        <w:t xml:space="preserve"> </w:t>
      </w:r>
      <w:r w:rsidRPr="00A046C5">
        <w:rPr>
          <w:rFonts w:eastAsia="MS Mincho" w:cs="Calibri"/>
          <w:sz w:val="22"/>
          <w:szCs w:val="22"/>
          <w:lang w:val="en-US"/>
        </w:rPr>
        <w:t>re</w:t>
      </w:r>
      <w:r w:rsidR="006363BE">
        <w:rPr>
          <w:rFonts w:eastAsia="MS Mincho" w:cs="Calibri"/>
          <w:sz w:val="22"/>
          <w:szCs w:val="22"/>
          <w:lang w:val="en-US"/>
        </w:rPr>
        <w:t>gard</w:t>
      </w:r>
      <w:r w:rsidRPr="00A046C5">
        <w:rPr>
          <w:rFonts w:eastAsia="MS Mincho" w:cs="Calibri"/>
          <w:sz w:val="22"/>
          <w:szCs w:val="22"/>
          <w:lang w:val="en-US"/>
        </w:rPr>
        <w:t xml:space="preserve"> </w:t>
      </w:r>
      <w:r w:rsidR="006363BE">
        <w:rPr>
          <w:rFonts w:eastAsia="MS Mincho" w:cs="Calibri"/>
          <w:sz w:val="22"/>
          <w:szCs w:val="22"/>
          <w:lang w:val="en-US"/>
        </w:rPr>
        <w:t>to</w:t>
      </w:r>
      <w:r w:rsidRPr="00A046C5">
        <w:rPr>
          <w:rFonts w:eastAsia="MS Mincho" w:cs="Calibri"/>
          <w:sz w:val="22"/>
          <w:szCs w:val="22"/>
          <w:lang w:val="en-US"/>
        </w:rPr>
        <w:t xml:space="preserve"> unfunded mandatory activities, Document C21/49 and accompanying </w:t>
      </w:r>
      <w:r w:rsidR="006363BE">
        <w:rPr>
          <w:rFonts w:eastAsia="MS Mincho" w:cs="Calibri"/>
          <w:sz w:val="22"/>
          <w:szCs w:val="22"/>
          <w:lang w:val="en-US"/>
        </w:rPr>
        <w:t>related</w:t>
      </w:r>
      <w:r w:rsidR="006363BE" w:rsidRPr="00A046C5">
        <w:rPr>
          <w:rFonts w:eastAsia="MS Mincho" w:cs="Calibri"/>
          <w:sz w:val="22"/>
          <w:szCs w:val="22"/>
          <w:lang w:val="en-US"/>
        </w:rPr>
        <w:t xml:space="preserve"> </w:t>
      </w:r>
      <w:r w:rsidRPr="00A046C5">
        <w:rPr>
          <w:rFonts w:eastAsia="MS Mincho" w:cs="Calibri"/>
          <w:sz w:val="22"/>
          <w:szCs w:val="22"/>
          <w:lang w:val="en-US"/>
        </w:rPr>
        <w:t xml:space="preserve">documents, </w:t>
      </w:r>
      <w:r w:rsidR="006363BE">
        <w:rPr>
          <w:rFonts w:eastAsia="MS Mincho" w:cs="Calibri"/>
          <w:sz w:val="22"/>
          <w:szCs w:val="22"/>
          <w:lang w:val="en-US"/>
        </w:rPr>
        <w:t>will be presented</w:t>
      </w:r>
      <w:r w:rsidRPr="00A046C5">
        <w:rPr>
          <w:rFonts w:eastAsia="MS Mincho" w:cs="Calibri"/>
          <w:sz w:val="22"/>
          <w:szCs w:val="22"/>
          <w:lang w:val="en-US"/>
        </w:rPr>
        <w:t xml:space="preserve"> later in the session</w:t>
      </w:r>
      <w:r w:rsidR="006363BE">
        <w:rPr>
          <w:rFonts w:eastAsia="MS Mincho" w:cs="Calibri"/>
          <w:sz w:val="22"/>
          <w:szCs w:val="22"/>
          <w:lang w:val="en-US"/>
        </w:rPr>
        <w:t>.</w:t>
      </w:r>
      <w:r w:rsidRPr="00A046C5">
        <w:rPr>
          <w:rFonts w:eastAsia="MS Mincho" w:cs="Calibri"/>
          <w:sz w:val="22"/>
          <w:szCs w:val="22"/>
          <w:lang w:val="en-US"/>
        </w:rPr>
        <w:t xml:space="preserve"> </w:t>
      </w:r>
      <w:r w:rsidR="006363BE">
        <w:rPr>
          <w:rFonts w:eastAsia="MS Mincho" w:cs="Calibri"/>
          <w:sz w:val="22"/>
          <w:szCs w:val="22"/>
          <w:lang w:val="en-US"/>
        </w:rPr>
        <w:t>S</w:t>
      </w:r>
      <w:r w:rsidRPr="00A046C5">
        <w:rPr>
          <w:rFonts w:eastAsia="MS Mincho" w:cs="Calibri"/>
          <w:sz w:val="22"/>
          <w:szCs w:val="22"/>
          <w:lang w:val="en-US"/>
        </w:rPr>
        <w:t xml:space="preserve">ome </w:t>
      </w:r>
      <w:r w:rsidR="006363BE">
        <w:rPr>
          <w:rFonts w:eastAsia="MS Mincho" w:cs="Calibri"/>
          <w:sz w:val="22"/>
          <w:szCs w:val="22"/>
          <w:lang w:val="en-US"/>
        </w:rPr>
        <w:t xml:space="preserve">of these </w:t>
      </w:r>
      <w:r w:rsidRPr="00A046C5">
        <w:rPr>
          <w:rFonts w:eastAsia="MS Mincho" w:cs="Calibri"/>
          <w:sz w:val="22"/>
          <w:szCs w:val="22"/>
          <w:lang w:val="en-US"/>
        </w:rPr>
        <w:t xml:space="preserve">activities had been requested after the adoption of the current financial plan, and therefore </w:t>
      </w:r>
      <w:r w:rsidR="006363BE" w:rsidRPr="00A046C5">
        <w:rPr>
          <w:rFonts w:eastAsia="MS Mincho" w:cs="Calibri"/>
          <w:sz w:val="22"/>
          <w:szCs w:val="22"/>
          <w:lang w:val="en-US"/>
        </w:rPr>
        <w:t xml:space="preserve">could </w:t>
      </w:r>
      <w:r w:rsidRPr="00A046C5">
        <w:rPr>
          <w:rFonts w:eastAsia="MS Mincho" w:cs="Calibri"/>
          <w:sz w:val="22"/>
          <w:szCs w:val="22"/>
          <w:lang w:val="en-US"/>
        </w:rPr>
        <w:t>not be reflected in the budget for 2022</w:t>
      </w:r>
      <w:r w:rsidR="00A830E3">
        <w:rPr>
          <w:rFonts w:eastAsia="MS Mincho" w:cs="Calibri"/>
          <w:sz w:val="22"/>
          <w:szCs w:val="22"/>
          <w:lang w:val="en-US"/>
        </w:rPr>
        <w:t>-</w:t>
      </w:r>
      <w:r w:rsidRPr="00A046C5">
        <w:rPr>
          <w:rFonts w:eastAsia="MS Mincho" w:cs="Calibri"/>
          <w:sz w:val="22"/>
          <w:szCs w:val="22"/>
          <w:lang w:val="en-US"/>
        </w:rPr>
        <w:t>2023.</w:t>
      </w:r>
    </w:p>
    <w:p w14:paraId="79458F97" w14:textId="7294FE1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 xml:space="preserve">7.6 </w:t>
      </w:r>
      <w:r w:rsidRPr="00A046C5">
        <w:rPr>
          <w:rFonts w:eastAsia="MS Mincho" w:cs="Calibri"/>
          <w:sz w:val="22"/>
          <w:szCs w:val="22"/>
          <w:lang w:val="en-US"/>
        </w:rPr>
        <w:tab/>
        <w:t xml:space="preserve">The effects of the fall in the number of Sector Members had been largely offset by the introduction of a new contributing category, </w:t>
      </w:r>
      <w:r w:rsidR="006363BE">
        <w:rPr>
          <w:rFonts w:eastAsia="MS Mincho" w:cs="Calibri"/>
          <w:sz w:val="22"/>
          <w:szCs w:val="22"/>
          <w:lang w:val="en-US"/>
        </w:rPr>
        <w:t xml:space="preserve">the </w:t>
      </w:r>
      <w:r w:rsidRPr="00A046C5">
        <w:rPr>
          <w:rFonts w:eastAsia="MS Mincho" w:cs="Calibri"/>
          <w:sz w:val="22"/>
          <w:szCs w:val="22"/>
          <w:lang w:val="en-US"/>
        </w:rPr>
        <w:t>small and medium-sized enterprises (SMEs), and an increase in the Associate and Academia membership categories</w:t>
      </w:r>
      <w:r w:rsidR="00172DA5">
        <w:rPr>
          <w:rFonts w:eastAsia="MS Mincho" w:cs="Calibri"/>
          <w:sz w:val="22"/>
          <w:szCs w:val="22"/>
          <w:lang w:val="en-US"/>
        </w:rPr>
        <w:t>. Thus, there was no</w:t>
      </w:r>
      <w:r w:rsidRPr="00A046C5">
        <w:rPr>
          <w:rFonts w:eastAsia="MS Mincho" w:cs="Calibri"/>
          <w:sz w:val="22"/>
          <w:szCs w:val="22"/>
          <w:lang w:val="en-US"/>
        </w:rPr>
        <w:t xml:space="preserve"> significant reduction in the </w:t>
      </w:r>
      <w:r w:rsidR="00172DA5">
        <w:rPr>
          <w:rFonts w:eastAsia="MS Mincho" w:cs="Calibri"/>
          <w:sz w:val="22"/>
          <w:szCs w:val="22"/>
          <w:lang w:val="en-US"/>
        </w:rPr>
        <w:t>contributions from these category of members</w:t>
      </w:r>
      <w:r w:rsidRPr="00A046C5">
        <w:rPr>
          <w:rFonts w:eastAsia="MS Mincho" w:cs="Calibri"/>
          <w:sz w:val="22"/>
          <w:szCs w:val="22"/>
          <w:lang w:val="en-US"/>
        </w:rPr>
        <w:t xml:space="preserve">. Every effort </w:t>
      </w:r>
      <w:r w:rsidR="00172DA5">
        <w:rPr>
          <w:rFonts w:eastAsia="MS Mincho" w:cs="Calibri"/>
          <w:sz w:val="22"/>
          <w:szCs w:val="22"/>
          <w:lang w:val="en-US"/>
        </w:rPr>
        <w:t>is</w:t>
      </w:r>
      <w:r w:rsidR="00172DA5" w:rsidRPr="00A046C5">
        <w:rPr>
          <w:rFonts w:eastAsia="MS Mincho" w:cs="Calibri"/>
          <w:sz w:val="22"/>
          <w:szCs w:val="22"/>
          <w:lang w:val="en-US"/>
        </w:rPr>
        <w:t xml:space="preserve"> </w:t>
      </w:r>
      <w:r w:rsidRPr="00A046C5">
        <w:rPr>
          <w:rFonts w:eastAsia="MS Mincho" w:cs="Calibri"/>
          <w:sz w:val="22"/>
          <w:szCs w:val="22"/>
          <w:lang w:val="en-US"/>
        </w:rPr>
        <w:t xml:space="preserve">being made </w:t>
      </w:r>
      <w:r w:rsidR="00172DA5">
        <w:rPr>
          <w:rFonts w:eastAsia="MS Mincho" w:cs="Calibri"/>
          <w:sz w:val="22"/>
          <w:szCs w:val="22"/>
          <w:lang w:val="en-US"/>
        </w:rPr>
        <w:t>by</w:t>
      </w:r>
      <w:r w:rsidRPr="00A046C5">
        <w:rPr>
          <w:rFonts w:eastAsia="MS Mincho" w:cs="Calibri"/>
          <w:sz w:val="22"/>
          <w:szCs w:val="22"/>
          <w:lang w:val="en-US"/>
        </w:rPr>
        <w:t xml:space="preserve"> ITU </w:t>
      </w:r>
      <w:r w:rsidR="00172DA5">
        <w:rPr>
          <w:rFonts w:eastAsia="MS Mincho" w:cs="Calibri"/>
          <w:sz w:val="22"/>
          <w:szCs w:val="22"/>
          <w:lang w:val="en-US"/>
        </w:rPr>
        <w:t xml:space="preserve">to adapt </w:t>
      </w:r>
      <w:r w:rsidRPr="00A046C5">
        <w:rPr>
          <w:rFonts w:eastAsia="MS Mincho" w:cs="Calibri"/>
          <w:sz w:val="22"/>
          <w:szCs w:val="22"/>
          <w:lang w:val="en-US"/>
        </w:rPr>
        <w:t xml:space="preserve">to the changing world, diversify its revenue and ensure that it </w:t>
      </w:r>
      <w:r w:rsidR="00172DA5">
        <w:rPr>
          <w:rFonts w:eastAsia="MS Mincho" w:cs="Calibri"/>
          <w:sz w:val="22"/>
          <w:szCs w:val="22"/>
          <w:lang w:val="en-US"/>
        </w:rPr>
        <w:t>is</w:t>
      </w:r>
      <w:r w:rsidR="00172DA5" w:rsidRPr="00A046C5">
        <w:rPr>
          <w:rFonts w:eastAsia="MS Mincho" w:cs="Calibri"/>
          <w:sz w:val="22"/>
          <w:szCs w:val="22"/>
          <w:lang w:val="en-US"/>
        </w:rPr>
        <w:t xml:space="preserve"> </w:t>
      </w:r>
      <w:r w:rsidRPr="00A046C5">
        <w:rPr>
          <w:rFonts w:eastAsia="MS Mincho" w:cs="Calibri"/>
          <w:sz w:val="22"/>
          <w:szCs w:val="22"/>
          <w:lang w:val="en-US"/>
        </w:rPr>
        <w:t xml:space="preserve">attractive to new businesses, especially those involved with artificial intelligence. </w:t>
      </w:r>
    </w:p>
    <w:p w14:paraId="7CA28F69"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7.7</w:t>
      </w:r>
      <w:r w:rsidRPr="00A046C5">
        <w:rPr>
          <w:rFonts w:eastAsia="MS Mincho" w:cs="Calibri"/>
          <w:sz w:val="22"/>
          <w:szCs w:val="22"/>
          <w:lang w:val="en-US"/>
        </w:rPr>
        <w:tab/>
        <w:t xml:space="preserve">With regard to employment conditions, the ICSC recommendations had been applied since January 2021 and were fully reflected in the draft budget. Consideration would be given to how to improve the indicators, in particular through the relaunched Council Working Group on the strategic and financial plans, which could consider new performance indicators to better reflect the current situation. </w:t>
      </w:r>
    </w:p>
    <w:p w14:paraId="03649D38"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7.8</w:t>
      </w:r>
      <w:r w:rsidRPr="00A046C5">
        <w:rPr>
          <w:rFonts w:eastAsia="MS Mincho" w:cs="Calibri"/>
          <w:sz w:val="22"/>
          <w:szCs w:val="22"/>
          <w:lang w:val="en-US"/>
        </w:rPr>
        <w:tab/>
        <w:t xml:space="preserve">At the proposal of the Chairman, in order to allow time for some important announcements, it was </w:t>
      </w:r>
      <w:r w:rsidRPr="00A046C5">
        <w:rPr>
          <w:rFonts w:eastAsia="MS Mincho" w:cs="Calibri"/>
          <w:b/>
          <w:bCs/>
          <w:sz w:val="22"/>
          <w:szCs w:val="22"/>
          <w:lang w:val="en-US"/>
        </w:rPr>
        <w:t>agreed</w:t>
      </w:r>
      <w:r w:rsidRPr="00A046C5">
        <w:rPr>
          <w:rFonts w:eastAsia="MS Mincho" w:cs="Calibri"/>
          <w:sz w:val="22"/>
          <w:szCs w:val="22"/>
          <w:lang w:val="en-US"/>
        </w:rPr>
        <w:t xml:space="preserve"> to complete the consideration of that agenda item at the following meeting.</w:t>
      </w:r>
    </w:p>
    <w:p w14:paraId="2730B516" w14:textId="77777777" w:rsidR="00A046C5" w:rsidRPr="00A046C5" w:rsidRDefault="00A046C5" w:rsidP="002B43B0">
      <w:pPr>
        <w:tabs>
          <w:tab w:val="clear" w:pos="567"/>
          <w:tab w:val="clear" w:pos="1134"/>
          <w:tab w:val="clear" w:pos="1701"/>
          <w:tab w:val="clear" w:pos="2268"/>
          <w:tab w:val="clear" w:pos="2835"/>
        </w:tabs>
        <w:spacing w:before="360" w:after="120"/>
        <w:ind w:left="794" w:hanging="794"/>
        <w:jc w:val="both"/>
        <w:rPr>
          <w:rFonts w:eastAsia="MS Mincho" w:cs="Calibri"/>
          <w:b/>
          <w:bCs/>
          <w:sz w:val="26"/>
          <w:szCs w:val="26"/>
          <w:lang w:val="en-US"/>
        </w:rPr>
      </w:pPr>
      <w:r w:rsidRPr="00A046C5">
        <w:rPr>
          <w:rFonts w:eastAsia="MS Mincho" w:cs="Calibri"/>
          <w:b/>
          <w:sz w:val="26"/>
          <w:szCs w:val="26"/>
          <w:lang w:val="en-US"/>
        </w:rPr>
        <w:t>8</w:t>
      </w:r>
      <w:r w:rsidRPr="00A046C5">
        <w:rPr>
          <w:rFonts w:eastAsia="MS Mincho" w:cs="Calibri"/>
          <w:b/>
          <w:sz w:val="26"/>
          <w:szCs w:val="26"/>
          <w:lang w:val="en-US"/>
        </w:rPr>
        <w:tab/>
      </w:r>
      <w:r w:rsidRPr="00A830E3">
        <w:rPr>
          <w:rFonts w:eastAsia="MS Mincho" w:cs="Calibri"/>
          <w:b/>
          <w:spacing w:val="-2"/>
          <w:sz w:val="26"/>
          <w:szCs w:val="26"/>
          <w:lang w:val="en-US"/>
        </w:rPr>
        <w:t>Announcements by Member States</w:t>
      </w:r>
      <w:r w:rsidRPr="00A830E3">
        <w:rPr>
          <w:rFonts w:eastAsia="MS Mincho" w:cs="Calibri"/>
          <w:b/>
          <w:bCs/>
          <w:spacing w:val="-2"/>
          <w:sz w:val="26"/>
          <w:szCs w:val="26"/>
          <w:lang w:val="en-US"/>
        </w:rPr>
        <w:t xml:space="preserve"> - Candidatures for elections to be held at PP-22</w:t>
      </w:r>
    </w:p>
    <w:p w14:paraId="129FC92A"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8.1</w:t>
      </w:r>
      <w:r w:rsidRPr="00A046C5">
        <w:rPr>
          <w:rFonts w:eastAsia="MS Mincho" w:cs="Calibri"/>
          <w:sz w:val="22"/>
          <w:szCs w:val="22"/>
          <w:lang w:val="en-US"/>
        </w:rPr>
        <w:tab/>
        <w:t xml:space="preserve">Mr Benjamin </w:t>
      </w:r>
      <w:proofErr w:type="spellStart"/>
      <w:r w:rsidRPr="00A046C5">
        <w:rPr>
          <w:rFonts w:eastAsia="MS Mincho" w:cs="Calibri"/>
          <w:sz w:val="22"/>
          <w:szCs w:val="22"/>
          <w:lang w:val="en-US"/>
        </w:rPr>
        <w:t>Moeling</w:t>
      </w:r>
      <w:proofErr w:type="spellEnd"/>
      <w:r w:rsidRPr="00A046C5">
        <w:rPr>
          <w:rFonts w:eastAsia="MS Mincho" w:cs="Calibri"/>
          <w:sz w:val="22"/>
          <w:szCs w:val="22"/>
          <w:lang w:val="en-US"/>
        </w:rPr>
        <w:t xml:space="preserve">, Chargé </w:t>
      </w:r>
      <w:proofErr w:type="spellStart"/>
      <w:r w:rsidRPr="00A046C5">
        <w:rPr>
          <w:rFonts w:eastAsia="MS Mincho" w:cs="Calibri"/>
          <w:sz w:val="22"/>
          <w:szCs w:val="22"/>
          <w:lang w:val="en-US"/>
        </w:rPr>
        <w:t>d’Affaires</w:t>
      </w:r>
      <w:proofErr w:type="spellEnd"/>
      <w:r w:rsidRPr="00A046C5">
        <w:rPr>
          <w:rFonts w:eastAsia="MS Mincho" w:cs="Calibri"/>
          <w:sz w:val="22"/>
          <w:szCs w:val="22"/>
          <w:lang w:val="en-US"/>
        </w:rPr>
        <w:t xml:space="preserve">, United States Mission to the United Nations and other International Organizations in Geneva, said he wished to announce the United States Administration’s support for the candidacy of </w:t>
      </w:r>
      <w:proofErr w:type="spellStart"/>
      <w:r w:rsidRPr="00A046C5">
        <w:rPr>
          <w:rFonts w:eastAsia="MS Mincho" w:cs="Calibri"/>
          <w:sz w:val="22"/>
          <w:szCs w:val="22"/>
          <w:lang w:val="en-US"/>
        </w:rPr>
        <w:t>Ms</w:t>
      </w:r>
      <w:proofErr w:type="spellEnd"/>
      <w:r w:rsidRPr="00A046C5">
        <w:rPr>
          <w:rFonts w:eastAsia="MS Mincho" w:cs="Calibri"/>
          <w:sz w:val="22"/>
          <w:szCs w:val="22"/>
          <w:lang w:val="en-US"/>
        </w:rPr>
        <w:t> Doreen Bogdan-Martin for the post of ITU Secretary-General, for election at PP-22. He also announced that the United States would stand for re-election to the ITU Council.</w:t>
      </w:r>
    </w:p>
    <w:p w14:paraId="16F4FE44" w14:textId="52E891B8" w:rsidR="00A046C5" w:rsidRPr="00A046C5" w:rsidRDefault="00A046C5" w:rsidP="006445DF">
      <w:pPr>
        <w:tabs>
          <w:tab w:val="clear" w:pos="567"/>
          <w:tab w:val="clear" w:pos="1134"/>
          <w:tab w:val="clear" w:pos="1701"/>
          <w:tab w:val="clear" w:pos="2268"/>
          <w:tab w:val="clear" w:pos="2835"/>
        </w:tabs>
        <w:spacing w:after="120"/>
        <w:rPr>
          <w:rFonts w:eastAsia="MS Mincho" w:cs="Calibri"/>
          <w:sz w:val="22"/>
          <w:szCs w:val="22"/>
          <w:lang w:val="en-US"/>
        </w:rPr>
      </w:pPr>
      <w:r w:rsidRPr="00A046C5">
        <w:rPr>
          <w:rFonts w:eastAsia="MS Mincho" w:cs="Calibri"/>
          <w:sz w:val="22"/>
          <w:szCs w:val="22"/>
          <w:lang w:val="en-US"/>
        </w:rPr>
        <w:lastRenderedPageBreak/>
        <w:t>8.2</w:t>
      </w:r>
      <w:r w:rsidRPr="00A046C5">
        <w:rPr>
          <w:rFonts w:eastAsia="MS Mincho" w:cs="Calibri"/>
          <w:sz w:val="22"/>
          <w:szCs w:val="22"/>
          <w:lang w:val="en-US"/>
        </w:rPr>
        <w:tab/>
        <w:t xml:space="preserve">H.E. Mr Mohamed </w:t>
      </w:r>
      <w:proofErr w:type="spellStart"/>
      <w:r w:rsidRPr="00A046C5">
        <w:rPr>
          <w:rFonts w:eastAsia="MS Mincho" w:cs="Calibri"/>
          <w:sz w:val="22"/>
          <w:szCs w:val="22"/>
          <w:lang w:val="en-US"/>
        </w:rPr>
        <w:t>Fadhel</w:t>
      </w:r>
      <w:proofErr w:type="spellEnd"/>
      <w:r w:rsidRPr="00A046C5">
        <w:rPr>
          <w:rFonts w:eastAsia="MS Mincho" w:cs="Calibri"/>
          <w:sz w:val="22"/>
          <w:szCs w:val="22"/>
          <w:lang w:val="en-US"/>
        </w:rPr>
        <w:t xml:space="preserve"> </w:t>
      </w:r>
      <w:proofErr w:type="spellStart"/>
      <w:r w:rsidRPr="00A046C5">
        <w:rPr>
          <w:rFonts w:eastAsia="MS Mincho" w:cs="Calibri"/>
          <w:sz w:val="22"/>
          <w:szCs w:val="22"/>
          <w:lang w:val="en-US"/>
        </w:rPr>
        <w:t>Kraiem</w:t>
      </w:r>
      <w:proofErr w:type="spellEnd"/>
      <w:r w:rsidRPr="00A046C5">
        <w:rPr>
          <w:rFonts w:eastAsia="MS Mincho" w:cs="Calibri"/>
          <w:sz w:val="22"/>
          <w:szCs w:val="22"/>
          <w:lang w:val="en-US"/>
        </w:rPr>
        <w:t>, Minister of Communications of Tunisia, announced that his Administration wished to propose the candidature of Dr Bilel Jamoussi for the position of Director of TSB, for election at PP-22. He delivered the statement available at:</w:t>
      </w:r>
      <w:r w:rsidR="006445DF" w:rsidRPr="006445DF">
        <w:t xml:space="preserve"> </w:t>
      </w:r>
      <w:hyperlink r:id="rId23" w:history="1">
        <w:r w:rsidR="008628BB" w:rsidRPr="003E3F9B">
          <w:rPr>
            <w:rStyle w:val="Hyperlink"/>
            <w:rFonts w:eastAsia="MS Mincho" w:cs="Calibri"/>
            <w:sz w:val="22"/>
            <w:szCs w:val="22"/>
            <w:lang w:val="en-US"/>
          </w:rPr>
          <w:t>https://www.itu.int/en/council/Documents/2021/VCC1-Tunisia.pdf</w:t>
        </w:r>
      </w:hyperlink>
      <w:r w:rsidR="006445DF">
        <w:rPr>
          <w:rFonts w:eastAsia="MS Mincho" w:cs="Calibri"/>
          <w:sz w:val="22"/>
          <w:szCs w:val="22"/>
          <w:lang w:val="en-US"/>
        </w:rPr>
        <w:t xml:space="preserve"> </w:t>
      </w:r>
      <w:r w:rsidRPr="00A046C5">
        <w:rPr>
          <w:rFonts w:eastAsia="MS Mincho" w:cs="Calibri"/>
          <w:sz w:val="22"/>
          <w:szCs w:val="22"/>
          <w:lang w:val="en-US"/>
        </w:rPr>
        <w:t>.</w:t>
      </w:r>
    </w:p>
    <w:p w14:paraId="4FCB3E69"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8.3</w:t>
      </w:r>
      <w:r w:rsidRPr="00A046C5">
        <w:rPr>
          <w:rFonts w:eastAsia="MS Mincho" w:cs="Calibri"/>
          <w:sz w:val="22"/>
          <w:szCs w:val="22"/>
          <w:lang w:val="en-US"/>
        </w:rPr>
        <w:tab/>
        <w:t>Mr Sung-</w:t>
      </w:r>
      <w:proofErr w:type="spellStart"/>
      <w:r w:rsidRPr="00A046C5">
        <w:rPr>
          <w:rFonts w:eastAsia="MS Mincho" w:cs="Calibri"/>
          <w:sz w:val="22"/>
          <w:szCs w:val="22"/>
          <w:lang w:val="en-US"/>
        </w:rPr>
        <w:t>joon</w:t>
      </w:r>
      <w:proofErr w:type="spellEnd"/>
      <w:r w:rsidRPr="00A046C5">
        <w:rPr>
          <w:rFonts w:eastAsia="MS Mincho" w:cs="Calibri"/>
          <w:sz w:val="22"/>
          <w:szCs w:val="22"/>
          <w:lang w:val="en-US"/>
        </w:rPr>
        <w:t xml:space="preserve"> Choi, Director, Multilateral Cooperation Division, International Cooperation Bureau, Ministry of Science and ICT of the Republic of Korea, announced that his Administration wished to propose the candidacy of Dr Chaesub Lee, Director of TSB, for the post of Deputy Secretary-General, for election at PP-22. He also announced that the Republic of Korea would stand for re-election to the ITU Council.</w:t>
      </w:r>
    </w:p>
    <w:p w14:paraId="43261577" w14:textId="4E5C85D9"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8.4</w:t>
      </w:r>
      <w:r w:rsidRPr="00A046C5">
        <w:rPr>
          <w:rFonts w:eastAsia="MS Mincho" w:cs="Calibri"/>
          <w:sz w:val="22"/>
          <w:szCs w:val="22"/>
          <w:lang w:val="en-US"/>
        </w:rPr>
        <w:tab/>
        <w:t>H.E. Mr</w:t>
      </w:r>
      <w:r w:rsidR="00A830E3">
        <w:rPr>
          <w:rFonts w:eastAsia="MS Mincho" w:cs="Calibri"/>
          <w:sz w:val="22"/>
          <w:szCs w:val="22"/>
          <w:lang w:val="en-US"/>
        </w:rPr>
        <w:t xml:space="preserve"> </w:t>
      </w:r>
      <w:r w:rsidRPr="00A046C5">
        <w:rPr>
          <w:rFonts w:eastAsia="MS Mincho" w:cs="Calibri"/>
          <w:sz w:val="22"/>
          <w:szCs w:val="22"/>
          <w:lang w:val="en-US"/>
        </w:rPr>
        <w:t xml:space="preserve">Álvaro </w:t>
      </w:r>
      <w:proofErr w:type="spellStart"/>
      <w:r w:rsidRPr="00A046C5">
        <w:rPr>
          <w:rFonts w:eastAsia="MS Mincho" w:cs="Calibri"/>
          <w:sz w:val="22"/>
          <w:szCs w:val="22"/>
          <w:lang w:val="en-US"/>
        </w:rPr>
        <w:t>Moerzinger</w:t>
      </w:r>
      <w:proofErr w:type="spellEnd"/>
      <w:r w:rsidRPr="00A046C5">
        <w:rPr>
          <w:rFonts w:eastAsia="MS Mincho" w:cs="Calibri"/>
          <w:sz w:val="22"/>
          <w:szCs w:val="22"/>
          <w:lang w:val="en-US"/>
        </w:rPr>
        <w:t xml:space="preserve"> Pagani, Ambassador, Permanent Representative</w:t>
      </w:r>
      <w:r w:rsidRPr="00A046C5" w:rsidDel="0065130E">
        <w:rPr>
          <w:rFonts w:eastAsia="MS Mincho" w:cs="Calibri"/>
          <w:sz w:val="22"/>
          <w:szCs w:val="22"/>
          <w:lang w:val="en-US"/>
        </w:rPr>
        <w:t xml:space="preserve"> </w:t>
      </w:r>
      <w:r w:rsidRPr="00A046C5">
        <w:rPr>
          <w:rFonts w:eastAsia="MS Mincho" w:cs="Calibri"/>
          <w:sz w:val="22"/>
          <w:szCs w:val="22"/>
          <w:lang w:val="en-US"/>
        </w:rPr>
        <w:t xml:space="preserve">of Uruguay to the United Nations Office at Geneva, announced that his Administration wished to propose the candidature of Mr Mario Maniewicz as Director of BR, for </w:t>
      </w:r>
      <w:r w:rsidR="001560A4" w:rsidRPr="00AA4999">
        <w:rPr>
          <w:rFonts w:eastAsia="MS Mincho" w:cs="Calibri"/>
          <w:sz w:val="22"/>
          <w:szCs w:val="22"/>
          <w:lang w:val="en-US"/>
        </w:rPr>
        <w:t>re-</w:t>
      </w:r>
      <w:r w:rsidRPr="00A046C5">
        <w:rPr>
          <w:rFonts w:eastAsia="MS Mincho" w:cs="Calibri"/>
          <w:sz w:val="22"/>
          <w:szCs w:val="22"/>
          <w:lang w:val="en-US"/>
        </w:rPr>
        <w:t>election at PP-22. He delivered the statement available at:</w:t>
      </w:r>
      <w:r w:rsidR="001C7F67" w:rsidRPr="001C7F67">
        <w:t xml:space="preserve"> </w:t>
      </w:r>
      <w:hyperlink r:id="rId24" w:history="1">
        <w:r w:rsidR="008628BB" w:rsidRPr="003E3F9B">
          <w:rPr>
            <w:rStyle w:val="Hyperlink"/>
            <w:rFonts w:eastAsia="MS Mincho" w:cs="Calibri"/>
            <w:sz w:val="22"/>
            <w:szCs w:val="22"/>
            <w:lang w:val="en-US"/>
          </w:rPr>
          <w:t>https://www.itu.int/en/council/Documents/2021/VCC1-Uruguay-E.pdf</w:t>
        </w:r>
      </w:hyperlink>
      <w:r w:rsidR="001C7F67">
        <w:rPr>
          <w:rFonts w:eastAsia="MS Mincho" w:cs="Calibri"/>
          <w:sz w:val="22"/>
          <w:szCs w:val="22"/>
          <w:lang w:val="en-US"/>
        </w:rPr>
        <w:t xml:space="preserve"> </w:t>
      </w:r>
      <w:r w:rsidRPr="00A046C5">
        <w:rPr>
          <w:rFonts w:eastAsia="MS Mincho" w:cs="Calibri"/>
          <w:sz w:val="22"/>
          <w:szCs w:val="22"/>
          <w:lang w:val="en-US"/>
        </w:rPr>
        <w:t>.</w:t>
      </w:r>
    </w:p>
    <w:p w14:paraId="27124F79" w14:textId="703011B3"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8.5</w:t>
      </w:r>
      <w:r w:rsidRPr="00A046C5">
        <w:rPr>
          <w:rFonts w:eastAsia="MS Mincho" w:cs="Calibri"/>
          <w:sz w:val="22"/>
          <w:szCs w:val="22"/>
          <w:lang w:val="en-US"/>
        </w:rPr>
        <w:tab/>
        <w:t xml:space="preserve">H.E. Mr Marius </w:t>
      </w:r>
      <w:proofErr w:type="spellStart"/>
      <w:r w:rsidRPr="00A046C5">
        <w:rPr>
          <w:rFonts w:eastAsia="MS Mincho" w:cs="Calibri"/>
          <w:sz w:val="22"/>
          <w:szCs w:val="22"/>
          <w:lang w:val="en-US"/>
        </w:rPr>
        <w:t>Skuodis</w:t>
      </w:r>
      <w:proofErr w:type="spellEnd"/>
      <w:r w:rsidRPr="00A046C5">
        <w:rPr>
          <w:rFonts w:eastAsia="MS Mincho" w:cs="Calibri"/>
          <w:sz w:val="22"/>
          <w:szCs w:val="22"/>
          <w:lang w:val="en-US"/>
        </w:rPr>
        <w:t xml:space="preserve">, Minister of Transport and Communications of Lithuania, announced that his Administration wished to propose the candidature of Mr Tomas </w:t>
      </w:r>
      <w:proofErr w:type="spellStart"/>
      <w:r w:rsidRPr="00A046C5">
        <w:rPr>
          <w:rFonts w:eastAsia="MS Mincho" w:cs="Calibri"/>
          <w:sz w:val="22"/>
          <w:szCs w:val="22"/>
          <w:lang w:val="en-US"/>
        </w:rPr>
        <w:t>Lamanauskas</w:t>
      </w:r>
      <w:proofErr w:type="spellEnd"/>
      <w:r w:rsidRPr="00A046C5">
        <w:rPr>
          <w:rFonts w:eastAsia="MS Mincho" w:cs="Calibri"/>
          <w:sz w:val="22"/>
          <w:szCs w:val="22"/>
          <w:lang w:val="en-US"/>
        </w:rPr>
        <w:t xml:space="preserve"> for the position of ITU Deputy Secretary-General, for election at PP-22. He delivered the statement available at: </w:t>
      </w:r>
      <w:hyperlink r:id="rId25" w:history="1">
        <w:r w:rsidR="008628BB" w:rsidRPr="003E3F9B">
          <w:rPr>
            <w:rStyle w:val="Hyperlink"/>
            <w:rFonts w:eastAsia="MS Mincho" w:cs="Calibri"/>
            <w:sz w:val="22"/>
            <w:szCs w:val="22"/>
            <w:lang w:val="en-US"/>
          </w:rPr>
          <w:t>https://www.itu.int/en/council/Documents/2021/VCC1-Lituania-E.pdf</w:t>
        </w:r>
      </w:hyperlink>
      <w:r w:rsidR="00721009">
        <w:rPr>
          <w:rFonts w:eastAsia="MS Mincho" w:cs="Calibri"/>
          <w:sz w:val="22"/>
          <w:szCs w:val="22"/>
          <w:lang w:val="en-US"/>
        </w:rPr>
        <w:t xml:space="preserve"> </w:t>
      </w:r>
      <w:r w:rsidRPr="00A046C5">
        <w:rPr>
          <w:rFonts w:eastAsia="MS Mincho" w:cs="Calibri"/>
          <w:sz w:val="22"/>
          <w:szCs w:val="22"/>
          <w:lang w:val="en-US"/>
        </w:rPr>
        <w:t>.</w:t>
      </w:r>
    </w:p>
    <w:p w14:paraId="2D8D65E2" w14:textId="77777777" w:rsidR="00A046C5" w:rsidRPr="00A046C5" w:rsidRDefault="00A046C5" w:rsidP="002B43B0">
      <w:pPr>
        <w:tabs>
          <w:tab w:val="clear" w:pos="567"/>
          <w:tab w:val="clear" w:pos="1134"/>
          <w:tab w:val="clear" w:pos="1701"/>
          <w:tab w:val="clear" w:pos="2268"/>
          <w:tab w:val="clear" w:pos="2835"/>
        </w:tabs>
        <w:spacing w:before="360" w:after="120"/>
        <w:ind w:left="794" w:hanging="794"/>
        <w:jc w:val="both"/>
        <w:rPr>
          <w:rFonts w:eastAsia="MS Mincho" w:cs="Calibri"/>
          <w:b/>
          <w:bCs/>
          <w:sz w:val="26"/>
          <w:szCs w:val="26"/>
          <w:lang w:val="en-US"/>
        </w:rPr>
      </w:pPr>
      <w:r w:rsidRPr="00A046C5">
        <w:rPr>
          <w:rFonts w:eastAsia="MS Mincho" w:cs="Calibri"/>
          <w:b/>
          <w:bCs/>
          <w:sz w:val="26"/>
          <w:szCs w:val="26"/>
          <w:lang w:val="en-US"/>
        </w:rPr>
        <w:t>9</w:t>
      </w:r>
      <w:r w:rsidRPr="00A046C5">
        <w:rPr>
          <w:rFonts w:eastAsia="MS Mincho" w:cs="Calibri"/>
          <w:b/>
          <w:bCs/>
          <w:sz w:val="26"/>
          <w:szCs w:val="26"/>
          <w:lang w:val="en-US"/>
        </w:rPr>
        <w:tab/>
        <w:t>Announcement by a Member State - Candidature for chairmanship of the 2022 session of the Council</w:t>
      </w:r>
    </w:p>
    <w:p w14:paraId="248A5A55" w14:textId="77777777" w:rsidR="00A046C5" w:rsidRPr="00A046C5" w:rsidRDefault="00A046C5" w:rsidP="002B43B0">
      <w:pPr>
        <w:tabs>
          <w:tab w:val="clear" w:pos="567"/>
          <w:tab w:val="clear" w:pos="1134"/>
          <w:tab w:val="clear" w:pos="1701"/>
          <w:tab w:val="clear" w:pos="2268"/>
          <w:tab w:val="clear" w:pos="2835"/>
        </w:tabs>
        <w:spacing w:after="120"/>
        <w:jc w:val="both"/>
        <w:rPr>
          <w:rFonts w:eastAsia="MS Mincho" w:cs="Calibri"/>
          <w:sz w:val="22"/>
          <w:szCs w:val="22"/>
          <w:lang w:val="en-US"/>
        </w:rPr>
      </w:pPr>
      <w:r w:rsidRPr="00A046C5">
        <w:rPr>
          <w:rFonts w:eastAsia="MS Mincho" w:cs="Calibri"/>
          <w:sz w:val="22"/>
          <w:szCs w:val="22"/>
          <w:lang w:val="en-US"/>
        </w:rPr>
        <w:t>9.1</w:t>
      </w:r>
      <w:r w:rsidRPr="00A046C5">
        <w:rPr>
          <w:rFonts w:eastAsia="MS Mincho" w:cs="Calibri"/>
          <w:sz w:val="22"/>
          <w:szCs w:val="22"/>
          <w:lang w:val="en-US"/>
        </w:rPr>
        <w:tab/>
        <w:t>The councillor from Argentina, on behalf of CITEL, announced that on Monday 7 June, CITEL had informed the ITU General Secretariat in writing of its nomination of Mr Cesar Martínez (Paraguay) for the chairmanship of the ITU Council session in 2022.</w:t>
      </w:r>
    </w:p>
    <w:p w14:paraId="3727366B" w14:textId="77777777" w:rsidR="00A046C5" w:rsidRPr="00A046C5" w:rsidRDefault="00A046C5" w:rsidP="00A830E3">
      <w:pPr>
        <w:tabs>
          <w:tab w:val="clear" w:pos="567"/>
          <w:tab w:val="clear" w:pos="1134"/>
          <w:tab w:val="clear" w:pos="1701"/>
          <w:tab w:val="clear" w:pos="2268"/>
          <w:tab w:val="clear" w:pos="2835"/>
          <w:tab w:val="left" w:pos="794"/>
          <w:tab w:val="left" w:pos="1191"/>
          <w:tab w:val="left" w:pos="1588"/>
          <w:tab w:val="left" w:pos="1985"/>
          <w:tab w:val="left" w:pos="7088"/>
        </w:tabs>
        <w:snapToGrid w:val="0"/>
        <w:spacing w:before="600"/>
        <w:rPr>
          <w:rFonts w:eastAsia="MS Mincho" w:cs="Calibri"/>
          <w:sz w:val="22"/>
          <w:szCs w:val="22"/>
          <w:lang w:val="en-CA"/>
        </w:rPr>
      </w:pPr>
      <w:r w:rsidRPr="00A046C5">
        <w:rPr>
          <w:rFonts w:eastAsia="MS Mincho" w:cs="Calibri"/>
          <w:sz w:val="22"/>
          <w:szCs w:val="22"/>
          <w:lang w:val="en-CA"/>
        </w:rPr>
        <w:t>The Secretary-General:</w:t>
      </w:r>
      <w:r w:rsidRPr="00A046C5">
        <w:rPr>
          <w:rFonts w:eastAsia="MS Mincho" w:cs="Calibri"/>
          <w:sz w:val="22"/>
          <w:szCs w:val="22"/>
          <w:lang w:val="en-CA"/>
        </w:rPr>
        <w:tab/>
        <w:t>The Chairman:</w:t>
      </w:r>
    </w:p>
    <w:p w14:paraId="765F78C4" w14:textId="084E0D97" w:rsidR="00A046C5" w:rsidRPr="00A046C5" w:rsidRDefault="00A046C5" w:rsidP="00A830E3">
      <w:pPr>
        <w:tabs>
          <w:tab w:val="clear" w:pos="567"/>
          <w:tab w:val="clear" w:pos="1134"/>
          <w:tab w:val="clear" w:pos="1701"/>
          <w:tab w:val="clear" w:pos="2268"/>
          <w:tab w:val="clear" w:pos="2835"/>
          <w:tab w:val="left" w:pos="7088"/>
        </w:tabs>
        <w:snapToGrid w:val="0"/>
        <w:spacing w:before="0" w:after="120"/>
        <w:rPr>
          <w:rFonts w:eastAsia="MS Mincho" w:cs="Calibri"/>
          <w:sz w:val="22"/>
          <w:szCs w:val="22"/>
          <w:lang w:val="de-DE"/>
        </w:rPr>
      </w:pPr>
      <w:r w:rsidRPr="00A046C5">
        <w:rPr>
          <w:rFonts w:eastAsia="MS Mincho" w:cs="Calibri"/>
          <w:sz w:val="22"/>
          <w:szCs w:val="22"/>
          <w:lang w:val="de-DE"/>
        </w:rPr>
        <w:t>H. ZHAO</w:t>
      </w:r>
      <w:r w:rsidRPr="00A046C5">
        <w:rPr>
          <w:rFonts w:eastAsia="MS Mincho" w:cs="Calibri"/>
          <w:sz w:val="22"/>
          <w:szCs w:val="22"/>
          <w:lang w:val="de-DE"/>
        </w:rPr>
        <w:tab/>
        <w:t>S. BIN GHELAITA</w:t>
      </w:r>
    </w:p>
    <w:p w14:paraId="11AD894F" w14:textId="4D35DA5E" w:rsidR="001A77FC" w:rsidRPr="003D6E08" w:rsidRDefault="00A046C5" w:rsidP="00A830E3">
      <w:pPr>
        <w:tabs>
          <w:tab w:val="clear" w:pos="567"/>
          <w:tab w:val="clear" w:pos="1134"/>
          <w:tab w:val="clear" w:pos="1701"/>
          <w:tab w:val="clear" w:pos="2268"/>
          <w:tab w:val="clear" w:pos="2835"/>
          <w:tab w:val="left" w:pos="794"/>
          <w:tab w:val="left" w:pos="1191"/>
          <w:tab w:val="left" w:pos="1588"/>
          <w:tab w:val="left" w:pos="1985"/>
          <w:tab w:val="left" w:pos="7088"/>
        </w:tabs>
        <w:snapToGrid w:val="0"/>
        <w:spacing w:before="840"/>
        <w:jc w:val="center"/>
        <w:rPr>
          <w:rFonts w:eastAsia="MS Mincho" w:cs="Calibri"/>
          <w:sz w:val="22"/>
          <w:szCs w:val="22"/>
          <w:lang w:val="en-CA"/>
        </w:rPr>
      </w:pPr>
      <w:r w:rsidRPr="00A046C5">
        <w:rPr>
          <w:rFonts w:eastAsia="MS Mincho" w:cs="Calibri"/>
          <w:sz w:val="22"/>
          <w:szCs w:val="22"/>
          <w:lang w:val="de-DE"/>
        </w:rPr>
        <w:t>___________________</w:t>
      </w:r>
    </w:p>
    <w:sectPr w:rsidR="001A77FC" w:rsidRPr="003D6E08" w:rsidSect="004D1851">
      <w:headerReference w:type="defaul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6A32" w14:textId="77777777" w:rsidR="00AE6FF9" w:rsidRDefault="00AE6FF9">
      <w:r>
        <w:separator/>
      </w:r>
    </w:p>
  </w:endnote>
  <w:endnote w:type="continuationSeparator" w:id="0">
    <w:p w14:paraId="390AA85F" w14:textId="77777777" w:rsidR="00AE6FF9" w:rsidRDefault="00AE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DDD" w14:textId="71E8601E" w:rsidR="00322D0D" w:rsidRDefault="00322D0D" w:rsidP="00CF134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931E" w14:textId="77777777" w:rsidR="00AE6FF9" w:rsidRDefault="00AE6FF9">
      <w:r>
        <w:t>____________________</w:t>
      </w:r>
    </w:p>
  </w:footnote>
  <w:footnote w:type="continuationSeparator" w:id="0">
    <w:p w14:paraId="1A87F445" w14:textId="77777777" w:rsidR="00AE6FF9" w:rsidRDefault="00AE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43F" w14:textId="047DEC3C" w:rsidR="00322D0D" w:rsidRDefault="006535F1" w:rsidP="00CE433C">
    <w:pPr>
      <w:pStyle w:val="Header"/>
    </w:pPr>
    <w:r>
      <w:fldChar w:fldCharType="begin"/>
    </w:r>
    <w:r>
      <w:instrText>PAGE</w:instrText>
    </w:r>
    <w:r>
      <w:fldChar w:fldCharType="separate"/>
    </w:r>
    <w:r w:rsidR="00EE1F95">
      <w:rPr>
        <w:noProof/>
      </w:rPr>
      <w:t>2</w:t>
    </w:r>
    <w:r>
      <w:rPr>
        <w:noProof/>
      </w:rPr>
      <w:fldChar w:fldCharType="end"/>
    </w:r>
  </w:p>
  <w:p w14:paraId="34EC98F4" w14:textId="5C17F34E" w:rsidR="00322D0D" w:rsidRPr="00623AE3" w:rsidRDefault="00D338E0" w:rsidP="00D338E0">
    <w:pPr>
      <w:pStyle w:val="Header"/>
      <w:rPr>
        <w:bCs/>
      </w:rPr>
    </w:pPr>
    <w:r w:rsidRPr="00F56668">
      <w:rPr>
        <w:bCs/>
      </w:rPr>
      <w:t>C2</w:t>
    </w:r>
    <w:r w:rsidR="00F56668" w:rsidRPr="00F56668">
      <w:rPr>
        <w:bCs/>
      </w:rPr>
      <w:t>1</w:t>
    </w:r>
    <w:r w:rsidR="00623AE3" w:rsidRPr="00F56668">
      <w:rPr>
        <w:bCs/>
      </w:rPr>
      <w:t>/</w:t>
    </w:r>
    <w:r w:rsidR="00795861">
      <w:rPr>
        <w:bCs/>
      </w:rPr>
      <w:t>8</w:t>
    </w:r>
    <w:r w:rsidR="00A046C5">
      <w:rPr>
        <w:rFonts w:hint="eastAsia"/>
        <w:bCs/>
        <w:lang w:eastAsia="zh-CN"/>
      </w:rPr>
      <w:t>6</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613BD"/>
    <w:multiLevelType w:val="hybridMultilevel"/>
    <w:tmpl w:val="4C4EBE8C"/>
    <w:lvl w:ilvl="0" w:tplc="90A6BF2A">
      <w:numFmt w:val="bullet"/>
      <w:lvlText w:val="-"/>
      <w:lvlJc w:val="left"/>
      <w:pPr>
        <w:ind w:left="360" w:hanging="360"/>
      </w:pPr>
      <w:rPr>
        <w:rFonts w:ascii="Calibri" w:eastAsiaTheme="minorEastAsia" w:hAnsi="Calibri" w:hint="default"/>
      </w:rPr>
    </w:lvl>
    <w:lvl w:ilvl="1" w:tplc="20000003">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1B3563B9"/>
    <w:multiLevelType w:val="hybridMultilevel"/>
    <w:tmpl w:val="F0F0C1B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89A55F8"/>
    <w:multiLevelType w:val="hybridMultilevel"/>
    <w:tmpl w:val="C428D3E2"/>
    <w:lvl w:ilvl="0" w:tplc="20000001">
      <w:start w:val="1"/>
      <w:numFmt w:val="bullet"/>
      <w:lvlText w:val=""/>
      <w:lvlJc w:val="left"/>
      <w:pPr>
        <w:ind w:left="720" w:hanging="360"/>
      </w:pPr>
      <w:rPr>
        <w:rFonts w:ascii="Symbol" w:hAnsi="Symbol" w:hint="default"/>
      </w:rPr>
    </w:lvl>
    <w:lvl w:ilvl="1" w:tplc="31E808E2">
      <w:start w:val="1"/>
      <w:numFmt w:val="lowerLetter"/>
      <w:lvlText w:val="%2)"/>
      <w:lvlJc w:val="left"/>
      <w:pPr>
        <w:ind w:left="1650" w:hanging="57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DB6BBC"/>
    <w:multiLevelType w:val="hybridMultilevel"/>
    <w:tmpl w:val="95DEF63C"/>
    <w:lvl w:ilvl="0" w:tplc="20000001">
      <w:start w:val="1"/>
      <w:numFmt w:val="bullet"/>
      <w:lvlText w:val=""/>
      <w:lvlJc w:val="left"/>
      <w:pPr>
        <w:ind w:left="720" w:hanging="360"/>
      </w:pPr>
      <w:rPr>
        <w:rFonts w:ascii="Symbol" w:hAnsi="Symbol" w:hint="default"/>
      </w:rPr>
    </w:lvl>
    <w:lvl w:ilvl="1" w:tplc="02BA070E">
      <w:start w:val="1"/>
      <w:numFmt w:val="lowerLetter"/>
      <w:lvlText w:val="%2."/>
      <w:lvlJc w:val="left"/>
      <w:pPr>
        <w:ind w:left="1650" w:hanging="57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BD3B3B"/>
    <w:multiLevelType w:val="hybridMultilevel"/>
    <w:tmpl w:val="8A709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36BC2"/>
    <w:multiLevelType w:val="hybridMultilevel"/>
    <w:tmpl w:val="F62A537C"/>
    <w:lvl w:ilvl="0" w:tplc="35F8DFBE">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C727C5D"/>
    <w:multiLevelType w:val="multilevel"/>
    <w:tmpl w:val="7B7CB0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D10B6"/>
    <w:multiLevelType w:val="hybridMultilevel"/>
    <w:tmpl w:val="726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5"/>
  </w:num>
  <w:num w:numId="15">
    <w:abstractNumId w:val="12"/>
  </w:num>
  <w:num w:numId="16">
    <w:abstractNumId w:val="16"/>
  </w:num>
  <w:num w:numId="17">
    <w:abstractNumId w:val="1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63016"/>
    <w:rsid w:val="00066795"/>
    <w:rsid w:val="00076AF6"/>
    <w:rsid w:val="00085CF2"/>
    <w:rsid w:val="00095B95"/>
    <w:rsid w:val="000B1705"/>
    <w:rsid w:val="000B5E99"/>
    <w:rsid w:val="000C44CA"/>
    <w:rsid w:val="000D75B2"/>
    <w:rsid w:val="000F072E"/>
    <w:rsid w:val="0010254B"/>
    <w:rsid w:val="00104C2E"/>
    <w:rsid w:val="001121F5"/>
    <w:rsid w:val="00123167"/>
    <w:rsid w:val="001400DC"/>
    <w:rsid w:val="00140CE1"/>
    <w:rsid w:val="001560A4"/>
    <w:rsid w:val="00172DA5"/>
    <w:rsid w:val="0017539C"/>
    <w:rsid w:val="00175AC2"/>
    <w:rsid w:val="0017609F"/>
    <w:rsid w:val="00195967"/>
    <w:rsid w:val="001A77FC"/>
    <w:rsid w:val="001C628E"/>
    <w:rsid w:val="001C7F67"/>
    <w:rsid w:val="001E0F7B"/>
    <w:rsid w:val="002119FD"/>
    <w:rsid w:val="002130E0"/>
    <w:rsid w:val="00264425"/>
    <w:rsid w:val="00265875"/>
    <w:rsid w:val="0027303B"/>
    <w:rsid w:val="0028109B"/>
    <w:rsid w:val="002A2188"/>
    <w:rsid w:val="002B1F58"/>
    <w:rsid w:val="002B43B0"/>
    <w:rsid w:val="002C1C7A"/>
    <w:rsid w:val="002C752A"/>
    <w:rsid w:val="003007E6"/>
    <w:rsid w:val="0030160F"/>
    <w:rsid w:val="00322D0D"/>
    <w:rsid w:val="003942D4"/>
    <w:rsid w:val="003958A8"/>
    <w:rsid w:val="003C2533"/>
    <w:rsid w:val="003D6E08"/>
    <w:rsid w:val="003F1B47"/>
    <w:rsid w:val="00401C01"/>
    <w:rsid w:val="0040435A"/>
    <w:rsid w:val="00416A24"/>
    <w:rsid w:val="0042030D"/>
    <w:rsid w:val="00431D9E"/>
    <w:rsid w:val="00433CE8"/>
    <w:rsid w:val="00434A5C"/>
    <w:rsid w:val="004544D9"/>
    <w:rsid w:val="004562F7"/>
    <w:rsid w:val="0047265E"/>
    <w:rsid w:val="00490E72"/>
    <w:rsid w:val="00491157"/>
    <w:rsid w:val="004921C8"/>
    <w:rsid w:val="004D1851"/>
    <w:rsid w:val="004D599D"/>
    <w:rsid w:val="004D6EE0"/>
    <w:rsid w:val="004E2EA5"/>
    <w:rsid w:val="004E3AEB"/>
    <w:rsid w:val="0050223C"/>
    <w:rsid w:val="00504300"/>
    <w:rsid w:val="005243FF"/>
    <w:rsid w:val="00564FBC"/>
    <w:rsid w:val="00582111"/>
    <w:rsid w:val="00582442"/>
    <w:rsid w:val="005F3269"/>
    <w:rsid w:val="00623AE3"/>
    <w:rsid w:val="00625AA4"/>
    <w:rsid w:val="006363BE"/>
    <w:rsid w:val="006445DF"/>
    <w:rsid w:val="00645E41"/>
    <w:rsid w:val="0064737F"/>
    <w:rsid w:val="006535F1"/>
    <w:rsid w:val="0065557D"/>
    <w:rsid w:val="00662984"/>
    <w:rsid w:val="006716BB"/>
    <w:rsid w:val="006848DD"/>
    <w:rsid w:val="00695B0B"/>
    <w:rsid w:val="006B6680"/>
    <w:rsid w:val="006B6DCC"/>
    <w:rsid w:val="006D0AC1"/>
    <w:rsid w:val="00702DEF"/>
    <w:rsid w:val="00706861"/>
    <w:rsid w:val="00721009"/>
    <w:rsid w:val="00722181"/>
    <w:rsid w:val="00737A8C"/>
    <w:rsid w:val="00740FE3"/>
    <w:rsid w:val="0075051B"/>
    <w:rsid w:val="00793188"/>
    <w:rsid w:val="00794D34"/>
    <w:rsid w:val="00795861"/>
    <w:rsid w:val="007A519C"/>
    <w:rsid w:val="00813E5E"/>
    <w:rsid w:val="0083581B"/>
    <w:rsid w:val="008628BB"/>
    <w:rsid w:val="00864A23"/>
    <w:rsid w:val="00864AFF"/>
    <w:rsid w:val="008B4A6A"/>
    <w:rsid w:val="008C7E27"/>
    <w:rsid w:val="009173EF"/>
    <w:rsid w:val="00932906"/>
    <w:rsid w:val="00961B0B"/>
    <w:rsid w:val="009628CC"/>
    <w:rsid w:val="009965A4"/>
    <w:rsid w:val="009B38C3"/>
    <w:rsid w:val="009C4CC0"/>
    <w:rsid w:val="009E17BD"/>
    <w:rsid w:val="009E485A"/>
    <w:rsid w:val="009F66A3"/>
    <w:rsid w:val="00A007E8"/>
    <w:rsid w:val="00A02945"/>
    <w:rsid w:val="00A046C5"/>
    <w:rsid w:val="00A04CEC"/>
    <w:rsid w:val="00A24194"/>
    <w:rsid w:val="00A27F92"/>
    <w:rsid w:val="00A32257"/>
    <w:rsid w:val="00A36D20"/>
    <w:rsid w:val="00A510F3"/>
    <w:rsid w:val="00A55622"/>
    <w:rsid w:val="00A72B9E"/>
    <w:rsid w:val="00A830E3"/>
    <w:rsid w:val="00A83502"/>
    <w:rsid w:val="00A8382F"/>
    <w:rsid w:val="00A93619"/>
    <w:rsid w:val="00AA4999"/>
    <w:rsid w:val="00AC24BA"/>
    <w:rsid w:val="00AC323C"/>
    <w:rsid w:val="00AC47C8"/>
    <w:rsid w:val="00AD15B3"/>
    <w:rsid w:val="00AD39A0"/>
    <w:rsid w:val="00AE6FF9"/>
    <w:rsid w:val="00AF6E49"/>
    <w:rsid w:val="00B04A67"/>
    <w:rsid w:val="00B0583C"/>
    <w:rsid w:val="00B16F07"/>
    <w:rsid w:val="00B40A81"/>
    <w:rsid w:val="00B44910"/>
    <w:rsid w:val="00B72267"/>
    <w:rsid w:val="00B76EB6"/>
    <w:rsid w:val="00B7737B"/>
    <w:rsid w:val="00B824C8"/>
    <w:rsid w:val="00B86615"/>
    <w:rsid w:val="00BC251A"/>
    <w:rsid w:val="00BD032B"/>
    <w:rsid w:val="00BE2640"/>
    <w:rsid w:val="00C00956"/>
    <w:rsid w:val="00C01189"/>
    <w:rsid w:val="00C15D8C"/>
    <w:rsid w:val="00C35B5D"/>
    <w:rsid w:val="00C374DE"/>
    <w:rsid w:val="00C47AD4"/>
    <w:rsid w:val="00C52D81"/>
    <w:rsid w:val="00C55198"/>
    <w:rsid w:val="00C5608F"/>
    <w:rsid w:val="00C73643"/>
    <w:rsid w:val="00CA6393"/>
    <w:rsid w:val="00CB18FF"/>
    <w:rsid w:val="00CD0C08"/>
    <w:rsid w:val="00CE03FB"/>
    <w:rsid w:val="00CE433C"/>
    <w:rsid w:val="00CF134B"/>
    <w:rsid w:val="00CF33F3"/>
    <w:rsid w:val="00CF5A9F"/>
    <w:rsid w:val="00D06183"/>
    <w:rsid w:val="00D130A5"/>
    <w:rsid w:val="00D22C42"/>
    <w:rsid w:val="00D338E0"/>
    <w:rsid w:val="00D45AD3"/>
    <w:rsid w:val="00D65041"/>
    <w:rsid w:val="00D8774A"/>
    <w:rsid w:val="00DB384B"/>
    <w:rsid w:val="00DB3F97"/>
    <w:rsid w:val="00DE4373"/>
    <w:rsid w:val="00DF72AC"/>
    <w:rsid w:val="00E10E80"/>
    <w:rsid w:val="00E124F0"/>
    <w:rsid w:val="00E60F04"/>
    <w:rsid w:val="00E854E4"/>
    <w:rsid w:val="00EA2120"/>
    <w:rsid w:val="00EB0D6F"/>
    <w:rsid w:val="00EB2232"/>
    <w:rsid w:val="00EB743B"/>
    <w:rsid w:val="00EC5337"/>
    <w:rsid w:val="00EE1F95"/>
    <w:rsid w:val="00EE5184"/>
    <w:rsid w:val="00F05195"/>
    <w:rsid w:val="00F11480"/>
    <w:rsid w:val="00F2150A"/>
    <w:rsid w:val="00F231D8"/>
    <w:rsid w:val="00F30555"/>
    <w:rsid w:val="00F452A5"/>
    <w:rsid w:val="00F46C5F"/>
    <w:rsid w:val="00F56668"/>
    <w:rsid w:val="00F94A63"/>
    <w:rsid w:val="00FA1C28"/>
    <w:rsid w:val="00FB1279"/>
    <w:rsid w:val="00FB7596"/>
    <w:rsid w:val="00FE3BBF"/>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C4CC0"/>
    <w:pPr>
      <w:framePr w:hSpace="180" w:wrap="around" w:hAnchor="margin" w:y="-675"/>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6848DD"/>
    <w:rPr>
      <w:color w:val="605E5C"/>
      <w:shd w:val="clear" w:color="auto" w:fill="E1DFDD"/>
    </w:rPr>
  </w:style>
  <w:style w:type="paragraph" w:styleId="ListParagraph">
    <w:name w:val="List Paragraph"/>
    <w:basedOn w:val="Normal"/>
    <w:uiPriority w:val="34"/>
    <w:qFormat/>
    <w:rsid w:val="001A77FC"/>
    <w:pPr>
      <w:ind w:left="720"/>
      <w:contextualSpacing/>
    </w:pPr>
  </w:style>
  <w:style w:type="paragraph" w:styleId="BodyText3">
    <w:name w:val="Body Text 3"/>
    <w:basedOn w:val="Normal"/>
    <w:link w:val="BodyText3Char"/>
    <w:rsid w:val="001A77FC"/>
    <w:pPr>
      <w:spacing w:after="120"/>
    </w:pPr>
    <w:rPr>
      <w:sz w:val="16"/>
      <w:szCs w:val="16"/>
    </w:rPr>
  </w:style>
  <w:style w:type="character" w:customStyle="1" w:styleId="BodyText3Char">
    <w:name w:val="Body Text 3 Char"/>
    <w:basedOn w:val="DefaultParagraphFont"/>
    <w:link w:val="BodyText3"/>
    <w:rsid w:val="001A77FC"/>
    <w:rPr>
      <w:rFonts w:ascii="Calibri" w:hAnsi="Calibri"/>
      <w:sz w:val="16"/>
      <w:szCs w:val="16"/>
      <w:lang w:val="en-GB" w:eastAsia="en-US"/>
    </w:rPr>
  </w:style>
  <w:style w:type="character" w:styleId="CommentReference">
    <w:name w:val="annotation reference"/>
    <w:basedOn w:val="DefaultParagraphFont"/>
    <w:semiHidden/>
    <w:unhideWhenUsed/>
    <w:rsid w:val="00625AA4"/>
    <w:rPr>
      <w:sz w:val="16"/>
      <w:szCs w:val="16"/>
    </w:rPr>
  </w:style>
  <w:style w:type="paragraph" w:styleId="CommentText">
    <w:name w:val="annotation text"/>
    <w:basedOn w:val="Normal"/>
    <w:link w:val="CommentTextChar"/>
    <w:semiHidden/>
    <w:unhideWhenUsed/>
    <w:rsid w:val="00625AA4"/>
    <w:rPr>
      <w:sz w:val="20"/>
    </w:rPr>
  </w:style>
  <w:style w:type="character" w:customStyle="1" w:styleId="CommentTextChar">
    <w:name w:val="Comment Text Char"/>
    <w:basedOn w:val="DefaultParagraphFont"/>
    <w:link w:val="CommentText"/>
    <w:semiHidden/>
    <w:rsid w:val="00625AA4"/>
    <w:rPr>
      <w:rFonts w:ascii="Calibri" w:hAnsi="Calibri"/>
      <w:lang w:val="en-GB" w:eastAsia="en-US"/>
    </w:rPr>
  </w:style>
  <w:style w:type="paragraph" w:styleId="CommentSubject">
    <w:name w:val="annotation subject"/>
    <w:basedOn w:val="CommentText"/>
    <w:next w:val="CommentText"/>
    <w:link w:val="CommentSubjectChar"/>
    <w:semiHidden/>
    <w:unhideWhenUsed/>
    <w:rsid w:val="00625AA4"/>
    <w:rPr>
      <w:b/>
      <w:bCs/>
    </w:rPr>
  </w:style>
  <w:style w:type="character" w:customStyle="1" w:styleId="CommentSubjectChar">
    <w:name w:val="Comment Subject Char"/>
    <w:basedOn w:val="CommentTextChar"/>
    <w:link w:val="CommentSubject"/>
    <w:semiHidden/>
    <w:rsid w:val="00625AA4"/>
    <w:rPr>
      <w:rFonts w:ascii="Calibri" w:hAnsi="Calibri"/>
      <w:b/>
      <w:bCs/>
      <w:lang w:val="en-GB" w:eastAsia="en-US"/>
    </w:rPr>
  </w:style>
  <w:style w:type="character" w:styleId="UnresolvedMention">
    <w:name w:val="Unresolved Mention"/>
    <w:basedOn w:val="DefaultParagraphFont"/>
    <w:uiPriority w:val="99"/>
    <w:semiHidden/>
    <w:unhideWhenUsed/>
    <w:rsid w:val="00644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1-CL-C-0004/en" TargetMode="External"/><Relationship Id="rId18" Type="http://schemas.openxmlformats.org/officeDocument/2006/relationships/hyperlink" Target="https://www.itu.int/md/S21-CL-C-0013/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S21-CL-C-0004/en" TargetMode="External"/><Relationship Id="rId7" Type="http://schemas.openxmlformats.org/officeDocument/2006/relationships/endnotes" Target="endnotes.xml"/><Relationship Id="rId12" Type="http://schemas.openxmlformats.org/officeDocument/2006/relationships/hyperlink" Target="https://www.itu.int/md/S21-CL-C-0073/en" TargetMode="External"/><Relationship Id="rId17" Type="http://schemas.openxmlformats.org/officeDocument/2006/relationships/hyperlink" Target="https://www.itu.int/md/S21-CL-C-0055/en" TargetMode="External"/><Relationship Id="rId25" Type="http://schemas.openxmlformats.org/officeDocument/2006/relationships/hyperlink" Target="https://www.itu.int/en/council/Documents/2021/VCC1-Lituania-E.pdf" TargetMode="External"/><Relationship Id="rId2" Type="http://schemas.openxmlformats.org/officeDocument/2006/relationships/numbering" Target="numbering.xml"/><Relationship Id="rId16" Type="http://schemas.openxmlformats.org/officeDocument/2006/relationships/hyperlink" Target="https://www.itu.int/md/S21-CL-C-0017/en" TargetMode="External"/><Relationship Id="rId20" Type="http://schemas.openxmlformats.org/officeDocument/2006/relationships/hyperlink" Target="https://www.itu.int/en/council/Documents/2021/VCC1-Romani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1-CL-C-0013/en" TargetMode="External"/><Relationship Id="rId24" Type="http://schemas.openxmlformats.org/officeDocument/2006/relationships/hyperlink" Target="https://www.itu.int/en/council/Documents/2021/VCC1-Uruguay-E.pdf" TargetMode="External"/><Relationship Id="rId5" Type="http://schemas.openxmlformats.org/officeDocument/2006/relationships/webSettings" Target="webSettings.xml"/><Relationship Id="rId15" Type="http://schemas.openxmlformats.org/officeDocument/2006/relationships/hyperlink" Target="https://www.itu.int/md/S21-CL-210608-TD-GEN-0001/en" TargetMode="External"/><Relationship Id="rId23" Type="http://schemas.openxmlformats.org/officeDocument/2006/relationships/hyperlink" Target="https://www.itu.int/en/council/Documents/2021/VCC1-Tunisia.pdf" TargetMode="External"/><Relationship Id="rId28" Type="http://schemas.openxmlformats.org/officeDocument/2006/relationships/fontTable" Target="fontTable.xml"/><Relationship Id="rId10" Type="http://schemas.openxmlformats.org/officeDocument/2006/relationships/hyperlink" Target="https://www.itu.int/md/S21-CL-C-0055/en" TargetMode="External"/><Relationship Id="rId19" Type="http://schemas.openxmlformats.org/officeDocument/2006/relationships/hyperlink" Target="https://www.itu.int/md/S21-CL-C-0073/en" TargetMode="External"/><Relationship Id="rId4" Type="http://schemas.openxmlformats.org/officeDocument/2006/relationships/settings" Target="settings.xml"/><Relationship Id="rId9" Type="http://schemas.openxmlformats.org/officeDocument/2006/relationships/hyperlink" Target="https://www.itu.int/md/S21-CL-210608-TD-GEN-0001/en" TargetMode="External"/><Relationship Id="rId14" Type="http://schemas.openxmlformats.org/officeDocument/2006/relationships/hyperlink" Target="https://www.itu.int/md/S21-CL-C-0065/en" TargetMode="External"/><Relationship Id="rId22" Type="http://schemas.openxmlformats.org/officeDocument/2006/relationships/hyperlink" Target="https://www.itu.int/md/S21-CL-C-0065/e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D7759-915F-4EC3-891F-BE524ED0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4092</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Summary record of the second meeting</vt:lpstr>
    </vt:vector>
  </TitlesOfParts>
  <Manager>General Secretariat - Pool</Manager>
  <Company>International Telecommunication Union (ITU)</Company>
  <LinksUpToDate>false</LinksUpToDate>
  <CharactersWithSpaces>27838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second meeting</dc:title>
  <dc:subject>Council 2021, Virtual consultation of councillors</dc:subject>
  <dc:creator>Brouard, Ricarda</dc:creator>
  <cp:keywords>C2021, C21, VCC, C21-VCC-1</cp:keywords>
  <dc:description/>
  <cp:lastModifiedBy>Brouard, Ricarda</cp:lastModifiedBy>
  <cp:revision>6</cp:revision>
  <cp:lastPrinted>2000-07-18T13:30:00Z</cp:lastPrinted>
  <dcterms:created xsi:type="dcterms:W3CDTF">2021-07-01T10:38:00Z</dcterms:created>
  <dcterms:modified xsi:type="dcterms:W3CDTF">2021-08-06T08:19:00Z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