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9F66A3">
            <w:pPr>
              <w:spacing w:before="360" w:after="48" w:line="240" w:lineRule="atLeast"/>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5FF8D830" w:rsidR="002A2188" w:rsidRPr="00E85629" w:rsidRDefault="00DE4373" w:rsidP="00DE4373">
            <w:pPr>
              <w:tabs>
                <w:tab w:val="left" w:pos="851"/>
              </w:tabs>
              <w:spacing w:before="0" w:line="240" w:lineRule="atLeast"/>
              <w:rPr>
                <w:b/>
              </w:rPr>
            </w:pPr>
            <w:bookmarkStart w:id="2" w:name="dmeeting" w:colFirst="0" w:colLast="0"/>
            <w:bookmarkStart w:id="3" w:name="dnum" w:colFirst="1" w:colLast="1"/>
            <w:r>
              <w:rPr>
                <w:b/>
              </w:rPr>
              <w:t xml:space="preserve">Agenda item: </w:t>
            </w:r>
            <w:r w:rsidR="009239E8" w:rsidRPr="00476038">
              <w:rPr>
                <w:b/>
              </w:rPr>
              <w:t>PL 1.04</w:t>
            </w:r>
          </w:p>
        </w:tc>
        <w:tc>
          <w:tcPr>
            <w:tcW w:w="3120" w:type="dxa"/>
          </w:tcPr>
          <w:p w14:paraId="1727AC2C" w14:textId="0E97728C" w:rsidR="002A2188" w:rsidRPr="00E85629" w:rsidRDefault="009F66A3" w:rsidP="00DE4373">
            <w:pPr>
              <w:tabs>
                <w:tab w:val="left" w:pos="851"/>
              </w:tabs>
              <w:spacing w:before="0" w:line="240" w:lineRule="atLeast"/>
              <w:rPr>
                <w:b/>
              </w:rPr>
            </w:pPr>
            <w:r>
              <w:rPr>
                <w:b/>
              </w:rPr>
              <w:t>Document C2</w:t>
            </w:r>
            <w:r w:rsidR="00F56668">
              <w:rPr>
                <w:b/>
              </w:rPr>
              <w:t>1</w:t>
            </w:r>
            <w:r w:rsidR="002A2188">
              <w:rPr>
                <w:b/>
              </w:rPr>
              <w:t>/</w:t>
            </w:r>
            <w:r w:rsidR="0083486E">
              <w:rPr>
                <w:b/>
              </w:rPr>
              <w:t>82</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3DA58842" w:rsidR="002A2188" w:rsidRPr="00E85629" w:rsidRDefault="0083486E" w:rsidP="009F66A3">
            <w:pPr>
              <w:tabs>
                <w:tab w:val="left" w:pos="993"/>
              </w:tabs>
              <w:spacing w:before="0"/>
              <w:rPr>
                <w:b/>
              </w:rPr>
            </w:pPr>
            <w:r>
              <w:rPr>
                <w:b/>
              </w:rPr>
              <w:t>2</w:t>
            </w:r>
            <w:r w:rsidR="000176CD">
              <w:rPr>
                <w:b/>
              </w:rPr>
              <w:t>5</w:t>
            </w:r>
            <w:r w:rsidR="00E00E7E">
              <w:rPr>
                <w:b/>
              </w:rPr>
              <w:t xml:space="preserve"> May</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69AEF45D" w14:textId="77777777" w:rsidR="00EA2120" w:rsidRDefault="00E00E7E" w:rsidP="00722181">
            <w:pPr>
              <w:pStyle w:val="Source"/>
            </w:pPr>
            <w:bookmarkStart w:id="6" w:name="dsource" w:colFirst="0" w:colLast="0"/>
            <w:bookmarkEnd w:id="5"/>
            <w:r>
              <w:t xml:space="preserve">Note by the </w:t>
            </w:r>
            <w:proofErr w:type="gramStart"/>
            <w:r>
              <w:t>Secretary-General</w:t>
            </w:r>
            <w:proofErr w:type="gramEnd"/>
          </w:p>
          <w:p w14:paraId="18E28CA0" w14:textId="0684975D" w:rsidR="00E00E7E" w:rsidRPr="00E00E7E" w:rsidRDefault="00E00E7E" w:rsidP="00E00E7E">
            <w:pPr>
              <w:pStyle w:val="Title1"/>
            </w:pPr>
            <w:r>
              <w:t xml:space="preserve">Contribution from </w:t>
            </w:r>
            <w:r w:rsidR="0083486E" w:rsidRPr="0083486E">
              <w:t>Australia, Canada, Czech Republic, France, Romania, United Kingdom of Great Britain and Northern Ireland</w:t>
            </w:r>
          </w:p>
        </w:tc>
      </w:tr>
      <w:tr w:rsidR="002A2188" w:rsidRPr="00813E5E" w14:paraId="73F317E2" w14:textId="77777777" w:rsidTr="00464B6C">
        <w:trPr>
          <w:cantSplit/>
        </w:trPr>
        <w:tc>
          <w:tcPr>
            <w:tcW w:w="10031" w:type="dxa"/>
            <w:gridSpan w:val="2"/>
          </w:tcPr>
          <w:p w14:paraId="2F6E9B71" w14:textId="0D2355CC" w:rsidR="00E00E7E" w:rsidRDefault="0083486E" w:rsidP="00E00E7E">
            <w:pPr>
              <w:pStyle w:val="Title1"/>
              <w:spacing w:line="276" w:lineRule="auto"/>
              <w:rPr>
                <w:rFonts w:asciiTheme="minorHAnsi" w:hAnsiTheme="minorHAnsi" w:cstheme="minorHAnsi"/>
                <w:color w:val="000000" w:themeColor="text1"/>
                <w:szCs w:val="28"/>
                <w:lang w:eastAsia="ja-JP"/>
              </w:rPr>
            </w:pPr>
            <w:bookmarkStart w:id="7" w:name="dtitle1" w:colFirst="0" w:colLast="0"/>
            <w:bookmarkEnd w:id="6"/>
            <w:r w:rsidRPr="0083486E">
              <w:rPr>
                <w:rFonts w:asciiTheme="minorHAnsi" w:hAnsiTheme="minorHAnsi" w:cstheme="minorHAnsi"/>
                <w:color w:val="000000" w:themeColor="text1"/>
                <w:szCs w:val="28"/>
                <w:lang w:eastAsia="ja-JP"/>
              </w:rPr>
              <w:t>GUIDELINES FOR UTILIZATION OF THE GLOBAL CYBERSECURITY AGENDA</w:t>
            </w:r>
          </w:p>
          <w:p w14:paraId="29B3DB5C" w14:textId="186D2D46" w:rsidR="002A2188" w:rsidRPr="00813E5E" w:rsidRDefault="002A2188" w:rsidP="00464B6C">
            <w:pPr>
              <w:pStyle w:val="Title1"/>
            </w:pPr>
          </w:p>
        </w:tc>
      </w:tr>
    </w:tbl>
    <w:bookmarkEnd w:id="7"/>
    <w:p w14:paraId="5D07D929" w14:textId="02ED7EDB" w:rsidR="00E00E7E" w:rsidRPr="000708A2" w:rsidRDefault="00E00E7E" w:rsidP="00E00E7E">
      <w:pPr>
        <w:rPr>
          <w:lang w:val="en-US"/>
        </w:rPr>
      </w:pPr>
      <w:r w:rsidRPr="000708A2">
        <w:rPr>
          <w:lang w:val="en-US"/>
        </w:rPr>
        <w:t xml:space="preserve">I have the </w:t>
      </w:r>
      <w:proofErr w:type="spellStart"/>
      <w:r w:rsidRPr="000708A2">
        <w:rPr>
          <w:lang w:val="en-US"/>
        </w:rPr>
        <w:t>honour</w:t>
      </w:r>
      <w:proofErr w:type="spellEnd"/>
      <w:r w:rsidRPr="000708A2">
        <w:rPr>
          <w:lang w:val="en-US"/>
        </w:rPr>
        <w:t xml:space="preserve"> to transmit to the Member States of the Council</w:t>
      </w:r>
      <w:r>
        <w:rPr>
          <w:lang w:val="en-US"/>
        </w:rPr>
        <w:t xml:space="preserve"> a contribution submitted by </w:t>
      </w:r>
      <w:r w:rsidR="0083486E" w:rsidRPr="0083486E">
        <w:rPr>
          <w:b/>
          <w:bCs/>
          <w:lang w:val="en-US"/>
        </w:rPr>
        <w:t xml:space="preserve">Australia, Canada, Czech Republic, France, Romania, United Kingdom of Great </w:t>
      </w:r>
      <w:proofErr w:type="gramStart"/>
      <w:r w:rsidR="0083486E" w:rsidRPr="0083486E">
        <w:rPr>
          <w:b/>
          <w:bCs/>
          <w:lang w:val="en-US"/>
        </w:rPr>
        <w:t>Britain</w:t>
      </w:r>
      <w:proofErr w:type="gramEnd"/>
      <w:r w:rsidR="0083486E" w:rsidRPr="0083486E">
        <w:rPr>
          <w:b/>
          <w:bCs/>
          <w:lang w:val="en-US"/>
        </w:rPr>
        <w:t xml:space="preserve"> and Northern Ireland</w:t>
      </w:r>
      <w:r w:rsidRPr="000708A2">
        <w:rPr>
          <w:lang w:val="en-US"/>
        </w:rPr>
        <w:t>.</w:t>
      </w:r>
    </w:p>
    <w:p w14:paraId="17B7AC66" w14:textId="77777777" w:rsidR="00E00E7E" w:rsidRPr="000708A2" w:rsidRDefault="00E00E7E" w:rsidP="00E00E7E">
      <w:pPr>
        <w:tabs>
          <w:tab w:val="clear" w:pos="567"/>
          <w:tab w:val="clear" w:pos="1134"/>
          <w:tab w:val="clear" w:pos="1701"/>
          <w:tab w:val="clear" w:pos="2268"/>
          <w:tab w:val="clear" w:pos="2835"/>
          <w:tab w:val="center" w:pos="7088"/>
        </w:tabs>
        <w:spacing w:before="840"/>
        <w:rPr>
          <w:lang w:val="en-US"/>
        </w:rPr>
      </w:pPr>
      <w:r w:rsidRPr="000708A2">
        <w:rPr>
          <w:lang w:val="en-US"/>
        </w:rPr>
        <w:tab/>
        <w:t>Houlin ZHAO</w:t>
      </w:r>
      <w:r w:rsidRPr="000708A2">
        <w:rPr>
          <w:lang w:val="en-US"/>
        </w:rPr>
        <w:br/>
      </w:r>
      <w:r w:rsidRPr="000708A2">
        <w:rPr>
          <w:lang w:val="en-US"/>
        </w:rPr>
        <w:tab/>
        <w:t>Secretary-General</w:t>
      </w:r>
    </w:p>
    <w:p w14:paraId="591B451D" w14:textId="5948F915"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8" w:name="dstart"/>
      <w:bookmarkStart w:id="9" w:name="dbreak"/>
      <w:bookmarkEnd w:id="8"/>
      <w:bookmarkEnd w:id="9"/>
      <w:r>
        <w:rPr>
          <w:lang w:val="en-US"/>
        </w:rPr>
        <w:br w:type="page"/>
      </w:r>
    </w:p>
    <w:p w14:paraId="5F888733" w14:textId="428C4EA3" w:rsidR="00E00E7E" w:rsidRPr="00E00E7E" w:rsidRDefault="00E00E7E" w:rsidP="00E00E7E">
      <w:pPr>
        <w:tabs>
          <w:tab w:val="clear" w:pos="567"/>
          <w:tab w:val="clear" w:pos="1134"/>
          <w:tab w:val="clear" w:pos="1701"/>
          <w:tab w:val="clear" w:pos="2268"/>
          <w:tab w:val="clear" w:pos="2835"/>
        </w:tabs>
        <w:overflowPunct/>
        <w:autoSpaceDE/>
        <w:autoSpaceDN/>
        <w:adjustRightInd/>
        <w:spacing w:before="0"/>
        <w:jc w:val="center"/>
        <w:textAlignment w:val="auto"/>
        <w:rPr>
          <w:b/>
          <w:bCs/>
          <w:lang w:val="en-US"/>
        </w:rPr>
      </w:pPr>
      <w:bookmarkStart w:id="10" w:name="_Hlk72921003"/>
      <w:r w:rsidRPr="00E00E7E">
        <w:rPr>
          <w:b/>
          <w:bCs/>
        </w:rPr>
        <w:lastRenderedPageBreak/>
        <w:t xml:space="preserve">Contribution from </w:t>
      </w:r>
      <w:r w:rsidR="0083486E" w:rsidRPr="0083486E">
        <w:rPr>
          <w:b/>
          <w:bCs/>
        </w:rPr>
        <w:t xml:space="preserve">Australia, Canada, Czech Republic, France, Romania, United Kingdom of Great </w:t>
      </w:r>
      <w:proofErr w:type="gramStart"/>
      <w:r w:rsidR="0083486E" w:rsidRPr="0083486E">
        <w:rPr>
          <w:b/>
          <w:bCs/>
        </w:rPr>
        <w:t>Britain</w:t>
      </w:r>
      <w:proofErr w:type="gramEnd"/>
      <w:r w:rsidR="0083486E" w:rsidRPr="0083486E">
        <w:rPr>
          <w:b/>
          <w:bCs/>
        </w:rPr>
        <w:t xml:space="preserve"> and Northern Ireland</w:t>
      </w:r>
    </w:p>
    <w:p w14:paraId="306F1037" w14:textId="5519F1B9" w:rsidR="00E00E7E" w:rsidRDefault="0083486E" w:rsidP="00E00E7E">
      <w:pPr>
        <w:pStyle w:val="Title1"/>
        <w:spacing w:after="120" w:line="276" w:lineRule="auto"/>
        <w:rPr>
          <w:rFonts w:asciiTheme="minorHAnsi" w:hAnsiTheme="minorHAnsi" w:cstheme="minorHAnsi"/>
          <w:color w:val="000000" w:themeColor="text1"/>
          <w:szCs w:val="28"/>
          <w:lang w:eastAsia="ja-JP"/>
        </w:rPr>
      </w:pPr>
      <w:r w:rsidRPr="0083486E">
        <w:rPr>
          <w:rFonts w:asciiTheme="minorHAnsi" w:hAnsiTheme="minorHAnsi" w:cstheme="minorHAnsi"/>
          <w:color w:val="000000" w:themeColor="text1"/>
          <w:szCs w:val="28"/>
          <w:lang w:eastAsia="ja-JP"/>
        </w:rPr>
        <w:t xml:space="preserve">GUIDELINES FOR UTILIZATION OF THE GLOBAL CYBERSECURITY AGENDA </w:t>
      </w:r>
      <w:bookmarkEnd w:id="10"/>
    </w:p>
    <w:p w14:paraId="04711A3A" w14:textId="77777777" w:rsidR="00E00E7E" w:rsidRDefault="00E00E7E">
      <w:pPr>
        <w:tabs>
          <w:tab w:val="clear" w:pos="567"/>
          <w:tab w:val="clear" w:pos="1134"/>
          <w:tab w:val="clear" w:pos="1701"/>
          <w:tab w:val="clear" w:pos="2268"/>
          <w:tab w:val="clear" w:pos="2835"/>
        </w:tabs>
        <w:overflowPunct/>
        <w:autoSpaceDE/>
        <w:autoSpaceDN/>
        <w:adjustRightInd/>
        <w:spacing w:before="0"/>
        <w:textAlignment w:val="auto"/>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00E7E" w:rsidRPr="00813E5E" w14:paraId="3EE2F617" w14:textId="77777777" w:rsidTr="00E00E7E">
        <w:trPr>
          <w:trHeight w:val="3001"/>
        </w:trPr>
        <w:tc>
          <w:tcPr>
            <w:tcW w:w="8080" w:type="dxa"/>
            <w:tcBorders>
              <w:top w:val="single" w:sz="12" w:space="0" w:color="auto"/>
              <w:left w:val="single" w:sz="12" w:space="0" w:color="auto"/>
              <w:bottom w:val="single" w:sz="12" w:space="0" w:color="auto"/>
              <w:right w:val="single" w:sz="12" w:space="0" w:color="auto"/>
            </w:tcBorders>
          </w:tcPr>
          <w:p w14:paraId="4332BEDC" w14:textId="77777777" w:rsidR="00E00E7E" w:rsidRPr="00CF5A9F" w:rsidRDefault="00E00E7E" w:rsidP="00476038">
            <w:pPr>
              <w:pStyle w:val="Headingb"/>
              <w:spacing w:before="120" w:after="120"/>
              <w:rPr>
                <w:szCs w:val="24"/>
              </w:rPr>
            </w:pPr>
            <w:r w:rsidRPr="00CF5A9F">
              <w:rPr>
                <w:szCs w:val="24"/>
              </w:rPr>
              <w:t>Summary</w:t>
            </w:r>
          </w:p>
          <w:p w14:paraId="0CD0D152" w14:textId="10354DEE" w:rsidR="00E00E7E" w:rsidRDefault="0083486E" w:rsidP="00476038">
            <w:pPr>
              <w:spacing w:after="120" w:line="276" w:lineRule="auto"/>
              <w:jc w:val="both"/>
              <w:rPr>
                <w:rFonts w:cstheme="minorHAnsi"/>
                <w:color w:val="000000" w:themeColor="text1"/>
              </w:rPr>
            </w:pPr>
            <w:r w:rsidRPr="0083486E">
              <w:rPr>
                <w:rFonts w:cstheme="minorHAnsi"/>
                <w:color w:val="000000" w:themeColor="text1"/>
              </w:rPr>
              <w:t xml:space="preserve">It is our view that the Guidelines for utilization of the </w:t>
            </w:r>
            <w:r w:rsidR="008919F3">
              <w:rPr>
                <w:rFonts w:cstheme="minorHAnsi"/>
                <w:color w:val="000000" w:themeColor="text1"/>
              </w:rPr>
              <w:t>Global Cybersecurity Agenda (</w:t>
            </w:r>
            <w:r w:rsidRPr="0083486E">
              <w:rPr>
                <w:rFonts w:cstheme="minorHAnsi"/>
                <w:color w:val="000000" w:themeColor="text1"/>
              </w:rPr>
              <w:t>GCA</w:t>
            </w:r>
            <w:r w:rsidR="008919F3">
              <w:rPr>
                <w:rFonts w:cstheme="minorHAnsi"/>
                <w:color w:val="000000" w:themeColor="text1"/>
              </w:rPr>
              <w:t>)</w:t>
            </w:r>
            <w:r w:rsidRPr="0083486E">
              <w:rPr>
                <w:rFonts w:cstheme="minorHAnsi"/>
                <w:color w:val="000000" w:themeColor="text1"/>
              </w:rPr>
              <w:t xml:space="preserve"> should be a short and very focussed reference document that takes into consideration the existing work by the ITU on cybersecurity related matters, reflected inter alia by </w:t>
            </w:r>
            <w:bookmarkStart w:id="11" w:name="_Hlk72917335"/>
            <w:r w:rsidRPr="00476038">
              <w:rPr>
                <w:rFonts w:cstheme="minorHAnsi"/>
                <w:color w:val="000000" w:themeColor="text1"/>
              </w:rPr>
              <w:t>P</w:t>
            </w:r>
            <w:r w:rsidR="008919F3">
              <w:rPr>
                <w:rFonts w:cstheme="minorHAnsi"/>
                <w:color w:val="000000" w:themeColor="text1"/>
              </w:rPr>
              <w:t>lenipotentiary</w:t>
            </w:r>
            <w:r w:rsidRPr="00476038">
              <w:rPr>
                <w:rFonts w:cstheme="minorHAnsi"/>
                <w:color w:val="000000" w:themeColor="text1"/>
              </w:rPr>
              <w:t xml:space="preserve"> Res</w:t>
            </w:r>
            <w:r w:rsidR="00476038">
              <w:rPr>
                <w:rFonts w:cstheme="minorHAnsi"/>
                <w:color w:val="000000" w:themeColor="text1"/>
              </w:rPr>
              <w:t>olution</w:t>
            </w:r>
            <w:r w:rsidRPr="00476038">
              <w:rPr>
                <w:rFonts w:cstheme="minorHAnsi"/>
                <w:color w:val="000000" w:themeColor="text1"/>
              </w:rPr>
              <w:t xml:space="preserve"> 130, WTSA Res</w:t>
            </w:r>
            <w:r w:rsidR="00476038">
              <w:rPr>
                <w:rFonts w:cstheme="minorHAnsi"/>
                <w:color w:val="000000" w:themeColor="text1"/>
              </w:rPr>
              <w:t>olution</w:t>
            </w:r>
            <w:r w:rsidRPr="00476038">
              <w:rPr>
                <w:rFonts w:cstheme="minorHAnsi"/>
                <w:color w:val="000000" w:themeColor="text1"/>
              </w:rPr>
              <w:t xml:space="preserve"> 50, WTDC Res</w:t>
            </w:r>
            <w:r w:rsidR="00476038">
              <w:rPr>
                <w:rFonts w:cstheme="minorHAnsi"/>
                <w:color w:val="000000" w:themeColor="text1"/>
              </w:rPr>
              <w:t>olution</w:t>
            </w:r>
            <w:r w:rsidRPr="00476038">
              <w:rPr>
                <w:rFonts w:cstheme="minorHAnsi"/>
                <w:color w:val="000000" w:themeColor="text1"/>
              </w:rPr>
              <w:t xml:space="preserve"> 45</w:t>
            </w:r>
            <w:bookmarkEnd w:id="11"/>
            <w:r w:rsidRPr="0083486E">
              <w:rPr>
                <w:rFonts w:cstheme="minorHAnsi"/>
                <w:color w:val="000000" w:themeColor="text1"/>
              </w:rPr>
              <w:t>, the work of ITU-T SG-17, and several other initiatives and programs undertaken by the Development Sector.</w:t>
            </w:r>
          </w:p>
          <w:p w14:paraId="41FAF0A2" w14:textId="77777777" w:rsidR="00E00E7E" w:rsidRPr="00CF5A9F" w:rsidRDefault="00E00E7E" w:rsidP="00476038">
            <w:pPr>
              <w:pStyle w:val="Headingb"/>
              <w:spacing w:before="120" w:after="120"/>
              <w:rPr>
                <w:szCs w:val="24"/>
              </w:rPr>
            </w:pPr>
            <w:r w:rsidRPr="00CF5A9F">
              <w:rPr>
                <w:szCs w:val="24"/>
              </w:rPr>
              <w:t xml:space="preserve">Action </w:t>
            </w:r>
            <w:proofErr w:type="gramStart"/>
            <w:r w:rsidRPr="00CF5A9F">
              <w:rPr>
                <w:szCs w:val="24"/>
              </w:rPr>
              <w:t>required</w:t>
            </w:r>
            <w:proofErr w:type="gramEnd"/>
          </w:p>
          <w:p w14:paraId="52EE5962" w14:textId="4BA3FF8B" w:rsidR="00E00E7E" w:rsidRDefault="0083486E" w:rsidP="00476038">
            <w:pPr>
              <w:spacing w:after="120" w:line="276" w:lineRule="auto"/>
              <w:jc w:val="both"/>
              <w:rPr>
                <w:rFonts w:cstheme="minorHAnsi"/>
                <w:color w:val="000000" w:themeColor="text1"/>
              </w:rPr>
            </w:pPr>
            <w:r w:rsidRPr="00D864E0">
              <w:rPr>
                <w:rFonts w:cstheme="minorHAnsi"/>
                <w:color w:val="000000" w:themeColor="text1"/>
              </w:rPr>
              <w:t xml:space="preserve">This document </w:t>
            </w:r>
            <w:r w:rsidRPr="00D864E0">
              <w:rPr>
                <w:rFonts w:cstheme="minorHAnsi"/>
                <w:b/>
                <w:bCs/>
                <w:color w:val="000000" w:themeColor="text1"/>
              </w:rPr>
              <w:t>is submitted</w:t>
            </w:r>
            <w:r w:rsidRPr="00D864E0">
              <w:rPr>
                <w:rFonts w:cstheme="minorHAnsi"/>
                <w:color w:val="000000" w:themeColor="text1"/>
              </w:rPr>
              <w:t xml:space="preserve"> for Council’s consideration.</w:t>
            </w:r>
          </w:p>
          <w:p w14:paraId="3B62255D" w14:textId="77777777" w:rsidR="0083486E" w:rsidRPr="0083486E" w:rsidRDefault="0083486E" w:rsidP="00476038">
            <w:pPr>
              <w:spacing w:after="120"/>
              <w:ind w:left="567" w:hanging="567"/>
              <w:textAlignment w:val="auto"/>
              <w:outlineLvl w:val="0"/>
              <w:rPr>
                <w:rFonts w:cs="Calibri"/>
                <w:b/>
                <w:szCs w:val="24"/>
              </w:rPr>
            </w:pPr>
            <w:r w:rsidRPr="0083486E">
              <w:rPr>
                <w:rFonts w:cs="Calibri"/>
                <w:b/>
                <w:szCs w:val="24"/>
              </w:rPr>
              <w:t>References</w:t>
            </w:r>
          </w:p>
          <w:p w14:paraId="3F403F1F" w14:textId="77777777" w:rsidR="0083486E" w:rsidRPr="0083486E" w:rsidRDefault="00D864E0" w:rsidP="0083486E">
            <w:pPr>
              <w:spacing w:before="0" w:after="120"/>
              <w:textAlignment w:val="auto"/>
              <w:rPr>
                <w:i/>
                <w:iCs/>
              </w:rPr>
            </w:pPr>
            <w:hyperlink r:id="rId9" w:history="1">
              <w:r w:rsidR="0083486E" w:rsidRPr="0083486E">
                <w:rPr>
                  <w:i/>
                  <w:iCs/>
                  <w:color w:val="0000FF"/>
                  <w:u w:val="single"/>
                </w:rPr>
                <w:t>https://www.itu.int/en/action/cybersecurity/Pages/default.aspx</w:t>
              </w:r>
            </w:hyperlink>
            <w:r w:rsidR="0083486E" w:rsidRPr="0083486E">
              <w:rPr>
                <w:i/>
                <w:iCs/>
              </w:rPr>
              <w:t xml:space="preserve"> </w:t>
            </w:r>
          </w:p>
          <w:bookmarkStart w:id="12" w:name="_Hlk72917442"/>
          <w:p w14:paraId="27B37AD6" w14:textId="148FA138" w:rsidR="0083486E" w:rsidRPr="00E00E7E" w:rsidRDefault="0083486E" w:rsidP="0083486E">
            <w:pPr>
              <w:spacing w:line="276" w:lineRule="auto"/>
              <w:jc w:val="both"/>
              <w:rPr>
                <w:rFonts w:cstheme="minorHAnsi"/>
                <w:color w:val="000000" w:themeColor="text1"/>
                <w:lang w:eastAsia="zh-CN"/>
              </w:rPr>
            </w:pPr>
            <w:r w:rsidRPr="00476038">
              <w:fldChar w:fldCharType="begin"/>
            </w:r>
            <w:r w:rsidR="00752137" w:rsidRPr="00476038">
              <w:instrText>HYPERLINK "https://www.itu.int/md/S21-CL-C-0036/en"</w:instrText>
            </w:r>
            <w:r w:rsidRPr="00476038">
              <w:fldChar w:fldCharType="separate"/>
            </w:r>
            <w:r w:rsidR="00752137" w:rsidRPr="00476038">
              <w:rPr>
                <w:i/>
                <w:iCs/>
                <w:color w:val="0000FF"/>
                <w:szCs w:val="24"/>
                <w:u w:val="single"/>
              </w:rPr>
              <w:t>Document C21/36</w:t>
            </w:r>
            <w:r w:rsidRPr="00476038">
              <w:fldChar w:fldCharType="end"/>
            </w:r>
            <w:bookmarkEnd w:id="12"/>
            <w:r w:rsidR="008919F3">
              <w:rPr>
                <w:rFonts w:cstheme="minorHAnsi"/>
                <w:i/>
                <w:iCs/>
                <w:color w:val="000000" w:themeColor="text1"/>
              </w:rPr>
              <w:t xml:space="preserve"> </w:t>
            </w:r>
          </w:p>
          <w:p w14:paraId="3EDCFD01" w14:textId="77777777" w:rsidR="00E00E7E" w:rsidRPr="00CF5A9F" w:rsidRDefault="00E00E7E" w:rsidP="00E00E7E">
            <w:pPr>
              <w:pStyle w:val="Table"/>
              <w:keepNext w:val="0"/>
              <w:spacing w:before="120"/>
              <w:rPr>
                <w:szCs w:val="24"/>
              </w:rPr>
            </w:pPr>
          </w:p>
        </w:tc>
      </w:tr>
    </w:tbl>
    <w:p w14:paraId="3F9A568F" w14:textId="77777777" w:rsidR="00E00E7E" w:rsidRPr="00E00E7E" w:rsidRDefault="00E00E7E" w:rsidP="00E00E7E">
      <w:pPr>
        <w:pStyle w:val="ListParagraph"/>
        <w:numPr>
          <w:ilvl w:val="0"/>
          <w:numId w:val="12"/>
        </w:numPr>
        <w:spacing w:before="480" w:after="120" w:line="276" w:lineRule="auto"/>
        <w:ind w:left="0" w:firstLine="0"/>
        <w:jc w:val="both"/>
        <w:rPr>
          <w:rFonts w:asciiTheme="minorHAnsi" w:hAnsiTheme="minorHAnsi" w:cstheme="minorHAnsi"/>
          <w:b/>
          <w:bCs/>
          <w:color w:val="000000" w:themeColor="text1"/>
          <w:sz w:val="24"/>
          <w:lang w:val="en-GB" w:eastAsia="ja-JP"/>
        </w:rPr>
      </w:pPr>
      <w:r w:rsidRPr="00E00E7E">
        <w:rPr>
          <w:rFonts w:asciiTheme="minorHAnsi" w:hAnsiTheme="minorHAnsi" w:cstheme="minorHAnsi"/>
          <w:b/>
          <w:bCs/>
          <w:color w:val="000000" w:themeColor="text1"/>
          <w:sz w:val="24"/>
          <w:lang w:val="en-GB" w:eastAsia="ja-JP"/>
        </w:rPr>
        <w:t>Introduction</w:t>
      </w:r>
    </w:p>
    <w:p w14:paraId="1AB313A6" w14:textId="73E0BA16" w:rsidR="0083486E" w:rsidRDefault="0083486E" w:rsidP="0083486E">
      <w:pPr>
        <w:spacing w:after="120"/>
        <w:jc w:val="both"/>
        <w:rPr>
          <w:rFonts w:asciiTheme="minorHAnsi" w:hAnsiTheme="minorHAnsi" w:cstheme="minorHAnsi"/>
          <w:bCs/>
          <w:szCs w:val="24"/>
          <w:lang w:val="nb-NO"/>
        </w:rPr>
      </w:pPr>
      <w:r>
        <w:rPr>
          <w:rFonts w:asciiTheme="minorHAnsi" w:hAnsiTheme="minorHAnsi" w:cstheme="minorHAnsi"/>
          <w:bCs/>
          <w:szCs w:val="24"/>
          <w:lang w:val="nb-NO"/>
        </w:rPr>
        <w:t>We appreciate the opportunity to submit further comments on the draft Guidelines for utilization of the GCA, and recognize that substantial efforts have gone in preparing the current draft Guidelines submitted by the Secretary-General for Council’s consideration.</w:t>
      </w:r>
    </w:p>
    <w:p w14:paraId="630598AD" w14:textId="439EFC39" w:rsidR="0083486E" w:rsidRDefault="0083486E" w:rsidP="0083486E">
      <w:pPr>
        <w:spacing w:after="120"/>
        <w:jc w:val="both"/>
        <w:rPr>
          <w:rFonts w:asciiTheme="minorHAnsi" w:hAnsiTheme="minorHAnsi" w:cstheme="minorHAnsi"/>
          <w:bCs/>
          <w:szCs w:val="24"/>
        </w:rPr>
      </w:pPr>
      <w:r>
        <w:rPr>
          <w:rFonts w:asciiTheme="minorHAnsi" w:hAnsiTheme="minorHAnsi" w:cstheme="minorHAnsi"/>
          <w:bCs/>
          <w:szCs w:val="24"/>
          <w:lang w:val="nb-NO"/>
        </w:rPr>
        <w:t xml:space="preserve">We recognize that the GCA is an important framework comprised of five Pillars: legal measures; technical and procedural measures; organizational structures; capacity building, and international cooperation, in essence </w:t>
      </w:r>
      <w:r>
        <w:rPr>
          <w:rFonts w:asciiTheme="minorHAnsi" w:hAnsiTheme="minorHAnsi" w:cstheme="minorHAnsi"/>
          <w:bCs/>
          <w:szCs w:val="24"/>
        </w:rPr>
        <w:t>a reference document for multi-stakeholder cooperation and collaboration with and between all relevant stakeholders, building on existing initiatives to avoid duplicating efforts.</w:t>
      </w:r>
    </w:p>
    <w:p w14:paraId="7E96F6DA" w14:textId="77777777" w:rsidR="00476038" w:rsidRDefault="0083486E" w:rsidP="00476038">
      <w:pPr>
        <w:spacing w:after="120"/>
        <w:jc w:val="both"/>
        <w:rPr>
          <w:rFonts w:asciiTheme="minorHAnsi" w:hAnsiTheme="minorHAnsi" w:cstheme="minorHAnsi"/>
          <w:bCs/>
          <w:szCs w:val="24"/>
          <w:lang w:val="en-US"/>
        </w:rPr>
      </w:pPr>
      <w:r>
        <w:rPr>
          <w:rFonts w:asciiTheme="minorHAnsi" w:hAnsiTheme="minorHAnsi" w:cstheme="minorHAnsi"/>
          <w:bCs/>
          <w:szCs w:val="24"/>
          <w:lang w:val="en-US"/>
        </w:rPr>
        <w:t>Furthermore, we wish to highlight that the ITU is already utilizing the GCA in an effective and efficient manner - to the benefit of all ITU membership - as reflected by the Secretary-General’s contribution to the Council.</w:t>
      </w:r>
    </w:p>
    <w:p w14:paraId="03BEA649" w14:textId="08C166F2" w:rsidR="0083486E" w:rsidRPr="00476038" w:rsidRDefault="0083486E" w:rsidP="00476038">
      <w:pPr>
        <w:spacing w:after="120"/>
        <w:jc w:val="both"/>
        <w:rPr>
          <w:rFonts w:asciiTheme="minorHAnsi" w:hAnsiTheme="minorHAnsi" w:cstheme="minorHAnsi"/>
          <w:bCs/>
          <w:szCs w:val="24"/>
          <w:lang w:val="en-US"/>
        </w:rPr>
      </w:pPr>
      <w:r>
        <w:rPr>
          <w:rFonts w:asciiTheme="minorHAnsi" w:hAnsiTheme="minorHAnsi" w:cstheme="minorHAnsi"/>
          <w:bCs/>
          <w:szCs w:val="24"/>
          <w:lang w:val="en-US"/>
        </w:rPr>
        <w:t>Recognizing the Union’s mandate and ongoing cybersecurity activities and programs, and the need for ITU and its members to have a clear understanding of the purpose, intended audience and focus of the Guidelines, we are pleased to propose that the Guidelines be a very focused and concise document limited to the following streamlined activities for each of the GCA pillars.</w:t>
      </w:r>
    </w:p>
    <w:p w14:paraId="7DE3B034" w14:textId="77777777" w:rsidR="0083486E" w:rsidRDefault="0083486E" w:rsidP="00476038">
      <w:pPr>
        <w:spacing w:after="120"/>
        <w:jc w:val="both"/>
        <w:rPr>
          <w:rFonts w:asciiTheme="minorHAnsi" w:hAnsiTheme="minorHAnsi" w:cstheme="minorHAnsi"/>
          <w:b/>
          <w:szCs w:val="24"/>
        </w:rPr>
      </w:pPr>
      <w:r>
        <w:rPr>
          <w:rFonts w:asciiTheme="minorHAnsi" w:hAnsiTheme="minorHAnsi" w:cstheme="minorHAnsi"/>
          <w:b/>
          <w:szCs w:val="24"/>
        </w:rPr>
        <w:t>Pillar 1: Legal Measures</w:t>
      </w:r>
    </w:p>
    <w:p w14:paraId="22EBC7D5" w14:textId="77777777" w:rsidR="0083486E" w:rsidRDefault="0083486E" w:rsidP="00476038">
      <w:pPr>
        <w:spacing w:after="120"/>
        <w:jc w:val="both"/>
        <w:rPr>
          <w:rFonts w:asciiTheme="minorHAnsi" w:hAnsiTheme="minorHAnsi" w:cstheme="minorHAnsi"/>
          <w:bCs/>
          <w:sz w:val="23"/>
          <w:szCs w:val="23"/>
        </w:rPr>
      </w:pPr>
      <w:r>
        <w:rPr>
          <w:rFonts w:asciiTheme="minorHAnsi" w:hAnsiTheme="minorHAnsi" w:cstheme="minorHAnsi"/>
          <w:bCs/>
          <w:sz w:val="23"/>
          <w:szCs w:val="23"/>
        </w:rPr>
        <w:t>a.</w:t>
      </w:r>
      <w:r>
        <w:rPr>
          <w:rFonts w:asciiTheme="minorHAnsi" w:hAnsiTheme="minorHAnsi" w:cstheme="minorHAnsi"/>
          <w:bCs/>
          <w:sz w:val="23"/>
          <w:szCs w:val="23"/>
        </w:rPr>
        <w:tab/>
        <w:t xml:space="preserve">ITU should continue its efforts within its mandate to facilitate multi-stakeholder discussions and collaboration on the challenges associated with cybersecurity, </w:t>
      </w:r>
      <w:proofErr w:type="gramStart"/>
      <w:r>
        <w:rPr>
          <w:rFonts w:asciiTheme="minorHAnsi" w:hAnsiTheme="minorHAnsi" w:cstheme="minorHAnsi"/>
          <w:bCs/>
          <w:sz w:val="23"/>
          <w:szCs w:val="23"/>
        </w:rPr>
        <w:t>and in particular, strengthen</w:t>
      </w:r>
      <w:proofErr w:type="gramEnd"/>
      <w:r>
        <w:rPr>
          <w:rFonts w:asciiTheme="minorHAnsi" w:hAnsiTheme="minorHAnsi" w:cstheme="minorHAnsi"/>
          <w:bCs/>
          <w:sz w:val="23"/>
          <w:szCs w:val="23"/>
        </w:rPr>
        <w:t xml:space="preserve"> its relationship with all stakeholders to deliver assistance to Member States in this regard.</w:t>
      </w:r>
    </w:p>
    <w:p w14:paraId="4A5E037B" w14:textId="77777777" w:rsidR="0083486E" w:rsidRDefault="0083486E" w:rsidP="00476038">
      <w:pPr>
        <w:spacing w:after="120"/>
        <w:jc w:val="both"/>
        <w:rPr>
          <w:rFonts w:asciiTheme="minorHAnsi" w:hAnsiTheme="minorHAnsi" w:cstheme="minorHAnsi"/>
          <w:bCs/>
          <w:sz w:val="23"/>
          <w:szCs w:val="23"/>
        </w:rPr>
      </w:pPr>
      <w:r>
        <w:rPr>
          <w:rFonts w:asciiTheme="minorHAnsi" w:hAnsiTheme="minorHAnsi" w:cstheme="minorHAnsi"/>
          <w:bCs/>
          <w:sz w:val="23"/>
          <w:szCs w:val="23"/>
        </w:rPr>
        <w:lastRenderedPageBreak/>
        <w:t>b.</w:t>
      </w:r>
      <w:r>
        <w:rPr>
          <w:rFonts w:asciiTheme="minorHAnsi" w:hAnsiTheme="minorHAnsi" w:cstheme="minorHAnsi"/>
          <w:bCs/>
          <w:sz w:val="23"/>
          <w:szCs w:val="23"/>
        </w:rPr>
        <w:tab/>
        <w:t>ITU should continue to work with relevant partners, within its mandate, to develop and maintain cybersecurity legislation resources to help Member States understand the legal aspects of cybersecurity, while also supporting the exchange of experience and knowledge among Member States to support their efforts in developing frameworks on the subject.</w:t>
      </w:r>
    </w:p>
    <w:p w14:paraId="13B85C01" w14:textId="0088F818" w:rsidR="0083486E" w:rsidRDefault="0083486E" w:rsidP="00476038">
      <w:pPr>
        <w:spacing w:after="120"/>
        <w:jc w:val="both"/>
        <w:rPr>
          <w:rFonts w:asciiTheme="minorHAnsi" w:hAnsiTheme="minorHAnsi" w:cstheme="minorHAnsi"/>
          <w:bCs/>
          <w:sz w:val="23"/>
          <w:szCs w:val="23"/>
        </w:rPr>
      </w:pPr>
      <w:r>
        <w:rPr>
          <w:rFonts w:asciiTheme="minorHAnsi" w:hAnsiTheme="minorHAnsi" w:cstheme="minorHAnsi"/>
          <w:bCs/>
          <w:sz w:val="23"/>
          <w:szCs w:val="23"/>
        </w:rPr>
        <w:t>c.</w:t>
      </w:r>
      <w:r>
        <w:rPr>
          <w:rFonts w:asciiTheme="minorHAnsi" w:hAnsiTheme="minorHAnsi" w:cstheme="minorHAnsi"/>
          <w:bCs/>
          <w:sz w:val="23"/>
          <w:szCs w:val="23"/>
        </w:rPr>
        <w:tab/>
        <w:t>ITU, in collaboration with all stakeholders, should work towards a clear and common understanding of the term “emerging technologies”, the opportunities and challenges posed by such technologies, and facilitate an exchange of case studies and good practices on any legal measures that could be applicable at the national, regional, and international level.</w:t>
      </w:r>
    </w:p>
    <w:p w14:paraId="22AE4F6F" w14:textId="21A25D9A" w:rsidR="0083486E" w:rsidRDefault="0083486E" w:rsidP="00476038">
      <w:pPr>
        <w:spacing w:after="120"/>
        <w:jc w:val="both"/>
        <w:rPr>
          <w:rFonts w:asciiTheme="minorHAnsi" w:hAnsiTheme="minorHAnsi" w:cstheme="minorHAnsi"/>
          <w:bCs/>
          <w:sz w:val="23"/>
          <w:szCs w:val="23"/>
        </w:rPr>
      </w:pPr>
      <w:r>
        <w:rPr>
          <w:rFonts w:asciiTheme="minorHAnsi" w:hAnsiTheme="minorHAnsi" w:cstheme="minorHAnsi"/>
          <w:bCs/>
          <w:iCs/>
          <w:sz w:val="23"/>
          <w:szCs w:val="23"/>
          <w:lang w:val="en-US"/>
        </w:rPr>
        <w:t>d</w:t>
      </w:r>
      <w:r>
        <w:rPr>
          <w:rFonts w:asciiTheme="minorHAnsi" w:hAnsiTheme="minorHAnsi" w:cstheme="minorHAnsi"/>
          <w:bCs/>
          <w:sz w:val="23"/>
          <w:szCs w:val="23"/>
        </w:rPr>
        <w:t>.</w:t>
      </w:r>
      <w:r>
        <w:rPr>
          <w:rFonts w:asciiTheme="minorHAnsi" w:hAnsiTheme="minorHAnsi" w:cstheme="minorHAnsi"/>
          <w:bCs/>
          <w:sz w:val="23"/>
          <w:szCs w:val="23"/>
        </w:rPr>
        <w:tab/>
        <w:t>ITU should continue to strengthen the Child Online Protection programme as a platform to work with partners and stakeholders to promote the exchange of knowledge, information, activities, including measures that can facilitate and support country action on this critical issue.</w:t>
      </w:r>
      <w:bookmarkStart w:id="13" w:name="_Toc37331405"/>
    </w:p>
    <w:p w14:paraId="2BD70FB0" w14:textId="77777777" w:rsidR="0083486E" w:rsidRDefault="0083486E" w:rsidP="00476038">
      <w:pPr>
        <w:spacing w:after="120"/>
        <w:jc w:val="both"/>
        <w:rPr>
          <w:rFonts w:asciiTheme="minorHAnsi" w:hAnsiTheme="minorHAnsi" w:cstheme="minorHAnsi"/>
          <w:b/>
          <w:szCs w:val="24"/>
        </w:rPr>
      </w:pPr>
      <w:r>
        <w:rPr>
          <w:rFonts w:asciiTheme="minorHAnsi" w:hAnsiTheme="minorHAnsi" w:cstheme="minorHAnsi"/>
          <w:b/>
          <w:sz w:val="23"/>
          <w:szCs w:val="23"/>
        </w:rPr>
        <w:t>P</w:t>
      </w:r>
      <w:r>
        <w:rPr>
          <w:rFonts w:asciiTheme="minorHAnsi" w:hAnsiTheme="minorHAnsi" w:cstheme="minorHAnsi"/>
          <w:b/>
          <w:szCs w:val="24"/>
        </w:rPr>
        <w:t>illar 2: Technical &amp; Procedural Measures</w:t>
      </w:r>
      <w:bookmarkEnd w:id="13"/>
      <w:r>
        <w:rPr>
          <w:rFonts w:asciiTheme="minorHAnsi" w:hAnsiTheme="minorHAnsi" w:cstheme="minorHAnsi"/>
          <w:b/>
          <w:szCs w:val="24"/>
        </w:rPr>
        <w:t xml:space="preserve"> </w:t>
      </w:r>
    </w:p>
    <w:p w14:paraId="7481AAC0" w14:textId="108A3106" w:rsidR="0083486E" w:rsidRDefault="0083486E" w:rsidP="00476038">
      <w:pPr>
        <w:spacing w:after="120"/>
        <w:jc w:val="both"/>
        <w:rPr>
          <w:rFonts w:asciiTheme="minorHAnsi" w:hAnsiTheme="minorHAnsi" w:cstheme="minorHAnsi"/>
          <w:bCs/>
          <w:szCs w:val="24"/>
        </w:rPr>
      </w:pPr>
      <w:r>
        <w:rPr>
          <w:rFonts w:asciiTheme="minorHAnsi" w:hAnsiTheme="minorHAnsi" w:cstheme="minorHAnsi"/>
          <w:bCs/>
          <w:szCs w:val="24"/>
        </w:rPr>
        <w:t>a.</w:t>
      </w:r>
      <w:r>
        <w:rPr>
          <w:rFonts w:asciiTheme="minorHAnsi" w:hAnsiTheme="minorHAnsi" w:cstheme="minorHAnsi"/>
          <w:bCs/>
          <w:szCs w:val="24"/>
        </w:rPr>
        <w:tab/>
        <w:t xml:space="preserve">Within their specific mandates and core competencies, ITU study groups should place an emphasis on further clarifying what is meant by emerging technologies, </w:t>
      </w:r>
      <w:proofErr w:type="gramStart"/>
      <w:r>
        <w:rPr>
          <w:rFonts w:asciiTheme="minorHAnsi" w:hAnsiTheme="minorHAnsi" w:cstheme="minorHAnsi"/>
          <w:bCs/>
          <w:szCs w:val="24"/>
        </w:rPr>
        <w:t>in order to</w:t>
      </w:r>
      <w:proofErr w:type="gramEnd"/>
      <w:r>
        <w:rPr>
          <w:rFonts w:asciiTheme="minorHAnsi" w:hAnsiTheme="minorHAnsi" w:cstheme="minorHAnsi"/>
          <w:bCs/>
          <w:szCs w:val="24"/>
        </w:rPr>
        <w:t xml:space="preserve"> study and suggest appropriate cybersecurity guidelines for the use of such technologies and recommend Member States to voluntarily apply these in a timely manner.</w:t>
      </w:r>
    </w:p>
    <w:p w14:paraId="2D808375" w14:textId="77777777" w:rsidR="0083486E" w:rsidRDefault="0083486E" w:rsidP="00476038">
      <w:pPr>
        <w:spacing w:after="120"/>
        <w:jc w:val="both"/>
        <w:rPr>
          <w:rFonts w:asciiTheme="minorHAnsi" w:hAnsiTheme="minorHAnsi" w:cstheme="minorHAnsi"/>
          <w:bCs/>
          <w:szCs w:val="24"/>
        </w:rPr>
      </w:pPr>
      <w:r>
        <w:rPr>
          <w:rFonts w:asciiTheme="minorHAnsi" w:hAnsiTheme="minorHAnsi" w:cstheme="minorHAnsi"/>
          <w:bCs/>
          <w:szCs w:val="24"/>
        </w:rPr>
        <w:t>b.</w:t>
      </w:r>
      <w:r>
        <w:rPr>
          <w:rFonts w:asciiTheme="minorHAnsi" w:hAnsiTheme="minorHAnsi" w:cstheme="minorHAnsi"/>
          <w:bCs/>
          <w:szCs w:val="24"/>
        </w:rPr>
        <w:tab/>
        <w:t>A mechanism for close coordination should be established among the various ITU-T study groups regarding the study of cybersecurity related matters, with SG17 in a coordinating/leading role.</w:t>
      </w:r>
    </w:p>
    <w:p w14:paraId="363FF526" w14:textId="43578B5C" w:rsidR="0083486E" w:rsidRDefault="0083486E" w:rsidP="00476038">
      <w:pPr>
        <w:spacing w:after="120"/>
        <w:jc w:val="both"/>
        <w:rPr>
          <w:rFonts w:asciiTheme="minorHAnsi" w:hAnsiTheme="minorHAnsi" w:cstheme="minorHAnsi"/>
          <w:bCs/>
        </w:rPr>
      </w:pPr>
      <w:r>
        <w:rPr>
          <w:rFonts w:asciiTheme="minorHAnsi" w:hAnsiTheme="minorHAnsi" w:cstheme="minorHAnsi"/>
          <w:bCs/>
        </w:rPr>
        <w:t>c.</w:t>
      </w:r>
      <w:r>
        <w:rPr>
          <w:rFonts w:asciiTheme="minorHAnsi" w:hAnsiTheme="minorHAnsi" w:cstheme="minorHAnsi"/>
          <w:bCs/>
        </w:rPr>
        <w:tab/>
        <w:t>Close coordination and collaboration between ITU and private sector led SDOs should be encouraged to ensure that the end-to-end product security of diverse applications and services is maintained throughout the product cycle.</w:t>
      </w:r>
    </w:p>
    <w:p w14:paraId="4EAC7DE2" w14:textId="506E2142" w:rsidR="0083486E" w:rsidRDefault="0083486E" w:rsidP="00476038">
      <w:pPr>
        <w:spacing w:after="120"/>
        <w:jc w:val="both"/>
        <w:rPr>
          <w:rFonts w:asciiTheme="minorHAnsi" w:hAnsiTheme="minorHAnsi" w:cstheme="minorHAnsi"/>
          <w:bCs/>
          <w:szCs w:val="24"/>
        </w:rPr>
      </w:pPr>
      <w:r>
        <w:rPr>
          <w:rFonts w:asciiTheme="minorHAnsi" w:hAnsiTheme="minorHAnsi" w:cstheme="minorHAnsi"/>
          <w:bCs/>
          <w:szCs w:val="24"/>
        </w:rPr>
        <w:t>d.</w:t>
      </w:r>
      <w:r>
        <w:rPr>
          <w:rFonts w:asciiTheme="minorHAnsi" w:hAnsiTheme="minorHAnsi" w:cstheme="minorHAnsi"/>
          <w:bCs/>
          <w:szCs w:val="24"/>
        </w:rPr>
        <w:tab/>
        <w:t>ITU should continue its efforts towards developing voluntary recommendations on technical measures for cybersecurity in areas within its mandate, incentivizing its members to increase their participation in related ITU standardization activities and through strategic partnerships and consultation with private sector led SDOs.</w:t>
      </w:r>
    </w:p>
    <w:p w14:paraId="4A662117" w14:textId="3096F482" w:rsidR="0083486E" w:rsidRDefault="0083486E" w:rsidP="00476038">
      <w:pPr>
        <w:pStyle w:val="Heading2"/>
        <w:spacing w:before="120" w:after="120"/>
        <w:rPr>
          <w:rFonts w:asciiTheme="minorHAnsi" w:hAnsiTheme="minorHAnsi" w:cstheme="minorHAnsi"/>
          <w:szCs w:val="24"/>
        </w:rPr>
      </w:pPr>
      <w:bookmarkStart w:id="14" w:name="_Toc37331412"/>
      <w:r>
        <w:rPr>
          <w:rFonts w:asciiTheme="minorHAnsi" w:hAnsiTheme="minorHAnsi" w:cstheme="minorHAnsi"/>
          <w:szCs w:val="24"/>
        </w:rPr>
        <w:t>Pillar 3: Organizational Structures</w:t>
      </w:r>
      <w:bookmarkEnd w:id="14"/>
      <w:r>
        <w:rPr>
          <w:rFonts w:asciiTheme="minorHAnsi" w:hAnsiTheme="minorHAnsi" w:cstheme="minorHAnsi"/>
          <w:szCs w:val="24"/>
        </w:rPr>
        <w:t xml:space="preserve"> </w:t>
      </w:r>
    </w:p>
    <w:p w14:paraId="4B104EF7" w14:textId="77777777" w:rsidR="0083486E" w:rsidRDefault="0083486E" w:rsidP="00476038">
      <w:pPr>
        <w:widowControl w:val="0"/>
        <w:tabs>
          <w:tab w:val="clear" w:pos="567"/>
          <w:tab w:val="left" w:pos="720"/>
        </w:tabs>
        <w:overflowPunct/>
        <w:autoSpaceDE/>
        <w:adjustRightInd/>
        <w:spacing w:after="120"/>
        <w:jc w:val="both"/>
        <w:rPr>
          <w:rFonts w:asciiTheme="minorHAnsi" w:hAnsiTheme="minorHAnsi" w:cstheme="minorHAnsi"/>
          <w:bCs/>
          <w:szCs w:val="24"/>
        </w:rPr>
      </w:pPr>
      <w:r>
        <w:rPr>
          <w:rFonts w:asciiTheme="minorHAnsi" w:hAnsiTheme="minorHAnsi" w:cstheme="minorHAnsi"/>
          <w:bCs/>
          <w:szCs w:val="24"/>
        </w:rPr>
        <w:t>a.</w:t>
      </w:r>
      <w:r>
        <w:rPr>
          <w:rFonts w:asciiTheme="minorHAnsi" w:hAnsiTheme="minorHAnsi" w:cstheme="minorHAnsi"/>
          <w:bCs/>
          <w:szCs w:val="24"/>
        </w:rPr>
        <w:tab/>
        <w:t>ITU should continue to assist developing countries, least-developed countries and Small Island Developing states (SIDS) in the design and implementation of National CIRTs and other related technical units/organizations.</w:t>
      </w:r>
    </w:p>
    <w:p w14:paraId="4BB22AE1" w14:textId="77777777" w:rsidR="0083486E" w:rsidRDefault="0083486E" w:rsidP="00476038">
      <w:pPr>
        <w:widowControl w:val="0"/>
        <w:tabs>
          <w:tab w:val="clear" w:pos="567"/>
          <w:tab w:val="left" w:pos="720"/>
        </w:tabs>
        <w:overflowPunct/>
        <w:autoSpaceDE/>
        <w:adjustRightInd/>
        <w:spacing w:after="120"/>
        <w:jc w:val="both"/>
        <w:rPr>
          <w:rFonts w:asciiTheme="minorHAnsi" w:hAnsiTheme="minorHAnsi" w:cstheme="minorHAnsi"/>
          <w:bCs/>
          <w:szCs w:val="24"/>
        </w:rPr>
      </w:pPr>
      <w:r>
        <w:rPr>
          <w:rFonts w:asciiTheme="minorHAnsi" w:hAnsiTheme="minorHAnsi" w:cstheme="minorHAnsi"/>
          <w:bCs/>
          <w:szCs w:val="24"/>
        </w:rPr>
        <w:t>b.</w:t>
      </w:r>
      <w:r>
        <w:rPr>
          <w:rFonts w:asciiTheme="minorHAnsi" w:hAnsiTheme="minorHAnsi" w:cstheme="minorHAnsi"/>
          <w:bCs/>
          <w:szCs w:val="24"/>
        </w:rPr>
        <w:tab/>
      </w:r>
      <w:proofErr w:type="gramStart"/>
      <w:r>
        <w:rPr>
          <w:rFonts w:asciiTheme="minorHAnsi" w:hAnsiTheme="minorHAnsi" w:cstheme="minorHAnsi"/>
          <w:bCs/>
          <w:szCs w:val="24"/>
        </w:rPr>
        <w:t>In order to</w:t>
      </w:r>
      <w:proofErr w:type="gramEnd"/>
      <w:r>
        <w:rPr>
          <w:rFonts w:asciiTheme="minorHAnsi" w:hAnsiTheme="minorHAnsi" w:cstheme="minorHAnsi"/>
          <w:bCs/>
          <w:szCs w:val="24"/>
        </w:rPr>
        <w:t xml:space="preserve"> avoid duplicative efforts, ITU should continue to promote an open and inclusive collaboration among various national, regional or international organizations engaged in the effort to establish sustainable national organizational structures.</w:t>
      </w:r>
    </w:p>
    <w:p w14:paraId="0D23C8B7" w14:textId="77777777" w:rsidR="0083486E" w:rsidRDefault="0083486E" w:rsidP="00476038">
      <w:pPr>
        <w:widowControl w:val="0"/>
        <w:tabs>
          <w:tab w:val="clear" w:pos="567"/>
          <w:tab w:val="left" w:pos="720"/>
        </w:tabs>
        <w:overflowPunct/>
        <w:autoSpaceDE/>
        <w:adjustRightInd/>
        <w:spacing w:after="120"/>
        <w:jc w:val="both"/>
        <w:rPr>
          <w:rFonts w:asciiTheme="minorHAnsi" w:hAnsiTheme="minorHAnsi" w:cstheme="minorHAnsi"/>
          <w:bCs/>
          <w:szCs w:val="24"/>
        </w:rPr>
      </w:pPr>
      <w:r>
        <w:rPr>
          <w:rFonts w:asciiTheme="minorHAnsi" w:hAnsiTheme="minorHAnsi" w:cstheme="minorHAnsi"/>
          <w:bCs/>
          <w:szCs w:val="24"/>
        </w:rPr>
        <w:t>c.</w:t>
      </w:r>
      <w:r>
        <w:rPr>
          <w:rFonts w:asciiTheme="minorHAnsi" w:hAnsiTheme="minorHAnsi" w:cstheme="minorHAnsi"/>
          <w:bCs/>
          <w:szCs w:val="24"/>
        </w:rPr>
        <w:tab/>
        <w:t>ITU should maintain its efforts to measure institutional commitments of Member States, leveraging tools such as the Global Cybersecurity Index (GCI).</w:t>
      </w:r>
    </w:p>
    <w:p w14:paraId="30D7D931" w14:textId="77777777" w:rsidR="0083486E" w:rsidRDefault="0083486E" w:rsidP="00476038">
      <w:pPr>
        <w:widowControl w:val="0"/>
        <w:tabs>
          <w:tab w:val="clear" w:pos="567"/>
          <w:tab w:val="left" w:pos="720"/>
        </w:tabs>
        <w:overflowPunct/>
        <w:autoSpaceDE/>
        <w:adjustRightInd/>
        <w:spacing w:after="120"/>
        <w:jc w:val="both"/>
        <w:rPr>
          <w:rFonts w:asciiTheme="minorHAnsi" w:hAnsiTheme="minorHAnsi" w:cstheme="minorHAnsi"/>
          <w:bCs/>
          <w:szCs w:val="24"/>
          <w:lang w:val="en-US"/>
        </w:rPr>
      </w:pPr>
      <w:r>
        <w:rPr>
          <w:rFonts w:asciiTheme="minorHAnsi" w:hAnsiTheme="minorHAnsi" w:cstheme="minorHAnsi"/>
          <w:bCs/>
          <w:szCs w:val="24"/>
        </w:rPr>
        <w:t>d.</w:t>
      </w:r>
      <w:r>
        <w:rPr>
          <w:rFonts w:asciiTheme="minorHAnsi" w:hAnsiTheme="minorHAnsi" w:cstheme="minorHAnsi"/>
          <w:bCs/>
          <w:szCs w:val="24"/>
        </w:rPr>
        <w:tab/>
        <w:t xml:space="preserve">For national </w:t>
      </w:r>
      <w:proofErr w:type="gramStart"/>
      <w:r>
        <w:rPr>
          <w:rFonts w:asciiTheme="minorHAnsi" w:hAnsiTheme="minorHAnsi" w:cstheme="minorHAnsi"/>
          <w:bCs/>
          <w:szCs w:val="24"/>
        </w:rPr>
        <w:t>structures in particular, and</w:t>
      </w:r>
      <w:proofErr w:type="gramEnd"/>
      <w:r>
        <w:rPr>
          <w:rFonts w:asciiTheme="minorHAnsi" w:hAnsiTheme="minorHAnsi" w:cstheme="minorHAnsi"/>
          <w:bCs/>
          <w:szCs w:val="24"/>
        </w:rPr>
        <w:t xml:space="preserve"> at the request of Member States, ITU should assist them with the design of strategies for a whole-of-government </w:t>
      </w:r>
      <w:r>
        <w:rPr>
          <w:rFonts w:asciiTheme="minorHAnsi" w:hAnsiTheme="minorHAnsi" w:cstheme="minorHAnsi"/>
          <w:bCs/>
          <w:szCs w:val="24"/>
          <w:lang w:val="en-US"/>
        </w:rPr>
        <w:t>coordination framework to improve the coherent and cross-cutting implementation of national cybersecurity efforts.</w:t>
      </w:r>
    </w:p>
    <w:p w14:paraId="63B3F5EE" w14:textId="77777777" w:rsidR="0083486E" w:rsidRDefault="0083486E" w:rsidP="00476038">
      <w:pPr>
        <w:spacing w:after="120"/>
        <w:rPr>
          <w:rFonts w:asciiTheme="minorHAnsi" w:hAnsiTheme="minorHAnsi" w:cstheme="minorHAnsi"/>
          <w:b/>
          <w:bCs/>
          <w:szCs w:val="24"/>
        </w:rPr>
      </w:pPr>
      <w:bookmarkStart w:id="15" w:name="_Toc37331413"/>
      <w:r>
        <w:rPr>
          <w:rFonts w:asciiTheme="minorHAnsi" w:hAnsiTheme="minorHAnsi" w:cstheme="minorHAnsi"/>
          <w:b/>
          <w:bCs/>
          <w:szCs w:val="24"/>
        </w:rPr>
        <w:t>Pillar 4: Capacity Building</w:t>
      </w:r>
      <w:bookmarkEnd w:id="15"/>
    </w:p>
    <w:p w14:paraId="09EE9018" w14:textId="77777777" w:rsidR="0083486E" w:rsidRDefault="0083486E" w:rsidP="00476038">
      <w:pPr>
        <w:tabs>
          <w:tab w:val="clear" w:pos="567"/>
          <w:tab w:val="left" w:pos="720"/>
        </w:tabs>
        <w:overflowPunct/>
        <w:autoSpaceDE/>
        <w:adjustRightInd/>
        <w:spacing w:after="120"/>
        <w:jc w:val="both"/>
        <w:rPr>
          <w:rFonts w:asciiTheme="minorHAnsi" w:hAnsiTheme="minorHAnsi" w:cstheme="minorHAnsi"/>
          <w:bCs/>
          <w:sz w:val="23"/>
          <w:szCs w:val="23"/>
        </w:rPr>
      </w:pPr>
      <w:r>
        <w:rPr>
          <w:rFonts w:asciiTheme="minorHAnsi" w:hAnsiTheme="minorHAnsi" w:cstheme="minorHAnsi"/>
          <w:bCs/>
          <w:sz w:val="23"/>
          <w:szCs w:val="23"/>
        </w:rPr>
        <w:t>a.</w:t>
      </w:r>
      <w:r>
        <w:rPr>
          <w:rFonts w:asciiTheme="minorHAnsi" w:hAnsiTheme="minorHAnsi" w:cstheme="minorHAnsi"/>
          <w:bCs/>
          <w:sz w:val="23"/>
          <w:szCs w:val="23"/>
        </w:rPr>
        <w:tab/>
        <w:t xml:space="preserve">Continue to promote open and inclusive collaboration and coordination among various national, regional, or international organizations engaged in building capacity for cybersecurity, </w:t>
      </w:r>
      <w:proofErr w:type="gramStart"/>
      <w:r>
        <w:rPr>
          <w:rFonts w:asciiTheme="minorHAnsi" w:hAnsiTheme="minorHAnsi" w:cstheme="minorHAnsi"/>
          <w:bCs/>
          <w:sz w:val="23"/>
          <w:szCs w:val="23"/>
        </w:rPr>
        <w:t>in order to</w:t>
      </w:r>
      <w:proofErr w:type="gramEnd"/>
      <w:r>
        <w:rPr>
          <w:rFonts w:asciiTheme="minorHAnsi" w:hAnsiTheme="minorHAnsi" w:cstheme="minorHAnsi"/>
          <w:bCs/>
          <w:sz w:val="23"/>
          <w:szCs w:val="23"/>
        </w:rPr>
        <w:t xml:space="preserve"> ensure impact and avoid duplication of efforts.</w:t>
      </w:r>
    </w:p>
    <w:p w14:paraId="201A9A06" w14:textId="77777777" w:rsidR="0083486E" w:rsidRDefault="0083486E" w:rsidP="00476038">
      <w:pPr>
        <w:widowControl w:val="0"/>
        <w:tabs>
          <w:tab w:val="clear" w:pos="567"/>
          <w:tab w:val="left" w:pos="720"/>
        </w:tabs>
        <w:overflowPunct/>
        <w:autoSpaceDE/>
        <w:adjustRightInd/>
        <w:spacing w:after="120"/>
        <w:jc w:val="both"/>
        <w:rPr>
          <w:rFonts w:asciiTheme="minorHAnsi" w:hAnsiTheme="minorHAnsi" w:cstheme="minorHAnsi"/>
          <w:bCs/>
          <w:sz w:val="23"/>
          <w:szCs w:val="23"/>
        </w:rPr>
      </w:pPr>
      <w:r>
        <w:rPr>
          <w:rFonts w:asciiTheme="minorHAnsi" w:hAnsiTheme="minorHAnsi" w:cstheme="minorHAnsi"/>
          <w:bCs/>
          <w:sz w:val="23"/>
          <w:szCs w:val="23"/>
        </w:rPr>
        <w:lastRenderedPageBreak/>
        <w:t>b.</w:t>
      </w:r>
      <w:r>
        <w:rPr>
          <w:rFonts w:asciiTheme="minorHAnsi" w:hAnsiTheme="minorHAnsi" w:cstheme="minorHAnsi"/>
          <w:bCs/>
          <w:sz w:val="23"/>
          <w:szCs w:val="23"/>
        </w:rPr>
        <w:tab/>
        <w:t>Continue supporting developing countries</w:t>
      </w:r>
      <w:r>
        <w:t xml:space="preserve"> </w:t>
      </w:r>
      <w:r>
        <w:rPr>
          <w:rFonts w:asciiTheme="minorHAnsi" w:hAnsiTheme="minorHAnsi" w:cstheme="minorHAnsi"/>
          <w:bCs/>
          <w:sz w:val="23"/>
          <w:szCs w:val="23"/>
        </w:rPr>
        <w:t xml:space="preserve">least-developed countries and SIDS in cybersecurity capacity building efforts, with the support of the national and international cybersecurity capacity building communities. </w:t>
      </w:r>
    </w:p>
    <w:p w14:paraId="37939F96" w14:textId="77777777" w:rsidR="0083486E" w:rsidRDefault="0083486E" w:rsidP="00476038">
      <w:pPr>
        <w:widowControl w:val="0"/>
        <w:tabs>
          <w:tab w:val="clear" w:pos="567"/>
          <w:tab w:val="left" w:pos="720"/>
        </w:tabs>
        <w:overflowPunct/>
        <w:autoSpaceDE/>
        <w:adjustRightInd/>
        <w:spacing w:after="120"/>
        <w:jc w:val="both"/>
        <w:rPr>
          <w:rFonts w:asciiTheme="minorHAnsi" w:hAnsiTheme="minorHAnsi" w:cstheme="minorHAnsi"/>
          <w:bCs/>
          <w:sz w:val="23"/>
          <w:szCs w:val="23"/>
        </w:rPr>
      </w:pPr>
      <w:r>
        <w:rPr>
          <w:rFonts w:asciiTheme="minorHAnsi" w:hAnsiTheme="minorHAnsi" w:cstheme="minorHAnsi"/>
          <w:bCs/>
          <w:sz w:val="23"/>
          <w:szCs w:val="23"/>
        </w:rPr>
        <w:t>c.</w:t>
      </w:r>
      <w:r>
        <w:rPr>
          <w:rFonts w:asciiTheme="minorHAnsi" w:hAnsiTheme="minorHAnsi" w:cstheme="minorHAnsi"/>
          <w:bCs/>
          <w:sz w:val="23"/>
          <w:szCs w:val="23"/>
        </w:rPr>
        <w:tab/>
        <w:t xml:space="preserve">Continue to assist developing countries, </w:t>
      </w:r>
      <w:bookmarkStart w:id="16" w:name="_Hlk71893438"/>
      <w:r>
        <w:rPr>
          <w:rFonts w:asciiTheme="minorHAnsi" w:hAnsiTheme="minorHAnsi" w:cstheme="minorHAnsi"/>
          <w:bCs/>
          <w:sz w:val="23"/>
          <w:szCs w:val="23"/>
        </w:rPr>
        <w:t xml:space="preserve">least-developed </w:t>
      </w:r>
      <w:proofErr w:type="gramStart"/>
      <w:r>
        <w:rPr>
          <w:rFonts w:asciiTheme="minorHAnsi" w:hAnsiTheme="minorHAnsi" w:cstheme="minorHAnsi"/>
          <w:bCs/>
          <w:sz w:val="23"/>
          <w:szCs w:val="23"/>
        </w:rPr>
        <w:t>countries</w:t>
      </w:r>
      <w:proofErr w:type="gramEnd"/>
      <w:r>
        <w:rPr>
          <w:rFonts w:asciiTheme="minorHAnsi" w:hAnsiTheme="minorHAnsi" w:cstheme="minorHAnsi"/>
          <w:bCs/>
          <w:sz w:val="23"/>
          <w:szCs w:val="23"/>
        </w:rPr>
        <w:t xml:space="preserve"> and SIDS </w:t>
      </w:r>
      <w:bookmarkEnd w:id="16"/>
      <w:r>
        <w:rPr>
          <w:rFonts w:asciiTheme="minorHAnsi" w:hAnsiTheme="minorHAnsi" w:cstheme="minorHAnsi"/>
          <w:bCs/>
          <w:sz w:val="23"/>
          <w:szCs w:val="23"/>
        </w:rPr>
        <w:t xml:space="preserve">in collaboration with interested partners and capacity-development communities, on developing national cybersecurity strategies, plans, policies, and incident response capabilities. </w:t>
      </w:r>
    </w:p>
    <w:p w14:paraId="355E1B4E" w14:textId="77777777" w:rsidR="0083486E" w:rsidRDefault="0083486E" w:rsidP="00476038">
      <w:pPr>
        <w:widowControl w:val="0"/>
        <w:tabs>
          <w:tab w:val="clear" w:pos="567"/>
          <w:tab w:val="left" w:pos="720"/>
        </w:tabs>
        <w:overflowPunct/>
        <w:autoSpaceDE/>
        <w:adjustRightInd/>
        <w:spacing w:after="120"/>
        <w:jc w:val="both"/>
        <w:rPr>
          <w:rFonts w:asciiTheme="minorHAnsi" w:hAnsiTheme="minorHAnsi" w:cstheme="minorHAnsi"/>
          <w:bCs/>
          <w:sz w:val="23"/>
          <w:szCs w:val="23"/>
        </w:rPr>
      </w:pPr>
      <w:r>
        <w:rPr>
          <w:rFonts w:asciiTheme="minorHAnsi" w:hAnsiTheme="minorHAnsi" w:cstheme="minorHAnsi"/>
          <w:bCs/>
          <w:sz w:val="23"/>
          <w:szCs w:val="23"/>
        </w:rPr>
        <w:t>d.</w:t>
      </w:r>
      <w:r>
        <w:rPr>
          <w:rFonts w:asciiTheme="minorHAnsi" w:hAnsiTheme="minorHAnsi" w:cstheme="minorHAnsi"/>
          <w:bCs/>
          <w:sz w:val="23"/>
          <w:szCs w:val="23"/>
        </w:rPr>
        <w:tab/>
        <w:t xml:space="preserve">Enhance and facilitate the exchange of good practices of Member States </w:t>
      </w:r>
      <w:proofErr w:type="gramStart"/>
      <w:r>
        <w:rPr>
          <w:rFonts w:asciiTheme="minorHAnsi" w:hAnsiTheme="minorHAnsi" w:cstheme="minorHAnsi"/>
          <w:bCs/>
          <w:sz w:val="23"/>
          <w:szCs w:val="23"/>
        </w:rPr>
        <w:t>in order to</w:t>
      </w:r>
      <w:proofErr w:type="gramEnd"/>
      <w:r>
        <w:rPr>
          <w:rFonts w:asciiTheme="minorHAnsi" w:hAnsiTheme="minorHAnsi" w:cstheme="minorHAnsi"/>
          <w:bCs/>
          <w:sz w:val="23"/>
          <w:szCs w:val="23"/>
        </w:rPr>
        <w:t xml:space="preserve"> help countries lagging in cybersecurity expertise improve their cybersecurity posture and reduce the capacity gap. </w:t>
      </w:r>
    </w:p>
    <w:p w14:paraId="764A42B2" w14:textId="77777777" w:rsidR="0083486E" w:rsidRDefault="0083486E" w:rsidP="00476038">
      <w:pPr>
        <w:widowControl w:val="0"/>
        <w:tabs>
          <w:tab w:val="clear" w:pos="567"/>
          <w:tab w:val="left" w:pos="720"/>
        </w:tabs>
        <w:overflowPunct/>
        <w:autoSpaceDE/>
        <w:adjustRightInd/>
        <w:spacing w:after="120"/>
        <w:jc w:val="both"/>
        <w:rPr>
          <w:rFonts w:asciiTheme="minorHAnsi" w:hAnsiTheme="minorHAnsi" w:cstheme="minorHAnsi"/>
          <w:bCs/>
          <w:sz w:val="23"/>
          <w:szCs w:val="23"/>
        </w:rPr>
      </w:pPr>
      <w:r>
        <w:rPr>
          <w:rFonts w:asciiTheme="minorHAnsi" w:hAnsiTheme="minorHAnsi" w:cstheme="minorHAnsi"/>
          <w:bCs/>
          <w:sz w:val="23"/>
          <w:szCs w:val="23"/>
        </w:rPr>
        <w:t>e.</w:t>
      </w:r>
      <w:r>
        <w:rPr>
          <w:rFonts w:asciiTheme="minorHAnsi" w:hAnsiTheme="minorHAnsi" w:cstheme="minorHAnsi"/>
          <w:bCs/>
          <w:sz w:val="23"/>
          <w:szCs w:val="23"/>
        </w:rPr>
        <w:tab/>
        <w:t xml:space="preserve">Continue to evolve its capacity building activities, </w:t>
      </w:r>
      <w:proofErr w:type="gramStart"/>
      <w:r>
        <w:rPr>
          <w:rFonts w:asciiTheme="minorHAnsi" w:hAnsiTheme="minorHAnsi" w:cstheme="minorHAnsi"/>
          <w:bCs/>
          <w:sz w:val="23"/>
          <w:szCs w:val="23"/>
        </w:rPr>
        <w:t>taking into account</w:t>
      </w:r>
      <w:proofErr w:type="gramEnd"/>
      <w:r>
        <w:rPr>
          <w:rFonts w:asciiTheme="minorHAnsi" w:hAnsiTheme="minorHAnsi" w:cstheme="minorHAnsi"/>
          <w:bCs/>
          <w:sz w:val="23"/>
          <w:szCs w:val="23"/>
        </w:rPr>
        <w:t xml:space="preserve"> the need for new skills to adapt to the opportunities and challenges of emerging technologies. </w:t>
      </w:r>
    </w:p>
    <w:p w14:paraId="19ED8BD2" w14:textId="77777777" w:rsidR="0083486E" w:rsidRDefault="0083486E" w:rsidP="00476038">
      <w:pPr>
        <w:widowControl w:val="0"/>
        <w:tabs>
          <w:tab w:val="clear" w:pos="567"/>
          <w:tab w:val="left" w:pos="720"/>
        </w:tabs>
        <w:overflowPunct/>
        <w:autoSpaceDE/>
        <w:adjustRightInd/>
        <w:spacing w:after="120"/>
        <w:jc w:val="both"/>
        <w:rPr>
          <w:rFonts w:asciiTheme="minorHAnsi" w:hAnsiTheme="minorHAnsi" w:cstheme="minorHAnsi"/>
          <w:bCs/>
          <w:sz w:val="23"/>
          <w:szCs w:val="23"/>
        </w:rPr>
      </w:pPr>
      <w:r>
        <w:rPr>
          <w:rFonts w:asciiTheme="minorHAnsi" w:hAnsiTheme="minorHAnsi" w:cstheme="minorHAnsi"/>
          <w:bCs/>
          <w:sz w:val="23"/>
          <w:szCs w:val="23"/>
        </w:rPr>
        <w:t>f.</w:t>
      </w:r>
      <w:r>
        <w:rPr>
          <w:rFonts w:asciiTheme="minorHAnsi" w:hAnsiTheme="minorHAnsi" w:cstheme="minorHAnsi"/>
          <w:bCs/>
          <w:sz w:val="23"/>
          <w:szCs w:val="23"/>
        </w:rPr>
        <w:tab/>
        <w:t>Continue to maintain special focus on the needs of the more vulnerable groups—such as women, children, persons with disabilities and persons with specific needs, and persons with age-related disabilities – in capacity building efforts.</w:t>
      </w:r>
    </w:p>
    <w:p w14:paraId="4919B328" w14:textId="77777777" w:rsidR="0083486E" w:rsidRDefault="0083486E" w:rsidP="00476038">
      <w:pPr>
        <w:widowControl w:val="0"/>
        <w:tabs>
          <w:tab w:val="clear" w:pos="567"/>
          <w:tab w:val="left" w:pos="720"/>
        </w:tabs>
        <w:overflowPunct/>
        <w:autoSpaceDE/>
        <w:adjustRightInd/>
        <w:spacing w:after="120"/>
        <w:jc w:val="both"/>
        <w:rPr>
          <w:rFonts w:asciiTheme="minorHAnsi" w:hAnsiTheme="minorHAnsi" w:cstheme="minorHAnsi"/>
          <w:bCs/>
          <w:sz w:val="23"/>
          <w:szCs w:val="23"/>
        </w:rPr>
      </w:pPr>
      <w:r>
        <w:rPr>
          <w:rFonts w:asciiTheme="minorHAnsi" w:hAnsiTheme="minorHAnsi" w:cstheme="minorHAnsi"/>
          <w:bCs/>
          <w:sz w:val="23"/>
          <w:szCs w:val="23"/>
        </w:rPr>
        <w:t>g.</w:t>
      </w:r>
      <w:r>
        <w:rPr>
          <w:rFonts w:asciiTheme="minorHAnsi" w:hAnsiTheme="minorHAnsi" w:cstheme="minorHAnsi"/>
          <w:bCs/>
          <w:sz w:val="23"/>
          <w:szCs w:val="23"/>
        </w:rPr>
        <w:tab/>
        <w:t>Continue to use the Global Cybersecurity Index (GCI) as a tool for capacity building and awareness creation.</w:t>
      </w:r>
    </w:p>
    <w:p w14:paraId="79FAE463" w14:textId="77777777" w:rsidR="0083486E" w:rsidRDefault="0083486E" w:rsidP="00476038">
      <w:pPr>
        <w:widowControl w:val="0"/>
        <w:tabs>
          <w:tab w:val="clear" w:pos="567"/>
          <w:tab w:val="left" w:pos="720"/>
        </w:tabs>
        <w:overflowPunct/>
        <w:autoSpaceDE/>
        <w:adjustRightInd/>
        <w:spacing w:after="120"/>
        <w:jc w:val="both"/>
        <w:rPr>
          <w:rFonts w:asciiTheme="minorHAnsi" w:hAnsiTheme="minorHAnsi" w:cstheme="minorHAnsi"/>
          <w:bCs/>
          <w:sz w:val="23"/>
          <w:szCs w:val="23"/>
        </w:rPr>
      </w:pPr>
      <w:r>
        <w:rPr>
          <w:rFonts w:asciiTheme="minorHAnsi" w:hAnsiTheme="minorHAnsi" w:cstheme="minorHAnsi"/>
          <w:bCs/>
          <w:sz w:val="23"/>
          <w:szCs w:val="23"/>
        </w:rPr>
        <w:t>h.</w:t>
      </w:r>
      <w:r>
        <w:rPr>
          <w:rFonts w:asciiTheme="minorHAnsi" w:hAnsiTheme="minorHAnsi" w:cstheme="minorHAnsi"/>
          <w:bCs/>
          <w:sz w:val="23"/>
          <w:szCs w:val="23"/>
        </w:rPr>
        <w:tab/>
        <w:t>Continue to facilitate identification of cybersecurity-related research activities among stakeholders, especially in emerging technology areas, leveraging ITU’s private sector and academic membership.</w:t>
      </w:r>
    </w:p>
    <w:p w14:paraId="2918A885" w14:textId="77777777" w:rsidR="0083486E" w:rsidRDefault="0083486E" w:rsidP="00476038">
      <w:pPr>
        <w:widowControl w:val="0"/>
        <w:tabs>
          <w:tab w:val="clear" w:pos="567"/>
          <w:tab w:val="left" w:pos="720"/>
        </w:tabs>
        <w:overflowPunct/>
        <w:autoSpaceDE/>
        <w:adjustRightInd/>
        <w:spacing w:after="120"/>
        <w:jc w:val="both"/>
        <w:rPr>
          <w:rFonts w:asciiTheme="minorHAnsi" w:hAnsiTheme="minorHAnsi" w:cstheme="minorHAnsi"/>
          <w:bCs/>
          <w:szCs w:val="24"/>
        </w:rPr>
      </w:pPr>
      <w:proofErr w:type="spellStart"/>
      <w:r>
        <w:rPr>
          <w:rFonts w:asciiTheme="minorHAnsi" w:hAnsiTheme="minorHAnsi" w:cstheme="minorHAnsi"/>
          <w:bCs/>
          <w:sz w:val="23"/>
          <w:szCs w:val="23"/>
        </w:rPr>
        <w:t>i</w:t>
      </w:r>
      <w:proofErr w:type="spellEnd"/>
      <w:r>
        <w:rPr>
          <w:rFonts w:asciiTheme="minorHAnsi" w:hAnsiTheme="minorHAnsi" w:cstheme="minorHAnsi"/>
          <w:bCs/>
          <w:sz w:val="23"/>
          <w:szCs w:val="23"/>
        </w:rPr>
        <w:t>.</w:t>
      </w:r>
      <w:r>
        <w:rPr>
          <w:rFonts w:asciiTheme="minorHAnsi" w:hAnsiTheme="minorHAnsi" w:cstheme="minorHAnsi"/>
          <w:bCs/>
          <w:sz w:val="23"/>
          <w:szCs w:val="23"/>
        </w:rPr>
        <w:tab/>
        <w:t xml:space="preserve">Disseminate tools, resources and good practices to Member States, industry, and other stakeholders with an aim to support their efforts in building the capacity of MSMEs to build trust and confidence in the use of </w:t>
      </w:r>
      <w:proofErr w:type="gramStart"/>
      <w:r>
        <w:rPr>
          <w:rFonts w:asciiTheme="minorHAnsi" w:hAnsiTheme="minorHAnsi" w:cstheme="minorHAnsi"/>
          <w:bCs/>
          <w:sz w:val="23"/>
          <w:szCs w:val="23"/>
        </w:rPr>
        <w:t>ICTs, and</w:t>
      </w:r>
      <w:proofErr w:type="gramEnd"/>
      <w:r>
        <w:rPr>
          <w:rFonts w:asciiTheme="minorHAnsi" w:hAnsiTheme="minorHAnsi" w:cstheme="minorHAnsi"/>
          <w:bCs/>
          <w:sz w:val="23"/>
          <w:szCs w:val="23"/>
        </w:rPr>
        <w:t xml:space="preserve"> continue to promote a culture of cybersecurity.</w:t>
      </w:r>
    </w:p>
    <w:p w14:paraId="3205C837" w14:textId="77777777" w:rsidR="0083486E" w:rsidRDefault="0083486E" w:rsidP="00476038">
      <w:pPr>
        <w:pStyle w:val="Heading1"/>
        <w:spacing w:before="120" w:after="120"/>
        <w:ind w:left="0" w:firstLine="0"/>
        <w:rPr>
          <w:rFonts w:asciiTheme="minorHAnsi" w:hAnsiTheme="minorHAnsi" w:cstheme="minorHAnsi"/>
          <w:sz w:val="24"/>
          <w:szCs w:val="24"/>
        </w:rPr>
      </w:pPr>
      <w:bookmarkStart w:id="17" w:name="_Toc37331417"/>
      <w:r>
        <w:rPr>
          <w:rFonts w:asciiTheme="minorHAnsi" w:hAnsiTheme="minorHAnsi" w:cstheme="minorHAnsi"/>
          <w:sz w:val="24"/>
          <w:szCs w:val="24"/>
        </w:rPr>
        <w:t>Pillar 5: International Cooperation</w:t>
      </w:r>
      <w:bookmarkEnd w:id="17"/>
      <w:r>
        <w:rPr>
          <w:rFonts w:asciiTheme="minorHAnsi" w:hAnsiTheme="minorHAnsi" w:cstheme="minorHAnsi"/>
          <w:sz w:val="24"/>
          <w:szCs w:val="24"/>
        </w:rPr>
        <w:t xml:space="preserve"> </w:t>
      </w:r>
    </w:p>
    <w:p w14:paraId="22DEADEA" w14:textId="77777777" w:rsidR="0083486E" w:rsidRDefault="0083486E" w:rsidP="00476038">
      <w:pPr>
        <w:tabs>
          <w:tab w:val="clear" w:pos="567"/>
          <w:tab w:val="left" w:pos="720"/>
        </w:tabs>
        <w:spacing w:after="120"/>
        <w:jc w:val="both"/>
        <w:rPr>
          <w:rFonts w:asciiTheme="minorHAnsi" w:hAnsiTheme="minorHAnsi" w:cstheme="minorHAnsi"/>
          <w:bCs/>
          <w:szCs w:val="24"/>
        </w:rPr>
      </w:pPr>
      <w:r>
        <w:rPr>
          <w:rFonts w:asciiTheme="minorHAnsi" w:hAnsiTheme="minorHAnsi" w:cstheme="minorHAnsi"/>
          <w:bCs/>
          <w:szCs w:val="24"/>
        </w:rPr>
        <w:t>a.</w:t>
      </w:r>
      <w:r>
        <w:rPr>
          <w:rFonts w:asciiTheme="minorHAnsi" w:hAnsiTheme="minorHAnsi" w:cstheme="minorHAnsi"/>
          <w:bCs/>
          <w:szCs w:val="24"/>
        </w:rPr>
        <w:tab/>
        <w:t xml:space="preserve">The ITU should continue to play a leading role in areas within its mandate to foster cooperation, dialogue, and coordination </w:t>
      </w:r>
      <w:r>
        <w:rPr>
          <w:rFonts w:asciiTheme="minorHAnsi" w:hAnsiTheme="minorHAnsi" w:cstheme="minorHAnsi"/>
          <w:bCs/>
          <w:szCs w:val="24"/>
          <w:lang w:val="en-US"/>
        </w:rPr>
        <w:t>among all nations</w:t>
      </w:r>
      <w:r>
        <w:rPr>
          <w:rFonts w:asciiTheme="minorHAnsi" w:hAnsiTheme="minorHAnsi" w:cstheme="minorHAnsi"/>
          <w:bCs/>
          <w:szCs w:val="24"/>
        </w:rPr>
        <w:t xml:space="preserve">, as well as with the private sector and other stakeholders on global cybersecurity matters. </w:t>
      </w:r>
    </w:p>
    <w:p w14:paraId="53C2ABDE" w14:textId="00550283" w:rsidR="0083486E" w:rsidRDefault="0083486E" w:rsidP="00476038">
      <w:pPr>
        <w:tabs>
          <w:tab w:val="clear" w:pos="567"/>
          <w:tab w:val="left" w:pos="720"/>
        </w:tabs>
        <w:spacing w:after="120"/>
        <w:jc w:val="both"/>
        <w:rPr>
          <w:rFonts w:asciiTheme="minorHAnsi" w:hAnsiTheme="minorHAnsi" w:cstheme="minorHAnsi"/>
          <w:bCs/>
          <w:szCs w:val="24"/>
          <w:lang w:val="en-US"/>
        </w:rPr>
      </w:pPr>
      <w:r>
        <w:rPr>
          <w:rFonts w:asciiTheme="minorHAnsi" w:hAnsiTheme="minorHAnsi" w:cstheme="minorHAnsi"/>
          <w:bCs/>
          <w:szCs w:val="24"/>
          <w:lang w:val="en-US"/>
        </w:rPr>
        <w:t>b.</w:t>
      </w:r>
      <w:r w:rsidR="00476038">
        <w:rPr>
          <w:rFonts w:asciiTheme="minorHAnsi" w:hAnsiTheme="minorHAnsi" w:cstheme="minorHAnsi"/>
          <w:bCs/>
          <w:szCs w:val="24"/>
          <w:lang w:val="en-US"/>
        </w:rPr>
        <w:tab/>
      </w:r>
      <w:r>
        <w:rPr>
          <w:rFonts w:asciiTheme="minorHAnsi" w:hAnsiTheme="minorHAnsi" w:cstheme="minorHAnsi"/>
          <w:bCs/>
          <w:szCs w:val="24"/>
          <w:lang w:val="en-US"/>
        </w:rPr>
        <w:t xml:space="preserve">While bilateral and multilateral discussions among key players should continue to be encouraged, given the global nature of cybersecurity, it is also necessary that broader discussions be facilitated among wider groups, including the private sector, academia, civil </w:t>
      </w:r>
      <w:proofErr w:type="gramStart"/>
      <w:r>
        <w:rPr>
          <w:rFonts w:asciiTheme="minorHAnsi" w:hAnsiTheme="minorHAnsi" w:cstheme="minorHAnsi"/>
          <w:bCs/>
          <w:szCs w:val="24"/>
          <w:lang w:val="en-US"/>
        </w:rPr>
        <w:t>society</w:t>
      </w:r>
      <w:proofErr w:type="gramEnd"/>
      <w:r>
        <w:rPr>
          <w:rFonts w:asciiTheme="minorHAnsi" w:hAnsiTheme="minorHAnsi" w:cstheme="minorHAnsi"/>
          <w:bCs/>
          <w:szCs w:val="24"/>
          <w:lang w:val="en-US"/>
        </w:rPr>
        <w:t xml:space="preserve"> and other stakeholders. </w:t>
      </w:r>
    </w:p>
    <w:p w14:paraId="6E4856E3" w14:textId="77777777" w:rsidR="0083486E" w:rsidRDefault="0083486E" w:rsidP="00476038">
      <w:pPr>
        <w:keepNext/>
        <w:keepLines/>
        <w:tabs>
          <w:tab w:val="clear" w:pos="567"/>
          <w:tab w:val="left" w:pos="720"/>
        </w:tabs>
        <w:overflowPunct/>
        <w:autoSpaceDE/>
        <w:adjustRightInd/>
        <w:spacing w:after="120"/>
        <w:jc w:val="both"/>
        <w:rPr>
          <w:rFonts w:asciiTheme="minorHAnsi" w:hAnsiTheme="minorHAnsi" w:cstheme="minorHAnsi"/>
          <w:bCs/>
          <w:szCs w:val="24"/>
        </w:rPr>
      </w:pPr>
      <w:r>
        <w:rPr>
          <w:rFonts w:asciiTheme="minorHAnsi" w:hAnsiTheme="minorHAnsi" w:cstheme="minorHAnsi"/>
          <w:bCs/>
          <w:szCs w:val="24"/>
        </w:rPr>
        <w:t>c.</w:t>
      </w:r>
      <w:r>
        <w:rPr>
          <w:rFonts w:asciiTheme="minorHAnsi" w:hAnsiTheme="minorHAnsi" w:cstheme="minorHAnsi"/>
          <w:bCs/>
          <w:szCs w:val="24"/>
        </w:rPr>
        <w:tab/>
        <w:t xml:space="preserve">ITU should continue to explore innovative, flexible, and agile mechanisms for building partnerships, </w:t>
      </w:r>
      <w:proofErr w:type="gramStart"/>
      <w:r>
        <w:rPr>
          <w:rFonts w:asciiTheme="minorHAnsi" w:hAnsiTheme="minorHAnsi" w:cstheme="minorHAnsi"/>
          <w:bCs/>
          <w:szCs w:val="24"/>
        </w:rPr>
        <w:t>taking into account</w:t>
      </w:r>
      <w:proofErr w:type="gramEnd"/>
      <w:r>
        <w:rPr>
          <w:rFonts w:asciiTheme="minorHAnsi" w:hAnsiTheme="minorHAnsi" w:cstheme="minorHAnsi"/>
          <w:bCs/>
          <w:szCs w:val="24"/>
        </w:rPr>
        <w:t xml:space="preserve"> the rapidly evolving technology sector and the range of new entities that are emerging – especially start-ups and MSMEs.</w:t>
      </w:r>
    </w:p>
    <w:p w14:paraId="5AB5A99D" w14:textId="0B7BA791" w:rsidR="00E00E7E" w:rsidRPr="00476038" w:rsidRDefault="0083486E" w:rsidP="00476038">
      <w:pPr>
        <w:keepNext/>
        <w:keepLines/>
        <w:tabs>
          <w:tab w:val="clear" w:pos="567"/>
          <w:tab w:val="left" w:pos="720"/>
        </w:tabs>
        <w:overflowPunct/>
        <w:autoSpaceDE/>
        <w:adjustRightInd/>
        <w:spacing w:after="120"/>
        <w:jc w:val="both"/>
        <w:rPr>
          <w:bCs/>
          <w:lang w:val="en-US"/>
        </w:rPr>
      </w:pPr>
      <w:r>
        <w:rPr>
          <w:bCs/>
          <w:lang w:val="en-US"/>
        </w:rPr>
        <w:t>d.</w:t>
      </w:r>
      <w:r>
        <w:rPr>
          <w:bCs/>
          <w:lang w:val="en-US"/>
        </w:rPr>
        <w:tab/>
        <w:t xml:space="preserve">ITU should continue to engage with other key agencies within the UN system to support the UN Secretariat’s internal efforts and streamline its programs and activities on cybersecurity, </w:t>
      </w:r>
      <w:proofErr w:type="gramStart"/>
      <w:r>
        <w:rPr>
          <w:bCs/>
          <w:lang w:val="en-US"/>
        </w:rPr>
        <w:t>in order to</w:t>
      </w:r>
      <w:proofErr w:type="gramEnd"/>
      <w:r>
        <w:rPr>
          <w:bCs/>
          <w:lang w:val="en-US"/>
        </w:rPr>
        <w:t xml:space="preserve"> be more effective in serving the global community.</w:t>
      </w:r>
    </w:p>
    <w:p w14:paraId="40975FDC" w14:textId="18DA943E" w:rsidR="00CF134B" w:rsidRPr="00CF134B" w:rsidRDefault="00CF134B" w:rsidP="006848DD">
      <w:pPr>
        <w:spacing w:before="840"/>
        <w:jc w:val="center"/>
        <w:rPr>
          <w:rFonts w:cstheme="minorHAnsi"/>
        </w:rPr>
      </w:pPr>
      <w:r w:rsidRPr="008D77AF">
        <w:rPr>
          <w:rFonts w:cstheme="minorHAnsi"/>
        </w:rPr>
        <w:t>_______________</w:t>
      </w:r>
    </w:p>
    <w:sectPr w:rsidR="00CF134B" w:rsidRPr="00CF134B"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1F535E5E" w:rsidR="00CB18FF" w:rsidRPr="006848DD" w:rsidRDefault="00A93619">
    <w:pPr>
      <w:pStyle w:val="Footer"/>
      <w:rPr>
        <w:color w:val="D9D9D9" w:themeColor="background1" w:themeShade="D9"/>
      </w:rPr>
    </w:pPr>
    <w:r w:rsidRPr="006848DD">
      <w:rPr>
        <w:color w:val="D9D9D9" w:themeColor="background1" w:themeShade="D9"/>
      </w:rPr>
      <w:fldChar w:fldCharType="begin"/>
    </w:r>
    <w:r w:rsidRPr="006848DD">
      <w:rPr>
        <w:color w:val="D9D9D9" w:themeColor="background1" w:themeShade="D9"/>
      </w:rPr>
      <w:instrText xml:space="preserve"> FILENAME \p  \* MERGEFORMAT </w:instrText>
    </w:r>
    <w:r w:rsidRPr="006848DD">
      <w:rPr>
        <w:color w:val="D9D9D9" w:themeColor="background1" w:themeShade="D9"/>
      </w:rPr>
      <w:fldChar w:fldCharType="separate"/>
    </w:r>
    <w:r w:rsidR="005F3269" w:rsidRPr="006848DD">
      <w:rPr>
        <w:color w:val="D9D9D9" w:themeColor="background1" w:themeShade="D9"/>
      </w:rPr>
      <w:t>Document1</w:t>
    </w:r>
    <w:r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SAVEDATE \@ DD.MM.YY </w:instrText>
    </w:r>
    <w:r w:rsidR="00864AFF" w:rsidRPr="006848DD">
      <w:rPr>
        <w:color w:val="D9D9D9" w:themeColor="background1" w:themeShade="D9"/>
      </w:rPr>
      <w:fldChar w:fldCharType="separate"/>
    </w:r>
    <w:r w:rsidR="00D864E0">
      <w:rPr>
        <w:color w:val="D9D9D9" w:themeColor="background1" w:themeShade="D9"/>
      </w:rPr>
      <w:t>26.05.21</w:t>
    </w:r>
    <w:r w:rsidR="00864AFF"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PRINTDATE \@ DD.MM.YY </w:instrText>
    </w:r>
    <w:r w:rsidR="00864AFF" w:rsidRPr="006848DD">
      <w:rPr>
        <w:color w:val="D9D9D9" w:themeColor="background1" w:themeShade="D9"/>
      </w:rPr>
      <w:fldChar w:fldCharType="separate"/>
    </w:r>
    <w:r w:rsidR="005F3269" w:rsidRPr="006848DD">
      <w:rPr>
        <w:color w:val="D9D9D9" w:themeColor="background1" w:themeShade="D9"/>
      </w:rPr>
      <w:t>18.07.00</w:t>
    </w:r>
    <w:r w:rsidR="00864AFF" w:rsidRPr="006848DD">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4EC98F4" w14:textId="654A6F8E"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83486E">
      <w:rPr>
        <w:bCs/>
      </w:rPr>
      <w:t>82</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E38B1"/>
    <w:multiLevelType w:val="multilevel"/>
    <w:tmpl w:val="0D70FFFA"/>
    <w:lvl w:ilvl="0">
      <w:start w:val="1"/>
      <w:numFmt w:val="decimal"/>
      <w:lvlText w:val="%1."/>
      <w:lvlJc w:val="left"/>
      <w:pPr>
        <w:ind w:left="360" w:hanging="360"/>
      </w:pPr>
      <w:rPr>
        <w:rFonts w:hint="default"/>
      </w:rPr>
    </w:lvl>
    <w:lvl w:ilvl="1">
      <w:start w:val="2"/>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176CD"/>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A3B60"/>
    <w:rsid w:val="003B1193"/>
    <w:rsid w:val="003C2533"/>
    <w:rsid w:val="003C7FB6"/>
    <w:rsid w:val="0040435A"/>
    <w:rsid w:val="00416A24"/>
    <w:rsid w:val="00431D9E"/>
    <w:rsid w:val="00433CE8"/>
    <w:rsid w:val="00434A5C"/>
    <w:rsid w:val="004544D9"/>
    <w:rsid w:val="00476038"/>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848DD"/>
    <w:rsid w:val="006B6680"/>
    <w:rsid w:val="006B6DCC"/>
    <w:rsid w:val="006E1210"/>
    <w:rsid w:val="00702DEF"/>
    <w:rsid w:val="00706861"/>
    <w:rsid w:val="00722181"/>
    <w:rsid w:val="00740FE3"/>
    <w:rsid w:val="0075051B"/>
    <w:rsid w:val="00752137"/>
    <w:rsid w:val="007865CB"/>
    <w:rsid w:val="00793188"/>
    <w:rsid w:val="00794D34"/>
    <w:rsid w:val="00813E5E"/>
    <w:rsid w:val="0083486E"/>
    <w:rsid w:val="0083581B"/>
    <w:rsid w:val="00864AFF"/>
    <w:rsid w:val="008919F3"/>
    <w:rsid w:val="008A3615"/>
    <w:rsid w:val="008B4A6A"/>
    <w:rsid w:val="008C7E27"/>
    <w:rsid w:val="009173EF"/>
    <w:rsid w:val="009239E8"/>
    <w:rsid w:val="00932906"/>
    <w:rsid w:val="00961B0B"/>
    <w:rsid w:val="009B38C3"/>
    <w:rsid w:val="009E17BD"/>
    <w:rsid w:val="009E426A"/>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25BC0"/>
    <w:rsid w:val="00B40A81"/>
    <w:rsid w:val="00B44910"/>
    <w:rsid w:val="00B72267"/>
    <w:rsid w:val="00B7410F"/>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134B"/>
    <w:rsid w:val="00CF33F3"/>
    <w:rsid w:val="00CF5A9F"/>
    <w:rsid w:val="00D06183"/>
    <w:rsid w:val="00D22C42"/>
    <w:rsid w:val="00D338E0"/>
    <w:rsid w:val="00D65041"/>
    <w:rsid w:val="00D762C5"/>
    <w:rsid w:val="00D864E0"/>
    <w:rsid w:val="00D8774A"/>
    <w:rsid w:val="00DB384B"/>
    <w:rsid w:val="00DE4373"/>
    <w:rsid w:val="00E00E7E"/>
    <w:rsid w:val="00E10E80"/>
    <w:rsid w:val="00E124F0"/>
    <w:rsid w:val="00E27DC2"/>
    <w:rsid w:val="00E60F04"/>
    <w:rsid w:val="00E854E4"/>
    <w:rsid w:val="00EA2120"/>
    <w:rsid w:val="00EB0D6F"/>
    <w:rsid w:val="00EB2232"/>
    <w:rsid w:val="00EC5337"/>
    <w:rsid w:val="00F2150A"/>
    <w:rsid w:val="00F231D8"/>
    <w:rsid w:val="00F46C5F"/>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E04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ListParagraph">
    <w:name w:val="List Paragraph"/>
    <w:aliases w:val="titre"/>
    <w:basedOn w:val="Normal"/>
    <w:link w:val="ListParagraphChar"/>
    <w:uiPriority w:val="34"/>
    <w:qFormat/>
    <w:rsid w:val="00E00E7E"/>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eastAsia="SimSun" w:hAnsi="Arial"/>
      <w:sz w:val="22"/>
      <w:szCs w:val="24"/>
      <w:lang w:val="en-US" w:eastAsia="zh-CN"/>
    </w:rPr>
  </w:style>
  <w:style w:type="character" w:customStyle="1" w:styleId="ListParagraphChar">
    <w:name w:val="List Paragraph Char"/>
    <w:aliases w:val="titre Char"/>
    <w:basedOn w:val="DefaultParagraphFont"/>
    <w:link w:val="ListParagraph"/>
    <w:uiPriority w:val="34"/>
    <w:locked/>
    <w:rsid w:val="00E00E7E"/>
    <w:rPr>
      <w:rFonts w:ascii="Arial" w:eastAsia="SimSu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678727">
      <w:bodyDiv w:val="1"/>
      <w:marLeft w:val="0"/>
      <w:marRight w:val="0"/>
      <w:marTop w:val="0"/>
      <w:marBottom w:val="0"/>
      <w:divBdr>
        <w:top w:val="none" w:sz="0" w:space="0" w:color="auto"/>
        <w:left w:val="none" w:sz="0" w:space="0" w:color="auto"/>
        <w:bottom w:val="none" w:sz="0" w:space="0" w:color="auto"/>
        <w:right w:val="none" w:sz="0" w:space="0" w:color="auto"/>
      </w:divBdr>
    </w:div>
    <w:div w:id="781341535">
      <w:bodyDiv w:val="1"/>
      <w:marLeft w:val="0"/>
      <w:marRight w:val="0"/>
      <w:marTop w:val="0"/>
      <w:marBottom w:val="0"/>
      <w:divBdr>
        <w:top w:val="none" w:sz="0" w:space="0" w:color="auto"/>
        <w:left w:val="none" w:sz="0" w:space="0" w:color="auto"/>
        <w:bottom w:val="none" w:sz="0" w:space="0" w:color="auto"/>
        <w:right w:val="none" w:sz="0" w:space="0" w:color="auto"/>
      </w:divBdr>
    </w:div>
    <w:div w:id="86167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action/cybersecurity/Pages/default.aspx"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1278</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Contribution from Australia, Canada, Czech Republic, France, Romania, United Kingdom of Great Britain and Northern Ireland - Guidelines for utilization of the Global Cybersecurity Agenda</vt:lpstr>
    </vt:vector>
  </TitlesOfParts>
  <Manager/>
  <Company/>
  <LinksUpToDate>false</LinksUpToDate>
  <CharactersWithSpaces>9223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Australia, Canada, Czech Republic, France, Romania, United Kingdom of Great Britain and Northern Ireland - Guidelines for utilization of the Global Cybersecurity Agenda</dc:title>
  <dc:subject>Council 2021, Virtual consultation of councillors</dc:subject>
  <dc:creator/>
  <cp:keywords>C2021, C21, VCC, C21-VCC-1</cp:keywords>
  <dc:description/>
  <cp:lastModifiedBy/>
  <cp:revision>1</cp:revision>
  <dcterms:created xsi:type="dcterms:W3CDTF">2021-05-26T10:12:00Z</dcterms:created>
  <dcterms:modified xsi:type="dcterms:W3CDTF">2021-05-26T11:04:00Z</dcterms:modified>
  <cp:category/>
</cp:coreProperties>
</file>