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17E9A3B7" w14:textId="77777777" w:rsidTr="006C7CC0">
        <w:trPr>
          <w:cantSplit/>
          <w:trHeight w:val="20"/>
        </w:trPr>
        <w:tc>
          <w:tcPr>
            <w:tcW w:w="6620" w:type="dxa"/>
          </w:tcPr>
          <w:p w14:paraId="7BDE4981"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المشاورة الافتراضية لأعضاء المجلس</w:t>
            </w:r>
            <w:r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19B6E130"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480CA3A5" wp14:editId="27EEC1F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0F41BA1D" w14:textId="77777777" w:rsidTr="009F66A8">
        <w:trPr>
          <w:cantSplit/>
          <w:trHeight w:val="20"/>
        </w:trPr>
        <w:tc>
          <w:tcPr>
            <w:tcW w:w="6620" w:type="dxa"/>
            <w:tcBorders>
              <w:bottom w:val="single" w:sz="12" w:space="0" w:color="auto"/>
            </w:tcBorders>
          </w:tcPr>
          <w:p w14:paraId="793A5C93"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4EFE5CFA" w14:textId="77777777" w:rsidR="00290728" w:rsidRPr="006A793B" w:rsidRDefault="00290728" w:rsidP="006A793B">
            <w:pPr>
              <w:spacing w:before="0" w:line="120" w:lineRule="auto"/>
              <w:rPr>
                <w:lang w:bidi="ar-EG"/>
              </w:rPr>
            </w:pPr>
          </w:p>
        </w:tc>
      </w:tr>
      <w:tr w:rsidR="00290728" w:rsidRPr="00290728" w14:paraId="79024C01" w14:textId="77777777" w:rsidTr="009F66A8">
        <w:trPr>
          <w:cantSplit/>
          <w:trHeight w:val="20"/>
        </w:trPr>
        <w:tc>
          <w:tcPr>
            <w:tcW w:w="6620" w:type="dxa"/>
            <w:tcBorders>
              <w:top w:val="single" w:sz="12" w:space="0" w:color="auto"/>
            </w:tcBorders>
          </w:tcPr>
          <w:p w14:paraId="678DB576" w14:textId="77777777" w:rsidR="00290728" w:rsidRPr="00290728" w:rsidRDefault="00290728" w:rsidP="002D0DCB">
            <w:pPr>
              <w:spacing w:before="0" w:line="240" w:lineRule="exact"/>
              <w:rPr>
                <w:b/>
                <w:bCs/>
                <w:rtl/>
                <w:lang w:bidi="ar-EG"/>
              </w:rPr>
            </w:pPr>
          </w:p>
        </w:tc>
        <w:tc>
          <w:tcPr>
            <w:tcW w:w="3052" w:type="dxa"/>
            <w:tcBorders>
              <w:top w:val="single" w:sz="12" w:space="0" w:color="auto"/>
            </w:tcBorders>
          </w:tcPr>
          <w:p w14:paraId="42776248" w14:textId="77777777" w:rsidR="00290728" w:rsidRPr="00290728" w:rsidRDefault="00290728" w:rsidP="002D0DCB">
            <w:pPr>
              <w:spacing w:before="0" w:line="240" w:lineRule="exact"/>
              <w:rPr>
                <w:b/>
                <w:bCs/>
                <w:lang w:bidi="ar-SY"/>
              </w:rPr>
            </w:pPr>
          </w:p>
        </w:tc>
      </w:tr>
      <w:tr w:rsidR="0015650C" w:rsidRPr="00290728" w14:paraId="3F3E40C6" w14:textId="77777777" w:rsidTr="009F66A8">
        <w:trPr>
          <w:cantSplit/>
        </w:trPr>
        <w:tc>
          <w:tcPr>
            <w:tcW w:w="6620" w:type="dxa"/>
            <w:vMerge w:val="restart"/>
          </w:tcPr>
          <w:p w14:paraId="4A0CD6B8" w14:textId="3052E33E" w:rsidR="005805EA" w:rsidRPr="005805EA" w:rsidRDefault="005805EA" w:rsidP="003C6B4F">
            <w:pPr>
              <w:spacing w:before="20" w:after="20" w:line="300" w:lineRule="exact"/>
              <w:rPr>
                <w:b/>
                <w:bCs/>
                <w:highlight w:val="yellow"/>
                <w:rtl/>
                <w:lang w:bidi="ar-EG"/>
              </w:rPr>
            </w:pPr>
            <w:r w:rsidRPr="00E92B92">
              <w:rPr>
                <w:rFonts w:hint="cs"/>
                <w:b/>
                <w:bCs/>
                <w:rtl/>
                <w:lang w:bidi="ar-EG"/>
              </w:rPr>
              <w:t xml:space="preserve">بند جدول الأعمال: </w:t>
            </w:r>
            <w:r w:rsidR="002D0DCB" w:rsidRPr="00E92B92">
              <w:rPr>
                <w:rFonts w:hint="cs"/>
                <w:b/>
                <w:bCs/>
                <w:rtl/>
                <w:lang w:bidi="ar-EG"/>
              </w:rPr>
              <w:t>1.04</w:t>
            </w:r>
            <w:r w:rsidRPr="00E92B92">
              <w:rPr>
                <w:b/>
                <w:bCs/>
                <w:lang w:bidi="ar-EG"/>
              </w:rPr>
              <w:t>PL </w:t>
            </w:r>
          </w:p>
        </w:tc>
        <w:tc>
          <w:tcPr>
            <w:tcW w:w="3052" w:type="dxa"/>
            <w:vAlign w:val="center"/>
          </w:tcPr>
          <w:p w14:paraId="69961F5E" w14:textId="67A91685"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Pr>
                <w:b/>
                <w:bCs/>
                <w:lang w:bidi="ar-SY"/>
              </w:rPr>
              <w:t>1</w:t>
            </w:r>
            <w:r w:rsidRPr="002F71D8">
              <w:rPr>
                <w:b/>
                <w:bCs/>
                <w:lang w:bidi="ar-SY"/>
              </w:rPr>
              <w:t>/</w:t>
            </w:r>
            <w:r w:rsidR="002D0DCB">
              <w:rPr>
                <w:b/>
                <w:bCs/>
                <w:lang w:bidi="ar-SY"/>
              </w:rPr>
              <w:t>82</w:t>
            </w:r>
            <w:r w:rsidRPr="002F71D8">
              <w:rPr>
                <w:b/>
                <w:bCs/>
                <w:lang w:bidi="ar-SY"/>
              </w:rPr>
              <w:t>-A</w:t>
            </w:r>
          </w:p>
        </w:tc>
      </w:tr>
      <w:tr w:rsidR="0015650C" w:rsidRPr="00290728" w14:paraId="6B9A87D9" w14:textId="77777777" w:rsidTr="009F66A8">
        <w:trPr>
          <w:cantSplit/>
        </w:trPr>
        <w:tc>
          <w:tcPr>
            <w:tcW w:w="6620" w:type="dxa"/>
            <w:vMerge/>
          </w:tcPr>
          <w:p w14:paraId="5247CDC9" w14:textId="77777777" w:rsidR="0015650C" w:rsidRPr="002F71D8" w:rsidRDefault="0015650C" w:rsidP="003C6B4F">
            <w:pPr>
              <w:spacing w:before="20" w:after="20" w:line="300" w:lineRule="exact"/>
              <w:rPr>
                <w:b/>
                <w:bCs/>
                <w:lang w:bidi="ar-SY"/>
              </w:rPr>
            </w:pPr>
          </w:p>
        </w:tc>
        <w:tc>
          <w:tcPr>
            <w:tcW w:w="3052" w:type="dxa"/>
            <w:vAlign w:val="center"/>
          </w:tcPr>
          <w:p w14:paraId="27AE7A67" w14:textId="6F1059A4" w:rsidR="0015650C" w:rsidRPr="002F71D8" w:rsidRDefault="002D0DCB" w:rsidP="003C6B4F">
            <w:pPr>
              <w:spacing w:before="20" w:after="20" w:line="300" w:lineRule="exact"/>
              <w:rPr>
                <w:b/>
                <w:bCs/>
                <w:rtl/>
                <w:lang w:bidi="ar-EG"/>
              </w:rPr>
            </w:pPr>
            <w:r>
              <w:rPr>
                <w:rFonts w:hint="cs"/>
                <w:b/>
                <w:bCs/>
                <w:rtl/>
                <w:lang w:bidi="ar-SY"/>
              </w:rPr>
              <w:t>25</w:t>
            </w:r>
            <w:r w:rsidR="0015650C" w:rsidRPr="002F71D8">
              <w:rPr>
                <w:rFonts w:hint="cs"/>
                <w:b/>
                <w:bCs/>
                <w:rtl/>
                <w:lang w:bidi="ar-EG"/>
              </w:rPr>
              <w:t xml:space="preserve"> </w:t>
            </w:r>
            <w:r>
              <w:rPr>
                <w:rFonts w:hint="cs"/>
                <w:b/>
                <w:bCs/>
                <w:rtl/>
                <w:lang w:bidi="ar-EG"/>
              </w:rPr>
              <w:t xml:space="preserve">مايو </w:t>
            </w:r>
            <w:r w:rsidR="0015650C" w:rsidRPr="002F71D8">
              <w:rPr>
                <w:b/>
                <w:bCs/>
                <w:lang w:bidi="ar-SY"/>
              </w:rPr>
              <w:t>202</w:t>
            </w:r>
            <w:r w:rsidR="0015650C">
              <w:rPr>
                <w:b/>
                <w:bCs/>
                <w:lang w:bidi="ar-SY"/>
              </w:rPr>
              <w:t>1</w:t>
            </w:r>
          </w:p>
        </w:tc>
      </w:tr>
      <w:tr w:rsidR="0015650C" w:rsidRPr="00290728" w14:paraId="72B18F3E" w14:textId="77777777" w:rsidTr="009F66A8">
        <w:trPr>
          <w:cantSplit/>
        </w:trPr>
        <w:tc>
          <w:tcPr>
            <w:tcW w:w="6620" w:type="dxa"/>
            <w:vMerge/>
          </w:tcPr>
          <w:p w14:paraId="225A8625" w14:textId="77777777" w:rsidR="0015650C" w:rsidRPr="002F71D8" w:rsidRDefault="0015650C" w:rsidP="003C6B4F">
            <w:pPr>
              <w:spacing w:before="20" w:after="20" w:line="300" w:lineRule="exact"/>
              <w:rPr>
                <w:b/>
                <w:bCs/>
                <w:lang w:bidi="ar-EG"/>
              </w:rPr>
            </w:pPr>
          </w:p>
        </w:tc>
        <w:tc>
          <w:tcPr>
            <w:tcW w:w="3052" w:type="dxa"/>
            <w:vAlign w:val="center"/>
          </w:tcPr>
          <w:p w14:paraId="05D90C17" w14:textId="0E89CEAC" w:rsidR="0015650C" w:rsidRPr="002F71D8" w:rsidRDefault="0015650C" w:rsidP="003C6B4F">
            <w:pPr>
              <w:spacing w:before="20" w:after="20" w:line="300" w:lineRule="exact"/>
              <w:rPr>
                <w:b/>
                <w:bCs/>
                <w:lang w:bidi="ar-SY"/>
              </w:rPr>
            </w:pPr>
            <w:r w:rsidRPr="002F71D8">
              <w:rPr>
                <w:b/>
                <w:bCs/>
                <w:rtl/>
                <w:lang w:bidi="ar-EG"/>
              </w:rPr>
              <w:t xml:space="preserve">الأصل: </w:t>
            </w:r>
            <w:r w:rsidR="002D0DCB">
              <w:rPr>
                <w:rFonts w:hint="cs"/>
                <w:b/>
                <w:bCs/>
                <w:rtl/>
                <w:lang w:bidi="ar-EG"/>
              </w:rPr>
              <w:t>بالإنكليزية</w:t>
            </w:r>
          </w:p>
        </w:tc>
      </w:tr>
      <w:tr w:rsidR="00290728" w:rsidRPr="00290728" w14:paraId="1234C89E" w14:textId="77777777" w:rsidTr="009F66A8">
        <w:trPr>
          <w:cantSplit/>
        </w:trPr>
        <w:tc>
          <w:tcPr>
            <w:tcW w:w="9672" w:type="dxa"/>
            <w:gridSpan w:val="2"/>
          </w:tcPr>
          <w:p w14:paraId="20D122E7" w14:textId="45B38267" w:rsidR="00290728" w:rsidRPr="00290728" w:rsidRDefault="002917DA" w:rsidP="00290728">
            <w:pPr>
              <w:pStyle w:val="Source"/>
              <w:rPr>
                <w:rtl/>
                <w:lang w:bidi="ar-EG"/>
              </w:rPr>
            </w:pPr>
            <w:r>
              <w:rPr>
                <w:rFonts w:hint="cs"/>
                <w:rtl/>
                <w:lang w:bidi="ar-SY"/>
              </w:rPr>
              <w:t>مذكرة</w:t>
            </w:r>
            <w:r w:rsidR="002D0DCB">
              <w:rPr>
                <w:rFonts w:hint="cs"/>
                <w:rtl/>
                <w:lang w:bidi="ar-SY"/>
              </w:rPr>
              <w:t xml:space="preserve"> من الأمين العام</w:t>
            </w:r>
          </w:p>
        </w:tc>
      </w:tr>
      <w:tr w:rsidR="00290728" w:rsidRPr="00290728" w14:paraId="5C590188" w14:textId="77777777" w:rsidTr="009F66A8">
        <w:trPr>
          <w:cantSplit/>
        </w:trPr>
        <w:tc>
          <w:tcPr>
            <w:tcW w:w="9672" w:type="dxa"/>
            <w:gridSpan w:val="2"/>
          </w:tcPr>
          <w:p w14:paraId="0E0120EE" w14:textId="129E7459" w:rsidR="00290728" w:rsidRPr="00383829" w:rsidRDefault="002917DA" w:rsidP="002917DA">
            <w:pPr>
              <w:pStyle w:val="Title1"/>
              <w:rPr>
                <w:rtl/>
              </w:rPr>
            </w:pPr>
            <w:r>
              <w:rPr>
                <w:rFonts w:hint="cs"/>
                <w:rtl/>
              </w:rPr>
              <w:t>مساهمة من أستراليا وكندا والجمهورية التشيكية وفرنسا ورومانيا والمملكة</w:t>
            </w:r>
            <w:r>
              <w:rPr>
                <w:rFonts w:hint="eastAsia"/>
                <w:rtl/>
              </w:rPr>
              <w:t> </w:t>
            </w:r>
            <w:r>
              <w:rPr>
                <w:rFonts w:hint="cs"/>
                <w:rtl/>
              </w:rPr>
              <w:t>المتحدة لبريطانيا العظمى وأيرلندا الشمالية</w:t>
            </w:r>
          </w:p>
        </w:tc>
      </w:tr>
      <w:tr w:rsidR="00DC5FB0" w:rsidRPr="00290728" w14:paraId="5E71F910" w14:textId="77777777" w:rsidTr="009F66A8">
        <w:trPr>
          <w:cantSplit/>
        </w:trPr>
        <w:tc>
          <w:tcPr>
            <w:tcW w:w="9672" w:type="dxa"/>
            <w:gridSpan w:val="2"/>
          </w:tcPr>
          <w:p w14:paraId="5D9CABA6" w14:textId="223928B7" w:rsidR="00DC5FB0" w:rsidRPr="00383829" w:rsidRDefault="00E92B92" w:rsidP="002917DA">
            <w:pPr>
              <w:pStyle w:val="Title2"/>
              <w:rPr>
                <w:rtl/>
              </w:rPr>
            </w:pPr>
            <w:r w:rsidRPr="00E92B92">
              <w:rPr>
                <w:rtl/>
              </w:rPr>
              <w:t>المبادئ التوجيهية لاستعمال البرنامج العالمي للأمن السيبراني</w:t>
            </w:r>
          </w:p>
        </w:tc>
      </w:tr>
    </w:tbl>
    <w:p w14:paraId="481F5D38" w14:textId="41406A9C" w:rsidR="002D0DCB" w:rsidRDefault="002917DA" w:rsidP="002917DA">
      <w:pPr>
        <w:pStyle w:val="Normalaftertitle"/>
        <w:rPr>
          <w:rtl/>
        </w:rPr>
      </w:pPr>
      <w:r>
        <w:rPr>
          <w:rFonts w:hint="cs"/>
          <w:rtl/>
        </w:rPr>
        <w:t xml:space="preserve">يُشرفني أن </w:t>
      </w:r>
      <w:r>
        <w:rPr>
          <w:color w:val="000000"/>
          <w:rtl/>
        </w:rPr>
        <w:t>أحيل إلى الدول الأعضاء في المجلس</w:t>
      </w:r>
      <w:r w:rsidR="002D0DCB">
        <w:rPr>
          <w:rFonts w:hint="cs"/>
          <w:rtl/>
        </w:rPr>
        <w:t xml:space="preserve"> </w:t>
      </w:r>
      <w:r>
        <w:rPr>
          <w:rFonts w:hint="cs"/>
          <w:rtl/>
        </w:rPr>
        <w:t xml:space="preserve">مساهمة وردت من </w:t>
      </w:r>
      <w:r w:rsidRPr="00D03C11">
        <w:rPr>
          <w:rFonts w:hint="cs"/>
          <w:b/>
          <w:bCs/>
          <w:rtl/>
        </w:rPr>
        <w:t>أستراليا وكندا والجمهورية التشيكية وفرنسا ورومانيا والمملكة المتحدة لبريطانيا العظمى وأيرلندا الشمالية</w:t>
      </w:r>
      <w:r>
        <w:rPr>
          <w:rFonts w:hint="cs"/>
          <w:rtl/>
        </w:rPr>
        <w:t>.</w:t>
      </w:r>
    </w:p>
    <w:p w14:paraId="2D39536F" w14:textId="2BF82B98" w:rsidR="002D0DCB" w:rsidRDefault="002D0DCB" w:rsidP="002917DA">
      <w:pPr>
        <w:spacing w:before="1440" w:line="240" w:lineRule="auto"/>
        <w:ind w:left="5103"/>
        <w:jc w:val="center"/>
        <w:rPr>
          <w:rtl/>
        </w:rPr>
      </w:pPr>
      <w:r>
        <w:rPr>
          <w:rFonts w:hint="cs"/>
          <w:rtl/>
        </w:rPr>
        <w:t>هولين جاو</w:t>
      </w:r>
      <w:r w:rsidR="002917DA">
        <w:rPr>
          <w:rtl/>
        </w:rPr>
        <w:br/>
      </w:r>
      <w:r>
        <w:rPr>
          <w:rFonts w:hint="cs"/>
          <w:rtl/>
        </w:rPr>
        <w:t>الأمين العام</w:t>
      </w:r>
    </w:p>
    <w:p w14:paraId="6AF5C21D" w14:textId="7124C5B3" w:rsidR="002D0DCB" w:rsidRDefault="002D0DCB">
      <w:pPr>
        <w:tabs>
          <w:tab w:val="clear" w:pos="794"/>
        </w:tabs>
        <w:bidi w:val="0"/>
        <w:spacing w:before="0" w:after="160" w:line="259" w:lineRule="auto"/>
        <w:jc w:val="left"/>
      </w:pPr>
      <w:r>
        <w:br w:type="page"/>
      </w:r>
    </w:p>
    <w:p w14:paraId="2AC144E9" w14:textId="526284D8" w:rsidR="002D0DCB" w:rsidRDefault="00A8042A" w:rsidP="00676F4C">
      <w:pPr>
        <w:pStyle w:val="Annextitle"/>
        <w:spacing w:after="240"/>
        <w:rPr>
          <w:rtl/>
        </w:rPr>
      </w:pPr>
      <w:r>
        <w:rPr>
          <w:rFonts w:hint="cs"/>
          <w:rtl/>
        </w:rPr>
        <w:lastRenderedPageBreak/>
        <w:t>مساهمة من أستراليا وكندا والجمهورية التشيكية وفرنسا ورومانيا</w:t>
      </w:r>
      <w:r w:rsidR="00D03C11">
        <w:rPr>
          <w:rtl/>
        </w:rPr>
        <w:br/>
      </w:r>
      <w:r>
        <w:rPr>
          <w:rFonts w:hint="cs"/>
          <w:rtl/>
        </w:rPr>
        <w:t>والمملكة</w:t>
      </w:r>
      <w:r>
        <w:rPr>
          <w:rFonts w:hint="eastAsia"/>
          <w:rtl/>
        </w:rPr>
        <w:t> </w:t>
      </w:r>
      <w:r>
        <w:rPr>
          <w:rFonts w:hint="cs"/>
          <w:rtl/>
        </w:rPr>
        <w:t>المتحدة لبريطانيا العظمى وأيرلندا الشمالية</w:t>
      </w:r>
    </w:p>
    <w:p w14:paraId="1E49033D" w14:textId="1978C8F3" w:rsidR="001E67AD" w:rsidRPr="001E67AD" w:rsidRDefault="001E67AD" w:rsidP="001A5937">
      <w:pPr>
        <w:pStyle w:val="Title1"/>
        <w:spacing w:before="240" w:after="240"/>
        <w:rPr>
          <w:rtl/>
          <w:lang w:bidi="ar-EG"/>
        </w:rPr>
      </w:pPr>
      <w:r w:rsidRPr="00E92B92">
        <w:rPr>
          <w:rtl/>
        </w:rPr>
        <w:t>المبادئ التوجيهية لاستعمال البرنامج العالمي للأمن السيبراني</w:t>
      </w: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7DBCAD44" w14:textId="77777777" w:rsidTr="00952F86">
        <w:trPr>
          <w:jc w:val="center"/>
        </w:trPr>
        <w:tc>
          <w:tcPr>
            <w:tcW w:w="8080" w:type="dxa"/>
          </w:tcPr>
          <w:p w14:paraId="474F9159" w14:textId="77777777" w:rsidR="00290728" w:rsidRPr="00290728" w:rsidRDefault="00290728" w:rsidP="00F267B2">
            <w:pPr>
              <w:pStyle w:val="Headingb"/>
              <w:rPr>
                <w:rtl/>
                <w:lang w:bidi="ar-SY"/>
              </w:rPr>
            </w:pPr>
            <w:r w:rsidRPr="00290728">
              <w:rPr>
                <w:rFonts w:hint="cs"/>
                <w:rtl/>
                <w:lang w:bidi="ar-SY"/>
              </w:rPr>
              <w:t>ملخص</w:t>
            </w:r>
          </w:p>
          <w:p w14:paraId="5287D7B3" w14:textId="0EE516FA" w:rsidR="00290728" w:rsidRDefault="00C0584E" w:rsidP="00C0584E">
            <w:pPr>
              <w:rPr>
                <w:rtl/>
                <w:lang w:bidi="ar-SY"/>
              </w:rPr>
            </w:pPr>
            <w:r w:rsidRPr="00C0584E">
              <w:rPr>
                <w:rtl/>
                <w:lang w:bidi="ar-EG"/>
              </w:rPr>
              <w:t xml:space="preserve">نرى أن المبادئ التوجيهية لاستعمال </w:t>
            </w:r>
            <w:r w:rsidRPr="00C0584E">
              <w:rPr>
                <w:rtl/>
              </w:rPr>
              <w:t xml:space="preserve">البرنامج </w:t>
            </w:r>
            <w:r w:rsidRPr="00C0584E">
              <w:rPr>
                <w:rtl/>
                <w:lang w:bidi="ar-EG"/>
              </w:rPr>
              <w:t>العالمي للأمن السيبراني (</w:t>
            </w:r>
            <w:r w:rsidRPr="00C0584E">
              <w:rPr>
                <w:lang w:bidi="ar-SY"/>
              </w:rPr>
              <w:t>GCA</w:t>
            </w:r>
            <w:r w:rsidRPr="00C0584E">
              <w:rPr>
                <w:rtl/>
                <w:lang w:bidi="ar-EG"/>
              </w:rPr>
              <w:t xml:space="preserve">) </w:t>
            </w:r>
            <w:r w:rsidRPr="00C0584E">
              <w:rPr>
                <w:rFonts w:hint="cs"/>
                <w:rtl/>
                <w:lang w:bidi="ar-EG"/>
              </w:rPr>
              <w:t>ينبغي</w:t>
            </w:r>
            <w:r w:rsidRPr="00C0584E">
              <w:rPr>
                <w:rtl/>
                <w:lang w:bidi="ar-EG"/>
              </w:rPr>
              <w:t xml:space="preserve"> أن </w:t>
            </w:r>
            <w:r w:rsidRPr="00C0584E">
              <w:rPr>
                <w:rFonts w:hint="cs"/>
                <w:rtl/>
                <w:lang w:bidi="ar-EG"/>
              </w:rPr>
              <w:t>تشكل</w:t>
            </w:r>
            <w:r w:rsidRPr="00C0584E">
              <w:rPr>
                <w:rtl/>
                <w:lang w:bidi="ar-EG"/>
              </w:rPr>
              <w:t xml:space="preserve"> وثيقة مرجعية قصيرة ومركزة للغاية تأخذ في الاعتبار العمل الحالي الذي يقوم به الاتحاد الدولي للاتصالات بشأن المسائل المتعلقة بالأمن السيبراني </w:t>
            </w:r>
            <w:r w:rsidRPr="00C0584E">
              <w:rPr>
                <w:rFonts w:hint="cs"/>
                <w:rtl/>
                <w:lang w:bidi="ar-EG"/>
              </w:rPr>
              <w:t>المبينة،</w:t>
            </w:r>
            <w:r w:rsidRPr="00C0584E">
              <w:rPr>
                <w:rtl/>
                <w:lang w:bidi="ar-EG"/>
              </w:rPr>
              <w:t xml:space="preserve"> في جملة أمور</w:t>
            </w:r>
            <w:r w:rsidRPr="00C0584E">
              <w:rPr>
                <w:rFonts w:hint="cs"/>
                <w:rtl/>
                <w:lang w:bidi="ar-EG"/>
              </w:rPr>
              <w:t xml:space="preserve">، </w:t>
            </w:r>
            <w:r w:rsidRPr="00C0584E">
              <w:rPr>
                <w:rtl/>
                <w:lang w:bidi="ar-EG"/>
              </w:rPr>
              <w:t xml:space="preserve">في </w:t>
            </w:r>
            <w:r w:rsidRPr="00C0584E">
              <w:rPr>
                <w:rFonts w:hint="cs"/>
                <w:rtl/>
                <w:lang w:bidi="ar-EG"/>
              </w:rPr>
              <w:t>ال</w:t>
            </w:r>
            <w:r w:rsidRPr="00C0584E">
              <w:rPr>
                <w:rtl/>
                <w:lang w:bidi="ar-EG"/>
              </w:rPr>
              <w:t>قرار</w:t>
            </w:r>
            <w:r w:rsidRPr="00C0584E">
              <w:rPr>
                <w:rFonts w:hint="cs"/>
                <w:rtl/>
                <w:lang w:bidi="ar-EG"/>
              </w:rPr>
              <w:t xml:space="preserve"> </w:t>
            </w:r>
            <w:r w:rsidRPr="00C0584E">
              <w:rPr>
                <w:rtl/>
                <w:lang w:bidi="ar-EG"/>
              </w:rPr>
              <w:t xml:space="preserve">130 </w:t>
            </w:r>
            <w:r w:rsidRPr="00C0584E">
              <w:rPr>
                <w:rFonts w:hint="cs"/>
                <w:rtl/>
                <w:lang w:bidi="ar-EG"/>
              </w:rPr>
              <w:t xml:space="preserve">لمؤتمر </w:t>
            </w:r>
            <w:r w:rsidRPr="00C0584E">
              <w:rPr>
                <w:rtl/>
                <w:lang w:bidi="ar-EG"/>
              </w:rPr>
              <w:t>المندوب</w:t>
            </w:r>
            <w:r w:rsidRPr="00C0584E">
              <w:rPr>
                <w:rFonts w:hint="cs"/>
                <w:rtl/>
                <w:lang w:bidi="ar-EG"/>
              </w:rPr>
              <w:t>ين المفوضين</w:t>
            </w:r>
            <w:r w:rsidRPr="00C0584E">
              <w:rPr>
                <w:rtl/>
                <w:lang w:bidi="ar-EG"/>
              </w:rPr>
              <w:t xml:space="preserve"> </w:t>
            </w:r>
            <w:r w:rsidRPr="00C0584E">
              <w:rPr>
                <w:rFonts w:hint="cs"/>
                <w:rtl/>
                <w:lang w:bidi="ar-EG"/>
              </w:rPr>
              <w:t>وال</w:t>
            </w:r>
            <w:r w:rsidRPr="00C0584E">
              <w:rPr>
                <w:rtl/>
                <w:lang w:bidi="ar-EG"/>
              </w:rPr>
              <w:t>قرار</w:t>
            </w:r>
            <w:r w:rsidRPr="00C0584E">
              <w:rPr>
                <w:rFonts w:hint="cs"/>
                <w:rtl/>
                <w:lang w:bidi="ar-EG"/>
              </w:rPr>
              <w:t xml:space="preserve"> </w:t>
            </w:r>
            <w:r w:rsidRPr="00C0584E">
              <w:rPr>
                <w:rtl/>
                <w:lang w:bidi="ar-EG"/>
              </w:rPr>
              <w:t xml:space="preserve">50 </w:t>
            </w:r>
            <w:r w:rsidRPr="00C0584E">
              <w:rPr>
                <w:rFonts w:hint="cs"/>
                <w:rtl/>
                <w:lang w:bidi="ar-EG"/>
              </w:rPr>
              <w:t>ل</w:t>
            </w:r>
            <w:r w:rsidRPr="00C0584E">
              <w:rPr>
                <w:rtl/>
                <w:lang w:bidi="ar-EG"/>
              </w:rPr>
              <w:t>لجمعية العالمية لتقييس الاتصالات</w:t>
            </w:r>
            <w:r w:rsidRPr="00C0584E">
              <w:rPr>
                <w:rFonts w:hint="cs"/>
                <w:rtl/>
                <w:lang w:bidi="ar-EG"/>
              </w:rPr>
              <w:t xml:space="preserve"> (</w:t>
            </w:r>
            <w:r w:rsidRPr="00C0584E">
              <w:rPr>
                <w:lang w:val="en-GB" w:bidi="ar-SY"/>
              </w:rPr>
              <w:t>WTSA</w:t>
            </w:r>
            <w:r w:rsidRPr="00C0584E">
              <w:rPr>
                <w:rFonts w:hint="cs"/>
                <w:rtl/>
                <w:lang w:bidi="ar-EG"/>
              </w:rPr>
              <w:t>)</w:t>
            </w:r>
            <w:r w:rsidRPr="00C0584E">
              <w:rPr>
                <w:rtl/>
                <w:lang w:bidi="ar-EG"/>
              </w:rPr>
              <w:t>، والقرار 45 للمؤتمر العالمي لتنمية الاتصالات</w:t>
            </w:r>
            <w:r w:rsidR="002C724F">
              <w:rPr>
                <w:rFonts w:hint="cs"/>
                <w:rtl/>
                <w:lang w:bidi="ar-EG"/>
              </w:rPr>
              <w:t> </w:t>
            </w:r>
            <w:r w:rsidRPr="00C0584E">
              <w:rPr>
                <w:rtl/>
                <w:lang w:bidi="ar-EG"/>
              </w:rPr>
              <w:t>(</w:t>
            </w:r>
            <w:r w:rsidRPr="00C0584E">
              <w:rPr>
                <w:lang w:bidi="ar-SY"/>
              </w:rPr>
              <w:t>WTDC</w:t>
            </w:r>
            <w:r w:rsidRPr="00C0584E">
              <w:rPr>
                <w:rtl/>
                <w:lang w:bidi="ar-EG"/>
              </w:rPr>
              <w:t>)، و</w:t>
            </w:r>
            <w:r w:rsidRPr="00C0584E">
              <w:rPr>
                <w:rFonts w:hint="cs"/>
                <w:rtl/>
                <w:lang w:bidi="ar-EG"/>
              </w:rPr>
              <w:t>في أ</w:t>
            </w:r>
            <w:r w:rsidRPr="00C0584E">
              <w:rPr>
                <w:rtl/>
                <w:lang w:bidi="ar-EG"/>
              </w:rPr>
              <w:t>عم</w:t>
            </w:r>
            <w:r w:rsidRPr="00C0584E">
              <w:rPr>
                <w:rFonts w:hint="cs"/>
                <w:rtl/>
                <w:lang w:bidi="ar-EG"/>
              </w:rPr>
              <w:t>ا</w:t>
            </w:r>
            <w:r w:rsidRPr="00C0584E">
              <w:rPr>
                <w:rtl/>
                <w:lang w:bidi="ar-EG"/>
              </w:rPr>
              <w:t xml:space="preserve">ل لجنة الدراسات 17 </w:t>
            </w:r>
            <w:r w:rsidR="00D31D54">
              <w:rPr>
                <w:rFonts w:hint="cs"/>
                <w:rtl/>
                <w:lang w:bidi="ar-EG"/>
              </w:rPr>
              <w:t>ل</w:t>
            </w:r>
            <w:r w:rsidRPr="00C0584E">
              <w:rPr>
                <w:rtl/>
                <w:lang w:bidi="ar-EG"/>
              </w:rPr>
              <w:t xml:space="preserve">قطاع تقييس الاتصالات، </w:t>
            </w:r>
            <w:r w:rsidRPr="00C0584E">
              <w:rPr>
                <w:rFonts w:hint="cs"/>
                <w:rtl/>
                <w:lang w:bidi="ar-EG"/>
              </w:rPr>
              <w:t>وعدة</w:t>
            </w:r>
            <w:r w:rsidRPr="00C0584E">
              <w:rPr>
                <w:rtl/>
                <w:lang w:bidi="ar-EG"/>
              </w:rPr>
              <w:t xml:space="preserve"> مبادرات وبرامج أخرى يضطلع بها قطاع التنمية.</w:t>
            </w:r>
          </w:p>
          <w:p w14:paraId="406ADC19" w14:textId="77777777" w:rsidR="00290728" w:rsidRPr="00290728" w:rsidRDefault="00290728" w:rsidP="00F267B2">
            <w:pPr>
              <w:pStyle w:val="Headingb"/>
              <w:rPr>
                <w:rtl/>
                <w:lang w:bidi="ar-SY"/>
              </w:rPr>
            </w:pPr>
            <w:r w:rsidRPr="00290728">
              <w:rPr>
                <w:rFonts w:hint="cs"/>
                <w:rtl/>
                <w:lang w:bidi="ar-SY"/>
              </w:rPr>
              <w:t>الإجراء المطلوب</w:t>
            </w:r>
          </w:p>
          <w:p w14:paraId="5E8A7E67" w14:textId="5499E49E" w:rsidR="00290728" w:rsidRPr="001E67AD" w:rsidRDefault="00EC4C4D" w:rsidP="00EC4C4D">
            <w:pPr>
              <w:rPr>
                <w:rtl/>
                <w:lang w:bidi="ar-SY"/>
              </w:rPr>
            </w:pPr>
            <w:r w:rsidRPr="00EC4C4D">
              <w:rPr>
                <w:rFonts w:hint="cs"/>
                <w:b/>
                <w:bCs/>
                <w:rtl/>
                <w:lang w:bidi="ar-EG"/>
              </w:rPr>
              <w:t>تقدَّم</w:t>
            </w:r>
            <w:r w:rsidRPr="00EC4C4D">
              <w:rPr>
                <w:rFonts w:hint="cs"/>
                <w:rtl/>
                <w:lang w:bidi="ar-EG"/>
              </w:rPr>
              <w:t xml:space="preserve"> </w:t>
            </w:r>
            <w:r w:rsidRPr="00EC4C4D">
              <w:rPr>
                <w:rtl/>
                <w:lang w:bidi="ar-EG"/>
              </w:rPr>
              <w:t xml:space="preserve">هذه الوثيقة </w:t>
            </w:r>
            <w:r w:rsidRPr="00EC4C4D">
              <w:rPr>
                <w:rFonts w:hint="cs"/>
                <w:rtl/>
                <w:lang w:bidi="ar-EG"/>
              </w:rPr>
              <w:t>كي ينظر</w:t>
            </w:r>
            <w:r w:rsidRPr="00EC4C4D">
              <w:rPr>
                <w:rtl/>
                <w:lang w:bidi="ar-EG"/>
              </w:rPr>
              <w:t xml:space="preserve"> المجلس فيها.</w:t>
            </w:r>
          </w:p>
          <w:p w14:paraId="22DF29AF" w14:textId="77777777" w:rsidR="00290728" w:rsidRPr="00290728" w:rsidRDefault="00290728" w:rsidP="00F267B2">
            <w:pPr>
              <w:pStyle w:val="Headingb"/>
              <w:rPr>
                <w:rtl/>
                <w:lang w:bidi="ar-SY"/>
              </w:rPr>
            </w:pPr>
            <w:r w:rsidRPr="00290728">
              <w:rPr>
                <w:rFonts w:hint="cs"/>
                <w:rtl/>
                <w:lang w:bidi="ar-SY"/>
              </w:rPr>
              <w:t>المراجع</w:t>
            </w:r>
          </w:p>
          <w:p w14:paraId="5D1065E6" w14:textId="556C23D9" w:rsidR="001E67AD" w:rsidRDefault="00970112" w:rsidP="000F6D82">
            <w:pPr>
              <w:spacing w:after="120"/>
              <w:jc w:val="left"/>
              <w:rPr>
                <w:i/>
                <w:iCs/>
                <w:rtl/>
                <w:lang w:bidi="ar-SY"/>
              </w:rPr>
            </w:pPr>
            <w:hyperlink r:id="rId9" w:history="1">
              <w:bookmarkStart w:id="1" w:name="lt_pId023"/>
              <w:r w:rsidR="000F6D82" w:rsidRPr="000F6D82">
                <w:rPr>
                  <w:rStyle w:val="Hyperlink"/>
                  <w:i/>
                  <w:iCs/>
                  <w:lang w:val="en-GB" w:bidi="ar-SY"/>
                </w:rPr>
                <w:t>https://www.itu.int/en/action/cybersecurity/Pages/default.aspx</w:t>
              </w:r>
              <w:bookmarkEnd w:id="1"/>
            </w:hyperlink>
          </w:p>
          <w:p w14:paraId="664EF292" w14:textId="142FA030" w:rsidR="001E67AD" w:rsidRPr="00290728" w:rsidRDefault="00970112" w:rsidP="000F6D82">
            <w:pPr>
              <w:spacing w:after="120"/>
              <w:jc w:val="left"/>
              <w:rPr>
                <w:i/>
                <w:iCs/>
                <w:rtl/>
                <w:lang w:bidi="ar-EG"/>
              </w:rPr>
            </w:pPr>
            <w:hyperlink r:id="rId10" w:history="1">
              <w:r w:rsidR="000F6D82" w:rsidRPr="000F6D82">
                <w:rPr>
                  <w:rStyle w:val="Hyperlink"/>
                  <w:rFonts w:hint="cs"/>
                  <w:i/>
                  <w:iCs/>
                  <w:rtl/>
                  <w:lang w:bidi="ar-SY"/>
                </w:rPr>
                <w:t xml:space="preserve">الوثيقة </w:t>
              </w:r>
              <w:r w:rsidR="000F6D82" w:rsidRPr="000F6D82">
                <w:rPr>
                  <w:rStyle w:val="Hyperlink"/>
                  <w:i/>
                  <w:iCs/>
                  <w:lang w:bidi="ar-SY"/>
                </w:rPr>
                <w:t>C21/36</w:t>
              </w:r>
            </w:hyperlink>
          </w:p>
        </w:tc>
      </w:tr>
    </w:tbl>
    <w:p w14:paraId="2EFA3448" w14:textId="764EB421" w:rsidR="001E67AD" w:rsidRDefault="001E67AD" w:rsidP="00D03C11">
      <w:pPr>
        <w:pStyle w:val="Heading1"/>
        <w:rPr>
          <w:rtl/>
          <w:lang w:bidi="ar-EG"/>
        </w:rPr>
      </w:pPr>
      <w:r w:rsidRPr="001E67AD">
        <w:rPr>
          <w:rFonts w:hint="cs"/>
          <w:rtl/>
          <w:lang w:bidi="ar-EG"/>
        </w:rPr>
        <w:t>1</w:t>
      </w:r>
      <w:r w:rsidRPr="001E67AD">
        <w:rPr>
          <w:rtl/>
          <w:lang w:bidi="ar-EG"/>
        </w:rPr>
        <w:tab/>
      </w:r>
      <w:r w:rsidRPr="001E67AD">
        <w:rPr>
          <w:rFonts w:hint="cs"/>
          <w:rtl/>
          <w:lang w:bidi="ar-EG"/>
        </w:rPr>
        <w:t>مقدمة</w:t>
      </w:r>
    </w:p>
    <w:p w14:paraId="6CBD810F" w14:textId="33369650" w:rsidR="001E67AD" w:rsidRPr="00D03C11" w:rsidRDefault="00EC4C4D" w:rsidP="00D03C11">
      <w:pPr>
        <w:rPr>
          <w:rtl/>
        </w:rPr>
      </w:pPr>
      <w:r w:rsidRPr="00D03C11">
        <w:rPr>
          <w:rFonts w:hint="cs"/>
          <w:rtl/>
        </w:rPr>
        <w:t>إننا</w:t>
      </w:r>
      <w:r w:rsidRPr="00D03C11">
        <w:rPr>
          <w:rtl/>
        </w:rPr>
        <w:t xml:space="preserve"> نقدر الفرصة </w:t>
      </w:r>
      <w:r w:rsidRPr="00D03C11">
        <w:rPr>
          <w:rFonts w:hint="cs"/>
          <w:rtl/>
        </w:rPr>
        <w:t>المتاحة</w:t>
      </w:r>
      <w:r w:rsidRPr="00D03C11">
        <w:rPr>
          <w:rtl/>
        </w:rPr>
        <w:t xml:space="preserve"> لتقديم المزيد من التعليقات على مشروع المبادئ التوجيهية لاستعمال البرنامج العالمي للأمن السيبراني (</w:t>
      </w:r>
      <w:r w:rsidRPr="00D03C11">
        <w:t>GCA</w:t>
      </w:r>
      <w:r w:rsidRPr="00D03C11">
        <w:rPr>
          <w:rtl/>
        </w:rPr>
        <w:t>)، وندرك أن جهوداً كبيرة قد ب</w:t>
      </w:r>
      <w:r w:rsidRPr="00D03C11">
        <w:rPr>
          <w:rFonts w:hint="cs"/>
          <w:rtl/>
        </w:rPr>
        <w:t>ُ</w:t>
      </w:r>
      <w:r w:rsidRPr="00D03C11">
        <w:rPr>
          <w:rtl/>
        </w:rPr>
        <w:t>ذلت في إعداد مشروع المبادئ التوجيهية الحالي ال</w:t>
      </w:r>
      <w:r w:rsidRPr="00D03C11">
        <w:rPr>
          <w:rFonts w:hint="cs"/>
          <w:rtl/>
        </w:rPr>
        <w:t>ذ</w:t>
      </w:r>
      <w:r w:rsidRPr="00D03C11">
        <w:rPr>
          <w:rtl/>
        </w:rPr>
        <w:t xml:space="preserve">ي قدمه الأمين العام </w:t>
      </w:r>
      <w:r w:rsidRPr="00D03C11">
        <w:rPr>
          <w:rFonts w:hint="cs"/>
          <w:rtl/>
        </w:rPr>
        <w:t>كي ينظر</w:t>
      </w:r>
      <w:r w:rsidRPr="00D03C11">
        <w:rPr>
          <w:rtl/>
        </w:rPr>
        <w:t xml:space="preserve"> المجلس</w:t>
      </w:r>
      <w:r w:rsidRPr="00D03C11">
        <w:rPr>
          <w:rFonts w:hint="cs"/>
          <w:rtl/>
        </w:rPr>
        <w:t xml:space="preserve"> فيه</w:t>
      </w:r>
      <w:r w:rsidRPr="00D03C11">
        <w:rPr>
          <w:rtl/>
        </w:rPr>
        <w:t>.</w:t>
      </w:r>
    </w:p>
    <w:p w14:paraId="24FC7F40" w14:textId="31C00F08" w:rsidR="001E67AD" w:rsidRPr="00D03C11" w:rsidRDefault="00B00A15" w:rsidP="00D03C11">
      <w:pPr>
        <w:rPr>
          <w:rtl/>
        </w:rPr>
      </w:pPr>
      <w:r w:rsidRPr="00D03C11">
        <w:rPr>
          <w:rFonts w:hint="cs"/>
          <w:rtl/>
        </w:rPr>
        <w:t>و</w:t>
      </w:r>
      <w:r w:rsidR="00EC4C4D" w:rsidRPr="00D03C11">
        <w:rPr>
          <w:rtl/>
        </w:rPr>
        <w:t>ندرك أن البرنامج العالمي للأمن السيبراني (</w:t>
      </w:r>
      <w:r w:rsidR="00EC4C4D" w:rsidRPr="00D03C11">
        <w:t>GCA</w:t>
      </w:r>
      <w:r w:rsidR="00EC4C4D" w:rsidRPr="00D03C11">
        <w:rPr>
          <w:rtl/>
        </w:rPr>
        <w:t>)</w:t>
      </w:r>
      <w:r w:rsidR="00EC4C4D" w:rsidRPr="00D03C11">
        <w:rPr>
          <w:rFonts w:hint="cs"/>
          <w:rtl/>
        </w:rPr>
        <w:t xml:space="preserve"> </w:t>
      </w:r>
      <w:r w:rsidR="00EC4C4D" w:rsidRPr="00D03C11">
        <w:rPr>
          <w:rtl/>
        </w:rPr>
        <w:t xml:space="preserve">هو إطار مهم يتألف من خمس </w:t>
      </w:r>
      <w:r w:rsidR="00EC4C4D" w:rsidRPr="00D03C11">
        <w:rPr>
          <w:rFonts w:hint="cs"/>
          <w:rtl/>
        </w:rPr>
        <w:t>ركائز هي</w:t>
      </w:r>
      <w:r w:rsidR="00EC4C4D" w:rsidRPr="00D03C11">
        <w:rPr>
          <w:rtl/>
        </w:rPr>
        <w:t>:</w:t>
      </w:r>
      <w:r w:rsidR="001E67AD" w:rsidRPr="00D03C11">
        <w:rPr>
          <w:rFonts w:hint="cs"/>
          <w:rtl/>
        </w:rPr>
        <w:t xml:space="preserve"> التدابير القانونية؛ </w:t>
      </w:r>
      <w:r w:rsidR="00EC4C4D" w:rsidRPr="00D03C11">
        <w:rPr>
          <w:rFonts w:hint="cs"/>
          <w:rtl/>
        </w:rPr>
        <w:t>و</w:t>
      </w:r>
      <w:r w:rsidR="001E67AD" w:rsidRPr="00D03C11">
        <w:rPr>
          <w:rFonts w:hint="cs"/>
          <w:rtl/>
        </w:rPr>
        <w:t>التد</w:t>
      </w:r>
      <w:r w:rsidR="00FD15F0" w:rsidRPr="00D03C11">
        <w:rPr>
          <w:rFonts w:hint="cs"/>
          <w:rtl/>
        </w:rPr>
        <w:t>ا</w:t>
      </w:r>
      <w:r w:rsidR="001E67AD" w:rsidRPr="00D03C11">
        <w:rPr>
          <w:rFonts w:hint="cs"/>
          <w:rtl/>
        </w:rPr>
        <w:t xml:space="preserve">بير التقنية والإجرائية؛ </w:t>
      </w:r>
      <w:r w:rsidR="00EC4C4D" w:rsidRPr="00D03C11">
        <w:rPr>
          <w:rFonts w:hint="cs"/>
          <w:rtl/>
        </w:rPr>
        <w:t>و</w:t>
      </w:r>
      <w:r w:rsidR="001E67AD" w:rsidRPr="00D03C11">
        <w:rPr>
          <w:rFonts w:hint="cs"/>
          <w:rtl/>
        </w:rPr>
        <w:t xml:space="preserve">الهياكل التنظيمية؛ </w:t>
      </w:r>
      <w:r w:rsidR="00EC4C4D" w:rsidRPr="00D03C11">
        <w:rPr>
          <w:rFonts w:hint="cs"/>
          <w:rtl/>
        </w:rPr>
        <w:t>و</w:t>
      </w:r>
      <w:r w:rsidR="001E67AD" w:rsidRPr="00D03C11">
        <w:rPr>
          <w:rFonts w:hint="cs"/>
          <w:rtl/>
        </w:rPr>
        <w:t>بناء القدرات</w:t>
      </w:r>
      <w:r w:rsidR="004745D2" w:rsidRPr="00D03C11">
        <w:rPr>
          <w:rFonts w:hint="cs"/>
          <w:rtl/>
        </w:rPr>
        <w:t>،</w:t>
      </w:r>
      <w:r w:rsidR="001E67AD" w:rsidRPr="00D03C11">
        <w:rPr>
          <w:rFonts w:hint="cs"/>
          <w:rtl/>
        </w:rPr>
        <w:t xml:space="preserve"> </w:t>
      </w:r>
      <w:r w:rsidR="004745D2" w:rsidRPr="00D03C11">
        <w:rPr>
          <w:rFonts w:hint="cs"/>
          <w:rtl/>
        </w:rPr>
        <w:t>و</w:t>
      </w:r>
      <w:r w:rsidR="001E67AD" w:rsidRPr="00D03C11">
        <w:rPr>
          <w:rFonts w:hint="cs"/>
          <w:rtl/>
        </w:rPr>
        <w:t xml:space="preserve">التعاون الدولي، </w:t>
      </w:r>
      <w:r w:rsidR="00F242B2" w:rsidRPr="00D03C11">
        <w:rPr>
          <w:rFonts w:hint="cs"/>
          <w:rtl/>
        </w:rPr>
        <w:t xml:space="preserve">ويشكل هذا </w:t>
      </w:r>
      <w:r w:rsidR="00F242B2" w:rsidRPr="00D03C11">
        <w:rPr>
          <w:rtl/>
        </w:rPr>
        <w:t>البرنامج</w:t>
      </w:r>
      <w:r w:rsidR="00F242B2" w:rsidRPr="00D03C11">
        <w:rPr>
          <w:rFonts w:hint="cs"/>
          <w:rtl/>
        </w:rPr>
        <w:t xml:space="preserve"> </w:t>
      </w:r>
      <w:r w:rsidR="00F242B2" w:rsidRPr="00D03C11">
        <w:rPr>
          <w:rtl/>
        </w:rPr>
        <w:t>في جوهره وثيقة مرجعية لتعاون أصحاب المصلحة المتعددين والتعاون مع وبين جميع أصحاب المصلحة المعنيين، بناءً على المبادرات الحالية لتجنب ازدواجية الجهود.</w:t>
      </w:r>
    </w:p>
    <w:p w14:paraId="1D9BFF44" w14:textId="2E1DDBDA" w:rsidR="00F242B2" w:rsidRPr="00D03C11" w:rsidRDefault="00C9784E" w:rsidP="00D03C11">
      <w:pPr>
        <w:rPr>
          <w:rtl/>
        </w:rPr>
      </w:pPr>
      <w:r w:rsidRPr="00D03C11">
        <w:rPr>
          <w:rtl/>
        </w:rPr>
        <w:t>علاوة</w:t>
      </w:r>
      <w:r w:rsidR="00D63CD8">
        <w:rPr>
          <w:rFonts w:hint="cs"/>
          <w:rtl/>
        </w:rPr>
        <w:t>ً</w:t>
      </w:r>
      <w:r w:rsidRPr="00D03C11">
        <w:rPr>
          <w:rtl/>
        </w:rPr>
        <w:t xml:space="preserve"> على ذلك، نود أن نسلط الضوء على أن الاتحاد الدولي للاتصالات يستخدم بالفعل </w:t>
      </w:r>
      <w:r w:rsidR="00F242B2" w:rsidRPr="00D03C11">
        <w:rPr>
          <w:rtl/>
        </w:rPr>
        <w:t xml:space="preserve">البرنامج العالمي للأمن السيبراني </w:t>
      </w:r>
      <w:r w:rsidRPr="00D03C11">
        <w:rPr>
          <w:rtl/>
        </w:rPr>
        <w:t>بطريقة فع</w:t>
      </w:r>
      <w:r w:rsidR="00D63CD8">
        <w:rPr>
          <w:rFonts w:hint="cs"/>
          <w:rtl/>
        </w:rPr>
        <w:t>ّ</w:t>
      </w:r>
      <w:r w:rsidRPr="00D03C11">
        <w:rPr>
          <w:rtl/>
        </w:rPr>
        <w:t xml:space="preserve">الة </w:t>
      </w:r>
      <w:r w:rsidR="00B00A15" w:rsidRPr="00D03C11">
        <w:rPr>
          <w:rFonts w:hint="cs"/>
          <w:rtl/>
        </w:rPr>
        <w:t>وتتسم بالكفاءة</w:t>
      </w:r>
      <w:r w:rsidRPr="00D03C11">
        <w:rPr>
          <w:rtl/>
        </w:rPr>
        <w:t xml:space="preserve"> </w:t>
      </w:r>
      <w:r w:rsidR="00F242B2" w:rsidRPr="00D03C11">
        <w:rPr>
          <w:rtl/>
        </w:rPr>
        <w:t>–</w:t>
      </w:r>
      <w:r w:rsidRPr="00D03C11">
        <w:rPr>
          <w:rtl/>
        </w:rPr>
        <w:t xml:space="preserve"> </w:t>
      </w:r>
      <w:r w:rsidR="00F242B2" w:rsidRPr="00D03C11">
        <w:rPr>
          <w:rFonts w:hint="cs"/>
          <w:rtl/>
        </w:rPr>
        <w:t>لمنفعة</w:t>
      </w:r>
      <w:r w:rsidRPr="00D03C11">
        <w:rPr>
          <w:rtl/>
        </w:rPr>
        <w:t xml:space="preserve"> جميع أعضاء الاتحاد </w:t>
      </w:r>
      <w:r w:rsidR="002D0A2B">
        <w:rPr>
          <w:rFonts w:hint="cs"/>
          <w:rtl/>
        </w:rPr>
        <w:t>–</w:t>
      </w:r>
      <w:r w:rsidRPr="00D03C11">
        <w:rPr>
          <w:rtl/>
        </w:rPr>
        <w:t xml:space="preserve"> كما يتضح من مساهمة الأمين العام </w:t>
      </w:r>
      <w:r w:rsidR="00F242B2" w:rsidRPr="00D03C11">
        <w:rPr>
          <w:rFonts w:hint="cs"/>
          <w:rtl/>
        </w:rPr>
        <w:t>المقدَّمة إلى</w:t>
      </w:r>
      <w:r w:rsidRPr="00D03C11">
        <w:rPr>
          <w:rtl/>
        </w:rPr>
        <w:t xml:space="preserve"> المجلس.</w:t>
      </w:r>
    </w:p>
    <w:p w14:paraId="385685CD" w14:textId="6C2B2654" w:rsidR="00DF5442" w:rsidRDefault="00F242B2" w:rsidP="00D03C11">
      <w:pPr>
        <w:rPr>
          <w:rtl/>
          <w:lang w:bidi="ar-EG"/>
        </w:rPr>
      </w:pPr>
      <w:r w:rsidRPr="00D03C11">
        <w:rPr>
          <w:rFonts w:hint="cs"/>
          <w:rtl/>
        </w:rPr>
        <w:t>واعترافاً</w:t>
      </w:r>
      <w:r w:rsidR="00C9784E" w:rsidRPr="00D03C11">
        <w:rPr>
          <w:rtl/>
        </w:rPr>
        <w:t xml:space="preserve"> </w:t>
      </w:r>
      <w:r w:rsidRPr="00D03C11">
        <w:rPr>
          <w:rFonts w:hint="cs"/>
          <w:rtl/>
        </w:rPr>
        <w:t>ب</w:t>
      </w:r>
      <w:r w:rsidR="00C9784E" w:rsidRPr="00D03C11">
        <w:rPr>
          <w:rtl/>
        </w:rPr>
        <w:t xml:space="preserve">ولاية الاتحاد وأنشطة وبرامج الأمن السيبراني الجارية، وحاجة الاتحاد وأعضائه إلى فهم واضح للغرض </w:t>
      </w:r>
      <w:r w:rsidRPr="00D03C11">
        <w:rPr>
          <w:rFonts w:hint="cs"/>
          <w:rtl/>
        </w:rPr>
        <w:t>من هذه</w:t>
      </w:r>
      <w:r w:rsidRPr="00D03C11">
        <w:rPr>
          <w:rtl/>
        </w:rPr>
        <w:t xml:space="preserve"> المبادئ التوجيهية </w:t>
      </w:r>
      <w:r w:rsidR="00C9784E" w:rsidRPr="00D03C11">
        <w:rPr>
          <w:rtl/>
        </w:rPr>
        <w:t xml:space="preserve">والجمهور </w:t>
      </w:r>
      <w:r w:rsidRPr="00D03C11">
        <w:rPr>
          <w:rFonts w:hint="cs"/>
          <w:rtl/>
        </w:rPr>
        <w:t>الذي تستهدفه</w:t>
      </w:r>
      <w:r w:rsidR="00C9784E" w:rsidRPr="00D03C11">
        <w:rPr>
          <w:rtl/>
        </w:rPr>
        <w:t xml:space="preserve"> و</w:t>
      </w:r>
      <w:r w:rsidRPr="00D03C11">
        <w:rPr>
          <w:rFonts w:hint="cs"/>
          <w:rtl/>
        </w:rPr>
        <w:t xml:space="preserve">محور </w:t>
      </w:r>
      <w:r w:rsidR="00C9784E" w:rsidRPr="00D03C11">
        <w:rPr>
          <w:rtl/>
        </w:rPr>
        <w:t>تركيز</w:t>
      </w:r>
      <w:r w:rsidRPr="00D03C11">
        <w:rPr>
          <w:rFonts w:hint="cs"/>
          <w:rtl/>
        </w:rPr>
        <w:t>ها</w:t>
      </w:r>
      <w:r w:rsidR="00C9784E" w:rsidRPr="00D03C11">
        <w:rPr>
          <w:rtl/>
        </w:rPr>
        <w:t>، يس</w:t>
      </w:r>
      <w:r w:rsidRPr="00D03C11">
        <w:rPr>
          <w:rFonts w:hint="cs"/>
          <w:rtl/>
        </w:rPr>
        <w:t>ر</w:t>
      </w:r>
      <w:r w:rsidR="00C9784E" w:rsidRPr="00D03C11">
        <w:rPr>
          <w:rtl/>
        </w:rPr>
        <w:t>نا أن نقترح</w:t>
      </w:r>
      <w:r w:rsidR="00B00A15" w:rsidRPr="00D03C11">
        <w:rPr>
          <w:rFonts w:hint="cs"/>
          <w:rtl/>
        </w:rPr>
        <w:t xml:space="preserve"> أن تشكل </w:t>
      </w:r>
      <w:r w:rsidRPr="00D03C11">
        <w:rPr>
          <w:rFonts w:hint="cs"/>
          <w:rtl/>
        </w:rPr>
        <w:t>هذه</w:t>
      </w:r>
      <w:r w:rsidRPr="00D03C11">
        <w:rPr>
          <w:rtl/>
        </w:rPr>
        <w:t xml:space="preserve"> </w:t>
      </w:r>
      <w:r w:rsidR="00C9784E" w:rsidRPr="00D03C11">
        <w:rPr>
          <w:rtl/>
        </w:rPr>
        <w:t xml:space="preserve">المبادئ التوجيهية </w:t>
      </w:r>
      <w:r w:rsidRPr="00D03C11">
        <w:rPr>
          <w:rtl/>
        </w:rPr>
        <w:t xml:space="preserve">وثيقة </w:t>
      </w:r>
      <w:r w:rsidR="00C9784E" w:rsidRPr="00D03C11">
        <w:rPr>
          <w:rtl/>
        </w:rPr>
        <w:t xml:space="preserve">مركزة وموجزة للغاية تقتصر على الأنشطة المبسطة التالية لكل ركيزة من ركائز </w:t>
      </w:r>
      <w:r w:rsidR="00DF5442" w:rsidRPr="00D03C11">
        <w:rPr>
          <w:rtl/>
        </w:rPr>
        <w:t>البرنامج العالمي للأمن السيبراني (</w:t>
      </w:r>
      <w:r w:rsidR="00DF5442" w:rsidRPr="00D03C11">
        <w:t>GCA</w:t>
      </w:r>
      <w:r w:rsidR="00DF5442" w:rsidRPr="00D03C11">
        <w:rPr>
          <w:rtl/>
        </w:rPr>
        <w:t>)</w:t>
      </w:r>
      <w:r w:rsidR="00C9784E" w:rsidRPr="00D03C11">
        <w:rPr>
          <w:rtl/>
        </w:rPr>
        <w:t>.</w:t>
      </w:r>
    </w:p>
    <w:p w14:paraId="431E750F" w14:textId="446155D1" w:rsidR="00184327" w:rsidRDefault="004745D2" w:rsidP="000F6D82">
      <w:pPr>
        <w:pStyle w:val="Headingb"/>
        <w:rPr>
          <w:rtl/>
          <w:lang w:bidi="ar-EG"/>
        </w:rPr>
      </w:pPr>
      <w:r w:rsidRPr="004745D2">
        <w:rPr>
          <w:rFonts w:hint="cs"/>
          <w:rtl/>
          <w:lang w:bidi="ar-EG"/>
        </w:rPr>
        <w:t>الركيزة 1: التدابير القانونية</w:t>
      </w:r>
    </w:p>
    <w:p w14:paraId="6EE5E30D" w14:textId="34EB93BA" w:rsidR="004745D2" w:rsidRDefault="00184327" w:rsidP="00D03C11">
      <w:pPr>
        <w:pStyle w:val="enumlev1"/>
        <w:rPr>
          <w:rtl/>
          <w:lang w:bidi="ar-EG"/>
        </w:rPr>
      </w:pPr>
      <w:r>
        <w:rPr>
          <w:rFonts w:hint="cs"/>
          <w:rtl/>
          <w:lang w:bidi="ar-EG"/>
        </w:rPr>
        <w:t xml:space="preserve"> </w:t>
      </w:r>
      <w:proofErr w:type="gramStart"/>
      <w:r w:rsidR="004745D2" w:rsidRPr="004745D2">
        <w:rPr>
          <w:rFonts w:hint="cs"/>
          <w:rtl/>
        </w:rPr>
        <w:t>أ</w:t>
      </w:r>
      <w:r w:rsidR="00D03C11">
        <w:rPr>
          <w:rFonts w:hint="cs"/>
          <w:rtl/>
        </w:rPr>
        <w:t xml:space="preserve"> </w:t>
      </w:r>
      <w:r w:rsidR="004745D2" w:rsidRPr="004745D2">
        <w:rPr>
          <w:rFonts w:hint="cs"/>
          <w:rtl/>
        </w:rPr>
        <w:t>)</w:t>
      </w:r>
      <w:proofErr w:type="gramEnd"/>
      <w:r w:rsidR="004745D2" w:rsidRPr="008873CF">
        <w:rPr>
          <w:b/>
          <w:bCs/>
          <w:rtl/>
        </w:rPr>
        <w:tab/>
      </w:r>
      <w:r w:rsidR="004745D2" w:rsidRPr="008873CF">
        <w:rPr>
          <w:rFonts w:hint="cs"/>
          <w:rtl/>
        </w:rPr>
        <w:t>ينبغي للاتحاد أن يواصل جهوده</w:t>
      </w:r>
      <w:r w:rsidR="00DF5442" w:rsidRPr="00DF5442">
        <w:rPr>
          <w:rtl/>
          <w:lang w:bidi="ar-EG"/>
        </w:rPr>
        <w:t xml:space="preserve"> في إطار</w:t>
      </w:r>
      <w:r w:rsidR="00DF5442">
        <w:rPr>
          <w:rFonts w:hint="cs"/>
          <w:rtl/>
          <w:lang w:bidi="ar-EG"/>
        </w:rPr>
        <w:t xml:space="preserve"> ولايته</w:t>
      </w:r>
      <w:r w:rsidR="004745D2" w:rsidRPr="008873CF">
        <w:rPr>
          <w:rFonts w:hint="cs"/>
          <w:rtl/>
        </w:rPr>
        <w:t xml:space="preserve"> لتيسير المناقشات والتعاون بين أصحاب المصلحة المتعددين بشأن التحديات المرتبطة بمعالجة مسألة الأمن السيبراني، ولا سيما تعزيز علاقته مع </w:t>
      </w:r>
      <w:r w:rsidR="00DF5442">
        <w:rPr>
          <w:rFonts w:hint="cs"/>
          <w:rtl/>
        </w:rPr>
        <w:t>جميع</w:t>
      </w:r>
      <w:r w:rsidR="004745D2" w:rsidRPr="008873CF">
        <w:rPr>
          <w:rFonts w:hint="cs"/>
          <w:rtl/>
        </w:rPr>
        <w:t xml:space="preserve"> أصحاب المصلحة الآخرين لتقديم المساعدة إلى الدول الأعضاء في هذا الصدد.</w:t>
      </w:r>
    </w:p>
    <w:p w14:paraId="7F85EB2E" w14:textId="7C2D33F8" w:rsidR="004745D2" w:rsidRDefault="004745D2" w:rsidP="00D03C11">
      <w:pPr>
        <w:pStyle w:val="enumlev1"/>
        <w:rPr>
          <w:rtl/>
        </w:rPr>
      </w:pPr>
      <w:r w:rsidRPr="004745D2">
        <w:rPr>
          <w:rFonts w:hint="cs"/>
          <w:rtl/>
        </w:rPr>
        <w:t>ب)</w:t>
      </w:r>
      <w:r w:rsidRPr="008873CF">
        <w:rPr>
          <w:b/>
          <w:bCs/>
          <w:rtl/>
        </w:rPr>
        <w:tab/>
      </w:r>
      <w:r w:rsidRPr="008873CF">
        <w:rPr>
          <w:rFonts w:hint="cs"/>
          <w:rtl/>
        </w:rPr>
        <w:t xml:space="preserve">ينبغي للاتحاد أن </w:t>
      </w:r>
      <w:r w:rsidR="00DF5442">
        <w:rPr>
          <w:rFonts w:hint="cs"/>
          <w:rtl/>
        </w:rPr>
        <w:t>ي</w:t>
      </w:r>
      <w:r w:rsidR="00B00A15">
        <w:rPr>
          <w:rFonts w:hint="cs"/>
          <w:rtl/>
        </w:rPr>
        <w:t>واصل ال</w:t>
      </w:r>
      <w:r w:rsidRPr="008873CF">
        <w:rPr>
          <w:rFonts w:hint="cs"/>
          <w:rtl/>
        </w:rPr>
        <w:t xml:space="preserve">عمل مع الشركاء </w:t>
      </w:r>
      <w:r w:rsidR="00DF5442" w:rsidRPr="00DF5442">
        <w:rPr>
          <w:rtl/>
          <w:lang w:bidi="ar-EG"/>
        </w:rPr>
        <w:t>المعنيين في إطار</w:t>
      </w:r>
      <w:r w:rsidR="00DF5442" w:rsidRPr="00DF5442">
        <w:rPr>
          <w:rFonts w:hint="cs"/>
          <w:rtl/>
          <w:lang w:bidi="ar-EG"/>
        </w:rPr>
        <w:t xml:space="preserve"> ولايته</w:t>
      </w:r>
      <w:r w:rsidR="00DF5442" w:rsidRPr="00DF5442">
        <w:rPr>
          <w:rFonts w:hint="cs"/>
          <w:rtl/>
        </w:rPr>
        <w:t xml:space="preserve"> </w:t>
      </w:r>
      <w:r w:rsidRPr="008873CF">
        <w:rPr>
          <w:rFonts w:hint="cs"/>
          <w:rtl/>
        </w:rPr>
        <w:t xml:space="preserve">لتطوير موارد تشريعات </w:t>
      </w:r>
      <w:r w:rsidR="00DF5442">
        <w:rPr>
          <w:rFonts w:hint="cs"/>
          <w:rtl/>
        </w:rPr>
        <w:t>الأمن</w:t>
      </w:r>
      <w:r w:rsidRPr="008873CF">
        <w:rPr>
          <w:rFonts w:hint="cs"/>
          <w:rtl/>
        </w:rPr>
        <w:t xml:space="preserve"> السيبراني</w:t>
      </w:r>
      <w:r w:rsidR="00DF5442" w:rsidRPr="00DF5442">
        <w:rPr>
          <w:rFonts w:hint="cs"/>
          <w:rtl/>
        </w:rPr>
        <w:t xml:space="preserve"> والحفاظ عليها</w:t>
      </w:r>
      <w:r w:rsidRPr="008873CF">
        <w:rPr>
          <w:rFonts w:hint="cs"/>
          <w:rtl/>
        </w:rPr>
        <w:t>، لمساعدة الدول الأعضاء على فهم الجوانب القانونية للأمن السيبراني، مع دعم تبادل الخبرات والمعارف بين الدول الأعضاء لدعم جهودها الرامية إلى وضع أطر بشأن هذا الموضوع.</w:t>
      </w:r>
    </w:p>
    <w:p w14:paraId="2D430B27" w14:textId="34FDDFC5" w:rsidR="004745D2" w:rsidRPr="002D0A2B" w:rsidRDefault="004745D2" w:rsidP="00D03C11">
      <w:pPr>
        <w:pStyle w:val="enumlev1"/>
        <w:rPr>
          <w:spacing w:val="-2"/>
          <w:rtl/>
        </w:rPr>
      </w:pPr>
      <w:r w:rsidRPr="002D0A2B">
        <w:rPr>
          <w:rFonts w:hint="cs"/>
          <w:spacing w:val="-2"/>
          <w:rtl/>
        </w:rPr>
        <w:lastRenderedPageBreak/>
        <w:t>ج)</w:t>
      </w:r>
      <w:r w:rsidRPr="002D0A2B">
        <w:rPr>
          <w:b/>
          <w:bCs/>
          <w:spacing w:val="-2"/>
          <w:rtl/>
        </w:rPr>
        <w:tab/>
      </w:r>
      <w:r w:rsidRPr="002D0A2B">
        <w:rPr>
          <w:rFonts w:hint="cs"/>
          <w:spacing w:val="-2"/>
          <w:rtl/>
        </w:rPr>
        <w:t xml:space="preserve">ينبغي للاتحاد أن يعمد، بالتعاون مع </w:t>
      </w:r>
      <w:r w:rsidR="00DF5442" w:rsidRPr="002D0A2B">
        <w:rPr>
          <w:rFonts w:hint="cs"/>
          <w:spacing w:val="-2"/>
          <w:rtl/>
        </w:rPr>
        <w:t>أصحاب المصلحة جميعهم</w:t>
      </w:r>
      <w:r w:rsidRPr="002D0A2B">
        <w:rPr>
          <w:rFonts w:hint="cs"/>
          <w:spacing w:val="-2"/>
          <w:rtl/>
        </w:rPr>
        <w:t xml:space="preserve">، إلى </w:t>
      </w:r>
      <w:r w:rsidR="00DF5442" w:rsidRPr="002D0A2B">
        <w:rPr>
          <w:rFonts w:hint="cs"/>
          <w:spacing w:val="-2"/>
          <w:rtl/>
        </w:rPr>
        <w:t>بلورة</w:t>
      </w:r>
      <w:r w:rsidRPr="002D0A2B">
        <w:rPr>
          <w:rFonts w:hint="cs"/>
          <w:spacing w:val="-2"/>
          <w:rtl/>
        </w:rPr>
        <w:t xml:space="preserve"> فهم </w:t>
      </w:r>
      <w:r w:rsidR="00DF5442" w:rsidRPr="002D0A2B">
        <w:rPr>
          <w:rFonts w:hint="cs"/>
          <w:spacing w:val="-2"/>
          <w:rtl/>
        </w:rPr>
        <w:t xml:space="preserve">واضح ومشترك لمصطلح </w:t>
      </w:r>
      <w:r w:rsidR="00AB4478" w:rsidRPr="002D0A2B">
        <w:rPr>
          <w:rFonts w:hint="cs"/>
          <w:spacing w:val="-2"/>
          <w:rtl/>
        </w:rPr>
        <w:t>"</w:t>
      </w:r>
      <w:r w:rsidR="00DF5442" w:rsidRPr="002D0A2B">
        <w:rPr>
          <w:rFonts w:hint="cs"/>
          <w:spacing w:val="-2"/>
          <w:rtl/>
        </w:rPr>
        <w:t>التكنولوجيات النا</w:t>
      </w:r>
      <w:r w:rsidR="00AB4478" w:rsidRPr="002D0A2B">
        <w:rPr>
          <w:rFonts w:hint="cs"/>
          <w:spacing w:val="-2"/>
          <w:rtl/>
        </w:rPr>
        <w:t>شئة"</w:t>
      </w:r>
      <w:r w:rsidRPr="002D0A2B">
        <w:rPr>
          <w:rFonts w:hint="cs"/>
          <w:spacing w:val="-2"/>
          <w:rtl/>
        </w:rPr>
        <w:t xml:space="preserve"> </w:t>
      </w:r>
      <w:r w:rsidR="00AB4478" w:rsidRPr="002D0A2B">
        <w:rPr>
          <w:rFonts w:hint="cs"/>
          <w:spacing w:val="-2"/>
          <w:rtl/>
        </w:rPr>
        <w:t>و</w:t>
      </w:r>
      <w:r w:rsidRPr="002D0A2B">
        <w:rPr>
          <w:rFonts w:hint="cs"/>
          <w:spacing w:val="-2"/>
          <w:rtl/>
        </w:rPr>
        <w:t>للتحديات والمخاطر التي تشكلها</w:t>
      </w:r>
      <w:r w:rsidR="00AB4478" w:rsidRPr="002D0A2B">
        <w:rPr>
          <w:rFonts w:hint="cs"/>
          <w:spacing w:val="-2"/>
          <w:rtl/>
        </w:rPr>
        <w:t xml:space="preserve"> هذه</w:t>
      </w:r>
      <w:r w:rsidRPr="002D0A2B">
        <w:rPr>
          <w:rFonts w:hint="cs"/>
          <w:spacing w:val="-2"/>
          <w:rtl/>
        </w:rPr>
        <w:t xml:space="preserve"> التكنولوجيات</w:t>
      </w:r>
      <w:r w:rsidR="00AB4478" w:rsidRPr="002D0A2B">
        <w:rPr>
          <w:rFonts w:hint="cs"/>
          <w:spacing w:val="-2"/>
          <w:rtl/>
        </w:rPr>
        <w:t>، وتيسير تبادل دراسات الحالة والممارسات السليمة</w:t>
      </w:r>
      <w:r w:rsidRPr="002D0A2B">
        <w:rPr>
          <w:rFonts w:hint="cs"/>
          <w:spacing w:val="-2"/>
          <w:rtl/>
        </w:rPr>
        <w:t xml:space="preserve"> بشأن </w:t>
      </w:r>
      <w:r w:rsidR="00AB4478" w:rsidRPr="002D0A2B">
        <w:rPr>
          <w:rFonts w:hint="cs"/>
          <w:spacing w:val="-2"/>
          <w:rtl/>
        </w:rPr>
        <w:t xml:space="preserve">أي </w:t>
      </w:r>
      <w:r w:rsidRPr="002D0A2B">
        <w:rPr>
          <w:rFonts w:hint="cs"/>
          <w:spacing w:val="-2"/>
          <w:rtl/>
        </w:rPr>
        <w:t xml:space="preserve">تدابير قانونية </w:t>
      </w:r>
      <w:r w:rsidR="00AB4478" w:rsidRPr="002D0A2B">
        <w:rPr>
          <w:rFonts w:hint="cs"/>
          <w:spacing w:val="-2"/>
          <w:rtl/>
        </w:rPr>
        <w:t>يمكن أن تكون قابلة للتطبيق</w:t>
      </w:r>
      <w:r w:rsidRPr="002D0A2B">
        <w:rPr>
          <w:rFonts w:hint="cs"/>
          <w:spacing w:val="-2"/>
          <w:rtl/>
        </w:rPr>
        <w:t xml:space="preserve"> على المستويات الوطنية والإقليمية والدولية.</w:t>
      </w:r>
    </w:p>
    <w:p w14:paraId="109C9886" w14:textId="7D1920C1" w:rsidR="004745D2" w:rsidRDefault="00F965C1" w:rsidP="00D03C11">
      <w:pPr>
        <w:pStyle w:val="enumlev1"/>
        <w:rPr>
          <w:rtl/>
          <w:lang w:bidi="ar"/>
        </w:rPr>
      </w:pPr>
      <w:proofErr w:type="gramStart"/>
      <w:r>
        <w:rPr>
          <w:rFonts w:hint="cs"/>
          <w:rtl/>
          <w:lang w:bidi="ar-EG"/>
        </w:rPr>
        <w:t>د</w:t>
      </w:r>
      <w:r w:rsidRPr="00F965C1">
        <w:rPr>
          <w:rFonts w:hint="cs"/>
          <w:rtl/>
        </w:rPr>
        <w:t xml:space="preserve"> )</w:t>
      </w:r>
      <w:proofErr w:type="gramEnd"/>
      <w:r w:rsidRPr="008873CF">
        <w:rPr>
          <w:b/>
          <w:bCs/>
          <w:rtl/>
        </w:rPr>
        <w:tab/>
      </w:r>
      <w:r w:rsidRPr="008873CF">
        <w:rPr>
          <w:rFonts w:hint="cs"/>
          <w:color w:val="222222"/>
          <w:rtl/>
          <w:lang w:bidi="ar"/>
        </w:rPr>
        <w:t xml:space="preserve">ينبغي أن يواصل الاتحاد تعزيز برنامج حماية الأطفال على الإنترنت كمنصة للعمل مع الشركاء وأصحاب المصلحة لتعزيز تبادل المعارف والمعلومات والأنشطة بما في ذلك التدابير التي يمكن أن تسهل وتدعم الإجراءات </w:t>
      </w:r>
      <w:r w:rsidR="00B00A15">
        <w:rPr>
          <w:rFonts w:hint="cs"/>
          <w:color w:val="222222"/>
          <w:rtl/>
          <w:lang w:bidi="ar"/>
        </w:rPr>
        <w:t>التي تتخذها البلدان</w:t>
      </w:r>
      <w:r w:rsidR="00B00A15" w:rsidRPr="008873CF">
        <w:rPr>
          <w:rFonts w:hint="cs"/>
          <w:color w:val="222222"/>
          <w:rtl/>
          <w:lang w:bidi="ar"/>
        </w:rPr>
        <w:t xml:space="preserve"> </w:t>
      </w:r>
      <w:r w:rsidRPr="008873CF">
        <w:rPr>
          <w:rFonts w:hint="cs"/>
          <w:color w:val="222222"/>
          <w:rtl/>
          <w:lang w:bidi="ar"/>
        </w:rPr>
        <w:t>بشأن هذه القضية الحاسمة</w:t>
      </w:r>
      <w:r w:rsidRPr="008873CF">
        <w:rPr>
          <w:rFonts w:hint="cs"/>
          <w:rtl/>
          <w:lang w:bidi="ar"/>
        </w:rPr>
        <w:t>.</w:t>
      </w:r>
    </w:p>
    <w:p w14:paraId="56447DD9" w14:textId="033757D6" w:rsidR="00184327" w:rsidRDefault="00F965C1" w:rsidP="000F6D82">
      <w:pPr>
        <w:pStyle w:val="Headingb"/>
        <w:rPr>
          <w:rtl/>
          <w:lang w:bidi="ar-EG"/>
        </w:rPr>
      </w:pPr>
      <w:r w:rsidRPr="00F965C1">
        <w:rPr>
          <w:rFonts w:hint="cs"/>
          <w:rtl/>
          <w:lang w:bidi="ar-EG"/>
        </w:rPr>
        <w:t>الركيزة 2: التدابير التقنية والإجرائية</w:t>
      </w:r>
    </w:p>
    <w:p w14:paraId="120E9CF7" w14:textId="78696392" w:rsidR="00F965C1" w:rsidRDefault="00184327" w:rsidP="002D0A2B">
      <w:pPr>
        <w:pStyle w:val="enumlev1"/>
        <w:rPr>
          <w:rtl/>
        </w:rPr>
      </w:pPr>
      <w:r>
        <w:rPr>
          <w:rFonts w:hint="cs"/>
          <w:rtl/>
        </w:rPr>
        <w:t xml:space="preserve"> </w:t>
      </w:r>
      <w:proofErr w:type="gramStart"/>
      <w:r w:rsidR="00F965C1" w:rsidRPr="00F965C1">
        <w:rPr>
          <w:rFonts w:hint="cs"/>
          <w:rtl/>
        </w:rPr>
        <w:t>أ</w:t>
      </w:r>
      <w:r w:rsidR="002D0A2B">
        <w:rPr>
          <w:rFonts w:hint="cs"/>
          <w:rtl/>
        </w:rPr>
        <w:t xml:space="preserve"> </w:t>
      </w:r>
      <w:r w:rsidR="00F965C1" w:rsidRPr="00F965C1">
        <w:rPr>
          <w:rFonts w:hint="cs"/>
          <w:rtl/>
        </w:rPr>
        <w:t>)</w:t>
      </w:r>
      <w:proofErr w:type="gramEnd"/>
      <w:r w:rsidR="00F965C1" w:rsidRPr="00F965C1">
        <w:rPr>
          <w:rtl/>
        </w:rPr>
        <w:tab/>
      </w:r>
      <w:r w:rsidR="00B00A15" w:rsidRPr="00DF5442">
        <w:rPr>
          <w:rtl/>
        </w:rPr>
        <w:t>ينبغي أن تركز لجان دراسات الاتحاد</w:t>
      </w:r>
      <w:r w:rsidR="00B00A15">
        <w:rPr>
          <w:rFonts w:hint="cs"/>
          <w:rtl/>
        </w:rPr>
        <w:t>،</w:t>
      </w:r>
      <w:r w:rsidR="00B00A15" w:rsidRPr="00DF5442">
        <w:rPr>
          <w:rtl/>
        </w:rPr>
        <w:t xml:space="preserve"> </w:t>
      </w:r>
      <w:r w:rsidR="004A0BEA" w:rsidRPr="00DF5442">
        <w:rPr>
          <w:rtl/>
        </w:rPr>
        <w:t>في إطار اختصاصاتها المحددة وكفاءاتها الأساسية، على زيادة توضيح</w:t>
      </w:r>
      <w:r w:rsidR="004A0BEA" w:rsidRPr="004A0BEA">
        <w:rPr>
          <w:rFonts w:hint="cs"/>
          <w:rtl/>
        </w:rPr>
        <w:t xml:space="preserve"> </w:t>
      </w:r>
      <w:r w:rsidR="004A0BEA" w:rsidRPr="00DF5442">
        <w:rPr>
          <w:rtl/>
        </w:rPr>
        <w:t xml:space="preserve">المقصود بالتكنولوجيات الناشئة، من أجل دراسة واقتراح مبادئ توجيهية مناسبة للأمن السيبراني </w:t>
      </w:r>
      <w:r w:rsidR="004A0BEA" w:rsidRPr="004A0BEA">
        <w:rPr>
          <w:rFonts w:hint="cs"/>
          <w:rtl/>
        </w:rPr>
        <w:t xml:space="preserve">بشأن </w:t>
      </w:r>
      <w:r w:rsidR="004A0BEA" w:rsidRPr="00DF5442">
        <w:rPr>
          <w:rtl/>
        </w:rPr>
        <w:t>استعمال هذه</w:t>
      </w:r>
      <w:r w:rsidR="002D0A2B">
        <w:rPr>
          <w:rFonts w:hint="cs"/>
          <w:rtl/>
        </w:rPr>
        <w:t> </w:t>
      </w:r>
      <w:r w:rsidR="004A0BEA" w:rsidRPr="004A0BEA">
        <w:rPr>
          <w:rFonts w:hint="cs"/>
          <w:rtl/>
        </w:rPr>
        <w:t>التكنولوجيات،</w:t>
      </w:r>
      <w:r w:rsidR="004A0BEA" w:rsidRPr="004A0BEA">
        <w:rPr>
          <w:rtl/>
        </w:rPr>
        <w:t xml:space="preserve"> </w:t>
      </w:r>
      <w:r w:rsidR="004A0BEA" w:rsidRPr="00DF5442">
        <w:rPr>
          <w:rtl/>
        </w:rPr>
        <w:t>وتوصية الدول الأعضاء بتطبيقها طوعاً في وقت مناسب.</w:t>
      </w:r>
    </w:p>
    <w:p w14:paraId="2CE06CE0" w14:textId="2D360598" w:rsidR="00F965C1" w:rsidRDefault="00F965C1" w:rsidP="002D0A2B">
      <w:pPr>
        <w:pStyle w:val="enumlev1"/>
        <w:rPr>
          <w:color w:val="222222"/>
          <w:rtl/>
          <w:lang w:bidi="ar"/>
        </w:rPr>
      </w:pPr>
      <w:r w:rsidRPr="00F965C1">
        <w:rPr>
          <w:rFonts w:hint="cs"/>
          <w:rtl/>
        </w:rPr>
        <w:t>ب)</w:t>
      </w:r>
      <w:r w:rsidRPr="008873CF">
        <w:rPr>
          <w:b/>
          <w:bCs/>
          <w:rtl/>
        </w:rPr>
        <w:tab/>
      </w:r>
      <w:r w:rsidRPr="008873CF">
        <w:rPr>
          <w:rFonts w:hint="cs"/>
          <w:color w:val="222222"/>
          <w:rtl/>
          <w:lang w:bidi="ar"/>
        </w:rPr>
        <w:t>ينبغي إنشاء آلية للتعاون الوثيق بين مختلف لجان دراسات قطاع تقييس الاتصالات فيما يتعلق بدراسة المسائل المتعلقة بالأمن</w:t>
      </w:r>
      <w:r w:rsidR="005F65D5" w:rsidRPr="005F65D5">
        <w:rPr>
          <w:rtl/>
        </w:rPr>
        <w:t xml:space="preserve"> </w:t>
      </w:r>
      <w:r w:rsidR="005F65D5" w:rsidRPr="00DF5442">
        <w:rPr>
          <w:color w:val="222222"/>
          <w:rtl/>
        </w:rPr>
        <w:t>السيبراني</w:t>
      </w:r>
      <w:r w:rsidRPr="008873CF">
        <w:rPr>
          <w:rFonts w:hint="cs"/>
          <w:color w:val="222222"/>
          <w:rtl/>
          <w:lang w:bidi="ar"/>
        </w:rPr>
        <w:t>، مع قيام لجنة الدراسات 17 بدور تنسيقي/قيادي</w:t>
      </w:r>
      <w:r w:rsidR="005F65D5">
        <w:rPr>
          <w:rFonts w:hint="cs"/>
          <w:color w:val="222222"/>
          <w:rtl/>
          <w:lang w:bidi="ar"/>
        </w:rPr>
        <w:t>.</w:t>
      </w:r>
    </w:p>
    <w:p w14:paraId="04C10F8D" w14:textId="2097D046" w:rsidR="00F965C1" w:rsidRDefault="00F965C1" w:rsidP="002D0A2B">
      <w:pPr>
        <w:pStyle w:val="enumlev1"/>
        <w:rPr>
          <w:rtl/>
          <w:lang w:bidi="ar"/>
        </w:rPr>
      </w:pPr>
      <w:r w:rsidRPr="00F965C1">
        <w:rPr>
          <w:rFonts w:hint="cs"/>
          <w:rtl/>
        </w:rPr>
        <w:t>ج)</w:t>
      </w:r>
      <w:r w:rsidRPr="008873CF">
        <w:rPr>
          <w:b/>
          <w:bCs/>
          <w:rtl/>
        </w:rPr>
        <w:tab/>
      </w:r>
      <w:r w:rsidRPr="008873CF">
        <w:rPr>
          <w:rFonts w:hint="cs"/>
          <w:color w:val="222222"/>
          <w:rtl/>
          <w:lang w:bidi="ar"/>
        </w:rPr>
        <w:t>ينبغي تشجيع التنسيق والتعاون الوثيقين</w:t>
      </w:r>
      <w:r w:rsidR="005F65D5">
        <w:rPr>
          <w:rFonts w:hint="cs"/>
          <w:color w:val="222222"/>
          <w:rtl/>
          <w:lang w:bidi="ar"/>
        </w:rPr>
        <w:t xml:space="preserve"> بين الاتحاد </w:t>
      </w:r>
      <w:r w:rsidR="00B00A15">
        <w:rPr>
          <w:rFonts w:hint="cs"/>
          <w:color w:val="222222"/>
          <w:rtl/>
          <w:lang w:bidi="ar"/>
        </w:rPr>
        <w:t xml:space="preserve">ومنظمات وضع المعايير التي يقودها </w:t>
      </w:r>
      <w:r w:rsidR="005F65D5">
        <w:rPr>
          <w:rFonts w:hint="cs"/>
          <w:color w:val="222222"/>
          <w:rtl/>
          <w:lang w:bidi="ar"/>
        </w:rPr>
        <w:t>القطاع الخاص</w:t>
      </w:r>
      <w:r w:rsidRPr="008873CF">
        <w:rPr>
          <w:rFonts w:hint="cs"/>
          <w:color w:val="222222"/>
          <w:rtl/>
          <w:lang w:bidi="ar"/>
        </w:rPr>
        <w:t>، لضمان الحفاظ على أمن المنتجات من البداية إلى النهاية لمختلف التطبيقات والخدمات طوال دورة حياة المنتجات</w:t>
      </w:r>
      <w:r w:rsidRPr="008873CF">
        <w:rPr>
          <w:rFonts w:hint="cs"/>
          <w:rtl/>
          <w:lang w:bidi="ar"/>
        </w:rPr>
        <w:t>.</w:t>
      </w:r>
    </w:p>
    <w:p w14:paraId="2CB2D615" w14:textId="7B1DCB04" w:rsidR="00F965C1" w:rsidRDefault="00F965C1" w:rsidP="002D0A2B">
      <w:pPr>
        <w:pStyle w:val="enumlev1"/>
        <w:rPr>
          <w:rtl/>
        </w:rPr>
      </w:pPr>
      <w:proofErr w:type="gramStart"/>
      <w:r w:rsidRPr="008B61EF">
        <w:rPr>
          <w:rFonts w:hint="cs"/>
          <w:rtl/>
        </w:rPr>
        <w:t>د )</w:t>
      </w:r>
      <w:proofErr w:type="gramEnd"/>
      <w:r w:rsidRPr="008B61EF">
        <w:rPr>
          <w:rtl/>
        </w:rPr>
        <w:tab/>
      </w:r>
      <w:r w:rsidR="008B61EF" w:rsidRPr="008B61EF">
        <w:rPr>
          <w:rFonts w:hint="cs"/>
          <w:rtl/>
          <w:lang w:bidi="ar"/>
        </w:rPr>
        <w:t>ينبغي للاتحاد مواصلة جهوده نحو وضع توصيات طوعية بشأن التدابير التقنية للأمن السيبراني في</w:t>
      </w:r>
      <w:r w:rsidR="008B61EF" w:rsidRPr="008B61EF">
        <w:rPr>
          <w:rFonts w:hint="eastAsia"/>
          <w:rtl/>
          <w:lang w:bidi="ar"/>
        </w:rPr>
        <w:t> </w:t>
      </w:r>
      <w:r w:rsidR="008B61EF" w:rsidRPr="008B61EF">
        <w:rPr>
          <w:rFonts w:hint="cs"/>
          <w:rtl/>
          <w:lang w:bidi="ar"/>
        </w:rPr>
        <w:t>المجالات التي تندرج في</w:t>
      </w:r>
      <w:r w:rsidR="008B61EF" w:rsidRPr="008B61EF">
        <w:rPr>
          <w:rFonts w:hint="eastAsia"/>
          <w:rtl/>
          <w:lang w:bidi="ar"/>
        </w:rPr>
        <w:t> </w:t>
      </w:r>
      <w:r w:rsidR="008B61EF" w:rsidRPr="008B61EF">
        <w:rPr>
          <w:rFonts w:hint="cs"/>
          <w:rtl/>
          <w:lang w:bidi="ar"/>
        </w:rPr>
        <w:t xml:space="preserve">إطار ولايته، </w:t>
      </w:r>
      <w:r w:rsidR="008B61EF" w:rsidRPr="008B61EF">
        <w:rPr>
          <w:rFonts w:hint="cs"/>
          <w:rtl/>
        </w:rPr>
        <w:t xml:space="preserve">وتحفيز أعضائه </w:t>
      </w:r>
      <w:r w:rsidR="005F65D5">
        <w:rPr>
          <w:rFonts w:hint="cs"/>
          <w:rtl/>
        </w:rPr>
        <w:t>ل</w:t>
      </w:r>
      <w:r w:rsidR="008B61EF" w:rsidRPr="008B61EF">
        <w:rPr>
          <w:rFonts w:hint="cs"/>
          <w:rtl/>
        </w:rPr>
        <w:t xml:space="preserve">زيادة مشاركتهم في أنشطة التقييس </w:t>
      </w:r>
      <w:r w:rsidR="008B61EF" w:rsidRPr="002D0A2B">
        <w:rPr>
          <w:rFonts w:hint="cs"/>
          <w:rtl/>
        </w:rPr>
        <w:t xml:space="preserve">ذات الصلة بالاتحاد ومن خلال الشراكات الاستراتيجية والتشاور مع </w:t>
      </w:r>
      <w:r w:rsidR="00B00A15" w:rsidRPr="002D0A2B">
        <w:rPr>
          <w:rFonts w:hint="cs"/>
          <w:rtl/>
        </w:rPr>
        <w:t xml:space="preserve">منظمات وضع المعايير </w:t>
      </w:r>
      <w:r w:rsidR="00B00A15" w:rsidRPr="002D0A2B">
        <w:rPr>
          <w:rtl/>
        </w:rPr>
        <w:t>التي يقودها</w:t>
      </w:r>
      <w:r w:rsidR="00B00A15" w:rsidRPr="002D0A2B">
        <w:rPr>
          <w:rFonts w:hint="cs"/>
          <w:rtl/>
        </w:rPr>
        <w:t xml:space="preserve"> </w:t>
      </w:r>
      <w:r w:rsidR="008B61EF" w:rsidRPr="002D0A2B">
        <w:rPr>
          <w:rFonts w:hint="cs"/>
          <w:rtl/>
        </w:rPr>
        <w:t>القطاع الخاص</w:t>
      </w:r>
      <w:r w:rsidR="008B61EF" w:rsidRPr="008B61EF">
        <w:rPr>
          <w:rFonts w:hint="cs"/>
          <w:rtl/>
        </w:rPr>
        <w:t>.</w:t>
      </w:r>
    </w:p>
    <w:p w14:paraId="3AE62FED" w14:textId="7D316D2D" w:rsidR="00576923" w:rsidRPr="00576923" w:rsidRDefault="00F965C1" w:rsidP="000F6D82">
      <w:pPr>
        <w:pStyle w:val="Headingb"/>
        <w:rPr>
          <w:rtl/>
          <w:lang w:bidi="ar-EG"/>
        </w:rPr>
      </w:pPr>
      <w:r>
        <w:rPr>
          <w:rFonts w:hint="cs"/>
          <w:rtl/>
          <w:lang w:bidi="ar-EG"/>
        </w:rPr>
        <w:t>الركيزة</w:t>
      </w:r>
      <w:r w:rsidR="00CE3B1D">
        <w:rPr>
          <w:rFonts w:hint="cs"/>
          <w:rtl/>
          <w:lang w:bidi="ar-EG"/>
        </w:rPr>
        <w:t xml:space="preserve"> 3: الهياكل التنظيمية</w:t>
      </w:r>
    </w:p>
    <w:p w14:paraId="493CFE29" w14:textId="5FF0A202" w:rsidR="00CE3B1D" w:rsidRPr="00EB405E" w:rsidRDefault="00184327" w:rsidP="00EB405E">
      <w:pPr>
        <w:pStyle w:val="enumlev1"/>
        <w:rPr>
          <w:rtl/>
        </w:rPr>
      </w:pPr>
      <w:r>
        <w:rPr>
          <w:rFonts w:hint="cs"/>
          <w:rtl/>
        </w:rPr>
        <w:t xml:space="preserve"> </w:t>
      </w:r>
      <w:proofErr w:type="gramStart"/>
      <w:r w:rsidR="00ED16EB" w:rsidRPr="00EB405E">
        <w:rPr>
          <w:rFonts w:hint="cs"/>
          <w:rtl/>
        </w:rPr>
        <w:t>أ</w:t>
      </w:r>
      <w:r w:rsidR="00EB405E">
        <w:rPr>
          <w:rFonts w:hint="cs"/>
          <w:rtl/>
        </w:rPr>
        <w:t xml:space="preserve"> </w:t>
      </w:r>
      <w:r w:rsidR="00ED16EB" w:rsidRPr="00EB405E">
        <w:rPr>
          <w:rFonts w:hint="cs"/>
          <w:rtl/>
        </w:rPr>
        <w:t>)</w:t>
      </w:r>
      <w:proofErr w:type="gramEnd"/>
      <w:r w:rsidR="00ED16EB" w:rsidRPr="00EB405E">
        <w:rPr>
          <w:b/>
          <w:bCs/>
          <w:rtl/>
        </w:rPr>
        <w:tab/>
      </w:r>
      <w:r w:rsidR="00ED16EB" w:rsidRPr="00EB405E">
        <w:rPr>
          <w:rFonts w:hint="cs"/>
          <w:rtl/>
        </w:rPr>
        <w:t>ينبغي للاتحاد أن يواصل مساعدة البلدان النامية</w:t>
      </w:r>
      <w:r w:rsidR="00CF0963" w:rsidRPr="00EB405E">
        <w:rPr>
          <w:rFonts w:hint="cs"/>
          <w:rtl/>
        </w:rPr>
        <w:t xml:space="preserve"> وأقل البلدان نمواً والدول الجزرية الصغيرة النامية </w:t>
      </w:r>
      <w:r w:rsidR="00CF0963" w:rsidRPr="00EB405E">
        <w:t>(SIDS)</w:t>
      </w:r>
      <w:r w:rsidR="00ED16EB" w:rsidRPr="00EB405E">
        <w:rPr>
          <w:rFonts w:hint="cs"/>
          <w:rtl/>
        </w:rPr>
        <w:t xml:space="preserve"> في</w:t>
      </w:r>
      <w:r w:rsidR="00CF0963" w:rsidRPr="00EB405E">
        <w:rPr>
          <w:rFonts w:hint="eastAsia"/>
          <w:rtl/>
          <w:lang w:bidi="ar-EG"/>
        </w:rPr>
        <w:t> </w:t>
      </w:r>
      <w:r w:rsidR="00CF0963" w:rsidRPr="00EB405E">
        <w:rPr>
          <w:rFonts w:hint="cs"/>
          <w:rtl/>
          <w:lang w:bidi="ar-EG"/>
        </w:rPr>
        <w:t>تصميم</w:t>
      </w:r>
      <w:r w:rsidR="00ED16EB" w:rsidRPr="00EB405E">
        <w:rPr>
          <w:rFonts w:hint="cs"/>
          <w:rtl/>
        </w:rPr>
        <w:t xml:space="preserve"> </w:t>
      </w:r>
      <w:r w:rsidR="00CF0963" w:rsidRPr="00EB405E">
        <w:rPr>
          <w:rFonts w:hint="cs"/>
          <w:rtl/>
        </w:rPr>
        <w:t>و</w:t>
      </w:r>
      <w:r w:rsidR="00ED16EB" w:rsidRPr="00EB405E">
        <w:rPr>
          <w:rFonts w:hint="cs"/>
          <w:rtl/>
        </w:rPr>
        <w:t>تنفيذ الأفرقة الوطنية للاستجابة للحوادث الحاسوبية والوحدات/المنظمات التقنية الأخرى ذات الصلة.</w:t>
      </w:r>
    </w:p>
    <w:p w14:paraId="7D518009" w14:textId="4A1FC70F" w:rsidR="00576923" w:rsidRPr="00EB405E" w:rsidRDefault="00576923" w:rsidP="00EB405E">
      <w:pPr>
        <w:pStyle w:val="enumlev1"/>
        <w:rPr>
          <w:rtl/>
        </w:rPr>
      </w:pPr>
      <w:r w:rsidRPr="00EB405E">
        <w:rPr>
          <w:rFonts w:hint="cs"/>
          <w:rtl/>
        </w:rPr>
        <w:t>ب)</w:t>
      </w:r>
      <w:r w:rsidRPr="00EB405E">
        <w:rPr>
          <w:rtl/>
        </w:rPr>
        <w:tab/>
      </w:r>
      <w:r w:rsidR="005F65D5" w:rsidRPr="00EB405E">
        <w:rPr>
          <w:rFonts w:hint="cs"/>
          <w:rtl/>
          <w:lang w:bidi="ar-EG"/>
        </w:rPr>
        <w:t>لت</w:t>
      </w:r>
      <w:r w:rsidR="005F65D5" w:rsidRPr="00EB405E">
        <w:rPr>
          <w:rtl/>
          <w:lang w:bidi="ar-EG"/>
        </w:rPr>
        <w:t xml:space="preserve">جنب ازدواجية الجهود، </w:t>
      </w:r>
      <w:r w:rsidRPr="00EB405E">
        <w:rPr>
          <w:rFonts w:hint="cs"/>
          <w:rtl/>
        </w:rPr>
        <w:t xml:space="preserve">ينبغي للاتحاد أن </w:t>
      </w:r>
      <w:r w:rsidR="00B00A15" w:rsidRPr="00EB405E">
        <w:rPr>
          <w:rtl/>
        </w:rPr>
        <w:t>يواصل</w:t>
      </w:r>
      <w:r w:rsidR="00B00A15" w:rsidRPr="00EB405E">
        <w:rPr>
          <w:rFonts w:hint="cs"/>
          <w:rtl/>
        </w:rPr>
        <w:t xml:space="preserve"> تعزيز تعاون يتسم بالانفتاح والشمول </w:t>
      </w:r>
      <w:r w:rsidRPr="00EB405E">
        <w:rPr>
          <w:rFonts w:hint="cs"/>
          <w:rtl/>
        </w:rPr>
        <w:t>بين مختلف المنظمات الوطنية أو الإقليمية أو الدولية المشاركة في الجهود الرامية إلى إنشاء هياكل تنظيمية وطنية مستدامة.</w:t>
      </w:r>
    </w:p>
    <w:p w14:paraId="5BF6D976" w14:textId="6616619E" w:rsidR="00576923" w:rsidRPr="00EB405E" w:rsidRDefault="00576923" w:rsidP="00EB405E">
      <w:pPr>
        <w:pStyle w:val="enumlev1"/>
        <w:rPr>
          <w:rtl/>
        </w:rPr>
      </w:pPr>
      <w:r w:rsidRPr="00EB405E">
        <w:rPr>
          <w:rFonts w:hint="cs"/>
          <w:rtl/>
        </w:rPr>
        <w:t>ج)</w:t>
      </w:r>
      <w:r w:rsidRPr="00EB405E">
        <w:rPr>
          <w:rtl/>
        </w:rPr>
        <w:tab/>
      </w:r>
      <w:r w:rsidRPr="00EB405E">
        <w:rPr>
          <w:rFonts w:hint="cs"/>
          <w:rtl/>
        </w:rPr>
        <w:t xml:space="preserve">ينبغي للاتحاد أن </w:t>
      </w:r>
      <w:r w:rsidR="00552910" w:rsidRPr="00EB405E">
        <w:rPr>
          <w:rFonts w:hint="cs"/>
          <w:rtl/>
        </w:rPr>
        <w:t>يثابر في</w:t>
      </w:r>
      <w:r w:rsidRPr="00EB405E">
        <w:rPr>
          <w:rFonts w:hint="cs"/>
          <w:rtl/>
        </w:rPr>
        <w:t xml:space="preserve"> جهوده الرامية إلى قياس الالتزامات المؤسسية للدول الأعضاء، بالاستفادة من أدوات مثل </w:t>
      </w:r>
      <w:r w:rsidR="00CE05BF" w:rsidRPr="00EB405E">
        <w:rPr>
          <w:rFonts w:hint="cs"/>
          <w:rtl/>
        </w:rPr>
        <w:t xml:space="preserve">الرقم القياسي </w:t>
      </w:r>
      <w:r w:rsidRPr="00EB405E">
        <w:rPr>
          <w:rFonts w:hint="cs"/>
          <w:rtl/>
        </w:rPr>
        <w:t>العالمي للأمن السيبراني</w:t>
      </w:r>
      <w:r w:rsidR="00EB405E">
        <w:rPr>
          <w:rFonts w:hint="cs"/>
          <w:rtl/>
        </w:rPr>
        <w:t xml:space="preserve"> </w:t>
      </w:r>
      <w:r w:rsidR="00EB405E" w:rsidRPr="00EB405E">
        <w:rPr>
          <w:bCs/>
          <w:lang w:val="en-GB"/>
        </w:rPr>
        <w:t>(GCI)</w:t>
      </w:r>
      <w:r w:rsidR="00552910" w:rsidRPr="00EB405E">
        <w:rPr>
          <w:rFonts w:hint="cs"/>
          <w:rtl/>
        </w:rPr>
        <w:t>.</w:t>
      </w:r>
    </w:p>
    <w:p w14:paraId="4C427A17" w14:textId="4395EFA0" w:rsidR="00576923" w:rsidRDefault="00576923" w:rsidP="00EB405E">
      <w:pPr>
        <w:pStyle w:val="enumlev1"/>
        <w:rPr>
          <w:rtl/>
        </w:rPr>
      </w:pPr>
      <w:proofErr w:type="gramStart"/>
      <w:r w:rsidRPr="00EB405E">
        <w:rPr>
          <w:rFonts w:hint="cs"/>
          <w:rtl/>
        </w:rPr>
        <w:t>د )</w:t>
      </w:r>
      <w:proofErr w:type="gramEnd"/>
      <w:r w:rsidRPr="00EB405E">
        <w:rPr>
          <w:rtl/>
        </w:rPr>
        <w:tab/>
      </w:r>
      <w:r w:rsidRPr="00EB405E">
        <w:rPr>
          <w:rFonts w:hint="cs"/>
          <w:rtl/>
        </w:rPr>
        <w:t xml:space="preserve">فيما يتعلق بالهياكل الوطنية على وجه الخصوص، </w:t>
      </w:r>
      <w:r w:rsidR="00552910" w:rsidRPr="00EB405E">
        <w:rPr>
          <w:rFonts w:hint="cs"/>
          <w:rtl/>
          <w:lang w:bidi="ar-EG"/>
        </w:rPr>
        <w:t>و</w:t>
      </w:r>
      <w:r w:rsidR="00552910" w:rsidRPr="00EB405E">
        <w:rPr>
          <w:rtl/>
          <w:lang w:bidi="ar-EG"/>
        </w:rPr>
        <w:t>بناء</w:t>
      </w:r>
      <w:r w:rsidR="001B2EDE">
        <w:rPr>
          <w:rFonts w:hint="cs"/>
          <w:rtl/>
          <w:lang w:bidi="ar-EG"/>
        </w:rPr>
        <w:t>ً</w:t>
      </w:r>
      <w:r w:rsidR="00552910" w:rsidRPr="00EB405E">
        <w:rPr>
          <w:rtl/>
          <w:lang w:bidi="ar-EG"/>
        </w:rPr>
        <w:t xml:space="preserve"> على طلب الدول الأعضاء</w:t>
      </w:r>
      <w:r w:rsidR="00552910" w:rsidRPr="00EB405E">
        <w:rPr>
          <w:rFonts w:hint="cs"/>
          <w:rtl/>
          <w:lang w:bidi="ar-EG"/>
        </w:rPr>
        <w:t>،</w:t>
      </w:r>
      <w:r w:rsidR="00552910" w:rsidRPr="00EB405E">
        <w:rPr>
          <w:rtl/>
          <w:lang w:bidi="ar-EG"/>
        </w:rPr>
        <w:t xml:space="preserve"> </w:t>
      </w:r>
      <w:r w:rsidRPr="00EB405E">
        <w:rPr>
          <w:rFonts w:hint="cs"/>
          <w:rtl/>
        </w:rPr>
        <w:t>ينبغي للاتحاد أن يساعد</w:t>
      </w:r>
      <w:r w:rsidR="00552910" w:rsidRPr="00EB405E">
        <w:rPr>
          <w:rFonts w:hint="cs"/>
          <w:rtl/>
        </w:rPr>
        <w:t>ها</w:t>
      </w:r>
      <w:r w:rsidRPr="00EB405E">
        <w:rPr>
          <w:rFonts w:hint="cs"/>
          <w:rtl/>
        </w:rPr>
        <w:t xml:space="preserve"> في</w:t>
      </w:r>
      <w:r w:rsidR="00DB00FF">
        <w:rPr>
          <w:rFonts w:hint="eastAsia"/>
          <w:rtl/>
        </w:rPr>
        <w:t> </w:t>
      </w:r>
      <w:r w:rsidR="00552910" w:rsidRPr="00EB405E">
        <w:rPr>
          <w:rFonts w:hint="cs"/>
          <w:rtl/>
        </w:rPr>
        <w:t>تصميم</w:t>
      </w:r>
      <w:r w:rsidRPr="00EB405E">
        <w:rPr>
          <w:rFonts w:hint="cs"/>
          <w:rtl/>
        </w:rPr>
        <w:t xml:space="preserve"> استراتيجيات </w:t>
      </w:r>
      <w:r w:rsidR="00552910" w:rsidRPr="00EB405E">
        <w:rPr>
          <w:rFonts w:hint="cs"/>
          <w:rtl/>
        </w:rPr>
        <w:t>ل</w:t>
      </w:r>
      <w:r w:rsidRPr="00EB405E">
        <w:rPr>
          <w:rFonts w:hint="cs"/>
          <w:rtl/>
        </w:rPr>
        <w:t xml:space="preserve">إطار تنسيقي </w:t>
      </w:r>
      <w:r w:rsidRPr="00EB405E">
        <w:rPr>
          <w:color w:val="000000"/>
          <w:rtl/>
        </w:rPr>
        <w:t xml:space="preserve">يشمل كامل القطاعات الحكومية </w:t>
      </w:r>
      <w:r w:rsidRPr="00EB405E">
        <w:rPr>
          <w:rFonts w:hint="cs"/>
          <w:rtl/>
        </w:rPr>
        <w:t>لتحسين التنفيذ المتسق والشامل للجهود الوطنية المتعلقة بالأمن</w:t>
      </w:r>
      <w:r w:rsidR="00CF0963" w:rsidRPr="00EB405E">
        <w:rPr>
          <w:rFonts w:hint="eastAsia"/>
          <w:rtl/>
        </w:rPr>
        <w:t> </w:t>
      </w:r>
      <w:r w:rsidRPr="00EB405E">
        <w:rPr>
          <w:rFonts w:hint="cs"/>
          <w:rtl/>
        </w:rPr>
        <w:t>السيبراني.</w:t>
      </w:r>
    </w:p>
    <w:p w14:paraId="61DCC832" w14:textId="6C365FA4" w:rsidR="00184327" w:rsidRDefault="00576923" w:rsidP="000F6D82">
      <w:pPr>
        <w:pStyle w:val="Headingb"/>
        <w:rPr>
          <w:rtl/>
          <w:lang w:bidi="ar-EG"/>
        </w:rPr>
      </w:pPr>
      <w:r w:rsidRPr="00184327">
        <w:rPr>
          <w:rFonts w:hint="cs"/>
          <w:rtl/>
          <w:lang w:bidi="ar-EG"/>
        </w:rPr>
        <w:t>الركيزة 4:</w:t>
      </w:r>
      <w:r w:rsidR="00184327" w:rsidRPr="00184327">
        <w:rPr>
          <w:rFonts w:hint="cs"/>
          <w:rtl/>
          <w:lang w:bidi="ar-EG"/>
        </w:rPr>
        <w:t xml:space="preserve"> بناء القدرات</w:t>
      </w:r>
    </w:p>
    <w:p w14:paraId="4E23C475" w14:textId="0BAF373B" w:rsidR="00184327" w:rsidRDefault="00184327" w:rsidP="00DB00FF">
      <w:pPr>
        <w:pStyle w:val="enumlev1"/>
        <w:rPr>
          <w:rtl/>
        </w:rPr>
      </w:pPr>
      <w:r>
        <w:rPr>
          <w:rFonts w:hint="cs"/>
          <w:rtl/>
          <w:lang w:bidi="ar-EG"/>
        </w:rPr>
        <w:t xml:space="preserve"> </w:t>
      </w:r>
      <w:proofErr w:type="gramStart"/>
      <w:r>
        <w:rPr>
          <w:rFonts w:hint="cs"/>
          <w:rtl/>
          <w:lang w:bidi="ar-EG"/>
        </w:rPr>
        <w:t>أ )</w:t>
      </w:r>
      <w:proofErr w:type="gramEnd"/>
      <w:r>
        <w:rPr>
          <w:rtl/>
          <w:lang w:bidi="ar-EG"/>
        </w:rPr>
        <w:tab/>
      </w:r>
      <w:r w:rsidRPr="00D54E31">
        <w:rPr>
          <w:rFonts w:hint="cs"/>
          <w:rtl/>
        </w:rPr>
        <w:t xml:space="preserve">مواصلة تعزيز التعاون المفتوح والشامل، </w:t>
      </w:r>
      <w:r w:rsidR="00552910">
        <w:rPr>
          <w:rFonts w:hint="cs"/>
          <w:rtl/>
        </w:rPr>
        <w:t>و</w:t>
      </w:r>
      <w:r w:rsidRPr="00D54E31">
        <w:rPr>
          <w:rFonts w:hint="cs"/>
          <w:rtl/>
        </w:rPr>
        <w:t>التنسيق بين مختلف المنظمات الوطنية والإقليمية والدولية المشاركة في</w:t>
      </w:r>
      <w:r w:rsidR="00DB00FF">
        <w:rPr>
          <w:rFonts w:hint="eastAsia"/>
          <w:rtl/>
        </w:rPr>
        <w:t> </w:t>
      </w:r>
      <w:r w:rsidRPr="00D54E31">
        <w:rPr>
          <w:rFonts w:hint="cs"/>
          <w:rtl/>
        </w:rPr>
        <w:t>بناء القدرات في مجال الأمن السيبراني من أجل ضمان التأثير وتجنب ازدواجية الجهود.</w:t>
      </w:r>
    </w:p>
    <w:p w14:paraId="511B1F37" w14:textId="4B8A0046" w:rsidR="00184327" w:rsidRDefault="00184327" w:rsidP="00DB00FF">
      <w:pPr>
        <w:pStyle w:val="enumlev1"/>
        <w:rPr>
          <w:rtl/>
          <w:lang w:val="en-GB"/>
        </w:rPr>
      </w:pPr>
      <w:r w:rsidRPr="00184327">
        <w:rPr>
          <w:rFonts w:hint="cs"/>
          <w:rtl/>
        </w:rPr>
        <w:t>ب)</w:t>
      </w:r>
      <w:r w:rsidRPr="008873CF">
        <w:rPr>
          <w:b/>
          <w:bCs/>
          <w:rtl/>
        </w:rPr>
        <w:tab/>
      </w:r>
      <w:r w:rsidRPr="008873CF">
        <w:rPr>
          <w:rFonts w:hint="cs"/>
          <w:rtl/>
          <w:lang w:val="en-GB"/>
        </w:rPr>
        <w:t>مواصلة دعم البلدان النامية</w:t>
      </w:r>
      <w:r w:rsidR="00CF0963">
        <w:rPr>
          <w:rFonts w:hint="cs"/>
          <w:rtl/>
          <w:lang w:val="en-GB"/>
        </w:rPr>
        <w:t xml:space="preserve"> وأقل البلدان نمواً والدول الجزرية الصغيرة النامية </w:t>
      </w:r>
      <w:r w:rsidR="00CF0963">
        <w:t>(SIDS)</w:t>
      </w:r>
      <w:r w:rsidRPr="008873CF">
        <w:rPr>
          <w:rFonts w:hint="cs"/>
          <w:rtl/>
          <w:lang w:val="en-GB"/>
        </w:rPr>
        <w:t xml:space="preserve"> في جهود بناء القدرات في مجال الأمن السيبراني، بدعم من المجتمعات الوطنية والدولية المعنية ببناء القدرات في مجال الأمن السيبراني.</w:t>
      </w:r>
    </w:p>
    <w:p w14:paraId="006626FE" w14:textId="3C0FCC21" w:rsidR="00184327" w:rsidRDefault="00184327" w:rsidP="00DB00FF">
      <w:pPr>
        <w:pStyle w:val="enumlev1"/>
        <w:rPr>
          <w:rtl/>
        </w:rPr>
      </w:pPr>
      <w:r w:rsidRPr="00184327">
        <w:rPr>
          <w:rFonts w:hint="cs"/>
          <w:rtl/>
        </w:rPr>
        <w:t>ج)</w:t>
      </w:r>
      <w:r w:rsidRPr="008873CF">
        <w:rPr>
          <w:b/>
          <w:bCs/>
          <w:rtl/>
        </w:rPr>
        <w:tab/>
      </w:r>
      <w:r w:rsidRPr="008873CF">
        <w:rPr>
          <w:rFonts w:hint="cs"/>
          <w:rtl/>
        </w:rPr>
        <w:t>مواصلة مساعدة البلدان النامية</w:t>
      </w:r>
      <w:r w:rsidR="00A8191D">
        <w:rPr>
          <w:rFonts w:hint="cs"/>
          <w:rtl/>
        </w:rPr>
        <w:t xml:space="preserve">، </w:t>
      </w:r>
      <w:r w:rsidR="00A8191D">
        <w:rPr>
          <w:rFonts w:hint="cs"/>
          <w:rtl/>
          <w:lang w:val="en-GB"/>
        </w:rPr>
        <w:t xml:space="preserve">وأقل البلدان نمواً والدول الجزرية الصغيرة النامية </w:t>
      </w:r>
      <w:r w:rsidR="00A8191D">
        <w:t>(SIDS)</w:t>
      </w:r>
      <w:r w:rsidRPr="008873CF">
        <w:rPr>
          <w:rFonts w:hint="cs"/>
          <w:rtl/>
        </w:rPr>
        <w:t xml:space="preserve"> بالتعاون مع الشركاء المهتمين والمجتمعات المعنية بتنمية القدرات، على تحديد استراتيجيات وخطط وسياسات وقدرات وطنية في مجال الأمن السيبراني للاستجابة للحوادث.</w:t>
      </w:r>
    </w:p>
    <w:p w14:paraId="425EC723" w14:textId="4516ECC6" w:rsidR="00184327" w:rsidRDefault="00184327" w:rsidP="00DB00FF">
      <w:pPr>
        <w:pStyle w:val="enumlev1"/>
        <w:rPr>
          <w:rtl/>
        </w:rPr>
      </w:pPr>
      <w:proofErr w:type="gramStart"/>
      <w:r w:rsidRPr="00184327">
        <w:rPr>
          <w:rFonts w:hint="cs"/>
          <w:rtl/>
        </w:rPr>
        <w:t>د )</w:t>
      </w:r>
      <w:proofErr w:type="gramEnd"/>
      <w:r w:rsidRPr="008873CF">
        <w:rPr>
          <w:b/>
          <w:bCs/>
          <w:rtl/>
        </w:rPr>
        <w:tab/>
      </w:r>
      <w:r w:rsidRPr="008873CF">
        <w:rPr>
          <w:rFonts w:hint="cs"/>
          <w:rtl/>
        </w:rPr>
        <w:t>تعزيز وتيسير تبادل الممارسات الجيدة للدول الأعضاء من أجل مساعدة البلدان المتخلفة عن الركب من حيث الخبرة المتخصصة في مجال الأمن السيبراني على تحسين وضعها في مجال الأمن السيبراني وتقليص الفجوة في القدرات.</w:t>
      </w:r>
    </w:p>
    <w:p w14:paraId="1034CD80" w14:textId="028A9C13" w:rsidR="00184327" w:rsidRDefault="00184327" w:rsidP="00DB00FF">
      <w:pPr>
        <w:pStyle w:val="enumlev1"/>
        <w:rPr>
          <w:rtl/>
        </w:rPr>
      </w:pPr>
      <w:proofErr w:type="gramStart"/>
      <w:r w:rsidRPr="00184327">
        <w:rPr>
          <w:rFonts w:hint="cs"/>
          <w:rtl/>
        </w:rPr>
        <w:t>هـ )</w:t>
      </w:r>
      <w:proofErr w:type="gramEnd"/>
      <w:r w:rsidRPr="008873CF">
        <w:rPr>
          <w:b/>
          <w:bCs/>
          <w:rtl/>
        </w:rPr>
        <w:tab/>
      </w:r>
      <w:r w:rsidRPr="008873CF">
        <w:rPr>
          <w:rFonts w:hint="cs"/>
          <w:rtl/>
        </w:rPr>
        <w:t xml:space="preserve">مواصلة تطوير </w:t>
      </w:r>
      <w:r w:rsidR="00CE05BF">
        <w:rPr>
          <w:rFonts w:hint="cs"/>
          <w:rtl/>
        </w:rPr>
        <w:t>ال</w:t>
      </w:r>
      <w:r w:rsidRPr="008873CF">
        <w:rPr>
          <w:rFonts w:hint="cs"/>
          <w:rtl/>
        </w:rPr>
        <w:t>أنشط</w:t>
      </w:r>
      <w:r w:rsidR="00CE05BF">
        <w:rPr>
          <w:rFonts w:hint="cs"/>
          <w:rtl/>
        </w:rPr>
        <w:t xml:space="preserve">ة </w:t>
      </w:r>
      <w:r w:rsidRPr="008873CF">
        <w:rPr>
          <w:rFonts w:hint="cs"/>
          <w:rtl/>
        </w:rPr>
        <w:t xml:space="preserve">في مجال بناء القدرات مع مراعاة الحاجة إلى مهارات جديدة للتكيف مع </w:t>
      </w:r>
      <w:r w:rsidR="00552910">
        <w:rPr>
          <w:rFonts w:hint="cs"/>
          <w:rtl/>
        </w:rPr>
        <w:t>فرص وتحديات</w:t>
      </w:r>
      <w:r w:rsidRPr="008873CF">
        <w:rPr>
          <w:rFonts w:hint="cs"/>
          <w:rtl/>
        </w:rPr>
        <w:t xml:space="preserve"> </w:t>
      </w:r>
      <w:r w:rsidR="00552910">
        <w:rPr>
          <w:rFonts w:hint="cs"/>
          <w:rtl/>
        </w:rPr>
        <w:t>ا</w:t>
      </w:r>
      <w:r w:rsidRPr="008873CF">
        <w:rPr>
          <w:rFonts w:hint="cs"/>
          <w:rtl/>
        </w:rPr>
        <w:t>لتكنولوجيات الناشئة.</w:t>
      </w:r>
    </w:p>
    <w:p w14:paraId="05C18F6A" w14:textId="56D8AD40" w:rsidR="00184327" w:rsidRDefault="00184327" w:rsidP="00DB00FF">
      <w:pPr>
        <w:pStyle w:val="enumlev1"/>
        <w:rPr>
          <w:rtl/>
        </w:rPr>
      </w:pPr>
      <w:proofErr w:type="gramStart"/>
      <w:r w:rsidRPr="00184327">
        <w:rPr>
          <w:rFonts w:hint="cs"/>
          <w:rtl/>
        </w:rPr>
        <w:lastRenderedPageBreak/>
        <w:t>و )</w:t>
      </w:r>
      <w:proofErr w:type="gramEnd"/>
      <w:r w:rsidRPr="008873CF">
        <w:rPr>
          <w:b/>
          <w:bCs/>
          <w:rtl/>
        </w:rPr>
        <w:tab/>
      </w:r>
      <w:r w:rsidRPr="008873CF">
        <w:rPr>
          <w:rFonts w:hint="cs"/>
          <w:rtl/>
        </w:rPr>
        <w:t xml:space="preserve">مواصلة التركيز بشكل خاص على احتياجات الفئات الأكثر ضعفاً </w:t>
      </w:r>
      <w:r w:rsidRPr="008873CF">
        <w:rPr>
          <w:rFonts w:hint="eastAsia"/>
          <w:rtl/>
        </w:rPr>
        <w:t>–</w:t>
      </w:r>
      <w:r w:rsidRPr="008873CF">
        <w:rPr>
          <w:rFonts w:hint="cs"/>
          <w:rtl/>
        </w:rPr>
        <w:t xml:space="preserve"> كالنساء والأطفال والأشخاص ذوي الإعاقة والأشخاص </w:t>
      </w:r>
      <w:bookmarkStart w:id="2" w:name="_Hlk73349442"/>
      <w:r w:rsidRPr="008873CF">
        <w:rPr>
          <w:rFonts w:hint="cs"/>
          <w:rtl/>
        </w:rPr>
        <w:t xml:space="preserve">ذوي </w:t>
      </w:r>
      <w:bookmarkEnd w:id="2"/>
      <w:r w:rsidRPr="008873CF">
        <w:rPr>
          <w:rFonts w:hint="cs"/>
          <w:rtl/>
        </w:rPr>
        <w:t xml:space="preserve">الاحتياجات المحددة </w:t>
      </w:r>
      <w:r w:rsidR="00552910" w:rsidRPr="00552910">
        <w:rPr>
          <w:rFonts w:hint="cs"/>
          <w:rtl/>
          <w:lang w:bidi="ar-EG"/>
        </w:rPr>
        <w:t>و</w:t>
      </w:r>
      <w:r w:rsidR="00552910" w:rsidRPr="00700251">
        <w:rPr>
          <w:rtl/>
          <w:lang w:bidi="ar-EG"/>
        </w:rPr>
        <w:t xml:space="preserve">الأشخاص </w:t>
      </w:r>
      <w:r w:rsidR="00552910" w:rsidRPr="00552910">
        <w:rPr>
          <w:rFonts w:hint="cs"/>
          <w:rtl/>
        </w:rPr>
        <w:t xml:space="preserve">ذوي </w:t>
      </w:r>
      <w:r w:rsidR="00552910" w:rsidRPr="00700251">
        <w:rPr>
          <w:rtl/>
          <w:lang w:bidi="ar-EG"/>
        </w:rPr>
        <w:t xml:space="preserve">الإعاقات المرتبطة </w:t>
      </w:r>
      <w:r w:rsidR="00552910">
        <w:rPr>
          <w:rFonts w:hint="cs"/>
          <w:rtl/>
          <w:lang w:bidi="ar-EG"/>
        </w:rPr>
        <w:t>ب</w:t>
      </w:r>
      <w:r w:rsidRPr="008873CF">
        <w:rPr>
          <w:rFonts w:hint="cs"/>
          <w:rtl/>
        </w:rPr>
        <w:t xml:space="preserve">السن </w:t>
      </w:r>
      <w:r w:rsidRPr="008873CF">
        <w:rPr>
          <w:rtl/>
        </w:rPr>
        <w:t>–</w:t>
      </w:r>
      <w:r w:rsidRPr="008873CF">
        <w:rPr>
          <w:rFonts w:hint="cs"/>
          <w:rtl/>
        </w:rPr>
        <w:t xml:space="preserve"> في جهود بناء القدرات.</w:t>
      </w:r>
    </w:p>
    <w:p w14:paraId="2382FAF3" w14:textId="7FBC75C3" w:rsidR="00184327" w:rsidRDefault="00184327" w:rsidP="00DB00FF">
      <w:pPr>
        <w:pStyle w:val="enumlev1"/>
        <w:rPr>
          <w:rtl/>
        </w:rPr>
      </w:pPr>
      <w:proofErr w:type="gramStart"/>
      <w:r w:rsidRPr="00184327">
        <w:rPr>
          <w:rFonts w:hint="cs"/>
          <w:rtl/>
        </w:rPr>
        <w:t>ز )</w:t>
      </w:r>
      <w:proofErr w:type="gramEnd"/>
      <w:r w:rsidRPr="008873CF">
        <w:rPr>
          <w:b/>
          <w:bCs/>
          <w:rtl/>
        </w:rPr>
        <w:tab/>
      </w:r>
      <w:r w:rsidRPr="008873CF">
        <w:rPr>
          <w:rFonts w:hint="cs"/>
          <w:rtl/>
        </w:rPr>
        <w:t xml:space="preserve">مواصلة </w:t>
      </w:r>
      <w:r w:rsidR="00552910">
        <w:rPr>
          <w:rFonts w:hint="cs"/>
          <w:rtl/>
        </w:rPr>
        <w:t>استعمال</w:t>
      </w:r>
      <w:r w:rsidRPr="008873CF">
        <w:rPr>
          <w:rFonts w:hint="cs"/>
          <w:rtl/>
        </w:rPr>
        <w:t xml:space="preserve"> </w:t>
      </w:r>
      <w:r w:rsidR="00CE05BF">
        <w:rPr>
          <w:rFonts w:hint="cs"/>
          <w:rtl/>
        </w:rPr>
        <w:t>الرقم القياسي</w:t>
      </w:r>
      <w:r w:rsidR="00CE05BF" w:rsidRPr="008873CF">
        <w:rPr>
          <w:rFonts w:hint="cs"/>
          <w:rtl/>
        </w:rPr>
        <w:t xml:space="preserve"> </w:t>
      </w:r>
      <w:r w:rsidRPr="008873CF">
        <w:rPr>
          <w:rFonts w:hint="cs"/>
          <w:rtl/>
        </w:rPr>
        <w:t>العالمي للأمن السيبراني بوصفه أداة لبناء القدرات</w:t>
      </w:r>
      <w:r w:rsidR="00552910">
        <w:rPr>
          <w:rFonts w:hint="cs"/>
          <w:rtl/>
        </w:rPr>
        <w:t xml:space="preserve"> والتوعية</w:t>
      </w:r>
      <w:r w:rsidRPr="008873CF">
        <w:rPr>
          <w:rFonts w:hint="cs"/>
          <w:rtl/>
        </w:rPr>
        <w:t>.</w:t>
      </w:r>
    </w:p>
    <w:p w14:paraId="27C15C91" w14:textId="7BFEB10C" w:rsidR="00184327" w:rsidRDefault="00184327" w:rsidP="00DB00FF">
      <w:pPr>
        <w:pStyle w:val="enumlev1"/>
        <w:rPr>
          <w:spacing w:val="-4"/>
          <w:rtl/>
        </w:rPr>
      </w:pPr>
      <w:r>
        <w:rPr>
          <w:rFonts w:hint="cs"/>
          <w:rtl/>
        </w:rPr>
        <w:t>ح)</w:t>
      </w:r>
      <w:r>
        <w:rPr>
          <w:rtl/>
        </w:rPr>
        <w:tab/>
      </w:r>
      <w:r w:rsidRPr="00D54E31">
        <w:rPr>
          <w:rFonts w:hint="cs"/>
          <w:spacing w:val="-4"/>
          <w:rtl/>
        </w:rPr>
        <w:t>مواصلة تسهيل تحديد الأنشطة البحثية المتصلة بالأمن السيبراني بين أصحاب المصلحة، لا سيما في مجال التكنولوجيا الناشئة، والاستفادة من أعضاء الاتحاد من</w:t>
      </w:r>
      <w:r w:rsidR="00AA6F48" w:rsidRPr="00AA6F48">
        <w:rPr>
          <w:rFonts w:eastAsia="SimSun"/>
          <w:rtl/>
          <w:lang w:bidi="ar-EG"/>
        </w:rPr>
        <w:t xml:space="preserve"> </w:t>
      </w:r>
      <w:r w:rsidR="00AA6F48" w:rsidRPr="00700251">
        <w:rPr>
          <w:spacing w:val="-4"/>
          <w:rtl/>
          <w:lang w:bidi="ar-EG"/>
        </w:rPr>
        <w:t>القطاع الخاص</w:t>
      </w:r>
      <w:r w:rsidRPr="00D54E31">
        <w:rPr>
          <w:rFonts w:hint="cs"/>
          <w:spacing w:val="-4"/>
          <w:rtl/>
        </w:rPr>
        <w:t xml:space="preserve"> </w:t>
      </w:r>
      <w:r w:rsidR="00AA6F48">
        <w:rPr>
          <w:rFonts w:hint="cs"/>
          <w:spacing w:val="-4"/>
          <w:rtl/>
        </w:rPr>
        <w:t>و</w:t>
      </w:r>
      <w:r w:rsidRPr="00D54E31">
        <w:rPr>
          <w:rFonts w:hint="cs"/>
          <w:spacing w:val="-4"/>
          <w:rtl/>
        </w:rPr>
        <w:t>الهيئات الأكاديمية</w:t>
      </w:r>
      <w:r w:rsidR="00AA6F48">
        <w:rPr>
          <w:rFonts w:hint="cs"/>
          <w:spacing w:val="-4"/>
          <w:rtl/>
        </w:rPr>
        <w:t>.</w:t>
      </w:r>
    </w:p>
    <w:p w14:paraId="3AEAB9B6" w14:textId="022C9224" w:rsidR="00184327" w:rsidRDefault="00184327" w:rsidP="00DB00FF">
      <w:pPr>
        <w:pStyle w:val="enumlev1"/>
        <w:rPr>
          <w:rtl/>
        </w:rPr>
      </w:pPr>
      <w:r>
        <w:rPr>
          <w:rFonts w:hint="cs"/>
          <w:rtl/>
        </w:rPr>
        <w:t>ط)</w:t>
      </w:r>
      <w:r>
        <w:rPr>
          <w:rtl/>
        </w:rPr>
        <w:tab/>
      </w:r>
      <w:r w:rsidRPr="008873CF">
        <w:rPr>
          <w:rFonts w:hint="cs"/>
          <w:rtl/>
          <w:lang w:val="en-GB"/>
        </w:rPr>
        <w:t xml:space="preserve">نشر الأدوات والموارد والممارسات الجيدة لفائدة الدول الأعضاء ودوائر الصناعة وأصحاب المصلحة الآخرين بهدف دعم جهودهم الرامية إلى بناء قدرات المؤسسات الصغرى والصغيرة والمتوسطة </w:t>
      </w:r>
      <w:r w:rsidR="00AA6F48">
        <w:rPr>
          <w:rFonts w:hint="cs"/>
          <w:rtl/>
          <w:lang w:val="en-GB"/>
        </w:rPr>
        <w:t>ل</w:t>
      </w:r>
      <w:r w:rsidRPr="008873CF">
        <w:rPr>
          <w:rFonts w:hint="cs"/>
          <w:rtl/>
          <w:lang w:val="en-GB"/>
        </w:rPr>
        <w:t>بناء الثقة والأمن في استخدام تكنولوجيا المعلومات والاتصالات</w:t>
      </w:r>
      <w:r w:rsidR="004F4643">
        <w:rPr>
          <w:rFonts w:hint="cs"/>
          <w:rtl/>
          <w:lang w:val="en-GB" w:bidi="ar-EG"/>
        </w:rPr>
        <w:t>، ومواصلة تعزيز ثقافة الأمن السيبراني</w:t>
      </w:r>
      <w:r w:rsidRPr="008873CF">
        <w:rPr>
          <w:rFonts w:hint="cs"/>
          <w:rtl/>
          <w:lang w:val="en-GB"/>
        </w:rPr>
        <w:t>.</w:t>
      </w:r>
    </w:p>
    <w:p w14:paraId="37DF26C2" w14:textId="7D0016ED" w:rsidR="00184327" w:rsidRDefault="00416611" w:rsidP="000F6D82">
      <w:pPr>
        <w:pStyle w:val="Headingb"/>
        <w:rPr>
          <w:rtl/>
          <w:lang w:bidi="ar-EG"/>
        </w:rPr>
      </w:pPr>
      <w:r w:rsidRPr="00416611">
        <w:rPr>
          <w:rFonts w:hint="cs"/>
          <w:rtl/>
          <w:lang w:bidi="ar-EG"/>
        </w:rPr>
        <w:t>الركيزة 5: التعاون الدولي</w:t>
      </w:r>
    </w:p>
    <w:p w14:paraId="47BE272D" w14:textId="1A923695" w:rsidR="00416611" w:rsidRDefault="00416611" w:rsidP="005C7CA4">
      <w:pPr>
        <w:pStyle w:val="enumlev1"/>
        <w:rPr>
          <w:rtl/>
          <w:lang w:val="en-GB"/>
        </w:rPr>
      </w:pPr>
      <w:r>
        <w:rPr>
          <w:rFonts w:hint="cs"/>
          <w:rtl/>
          <w:lang w:bidi="ar-EG"/>
        </w:rPr>
        <w:t xml:space="preserve"> </w:t>
      </w:r>
      <w:proofErr w:type="gramStart"/>
      <w:r>
        <w:rPr>
          <w:rFonts w:hint="cs"/>
          <w:rtl/>
          <w:lang w:bidi="ar-EG"/>
        </w:rPr>
        <w:t>أ )</w:t>
      </w:r>
      <w:proofErr w:type="gramEnd"/>
      <w:r>
        <w:rPr>
          <w:rtl/>
          <w:lang w:bidi="ar-EG"/>
        </w:rPr>
        <w:tab/>
      </w:r>
      <w:r w:rsidRPr="008873CF">
        <w:rPr>
          <w:rFonts w:hint="cs"/>
          <w:rtl/>
        </w:rPr>
        <w:t xml:space="preserve">ينبغي للاتحاد، </w:t>
      </w:r>
      <w:r w:rsidRPr="008873CF">
        <w:rPr>
          <w:rFonts w:hint="cs"/>
          <w:rtl/>
          <w:lang w:val="en-GB"/>
        </w:rPr>
        <w:t>أن يواصل القيام بدور رائد</w:t>
      </w:r>
      <w:r w:rsidR="00AA6F48">
        <w:rPr>
          <w:rFonts w:hint="cs"/>
          <w:rtl/>
          <w:lang w:val="en-GB"/>
        </w:rPr>
        <w:t xml:space="preserve"> في المجالات المندرجة</w:t>
      </w:r>
      <w:r w:rsidRPr="008873CF">
        <w:rPr>
          <w:rFonts w:hint="cs"/>
          <w:rtl/>
          <w:lang w:val="en-GB"/>
        </w:rPr>
        <w:t xml:space="preserve"> في إطار ولايته، </w:t>
      </w:r>
      <w:r w:rsidR="00AA6F48" w:rsidRPr="00AA6F48">
        <w:rPr>
          <w:rtl/>
          <w:lang w:val="en-GB"/>
        </w:rPr>
        <w:t>في تعزيز التعاون والحوار والتنسيق بين جميع الدول وكذلك مع القطاع الخاص و</w:t>
      </w:r>
      <w:r w:rsidR="00AA6F48">
        <w:rPr>
          <w:rFonts w:hint="cs"/>
          <w:rtl/>
          <w:lang w:val="en-GB"/>
        </w:rPr>
        <w:t xml:space="preserve">جميع </w:t>
      </w:r>
      <w:r w:rsidR="00AA6F48" w:rsidRPr="00AA6F48">
        <w:rPr>
          <w:rtl/>
          <w:lang w:val="en-GB"/>
        </w:rPr>
        <w:t>أصحاب المصلحة الآخرين، بشأن مسائل الأمن السيبراني العالمية</w:t>
      </w:r>
      <w:r w:rsidR="00AA6F48" w:rsidRPr="00AA6F48">
        <w:t>.</w:t>
      </w:r>
    </w:p>
    <w:p w14:paraId="358CC4DA" w14:textId="7644B603" w:rsidR="00057592" w:rsidRDefault="00057592" w:rsidP="005C7CA4">
      <w:pPr>
        <w:pStyle w:val="enumlev1"/>
        <w:rPr>
          <w:spacing w:val="-4"/>
          <w:rtl/>
        </w:rPr>
      </w:pPr>
      <w:r w:rsidRPr="00057592">
        <w:rPr>
          <w:rFonts w:hint="cs"/>
          <w:rtl/>
        </w:rPr>
        <w:t>ب)</w:t>
      </w:r>
      <w:r w:rsidRPr="00057592">
        <w:rPr>
          <w:rtl/>
        </w:rPr>
        <w:tab/>
      </w:r>
      <w:r w:rsidRPr="00A35045">
        <w:rPr>
          <w:rFonts w:hint="cs"/>
          <w:spacing w:val="-4"/>
          <w:rtl/>
        </w:rPr>
        <w:t xml:space="preserve">في حين </w:t>
      </w:r>
      <w:r w:rsidR="00AA6F48">
        <w:rPr>
          <w:rFonts w:hint="cs"/>
          <w:spacing w:val="-4"/>
          <w:rtl/>
        </w:rPr>
        <w:t>ت</w:t>
      </w:r>
      <w:r w:rsidRPr="00A35045">
        <w:rPr>
          <w:rFonts w:hint="cs"/>
          <w:spacing w:val="-4"/>
          <w:rtl/>
        </w:rPr>
        <w:t xml:space="preserve">نبغي مواصلة تشجيع المناقشات الثنائية ومتعدد الأطراف بين الجهات الفاعلة الرئيسية، </w:t>
      </w:r>
      <w:r w:rsidR="00AA6F48">
        <w:rPr>
          <w:rFonts w:hint="cs"/>
          <w:spacing w:val="-4"/>
          <w:rtl/>
        </w:rPr>
        <w:t>و</w:t>
      </w:r>
      <w:r w:rsidRPr="00A35045">
        <w:rPr>
          <w:rFonts w:hint="cs"/>
          <w:spacing w:val="-4"/>
          <w:rtl/>
        </w:rPr>
        <w:t xml:space="preserve">نظراً للطابع العالمي للتهديدات السيبرانية، من </w:t>
      </w:r>
      <w:r w:rsidR="00CE05BF">
        <w:rPr>
          <w:rFonts w:hint="cs"/>
          <w:spacing w:val="-4"/>
          <w:rtl/>
        </w:rPr>
        <w:t>الضروري</w:t>
      </w:r>
      <w:r w:rsidR="00CE05BF" w:rsidRPr="00A35045">
        <w:rPr>
          <w:rFonts w:hint="cs"/>
          <w:spacing w:val="-4"/>
          <w:rtl/>
        </w:rPr>
        <w:t xml:space="preserve"> </w:t>
      </w:r>
      <w:r w:rsidRPr="00A35045">
        <w:rPr>
          <w:rFonts w:hint="cs"/>
          <w:spacing w:val="-4"/>
          <w:rtl/>
        </w:rPr>
        <w:t>أيضاً تيسير إجراء مناقشات أوسع نطاقاً بين مجموعات أوسع، بما</w:t>
      </w:r>
      <w:r w:rsidRPr="00A35045">
        <w:rPr>
          <w:rFonts w:hint="eastAsia"/>
          <w:spacing w:val="-4"/>
          <w:rtl/>
        </w:rPr>
        <w:t> </w:t>
      </w:r>
      <w:r w:rsidRPr="00A35045">
        <w:rPr>
          <w:rFonts w:hint="cs"/>
          <w:spacing w:val="-4"/>
          <w:rtl/>
        </w:rPr>
        <w:t>في</w:t>
      </w:r>
      <w:r w:rsidRPr="00A35045">
        <w:rPr>
          <w:rFonts w:hint="eastAsia"/>
          <w:spacing w:val="-4"/>
          <w:rtl/>
        </w:rPr>
        <w:t> </w:t>
      </w:r>
      <w:r w:rsidRPr="00A35045">
        <w:rPr>
          <w:rFonts w:hint="cs"/>
          <w:spacing w:val="-4"/>
          <w:rtl/>
        </w:rPr>
        <w:t xml:space="preserve">ذلك القطاع الخاص </w:t>
      </w:r>
      <w:r w:rsidR="00AA6F48">
        <w:rPr>
          <w:rFonts w:hint="cs"/>
          <w:spacing w:val="-4"/>
          <w:rtl/>
        </w:rPr>
        <w:t xml:space="preserve">والهيئات الأكاديمية والمجتمع المدني </w:t>
      </w:r>
      <w:r w:rsidRPr="00A35045">
        <w:rPr>
          <w:rFonts w:hint="cs"/>
          <w:spacing w:val="-4"/>
          <w:rtl/>
        </w:rPr>
        <w:t>وأصحاب المصلحة الآخرين.</w:t>
      </w:r>
    </w:p>
    <w:p w14:paraId="028D797A" w14:textId="5C14C88F" w:rsidR="00057592" w:rsidRDefault="00057592" w:rsidP="005C7CA4">
      <w:pPr>
        <w:pStyle w:val="enumlev1"/>
        <w:rPr>
          <w:rtl/>
        </w:rPr>
      </w:pPr>
      <w:r w:rsidRPr="00184327">
        <w:rPr>
          <w:rFonts w:hint="cs"/>
          <w:rtl/>
        </w:rPr>
        <w:t>ج)</w:t>
      </w:r>
      <w:r w:rsidRPr="008873CF">
        <w:rPr>
          <w:b/>
          <w:bCs/>
          <w:rtl/>
        </w:rPr>
        <w:tab/>
      </w:r>
      <w:r w:rsidRPr="008873CF">
        <w:rPr>
          <w:rFonts w:hint="cs"/>
          <w:rtl/>
        </w:rPr>
        <w:t>ينبغي للاتحاد أن يواصل استكشاف آليات مبتكرة ومرنة وسريعة الحركة لبناء الشراكات مع مراعاة قطاع تكنولوجيا المعلومات والاتصالات سريع ال</w:t>
      </w:r>
      <w:r w:rsidR="005C7CA4">
        <w:rPr>
          <w:rFonts w:hint="cs"/>
          <w:rtl/>
        </w:rPr>
        <w:t>ت</w:t>
      </w:r>
      <w:r w:rsidRPr="008873CF">
        <w:rPr>
          <w:rFonts w:hint="cs"/>
          <w:rtl/>
        </w:rPr>
        <w:t xml:space="preserve">طور ومجموعة الكيانات الجديدة الناشئة </w:t>
      </w:r>
      <w:r w:rsidRPr="008873CF">
        <w:rPr>
          <w:rtl/>
        </w:rPr>
        <w:t>–</w:t>
      </w:r>
      <w:r w:rsidRPr="008873CF">
        <w:rPr>
          <w:rFonts w:hint="cs"/>
          <w:rtl/>
        </w:rPr>
        <w:t xml:space="preserve"> ولا سيما المشاريع </w:t>
      </w:r>
      <w:proofErr w:type="gramStart"/>
      <w:r w:rsidR="009A2E80">
        <w:rPr>
          <w:rFonts w:hint="cs"/>
          <w:rtl/>
        </w:rPr>
        <w:t>المبتدئة</w:t>
      </w:r>
      <w:proofErr w:type="gramEnd"/>
      <w:r w:rsidRPr="008873CF">
        <w:rPr>
          <w:rFonts w:hint="cs"/>
          <w:rtl/>
        </w:rPr>
        <w:t xml:space="preserve"> والشركات الصغرى والصغيرة والمتوسطة.</w:t>
      </w:r>
    </w:p>
    <w:p w14:paraId="62055305" w14:textId="113E9C4C" w:rsidR="00057592" w:rsidRPr="00057592" w:rsidRDefault="00057592" w:rsidP="005C7CA4">
      <w:pPr>
        <w:pStyle w:val="enumlev1"/>
        <w:rPr>
          <w:rtl/>
          <w:lang w:bidi="ar-EG"/>
        </w:rPr>
      </w:pPr>
      <w:proofErr w:type="gramStart"/>
      <w:r w:rsidRPr="00184327">
        <w:rPr>
          <w:rFonts w:hint="cs"/>
          <w:rtl/>
        </w:rPr>
        <w:t>د )</w:t>
      </w:r>
      <w:proofErr w:type="gramEnd"/>
      <w:r w:rsidRPr="008873CF">
        <w:rPr>
          <w:b/>
          <w:bCs/>
          <w:rtl/>
        </w:rPr>
        <w:tab/>
      </w:r>
      <w:r w:rsidRPr="008873CF">
        <w:rPr>
          <w:rFonts w:hint="cs"/>
          <w:rtl/>
        </w:rPr>
        <w:t xml:space="preserve">ينبغي للاتحاد أن يواصل </w:t>
      </w:r>
      <w:r w:rsidR="001C5A38">
        <w:rPr>
          <w:rFonts w:hint="cs"/>
          <w:rtl/>
        </w:rPr>
        <w:t>التعامل</w:t>
      </w:r>
      <w:r w:rsidRPr="008873CF">
        <w:rPr>
          <w:rFonts w:hint="cs"/>
          <w:rtl/>
        </w:rPr>
        <w:t xml:space="preserve"> مع الوكالات الرئيسية الأخرى داخل أسرة الأمم المتحدة، </w:t>
      </w:r>
      <w:r w:rsidR="001C5A38">
        <w:rPr>
          <w:rFonts w:hint="cs"/>
          <w:rtl/>
        </w:rPr>
        <w:t>لدعم</w:t>
      </w:r>
      <w:r w:rsidRPr="008873CF">
        <w:rPr>
          <w:rFonts w:hint="cs"/>
          <w:rtl/>
        </w:rPr>
        <w:t xml:space="preserve"> الجهود الداخلية ل</w:t>
      </w:r>
      <w:r w:rsidR="001C5A38">
        <w:rPr>
          <w:rFonts w:hint="cs"/>
          <w:rtl/>
        </w:rPr>
        <w:t>أمانة ا</w:t>
      </w:r>
      <w:r w:rsidRPr="008873CF">
        <w:rPr>
          <w:rFonts w:hint="cs"/>
          <w:rtl/>
        </w:rPr>
        <w:t>لأمم المتحدة وتبسيط برامجها وأنشطتها المتعلقة بالأمن السيبراني، لكي يكون أكثر فعالية في خدمة المجتمع</w:t>
      </w:r>
      <w:r w:rsidR="005C7CA4">
        <w:rPr>
          <w:rFonts w:hint="eastAsia"/>
          <w:rtl/>
        </w:rPr>
        <w:t> </w:t>
      </w:r>
      <w:r w:rsidRPr="008873CF">
        <w:rPr>
          <w:rFonts w:hint="cs"/>
          <w:rtl/>
        </w:rPr>
        <w:t>العالمي.</w:t>
      </w:r>
    </w:p>
    <w:p w14:paraId="4D977FBF"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B1EF2" w14:textId="77777777" w:rsidR="0039542B" w:rsidRDefault="0039542B" w:rsidP="006C3242">
      <w:pPr>
        <w:spacing w:before="0" w:line="240" w:lineRule="auto"/>
      </w:pPr>
      <w:r>
        <w:separator/>
      </w:r>
    </w:p>
  </w:endnote>
  <w:endnote w:type="continuationSeparator" w:id="0">
    <w:p w14:paraId="09958A21" w14:textId="77777777" w:rsidR="0039542B" w:rsidRDefault="0039542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6D30" w14:textId="59201E8B"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970112">
      <w:rPr>
        <w:color w:val="F2F2F2" w:themeColor="background1" w:themeShade="F2"/>
        <w:sz w:val="16"/>
        <w:szCs w:val="16"/>
        <w:lang w:val="fr-FR"/>
      </w:rPr>
      <w:fldChar w:fldCharType="begin"/>
    </w:r>
    <w:r w:rsidRPr="00970112">
      <w:rPr>
        <w:color w:val="F2F2F2" w:themeColor="background1" w:themeShade="F2"/>
        <w:sz w:val="16"/>
        <w:szCs w:val="16"/>
        <w:lang w:val="fr-FR"/>
      </w:rPr>
      <w:instrText xml:space="preserve"> FILENAME \p \* MERGEFORMAT </w:instrText>
    </w:r>
    <w:r w:rsidRPr="00970112">
      <w:rPr>
        <w:color w:val="F2F2F2" w:themeColor="background1" w:themeShade="F2"/>
        <w:sz w:val="16"/>
        <w:szCs w:val="16"/>
        <w:lang w:val="fr-FR"/>
      </w:rPr>
      <w:fldChar w:fldCharType="separate"/>
    </w:r>
    <w:r w:rsidR="008C4372" w:rsidRPr="00970112">
      <w:rPr>
        <w:noProof/>
        <w:color w:val="F2F2F2" w:themeColor="background1" w:themeShade="F2"/>
        <w:sz w:val="16"/>
        <w:szCs w:val="16"/>
        <w:lang w:val="fr-FR"/>
      </w:rPr>
      <w:t>P:\ARA\SG\CONSEIL\C21\000\082A.docx</w:t>
    </w:r>
    <w:r w:rsidRPr="00970112">
      <w:rPr>
        <w:color w:val="F2F2F2" w:themeColor="background1" w:themeShade="F2"/>
        <w:sz w:val="16"/>
        <w:szCs w:val="16"/>
      </w:rPr>
      <w:fldChar w:fldCharType="end"/>
    </w:r>
    <w:r w:rsidRPr="00970112">
      <w:rPr>
        <w:color w:val="F2F2F2" w:themeColor="background1" w:themeShade="F2"/>
        <w:sz w:val="16"/>
        <w:szCs w:val="16"/>
        <w:lang w:val="fr-CH"/>
      </w:rPr>
      <w:t xml:space="preserve">  </w:t>
    </w:r>
    <w:r w:rsidRPr="00970112">
      <w:rPr>
        <w:color w:val="F2F2F2" w:themeColor="background1" w:themeShade="F2"/>
        <w:sz w:val="16"/>
        <w:szCs w:val="16"/>
        <w:lang w:val="fr-FR"/>
      </w:rPr>
      <w:t xml:space="preserve"> (</w:t>
    </w:r>
    <w:r w:rsidR="001E67AD" w:rsidRPr="00970112">
      <w:rPr>
        <w:color w:val="F2F2F2" w:themeColor="background1" w:themeShade="F2"/>
        <w:sz w:val="16"/>
        <w:szCs w:val="16"/>
        <w:lang w:val="fr-CH"/>
      </w:rPr>
      <w:t>489531</w:t>
    </w:r>
    <w:r w:rsidRPr="00970112">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8A2C"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8EC3B" w14:textId="77777777" w:rsidR="0039542B" w:rsidRDefault="0039542B" w:rsidP="006C3242">
      <w:pPr>
        <w:spacing w:before="0" w:line="240" w:lineRule="auto"/>
      </w:pPr>
      <w:r>
        <w:separator/>
      </w:r>
    </w:p>
  </w:footnote>
  <w:footnote w:type="continuationSeparator" w:id="0">
    <w:p w14:paraId="03A41BE4" w14:textId="77777777" w:rsidR="0039542B" w:rsidRDefault="0039542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C4220" w14:textId="3A1A9D4B" w:rsidR="00447F32" w:rsidRPr="00447F32" w:rsidRDefault="00970112"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C566BA">
          <w:rPr>
            <w:rFonts w:cs="Calibri"/>
            <w:noProof/>
            <w:sz w:val="20"/>
            <w:szCs w:val="20"/>
          </w:rPr>
          <w:t>1</w:t>
        </w:r>
        <w:r w:rsidR="00447F32" w:rsidRPr="00447F32">
          <w:rPr>
            <w:rFonts w:cs="Calibri"/>
            <w:noProof/>
            <w:sz w:val="20"/>
            <w:szCs w:val="20"/>
          </w:rPr>
          <w:t>/</w:t>
        </w:r>
        <w:r w:rsidR="002D0DCB">
          <w:rPr>
            <w:rFonts w:cs="Calibri"/>
            <w:noProof/>
            <w:sz w:val="20"/>
            <w:szCs w:val="20"/>
          </w:rPr>
          <w:t>82</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CB"/>
    <w:rsid w:val="0005251F"/>
    <w:rsid w:val="00057592"/>
    <w:rsid w:val="00090574"/>
    <w:rsid w:val="000C1C0E"/>
    <w:rsid w:val="000C548A"/>
    <w:rsid w:val="000F6D82"/>
    <w:rsid w:val="0015650C"/>
    <w:rsid w:val="00184327"/>
    <w:rsid w:val="001A5937"/>
    <w:rsid w:val="001B2EDE"/>
    <w:rsid w:val="001C0169"/>
    <w:rsid w:val="001C5A38"/>
    <w:rsid w:val="001D1D50"/>
    <w:rsid w:val="001D6745"/>
    <w:rsid w:val="001E446E"/>
    <w:rsid w:val="001E67AD"/>
    <w:rsid w:val="002154EE"/>
    <w:rsid w:val="002276D2"/>
    <w:rsid w:val="0023283D"/>
    <w:rsid w:val="0026373E"/>
    <w:rsid w:val="00271C43"/>
    <w:rsid w:val="00290728"/>
    <w:rsid w:val="002917DA"/>
    <w:rsid w:val="002978F4"/>
    <w:rsid w:val="002B028D"/>
    <w:rsid w:val="002C724F"/>
    <w:rsid w:val="002D0A2B"/>
    <w:rsid w:val="002D0DCB"/>
    <w:rsid w:val="002E6541"/>
    <w:rsid w:val="002F71D8"/>
    <w:rsid w:val="00334924"/>
    <w:rsid w:val="003409BC"/>
    <w:rsid w:val="00357185"/>
    <w:rsid w:val="00383829"/>
    <w:rsid w:val="0039542B"/>
    <w:rsid w:val="003C6B4F"/>
    <w:rsid w:val="003F4B29"/>
    <w:rsid w:val="00416611"/>
    <w:rsid w:val="0042686F"/>
    <w:rsid w:val="004317D8"/>
    <w:rsid w:val="00434183"/>
    <w:rsid w:val="00443869"/>
    <w:rsid w:val="00447F32"/>
    <w:rsid w:val="004745D2"/>
    <w:rsid w:val="004A0BEA"/>
    <w:rsid w:val="004D5837"/>
    <w:rsid w:val="004E11DC"/>
    <w:rsid w:val="004F4643"/>
    <w:rsid w:val="005409AC"/>
    <w:rsid w:val="005421F2"/>
    <w:rsid w:val="00552910"/>
    <w:rsid w:val="0055516A"/>
    <w:rsid w:val="00576923"/>
    <w:rsid w:val="005805EA"/>
    <w:rsid w:val="0058491B"/>
    <w:rsid w:val="00592EA5"/>
    <w:rsid w:val="005A3170"/>
    <w:rsid w:val="005B1652"/>
    <w:rsid w:val="005C7CA4"/>
    <w:rsid w:val="005F65D5"/>
    <w:rsid w:val="00614855"/>
    <w:rsid w:val="00676F4C"/>
    <w:rsid w:val="00677396"/>
    <w:rsid w:val="0069200F"/>
    <w:rsid w:val="006A65CB"/>
    <w:rsid w:val="006A793B"/>
    <w:rsid w:val="006C3242"/>
    <w:rsid w:val="006C7CC0"/>
    <w:rsid w:val="006F63F7"/>
    <w:rsid w:val="007025C7"/>
    <w:rsid w:val="00706D7A"/>
    <w:rsid w:val="00722F0D"/>
    <w:rsid w:val="0074420E"/>
    <w:rsid w:val="007521A2"/>
    <w:rsid w:val="00783E26"/>
    <w:rsid w:val="007C3BC7"/>
    <w:rsid w:val="007C3BCD"/>
    <w:rsid w:val="007D4ACF"/>
    <w:rsid w:val="007F0787"/>
    <w:rsid w:val="00810B7B"/>
    <w:rsid w:val="0082358A"/>
    <w:rsid w:val="008235CD"/>
    <w:rsid w:val="008247DE"/>
    <w:rsid w:val="00840B10"/>
    <w:rsid w:val="008513CB"/>
    <w:rsid w:val="00873C97"/>
    <w:rsid w:val="008A7F84"/>
    <w:rsid w:val="008B61EF"/>
    <w:rsid w:val="008C4372"/>
    <w:rsid w:val="0091702E"/>
    <w:rsid w:val="00923B0C"/>
    <w:rsid w:val="0094021C"/>
    <w:rsid w:val="00952F86"/>
    <w:rsid w:val="00970112"/>
    <w:rsid w:val="00982B28"/>
    <w:rsid w:val="009A2E80"/>
    <w:rsid w:val="009D313F"/>
    <w:rsid w:val="00A413F7"/>
    <w:rsid w:val="00A47A5A"/>
    <w:rsid w:val="00A6683B"/>
    <w:rsid w:val="00A763D7"/>
    <w:rsid w:val="00A8042A"/>
    <w:rsid w:val="00A8191D"/>
    <w:rsid w:val="00A97F94"/>
    <w:rsid w:val="00AA6F48"/>
    <w:rsid w:val="00AB4478"/>
    <w:rsid w:val="00B00A15"/>
    <w:rsid w:val="00B03099"/>
    <w:rsid w:val="00B05BC8"/>
    <w:rsid w:val="00B23265"/>
    <w:rsid w:val="00B64B47"/>
    <w:rsid w:val="00BB7213"/>
    <w:rsid w:val="00C002DE"/>
    <w:rsid w:val="00C0584E"/>
    <w:rsid w:val="00C53BF8"/>
    <w:rsid w:val="00C566BA"/>
    <w:rsid w:val="00C66157"/>
    <w:rsid w:val="00C674FE"/>
    <w:rsid w:val="00C67501"/>
    <w:rsid w:val="00C67A87"/>
    <w:rsid w:val="00C75633"/>
    <w:rsid w:val="00C9784E"/>
    <w:rsid w:val="00CA6F9F"/>
    <w:rsid w:val="00CE05BF"/>
    <w:rsid w:val="00CE2EE1"/>
    <w:rsid w:val="00CE3349"/>
    <w:rsid w:val="00CE36E5"/>
    <w:rsid w:val="00CE3B1D"/>
    <w:rsid w:val="00CF0963"/>
    <w:rsid w:val="00CF1332"/>
    <w:rsid w:val="00CF27F5"/>
    <w:rsid w:val="00CF3FFD"/>
    <w:rsid w:val="00D03C11"/>
    <w:rsid w:val="00D10CCF"/>
    <w:rsid w:val="00D31D54"/>
    <w:rsid w:val="00D63CD8"/>
    <w:rsid w:val="00D77D0F"/>
    <w:rsid w:val="00DA1CF0"/>
    <w:rsid w:val="00DB00FF"/>
    <w:rsid w:val="00DC1E02"/>
    <w:rsid w:val="00DC24B4"/>
    <w:rsid w:val="00DC5FB0"/>
    <w:rsid w:val="00DF0166"/>
    <w:rsid w:val="00DF16DC"/>
    <w:rsid w:val="00DF5442"/>
    <w:rsid w:val="00E45211"/>
    <w:rsid w:val="00E473C5"/>
    <w:rsid w:val="00E92863"/>
    <w:rsid w:val="00E92B92"/>
    <w:rsid w:val="00EB405E"/>
    <w:rsid w:val="00EB796D"/>
    <w:rsid w:val="00EC4C4D"/>
    <w:rsid w:val="00ED16EB"/>
    <w:rsid w:val="00F058DC"/>
    <w:rsid w:val="00F242B2"/>
    <w:rsid w:val="00F24FC4"/>
    <w:rsid w:val="00F2676C"/>
    <w:rsid w:val="00F267B2"/>
    <w:rsid w:val="00F84366"/>
    <w:rsid w:val="00F85089"/>
    <w:rsid w:val="00F965C1"/>
    <w:rsid w:val="00F974C5"/>
    <w:rsid w:val="00FA6F46"/>
    <w:rsid w:val="00FD15F0"/>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F66677"/>
  <w15:chartTrackingRefBased/>
  <w15:docId w15:val="{6FB250D1-657D-459B-AB17-0AD3C9EF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0F6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21-CL-C-0036/en" TargetMode="External"/><Relationship Id="rId4" Type="http://schemas.openxmlformats.org/officeDocument/2006/relationships/settings" Target="settings.xml"/><Relationship Id="rId9" Type="http://schemas.openxmlformats.org/officeDocument/2006/relationships/hyperlink" Target="https://www.itu.int/en/action/cybersecurity/Pages/default.aspx"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1257</Words>
  <Characters>7169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Australia, Canada, Czech Republic, France, Romania, United Kingdom of Great Britain and Northern Ireland - Guidelines for utilization of the Global Cybersecurity Agenda</dc:title>
  <dc:subject>Council 2021, Virtual consultation of councillors</dc:subject>
  <dc:creator>Almidani, Ahmad Alaa</dc:creator>
  <cp:keywords>C2021, C21, VCC, C21-VCC-1</cp:keywords>
  <dc:description/>
  <cp:lastModifiedBy>Xue, Kun</cp:lastModifiedBy>
  <cp:revision>2</cp:revision>
  <dcterms:created xsi:type="dcterms:W3CDTF">2021-06-14T11:11:00Z</dcterms:created>
  <dcterms:modified xsi:type="dcterms:W3CDTF">2021-06-14T11:11:00Z</dcterms:modified>
</cp:coreProperties>
</file>