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605E3F13" w14:textId="77777777">
        <w:trPr>
          <w:cantSplit/>
        </w:trPr>
        <w:tc>
          <w:tcPr>
            <w:tcW w:w="6911" w:type="dxa"/>
          </w:tcPr>
          <w:p w14:paraId="13FAF688" w14:textId="77777777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20</w:t>
            </w:r>
            <w:r w:rsidR="008418F5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</w:t>
            </w:r>
            <w:r w:rsidR="0091186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1</w:t>
            </w:r>
            <w:r w:rsidR="009625D8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="00D453EE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="009625D8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="0091186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</w:t>
            </w:r>
            <w:r w:rsidR="00A5354B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-</w:t>
            </w:r>
            <w:r w:rsidR="008418F5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1</w:t>
            </w:r>
            <w:r w:rsidR="00911867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</w:t>
            </w:r>
            <w:r w:rsidR="009625D8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  <w:r w:rsidR="009625D8" w:rsidRPr="00911867"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 w:rsidR="0091186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</w:p>
        </w:tc>
        <w:tc>
          <w:tcPr>
            <w:tcW w:w="3120" w:type="dxa"/>
          </w:tcPr>
          <w:p w14:paraId="1DD06FD0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7C44EA0" wp14:editId="31092AC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338891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AA6A4CE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60D31B4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3CFAA61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EF9111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39D19FD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7125AE5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6C2E6D8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bookmarkStart w:id="2" w:name="lt_pId007"/>
            <w:r w:rsidR="00512A43" w:rsidRPr="00512A43">
              <w:rPr>
                <w:b/>
              </w:rPr>
              <w:t>ADM 20</w:t>
            </w:r>
            <w:bookmarkEnd w:id="2"/>
          </w:p>
        </w:tc>
        <w:tc>
          <w:tcPr>
            <w:tcW w:w="3120" w:type="dxa"/>
          </w:tcPr>
          <w:p w14:paraId="2E1EDD89" w14:textId="7777777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12A43" w:rsidRPr="00512A43">
              <w:rPr>
                <w:b/>
                <w:bCs/>
                <w:szCs w:val="24"/>
                <w:lang w:eastAsia="zh-CN"/>
              </w:rPr>
              <w:t>81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0CAF1ACA" w14:textId="77777777">
        <w:trPr>
          <w:cantSplit/>
          <w:trHeight w:val="23"/>
        </w:trPr>
        <w:tc>
          <w:tcPr>
            <w:tcW w:w="6911" w:type="dxa"/>
            <w:vMerge/>
          </w:tcPr>
          <w:p w14:paraId="4D9EADE0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B815BE4" w14:textId="77777777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12A4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512A4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5038F934" w14:textId="77777777">
        <w:trPr>
          <w:cantSplit/>
          <w:trHeight w:val="23"/>
        </w:trPr>
        <w:tc>
          <w:tcPr>
            <w:tcW w:w="6911" w:type="dxa"/>
            <w:vMerge/>
          </w:tcPr>
          <w:p w14:paraId="34A36C82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C8688BF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5512724B" w14:textId="77777777">
        <w:trPr>
          <w:cantSplit/>
        </w:trPr>
        <w:tc>
          <w:tcPr>
            <w:tcW w:w="10031" w:type="dxa"/>
          </w:tcPr>
          <w:p w14:paraId="34BD166F" w14:textId="77777777" w:rsidR="00512A43" w:rsidRPr="00512A43" w:rsidRDefault="00F0502A" w:rsidP="00512A43">
            <w:pPr>
              <w:pStyle w:val="Source"/>
            </w:pPr>
            <w:proofErr w:type="spellStart"/>
            <w:r w:rsidRPr="00A46C22">
              <w:rPr>
                <w:rFonts w:hint="eastAsia"/>
                <w:lang w:val="fr-CH"/>
              </w:rPr>
              <w:t>秘书长的说明</w:t>
            </w:r>
            <w:proofErr w:type="spellEnd"/>
          </w:p>
        </w:tc>
      </w:tr>
      <w:tr w:rsidR="0093362E" w14:paraId="3D4B8921" w14:textId="77777777">
        <w:trPr>
          <w:cantSplit/>
        </w:trPr>
        <w:tc>
          <w:tcPr>
            <w:tcW w:w="10031" w:type="dxa"/>
          </w:tcPr>
          <w:p w14:paraId="01FC0B56" w14:textId="163B750B" w:rsidR="00F0502A" w:rsidRPr="00F0502A" w:rsidRDefault="00A46C22" w:rsidP="00A46C22">
            <w:pPr>
              <w:pStyle w:val="Title1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美国、加拿大</w:t>
            </w:r>
            <w:r w:rsidR="007764D2"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墨西哥</w:t>
            </w:r>
            <w:r w:rsidR="007764D2">
              <w:rPr>
                <w:rFonts w:hint="eastAsia"/>
                <w:lang w:eastAsia="zh-CN"/>
              </w:rPr>
              <w:t>和阿根廷</w:t>
            </w:r>
            <w:r w:rsidR="00F0502A" w:rsidRPr="00F0502A">
              <w:rPr>
                <w:rFonts w:hint="eastAsia"/>
                <w:lang w:eastAsia="ja-JP"/>
              </w:rPr>
              <w:t>的文稿</w:t>
            </w:r>
            <w:r w:rsidR="00F0502A" w:rsidRPr="00F0502A">
              <w:rPr>
                <w:lang w:eastAsia="ja-JP"/>
              </w:rPr>
              <w:br/>
            </w:r>
            <w:r w:rsidR="00F0502A" w:rsidRPr="00F0502A">
              <w:rPr>
                <w:lang w:eastAsia="ja-JP"/>
              </w:rPr>
              <w:br/>
            </w:r>
            <w:r w:rsidR="00F0502A" w:rsidRPr="00F0502A">
              <w:rPr>
                <w:rFonts w:hint="eastAsia"/>
                <w:lang w:eastAsia="ja-JP"/>
              </w:rPr>
              <w:t>第</w:t>
            </w:r>
            <w:r w:rsidR="00F0502A" w:rsidRPr="00F0502A">
              <w:rPr>
                <w:lang w:eastAsia="ja-JP"/>
              </w:rPr>
              <w:t>619</w:t>
            </w:r>
            <w:r w:rsidRPr="00F0502A">
              <w:rPr>
                <w:rFonts w:hint="eastAsia"/>
                <w:lang w:eastAsia="ja-JP"/>
              </w:rPr>
              <w:t>号决定</w:t>
            </w:r>
            <w:r>
              <w:rPr>
                <w:rFonts w:hint="eastAsia"/>
                <w:lang w:eastAsia="zh-CN"/>
              </w:rPr>
              <w:t>C21/77</w:t>
            </w:r>
            <w:r>
              <w:rPr>
                <w:rFonts w:hint="eastAsia"/>
                <w:lang w:eastAsia="zh-CN"/>
              </w:rPr>
              <w:t>号文件</w:t>
            </w:r>
            <w:r w:rsidR="00F0502A" w:rsidRPr="00F0502A">
              <w:rPr>
                <w:rFonts w:hint="eastAsia"/>
                <w:lang w:eastAsia="ja-JP"/>
              </w:rPr>
              <w:t>修订</w:t>
            </w:r>
            <w:r>
              <w:rPr>
                <w:rFonts w:hint="eastAsia"/>
                <w:lang w:eastAsia="zh-CN"/>
              </w:rPr>
              <w:t>案的备选方案</w:t>
            </w:r>
          </w:p>
        </w:tc>
      </w:tr>
    </w:tbl>
    <w:p w14:paraId="15D89B3F" w14:textId="77777777" w:rsidR="0093362E" w:rsidRDefault="0093362E" w:rsidP="00001B77">
      <w:pPr>
        <w:rPr>
          <w:lang w:eastAsia="zh-CN"/>
        </w:rPr>
      </w:pPr>
    </w:p>
    <w:p w14:paraId="31C88BB7" w14:textId="2698CD2E" w:rsidR="00512A43" w:rsidRDefault="00F0502A" w:rsidP="00952B24">
      <w:pPr>
        <w:ind w:firstLineChars="200" w:firstLine="480"/>
        <w:rPr>
          <w:lang w:eastAsia="zh-CN"/>
        </w:rPr>
      </w:pPr>
      <w:r w:rsidRPr="00A46C22">
        <w:rPr>
          <w:lang w:eastAsia="zh-CN"/>
        </w:rPr>
        <w:t>我荣幸地向各理事国转呈</w:t>
      </w:r>
      <w:r w:rsidR="00A46C22" w:rsidRPr="00A46C22">
        <w:rPr>
          <w:rFonts w:hint="eastAsia"/>
          <w:b/>
          <w:bCs/>
          <w:lang w:val="en-US" w:eastAsia="zh-CN"/>
        </w:rPr>
        <w:t>美国、加拿大</w:t>
      </w:r>
      <w:r w:rsidR="007764D2">
        <w:rPr>
          <w:rFonts w:hint="eastAsia"/>
          <w:b/>
          <w:bCs/>
          <w:lang w:val="en-US" w:eastAsia="zh-CN"/>
        </w:rPr>
        <w:t>、</w:t>
      </w:r>
      <w:r w:rsidR="00A46C22" w:rsidRPr="00A46C22">
        <w:rPr>
          <w:rFonts w:hint="eastAsia"/>
          <w:b/>
          <w:bCs/>
          <w:lang w:val="en-US" w:eastAsia="zh-CN"/>
        </w:rPr>
        <w:t>墨西哥</w:t>
      </w:r>
      <w:r w:rsidR="007764D2" w:rsidRPr="007764D2">
        <w:rPr>
          <w:rFonts w:hint="eastAsia"/>
          <w:lang w:val="en-US" w:eastAsia="zh-CN"/>
        </w:rPr>
        <w:t>和</w:t>
      </w:r>
      <w:r w:rsidR="007764D2" w:rsidRPr="007764D2">
        <w:rPr>
          <w:rFonts w:hint="eastAsia"/>
          <w:b/>
          <w:bCs/>
          <w:lang w:val="en-US" w:eastAsia="zh-CN"/>
        </w:rPr>
        <w:t>阿根廷</w:t>
      </w:r>
      <w:r w:rsidRPr="00A46C22">
        <w:rPr>
          <w:lang w:eastAsia="zh-CN"/>
        </w:rPr>
        <w:t>提交的文稿。</w:t>
      </w:r>
    </w:p>
    <w:p w14:paraId="75A4BE6C" w14:textId="77777777" w:rsidR="00F0502A" w:rsidRDefault="00F0502A" w:rsidP="00512A43">
      <w:pPr>
        <w:rPr>
          <w:lang w:eastAsia="zh-CN"/>
        </w:rPr>
      </w:pPr>
    </w:p>
    <w:p w14:paraId="4C2A385C" w14:textId="18F3C45C" w:rsidR="00F0502A" w:rsidRDefault="00F0502A" w:rsidP="00512A43">
      <w:pPr>
        <w:rPr>
          <w:lang w:eastAsia="zh-CN"/>
        </w:rPr>
      </w:pPr>
    </w:p>
    <w:p w14:paraId="5AC0C14E" w14:textId="77777777" w:rsidR="00952B24" w:rsidRDefault="00952B24" w:rsidP="00512A43">
      <w:pPr>
        <w:rPr>
          <w:lang w:eastAsia="zh-CN"/>
        </w:rPr>
      </w:pPr>
    </w:p>
    <w:p w14:paraId="27BC134A" w14:textId="77777777" w:rsidR="00F0502A" w:rsidRPr="0045487D" w:rsidRDefault="00F0502A" w:rsidP="00F0502A">
      <w:pPr>
        <w:ind w:left="7513"/>
        <w:rPr>
          <w:lang w:eastAsia="zh-CN"/>
        </w:rPr>
      </w:pPr>
      <w:r w:rsidRPr="0045487D">
        <w:rPr>
          <w:lang w:eastAsia="zh-CN"/>
        </w:rPr>
        <w:t>秘书长</w:t>
      </w:r>
      <w:r>
        <w:rPr>
          <w:lang w:eastAsia="zh-CN"/>
        </w:rPr>
        <w:br/>
      </w:r>
      <w:r w:rsidRPr="0045487D">
        <w:rPr>
          <w:lang w:eastAsia="zh-CN"/>
        </w:rPr>
        <w:t>赵厚</w:t>
      </w:r>
      <w:r w:rsidRPr="0045487D">
        <w:rPr>
          <w:rFonts w:hint="eastAsia"/>
          <w:lang w:eastAsia="zh-CN"/>
        </w:rPr>
        <w:t>麟</w:t>
      </w:r>
    </w:p>
    <w:p w14:paraId="753CD279" w14:textId="77777777" w:rsidR="00512A43" w:rsidRDefault="00512A4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39636EEF" w14:textId="14A3215A" w:rsidR="00512A43" w:rsidRPr="00A46C22" w:rsidRDefault="00A46C22" w:rsidP="00512A43">
      <w:pPr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val="en-US" w:eastAsia="zh-CN"/>
        </w:rPr>
      </w:pPr>
      <w:bookmarkStart w:id="3" w:name="_Hlk72920415"/>
      <w:r w:rsidRPr="00A46C22">
        <w:rPr>
          <w:rFonts w:hint="eastAsia"/>
          <w:b/>
          <w:bCs/>
          <w:lang w:eastAsia="zh-CN"/>
        </w:rPr>
        <w:lastRenderedPageBreak/>
        <w:t>美国、加拿大</w:t>
      </w:r>
      <w:r w:rsidR="007764D2">
        <w:rPr>
          <w:rFonts w:hint="eastAsia"/>
          <w:b/>
          <w:bCs/>
          <w:lang w:eastAsia="zh-CN"/>
        </w:rPr>
        <w:t>、</w:t>
      </w:r>
      <w:r w:rsidRPr="00A46C22">
        <w:rPr>
          <w:rFonts w:hint="eastAsia"/>
          <w:b/>
          <w:bCs/>
          <w:lang w:eastAsia="zh-CN"/>
        </w:rPr>
        <w:t>墨西哥</w:t>
      </w:r>
      <w:r w:rsidR="007764D2" w:rsidRPr="00A46C22">
        <w:rPr>
          <w:rFonts w:hint="eastAsia"/>
          <w:b/>
          <w:bCs/>
          <w:lang w:eastAsia="zh-CN"/>
        </w:rPr>
        <w:t>和</w:t>
      </w:r>
      <w:r w:rsidR="007764D2">
        <w:rPr>
          <w:rFonts w:hint="eastAsia"/>
          <w:b/>
          <w:bCs/>
          <w:lang w:eastAsia="zh-CN"/>
        </w:rPr>
        <w:t>阿根廷</w:t>
      </w:r>
      <w:r w:rsidRPr="00A46C22">
        <w:rPr>
          <w:rFonts w:hint="eastAsia"/>
          <w:b/>
          <w:bCs/>
          <w:lang w:eastAsia="zh-CN"/>
        </w:rPr>
        <w:t>的文稿</w:t>
      </w:r>
    </w:p>
    <w:bookmarkEnd w:id="3"/>
    <w:p w14:paraId="36A38DC8" w14:textId="646EAA6D" w:rsidR="00512A43" w:rsidRPr="00885840" w:rsidRDefault="00A46C22" w:rsidP="00512A43">
      <w:pPr>
        <w:pStyle w:val="Title1"/>
        <w:spacing w:after="120" w:line="276" w:lineRule="auto"/>
        <w:rPr>
          <w:rFonts w:cs="Calibri"/>
          <w:b/>
          <w:color w:val="800000"/>
          <w:sz w:val="22"/>
          <w:szCs w:val="28"/>
          <w:lang w:eastAsia="ja-JP"/>
        </w:rPr>
      </w:pPr>
      <w:r w:rsidRPr="00F0502A">
        <w:rPr>
          <w:rFonts w:hint="eastAsia"/>
          <w:lang w:eastAsia="ja-JP"/>
        </w:rPr>
        <w:t>第</w:t>
      </w:r>
      <w:r w:rsidRPr="00F0502A">
        <w:rPr>
          <w:lang w:eastAsia="ja-JP"/>
        </w:rPr>
        <w:t>619</w:t>
      </w:r>
      <w:r w:rsidRPr="00F0502A">
        <w:rPr>
          <w:rFonts w:hint="eastAsia"/>
          <w:lang w:eastAsia="ja-JP"/>
        </w:rPr>
        <w:t>号决定</w:t>
      </w:r>
      <w:r>
        <w:rPr>
          <w:rFonts w:hint="eastAsia"/>
          <w:lang w:eastAsia="zh-CN"/>
        </w:rPr>
        <w:t>C21/77</w:t>
      </w:r>
      <w:r>
        <w:rPr>
          <w:rFonts w:hint="eastAsia"/>
          <w:lang w:eastAsia="zh-CN"/>
        </w:rPr>
        <w:t>号文件</w:t>
      </w:r>
      <w:r w:rsidRPr="00F0502A">
        <w:rPr>
          <w:rFonts w:hint="eastAsia"/>
          <w:lang w:eastAsia="ja-JP"/>
        </w:rPr>
        <w:t>修订</w:t>
      </w:r>
      <w:r>
        <w:rPr>
          <w:rFonts w:hint="eastAsia"/>
          <w:lang w:eastAsia="zh-CN"/>
        </w:rPr>
        <w:t>案的备选方案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12A43" w14:paraId="7F8298BA" w14:textId="77777777" w:rsidTr="00BA57FF">
        <w:trPr>
          <w:trHeight w:val="3001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30C05" w14:textId="77777777" w:rsidR="00512A43" w:rsidRPr="00A46C22" w:rsidRDefault="00B17147" w:rsidP="00B17147">
            <w:pPr>
              <w:pStyle w:val="Headingb"/>
              <w:rPr>
                <w:lang w:eastAsia="zh-CN"/>
              </w:rPr>
            </w:pPr>
            <w:r w:rsidRPr="00A46C22">
              <w:rPr>
                <w:rFonts w:hint="eastAsia"/>
                <w:lang w:val="fr-FR" w:eastAsia="zh-CN"/>
              </w:rPr>
              <w:t>概</w:t>
            </w:r>
            <w:r w:rsidRPr="00A46C22">
              <w:rPr>
                <w:rFonts w:hint="eastAsia"/>
                <w:lang w:eastAsia="zh-CN"/>
              </w:rPr>
              <w:t>要</w:t>
            </w:r>
          </w:p>
          <w:p w14:paraId="2D70F7E8" w14:textId="0CF845BA" w:rsidR="00512A43" w:rsidRPr="00A46C22" w:rsidRDefault="00A46C22" w:rsidP="00952B24">
            <w:pPr>
              <w:ind w:firstLineChars="200" w:firstLine="480"/>
              <w:rPr>
                <w:lang w:eastAsia="zh-CN"/>
              </w:rPr>
            </w:pPr>
            <w:r w:rsidRPr="00A46C22">
              <w:rPr>
                <w:rFonts w:hint="eastAsia"/>
                <w:lang w:eastAsia="zh-CN"/>
              </w:rPr>
              <w:t>保护成员国的财务风险限度，同时增加</w:t>
            </w:r>
            <w:r w:rsidR="00B17147" w:rsidRPr="00A46C22">
              <w:rPr>
                <w:rFonts w:hint="eastAsia"/>
                <w:lang w:eastAsia="zh-CN"/>
              </w:rPr>
              <w:t>为国际电联总部办公楼项目提供更多赞助和捐赠</w:t>
            </w:r>
            <w:r w:rsidR="005151E9">
              <w:rPr>
                <w:rFonts w:hint="eastAsia"/>
                <w:lang w:eastAsia="zh-CN"/>
              </w:rPr>
              <w:t>的灵活性</w:t>
            </w:r>
            <w:r w:rsidR="00B17147" w:rsidRPr="00A46C22">
              <w:rPr>
                <w:rFonts w:hint="eastAsia"/>
                <w:lang w:eastAsia="zh-CN"/>
              </w:rPr>
              <w:t>。</w:t>
            </w:r>
          </w:p>
          <w:p w14:paraId="61E33BD2" w14:textId="77777777" w:rsidR="00512A43" w:rsidRPr="00A46C22" w:rsidRDefault="00B17147" w:rsidP="00952B24">
            <w:pPr>
              <w:pStyle w:val="Headingb"/>
              <w:rPr>
                <w:lang w:eastAsia="zh-CN"/>
              </w:rPr>
            </w:pPr>
            <w:r w:rsidRPr="00A46C22">
              <w:rPr>
                <w:rFonts w:hint="eastAsia"/>
                <w:lang w:eastAsia="zh-CN"/>
              </w:rPr>
              <w:t>需采取的行动</w:t>
            </w:r>
          </w:p>
          <w:p w14:paraId="657ADE7F" w14:textId="77777777" w:rsidR="00512A43" w:rsidRPr="00885840" w:rsidRDefault="00B17147" w:rsidP="00B17147">
            <w:pPr>
              <w:ind w:firstLineChars="200" w:firstLine="480"/>
              <w:rPr>
                <w:rFonts w:cs="Calibri"/>
                <w:b/>
                <w:color w:val="800000"/>
                <w:sz w:val="22"/>
                <w:lang w:eastAsia="zh-CN"/>
              </w:rPr>
            </w:pPr>
            <w:r w:rsidRPr="00A46C22">
              <w:rPr>
                <w:rFonts w:hint="eastAsia"/>
                <w:lang w:eastAsia="zh-CN"/>
              </w:rPr>
              <w:t>请理事会</w:t>
            </w:r>
            <w:r w:rsidRPr="00952B24">
              <w:rPr>
                <w:rFonts w:hint="eastAsia"/>
                <w:b/>
                <w:lang w:eastAsia="zh-CN"/>
              </w:rPr>
              <w:t>批准</w:t>
            </w:r>
            <w:r w:rsidRPr="00A46C22">
              <w:rPr>
                <w:rFonts w:hint="eastAsia"/>
                <w:lang w:eastAsia="zh-CN"/>
              </w:rPr>
              <w:t>第</w:t>
            </w:r>
            <w:r w:rsidRPr="00A46C22">
              <w:rPr>
                <w:rFonts w:hint="eastAsia"/>
                <w:lang w:eastAsia="zh-CN"/>
              </w:rPr>
              <w:t>619</w:t>
            </w:r>
            <w:r w:rsidRPr="00A46C22">
              <w:rPr>
                <w:rFonts w:hint="eastAsia"/>
                <w:lang w:eastAsia="zh-CN"/>
              </w:rPr>
              <w:t>号决定的此项拟议修正。</w:t>
            </w:r>
          </w:p>
          <w:p w14:paraId="35B6ADF7" w14:textId="77777777" w:rsidR="00512A43" w:rsidRPr="00CF5A9F" w:rsidRDefault="00B17147" w:rsidP="00B17147">
            <w:pPr>
              <w:pStyle w:val="Headingb"/>
              <w:rPr>
                <w:lang w:eastAsia="zh-CN"/>
              </w:rPr>
            </w:pPr>
            <w:r w:rsidRPr="00B17147">
              <w:rPr>
                <w:rFonts w:hint="eastAsia"/>
                <w:lang w:eastAsia="zh-CN"/>
              </w:rPr>
              <w:t>参考文件</w:t>
            </w:r>
          </w:p>
          <w:bookmarkStart w:id="4" w:name="lt_pId026"/>
          <w:p w14:paraId="3C3CB1ED" w14:textId="0D83AB62" w:rsidR="00512A43" w:rsidRPr="00CF5A9F" w:rsidRDefault="00512A43" w:rsidP="00BA57FF">
            <w:pPr>
              <w:spacing w:line="276" w:lineRule="auto"/>
              <w:jc w:val="both"/>
              <w:rPr>
                <w:szCs w:val="24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HYPERLINK "https://www.itu.int/md/S21-CL-C-0077/en" </w:instrText>
            </w:r>
            <w:r>
              <w:fldChar w:fldCharType="separate"/>
            </w:r>
            <w:r w:rsidRPr="0056568C">
              <w:rPr>
                <w:rStyle w:val="Hyperlink"/>
                <w:szCs w:val="24"/>
                <w:lang w:eastAsia="zh-CN"/>
              </w:rPr>
              <w:t>C21/77</w:t>
            </w:r>
            <w:r>
              <w:rPr>
                <w:rStyle w:val="Hyperlink"/>
                <w:szCs w:val="24"/>
              </w:rPr>
              <w:fldChar w:fldCharType="end"/>
            </w:r>
            <w:r w:rsidR="005151E9">
              <w:rPr>
                <w:rFonts w:hint="eastAsia"/>
                <w:szCs w:val="24"/>
                <w:lang w:eastAsia="zh-CN"/>
              </w:rPr>
              <w:t>号文件、</w:t>
            </w:r>
            <w:bookmarkEnd w:id="4"/>
            <w:r w:rsidR="00911FEC">
              <w:fldChar w:fldCharType="begin"/>
            </w:r>
            <w:r w:rsidR="00911FEC">
              <w:rPr>
                <w:lang w:eastAsia="zh-CN"/>
              </w:rPr>
              <w:instrText xml:space="preserve"> HYPERLINK "https://www.itu.int/md/S19-CLADD-C-0005/en" </w:instrText>
            </w:r>
            <w:r w:rsidR="00911FEC">
              <w:fldChar w:fldCharType="separate"/>
            </w:r>
            <w:bookmarkStart w:id="5" w:name="lt_pId027"/>
            <w:r w:rsidR="005151E9">
              <w:rPr>
                <w:rStyle w:val="Hyperlink"/>
                <w:rFonts w:cstheme="minorHAnsi" w:hint="eastAsia"/>
                <w:szCs w:val="24"/>
                <w:lang w:eastAsia="zh-CN"/>
              </w:rPr>
              <w:t>理事会第</w:t>
            </w:r>
            <w:r w:rsidRPr="00885840">
              <w:rPr>
                <w:rStyle w:val="Hyperlink"/>
                <w:rFonts w:cstheme="minorHAnsi"/>
                <w:szCs w:val="24"/>
                <w:lang w:eastAsia="zh-CN"/>
              </w:rPr>
              <w:t>619</w:t>
            </w:r>
            <w:bookmarkEnd w:id="5"/>
            <w:r w:rsidR="00911FEC">
              <w:rPr>
                <w:rStyle w:val="Hyperlink"/>
                <w:rFonts w:cstheme="minorHAnsi"/>
                <w:szCs w:val="24"/>
              </w:rPr>
              <w:fldChar w:fldCharType="end"/>
            </w:r>
            <w:r w:rsidR="005151E9">
              <w:rPr>
                <w:rStyle w:val="Hyperlink"/>
                <w:rFonts w:cstheme="minorHAnsi" w:hint="eastAsia"/>
                <w:szCs w:val="24"/>
                <w:lang w:eastAsia="zh-CN"/>
              </w:rPr>
              <w:t>号决定</w:t>
            </w:r>
          </w:p>
        </w:tc>
      </w:tr>
    </w:tbl>
    <w:p w14:paraId="502A0A49" w14:textId="77777777" w:rsidR="00B17147" w:rsidRPr="00E00E7E" w:rsidRDefault="00B17147" w:rsidP="00952B24">
      <w:pPr>
        <w:pStyle w:val="Heading1"/>
        <w:rPr>
          <w:lang w:eastAsia="ja-JP"/>
        </w:rPr>
      </w:pPr>
      <w:bookmarkStart w:id="6" w:name="lt_pId029"/>
      <w:r>
        <w:rPr>
          <w:lang w:eastAsia="ja-JP"/>
        </w:rPr>
        <w:t>1</w:t>
      </w:r>
      <w:r>
        <w:rPr>
          <w:lang w:eastAsia="ja-JP"/>
        </w:rPr>
        <w:tab/>
      </w:r>
      <w:r>
        <w:rPr>
          <w:rFonts w:hint="eastAsia"/>
          <w:bCs/>
          <w:lang w:eastAsia="zh-CN"/>
        </w:rPr>
        <w:t>引言</w:t>
      </w:r>
    </w:p>
    <w:bookmarkEnd w:id="6"/>
    <w:p w14:paraId="14DAD0C5" w14:textId="29BE0488" w:rsidR="005151E9" w:rsidRPr="005151E9" w:rsidRDefault="005151E9" w:rsidP="00952B24">
      <w:pPr>
        <w:ind w:firstLineChars="200" w:firstLine="480"/>
        <w:rPr>
          <w:lang w:val="en-US" w:eastAsia="zh-CN"/>
        </w:rPr>
      </w:pPr>
      <w:r w:rsidRPr="005151E9">
        <w:rPr>
          <w:rFonts w:hint="eastAsia"/>
          <w:lang w:val="en-US" w:eastAsia="zh-CN"/>
        </w:rPr>
        <w:t>美国、加拿大</w:t>
      </w:r>
      <w:r w:rsidR="007764D2">
        <w:rPr>
          <w:rFonts w:hint="eastAsia"/>
          <w:lang w:val="en-US" w:eastAsia="zh-CN"/>
        </w:rPr>
        <w:t>、</w:t>
      </w:r>
      <w:r w:rsidRPr="005151E9">
        <w:rPr>
          <w:rFonts w:hint="eastAsia"/>
          <w:lang w:val="en-US" w:eastAsia="zh-CN"/>
        </w:rPr>
        <w:t>墨西哥</w:t>
      </w:r>
      <w:r w:rsidR="007764D2" w:rsidRPr="005151E9">
        <w:rPr>
          <w:rFonts w:hint="eastAsia"/>
          <w:lang w:val="en-US" w:eastAsia="zh-CN"/>
        </w:rPr>
        <w:t>和</w:t>
      </w:r>
      <w:r w:rsidR="007764D2">
        <w:rPr>
          <w:rFonts w:hint="eastAsia"/>
          <w:lang w:val="en-US" w:eastAsia="zh-CN"/>
        </w:rPr>
        <w:t>阿根廷</w:t>
      </w:r>
      <w:r w:rsidRPr="005151E9">
        <w:rPr>
          <w:rFonts w:hint="eastAsia"/>
          <w:lang w:val="en-US" w:eastAsia="zh-CN"/>
        </w:rPr>
        <w:t>感谢科威特在</w:t>
      </w:r>
      <w:r w:rsidRPr="005151E9">
        <w:rPr>
          <w:rFonts w:hint="eastAsia"/>
          <w:lang w:val="en-US" w:eastAsia="zh-CN"/>
        </w:rPr>
        <w:t>C21/77</w:t>
      </w:r>
      <w:r w:rsidRPr="005151E9">
        <w:rPr>
          <w:rFonts w:hint="eastAsia"/>
          <w:lang w:val="en-US" w:eastAsia="zh-CN"/>
        </w:rPr>
        <w:t>号文件中提出的</w:t>
      </w:r>
      <w:r>
        <w:rPr>
          <w:rFonts w:hint="eastAsia"/>
          <w:lang w:val="en-US" w:eastAsia="zh-CN"/>
        </w:rPr>
        <w:t>、</w:t>
      </w:r>
      <w:r w:rsidRPr="005151E9">
        <w:rPr>
          <w:rFonts w:hint="eastAsia"/>
          <w:lang w:val="en-US" w:eastAsia="zh-CN"/>
        </w:rPr>
        <w:t>试图允许</w:t>
      </w:r>
      <w:r>
        <w:rPr>
          <w:rFonts w:hint="eastAsia"/>
          <w:lang w:val="en-US" w:eastAsia="zh-CN"/>
        </w:rPr>
        <w:t>为</w:t>
      </w:r>
      <w:r w:rsidRPr="005151E9">
        <w:rPr>
          <w:rFonts w:hint="eastAsia"/>
          <w:lang w:val="en-US" w:eastAsia="zh-CN"/>
        </w:rPr>
        <w:t>支持国际电联新</w:t>
      </w:r>
      <w:r w:rsidR="007764D2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办公楼进行</w:t>
      </w:r>
      <w:r w:rsidRPr="005151E9">
        <w:rPr>
          <w:rFonts w:hint="eastAsia"/>
          <w:lang w:val="en-US" w:eastAsia="zh-CN"/>
        </w:rPr>
        <w:t>更广泛的赞助和捐赠</w:t>
      </w:r>
      <w:r>
        <w:rPr>
          <w:rFonts w:hint="eastAsia"/>
          <w:lang w:val="en-US" w:eastAsia="zh-CN"/>
        </w:rPr>
        <w:t>的建议</w:t>
      </w:r>
      <w:r w:rsidRPr="005151E9">
        <w:rPr>
          <w:rFonts w:hint="eastAsia"/>
          <w:lang w:val="en-US" w:eastAsia="zh-CN"/>
        </w:rPr>
        <w:t>。</w:t>
      </w:r>
    </w:p>
    <w:p w14:paraId="58F57078" w14:textId="5F8A09FD" w:rsidR="005151E9" w:rsidRPr="005151E9" w:rsidRDefault="005151E9" w:rsidP="00952B24">
      <w:pPr>
        <w:ind w:firstLineChars="200" w:firstLine="480"/>
        <w:rPr>
          <w:rFonts w:cstheme="minorHAnsi"/>
          <w:szCs w:val="24"/>
          <w:lang w:eastAsia="zh-CN"/>
        </w:rPr>
      </w:pPr>
      <w:r w:rsidRPr="005151E9">
        <w:rPr>
          <w:rFonts w:hint="eastAsia"/>
          <w:lang w:val="en-US" w:eastAsia="zh-CN"/>
        </w:rPr>
        <w:t>美国、加拿大</w:t>
      </w:r>
      <w:r w:rsidR="007764D2">
        <w:rPr>
          <w:rFonts w:hint="eastAsia"/>
          <w:lang w:val="en-US" w:eastAsia="zh-CN"/>
        </w:rPr>
        <w:t>、</w:t>
      </w:r>
      <w:r w:rsidRPr="005151E9">
        <w:rPr>
          <w:rFonts w:hint="eastAsia"/>
          <w:lang w:val="en-US" w:eastAsia="zh-CN"/>
        </w:rPr>
        <w:t>墨西哥</w:t>
      </w:r>
      <w:r w:rsidR="007764D2" w:rsidRPr="005151E9">
        <w:rPr>
          <w:rFonts w:hint="eastAsia"/>
          <w:lang w:val="en-US" w:eastAsia="zh-CN"/>
        </w:rPr>
        <w:t>和</w:t>
      </w:r>
      <w:r w:rsidR="007764D2">
        <w:rPr>
          <w:rFonts w:hint="eastAsia"/>
          <w:lang w:val="en-US" w:eastAsia="zh-CN"/>
        </w:rPr>
        <w:t>阿根廷</w:t>
      </w:r>
      <w:r w:rsidRPr="005151E9">
        <w:rPr>
          <w:rFonts w:hint="eastAsia"/>
          <w:lang w:val="en-US" w:eastAsia="zh-CN"/>
        </w:rPr>
        <w:t>赞赏并支持允许赞助和捐赠的原则，即使这些赞助和捐赠导致项目的直接和</w:t>
      </w:r>
      <w:r w:rsidRPr="005151E9">
        <w:rPr>
          <w:rFonts w:hint="eastAsia"/>
          <w:lang w:val="en-US" w:eastAsia="zh-CN"/>
        </w:rPr>
        <w:t>/</w:t>
      </w:r>
      <w:r w:rsidRPr="005151E9">
        <w:rPr>
          <w:rFonts w:hint="eastAsia"/>
          <w:lang w:val="en-US" w:eastAsia="zh-CN"/>
        </w:rPr>
        <w:t>或间接费用增加，但所有增加的费用必须由赞助</w:t>
      </w:r>
      <w:r>
        <w:rPr>
          <w:rFonts w:hint="eastAsia"/>
          <w:lang w:val="en-US" w:eastAsia="zh-CN"/>
        </w:rPr>
        <w:t>方</w:t>
      </w:r>
      <w:r w:rsidRPr="005151E9">
        <w:rPr>
          <w:rFonts w:hint="eastAsia"/>
          <w:lang w:val="en-US" w:eastAsia="zh-CN"/>
        </w:rPr>
        <w:t>或捐赠</w:t>
      </w:r>
      <w:r>
        <w:rPr>
          <w:rFonts w:hint="eastAsia"/>
          <w:lang w:val="en-US" w:eastAsia="zh-CN"/>
        </w:rPr>
        <w:t>方</w:t>
      </w:r>
      <w:r w:rsidRPr="005151E9">
        <w:rPr>
          <w:rFonts w:hint="eastAsia"/>
          <w:lang w:val="en-US" w:eastAsia="zh-CN"/>
        </w:rPr>
        <w:t>承担，且不会延误项目。</w:t>
      </w:r>
      <w:r w:rsidRPr="005151E9">
        <w:rPr>
          <w:rFonts w:cstheme="minorHAnsi" w:hint="eastAsia"/>
          <w:szCs w:val="24"/>
          <w:lang w:eastAsia="zh-CN"/>
        </w:rPr>
        <w:t>然而，我们关注的是，科威特提出的具体措辞可能会对</w:t>
      </w:r>
      <w:r>
        <w:rPr>
          <w:rFonts w:cstheme="minorHAnsi" w:hint="eastAsia"/>
          <w:szCs w:val="24"/>
          <w:lang w:eastAsia="zh-CN"/>
        </w:rPr>
        <w:t>“</w:t>
      </w:r>
      <w:r w:rsidRPr="005151E9">
        <w:rPr>
          <w:rFonts w:cstheme="minorHAnsi" w:hint="eastAsia"/>
          <w:szCs w:val="24"/>
          <w:lang w:eastAsia="zh-CN"/>
        </w:rPr>
        <w:t>国际电联的成本</w:t>
      </w:r>
      <w:r>
        <w:rPr>
          <w:rFonts w:cstheme="minorHAnsi" w:hint="eastAsia"/>
          <w:szCs w:val="24"/>
          <w:lang w:eastAsia="zh-CN"/>
        </w:rPr>
        <w:t>”</w:t>
      </w:r>
      <w:r w:rsidRPr="005151E9">
        <w:rPr>
          <w:rFonts w:cstheme="minorHAnsi" w:hint="eastAsia"/>
          <w:szCs w:val="24"/>
          <w:lang w:eastAsia="zh-CN"/>
        </w:rPr>
        <w:t>造成混淆。</w:t>
      </w:r>
    </w:p>
    <w:p w14:paraId="46626803" w14:textId="1A842A30" w:rsidR="00512A43" w:rsidRPr="00312439" w:rsidRDefault="005151E9" w:rsidP="00952B24">
      <w:pPr>
        <w:ind w:firstLineChars="200" w:firstLine="480"/>
        <w:rPr>
          <w:lang w:val="en-US" w:eastAsia="zh-CN"/>
        </w:rPr>
      </w:pPr>
      <w:r w:rsidRPr="005151E9">
        <w:rPr>
          <w:rFonts w:hint="eastAsia"/>
          <w:lang w:eastAsia="zh-CN"/>
        </w:rPr>
        <w:t>在制定第</w:t>
      </w:r>
      <w:r w:rsidRPr="005151E9">
        <w:rPr>
          <w:rFonts w:hint="eastAsia"/>
          <w:lang w:eastAsia="zh-CN"/>
        </w:rPr>
        <w:t>619</w:t>
      </w:r>
      <w:r w:rsidRPr="005151E9">
        <w:rPr>
          <w:rFonts w:hint="eastAsia"/>
          <w:lang w:eastAsia="zh-CN"/>
        </w:rPr>
        <w:t>号决定时，许多成员国</w:t>
      </w:r>
      <w:r w:rsidR="00312439">
        <w:rPr>
          <w:rFonts w:hint="eastAsia"/>
          <w:lang w:eastAsia="zh-CN"/>
        </w:rPr>
        <w:t>希望就</w:t>
      </w:r>
      <w:r w:rsidRPr="005151E9">
        <w:rPr>
          <w:rFonts w:hint="eastAsia"/>
          <w:lang w:eastAsia="zh-CN"/>
        </w:rPr>
        <w:t>这一重大建设项目对</w:t>
      </w:r>
      <w:r w:rsidR="00312439">
        <w:rPr>
          <w:rFonts w:hint="eastAsia"/>
          <w:lang w:eastAsia="zh-CN"/>
        </w:rPr>
        <w:t>缴费</w:t>
      </w:r>
      <w:r w:rsidRPr="005151E9">
        <w:rPr>
          <w:rFonts w:hint="eastAsia"/>
          <w:lang w:eastAsia="zh-CN"/>
        </w:rPr>
        <w:t>成员国的财务风险</w:t>
      </w:r>
      <w:r w:rsidR="00312439">
        <w:rPr>
          <w:rFonts w:hint="eastAsia"/>
          <w:lang w:eastAsia="zh-CN"/>
        </w:rPr>
        <w:t>制定</w:t>
      </w:r>
      <w:r w:rsidRPr="005151E9">
        <w:rPr>
          <w:rFonts w:hint="eastAsia"/>
          <w:lang w:eastAsia="zh-CN"/>
        </w:rPr>
        <w:t>一个硬性限制。对该决定的任何修改都应反映这种</w:t>
      </w:r>
      <w:r w:rsidR="00312439">
        <w:rPr>
          <w:rFonts w:hint="eastAsia"/>
          <w:lang w:eastAsia="zh-CN"/>
        </w:rPr>
        <w:t>愿望</w:t>
      </w:r>
      <w:r w:rsidRPr="005151E9">
        <w:rPr>
          <w:rFonts w:hint="eastAsia"/>
          <w:lang w:eastAsia="zh-CN"/>
        </w:rPr>
        <w:t>，并</w:t>
      </w:r>
      <w:r w:rsidR="00312439">
        <w:rPr>
          <w:rFonts w:hint="eastAsia"/>
          <w:lang w:eastAsia="zh-CN"/>
        </w:rPr>
        <w:t>显示</w:t>
      </w:r>
      <w:r w:rsidRPr="005151E9">
        <w:rPr>
          <w:rFonts w:hint="eastAsia"/>
          <w:lang w:eastAsia="zh-CN"/>
        </w:rPr>
        <w:t>负责的项目管理以限制财务风险。</w:t>
      </w:r>
    </w:p>
    <w:p w14:paraId="483D02F2" w14:textId="77777777" w:rsidR="00313763" w:rsidRPr="00D75BAB" w:rsidRDefault="00313763" w:rsidP="00952B24">
      <w:pPr>
        <w:pStyle w:val="Heading1"/>
        <w:rPr>
          <w:lang w:eastAsia="zh-CN"/>
        </w:rPr>
      </w:pPr>
      <w:bookmarkStart w:id="7" w:name="lt_pId036"/>
      <w:r>
        <w:rPr>
          <w:lang w:eastAsia="zh-CN"/>
        </w:rPr>
        <w:t>2</w:t>
      </w:r>
      <w:r w:rsidRPr="00D75BAB">
        <w:rPr>
          <w:lang w:eastAsia="zh-CN"/>
        </w:rPr>
        <w:tab/>
      </w:r>
      <w:r>
        <w:rPr>
          <w:rFonts w:hint="eastAsia"/>
          <w:lang w:eastAsia="zh-CN"/>
        </w:rPr>
        <w:t>提案</w:t>
      </w:r>
    </w:p>
    <w:bookmarkEnd w:id="7"/>
    <w:p w14:paraId="67A6DF2B" w14:textId="51F03AA8" w:rsidR="00512A43" w:rsidRPr="00176864" w:rsidRDefault="00312439" w:rsidP="00952B24">
      <w:pPr>
        <w:ind w:firstLineChars="200" w:firstLine="480"/>
        <w:rPr>
          <w:rFonts w:cstheme="minorHAnsi"/>
          <w:color w:val="000000" w:themeColor="text1"/>
          <w:lang w:val="en-US" w:eastAsia="zh-CN"/>
        </w:rPr>
      </w:pPr>
      <w:r w:rsidRPr="00312439">
        <w:rPr>
          <w:rFonts w:hint="eastAsia"/>
          <w:lang w:val="en-US" w:eastAsia="zh-CN"/>
        </w:rPr>
        <w:t>因此，美国、加拿大</w:t>
      </w:r>
      <w:r w:rsidR="007764D2">
        <w:rPr>
          <w:rFonts w:hint="eastAsia"/>
          <w:lang w:val="en-US" w:eastAsia="zh-CN"/>
        </w:rPr>
        <w:t>、</w:t>
      </w:r>
      <w:r w:rsidRPr="00312439">
        <w:rPr>
          <w:rFonts w:hint="eastAsia"/>
          <w:lang w:val="en-US" w:eastAsia="zh-CN"/>
        </w:rPr>
        <w:t>墨西哥</w:t>
      </w:r>
      <w:r w:rsidR="007764D2" w:rsidRPr="00312439">
        <w:rPr>
          <w:rFonts w:hint="eastAsia"/>
          <w:lang w:val="en-US" w:eastAsia="zh-CN"/>
        </w:rPr>
        <w:t>和</w:t>
      </w:r>
      <w:r w:rsidR="007764D2">
        <w:rPr>
          <w:rFonts w:hint="eastAsia"/>
          <w:lang w:val="en-US" w:eastAsia="zh-CN"/>
        </w:rPr>
        <w:t>阿根廷</w:t>
      </w:r>
      <w:r w:rsidRPr="00312439">
        <w:rPr>
          <w:rFonts w:hint="eastAsia"/>
          <w:lang w:val="en-US" w:eastAsia="zh-CN"/>
        </w:rPr>
        <w:t>对在</w:t>
      </w:r>
      <w:r w:rsidRPr="00312439">
        <w:rPr>
          <w:rFonts w:hint="eastAsia"/>
          <w:lang w:val="en-US" w:eastAsia="zh-CN"/>
        </w:rPr>
        <w:t>C21/77</w:t>
      </w:r>
      <w:r w:rsidRPr="00312439">
        <w:rPr>
          <w:rFonts w:hint="eastAsia"/>
          <w:lang w:val="en-US" w:eastAsia="zh-CN"/>
        </w:rPr>
        <w:t>号文件中科威特提议的提案提出修正案，为理事会第</w:t>
      </w:r>
      <w:r w:rsidRPr="00952B24">
        <w:rPr>
          <w:rFonts w:hint="eastAsia"/>
          <w:lang w:eastAsia="zh-CN"/>
        </w:rPr>
        <w:t>619</w:t>
      </w:r>
      <w:r w:rsidRPr="00312439">
        <w:rPr>
          <w:rFonts w:asciiTheme="minorEastAsia" w:eastAsiaTheme="minorEastAsia" w:hAnsiTheme="minorEastAsia" w:hint="eastAsia"/>
          <w:lang w:val="en-US" w:eastAsia="zh-CN"/>
        </w:rPr>
        <w:t>号决定</w:t>
      </w:r>
      <w:r w:rsidRPr="00312439">
        <w:rPr>
          <w:rFonts w:ascii="STKaiti" w:eastAsia="STKaiti" w:hAnsi="STKaiti" w:hint="eastAsia"/>
          <w:lang w:val="en-US" w:eastAsia="zh-CN"/>
        </w:rPr>
        <w:t>做出决定4</w:t>
      </w:r>
      <w:r w:rsidRPr="00312439">
        <w:rPr>
          <w:rFonts w:hint="eastAsia"/>
          <w:lang w:val="en-US" w:eastAsia="zh-CN"/>
        </w:rPr>
        <w:t>提供以下备选案文：</w:t>
      </w:r>
    </w:p>
    <w:p w14:paraId="07CC6BFC" w14:textId="56A104B1" w:rsidR="00512A43" w:rsidRPr="00952B24" w:rsidRDefault="00512A43" w:rsidP="00952B24">
      <w:pPr>
        <w:rPr>
          <w:lang w:eastAsia="zh-CN"/>
        </w:rPr>
      </w:pPr>
      <w:r w:rsidRPr="00176864">
        <w:rPr>
          <w:lang w:eastAsia="zh-CN"/>
        </w:rPr>
        <w:t>4</w:t>
      </w:r>
      <w:r w:rsidR="00312439">
        <w:rPr>
          <w:lang w:eastAsia="zh-CN"/>
        </w:rPr>
        <w:tab/>
      </w:r>
      <w:r w:rsidR="00AC2A92" w:rsidRPr="00AC2A92">
        <w:rPr>
          <w:rFonts w:hint="eastAsia"/>
          <w:lang w:eastAsia="zh-CN"/>
        </w:rPr>
        <w:t>自</w:t>
      </w:r>
      <w:r w:rsidR="00AC2A92" w:rsidRPr="00AC2A92">
        <w:rPr>
          <w:lang w:eastAsia="zh-CN"/>
        </w:rPr>
        <w:t>本决定通过之日</w:t>
      </w:r>
      <w:r w:rsidR="00AC2A92" w:rsidRPr="00AC2A92">
        <w:rPr>
          <w:rFonts w:hint="eastAsia"/>
          <w:lang w:eastAsia="zh-CN"/>
        </w:rPr>
        <w:t>起</w:t>
      </w:r>
      <w:r w:rsidR="00AC2A92" w:rsidRPr="00AC2A92">
        <w:rPr>
          <w:lang w:eastAsia="zh-CN"/>
        </w:rPr>
        <w:t>，任何未来的赞助或捐赠将仅</w:t>
      </w:r>
      <w:r w:rsidR="00312439">
        <w:rPr>
          <w:rFonts w:hint="eastAsia"/>
          <w:lang w:eastAsia="zh-CN"/>
        </w:rPr>
        <w:t>在以下情况后得到国际电联的接受：</w:t>
      </w:r>
    </w:p>
    <w:p w14:paraId="48576396" w14:textId="160D7400" w:rsidR="00512A43" w:rsidRPr="00176864" w:rsidRDefault="00B17147" w:rsidP="00A6199B">
      <w:pPr>
        <w:pStyle w:val="enumlev1"/>
        <w:rPr>
          <w:lang w:eastAsia="zh-CN"/>
        </w:rPr>
      </w:pPr>
      <w:bookmarkStart w:id="8" w:name="lt_pId039"/>
      <w:r w:rsidRPr="00176864">
        <w:rPr>
          <w:lang w:eastAsia="zh-CN"/>
        </w:rPr>
        <w:t>‒</w:t>
      </w:r>
      <w:r w:rsidRPr="00176864">
        <w:rPr>
          <w:lang w:eastAsia="zh-CN"/>
        </w:rPr>
        <w:tab/>
      </w:r>
      <w:bookmarkEnd w:id="8"/>
      <w:r w:rsidR="00312439" w:rsidRPr="00312439">
        <w:rPr>
          <w:rFonts w:hint="eastAsia"/>
          <w:lang w:eastAsia="zh-CN"/>
        </w:rPr>
        <w:t>国际电联管理层和</w:t>
      </w:r>
      <w:r w:rsidR="00911FEC">
        <w:rPr>
          <w:rFonts w:hint="eastAsia"/>
          <w:lang w:eastAsia="zh-CN"/>
        </w:rPr>
        <w:t>办公楼项目处（</w:t>
      </w:r>
      <w:r w:rsidR="00911FEC">
        <w:rPr>
          <w:rFonts w:hint="eastAsia"/>
          <w:lang w:eastAsia="zh-CN"/>
        </w:rPr>
        <w:t>BPD</w:t>
      </w:r>
      <w:r w:rsidR="00911FEC">
        <w:rPr>
          <w:rFonts w:hint="eastAsia"/>
          <w:lang w:eastAsia="zh-CN"/>
        </w:rPr>
        <w:t>）</w:t>
      </w:r>
      <w:r w:rsidR="00312439" w:rsidRPr="00312439">
        <w:rPr>
          <w:rFonts w:hint="eastAsia"/>
          <w:lang w:eastAsia="zh-CN"/>
        </w:rPr>
        <w:t>对拟议的设计变更单进行评估，以</w:t>
      </w:r>
      <w:r w:rsidR="00312439">
        <w:rPr>
          <w:rFonts w:hint="eastAsia"/>
          <w:lang w:eastAsia="zh-CN"/>
        </w:rPr>
        <w:t>评定</w:t>
      </w:r>
      <w:r w:rsidR="00312439" w:rsidRPr="00312439">
        <w:rPr>
          <w:rFonts w:hint="eastAsia"/>
          <w:lang w:eastAsia="zh-CN"/>
        </w:rPr>
        <w:t>所有间接费用（包括建筑师费用、建筑管理顾问费用、总承包商费用等）、</w:t>
      </w:r>
      <w:proofErr w:type="gramStart"/>
      <w:r w:rsidR="00312439" w:rsidRPr="00312439">
        <w:rPr>
          <w:rFonts w:hint="eastAsia"/>
          <w:lang w:eastAsia="zh-CN"/>
        </w:rPr>
        <w:t>所有净直接费用以及对项目进度的影响</w:t>
      </w:r>
      <w:r w:rsidR="00312439">
        <w:rPr>
          <w:rFonts w:hint="eastAsia"/>
          <w:lang w:eastAsia="zh-CN"/>
        </w:rPr>
        <w:t>；</w:t>
      </w:r>
      <w:proofErr w:type="gramEnd"/>
    </w:p>
    <w:p w14:paraId="5B943E71" w14:textId="64C8D423" w:rsidR="00512A43" w:rsidRPr="00466F48" w:rsidRDefault="00B17147" w:rsidP="00A6199B">
      <w:pPr>
        <w:pStyle w:val="enumlev1"/>
        <w:rPr>
          <w:lang w:eastAsia="zh-CN"/>
        </w:rPr>
      </w:pPr>
      <w:bookmarkStart w:id="9" w:name="lt_pId040"/>
      <w:r w:rsidRPr="00466F48">
        <w:rPr>
          <w:lang w:eastAsia="zh-CN"/>
        </w:rPr>
        <w:t>‒</w:t>
      </w:r>
      <w:r w:rsidRPr="00466F48">
        <w:rPr>
          <w:lang w:eastAsia="zh-CN"/>
        </w:rPr>
        <w:tab/>
      </w:r>
      <w:bookmarkEnd w:id="9"/>
      <w:r w:rsidR="00312439" w:rsidRPr="00312439">
        <w:rPr>
          <w:rFonts w:hint="eastAsia"/>
          <w:lang w:eastAsia="zh-CN"/>
        </w:rPr>
        <w:t>潜在赞助商同意支付所有这些增加的直接和间接项目</w:t>
      </w:r>
      <w:r w:rsidR="00911FEC">
        <w:rPr>
          <w:rFonts w:hint="eastAsia"/>
          <w:lang w:eastAsia="zh-CN"/>
        </w:rPr>
        <w:t>费用</w:t>
      </w:r>
      <w:r w:rsidR="00312439" w:rsidRPr="00312439">
        <w:rPr>
          <w:rFonts w:hint="eastAsia"/>
          <w:lang w:eastAsia="zh-CN"/>
        </w:rPr>
        <w:t>，作为其赞助或捐赠的一部分；</w:t>
      </w:r>
      <w:r w:rsidR="00911FEC">
        <w:rPr>
          <w:rFonts w:hint="eastAsia"/>
          <w:lang w:eastAsia="zh-CN"/>
        </w:rPr>
        <w:t>且</w:t>
      </w:r>
    </w:p>
    <w:p w14:paraId="612C63CB" w14:textId="72B91E71" w:rsidR="00512A43" w:rsidRDefault="00B17147" w:rsidP="00A6199B">
      <w:pPr>
        <w:pStyle w:val="enumlev1"/>
        <w:rPr>
          <w:lang w:eastAsia="zh-CN"/>
        </w:rPr>
      </w:pPr>
      <w:bookmarkStart w:id="10" w:name="lt_pId042"/>
      <w:r w:rsidRPr="00312439">
        <w:rPr>
          <w:lang w:eastAsia="zh-CN"/>
        </w:rPr>
        <w:t>‒</w:t>
      </w:r>
      <w:r w:rsidRPr="00312439">
        <w:rPr>
          <w:lang w:eastAsia="zh-CN"/>
        </w:rPr>
        <w:tab/>
      </w:r>
      <w:bookmarkEnd w:id="10"/>
      <w:r w:rsidR="00911FEC">
        <w:rPr>
          <w:rFonts w:hint="eastAsia"/>
          <w:lang w:eastAsia="zh-CN"/>
        </w:rPr>
        <w:t>由</w:t>
      </w:r>
      <w:r w:rsidR="00911FEC" w:rsidRPr="00911FEC">
        <w:rPr>
          <w:rFonts w:hint="eastAsia"/>
          <w:lang w:eastAsia="zh-CN"/>
        </w:rPr>
        <w:t>BPD</w:t>
      </w:r>
      <w:r w:rsidR="00911FEC" w:rsidRPr="00911FEC">
        <w:rPr>
          <w:rFonts w:hint="eastAsia"/>
          <w:lang w:eastAsia="zh-CN"/>
        </w:rPr>
        <w:t>确定</w:t>
      </w:r>
      <w:r w:rsidR="00911FEC">
        <w:rPr>
          <w:rFonts w:hint="eastAsia"/>
          <w:lang w:eastAsia="zh-CN"/>
        </w:rPr>
        <w:t>有关</w:t>
      </w:r>
      <w:r w:rsidR="00911FEC" w:rsidRPr="00911FEC">
        <w:rPr>
          <w:rFonts w:hint="eastAsia"/>
          <w:lang w:eastAsia="zh-CN"/>
        </w:rPr>
        <w:t>赞助或捐赠不会造成项目的进一步延误</w:t>
      </w:r>
      <w:r w:rsidR="00911FEC">
        <w:rPr>
          <w:rFonts w:hint="eastAsia"/>
          <w:lang w:eastAsia="zh-CN"/>
        </w:rPr>
        <w:t>。</w:t>
      </w:r>
    </w:p>
    <w:p w14:paraId="42D1C332" w14:textId="77777777" w:rsidR="00A6199B" w:rsidRPr="00312439" w:rsidRDefault="00A6199B" w:rsidP="00A6199B">
      <w:pPr>
        <w:pStyle w:val="enumlev1"/>
        <w:rPr>
          <w:lang w:eastAsia="zh-CN"/>
        </w:rPr>
      </w:pPr>
    </w:p>
    <w:p w14:paraId="7EFD4E6A" w14:textId="77777777" w:rsidR="00512A43" w:rsidRPr="005A26F5" w:rsidRDefault="00512A43" w:rsidP="00512A43">
      <w:pPr>
        <w:tabs>
          <w:tab w:val="left" w:pos="720"/>
        </w:tabs>
        <w:spacing w:after="120"/>
        <w:ind w:left="720"/>
        <w:contextualSpacing/>
        <w:jc w:val="center"/>
        <w:rPr>
          <w:rFonts w:cs="Calibri"/>
          <w:szCs w:val="24"/>
          <w:lang w:eastAsia="zh-CN"/>
        </w:rPr>
      </w:pPr>
      <w:r w:rsidRPr="005A26F5">
        <w:rPr>
          <w:rFonts w:cstheme="minorHAnsi"/>
          <w:lang w:eastAsia="zh-CN"/>
        </w:rPr>
        <w:t>_______________</w:t>
      </w:r>
    </w:p>
    <w:sectPr w:rsidR="00512A43" w:rsidRPr="005A26F5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F283" w14:textId="77777777" w:rsidR="00B1631C" w:rsidRDefault="00B1631C">
      <w:r>
        <w:separator/>
      </w:r>
    </w:p>
  </w:endnote>
  <w:endnote w:type="continuationSeparator" w:id="0">
    <w:p w14:paraId="7B1C9605" w14:textId="77777777" w:rsidR="00B1631C" w:rsidRDefault="00B1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50B1" w14:textId="34984254" w:rsidR="00B40A53" w:rsidRPr="004E4BFF" w:rsidRDefault="0023413C" w:rsidP="00F705DF">
    <w:pPr>
      <w:pStyle w:val="Footer"/>
    </w:pPr>
    <w:r w:rsidRPr="00513530">
      <w:rPr>
        <w:color w:val="F2F2F2" w:themeColor="background1" w:themeShade="F2"/>
      </w:rPr>
      <w:fldChar w:fldCharType="begin"/>
    </w:r>
    <w:r w:rsidRPr="00513530">
      <w:rPr>
        <w:color w:val="F2F2F2" w:themeColor="background1" w:themeShade="F2"/>
      </w:rPr>
      <w:instrText xml:space="preserve"> FILENAME \p  \* MERGEFORMAT </w:instrText>
    </w:r>
    <w:r w:rsidRPr="00513530">
      <w:rPr>
        <w:color w:val="F2F2F2" w:themeColor="background1" w:themeShade="F2"/>
      </w:rPr>
      <w:fldChar w:fldCharType="separate"/>
    </w:r>
    <w:r w:rsidR="00A6199B" w:rsidRPr="00513530">
      <w:rPr>
        <w:color w:val="F2F2F2" w:themeColor="background1" w:themeShade="F2"/>
      </w:rPr>
      <w:t>P:\CHI\SG\CONSEIL\C21\000\081</w:t>
    </w:r>
    <w:r w:rsidR="0079552C" w:rsidRPr="00513530">
      <w:rPr>
        <w:rFonts w:hint="eastAsia"/>
        <w:color w:val="F2F2F2" w:themeColor="background1" w:themeShade="F2"/>
        <w:lang w:eastAsia="zh-CN"/>
      </w:rPr>
      <w:t>V2</w:t>
    </w:r>
    <w:r w:rsidR="00A6199B" w:rsidRPr="00513530">
      <w:rPr>
        <w:color w:val="F2F2F2" w:themeColor="background1" w:themeShade="F2"/>
      </w:rPr>
      <w:t>C.docx</w:t>
    </w:r>
    <w:r w:rsidRPr="00513530">
      <w:rPr>
        <w:color w:val="F2F2F2" w:themeColor="background1" w:themeShade="F2"/>
      </w:rPr>
      <w:fldChar w:fldCharType="end"/>
    </w:r>
    <w:r w:rsidR="004E4BFF" w:rsidRPr="00513530">
      <w:rPr>
        <w:color w:val="F2F2F2" w:themeColor="background1" w:themeShade="F2"/>
      </w:rPr>
      <w:t xml:space="preserve"> (</w:t>
    </w:r>
    <w:r w:rsidR="00512A43" w:rsidRPr="00513530">
      <w:rPr>
        <w:color w:val="F2F2F2" w:themeColor="background1" w:themeShade="F2"/>
      </w:rPr>
      <w:t>489529</w:t>
    </w:r>
    <w:r w:rsidR="004E4BFF" w:rsidRPr="00513530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7E07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58FB" w14:textId="77777777" w:rsidR="00B1631C" w:rsidRDefault="00B1631C">
      <w:r>
        <w:t>____________________</w:t>
      </w:r>
    </w:p>
  </w:footnote>
  <w:footnote w:type="continuationSeparator" w:id="0">
    <w:p w14:paraId="430077A8" w14:textId="77777777" w:rsidR="00B1631C" w:rsidRDefault="00B1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867E" w14:textId="02E61193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3413C">
      <w:rPr>
        <w:noProof/>
      </w:rPr>
      <w:t>2</w:t>
    </w:r>
    <w:r>
      <w:rPr>
        <w:noProof/>
      </w:rPr>
      <w:fldChar w:fldCharType="end"/>
    </w:r>
  </w:p>
  <w:p w14:paraId="522F693D" w14:textId="77777777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512A43">
      <w:rPr>
        <w:lang w:eastAsia="zh-CN"/>
      </w:rPr>
      <w:t>81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7847BD"/>
    <w:multiLevelType w:val="hybridMultilevel"/>
    <w:tmpl w:val="BD945BE0"/>
    <w:lvl w:ilvl="0" w:tplc="42E260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4D52A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47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2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0A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AC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41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41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68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E38B1"/>
    <w:multiLevelType w:val="multilevel"/>
    <w:tmpl w:val="0D70F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1C"/>
    <w:rsid w:val="00001B77"/>
    <w:rsid w:val="0000517A"/>
    <w:rsid w:val="00031E72"/>
    <w:rsid w:val="000404D2"/>
    <w:rsid w:val="000853C0"/>
    <w:rsid w:val="00093C92"/>
    <w:rsid w:val="0009409E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3413C"/>
    <w:rsid w:val="00280EB8"/>
    <w:rsid w:val="002A6670"/>
    <w:rsid w:val="00303502"/>
    <w:rsid w:val="00312439"/>
    <w:rsid w:val="00313763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12A43"/>
    <w:rsid w:val="00513530"/>
    <w:rsid w:val="005151E9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764D2"/>
    <w:rsid w:val="007813AE"/>
    <w:rsid w:val="0079552C"/>
    <w:rsid w:val="007A37DB"/>
    <w:rsid w:val="007E189D"/>
    <w:rsid w:val="00811259"/>
    <w:rsid w:val="00813AA2"/>
    <w:rsid w:val="008173A3"/>
    <w:rsid w:val="008418F5"/>
    <w:rsid w:val="00846878"/>
    <w:rsid w:val="0086059C"/>
    <w:rsid w:val="00864589"/>
    <w:rsid w:val="00890AFB"/>
    <w:rsid w:val="00890FC4"/>
    <w:rsid w:val="00895905"/>
    <w:rsid w:val="00911867"/>
    <w:rsid w:val="00911FEC"/>
    <w:rsid w:val="009164A9"/>
    <w:rsid w:val="009258CB"/>
    <w:rsid w:val="0093362E"/>
    <w:rsid w:val="00944563"/>
    <w:rsid w:val="00952B24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46C22"/>
    <w:rsid w:val="00A5354B"/>
    <w:rsid w:val="00A6199B"/>
    <w:rsid w:val="00A71B57"/>
    <w:rsid w:val="00AB42C1"/>
    <w:rsid w:val="00AC2A92"/>
    <w:rsid w:val="00AC516F"/>
    <w:rsid w:val="00AE2926"/>
    <w:rsid w:val="00B0184B"/>
    <w:rsid w:val="00B035CD"/>
    <w:rsid w:val="00B0769D"/>
    <w:rsid w:val="00B1631C"/>
    <w:rsid w:val="00B17147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0502A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FBD36A3"/>
  <w15:docId w15:val="{5B109497-5126-4BC2-9885-C29C4DB4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titre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aliases w:val="titre Char"/>
    <w:basedOn w:val="DefaultParagraphFont"/>
    <w:link w:val="ListParagraph"/>
    <w:uiPriority w:val="34"/>
    <w:locked/>
    <w:rsid w:val="00512A43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CFD8-A468-44E1-8B0B-7CCF3F9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1</TotalTime>
  <Pages>2</Pages>
  <Words>764</Words>
  <Characters>257</Characters>
  <Application>Microsoft Office Word</Application>
  <DocSecurity>4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United States of America, Canada, Mexico and Argentina - Alternative to C21/77 revision of Decision 619</dc:title>
  <dc:subject>Council 2021, Virtual consultation of councillors</dc:subject>
  <dc:creator>Tang, Ting</dc:creator>
  <cp:keywords>C2021, C21, VCC, C21-VCC-1</cp:keywords>
  <dc:description/>
  <cp:lastModifiedBy>Xue, Kun</cp:lastModifiedBy>
  <cp:revision>2</cp:revision>
  <cp:lastPrinted>2015-02-24T13:23:00Z</cp:lastPrinted>
  <dcterms:created xsi:type="dcterms:W3CDTF">2021-05-28T14:09:00Z</dcterms:created>
  <dcterms:modified xsi:type="dcterms:W3CDTF">2021-05-28T14:09:00Z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