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852D0" w14:paraId="7CED0DD8" w14:textId="77777777">
        <w:trPr>
          <w:cantSplit/>
        </w:trPr>
        <w:tc>
          <w:tcPr>
            <w:tcW w:w="6912" w:type="dxa"/>
          </w:tcPr>
          <w:p w14:paraId="29C3A6B5" w14:textId="77777777" w:rsidR="00520F36" w:rsidRPr="001852D0" w:rsidRDefault="00520F36" w:rsidP="009A5A2A">
            <w:pPr>
              <w:spacing w:before="360"/>
            </w:pPr>
            <w:bookmarkStart w:id="0" w:name="dc06"/>
            <w:bookmarkEnd w:id="0"/>
            <w:r w:rsidRPr="001852D0">
              <w:rPr>
                <w:b/>
                <w:bCs/>
                <w:sz w:val="30"/>
                <w:szCs w:val="30"/>
              </w:rPr>
              <w:t>Conseil 20</w:t>
            </w:r>
            <w:r w:rsidR="009C353C" w:rsidRPr="001852D0">
              <w:rPr>
                <w:b/>
                <w:bCs/>
                <w:sz w:val="30"/>
                <w:szCs w:val="30"/>
              </w:rPr>
              <w:t>2</w:t>
            </w:r>
            <w:r w:rsidR="004D1D50" w:rsidRPr="001852D0">
              <w:rPr>
                <w:b/>
                <w:bCs/>
                <w:sz w:val="30"/>
                <w:szCs w:val="30"/>
              </w:rPr>
              <w:t>1</w:t>
            </w:r>
            <w:r w:rsidRPr="001852D0">
              <w:rPr>
                <w:rFonts w:ascii="Verdana" w:hAnsi="Verdana"/>
                <w:b/>
                <w:bCs/>
                <w:sz w:val="26"/>
                <w:szCs w:val="26"/>
              </w:rPr>
              <w:br/>
            </w:r>
            <w:r w:rsidR="004D1D50" w:rsidRPr="001852D0">
              <w:rPr>
                <w:b/>
                <w:bCs/>
                <w:sz w:val="28"/>
                <w:szCs w:val="28"/>
              </w:rPr>
              <w:t>Consultation virtuelle des Conseillers</w:t>
            </w:r>
            <w:r w:rsidRPr="001852D0">
              <w:rPr>
                <w:b/>
                <w:bCs/>
                <w:sz w:val="28"/>
                <w:szCs w:val="28"/>
              </w:rPr>
              <w:t xml:space="preserve">, </w:t>
            </w:r>
            <w:r w:rsidR="004D1D50" w:rsidRPr="001852D0">
              <w:rPr>
                <w:b/>
                <w:bCs/>
                <w:sz w:val="28"/>
                <w:szCs w:val="28"/>
              </w:rPr>
              <w:t>8</w:t>
            </w:r>
            <w:r w:rsidRPr="001852D0">
              <w:rPr>
                <w:b/>
                <w:bCs/>
                <w:sz w:val="28"/>
                <w:szCs w:val="28"/>
              </w:rPr>
              <w:t>-</w:t>
            </w:r>
            <w:r w:rsidR="009C353C" w:rsidRPr="001852D0">
              <w:rPr>
                <w:b/>
                <w:bCs/>
                <w:sz w:val="28"/>
                <w:szCs w:val="28"/>
              </w:rPr>
              <w:t>1</w:t>
            </w:r>
            <w:r w:rsidR="004D1D50" w:rsidRPr="001852D0">
              <w:rPr>
                <w:b/>
                <w:bCs/>
                <w:sz w:val="28"/>
                <w:szCs w:val="28"/>
              </w:rPr>
              <w:t>8</w:t>
            </w:r>
            <w:r w:rsidR="00106B19" w:rsidRPr="001852D0">
              <w:rPr>
                <w:b/>
                <w:bCs/>
                <w:sz w:val="28"/>
                <w:szCs w:val="28"/>
              </w:rPr>
              <w:t xml:space="preserve"> juin</w:t>
            </w:r>
            <w:r w:rsidRPr="001852D0">
              <w:rPr>
                <w:b/>
                <w:bCs/>
                <w:sz w:val="28"/>
                <w:szCs w:val="28"/>
              </w:rPr>
              <w:t xml:space="preserve"> 20</w:t>
            </w:r>
            <w:r w:rsidR="009C353C" w:rsidRPr="001852D0">
              <w:rPr>
                <w:b/>
                <w:bCs/>
                <w:sz w:val="28"/>
                <w:szCs w:val="28"/>
              </w:rPr>
              <w:t>2</w:t>
            </w:r>
            <w:r w:rsidR="004D1D50" w:rsidRPr="001852D0">
              <w:rPr>
                <w:b/>
                <w:bCs/>
                <w:sz w:val="28"/>
                <w:szCs w:val="28"/>
              </w:rPr>
              <w:t>1</w:t>
            </w:r>
          </w:p>
        </w:tc>
        <w:tc>
          <w:tcPr>
            <w:tcW w:w="3261" w:type="dxa"/>
          </w:tcPr>
          <w:p w14:paraId="51DF41D3" w14:textId="77777777" w:rsidR="00520F36" w:rsidRPr="001852D0" w:rsidRDefault="009C353C" w:rsidP="009A5A2A">
            <w:pPr>
              <w:spacing w:before="0"/>
            </w:pPr>
            <w:bookmarkStart w:id="1" w:name="ditulogo"/>
            <w:bookmarkEnd w:id="1"/>
            <w:r w:rsidRPr="001852D0">
              <w:rPr>
                <w:noProof/>
                <w:lang w:eastAsia="fr-FR"/>
              </w:rPr>
              <w:drawing>
                <wp:inline distT="0" distB="0" distL="0" distR="0" wp14:anchorId="54CED503" wp14:editId="1DCEC0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852D0" w14:paraId="4E0B2261" w14:textId="77777777" w:rsidTr="00EF41DD">
        <w:trPr>
          <w:cantSplit/>
          <w:trHeight w:val="20"/>
        </w:trPr>
        <w:tc>
          <w:tcPr>
            <w:tcW w:w="6912" w:type="dxa"/>
            <w:tcBorders>
              <w:bottom w:val="single" w:sz="12" w:space="0" w:color="auto"/>
            </w:tcBorders>
            <w:vAlign w:val="center"/>
          </w:tcPr>
          <w:p w14:paraId="2D3921A3" w14:textId="77777777" w:rsidR="00520F36" w:rsidRPr="001852D0" w:rsidRDefault="00520F36" w:rsidP="009A5A2A">
            <w:pPr>
              <w:spacing w:before="0"/>
              <w:rPr>
                <w:b/>
                <w:bCs/>
                <w:sz w:val="26"/>
                <w:szCs w:val="26"/>
              </w:rPr>
            </w:pPr>
          </w:p>
        </w:tc>
        <w:tc>
          <w:tcPr>
            <w:tcW w:w="3261" w:type="dxa"/>
            <w:tcBorders>
              <w:bottom w:val="single" w:sz="12" w:space="0" w:color="auto"/>
            </w:tcBorders>
          </w:tcPr>
          <w:p w14:paraId="03CC41F6" w14:textId="77777777" w:rsidR="00520F36" w:rsidRPr="001852D0" w:rsidRDefault="00520F36" w:rsidP="009A5A2A">
            <w:pPr>
              <w:spacing w:before="0"/>
              <w:rPr>
                <w:b/>
                <w:bCs/>
              </w:rPr>
            </w:pPr>
          </w:p>
        </w:tc>
      </w:tr>
      <w:tr w:rsidR="00520F36" w:rsidRPr="001852D0" w14:paraId="08A1F1CD" w14:textId="77777777">
        <w:trPr>
          <w:cantSplit/>
          <w:trHeight w:val="20"/>
        </w:trPr>
        <w:tc>
          <w:tcPr>
            <w:tcW w:w="6912" w:type="dxa"/>
            <w:tcBorders>
              <w:top w:val="single" w:sz="12" w:space="0" w:color="auto"/>
            </w:tcBorders>
          </w:tcPr>
          <w:p w14:paraId="1C32BCEE" w14:textId="77777777" w:rsidR="00520F36" w:rsidRPr="001852D0" w:rsidRDefault="00520F36" w:rsidP="009A5A2A">
            <w:pPr>
              <w:spacing w:before="0"/>
              <w:rPr>
                <w:smallCaps/>
                <w:sz w:val="22"/>
              </w:rPr>
            </w:pPr>
          </w:p>
        </w:tc>
        <w:tc>
          <w:tcPr>
            <w:tcW w:w="3261" w:type="dxa"/>
            <w:tcBorders>
              <w:top w:val="single" w:sz="12" w:space="0" w:color="auto"/>
            </w:tcBorders>
          </w:tcPr>
          <w:p w14:paraId="6186BA32" w14:textId="77777777" w:rsidR="00520F36" w:rsidRPr="001852D0" w:rsidRDefault="00520F36" w:rsidP="009A5A2A">
            <w:pPr>
              <w:spacing w:before="0"/>
              <w:rPr>
                <w:b/>
                <w:bCs/>
              </w:rPr>
            </w:pPr>
          </w:p>
        </w:tc>
      </w:tr>
      <w:tr w:rsidR="00520F36" w:rsidRPr="001852D0" w14:paraId="41FB2AB5" w14:textId="77777777">
        <w:trPr>
          <w:cantSplit/>
          <w:trHeight w:val="20"/>
        </w:trPr>
        <w:tc>
          <w:tcPr>
            <w:tcW w:w="6912" w:type="dxa"/>
            <w:vMerge w:val="restart"/>
          </w:tcPr>
          <w:p w14:paraId="47C5EC96" w14:textId="7D84EF2F" w:rsidR="00520F36" w:rsidRPr="001852D0" w:rsidRDefault="004C5F34" w:rsidP="009A5A2A">
            <w:pPr>
              <w:spacing w:before="0"/>
              <w:rPr>
                <w:rFonts w:cs="Times"/>
                <w:b/>
                <w:bCs/>
                <w:szCs w:val="24"/>
              </w:rPr>
            </w:pPr>
            <w:bookmarkStart w:id="2" w:name="dnum" w:colFirst="1" w:colLast="1"/>
            <w:bookmarkStart w:id="3" w:name="dmeeting" w:colFirst="0" w:colLast="0"/>
            <w:r w:rsidRPr="001852D0">
              <w:rPr>
                <w:rFonts w:cs="Times"/>
                <w:b/>
                <w:bCs/>
                <w:szCs w:val="24"/>
              </w:rPr>
              <w:t xml:space="preserve">Point de l'ordre de </w:t>
            </w:r>
            <w:proofErr w:type="gramStart"/>
            <w:r w:rsidRPr="001852D0">
              <w:rPr>
                <w:rFonts w:cs="Times"/>
                <w:b/>
                <w:bCs/>
                <w:szCs w:val="24"/>
              </w:rPr>
              <w:t>jour:</w:t>
            </w:r>
            <w:proofErr w:type="gramEnd"/>
            <w:r w:rsidRPr="001852D0">
              <w:rPr>
                <w:rFonts w:cs="Times"/>
                <w:b/>
                <w:bCs/>
                <w:szCs w:val="24"/>
              </w:rPr>
              <w:t xml:space="preserve"> </w:t>
            </w:r>
            <w:r w:rsidR="008E3186">
              <w:rPr>
                <w:rFonts w:cs="Times"/>
                <w:b/>
                <w:bCs/>
                <w:szCs w:val="24"/>
              </w:rPr>
              <w:t>PL 3.2</w:t>
            </w:r>
          </w:p>
        </w:tc>
        <w:tc>
          <w:tcPr>
            <w:tcW w:w="3261" w:type="dxa"/>
          </w:tcPr>
          <w:p w14:paraId="0F12094B" w14:textId="5F8F1AC6" w:rsidR="00520F36" w:rsidRPr="001852D0" w:rsidRDefault="00520F36" w:rsidP="009A5A2A">
            <w:pPr>
              <w:spacing w:before="0"/>
              <w:rPr>
                <w:b/>
                <w:bCs/>
              </w:rPr>
            </w:pPr>
            <w:r w:rsidRPr="001852D0">
              <w:rPr>
                <w:b/>
                <w:bCs/>
              </w:rPr>
              <w:t>Document C</w:t>
            </w:r>
            <w:r w:rsidR="009C353C" w:rsidRPr="001852D0">
              <w:rPr>
                <w:b/>
                <w:bCs/>
              </w:rPr>
              <w:t>2</w:t>
            </w:r>
            <w:r w:rsidR="004D1D50" w:rsidRPr="001852D0">
              <w:rPr>
                <w:b/>
                <w:bCs/>
              </w:rPr>
              <w:t>1</w:t>
            </w:r>
            <w:r w:rsidRPr="001852D0">
              <w:rPr>
                <w:b/>
                <w:bCs/>
              </w:rPr>
              <w:t>/</w:t>
            </w:r>
            <w:r w:rsidR="008E3186">
              <w:rPr>
                <w:b/>
                <w:bCs/>
              </w:rPr>
              <w:t>80</w:t>
            </w:r>
            <w:r w:rsidRPr="001852D0">
              <w:rPr>
                <w:b/>
                <w:bCs/>
              </w:rPr>
              <w:t>-F</w:t>
            </w:r>
          </w:p>
        </w:tc>
      </w:tr>
      <w:tr w:rsidR="00520F36" w:rsidRPr="001852D0" w14:paraId="70B6C267" w14:textId="77777777">
        <w:trPr>
          <w:cantSplit/>
          <w:trHeight w:val="20"/>
        </w:trPr>
        <w:tc>
          <w:tcPr>
            <w:tcW w:w="6912" w:type="dxa"/>
            <w:vMerge/>
          </w:tcPr>
          <w:p w14:paraId="5BA23EE3" w14:textId="77777777" w:rsidR="00520F36" w:rsidRPr="001852D0" w:rsidRDefault="00520F36" w:rsidP="009A5A2A">
            <w:pPr>
              <w:shd w:val="solid" w:color="FFFFFF" w:fill="FFFFFF"/>
              <w:spacing w:before="180"/>
              <w:rPr>
                <w:smallCaps/>
              </w:rPr>
            </w:pPr>
            <w:bookmarkStart w:id="4" w:name="ddate" w:colFirst="1" w:colLast="1"/>
            <w:bookmarkEnd w:id="2"/>
            <w:bookmarkEnd w:id="3"/>
          </w:p>
        </w:tc>
        <w:tc>
          <w:tcPr>
            <w:tcW w:w="3261" w:type="dxa"/>
          </w:tcPr>
          <w:p w14:paraId="7A538232" w14:textId="341163F7" w:rsidR="00520F36" w:rsidRPr="001852D0" w:rsidRDefault="008E3186" w:rsidP="009A5A2A">
            <w:pPr>
              <w:spacing w:before="0"/>
              <w:rPr>
                <w:b/>
                <w:bCs/>
              </w:rPr>
            </w:pPr>
            <w:r>
              <w:rPr>
                <w:b/>
                <w:bCs/>
              </w:rPr>
              <w:t>25 mai</w:t>
            </w:r>
            <w:r w:rsidR="00520F36" w:rsidRPr="001852D0">
              <w:rPr>
                <w:b/>
                <w:bCs/>
              </w:rPr>
              <w:t xml:space="preserve"> 20</w:t>
            </w:r>
            <w:r w:rsidR="009C353C" w:rsidRPr="001852D0">
              <w:rPr>
                <w:b/>
                <w:bCs/>
              </w:rPr>
              <w:t>2</w:t>
            </w:r>
            <w:r w:rsidR="004C5F34" w:rsidRPr="001852D0">
              <w:rPr>
                <w:b/>
                <w:bCs/>
              </w:rPr>
              <w:t>1</w:t>
            </w:r>
          </w:p>
        </w:tc>
      </w:tr>
      <w:tr w:rsidR="00520F36" w:rsidRPr="001852D0" w14:paraId="4F7D8A5E" w14:textId="77777777">
        <w:trPr>
          <w:cantSplit/>
          <w:trHeight w:val="20"/>
        </w:trPr>
        <w:tc>
          <w:tcPr>
            <w:tcW w:w="6912" w:type="dxa"/>
            <w:vMerge/>
          </w:tcPr>
          <w:p w14:paraId="2E4CEE91" w14:textId="77777777" w:rsidR="00520F36" w:rsidRPr="001852D0" w:rsidRDefault="00520F36" w:rsidP="009A5A2A">
            <w:pPr>
              <w:shd w:val="solid" w:color="FFFFFF" w:fill="FFFFFF"/>
              <w:spacing w:before="180"/>
              <w:rPr>
                <w:smallCaps/>
              </w:rPr>
            </w:pPr>
            <w:bookmarkStart w:id="5" w:name="dorlang" w:colFirst="1" w:colLast="1"/>
            <w:bookmarkEnd w:id="4"/>
          </w:p>
        </w:tc>
        <w:tc>
          <w:tcPr>
            <w:tcW w:w="3261" w:type="dxa"/>
          </w:tcPr>
          <w:p w14:paraId="586901F9" w14:textId="3186A887" w:rsidR="00520F36" w:rsidRPr="001852D0" w:rsidRDefault="00520F36" w:rsidP="009A5A2A">
            <w:pPr>
              <w:spacing w:before="0"/>
              <w:rPr>
                <w:b/>
                <w:bCs/>
              </w:rPr>
            </w:pPr>
            <w:proofErr w:type="gramStart"/>
            <w:r w:rsidRPr="001852D0">
              <w:rPr>
                <w:b/>
                <w:bCs/>
              </w:rPr>
              <w:t>Original:</w:t>
            </w:r>
            <w:proofErr w:type="gramEnd"/>
            <w:r w:rsidRPr="001852D0">
              <w:rPr>
                <w:b/>
                <w:bCs/>
              </w:rPr>
              <w:t xml:space="preserve"> </w:t>
            </w:r>
            <w:r w:rsidR="0062292D">
              <w:rPr>
                <w:b/>
                <w:bCs/>
              </w:rPr>
              <w:t>français</w:t>
            </w:r>
          </w:p>
        </w:tc>
      </w:tr>
      <w:tr w:rsidR="00520F36" w:rsidRPr="001852D0" w14:paraId="0341D911" w14:textId="77777777">
        <w:trPr>
          <w:cantSplit/>
        </w:trPr>
        <w:tc>
          <w:tcPr>
            <w:tcW w:w="10173" w:type="dxa"/>
            <w:gridSpan w:val="2"/>
          </w:tcPr>
          <w:p w14:paraId="1E321AFB" w14:textId="5C222B1B" w:rsidR="00520F36" w:rsidRPr="001852D0" w:rsidRDefault="008E3186" w:rsidP="009A5A2A">
            <w:pPr>
              <w:pStyle w:val="Source"/>
            </w:pPr>
            <w:bookmarkStart w:id="6" w:name="dsource" w:colFirst="0" w:colLast="0"/>
            <w:bookmarkEnd w:id="5"/>
            <w:r>
              <w:t>Contribution de la Tunisie</w:t>
            </w:r>
          </w:p>
        </w:tc>
      </w:tr>
      <w:tr w:rsidR="00520F36" w:rsidRPr="001852D0" w14:paraId="4681D5E0" w14:textId="77777777">
        <w:trPr>
          <w:cantSplit/>
        </w:trPr>
        <w:tc>
          <w:tcPr>
            <w:tcW w:w="10173" w:type="dxa"/>
            <w:gridSpan w:val="2"/>
          </w:tcPr>
          <w:p w14:paraId="10311867" w14:textId="5505ADCF" w:rsidR="00520F36" w:rsidRPr="001852D0" w:rsidRDefault="008E3186" w:rsidP="009A5A2A">
            <w:pPr>
              <w:pStyle w:val="Title1"/>
            </w:pPr>
            <w:bookmarkStart w:id="7" w:name="dtitle1" w:colFirst="0" w:colLast="0"/>
            <w:bookmarkEnd w:id="6"/>
            <w:r w:rsidRPr="008E3186">
              <w:t xml:space="preserve">MISE EN ŒUVRE DE LA RÉSOLUTION 131 (RÉV. DUBAÏ, 2018) </w:t>
            </w:r>
            <w:r>
              <w:br/>
            </w:r>
            <w:r w:rsidRPr="008E3186">
              <w:t>DE LA CONFÉRENCE DE PLÉNIPOTENTIAIRES</w:t>
            </w:r>
          </w:p>
        </w:tc>
      </w:tr>
      <w:bookmarkEnd w:id="7"/>
    </w:tbl>
    <w:p w14:paraId="7DF6D487" w14:textId="77777777" w:rsidR="00520F36" w:rsidRPr="001852D0" w:rsidRDefault="00520F36" w:rsidP="009A5A2A">
      <w:pPr>
        <w:rPr>
          <w:sz w:val="2"/>
          <w:szCs w:val="2"/>
        </w:rPr>
      </w:pPr>
    </w:p>
    <w:p w14:paraId="7D0985D5" w14:textId="69802612" w:rsidR="008E3186" w:rsidRPr="0046605A" w:rsidRDefault="008E3186" w:rsidP="008E3186">
      <w:pPr>
        <w:spacing w:before="480"/>
      </w:pPr>
      <w:r w:rsidRPr="0046605A">
        <w:t>J'ai l'honneur de transmettre aux États Membres du Conseil une contribution soumise par l</w:t>
      </w:r>
      <w:r>
        <w:t xml:space="preserve">a </w:t>
      </w:r>
      <w:r w:rsidRPr="008E3186">
        <w:rPr>
          <w:b/>
          <w:bCs/>
        </w:rPr>
        <w:t>Tunisie</w:t>
      </w:r>
      <w:r w:rsidRPr="0046605A">
        <w:t>.</w:t>
      </w:r>
    </w:p>
    <w:p w14:paraId="71603D1A" w14:textId="77777777" w:rsidR="008E3186" w:rsidRPr="008E3186" w:rsidRDefault="008E3186" w:rsidP="008E3186">
      <w:pPr>
        <w:tabs>
          <w:tab w:val="clear" w:pos="567"/>
          <w:tab w:val="clear" w:pos="1134"/>
          <w:tab w:val="clear" w:pos="1701"/>
          <w:tab w:val="clear" w:pos="2268"/>
          <w:tab w:val="clear" w:pos="2835"/>
          <w:tab w:val="center" w:pos="6804"/>
        </w:tabs>
        <w:spacing w:before="840"/>
      </w:pPr>
      <w:r w:rsidRPr="008E3186">
        <w:tab/>
        <w:t>Houlin ZHAO</w:t>
      </w:r>
      <w:r w:rsidRPr="008E3186">
        <w:br/>
      </w:r>
      <w:r w:rsidRPr="008E3186">
        <w:tab/>
        <w:t>Secrétaire général</w:t>
      </w:r>
    </w:p>
    <w:p w14:paraId="3B1F2302" w14:textId="348EC48A" w:rsidR="008E3186" w:rsidRDefault="008E3186">
      <w:pPr>
        <w:tabs>
          <w:tab w:val="clear" w:pos="567"/>
          <w:tab w:val="clear" w:pos="1134"/>
          <w:tab w:val="clear" w:pos="1701"/>
          <w:tab w:val="clear" w:pos="2268"/>
          <w:tab w:val="clear" w:pos="2835"/>
        </w:tabs>
        <w:overflowPunct/>
        <w:autoSpaceDE/>
        <w:autoSpaceDN/>
        <w:adjustRightInd/>
        <w:spacing w:before="0"/>
        <w:textAlignment w:val="auto"/>
      </w:pPr>
      <w:r>
        <w:br w:type="page"/>
      </w:r>
    </w:p>
    <w:p w14:paraId="22BAC480" w14:textId="77777777" w:rsidR="008E3186" w:rsidRPr="008E3186" w:rsidRDefault="008E3186" w:rsidP="008E3186">
      <w:pPr>
        <w:jc w:val="center"/>
        <w:rPr>
          <w:b/>
          <w:bCs/>
          <w:sz w:val="28"/>
          <w:szCs w:val="28"/>
        </w:rPr>
      </w:pPr>
      <w:r w:rsidRPr="008E3186">
        <w:rPr>
          <w:b/>
          <w:bCs/>
          <w:sz w:val="28"/>
          <w:szCs w:val="28"/>
        </w:rPr>
        <w:lastRenderedPageBreak/>
        <w:t>Contribution de la Tunisie</w:t>
      </w:r>
    </w:p>
    <w:p w14:paraId="6416C08A" w14:textId="4F2935F2" w:rsidR="008E3186" w:rsidRDefault="008E3186" w:rsidP="005C6EEF">
      <w:pPr>
        <w:spacing w:after="240"/>
        <w:jc w:val="center"/>
        <w:rPr>
          <w:sz w:val="28"/>
          <w:szCs w:val="28"/>
        </w:rPr>
      </w:pPr>
      <w:r w:rsidRPr="008E3186">
        <w:rPr>
          <w:sz w:val="28"/>
          <w:szCs w:val="28"/>
        </w:rPr>
        <w:t xml:space="preserve">MISE EN ŒUVRE DE LA RÉSOLUTION 131 (RÉV. DUBAÏ, 2018) </w:t>
      </w:r>
      <w:r>
        <w:rPr>
          <w:sz w:val="28"/>
          <w:szCs w:val="28"/>
        </w:rPr>
        <w:br/>
      </w:r>
      <w:r w:rsidRPr="008E3186">
        <w:rPr>
          <w:sz w:val="28"/>
          <w:szCs w:val="28"/>
        </w:rPr>
        <w:t>DE LA CONFÉRENCE DE PLÉNIPOTENTIAIRES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C6EEF" w:rsidRPr="0046605A" w14:paraId="2B6DAD1E" w14:textId="77777777" w:rsidTr="005E54EB">
        <w:trPr>
          <w:trHeight w:val="2303"/>
        </w:trPr>
        <w:tc>
          <w:tcPr>
            <w:tcW w:w="8080" w:type="dxa"/>
            <w:tcBorders>
              <w:top w:val="single" w:sz="12" w:space="0" w:color="auto"/>
              <w:left w:val="single" w:sz="12" w:space="0" w:color="auto"/>
              <w:bottom w:val="single" w:sz="12" w:space="0" w:color="auto"/>
              <w:right w:val="single" w:sz="12" w:space="0" w:color="auto"/>
            </w:tcBorders>
          </w:tcPr>
          <w:p w14:paraId="2B5E0BA0" w14:textId="77777777" w:rsidR="005C6EEF" w:rsidRPr="005C6EEF" w:rsidRDefault="005C6EEF" w:rsidP="002D3304">
            <w:pPr>
              <w:pStyle w:val="Headingb"/>
              <w:spacing w:before="120" w:after="120"/>
            </w:pPr>
            <w:r w:rsidRPr="005C6EEF">
              <w:t>Résumé</w:t>
            </w:r>
          </w:p>
          <w:p w14:paraId="51F0C52D" w14:textId="4ABFF3FC" w:rsidR="005C6EEF" w:rsidRPr="0046605A" w:rsidRDefault="00FB641A" w:rsidP="002D3304">
            <w:pPr>
              <w:spacing w:after="120"/>
              <w:jc w:val="both"/>
            </w:pPr>
            <w:r>
              <w:t xml:space="preserve">Ce présent </w:t>
            </w:r>
            <w:r w:rsidR="002F294C">
              <w:t xml:space="preserve">rapport propose la révision du nouvel indice de développement des TIC et </w:t>
            </w:r>
            <w:r>
              <w:t xml:space="preserve">propose </w:t>
            </w:r>
            <w:r w:rsidR="002F294C">
              <w:t xml:space="preserve">la considération de nouveaux indicateurs en vue de mettre en œuvre la </w:t>
            </w:r>
            <w:r w:rsidR="002D3304">
              <w:t>R</w:t>
            </w:r>
            <w:r w:rsidR="002F294C">
              <w:t xml:space="preserve">ésolution 131 </w:t>
            </w:r>
            <w:r w:rsidR="002F294C" w:rsidRPr="002F294C">
              <w:t>(Rév. Dubaï, 2018)</w:t>
            </w:r>
            <w:r w:rsidR="002F294C">
              <w:t>.</w:t>
            </w:r>
          </w:p>
          <w:p w14:paraId="1CC93733" w14:textId="77777777" w:rsidR="005C6EEF" w:rsidRPr="005C6EEF" w:rsidRDefault="005C6EEF" w:rsidP="002D3304">
            <w:pPr>
              <w:pStyle w:val="Headingb"/>
              <w:spacing w:before="120" w:after="120"/>
            </w:pPr>
            <w:r w:rsidRPr="005C6EEF">
              <w:t>Suite à donner</w:t>
            </w:r>
          </w:p>
          <w:p w14:paraId="34D213F0" w14:textId="4CF356A2" w:rsidR="005C6EEF" w:rsidRDefault="00FB641A" w:rsidP="002D3304">
            <w:pPr>
              <w:spacing w:after="120"/>
            </w:pPr>
            <w:r>
              <w:t xml:space="preserve">Le Conseil est invité à </w:t>
            </w:r>
            <w:r w:rsidRPr="002D3304">
              <w:rPr>
                <w:b/>
                <w:bCs/>
              </w:rPr>
              <w:t>prendre notre</w:t>
            </w:r>
            <w:r>
              <w:t xml:space="preserve"> de ce </w:t>
            </w:r>
            <w:r w:rsidR="002F294C">
              <w:t>présent rapport</w:t>
            </w:r>
            <w:r>
              <w:t>.</w:t>
            </w:r>
          </w:p>
          <w:p w14:paraId="2E6236FB" w14:textId="77777777" w:rsidR="005C6EEF" w:rsidRDefault="005C6EEF" w:rsidP="002D3304">
            <w:pPr>
              <w:spacing w:after="120"/>
            </w:pPr>
            <w:r>
              <w:t>___________</w:t>
            </w:r>
          </w:p>
          <w:p w14:paraId="66D9CC95" w14:textId="77777777" w:rsidR="005C6EEF" w:rsidRDefault="005C6EEF" w:rsidP="002D3304">
            <w:pPr>
              <w:spacing w:after="120"/>
              <w:rPr>
                <w:b/>
                <w:bCs/>
              </w:rPr>
            </w:pPr>
            <w:r w:rsidRPr="005C6EEF">
              <w:rPr>
                <w:b/>
                <w:bCs/>
              </w:rPr>
              <w:t>Références</w:t>
            </w:r>
          </w:p>
          <w:p w14:paraId="6E576FEC" w14:textId="398F7549" w:rsidR="005C6EEF" w:rsidRPr="00FB641A" w:rsidRDefault="0062292D" w:rsidP="002D3304">
            <w:pPr>
              <w:spacing w:after="120"/>
              <w:jc w:val="both"/>
              <w:rPr>
                <w:szCs w:val="24"/>
              </w:rPr>
            </w:pPr>
            <w:hyperlink r:id="rId8" w:history="1">
              <w:r w:rsidR="00FB641A" w:rsidRPr="008E3186">
                <w:rPr>
                  <w:rStyle w:val="Hyperlink"/>
                  <w:szCs w:val="24"/>
                </w:rPr>
                <w:t>Résolution 131 (Rév. Dubaï, 2018)</w:t>
              </w:r>
            </w:hyperlink>
            <w:r w:rsidR="00FB641A" w:rsidRPr="00433F57">
              <w:rPr>
                <w:szCs w:val="24"/>
              </w:rPr>
              <w:t xml:space="preserve"> de la Conférence de plénipotentiaires</w:t>
            </w:r>
          </w:p>
        </w:tc>
      </w:tr>
    </w:tbl>
    <w:p w14:paraId="0E63950F" w14:textId="16A11E96" w:rsidR="008E3186" w:rsidRPr="00CC0FA2" w:rsidRDefault="008E3186" w:rsidP="008E3186">
      <w:pPr>
        <w:pStyle w:val="Headingb"/>
        <w:keepNext w:val="0"/>
        <w:keepLines w:val="0"/>
        <w:widowControl w:val="0"/>
        <w:spacing w:before="600" w:after="120"/>
        <w:jc w:val="both"/>
      </w:pPr>
      <w:r w:rsidRPr="00CC0FA2">
        <w:t>Observations relatives au Document</w:t>
      </w:r>
      <w:r w:rsidRPr="0056028B">
        <w:rPr>
          <w:bCs/>
        </w:rPr>
        <w:t xml:space="preserve"> </w:t>
      </w:r>
      <w:hyperlink r:id="rId9" w:history="1">
        <w:r w:rsidRPr="008E3186">
          <w:rPr>
            <w:rStyle w:val="Hyperlink"/>
            <w:bCs/>
          </w:rPr>
          <w:t>C21/62</w:t>
        </w:r>
      </w:hyperlink>
    </w:p>
    <w:p w14:paraId="1D5A2982" w14:textId="77777777" w:rsidR="008E3186" w:rsidRPr="00C358F0" w:rsidRDefault="008E3186" w:rsidP="008E3186">
      <w:pPr>
        <w:pStyle w:val="Headingb"/>
        <w:spacing w:before="240"/>
        <w:jc w:val="both"/>
        <w:rPr>
          <w:bCs/>
          <w:lang w:eastAsia="zh-CN"/>
        </w:rPr>
      </w:pPr>
      <w:r w:rsidRPr="00C358F0">
        <w:rPr>
          <w:lang w:eastAsia="zh-CN"/>
        </w:rPr>
        <w:t>Considérations générales</w:t>
      </w:r>
    </w:p>
    <w:p w14:paraId="26F71787" w14:textId="77777777" w:rsidR="008E3186" w:rsidRPr="00C358F0" w:rsidRDefault="008E3186" w:rsidP="008E3186">
      <w:pPr>
        <w:widowControl w:val="0"/>
        <w:spacing w:after="120"/>
        <w:jc w:val="both"/>
        <w:rPr>
          <w:szCs w:val="24"/>
          <w:lang w:eastAsia="zh-CN"/>
        </w:rPr>
      </w:pPr>
      <w:r w:rsidRPr="00C358F0">
        <w:rPr>
          <w:szCs w:val="24"/>
          <w:lang w:eastAsia="zh-CN"/>
        </w:rPr>
        <w:t>Entre 2009 et 2017, l</w:t>
      </w:r>
      <w:r>
        <w:rPr>
          <w:szCs w:val="24"/>
          <w:lang w:eastAsia="zh-CN"/>
        </w:rPr>
        <w:t>'</w:t>
      </w:r>
      <w:r w:rsidRPr="00C358F0">
        <w:rPr>
          <w:szCs w:val="24"/>
          <w:lang w:eastAsia="zh-CN"/>
        </w:rPr>
        <w:t>Union internationale des télécommunications a publié l</w:t>
      </w:r>
      <w:r>
        <w:rPr>
          <w:szCs w:val="24"/>
          <w:lang w:eastAsia="zh-CN"/>
        </w:rPr>
        <w:t>'</w:t>
      </w:r>
      <w:r w:rsidRPr="00C358F0">
        <w:rPr>
          <w:szCs w:val="24"/>
          <w:lang w:eastAsia="zh-CN"/>
        </w:rPr>
        <w:t xml:space="preserve">Indice de développement des TIC (IDI), qui est considéré comme un </w:t>
      </w:r>
      <w:r w:rsidRPr="0056028B">
        <w:t>indice composite permettant d'éval</w:t>
      </w:r>
      <w:r>
        <w:t>uer l'état de développement des</w:t>
      </w:r>
      <w:r w:rsidRPr="00C358F0">
        <w:rPr>
          <w:szCs w:val="24"/>
          <w:lang w:eastAsia="zh-CN"/>
        </w:rPr>
        <w:t xml:space="preserve"> technologies de l</w:t>
      </w:r>
      <w:r>
        <w:rPr>
          <w:szCs w:val="24"/>
          <w:lang w:eastAsia="zh-CN"/>
        </w:rPr>
        <w:t>'</w:t>
      </w:r>
      <w:r w:rsidRPr="00C358F0">
        <w:rPr>
          <w:szCs w:val="24"/>
          <w:lang w:eastAsia="zh-CN"/>
        </w:rPr>
        <w:t>information et des télécommunications (TIC</w:t>
      </w:r>
      <w:r>
        <w:rPr>
          <w:szCs w:val="24"/>
          <w:lang w:eastAsia="zh-CN"/>
        </w:rPr>
        <w:t>)</w:t>
      </w:r>
      <w:r>
        <w:t>.</w:t>
      </w:r>
    </w:p>
    <w:p w14:paraId="704E4B77" w14:textId="4D58B435" w:rsidR="008E3186" w:rsidRPr="00C701F3" w:rsidRDefault="008E3186" w:rsidP="008E3186">
      <w:pPr>
        <w:widowControl w:val="0"/>
        <w:spacing w:after="120"/>
        <w:jc w:val="both"/>
        <w:rPr>
          <w:szCs w:val="24"/>
          <w:lang w:val="fr-CH" w:eastAsia="zh-CN"/>
        </w:rPr>
      </w:pPr>
      <w:r w:rsidRPr="00C701F3">
        <w:rPr>
          <w:szCs w:val="24"/>
          <w:lang w:val="fr-CH" w:eastAsia="zh-CN"/>
        </w:rPr>
        <w:t>Compte tenu du développement des technologies, les États Membres ont jugé nécessaire de mettre à jour l'indice, de telle sorte que le nouvel indice soit adapté aux évolutions actuelles.</w:t>
      </w:r>
      <w:r w:rsidRPr="00C701F3">
        <w:rPr>
          <w:lang w:val="fr-CH"/>
        </w:rPr>
        <w:t xml:space="preserve"> </w:t>
      </w:r>
      <w:r w:rsidRPr="00C701F3">
        <w:rPr>
          <w:szCs w:val="24"/>
          <w:lang w:val="fr-CH" w:eastAsia="zh-CN"/>
        </w:rPr>
        <w:t>Ainsi, un nouvel indice IDI révisé a été proposé à l’issue des travaux des équipes d’experts chargées EGTI et EGH</w:t>
      </w:r>
      <w:r>
        <w:rPr>
          <w:szCs w:val="24"/>
          <w:lang w:val="fr-CH" w:eastAsia="zh-CN"/>
        </w:rPr>
        <w:t xml:space="preserve"> </w:t>
      </w:r>
      <w:r w:rsidRPr="00C701F3">
        <w:rPr>
          <w:szCs w:val="24"/>
          <w:lang w:val="fr-CH" w:eastAsia="zh-CN"/>
        </w:rPr>
        <w:t xml:space="preserve">menés pendant la période 2016-2018, proposant un sous-ensemble de nouveaux indicateurs ; cependant, </w:t>
      </w:r>
      <w:r w:rsidRPr="00C701F3">
        <w:rPr>
          <w:lang w:val="fr-CH" w:eastAsia="zh-CN"/>
        </w:rPr>
        <w:t xml:space="preserve">des problèmes liés à la collecte des données, à la qualité des données et au choix des nouveaux indicateurs ont empêché la publication de l’indice révisé en 2018 et 2019. </w:t>
      </w:r>
    </w:p>
    <w:p w14:paraId="06B201A1" w14:textId="77777777" w:rsidR="008E3186" w:rsidRPr="00C701F3" w:rsidRDefault="008E3186" w:rsidP="008E3186">
      <w:pPr>
        <w:widowControl w:val="0"/>
        <w:spacing w:after="120"/>
        <w:jc w:val="both"/>
        <w:rPr>
          <w:lang w:val="fr-CH"/>
        </w:rPr>
      </w:pPr>
      <w:r w:rsidRPr="00C701F3">
        <w:rPr>
          <w:lang w:val="fr-CH"/>
        </w:rPr>
        <w:t xml:space="preserve">Compte tenu des conclusions de la première consultation virtuelle des conseillers, tenue en Juin 2020, et dans la mesure où les Groupes </w:t>
      </w:r>
      <w:hyperlink r:id="rId10" w:history="1">
        <w:r w:rsidRPr="00C701F3">
          <w:rPr>
            <w:lang w:val="fr-CH"/>
          </w:rPr>
          <w:t>EGTI</w:t>
        </w:r>
      </w:hyperlink>
      <w:r w:rsidRPr="00C701F3">
        <w:rPr>
          <w:lang w:val="fr-CH"/>
        </w:rPr>
        <w:t xml:space="preserve"> et </w:t>
      </w:r>
      <w:hyperlink r:id="rId11" w:history="1">
        <w:r w:rsidRPr="00C701F3">
          <w:rPr>
            <w:lang w:val="fr-CH"/>
          </w:rPr>
          <w:t>EGH</w:t>
        </w:r>
      </w:hyperlink>
      <w:r w:rsidRPr="00C701F3">
        <w:rPr>
          <w:lang w:val="fr-CH"/>
        </w:rPr>
        <w:t xml:space="preserve"> devaient tenir leurs réunions annuelles en septembre 2020, l’UIT a présenté un nouveau indice IDI de 2020 pour examen dans le cadre d'une réunion conjointe des Groupes avec pour objectif de résoudre uniquement les problèmes ayant empêché le calcul de l'indice IDI révisé. </w:t>
      </w:r>
    </w:p>
    <w:p w14:paraId="75F53874" w14:textId="77777777" w:rsidR="008E3186" w:rsidRDefault="008E3186" w:rsidP="008E3186">
      <w:pPr>
        <w:widowControl w:val="0"/>
        <w:spacing w:after="120"/>
        <w:jc w:val="both"/>
        <w:rPr>
          <w:rFonts w:eastAsia="Calibri"/>
        </w:rPr>
      </w:pPr>
      <w:r>
        <w:rPr>
          <w:rFonts w:eastAsia="Calibri"/>
        </w:rPr>
        <w:t>A</w:t>
      </w:r>
      <w:r w:rsidRPr="0056028B">
        <w:rPr>
          <w:rFonts w:eastAsia="Calibri"/>
        </w:rPr>
        <w:t xml:space="preserve">ux termes de la Résolution 131, </w:t>
      </w:r>
      <w:r>
        <w:rPr>
          <w:rFonts w:eastAsia="Calibri"/>
        </w:rPr>
        <w:t>l’UIT</w:t>
      </w:r>
      <w:r w:rsidRPr="0056028B">
        <w:rPr>
          <w:rFonts w:eastAsia="Calibri"/>
        </w:rPr>
        <w:t xml:space="preserve"> est chargée de publier l'indice IDI chaque année, sur la base d'une méthode élaborée et approuvée par le</w:t>
      </w:r>
      <w:r>
        <w:rPr>
          <w:rFonts w:eastAsia="Calibri"/>
        </w:rPr>
        <w:t>s</w:t>
      </w:r>
      <w:r w:rsidRPr="0056028B">
        <w:rPr>
          <w:rFonts w:eastAsia="Calibri"/>
        </w:rPr>
        <w:t xml:space="preserve"> groupe</w:t>
      </w:r>
      <w:r>
        <w:rPr>
          <w:rFonts w:eastAsia="Calibri"/>
        </w:rPr>
        <w:t>s</w:t>
      </w:r>
      <w:r w:rsidRPr="0056028B">
        <w:rPr>
          <w:rFonts w:eastAsia="Calibri"/>
        </w:rPr>
        <w:t xml:space="preserve"> d'experts, et de veiller à ce que les statistiques de l'UIT reposent sur des méthodes fiables, transparentes et scientifiquement </w:t>
      </w:r>
      <w:r>
        <w:rPr>
          <w:rFonts w:eastAsia="Calibri"/>
        </w:rPr>
        <w:t>a</w:t>
      </w:r>
      <w:r w:rsidRPr="0056028B">
        <w:rPr>
          <w:rFonts w:eastAsia="Calibri"/>
        </w:rPr>
        <w:t xml:space="preserve">pprouvées visant à refléter l'état du développement des TIC. </w:t>
      </w:r>
    </w:p>
    <w:p w14:paraId="00E150E3" w14:textId="40FFE0A4" w:rsidR="002F294C" w:rsidRDefault="008E3186" w:rsidP="008E3186">
      <w:pPr>
        <w:widowControl w:val="0"/>
        <w:spacing w:after="120"/>
        <w:jc w:val="both"/>
      </w:pPr>
      <w:r>
        <w:rPr>
          <w:szCs w:val="24"/>
          <w:lang w:eastAsia="zh-CN"/>
        </w:rPr>
        <w:t>Malgré les efforts consentis, l'UIT n’a pas publié l’</w:t>
      </w:r>
      <w:r w:rsidRPr="00C358F0">
        <w:rPr>
          <w:szCs w:val="24"/>
          <w:lang w:eastAsia="zh-CN"/>
        </w:rPr>
        <w:t xml:space="preserve">indice IDI </w:t>
      </w:r>
      <w:r>
        <w:rPr>
          <w:szCs w:val="24"/>
          <w:lang w:eastAsia="zh-CN"/>
        </w:rPr>
        <w:t>pour trois années consécutives (de 2018 à 2020) en raison d’absence de consensus au sein des</w:t>
      </w:r>
      <w:r>
        <w:t xml:space="preserve"> Groupes EGTI et EGH au </w:t>
      </w:r>
      <w:r w:rsidRPr="0056028B">
        <w:t xml:space="preserve">sujet de la méthodologie à </w:t>
      </w:r>
      <w:r>
        <w:t>adopter</w:t>
      </w:r>
      <w:r w:rsidRPr="0056028B">
        <w:t xml:space="preserve"> aux fins de l'indice de développement des TIC et du processus d'élaboration de cette méthodologie. </w:t>
      </w:r>
    </w:p>
    <w:p w14:paraId="6748B706" w14:textId="77777777" w:rsidR="008E3186" w:rsidRPr="007E37CC" w:rsidRDefault="008E3186" w:rsidP="008E3186">
      <w:pPr>
        <w:widowControl w:val="0"/>
        <w:spacing w:before="480" w:after="120"/>
        <w:jc w:val="both"/>
        <w:rPr>
          <w:b/>
          <w:bCs/>
        </w:rPr>
      </w:pPr>
      <w:r w:rsidRPr="007E37CC">
        <w:rPr>
          <w:b/>
          <w:bCs/>
        </w:rPr>
        <w:lastRenderedPageBreak/>
        <w:t>Proposition</w:t>
      </w:r>
    </w:p>
    <w:p w14:paraId="6BA23C71" w14:textId="054F4013" w:rsidR="008E3186" w:rsidRDefault="008E3186" w:rsidP="008E3186">
      <w:pPr>
        <w:widowControl w:val="0"/>
        <w:spacing w:after="120"/>
        <w:jc w:val="both"/>
      </w:pPr>
      <w:r>
        <w:t>La Tunisie appuie le nouvel indice proposé IDI 2020 et propose sa révision en ajoutant les indicateurs suivants au niveau de ce nouvel indice</w:t>
      </w:r>
      <w:r w:rsidR="002F294C">
        <w:t xml:space="preserve"> </w:t>
      </w:r>
      <w:r>
        <w:t>:</w:t>
      </w:r>
    </w:p>
    <w:p w14:paraId="49F59E08" w14:textId="77777777" w:rsidR="008E3186" w:rsidRPr="003D6881" w:rsidRDefault="008E3186" w:rsidP="008E3186">
      <w:pPr>
        <w:widowControl w:val="0"/>
        <w:spacing w:after="120"/>
        <w:jc w:val="both"/>
        <w:rPr>
          <w:szCs w:val="24"/>
          <w:lang w:eastAsia="zh-CN"/>
        </w:rPr>
      </w:pPr>
      <w:r>
        <w:rPr>
          <w:szCs w:val="24"/>
          <w:lang w:eastAsia="zh-CN"/>
        </w:rPr>
        <w:t>- L’i</w:t>
      </w:r>
      <w:r w:rsidRPr="003D6881">
        <w:rPr>
          <w:szCs w:val="24"/>
          <w:lang w:eastAsia="zh-CN"/>
        </w:rPr>
        <w:t xml:space="preserve">ndicateur </w:t>
      </w:r>
      <w:r>
        <w:rPr>
          <w:szCs w:val="24"/>
          <w:lang w:eastAsia="zh-CN"/>
        </w:rPr>
        <w:t>« P</w:t>
      </w:r>
      <w:r w:rsidRPr="003D6881">
        <w:rPr>
          <w:szCs w:val="24"/>
          <w:lang w:eastAsia="zh-CN"/>
        </w:rPr>
        <w:t>ourcentage de possession d’un smartphone/tablette par habitant</w:t>
      </w:r>
      <w:r>
        <w:rPr>
          <w:szCs w:val="24"/>
          <w:lang w:eastAsia="zh-CN"/>
        </w:rPr>
        <w:t> » dans la partie accès</w:t>
      </w:r>
      <w:r w:rsidRPr="003D6881">
        <w:rPr>
          <w:szCs w:val="24"/>
          <w:lang w:eastAsia="zh-CN"/>
        </w:rPr>
        <w:t>, étant donné que la plupart des connexions à internet aujourd’hui se font à l’aide d’une connexion mobile. Et étant donné que l’indicateur relatif au pourcentage de ménages ayant un ordinateur ne reflète pas à lui seul le pourcentage de la population qui dispose des moyens pour accéder à internet.</w:t>
      </w:r>
    </w:p>
    <w:p w14:paraId="6EBC70CB" w14:textId="77777777" w:rsidR="008E3186" w:rsidRDefault="008E3186" w:rsidP="008E3186">
      <w:pPr>
        <w:widowControl w:val="0"/>
        <w:spacing w:after="120"/>
        <w:jc w:val="both"/>
        <w:rPr>
          <w:szCs w:val="24"/>
          <w:lang w:eastAsia="zh-CN"/>
        </w:rPr>
      </w:pPr>
      <w:r>
        <w:rPr>
          <w:szCs w:val="24"/>
          <w:lang w:eastAsia="zh-CN"/>
        </w:rPr>
        <w:t>- L’i</w:t>
      </w:r>
      <w:r w:rsidRPr="003D6881">
        <w:rPr>
          <w:szCs w:val="24"/>
          <w:lang w:eastAsia="zh-CN"/>
        </w:rPr>
        <w:t xml:space="preserve">ndicateur </w:t>
      </w:r>
      <w:r>
        <w:rPr>
          <w:szCs w:val="24"/>
          <w:lang w:eastAsia="zh-CN"/>
        </w:rPr>
        <w:t>« T</w:t>
      </w:r>
      <w:r w:rsidRPr="003D6881">
        <w:rPr>
          <w:szCs w:val="24"/>
          <w:lang w:eastAsia="zh-CN"/>
        </w:rPr>
        <w:t>rafic sur l’inte</w:t>
      </w:r>
      <w:r>
        <w:rPr>
          <w:szCs w:val="24"/>
          <w:lang w:eastAsia="zh-CN"/>
        </w:rPr>
        <w:t>rnet fixe haut débit par abonné » dans la partie utilisation, et</w:t>
      </w:r>
      <w:r w:rsidRPr="003D6881">
        <w:rPr>
          <w:szCs w:val="24"/>
          <w:lang w:eastAsia="zh-CN"/>
        </w:rPr>
        <w:t xml:space="preserve"> ce pour refléter le niveau de consommation de l’internet, et aussi étant donné que le trafic sur l’internet mobile haut débit est déjà demandé.</w:t>
      </w:r>
    </w:p>
    <w:p w14:paraId="4E401E6C" w14:textId="4A3B02E1" w:rsidR="008E3186" w:rsidRDefault="008E3186" w:rsidP="008E3186">
      <w:pPr>
        <w:widowControl w:val="0"/>
        <w:spacing w:after="120"/>
        <w:jc w:val="both"/>
        <w:rPr>
          <w:szCs w:val="24"/>
          <w:lang w:eastAsia="zh-CN"/>
        </w:rPr>
      </w:pPr>
      <w:r>
        <w:rPr>
          <w:szCs w:val="24"/>
          <w:lang w:eastAsia="zh-CN"/>
        </w:rPr>
        <w:t xml:space="preserve">- Les </w:t>
      </w:r>
      <w:r w:rsidRPr="003D6881">
        <w:rPr>
          <w:szCs w:val="24"/>
          <w:lang w:eastAsia="zh-CN"/>
        </w:rPr>
        <w:t>indicateur</w:t>
      </w:r>
      <w:r>
        <w:rPr>
          <w:szCs w:val="24"/>
          <w:lang w:eastAsia="zh-CN"/>
        </w:rPr>
        <w:t>s</w:t>
      </w:r>
      <w:r w:rsidRPr="003D6881">
        <w:rPr>
          <w:szCs w:val="24"/>
          <w:lang w:eastAsia="zh-CN"/>
        </w:rPr>
        <w:t xml:space="preserve"> </w:t>
      </w:r>
      <w:r>
        <w:rPr>
          <w:szCs w:val="24"/>
          <w:lang w:eastAsia="zh-CN"/>
        </w:rPr>
        <w:t xml:space="preserve">« Taux </w:t>
      </w:r>
      <w:r w:rsidRPr="003D6881">
        <w:rPr>
          <w:szCs w:val="24"/>
          <w:lang w:eastAsia="zh-CN"/>
        </w:rPr>
        <w:t xml:space="preserve">d’usage des services </w:t>
      </w:r>
      <w:proofErr w:type="spellStart"/>
      <w:r w:rsidRPr="003D6881">
        <w:rPr>
          <w:szCs w:val="24"/>
          <w:lang w:eastAsia="zh-CN"/>
        </w:rPr>
        <w:t>OTT</w:t>
      </w:r>
      <w:r>
        <w:rPr>
          <w:szCs w:val="24"/>
          <w:lang w:eastAsia="zh-CN"/>
        </w:rPr>
        <w:t>’s</w:t>
      </w:r>
      <w:proofErr w:type="spellEnd"/>
      <w:r>
        <w:rPr>
          <w:szCs w:val="24"/>
          <w:lang w:eastAsia="zh-CN"/>
        </w:rPr>
        <w:t xml:space="preserve"> » et « Taux </w:t>
      </w:r>
      <w:r w:rsidRPr="003D6881">
        <w:rPr>
          <w:szCs w:val="24"/>
          <w:lang w:eastAsia="zh-CN"/>
        </w:rPr>
        <w:t>d’usage de l’internet des objets</w:t>
      </w:r>
      <w:r>
        <w:rPr>
          <w:szCs w:val="24"/>
          <w:lang w:eastAsia="zh-CN"/>
        </w:rPr>
        <w:t xml:space="preserve"> (IoT) </w:t>
      </w:r>
      <w:r w:rsidRPr="002F294C">
        <w:rPr>
          <w:szCs w:val="24"/>
          <w:lang w:eastAsia="zh-CN"/>
        </w:rPr>
        <w:t>»</w:t>
      </w:r>
      <w:r>
        <w:rPr>
          <w:szCs w:val="24"/>
          <w:lang w:eastAsia="zh-CN"/>
        </w:rPr>
        <w:t xml:space="preserve"> </w:t>
      </w:r>
      <w:r w:rsidRPr="003D6881">
        <w:rPr>
          <w:szCs w:val="24"/>
          <w:lang w:eastAsia="zh-CN"/>
        </w:rPr>
        <w:t xml:space="preserve">dans la partie utilisation </w:t>
      </w:r>
      <w:r>
        <w:rPr>
          <w:szCs w:val="24"/>
          <w:lang w:eastAsia="zh-CN"/>
        </w:rPr>
        <w:t xml:space="preserve">visant à </w:t>
      </w:r>
      <w:r w:rsidRPr="003D6881">
        <w:rPr>
          <w:szCs w:val="24"/>
          <w:lang w:eastAsia="zh-CN"/>
        </w:rPr>
        <w:t>étudier les incidences économiques et sociales.</w:t>
      </w:r>
    </w:p>
    <w:p w14:paraId="0CDBE6AF" w14:textId="77777777" w:rsidR="008E3186" w:rsidRPr="00C358F0" w:rsidRDefault="008E3186" w:rsidP="008E3186">
      <w:pPr>
        <w:pStyle w:val="Headingb"/>
        <w:spacing w:before="360"/>
        <w:jc w:val="both"/>
        <w:rPr>
          <w:lang w:eastAsia="zh-CN"/>
        </w:rPr>
      </w:pPr>
      <w:r>
        <w:rPr>
          <w:lang w:eastAsia="zh-CN"/>
        </w:rPr>
        <w:t>Démarche proposée</w:t>
      </w:r>
    </w:p>
    <w:p w14:paraId="6B2D8C0E" w14:textId="66BD227F" w:rsidR="008E3186" w:rsidRDefault="008E3186" w:rsidP="008E3186">
      <w:pPr>
        <w:widowControl w:val="0"/>
        <w:spacing w:after="120"/>
        <w:jc w:val="both"/>
        <w:rPr>
          <w:szCs w:val="24"/>
          <w:lang w:eastAsia="zh-CN"/>
        </w:rPr>
      </w:pPr>
      <w:r>
        <w:rPr>
          <w:szCs w:val="24"/>
          <w:lang w:eastAsia="zh-CN"/>
        </w:rPr>
        <w:t xml:space="preserve">Compte tenu de ce qui précède et en absence de consensus </w:t>
      </w:r>
      <w:r w:rsidRPr="0056028B">
        <w:t>au sein d</w:t>
      </w:r>
      <w:r>
        <w:t>es</w:t>
      </w:r>
      <w:r w:rsidRPr="0056028B">
        <w:t xml:space="preserve"> groupe</w:t>
      </w:r>
      <w:r>
        <w:t>s</w:t>
      </w:r>
      <w:r w:rsidRPr="0056028B">
        <w:t xml:space="preserve"> d'experts</w:t>
      </w:r>
      <w:r w:rsidRPr="0056028B">
        <w:rPr>
          <w:rFonts w:eastAsia="Calibri"/>
        </w:rPr>
        <w:t xml:space="preserve"> concernant l'indice IDI de 2020</w:t>
      </w:r>
      <w:r>
        <w:rPr>
          <w:rFonts w:eastAsia="Calibri"/>
        </w:rPr>
        <w:t xml:space="preserve"> et sa publication,</w:t>
      </w:r>
      <w:r>
        <w:rPr>
          <w:szCs w:val="24"/>
          <w:lang w:eastAsia="zh-CN"/>
        </w:rPr>
        <w:t xml:space="preserve"> il est proposé de</w:t>
      </w:r>
      <w:r w:rsidR="002F294C">
        <w:rPr>
          <w:szCs w:val="24"/>
          <w:lang w:eastAsia="zh-CN"/>
        </w:rPr>
        <w:t xml:space="preserve"> </w:t>
      </w:r>
      <w:r>
        <w:rPr>
          <w:szCs w:val="24"/>
          <w:lang w:eastAsia="zh-CN"/>
        </w:rPr>
        <w:t>:</w:t>
      </w:r>
    </w:p>
    <w:p w14:paraId="4D62F609" w14:textId="77777777" w:rsidR="008E3186" w:rsidRDefault="008E3186" w:rsidP="008E3186">
      <w:pPr>
        <w:pStyle w:val="ListParagraph"/>
        <w:widowControl w:val="0"/>
        <w:numPr>
          <w:ilvl w:val="0"/>
          <w:numId w:val="1"/>
        </w:numPr>
        <w:spacing w:after="120" w:line="240" w:lineRule="auto"/>
        <w:contextualSpacing w:val="0"/>
        <w:rPr>
          <w:szCs w:val="24"/>
          <w:lang w:eastAsia="zh-CN"/>
        </w:rPr>
      </w:pPr>
      <w:r>
        <w:rPr>
          <w:szCs w:val="24"/>
          <w:lang w:eastAsia="zh-CN"/>
        </w:rPr>
        <w:t>R</w:t>
      </w:r>
      <w:r w:rsidRPr="00B45260">
        <w:rPr>
          <w:szCs w:val="24"/>
          <w:lang w:eastAsia="zh-CN"/>
        </w:rPr>
        <w:t xml:space="preserve">établir la diffusion et la publication </w:t>
      </w:r>
      <w:r>
        <w:rPr>
          <w:szCs w:val="24"/>
          <w:lang w:eastAsia="zh-CN"/>
        </w:rPr>
        <w:t xml:space="preserve">de </w:t>
      </w:r>
      <w:r w:rsidRPr="00B45260">
        <w:rPr>
          <w:szCs w:val="24"/>
          <w:lang w:eastAsia="zh-CN"/>
        </w:rPr>
        <w:t xml:space="preserve">l'indice IDI </w:t>
      </w:r>
      <w:r>
        <w:rPr>
          <w:szCs w:val="24"/>
          <w:lang w:eastAsia="zh-CN"/>
        </w:rPr>
        <w:t xml:space="preserve">pour les années 2018, 2019 et 2020 </w:t>
      </w:r>
      <w:r w:rsidRPr="001B41EF">
        <w:rPr>
          <w:szCs w:val="24"/>
          <w:lang w:eastAsia="zh-CN"/>
        </w:rPr>
        <w:t xml:space="preserve">selon </w:t>
      </w:r>
      <w:r>
        <w:rPr>
          <w:szCs w:val="24"/>
          <w:lang w:eastAsia="zh-CN"/>
        </w:rPr>
        <w:t>la méthodologie initiale</w:t>
      </w:r>
      <w:r w:rsidRPr="001B41EF">
        <w:rPr>
          <w:szCs w:val="24"/>
          <w:lang w:eastAsia="zh-CN"/>
        </w:rPr>
        <w:t xml:space="preserve"> de l’IDI</w:t>
      </w:r>
      <w:r>
        <w:rPr>
          <w:szCs w:val="24"/>
          <w:lang w:eastAsia="zh-CN"/>
        </w:rPr>
        <w:t xml:space="preserve">, </w:t>
      </w:r>
      <w:r w:rsidRPr="001B41EF">
        <w:rPr>
          <w:szCs w:val="24"/>
          <w:lang w:eastAsia="zh-CN"/>
        </w:rPr>
        <w:t>et continuer sa publication pour les an</w:t>
      </w:r>
      <w:r>
        <w:rPr>
          <w:szCs w:val="24"/>
          <w:lang w:eastAsia="zh-CN"/>
        </w:rPr>
        <w:t>nées à venir selon cette méthodologie</w:t>
      </w:r>
      <w:r w:rsidRPr="001B41EF">
        <w:rPr>
          <w:szCs w:val="24"/>
          <w:lang w:eastAsia="zh-CN"/>
        </w:rPr>
        <w:t xml:space="preserve"> tant que la nouvelle approche n’a pas encore été approuvée.</w:t>
      </w:r>
    </w:p>
    <w:p w14:paraId="6885A856" w14:textId="77777777" w:rsidR="008E3186" w:rsidRPr="00AF647B" w:rsidRDefault="008E3186" w:rsidP="008E3186">
      <w:pPr>
        <w:pStyle w:val="ListParagraph"/>
        <w:widowControl w:val="0"/>
        <w:numPr>
          <w:ilvl w:val="0"/>
          <w:numId w:val="1"/>
        </w:numPr>
        <w:spacing w:before="120" w:after="120" w:line="240" w:lineRule="auto"/>
        <w:ind w:left="714" w:hanging="357"/>
        <w:contextualSpacing w:val="0"/>
        <w:rPr>
          <w:szCs w:val="24"/>
          <w:lang w:eastAsia="zh-CN"/>
        </w:rPr>
      </w:pPr>
      <w:r>
        <w:rPr>
          <w:szCs w:val="24"/>
          <w:lang w:eastAsia="zh-CN"/>
        </w:rPr>
        <w:t>P</w:t>
      </w:r>
      <w:r w:rsidRPr="00B45260">
        <w:rPr>
          <w:szCs w:val="24"/>
          <w:lang w:eastAsia="zh-CN"/>
        </w:rPr>
        <w:t>oursuivre les travaux relatifs au nouvel indice dans le cadre des Groupes EGTI et EGH</w:t>
      </w:r>
      <w:r>
        <w:t xml:space="preserve"> et se convenir </w:t>
      </w:r>
      <w:r w:rsidRPr="001B41EF">
        <w:rPr>
          <w:szCs w:val="24"/>
          <w:lang w:eastAsia="zh-CN"/>
        </w:rPr>
        <w:t>sur les définitions exactes à adopter pour chacun des indicateurs proposés dans la nouvelle approche de calcul de l’IDI.</w:t>
      </w:r>
      <w:r w:rsidRPr="00FE197F">
        <w:rPr>
          <w:lang w:eastAsia="zh-CN"/>
        </w:rPr>
        <w:t xml:space="preserve"> Le nouvel indice pourra remplacer l'indice IDI </w:t>
      </w:r>
      <w:r>
        <w:rPr>
          <w:lang w:eastAsia="zh-CN"/>
        </w:rPr>
        <w:t xml:space="preserve">initial </w:t>
      </w:r>
      <w:r w:rsidRPr="00FE197F">
        <w:rPr>
          <w:lang w:eastAsia="zh-CN"/>
        </w:rPr>
        <w:t>dans le futur, sous réserve de la décision des États Membres de l'UIT.</w:t>
      </w:r>
    </w:p>
    <w:p w14:paraId="0BC91E9A" w14:textId="77777777" w:rsidR="002F294C" w:rsidRDefault="008E3186" w:rsidP="002F294C">
      <w:pPr>
        <w:pStyle w:val="ListParagraph"/>
        <w:widowControl w:val="0"/>
        <w:numPr>
          <w:ilvl w:val="0"/>
          <w:numId w:val="1"/>
        </w:numPr>
        <w:spacing w:before="120" w:after="120" w:line="240" w:lineRule="auto"/>
        <w:ind w:left="714" w:hanging="357"/>
        <w:contextualSpacing w:val="0"/>
        <w:rPr>
          <w:szCs w:val="24"/>
          <w:lang w:eastAsia="zh-CN"/>
        </w:rPr>
      </w:pPr>
      <w:r w:rsidRPr="00AF647B">
        <w:rPr>
          <w:szCs w:val="24"/>
          <w:lang w:eastAsia="zh-CN"/>
        </w:rPr>
        <w:t>Demander à tous les pays de fournir les indicateurs mentionnés dans la nouvelle méthode de calcul de l’IDI, et attendre d’avoir un taux de réponse suffisant pour commercer à publier l’IDI selon cette nouvelle approche.</w:t>
      </w:r>
    </w:p>
    <w:p w14:paraId="3694D5F0" w14:textId="3DA7BAFC" w:rsidR="008E3186" w:rsidRPr="002F294C" w:rsidRDefault="008E3186" w:rsidP="002D3304">
      <w:pPr>
        <w:pStyle w:val="ListParagraph"/>
        <w:widowControl w:val="0"/>
        <w:spacing w:before="840" w:line="240" w:lineRule="auto"/>
        <w:ind w:left="714"/>
        <w:contextualSpacing w:val="0"/>
        <w:jc w:val="center"/>
        <w:rPr>
          <w:szCs w:val="24"/>
          <w:lang w:eastAsia="zh-CN"/>
        </w:rPr>
      </w:pPr>
      <w:r w:rsidRPr="002F294C">
        <w:rPr>
          <w:szCs w:val="24"/>
        </w:rPr>
        <w:t>_________________</w:t>
      </w:r>
    </w:p>
    <w:sectPr w:rsidR="008E3186" w:rsidRPr="002F294C" w:rsidSect="005C3890">
      <w:headerReference w:type="even" r:id="rId12"/>
      <w:headerReference w:type="default" r:id="rId13"/>
      <w:footerReference w:type="even"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FBBF" w14:textId="77777777" w:rsidR="00642EE7" w:rsidRDefault="00642EE7">
      <w:r>
        <w:separator/>
      </w:r>
    </w:p>
  </w:endnote>
  <w:endnote w:type="continuationSeparator" w:id="0">
    <w:p w14:paraId="24307C58" w14:textId="77777777" w:rsidR="00642EE7" w:rsidRDefault="0064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84FA" w14:textId="634875DC" w:rsidR="00732045" w:rsidRDefault="0062292D">
    <w:pPr>
      <w:pStyle w:val="Footer"/>
    </w:pPr>
    <w:r>
      <w:fldChar w:fldCharType="begin"/>
    </w:r>
    <w:r>
      <w:instrText xml:space="preserve"> FILENAME \p \* MERGEFORMAT </w:instrText>
    </w:r>
    <w:r>
      <w:fldChar w:fldCharType="separate"/>
    </w:r>
    <w:r w:rsidR="001852D0">
      <w:t>P:\FRA\SG\CONSEIL\C21\000\067F.docx</w:t>
    </w:r>
    <w:r>
      <w:fldChar w:fldCharType="end"/>
    </w:r>
    <w:r w:rsidR="00732045">
      <w:tab/>
    </w:r>
    <w:r w:rsidR="002F1B76">
      <w:fldChar w:fldCharType="begin"/>
    </w:r>
    <w:r w:rsidR="00732045">
      <w:instrText xml:space="preserve"> savedate \@ dd.MM.yy </w:instrText>
    </w:r>
    <w:r w:rsidR="002F1B76">
      <w:fldChar w:fldCharType="separate"/>
    </w:r>
    <w:r>
      <w:t>26.05.21</w:t>
    </w:r>
    <w:r w:rsidR="002F1B76">
      <w:fldChar w:fldCharType="end"/>
    </w:r>
    <w:r w:rsidR="00732045">
      <w:tab/>
    </w:r>
    <w:r w:rsidR="002F1B76">
      <w:fldChar w:fldCharType="begin"/>
    </w:r>
    <w:r w:rsidR="00732045">
      <w:instrText xml:space="preserve"> printdate \@ dd.MM.yy </w:instrText>
    </w:r>
    <w:r w:rsidR="002F1B76">
      <w:fldChar w:fldCharType="separate"/>
    </w:r>
    <w:r w:rsidR="001852D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877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E9DA" w14:textId="77777777" w:rsidR="00642EE7" w:rsidRDefault="00642EE7">
      <w:r>
        <w:t>____________________</w:t>
      </w:r>
    </w:p>
  </w:footnote>
  <w:footnote w:type="continuationSeparator" w:id="0">
    <w:p w14:paraId="39DA265D" w14:textId="77777777" w:rsidR="00642EE7" w:rsidRDefault="0064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6B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534D7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133D" w14:textId="77777777" w:rsidR="00732045" w:rsidRDefault="00C27A7C" w:rsidP="00475FB3">
    <w:pPr>
      <w:pStyle w:val="Header"/>
    </w:pPr>
    <w:r>
      <w:fldChar w:fldCharType="begin"/>
    </w:r>
    <w:r>
      <w:instrText>PAGE</w:instrText>
    </w:r>
    <w:r>
      <w:fldChar w:fldCharType="separate"/>
    </w:r>
    <w:r w:rsidR="002F294C">
      <w:rPr>
        <w:noProof/>
      </w:rPr>
      <w:t>3</w:t>
    </w:r>
    <w:r>
      <w:rPr>
        <w:noProof/>
      </w:rPr>
      <w:fldChar w:fldCharType="end"/>
    </w:r>
  </w:p>
  <w:p w14:paraId="24D8D68A" w14:textId="7500D761" w:rsidR="00732045" w:rsidRDefault="00732045" w:rsidP="00106B19">
    <w:pPr>
      <w:pStyle w:val="Header"/>
    </w:pPr>
    <w:r>
      <w:t>C</w:t>
    </w:r>
    <w:r w:rsidR="009C353C">
      <w:t>2</w:t>
    </w:r>
    <w:r w:rsidR="004D1D50">
      <w:t>1</w:t>
    </w:r>
    <w:r>
      <w:t>/</w:t>
    </w:r>
    <w:r w:rsidR="008E3186">
      <w:t>80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546"/>
    <w:multiLevelType w:val="hybridMultilevel"/>
    <w:tmpl w:val="EBBC4CE0"/>
    <w:lvl w:ilvl="0" w:tplc="8CC27954">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34"/>
    <w:rsid w:val="00063270"/>
    <w:rsid w:val="000D046A"/>
    <w:rsid w:val="000D0D0A"/>
    <w:rsid w:val="00103163"/>
    <w:rsid w:val="00106B19"/>
    <w:rsid w:val="00115D93"/>
    <w:rsid w:val="001247A8"/>
    <w:rsid w:val="001378C0"/>
    <w:rsid w:val="001852D0"/>
    <w:rsid w:val="0018694A"/>
    <w:rsid w:val="001A3287"/>
    <w:rsid w:val="001A6508"/>
    <w:rsid w:val="001B50F8"/>
    <w:rsid w:val="001C0396"/>
    <w:rsid w:val="001D4C31"/>
    <w:rsid w:val="001E4D21"/>
    <w:rsid w:val="00207CD1"/>
    <w:rsid w:val="002477A2"/>
    <w:rsid w:val="00263A51"/>
    <w:rsid w:val="00267E02"/>
    <w:rsid w:val="002857A7"/>
    <w:rsid w:val="002A5D44"/>
    <w:rsid w:val="002D3304"/>
    <w:rsid w:val="002E0BC4"/>
    <w:rsid w:val="002F1B76"/>
    <w:rsid w:val="002F28B1"/>
    <w:rsid w:val="002F294C"/>
    <w:rsid w:val="0033568E"/>
    <w:rsid w:val="00355FF5"/>
    <w:rsid w:val="00361350"/>
    <w:rsid w:val="003A7E30"/>
    <w:rsid w:val="003C3FAE"/>
    <w:rsid w:val="003D7092"/>
    <w:rsid w:val="004038CB"/>
    <w:rsid w:val="0040546F"/>
    <w:rsid w:val="0042404A"/>
    <w:rsid w:val="0044618F"/>
    <w:rsid w:val="0046769A"/>
    <w:rsid w:val="00475FB3"/>
    <w:rsid w:val="004C37A9"/>
    <w:rsid w:val="004C5F34"/>
    <w:rsid w:val="004D1D50"/>
    <w:rsid w:val="004F259E"/>
    <w:rsid w:val="00511F1D"/>
    <w:rsid w:val="00520F36"/>
    <w:rsid w:val="00540615"/>
    <w:rsid w:val="00540A6D"/>
    <w:rsid w:val="00571EEA"/>
    <w:rsid w:val="00575417"/>
    <w:rsid w:val="005768E1"/>
    <w:rsid w:val="005B1938"/>
    <w:rsid w:val="005C3890"/>
    <w:rsid w:val="005C6EEF"/>
    <w:rsid w:val="005F7BFE"/>
    <w:rsid w:val="00600017"/>
    <w:rsid w:val="0062292D"/>
    <w:rsid w:val="006235CA"/>
    <w:rsid w:val="00642EE7"/>
    <w:rsid w:val="006643AB"/>
    <w:rsid w:val="006A78FC"/>
    <w:rsid w:val="007210CD"/>
    <w:rsid w:val="00732045"/>
    <w:rsid w:val="007369DB"/>
    <w:rsid w:val="007956C2"/>
    <w:rsid w:val="007A187E"/>
    <w:rsid w:val="007C72C2"/>
    <w:rsid w:val="007D4436"/>
    <w:rsid w:val="007E511E"/>
    <w:rsid w:val="007F257A"/>
    <w:rsid w:val="007F3665"/>
    <w:rsid w:val="00800037"/>
    <w:rsid w:val="00814A38"/>
    <w:rsid w:val="00861D73"/>
    <w:rsid w:val="008665CA"/>
    <w:rsid w:val="00897553"/>
    <w:rsid w:val="008A4E87"/>
    <w:rsid w:val="008B4828"/>
    <w:rsid w:val="008C3C21"/>
    <w:rsid w:val="008C5D2B"/>
    <w:rsid w:val="008D76E6"/>
    <w:rsid w:val="008E3186"/>
    <w:rsid w:val="0092392D"/>
    <w:rsid w:val="0093234A"/>
    <w:rsid w:val="009979E3"/>
    <w:rsid w:val="009A5A2A"/>
    <w:rsid w:val="009C307F"/>
    <w:rsid w:val="009C353C"/>
    <w:rsid w:val="009F6844"/>
    <w:rsid w:val="00A2113E"/>
    <w:rsid w:val="00A23A51"/>
    <w:rsid w:val="00A24607"/>
    <w:rsid w:val="00A25CD3"/>
    <w:rsid w:val="00A32A63"/>
    <w:rsid w:val="00A709FE"/>
    <w:rsid w:val="00A80524"/>
    <w:rsid w:val="00A82767"/>
    <w:rsid w:val="00AA332F"/>
    <w:rsid w:val="00AA7BBB"/>
    <w:rsid w:val="00AB64A8"/>
    <w:rsid w:val="00AC0266"/>
    <w:rsid w:val="00AD24EC"/>
    <w:rsid w:val="00B160B5"/>
    <w:rsid w:val="00B309F9"/>
    <w:rsid w:val="00B32B60"/>
    <w:rsid w:val="00B341A9"/>
    <w:rsid w:val="00B61619"/>
    <w:rsid w:val="00B82B55"/>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B641A"/>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421DA7"/>
  <w15:docId w15:val="{75ACDC9E-049C-4E25-BA59-69826814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uiPriority w:val="99"/>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link w:val="TableheadChar"/>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C5F34"/>
    <w:rPr>
      <w:color w:val="605E5C"/>
      <w:shd w:val="clear" w:color="auto" w:fill="E1DFDD"/>
    </w:rPr>
  </w:style>
  <w:style w:type="character" w:customStyle="1" w:styleId="Heading2Char">
    <w:name w:val="Heading 2 Char"/>
    <w:basedOn w:val="DefaultParagraphFont"/>
    <w:link w:val="Heading2"/>
    <w:rsid w:val="00814A38"/>
    <w:rPr>
      <w:rFonts w:ascii="Calibri" w:hAnsi="Calibri"/>
      <w:b/>
      <w:sz w:val="24"/>
      <w:lang w:val="fr-FR" w:eastAsia="en-US"/>
    </w:rPr>
  </w:style>
  <w:style w:type="character" w:customStyle="1" w:styleId="enumlev1Char">
    <w:name w:val="enumlev1 Char"/>
    <w:basedOn w:val="DefaultParagraphFont"/>
    <w:link w:val="enumlev1"/>
    <w:uiPriority w:val="99"/>
    <w:locked/>
    <w:rsid w:val="00814A38"/>
    <w:rPr>
      <w:rFonts w:ascii="Calibri" w:hAnsi="Calibri"/>
      <w:sz w:val="24"/>
      <w:lang w:val="fr-FR" w:eastAsia="en-US"/>
    </w:rPr>
  </w:style>
  <w:style w:type="character" w:customStyle="1" w:styleId="TabletextChar">
    <w:name w:val="Table_text Char"/>
    <w:basedOn w:val="DefaultParagraphFont"/>
    <w:link w:val="Tabletext"/>
    <w:locked/>
    <w:rsid w:val="00814A38"/>
    <w:rPr>
      <w:rFonts w:ascii="Calibri" w:hAnsi="Calibri"/>
      <w:sz w:val="22"/>
      <w:lang w:val="fr-FR" w:eastAsia="en-US"/>
    </w:rPr>
  </w:style>
  <w:style w:type="character" w:customStyle="1" w:styleId="TableheadChar">
    <w:name w:val="Table_head Char"/>
    <w:basedOn w:val="DefaultParagraphFont"/>
    <w:link w:val="Tablehead"/>
    <w:rsid w:val="00814A38"/>
    <w:rPr>
      <w:rFonts w:ascii="Calibri" w:hAnsi="Calibri"/>
      <w:b/>
      <w:sz w:val="22"/>
      <w:lang w:val="fr-FR" w:eastAsia="en-US"/>
    </w:rPr>
  </w:style>
  <w:style w:type="paragraph" w:customStyle="1" w:styleId="TableNo0">
    <w:name w:val="Table No"/>
    <w:basedOn w:val="Normal"/>
    <w:rsid w:val="00814A38"/>
    <w:pPr>
      <w:keepNext/>
      <w:tabs>
        <w:tab w:val="clear" w:pos="567"/>
        <w:tab w:val="clear" w:pos="1701"/>
        <w:tab w:val="clear" w:pos="2835"/>
        <w:tab w:val="left" w:pos="1871"/>
      </w:tabs>
      <w:spacing w:before="480" w:after="120"/>
      <w:jc w:val="center"/>
    </w:pPr>
    <w:rPr>
      <w:rFonts w:ascii="Times New Roman" w:eastAsiaTheme="minorEastAsia" w:hAnsi="Times New Roman"/>
      <w:caps/>
    </w:rPr>
  </w:style>
  <w:style w:type="paragraph" w:styleId="ListParagraph">
    <w:name w:val="List Paragraph"/>
    <w:basedOn w:val="Normal"/>
    <w:uiPriority w:val="34"/>
    <w:qFormat/>
    <w:rsid w:val="008E3186"/>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31-F.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Statistics/Pages/events/egh2020/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ITU-D/Statistics/Pages/events/egti2020/default.aspx" TargetMode="External"/><Relationship Id="rId4" Type="http://schemas.openxmlformats.org/officeDocument/2006/relationships/webSettings" Target="webSettings.xml"/><Relationship Id="rId9" Type="http://schemas.openxmlformats.org/officeDocument/2006/relationships/hyperlink" Target="https://www.itu.int/md/S21-CL-C-006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de la Tunisie - Mise en œuvre de la Résolution 131 (Rév. Dubaï, 2018) de la Conférence de plénipotentiaires</vt:lpstr>
      <vt:lpstr>Contribution de la Tunisie - Mise en œuvre de la Résolution 131 (Rév. Dubaï, 2018) de la Conférence de plénipotentiaires</vt:lpstr>
    </vt:vector>
  </TitlesOfParts>
  <Manager>Secrétariat général - Pool</Manager>
  <Company>Union internationale des télécommunications (UIT)</Company>
  <LinksUpToDate>false</LinksUpToDate>
  <CharactersWithSpaces>5242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Tunisie - Mise en œuvre de la Résolution 131 (Rév. Dubaï, 2018) de la Conférence de plénipotentiaires</dc:title>
  <dc:subject>Council 2021, Virtual consultation of councillors</dc:subject>
  <dc:creator>Hend Ben Hajji</dc:creator>
  <cp:keywords>C2021, C21, VCC, C21-VCC-1</cp:keywords>
  <dc:description/>
  <cp:lastModifiedBy>Brouard, Ricarda</cp:lastModifiedBy>
  <cp:revision>3</cp:revision>
  <cp:lastPrinted>2000-07-18T08:55:00Z</cp:lastPrinted>
  <dcterms:created xsi:type="dcterms:W3CDTF">2021-05-26T10:14:00Z</dcterms:created>
  <dcterms:modified xsi:type="dcterms:W3CDTF">2021-05-26T10:16:00Z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