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90"/>
        <w:tblW w:w="10173" w:type="dxa"/>
        <w:tblLayout w:type="fixed"/>
        <w:tblLook w:val="0000" w:firstRow="0" w:lastRow="0" w:firstColumn="0" w:lastColumn="0" w:noHBand="0" w:noVBand="0"/>
      </w:tblPr>
      <w:tblGrid>
        <w:gridCol w:w="6912"/>
        <w:gridCol w:w="3261"/>
      </w:tblGrid>
      <w:tr w:rsidR="00520F36" w:rsidRPr="000A2516" w14:paraId="5CE7E92C" w14:textId="77777777" w:rsidTr="00EA6AC9">
        <w:trPr>
          <w:cantSplit/>
        </w:trPr>
        <w:tc>
          <w:tcPr>
            <w:tcW w:w="6912" w:type="dxa"/>
          </w:tcPr>
          <w:p w14:paraId="049DC48F" w14:textId="77777777" w:rsidR="00520F36" w:rsidRPr="000A2516" w:rsidRDefault="00520F36" w:rsidP="00351981">
            <w:pPr>
              <w:spacing w:before="360"/>
            </w:pPr>
            <w:bookmarkStart w:id="0" w:name="dc06"/>
            <w:bookmarkEnd w:id="0"/>
            <w:r w:rsidRPr="000A2516">
              <w:rPr>
                <w:b/>
                <w:bCs/>
                <w:sz w:val="30"/>
                <w:szCs w:val="30"/>
              </w:rPr>
              <w:t>Conseil 20</w:t>
            </w:r>
            <w:r w:rsidR="009C353C" w:rsidRPr="000A2516">
              <w:rPr>
                <w:b/>
                <w:bCs/>
                <w:sz w:val="30"/>
                <w:szCs w:val="30"/>
              </w:rPr>
              <w:t>2</w:t>
            </w:r>
            <w:r w:rsidR="004D1D50" w:rsidRPr="000A2516">
              <w:rPr>
                <w:b/>
                <w:bCs/>
                <w:sz w:val="30"/>
                <w:szCs w:val="30"/>
              </w:rPr>
              <w:t>1</w:t>
            </w:r>
            <w:r w:rsidRPr="000A2516">
              <w:rPr>
                <w:rFonts w:ascii="Verdana" w:hAnsi="Verdana"/>
                <w:b/>
                <w:bCs/>
                <w:sz w:val="26"/>
                <w:szCs w:val="26"/>
              </w:rPr>
              <w:br/>
            </w:r>
            <w:r w:rsidR="004D1D50" w:rsidRPr="000A2516">
              <w:rPr>
                <w:b/>
                <w:bCs/>
                <w:sz w:val="28"/>
                <w:szCs w:val="28"/>
              </w:rPr>
              <w:t>Consultation virtuelle des Conseillers</w:t>
            </w:r>
            <w:r w:rsidRPr="000A2516">
              <w:rPr>
                <w:b/>
                <w:bCs/>
                <w:sz w:val="28"/>
                <w:szCs w:val="28"/>
              </w:rPr>
              <w:t xml:space="preserve">, </w:t>
            </w:r>
            <w:r w:rsidR="004D1D50" w:rsidRPr="000A2516">
              <w:rPr>
                <w:b/>
                <w:bCs/>
                <w:sz w:val="28"/>
                <w:szCs w:val="28"/>
              </w:rPr>
              <w:t>8</w:t>
            </w:r>
            <w:r w:rsidRPr="000A2516">
              <w:rPr>
                <w:b/>
                <w:bCs/>
                <w:sz w:val="28"/>
                <w:szCs w:val="28"/>
              </w:rPr>
              <w:t>-</w:t>
            </w:r>
            <w:r w:rsidR="009C353C" w:rsidRPr="000A2516">
              <w:rPr>
                <w:b/>
                <w:bCs/>
                <w:sz w:val="28"/>
                <w:szCs w:val="28"/>
              </w:rPr>
              <w:t>1</w:t>
            </w:r>
            <w:r w:rsidR="004D1D50" w:rsidRPr="000A2516">
              <w:rPr>
                <w:b/>
                <w:bCs/>
                <w:sz w:val="28"/>
                <w:szCs w:val="28"/>
              </w:rPr>
              <w:t>8</w:t>
            </w:r>
            <w:r w:rsidR="00106B19" w:rsidRPr="000A2516">
              <w:rPr>
                <w:b/>
                <w:bCs/>
                <w:sz w:val="28"/>
                <w:szCs w:val="28"/>
              </w:rPr>
              <w:t xml:space="preserve"> juin</w:t>
            </w:r>
            <w:r w:rsidRPr="000A2516">
              <w:rPr>
                <w:b/>
                <w:bCs/>
                <w:sz w:val="28"/>
                <w:szCs w:val="28"/>
              </w:rPr>
              <w:t xml:space="preserve"> 20</w:t>
            </w:r>
            <w:r w:rsidR="009C353C" w:rsidRPr="000A2516">
              <w:rPr>
                <w:b/>
                <w:bCs/>
                <w:sz w:val="28"/>
                <w:szCs w:val="28"/>
              </w:rPr>
              <w:t>2</w:t>
            </w:r>
            <w:r w:rsidR="004D1D50" w:rsidRPr="000A2516">
              <w:rPr>
                <w:b/>
                <w:bCs/>
                <w:sz w:val="28"/>
                <w:szCs w:val="28"/>
              </w:rPr>
              <w:t>1</w:t>
            </w:r>
          </w:p>
        </w:tc>
        <w:tc>
          <w:tcPr>
            <w:tcW w:w="3261" w:type="dxa"/>
          </w:tcPr>
          <w:p w14:paraId="338A54E7" w14:textId="77777777" w:rsidR="00520F36" w:rsidRPr="000A2516" w:rsidRDefault="009C353C" w:rsidP="00351981">
            <w:pPr>
              <w:spacing w:before="0"/>
            </w:pPr>
            <w:bookmarkStart w:id="1" w:name="ditulogo"/>
            <w:bookmarkEnd w:id="1"/>
            <w:r w:rsidRPr="000A2516">
              <w:rPr>
                <w:noProof/>
                <w:lang w:val="en-US"/>
              </w:rPr>
              <w:drawing>
                <wp:inline distT="0" distB="0" distL="0" distR="0" wp14:anchorId="652553DC" wp14:editId="640EFC4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0A2516" w14:paraId="4A5D041A" w14:textId="77777777" w:rsidTr="00EA6AC9">
        <w:trPr>
          <w:cantSplit/>
          <w:trHeight w:val="20"/>
        </w:trPr>
        <w:tc>
          <w:tcPr>
            <w:tcW w:w="6912" w:type="dxa"/>
            <w:tcBorders>
              <w:bottom w:val="single" w:sz="12" w:space="0" w:color="auto"/>
            </w:tcBorders>
            <w:vAlign w:val="center"/>
          </w:tcPr>
          <w:p w14:paraId="47E93339" w14:textId="77777777" w:rsidR="00520F36" w:rsidRPr="000A2516" w:rsidRDefault="00520F36" w:rsidP="00351981">
            <w:pPr>
              <w:spacing w:before="0"/>
              <w:rPr>
                <w:b/>
                <w:bCs/>
                <w:sz w:val="26"/>
                <w:szCs w:val="26"/>
              </w:rPr>
            </w:pPr>
          </w:p>
        </w:tc>
        <w:tc>
          <w:tcPr>
            <w:tcW w:w="3261" w:type="dxa"/>
            <w:tcBorders>
              <w:bottom w:val="single" w:sz="12" w:space="0" w:color="auto"/>
            </w:tcBorders>
          </w:tcPr>
          <w:p w14:paraId="585EDD4F" w14:textId="77777777" w:rsidR="00520F36" w:rsidRPr="000A2516" w:rsidRDefault="00520F36" w:rsidP="00351981">
            <w:pPr>
              <w:spacing w:before="0"/>
              <w:rPr>
                <w:b/>
                <w:bCs/>
              </w:rPr>
            </w:pPr>
          </w:p>
        </w:tc>
      </w:tr>
      <w:tr w:rsidR="00520F36" w:rsidRPr="000A2516" w14:paraId="62B81809" w14:textId="77777777" w:rsidTr="00EA6AC9">
        <w:trPr>
          <w:cantSplit/>
          <w:trHeight w:val="20"/>
        </w:trPr>
        <w:tc>
          <w:tcPr>
            <w:tcW w:w="6912" w:type="dxa"/>
            <w:tcBorders>
              <w:top w:val="single" w:sz="12" w:space="0" w:color="auto"/>
            </w:tcBorders>
          </w:tcPr>
          <w:p w14:paraId="6D734291" w14:textId="77777777" w:rsidR="00520F36" w:rsidRPr="000A2516" w:rsidRDefault="00520F36" w:rsidP="00351981">
            <w:pPr>
              <w:spacing w:before="0"/>
              <w:rPr>
                <w:smallCaps/>
                <w:sz w:val="22"/>
              </w:rPr>
            </w:pPr>
          </w:p>
        </w:tc>
        <w:tc>
          <w:tcPr>
            <w:tcW w:w="3261" w:type="dxa"/>
            <w:tcBorders>
              <w:top w:val="single" w:sz="12" w:space="0" w:color="auto"/>
            </w:tcBorders>
          </w:tcPr>
          <w:p w14:paraId="79CDAECE" w14:textId="77777777" w:rsidR="00520F36" w:rsidRPr="000A2516" w:rsidRDefault="00520F36" w:rsidP="00351981">
            <w:pPr>
              <w:spacing w:before="0"/>
              <w:rPr>
                <w:b/>
                <w:bCs/>
              </w:rPr>
            </w:pPr>
          </w:p>
        </w:tc>
      </w:tr>
      <w:tr w:rsidR="00520F36" w:rsidRPr="000A2516" w14:paraId="55A666CC" w14:textId="77777777" w:rsidTr="00EA6AC9">
        <w:trPr>
          <w:cantSplit/>
          <w:trHeight w:val="20"/>
        </w:trPr>
        <w:tc>
          <w:tcPr>
            <w:tcW w:w="6912" w:type="dxa"/>
            <w:vMerge w:val="restart"/>
          </w:tcPr>
          <w:p w14:paraId="4B7EED35" w14:textId="05186846" w:rsidR="00520F36" w:rsidRPr="000A2516" w:rsidRDefault="008B6529" w:rsidP="00351981">
            <w:pPr>
              <w:spacing w:before="0"/>
              <w:rPr>
                <w:rFonts w:cs="Times"/>
                <w:b/>
                <w:bCs/>
                <w:szCs w:val="24"/>
              </w:rPr>
            </w:pPr>
            <w:bookmarkStart w:id="2" w:name="dnum" w:colFirst="1" w:colLast="1"/>
            <w:bookmarkStart w:id="3" w:name="dmeeting" w:colFirst="0" w:colLast="0"/>
            <w:r w:rsidRPr="000A2516">
              <w:rPr>
                <w:rFonts w:cs="Times"/>
                <w:b/>
                <w:bCs/>
                <w:szCs w:val="24"/>
              </w:rPr>
              <w:t xml:space="preserve">Point de l'ordre du </w:t>
            </w:r>
            <w:proofErr w:type="gramStart"/>
            <w:r w:rsidRPr="000A2516">
              <w:rPr>
                <w:rFonts w:cs="Times"/>
                <w:b/>
                <w:bCs/>
                <w:szCs w:val="24"/>
              </w:rPr>
              <w:t>jour:</w:t>
            </w:r>
            <w:proofErr w:type="gramEnd"/>
            <w:r w:rsidRPr="000A2516">
              <w:rPr>
                <w:rFonts w:cs="Times"/>
                <w:b/>
                <w:bCs/>
                <w:szCs w:val="24"/>
              </w:rPr>
              <w:t xml:space="preserve"> PL 2.1</w:t>
            </w:r>
          </w:p>
        </w:tc>
        <w:tc>
          <w:tcPr>
            <w:tcW w:w="3261" w:type="dxa"/>
          </w:tcPr>
          <w:p w14:paraId="5F5EDF39" w14:textId="190CB11F" w:rsidR="00520F36" w:rsidRPr="000A2516" w:rsidRDefault="00520F36" w:rsidP="00351981">
            <w:pPr>
              <w:spacing w:before="0"/>
              <w:rPr>
                <w:b/>
                <w:bCs/>
              </w:rPr>
            </w:pPr>
            <w:r w:rsidRPr="000A2516">
              <w:rPr>
                <w:b/>
                <w:bCs/>
              </w:rPr>
              <w:t>Document C</w:t>
            </w:r>
            <w:r w:rsidR="009C353C" w:rsidRPr="000A2516">
              <w:rPr>
                <w:b/>
                <w:bCs/>
              </w:rPr>
              <w:t>2</w:t>
            </w:r>
            <w:r w:rsidR="004D1D50" w:rsidRPr="000A2516">
              <w:rPr>
                <w:b/>
                <w:bCs/>
              </w:rPr>
              <w:t>1</w:t>
            </w:r>
            <w:r w:rsidRPr="000A2516">
              <w:rPr>
                <w:b/>
                <w:bCs/>
              </w:rPr>
              <w:t>/</w:t>
            </w:r>
            <w:r w:rsidR="008B6529" w:rsidRPr="000A2516">
              <w:rPr>
                <w:b/>
                <w:bCs/>
              </w:rPr>
              <w:t>79</w:t>
            </w:r>
            <w:r w:rsidRPr="000A2516">
              <w:rPr>
                <w:b/>
                <w:bCs/>
              </w:rPr>
              <w:t>-F</w:t>
            </w:r>
          </w:p>
        </w:tc>
      </w:tr>
      <w:tr w:rsidR="00520F36" w:rsidRPr="000A2516" w14:paraId="4ABB7F62" w14:textId="77777777" w:rsidTr="00EA6AC9">
        <w:trPr>
          <w:cantSplit/>
          <w:trHeight w:val="20"/>
        </w:trPr>
        <w:tc>
          <w:tcPr>
            <w:tcW w:w="6912" w:type="dxa"/>
            <w:vMerge/>
          </w:tcPr>
          <w:p w14:paraId="6BC278D2" w14:textId="77777777" w:rsidR="00520F36" w:rsidRPr="000A2516" w:rsidRDefault="00520F36" w:rsidP="00351981">
            <w:pPr>
              <w:shd w:val="solid" w:color="FFFFFF" w:fill="FFFFFF"/>
              <w:spacing w:before="180"/>
              <w:rPr>
                <w:smallCaps/>
              </w:rPr>
            </w:pPr>
            <w:bookmarkStart w:id="4" w:name="ddate" w:colFirst="1" w:colLast="1"/>
            <w:bookmarkEnd w:id="2"/>
            <w:bookmarkEnd w:id="3"/>
          </w:p>
        </w:tc>
        <w:tc>
          <w:tcPr>
            <w:tcW w:w="3261" w:type="dxa"/>
          </w:tcPr>
          <w:p w14:paraId="1EA212E4" w14:textId="58D0B9E6" w:rsidR="00520F36" w:rsidRPr="000A2516" w:rsidRDefault="008B6529" w:rsidP="00351981">
            <w:pPr>
              <w:spacing w:before="0"/>
              <w:rPr>
                <w:b/>
                <w:bCs/>
              </w:rPr>
            </w:pPr>
            <w:r w:rsidRPr="000A2516">
              <w:rPr>
                <w:b/>
                <w:bCs/>
              </w:rPr>
              <w:t>25 mai</w:t>
            </w:r>
            <w:r w:rsidR="00520F36" w:rsidRPr="000A2516">
              <w:rPr>
                <w:b/>
                <w:bCs/>
              </w:rPr>
              <w:t xml:space="preserve"> 20</w:t>
            </w:r>
            <w:r w:rsidR="009C353C" w:rsidRPr="000A2516">
              <w:rPr>
                <w:b/>
                <w:bCs/>
              </w:rPr>
              <w:t>2</w:t>
            </w:r>
            <w:r w:rsidR="0097363B" w:rsidRPr="000A2516">
              <w:rPr>
                <w:b/>
                <w:bCs/>
              </w:rPr>
              <w:t>1</w:t>
            </w:r>
          </w:p>
        </w:tc>
      </w:tr>
      <w:tr w:rsidR="00520F36" w:rsidRPr="000A2516" w14:paraId="4D6DB393" w14:textId="77777777" w:rsidTr="00EA6AC9">
        <w:trPr>
          <w:cantSplit/>
          <w:trHeight w:val="20"/>
        </w:trPr>
        <w:tc>
          <w:tcPr>
            <w:tcW w:w="6912" w:type="dxa"/>
            <w:vMerge/>
          </w:tcPr>
          <w:p w14:paraId="1612A22E" w14:textId="77777777" w:rsidR="00520F36" w:rsidRPr="000A2516" w:rsidRDefault="00520F36" w:rsidP="00351981">
            <w:pPr>
              <w:shd w:val="solid" w:color="FFFFFF" w:fill="FFFFFF"/>
              <w:spacing w:before="180"/>
              <w:rPr>
                <w:smallCaps/>
              </w:rPr>
            </w:pPr>
            <w:bookmarkStart w:id="5" w:name="dorlang" w:colFirst="1" w:colLast="1"/>
            <w:bookmarkEnd w:id="4"/>
          </w:p>
        </w:tc>
        <w:tc>
          <w:tcPr>
            <w:tcW w:w="3261" w:type="dxa"/>
          </w:tcPr>
          <w:p w14:paraId="63E46E70" w14:textId="77777777" w:rsidR="00520F36" w:rsidRPr="000A2516" w:rsidRDefault="00520F36" w:rsidP="00351981">
            <w:pPr>
              <w:spacing w:before="0"/>
              <w:rPr>
                <w:b/>
                <w:bCs/>
              </w:rPr>
            </w:pPr>
            <w:proofErr w:type="gramStart"/>
            <w:r w:rsidRPr="000A2516">
              <w:rPr>
                <w:b/>
                <w:bCs/>
              </w:rPr>
              <w:t>Original:</w:t>
            </w:r>
            <w:proofErr w:type="gramEnd"/>
            <w:r w:rsidRPr="000A2516">
              <w:rPr>
                <w:b/>
                <w:bCs/>
              </w:rPr>
              <w:t xml:space="preserve"> anglais</w:t>
            </w:r>
          </w:p>
        </w:tc>
      </w:tr>
      <w:tr w:rsidR="00520F36" w:rsidRPr="000A2516" w14:paraId="7B814C65" w14:textId="77777777" w:rsidTr="00EA6AC9">
        <w:trPr>
          <w:cantSplit/>
        </w:trPr>
        <w:tc>
          <w:tcPr>
            <w:tcW w:w="10173" w:type="dxa"/>
            <w:gridSpan w:val="2"/>
          </w:tcPr>
          <w:p w14:paraId="048EF608" w14:textId="473B7BC0" w:rsidR="00520F36" w:rsidRPr="000A2516" w:rsidRDefault="008B6529" w:rsidP="00351981">
            <w:pPr>
              <w:pStyle w:val="Source"/>
            </w:pPr>
            <w:bookmarkStart w:id="6" w:name="dsource" w:colFirst="0" w:colLast="0"/>
            <w:bookmarkEnd w:id="5"/>
            <w:r w:rsidRPr="000A2516">
              <w:t xml:space="preserve">Contribution </w:t>
            </w:r>
            <w:r w:rsidR="00BE0220" w:rsidRPr="000A2516">
              <w:t>du</w:t>
            </w:r>
            <w:r w:rsidR="00351981" w:rsidRPr="000A2516">
              <w:t xml:space="preserve"> </w:t>
            </w:r>
            <w:r w:rsidRPr="000A2516">
              <w:t>Jap</w:t>
            </w:r>
            <w:r w:rsidR="00DD6B75" w:rsidRPr="000A2516">
              <w:t>o</w:t>
            </w:r>
            <w:r w:rsidRPr="000A2516">
              <w:t>n</w:t>
            </w:r>
          </w:p>
        </w:tc>
      </w:tr>
      <w:tr w:rsidR="00520F36" w:rsidRPr="000A2516" w14:paraId="445BDA32" w14:textId="77777777" w:rsidTr="00EA6AC9">
        <w:trPr>
          <w:cantSplit/>
        </w:trPr>
        <w:tc>
          <w:tcPr>
            <w:tcW w:w="10173" w:type="dxa"/>
            <w:gridSpan w:val="2"/>
          </w:tcPr>
          <w:p w14:paraId="2A5CC770" w14:textId="4F9031B2" w:rsidR="00520F36" w:rsidRPr="000A2516" w:rsidRDefault="008B6529" w:rsidP="00351981">
            <w:pPr>
              <w:pStyle w:val="Title1"/>
            </w:pPr>
            <w:bookmarkStart w:id="7" w:name="dtitle1" w:colFirst="0" w:colLast="0"/>
            <w:bookmarkEnd w:id="6"/>
            <w:r w:rsidRPr="000A2516">
              <w:t>ÉVALUATION STRATÉGIQUE ET FINANCIÈRE DES MANIFESTATIONS ITU TELECOM</w:t>
            </w:r>
          </w:p>
        </w:tc>
      </w:tr>
    </w:tbl>
    <w:bookmarkEnd w:id="7"/>
    <w:p w14:paraId="12CE8715" w14:textId="5726263C" w:rsidR="00520F36" w:rsidRPr="000A2516" w:rsidRDefault="008B6529" w:rsidP="00EA6AC9">
      <w:pPr>
        <w:spacing w:before="480"/>
      </w:pPr>
      <w:r w:rsidRPr="000A2516">
        <w:t xml:space="preserve">J'ai l'honneur de transmettre aux États Membres du Conseil </w:t>
      </w:r>
      <w:r w:rsidR="00EA6AC9">
        <w:t>une contribution soumise par le </w:t>
      </w:r>
      <w:r w:rsidRPr="000A2516">
        <w:rPr>
          <w:b/>
          <w:bCs/>
        </w:rPr>
        <w:t>Japon</w:t>
      </w:r>
      <w:r w:rsidRPr="000A2516">
        <w:t>.</w:t>
      </w:r>
    </w:p>
    <w:p w14:paraId="65874935" w14:textId="77777777" w:rsidR="008B6529" w:rsidRPr="000A2516" w:rsidRDefault="008B6529" w:rsidP="00351981">
      <w:pPr>
        <w:tabs>
          <w:tab w:val="clear" w:pos="567"/>
          <w:tab w:val="clear" w:pos="1134"/>
          <w:tab w:val="clear" w:pos="1701"/>
          <w:tab w:val="clear" w:pos="2268"/>
          <w:tab w:val="clear" w:pos="2835"/>
          <w:tab w:val="center" w:pos="7371"/>
        </w:tabs>
        <w:spacing w:before="840"/>
      </w:pPr>
      <w:r w:rsidRPr="000A2516">
        <w:tab/>
        <w:t>Houlin ZHAO</w:t>
      </w:r>
      <w:r w:rsidRPr="000A2516">
        <w:br/>
      </w:r>
      <w:r w:rsidRPr="000A2516">
        <w:tab/>
        <w:t>Secrétaire général</w:t>
      </w:r>
    </w:p>
    <w:p w14:paraId="27B6721E" w14:textId="5817AD98" w:rsidR="008B6529" w:rsidRPr="000A2516" w:rsidRDefault="008B6529" w:rsidP="00351981">
      <w:r w:rsidRPr="000A2516">
        <w:br w:type="page"/>
      </w:r>
    </w:p>
    <w:p w14:paraId="1F6B976F" w14:textId="42816DC7" w:rsidR="008B6529" w:rsidRPr="000A2516" w:rsidRDefault="008B6529" w:rsidP="00351981">
      <w:pPr>
        <w:pStyle w:val="Source"/>
      </w:pPr>
      <w:bookmarkStart w:id="8" w:name="_Hlk73004634"/>
      <w:r w:rsidRPr="000A2516">
        <w:lastRenderedPageBreak/>
        <w:t>Contribution</w:t>
      </w:r>
      <w:r w:rsidR="00BE0220" w:rsidRPr="000A2516">
        <w:t xml:space="preserve"> du</w:t>
      </w:r>
      <w:r w:rsidRPr="000A2516">
        <w:t xml:space="preserve"> Jap</w:t>
      </w:r>
      <w:r w:rsidR="00DD6B75" w:rsidRPr="000A2516">
        <w:t>o</w:t>
      </w:r>
      <w:r w:rsidRPr="000A2516">
        <w:t>n</w:t>
      </w:r>
    </w:p>
    <w:p w14:paraId="6E701EE8" w14:textId="69CF6376" w:rsidR="008B6529" w:rsidRPr="000A2516" w:rsidRDefault="008B6529" w:rsidP="00EA6AC9">
      <w:pPr>
        <w:pStyle w:val="Title1"/>
        <w:spacing w:after="240"/>
      </w:pPr>
      <w:r w:rsidRPr="000A2516">
        <w:t>ÉVALUATION STRATÉGIQUE ET FINANCIÈRE DES MANIFESTATIONS ITU TELECOM</w:t>
      </w:r>
      <w:bookmarkEnd w:id="8"/>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0"/>
      </w:tblGrid>
      <w:tr w:rsidR="00520F36" w:rsidRPr="000A2516" w14:paraId="0CC3FC68" w14:textId="77777777" w:rsidTr="00EA6AC9">
        <w:trPr>
          <w:trHeight w:val="3372"/>
          <w:jc w:val="center"/>
        </w:trPr>
        <w:tc>
          <w:tcPr>
            <w:tcW w:w="8490" w:type="dxa"/>
            <w:tcBorders>
              <w:top w:val="single" w:sz="12" w:space="0" w:color="auto"/>
              <w:left w:val="single" w:sz="12" w:space="0" w:color="auto"/>
              <w:bottom w:val="single" w:sz="12" w:space="0" w:color="auto"/>
              <w:right w:val="single" w:sz="12" w:space="0" w:color="auto"/>
            </w:tcBorders>
          </w:tcPr>
          <w:p w14:paraId="1820FF15" w14:textId="77777777" w:rsidR="00520F36" w:rsidRPr="000A2516" w:rsidRDefault="00520F36" w:rsidP="00351981">
            <w:pPr>
              <w:pStyle w:val="Headingb"/>
            </w:pPr>
            <w:r w:rsidRPr="000A2516">
              <w:t>Résumé</w:t>
            </w:r>
          </w:p>
          <w:p w14:paraId="44E682EC" w14:textId="0C3B9E3B" w:rsidR="00520F36" w:rsidRPr="000A2516" w:rsidRDefault="007739BB" w:rsidP="00351981">
            <w:r w:rsidRPr="000A2516">
              <w:t>Le Document C20/10 a été présenté à la seconde consultation virtuelle des Conseillers, et il a été convenu d'étudier plus avant ce rapport et de formuler des recommandations en vue de la session de 2021 du Conseil.</w:t>
            </w:r>
          </w:p>
          <w:p w14:paraId="6631FAB9" w14:textId="3019BC52" w:rsidR="007739BB" w:rsidRPr="000A2516" w:rsidRDefault="00BE0220" w:rsidP="00351981">
            <w:r w:rsidRPr="000A2516">
              <w:t>Dans la présente contribution, le Japon reconnaît</w:t>
            </w:r>
            <w:r w:rsidR="00351981" w:rsidRPr="000A2516">
              <w:t xml:space="preserve"> </w:t>
            </w:r>
            <w:r w:rsidRPr="000A2516">
              <w:t>que la réforme des</w:t>
            </w:r>
            <w:r w:rsidR="00351981" w:rsidRPr="000A2516">
              <w:t xml:space="preserve"> </w:t>
            </w:r>
            <w:r w:rsidRPr="000A2516">
              <w:t>manifestations</w:t>
            </w:r>
            <w:r w:rsidR="00351981" w:rsidRPr="000A2516">
              <w:t xml:space="preserve"> </w:t>
            </w:r>
            <w:r w:rsidRPr="000A2516">
              <w:t xml:space="preserve">ITU Telecom est une question </w:t>
            </w:r>
            <w:r w:rsidRPr="000A2516">
              <w:rPr>
                <w:color w:val="000000"/>
              </w:rPr>
              <w:t xml:space="preserve">à laquelle il faut s'atteler d'urgence </w:t>
            </w:r>
            <w:r w:rsidRPr="000A2516">
              <w:t>et se félicite de la proposition de réforme</w:t>
            </w:r>
            <w:r w:rsidRPr="000A2516">
              <w:rPr>
                <w:color w:val="000000"/>
              </w:rPr>
              <w:t xml:space="preserve"> </w:t>
            </w:r>
            <w:r w:rsidR="00980E1F" w:rsidRPr="000A2516">
              <w:rPr>
                <w:color w:val="000000"/>
              </w:rPr>
              <w:t xml:space="preserve">présentée par le </w:t>
            </w:r>
            <w:r w:rsidRPr="000A2516">
              <w:rPr>
                <w:color w:val="000000"/>
              </w:rPr>
              <w:t>cabinet</w:t>
            </w:r>
            <w:r w:rsidR="00351981" w:rsidRPr="000A2516">
              <w:rPr>
                <w:color w:val="000000"/>
              </w:rPr>
              <w:t xml:space="preserve"> </w:t>
            </w:r>
            <w:r w:rsidRPr="000A2516">
              <w:t>Dalberg. Parallèlement, le Japon</w:t>
            </w:r>
            <w:r w:rsidR="00351981" w:rsidRPr="000A2516">
              <w:t xml:space="preserve"> </w:t>
            </w:r>
            <w:r w:rsidRPr="000A2516">
              <w:t xml:space="preserve">recommande </w:t>
            </w:r>
            <w:r w:rsidR="00980E1F" w:rsidRPr="000A2516">
              <w:t>l</w:t>
            </w:r>
            <w:r w:rsidR="00351981" w:rsidRPr="000A2516">
              <w:t>'</w:t>
            </w:r>
            <w:r w:rsidR="00980E1F" w:rsidRPr="000A2516">
              <w:t xml:space="preserve">adoption de </w:t>
            </w:r>
            <w:r w:rsidRPr="000A2516">
              <w:t>certaines approches,</w:t>
            </w:r>
            <w:r w:rsidR="00351981" w:rsidRPr="000A2516">
              <w:t xml:space="preserve"> </w:t>
            </w:r>
            <w:r w:rsidRPr="000A2516">
              <w:t>sachant que</w:t>
            </w:r>
            <w:r w:rsidRPr="000A2516">
              <w:rPr>
                <w:color w:val="000000"/>
              </w:rPr>
              <w:t xml:space="preserve"> </w:t>
            </w:r>
            <w:r w:rsidRPr="000A2516">
              <w:t xml:space="preserve">la situation </w:t>
            </w:r>
            <w:r w:rsidRPr="000A2516">
              <w:rPr>
                <w:color w:val="000000"/>
              </w:rPr>
              <w:t>a sensiblement évolué</w:t>
            </w:r>
            <w:r w:rsidR="00351981" w:rsidRPr="000A2516">
              <w:t>,</w:t>
            </w:r>
            <w:r w:rsidR="00980E1F" w:rsidRPr="000A2516">
              <w:rPr>
                <w:szCs w:val="24"/>
              </w:rPr>
              <w:t xml:space="preserve"> du fait</w:t>
            </w:r>
            <w:r w:rsidRPr="000A2516">
              <w:rPr>
                <w:szCs w:val="24"/>
              </w:rPr>
              <w:t xml:space="preserve"> de </w:t>
            </w:r>
            <w:r w:rsidRPr="000A2516">
              <w:t>la pandémie mondiale</w:t>
            </w:r>
            <w:r w:rsidR="00980E1F" w:rsidRPr="000A2516">
              <w:t>,</w:t>
            </w:r>
            <w:r w:rsidR="00351981" w:rsidRPr="000A2516">
              <w:t xml:space="preserve"> </w:t>
            </w:r>
            <w:r w:rsidRPr="000A2516">
              <w:t>depuis que le</w:t>
            </w:r>
            <w:r w:rsidRPr="000A2516">
              <w:rPr>
                <w:color w:val="000000"/>
              </w:rPr>
              <w:t xml:space="preserve"> cabinet</w:t>
            </w:r>
            <w:r w:rsidR="00351981" w:rsidRPr="000A2516">
              <w:rPr>
                <w:color w:val="000000"/>
              </w:rPr>
              <w:t xml:space="preserve"> </w:t>
            </w:r>
            <w:r w:rsidRPr="000A2516">
              <w:t>Dalberg a</w:t>
            </w:r>
            <w:r w:rsidR="00351981" w:rsidRPr="000A2516">
              <w:t xml:space="preserve"> </w:t>
            </w:r>
            <w:r w:rsidRPr="000A2516">
              <w:t>procédé à son examen et à son évaluation.</w:t>
            </w:r>
          </w:p>
          <w:p w14:paraId="5A397DB6" w14:textId="77777777" w:rsidR="00520F36" w:rsidRPr="000A2516" w:rsidRDefault="00520F36" w:rsidP="00351981">
            <w:pPr>
              <w:pStyle w:val="Headingb"/>
            </w:pPr>
            <w:proofErr w:type="gramStart"/>
            <w:r w:rsidRPr="000A2516">
              <w:t>Suite à</w:t>
            </w:r>
            <w:proofErr w:type="gramEnd"/>
            <w:r w:rsidRPr="000A2516">
              <w:t xml:space="preserve"> donner</w:t>
            </w:r>
          </w:p>
          <w:p w14:paraId="6A98911F" w14:textId="665A66EF" w:rsidR="00520F36" w:rsidRPr="000A2516" w:rsidRDefault="00012236" w:rsidP="00351981">
            <w:r w:rsidRPr="000A2516">
              <w:t xml:space="preserve">Le Conseil est invité à </w:t>
            </w:r>
            <w:r w:rsidRPr="000A2516">
              <w:rPr>
                <w:b/>
                <w:bCs/>
              </w:rPr>
              <w:t>examiner</w:t>
            </w:r>
            <w:r w:rsidR="00351981" w:rsidRPr="000A2516">
              <w:t xml:space="preserve"> </w:t>
            </w:r>
            <w:r w:rsidRPr="000A2516">
              <w:t xml:space="preserve">les propositions figurant dans le présent </w:t>
            </w:r>
            <w:r w:rsidR="00BE0220" w:rsidRPr="000A2516">
              <w:t>document</w:t>
            </w:r>
            <w:r w:rsidR="00351981" w:rsidRPr="000A2516">
              <w:t>.</w:t>
            </w:r>
          </w:p>
          <w:p w14:paraId="7A044293" w14:textId="77777777" w:rsidR="00520F36" w:rsidRPr="000A2516" w:rsidRDefault="00520F36" w:rsidP="00351981">
            <w:pPr>
              <w:pStyle w:val="Table"/>
              <w:keepNext w:val="0"/>
              <w:spacing w:before="0" w:after="0"/>
              <w:rPr>
                <w:rFonts w:ascii="Calibri" w:hAnsi="Calibri"/>
                <w:caps w:val="0"/>
                <w:sz w:val="22"/>
                <w:lang w:val="fr-FR"/>
              </w:rPr>
            </w:pPr>
            <w:r w:rsidRPr="000A2516">
              <w:rPr>
                <w:rFonts w:ascii="Calibri" w:hAnsi="Calibri"/>
                <w:caps w:val="0"/>
                <w:sz w:val="22"/>
                <w:lang w:val="fr-FR"/>
              </w:rPr>
              <w:t>____________</w:t>
            </w:r>
          </w:p>
          <w:p w14:paraId="107B0C53" w14:textId="77777777" w:rsidR="00520F36" w:rsidRPr="000A2516" w:rsidRDefault="00520F36" w:rsidP="00351981">
            <w:pPr>
              <w:pStyle w:val="Headingb"/>
            </w:pPr>
            <w:r w:rsidRPr="000A2516">
              <w:t>Références</w:t>
            </w:r>
          </w:p>
          <w:p w14:paraId="699824AD" w14:textId="724E9D39" w:rsidR="00520F36" w:rsidRPr="000A2516" w:rsidRDefault="003064DB" w:rsidP="00351981">
            <w:pPr>
              <w:spacing w:after="120"/>
              <w:rPr>
                <w:i/>
                <w:iCs/>
              </w:rPr>
            </w:pPr>
            <w:hyperlink r:id="rId8" w:history="1">
              <w:r w:rsidR="00012236" w:rsidRPr="000A2516">
                <w:rPr>
                  <w:rStyle w:val="Hyperlink"/>
                  <w:i/>
                  <w:iCs/>
                </w:rPr>
                <w:t>Résolution 11 (Rév. Dubaï, 2018)</w:t>
              </w:r>
            </w:hyperlink>
            <w:r w:rsidR="00012236" w:rsidRPr="000A2516">
              <w:rPr>
                <w:i/>
                <w:iCs/>
              </w:rPr>
              <w:t xml:space="preserve"> de la Conférence de plénipotentiaires</w:t>
            </w:r>
            <w:r w:rsidR="000A2516" w:rsidRPr="000A2516">
              <w:rPr>
                <w:i/>
                <w:iCs/>
              </w:rPr>
              <w:t xml:space="preserve">, </w:t>
            </w:r>
            <w:hyperlink r:id="rId9" w:history="1">
              <w:r w:rsidR="000A2516" w:rsidRPr="000A2516">
                <w:rPr>
                  <w:rStyle w:val="Hyperlink"/>
                  <w:i/>
                  <w:iCs/>
                </w:rPr>
                <w:t>C20/10</w:t>
              </w:r>
            </w:hyperlink>
          </w:p>
        </w:tc>
      </w:tr>
    </w:tbl>
    <w:p w14:paraId="55B6E969" w14:textId="008EABAC" w:rsidR="00897553" w:rsidRPr="000A2516" w:rsidRDefault="00012236" w:rsidP="00351981">
      <w:pPr>
        <w:pStyle w:val="Heading1"/>
      </w:pPr>
      <w:r w:rsidRPr="000A2516">
        <w:t>1</w:t>
      </w:r>
      <w:r w:rsidRPr="000A2516">
        <w:tab/>
        <w:t>Introduction</w:t>
      </w:r>
    </w:p>
    <w:p w14:paraId="7C5C8F11" w14:textId="17C7302F" w:rsidR="00012236" w:rsidRPr="000A2516" w:rsidRDefault="00BE0220" w:rsidP="00351981">
      <w:r w:rsidRPr="000A2516">
        <w:t xml:space="preserve">Conformément </w:t>
      </w:r>
      <w:r w:rsidR="00980E1F" w:rsidRPr="000A2516">
        <w:t>à</w:t>
      </w:r>
      <w:r w:rsidR="00012236" w:rsidRPr="000A2516">
        <w:t xml:space="preserve"> la Résolution 11 (Rév. Dubaï, 2018) de la Conférence de plénipotentiaires, le Secrétaire général</w:t>
      </w:r>
      <w:r w:rsidR="005B0FDD" w:rsidRPr="000A2516">
        <w:t xml:space="preserve"> était</w:t>
      </w:r>
      <w:r w:rsidRPr="000A2516">
        <w:t xml:space="preserve"> </w:t>
      </w:r>
      <w:r w:rsidR="00012236" w:rsidRPr="000A2516">
        <w:t>chargé</w:t>
      </w:r>
      <w:r w:rsidR="00351981" w:rsidRPr="000A2516">
        <w:t xml:space="preserve"> </w:t>
      </w:r>
      <w:r w:rsidR="005B0FDD" w:rsidRPr="000A2516">
        <w:rPr>
          <w:color w:val="000000"/>
        </w:rPr>
        <w:t>de faire appel aux services d'un cabinet de conseil</w:t>
      </w:r>
      <w:r w:rsidR="00351981" w:rsidRPr="000A2516">
        <w:t>,</w:t>
      </w:r>
      <w:r w:rsidR="005B0FDD" w:rsidRPr="000A2516">
        <w:t xml:space="preserve"> </w:t>
      </w:r>
      <w:r w:rsidR="00980E1F" w:rsidRPr="000A2516">
        <w:t>en vue</w:t>
      </w:r>
      <w:r w:rsidR="005B0FDD" w:rsidRPr="000A2516">
        <w:t xml:space="preserve"> </w:t>
      </w:r>
      <w:r w:rsidR="005B0FDD" w:rsidRPr="000A2516">
        <w:rPr>
          <w:color w:val="000000"/>
        </w:rPr>
        <w:t>de procéder à une</w:t>
      </w:r>
      <w:r w:rsidR="00351981" w:rsidRPr="000A2516">
        <w:t xml:space="preserve"> </w:t>
      </w:r>
      <w:r w:rsidR="00012236" w:rsidRPr="000A2516">
        <w:t xml:space="preserve">évaluation et </w:t>
      </w:r>
      <w:r w:rsidR="005B0FDD" w:rsidRPr="000A2516">
        <w:t xml:space="preserve">à </w:t>
      </w:r>
      <w:r w:rsidR="00012236" w:rsidRPr="000A2516">
        <w:t>un examen stratégiques et financiers complets des manifestations ITU Telecom,</w:t>
      </w:r>
      <w:r w:rsidR="00351981" w:rsidRPr="000A2516">
        <w:t xml:space="preserve"> </w:t>
      </w:r>
      <w:r w:rsidR="00012236" w:rsidRPr="000A2516">
        <w:t xml:space="preserve">compte </w:t>
      </w:r>
      <w:r w:rsidR="00CA7CFD" w:rsidRPr="000A2516">
        <w:t xml:space="preserve">tenu </w:t>
      </w:r>
      <w:r w:rsidR="00012236" w:rsidRPr="000A2516">
        <w:t>des contributions des membres de l'UIT, et</w:t>
      </w:r>
      <w:r w:rsidRPr="000A2516">
        <w:t xml:space="preserve"> </w:t>
      </w:r>
      <w:r w:rsidR="00012236" w:rsidRPr="000A2516">
        <w:t>de</w:t>
      </w:r>
      <w:r w:rsidR="00351981" w:rsidRPr="000A2516">
        <w:t xml:space="preserve"> </w:t>
      </w:r>
      <w:r w:rsidR="00012236" w:rsidRPr="000A2516">
        <w:t xml:space="preserve">présenter un rapport contenant des recommandations et plusieurs stratégies au Conseil à sa session de 2020, pour </w:t>
      </w:r>
      <w:proofErr w:type="gramStart"/>
      <w:r w:rsidR="00012236" w:rsidRPr="000A2516">
        <w:t>suite à</w:t>
      </w:r>
      <w:proofErr w:type="gramEnd"/>
      <w:r w:rsidR="00012236" w:rsidRPr="000A2516">
        <w:t xml:space="preserve"> donner</w:t>
      </w:r>
      <w:r w:rsidR="00351981" w:rsidRPr="000A2516">
        <w:t>.</w:t>
      </w:r>
    </w:p>
    <w:p w14:paraId="16FEDB8D" w14:textId="35C54B66" w:rsidR="00012236" w:rsidRPr="000A2516" w:rsidRDefault="005B0FDD" w:rsidP="00351981">
      <w:r w:rsidRPr="000A2516">
        <w:rPr>
          <w:color w:val="000000"/>
        </w:rPr>
        <w:t>Un cabinet de conseil en gestion indépendant externe</w:t>
      </w:r>
      <w:r w:rsidR="00012236" w:rsidRPr="000A2516">
        <w:t xml:space="preserve">, </w:t>
      </w:r>
      <w:r w:rsidRPr="000A2516">
        <w:t xml:space="preserve">le cabinet </w:t>
      </w:r>
      <w:r w:rsidR="00012236" w:rsidRPr="000A2516">
        <w:t>Dalberg</w:t>
      </w:r>
      <w:r w:rsidRPr="000A2516">
        <w:t>,</w:t>
      </w:r>
      <w:r w:rsidR="00351981" w:rsidRPr="000A2516">
        <w:t xml:space="preserve"> </w:t>
      </w:r>
      <w:r w:rsidR="00012236" w:rsidRPr="000A2516">
        <w:t xml:space="preserve">a </w:t>
      </w:r>
      <w:r w:rsidRPr="000A2516">
        <w:t>procédé à</w:t>
      </w:r>
      <w:r w:rsidR="00012236" w:rsidRPr="000A2516">
        <w:t xml:space="preserve"> une évaluation et </w:t>
      </w:r>
      <w:r w:rsidRPr="000A2516">
        <w:t xml:space="preserve">à </w:t>
      </w:r>
      <w:r w:rsidR="00012236" w:rsidRPr="000A2516">
        <w:t xml:space="preserve">un examen de la situation concernant les manifestations ITU Telecom </w:t>
      </w:r>
      <w:r w:rsidR="00CA7CFD" w:rsidRPr="000A2516">
        <w:t xml:space="preserve">ainsi que </w:t>
      </w:r>
      <w:r w:rsidR="00012236" w:rsidRPr="000A2516">
        <w:t xml:space="preserve">du modèle </w:t>
      </w:r>
      <w:r w:rsidRPr="000A2516">
        <w:rPr>
          <w:color w:val="000000"/>
        </w:rPr>
        <w:t xml:space="preserve">économique </w:t>
      </w:r>
      <w:r w:rsidR="00012236" w:rsidRPr="000A2516">
        <w:t>actuel,</w:t>
      </w:r>
      <w:r w:rsidR="00351981" w:rsidRPr="000A2516">
        <w:t xml:space="preserve"> </w:t>
      </w:r>
      <w:r w:rsidR="00012236" w:rsidRPr="000A2516">
        <w:t>et propose des solutions</w:t>
      </w:r>
      <w:r w:rsidRPr="000A2516">
        <w:rPr>
          <w:color w:val="000000"/>
        </w:rPr>
        <w:t xml:space="preserve"> de remplacement</w:t>
      </w:r>
      <w:r w:rsidR="00012236" w:rsidRPr="000A2516">
        <w:t xml:space="preserve"> dans une </w:t>
      </w:r>
      <w:proofErr w:type="gramStart"/>
      <w:r w:rsidR="00012236" w:rsidRPr="000A2516">
        <w:t>perspective d'avenir</w:t>
      </w:r>
      <w:proofErr w:type="gramEnd"/>
      <w:r w:rsidR="00012236" w:rsidRPr="000A2516">
        <w:t>.</w:t>
      </w:r>
    </w:p>
    <w:p w14:paraId="17D3E63B" w14:textId="6ED1A155" w:rsidR="00012236" w:rsidRPr="000A2516" w:rsidRDefault="005B0FDD" w:rsidP="00351981">
      <w:r w:rsidRPr="000A2516">
        <w:t>Dans la contribution soumise par le Secrétaire général sur la manifestation</w:t>
      </w:r>
      <w:r w:rsidR="00351981" w:rsidRPr="000A2516">
        <w:t xml:space="preserve"> </w:t>
      </w:r>
      <w:r w:rsidRPr="000A2516">
        <w:t>ITU TELECOM</w:t>
      </w:r>
      <w:r w:rsidRPr="000A2516">
        <w:rPr>
          <w:rFonts w:asciiTheme="minorHAnsi" w:hAnsiTheme="minorHAnsi" w:cstheme="minorHAnsi"/>
          <w:szCs w:val="24"/>
          <w:shd w:val="clear" w:color="auto" w:fill="FFFFFF"/>
          <w:lang w:eastAsia="ja-JP"/>
        </w:rPr>
        <w:t xml:space="preserve"> World</w:t>
      </w:r>
      <w:r w:rsidRPr="000A2516">
        <w:t xml:space="preserve">, les trois options suivantes sont </w:t>
      </w:r>
      <w:proofErr w:type="gramStart"/>
      <w:r w:rsidRPr="000A2516">
        <w:t>proposées</w:t>
      </w:r>
      <w:r w:rsidR="00351981" w:rsidRPr="000A2516">
        <w:t>:</w:t>
      </w:r>
      <w:proofErr w:type="gramEnd"/>
    </w:p>
    <w:p w14:paraId="6434687A" w14:textId="3E2AFD90" w:rsidR="00E94196" w:rsidRPr="000A2516" w:rsidRDefault="00012236" w:rsidP="00351981">
      <w:r w:rsidRPr="000A2516">
        <w:t xml:space="preserve">Option </w:t>
      </w:r>
      <w:proofErr w:type="gramStart"/>
      <w:r w:rsidRPr="000A2516">
        <w:t>1:</w:t>
      </w:r>
      <w:proofErr w:type="gramEnd"/>
      <w:r w:rsidRPr="000A2516">
        <w:t xml:space="preserve"> 3 ou 4 "Sessions régionales du Forum" de petite envergure sur le développement des TIC dans les marchés émergents et les marchés développés, organisées chaque année en parallèle des Forums régionaux sur le développement dans les régions en développement. Ces manifestations permettraient d'aider les pays en développement à renforcer le secteur des TIC au niveau local, en acquérant des connaissances sur les tendances et les innovations ainsi que sur l'expérience de pays analogues en matière de développement des TIC et en échangeant sur les besoins et les risques qui se font jour afin de susciter une action coordonnée, notamment au moyen de la réglementation.</w:t>
      </w:r>
    </w:p>
    <w:p w14:paraId="677FB1F6" w14:textId="106D2969" w:rsidR="00012236" w:rsidRPr="000A2516" w:rsidRDefault="00012236" w:rsidP="00351981">
      <w:r w:rsidRPr="000A2516">
        <w:lastRenderedPageBreak/>
        <w:t xml:space="preserve">Ces manifestations nécessiteraient des </w:t>
      </w:r>
      <w:proofErr w:type="gramStart"/>
      <w:r w:rsidRPr="000A2516">
        <w:t>subventions:</w:t>
      </w:r>
      <w:proofErr w:type="gramEnd"/>
      <w:r w:rsidRPr="000A2516">
        <w:t xml:space="preserve"> chaque édition régionale devrait entraîner des pertes d'environ 2 millions CHF par an.</w:t>
      </w:r>
    </w:p>
    <w:p w14:paraId="505B01BF" w14:textId="0493919B" w:rsidR="00E94196" w:rsidRPr="000A2516" w:rsidRDefault="00012236" w:rsidP="00351981">
      <w:r w:rsidRPr="000A2516">
        <w:t xml:space="preserve">Option </w:t>
      </w:r>
      <w:proofErr w:type="gramStart"/>
      <w:r w:rsidRPr="000A2516">
        <w:t>2:</w:t>
      </w:r>
      <w:proofErr w:type="gramEnd"/>
      <w:r w:rsidRPr="000A2516">
        <w:t xml:space="preserve"> Un "Forum sur le numérique au service du développement" annuel, axé sur les pays en développement et associé au SMSI </w:t>
      </w:r>
      <w:r w:rsidR="005B0FDD" w:rsidRPr="000A2516">
        <w:t xml:space="preserve">OU </w:t>
      </w:r>
      <w:r w:rsidRPr="000A2516">
        <w:t xml:space="preserve">fusionné avec le SMSI </w:t>
      </w:r>
      <w:r w:rsidRPr="000A2516">
        <w:rPr>
          <w:i/>
          <w:iCs/>
        </w:rPr>
        <w:t xml:space="preserve">(le SMSI se présentant comme </w:t>
      </w:r>
      <w:r w:rsidRPr="000A2516">
        <w:t>"</w:t>
      </w:r>
      <w:r w:rsidRPr="000A2516">
        <w:rPr>
          <w:i/>
          <w:iCs/>
        </w:rPr>
        <w:t>le plus vaste rassemblement annuel de la communauté des TIC au service du développement</w:t>
      </w:r>
      <w:r w:rsidRPr="000A2516">
        <w:t>"</w:t>
      </w:r>
      <w:r w:rsidRPr="000A2516">
        <w:rPr>
          <w:i/>
          <w:iCs/>
        </w:rPr>
        <w:t>)</w:t>
      </w:r>
      <w:r w:rsidR="00AF256B" w:rsidRPr="000A2516">
        <w:t>.</w:t>
      </w:r>
      <w:r w:rsidRPr="000A2516">
        <w:t xml:space="preserve"> Cette manifestation permettrait de promouvoir l'innovation, ainsi que l'adoption et l'utilisation de solutions TIC à l'appui des objectifs en matière de développement des pays en développement. Les parties prenantes pourraient ainsi i) connaître les dernières tendances dans les domaines des technologies, des politiques et de la </w:t>
      </w:r>
      <w:proofErr w:type="gramStart"/>
      <w:r w:rsidRPr="000A2516">
        <w:t>réglementation;</w:t>
      </w:r>
      <w:proofErr w:type="gramEnd"/>
      <w:r w:rsidRPr="000A2516">
        <w:t xml:space="preserve"> ii) présenter des innovations, des programmes, des initiatives ou des politiques dans le domaine des technologies; et iii) nouer des contacts en réseau pour mettre en place des partenariats. </w:t>
      </w:r>
      <w:r w:rsidR="00CA7CFD" w:rsidRPr="000A2516">
        <w:t>Cette manifestation</w:t>
      </w:r>
      <w:r w:rsidR="00351981" w:rsidRPr="000A2516">
        <w:t xml:space="preserve"> </w:t>
      </w:r>
      <w:r w:rsidRPr="000A2516">
        <w:t xml:space="preserve">pourrait avoir lieu à un endroit fixe </w:t>
      </w:r>
      <w:r w:rsidR="00D05CB0" w:rsidRPr="000A2516">
        <w:t>dans</w:t>
      </w:r>
      <w:r w:rsidRPr="000A2516">
        <w:t xml:space="preserve"> le monde.</w:t>
      </w:r>
    </w:p>
    <w:p w14:paraId="28DB1A50" w14:textId="450CD0DE" w:rsidR="00012236" w:rsidRPr="000A2516" w:rsidRDefault="00012236" w:rsidP="00351981">
      <w:r w:rsidRPr="000A2516">
        <w:t xml:space="preserve">Cette manifestation nécessiterait des </w:t>
      </w:r>
      <w:proofErr w:type="gramStart"/>
      <w:r w:rsidRPr="000A2516">
        <w:t>subventions:</w:t>
      </w:r>
      <w:proofErr w:type="gramEnd"/>
      <w:r w:rsidRPr="000A2516">
        <w:t xml:space="preserve"> chaque édition devrait entraîner des pertes d'environ 4 millions CHF par an.</w:t>
      </w:r>
    </w:p>
    <w:p w14:paraId="7DC87589" w14:textId="19352F61" w:rsidR="00E94196" w:rsidRPr="000A2516" w:rsidRDefault="00012236" w:rsidP="00351981">
      <w:r w:rsidRPr="000A2516">
        <w:t xml:space="preserve">Option </w:t>
      </w:r>
      <w:proofErr w:type="gramStart"/>
      <w:r w:rsidRPr="000A2516">
        <w:t>3:</w:t>
      </w:r>
      <w:proofErr w:type="gramEnd"/>
      <w:r w:rsidRPr="000A2516">
        <w:t xml:space="preserve"> Élaborer et organiser une exposition et des sessions du forum axées sur "le numérique au service du bien social"</w:t>
      </w:r>
      <w:r w:rsidR="00351981" w:rsidRPr="000A2516">
        <w:t>,</w:t>
      </w:r>
      <w:r w:rsidR="00CA7CFD" w:rsidRPr="000A2516">
        <w:t xml:space="preserve"> </w:t>
      </w:r>
      <w:r w:rsidRPr="000A2516">
        <w:t xml:space="preserve">dans le cadre d'une manifestation </w:t>
      </w:r>
      <w:r w:rsidR="00D05CB0" w:rsidRPr="000A2516">
        <w:t xml:space="preserve">annuelle </w:t>
      </w:r>
      <w:r w:rsidRPr="000A2516">
        <w:t>mondiale</w:t>
      </w:r>
      <w:r w:rsidR="00351981" w:rsidRPr="000A2516">
        <w:t xml:space="preserve"> </w:t>
      </w:r>
      <w:r w:rsidRPr="000A2516">
        <w:t>mobilisant toute l'UIT, en intégrant également le SMSI et</w:t>
      </w:r>
      <w:r w:rsidR="00D05CB0" w:rsidRPr="000A2516">
        <w:t>/ou</w:t>
      </w:r>
      <w:r w:rsidR="00351981" w:rsidRPr="000A2516">
        <w:t xml:space="preserve"> </w:t>
      </w:r>
      <w:r w:rsidRPr="000A2516">
        <w:t xml:space="preserve">le Sommet mondial sur l'intelligence artificielle au service du bien social. Cette manifestation de premier plan permettrait de promouvoir l'innovation, ainsi que l'adoption et l'utilisation de solutions TIC au service du bien commun à l'appui des ODD. Elle offrirait la </w:t>
      </w:r>
      <w:proofErr w:type="gramStart"/>
      <w:r w:rsidRPr="000A2516">
        <w:t>possibilité</w:t>
      </w:r>
      <w:r w:rsidR="00E94196" w:rsidRPr="000A2516">
        <w:t>:</w:t>
      </w:r>
      <w:proofErr w:type="gramEnd"/>
    </w:p>
    <w:p w14:paraId="7A0FC2B8" w14:textId="2C45A580" w:rsidR="00E94196" w:rsidRPr="000A2516" w:rsidRDefault="00012236" w:rsidP="00351981">
      <w:pPr>
        <w:pStyle w:val="enumlev1"/>
      </w:pPr>
      <w:r w:rsidRPr="000A2516">
        <w:t>i)</w:t>
      </w:r>
      <w:r w:rsidR="00E94196" w:rsidRPr="000A2516">
        <w:tab/>
      </w:r>
      <w:r w:rsidRPr="000A2516">
        <w:t xml:space="preserve">d'améliorer les connaissances collectives sur les innovations numériques au service du bien </w:t>
      </w:r>
      <w:proofErr w:type="gramStart"/>
      <w:r w:rsidRPr="000A2516">
        <w:t>social</w:t>
      </w:r>
      <w:r w:rsidR="00AF256B" w:rsidRPr="000A2516">
        <w:t>;</w:t>
      </w:r>
      <w:proofErr w:type="gramEnd"/>
      <w:r w:rsidRPr="000A2516">
        <w:t xml:space="preserve"> et</w:t>
      </w:r>
    </w:p>
    <w:p w14:paraId="51528FD7" w14:textId="49D21D37" w:rsidR="00E94196" w:rsidRPr="000A2516" w:rsidRDefault="00012236" w:rsidP="00351981">
      <w:pPr>
        <w:pStyle w:val="enumlev1"/>
      </w:pPr>
      <w:r w:rsidRPr="000A2516">
        <w:t>ii)</w:t>
      </w:r>
      <w:r w:rsidR="00E94196" w:rsidRPr="000A2516">
        <w:tab/>
      </w:r>
      <w:r w:rsidRPr="000A2516">
        <w:t>d'organiser des échanges entre les parties prenantes du numérique au service du bien social</w:t>
      </w:r>
      <w:r w:rsidR="00CA7CFD" w:rsidRPr="000A2516">
        <w:t>,</w:t>
      </w:r>
      <w:r w:rsidRPr="000A2516">
        <w:t xml:space="preserve"> afin de promouvoir l'adoption et le développement du numérique et de remédier aux </w:t>
      </w:r>
      <w:proofErr w:type="gramStart"/>
      <w:r w:rsidRPr="000A2516">
        <w:t>risques potentiels</w:t>
      </w:r>
      <w:proofErr w:type="gramEnd"/>
      <w:r w:rsidRPr="000A2516">
        <w:t xml:space="preserve">. Elle </w:t>
      </w:r>
      <w:r w:rsidRPr="000A2516">
        <w:tab/>
        <w:t>pourrait avoir lieu chaque année à un endroit fixe</w:t>
      </w:r>
      <w:r w:rsidR="00351981" w:rsidRPr="000A2516">
        <w:t xml:space="preserve"> </w:t>
      </w:r>
      <w:r w:rsidR="00D05CB0" w:rsidRPr="000A2516">
        <w:t>dans</w:t>
      </w:r>
      <w:r w:rsidR="00351981" w:rsidRPr="000A2516">
        <w:t xml:space="preserve"> </w:t>
      </w:r>
      <w:r w:rsidRPr="000A2516">
        <w:t>le monde.</w:t>
      </w:r>
    </w:p>
    <w:p w14:paraId="788D30C6" w14:textId="6198BAC5" w:rsidR="00012236" w:rsidRPr="000A2516" w:rsidRDefault="00012236" w:rsidP="00351981">
      <w:r w:rsidRPr="000A2516">
        <w:t>Cette manifestation pourrait être rentable en fonction de sa capacité à attirer les entreprises. Dans un scénario de base, elle pourrait produire des bénéfices à hauteur d'environ 1 million CHF. En fonction des variations du nombre d'exposants, elle pourrait entraîner des pertes d'environ 1,5</w:t>
      </w:r>
      <w:r w:rsidR="00E94196" w:rsidRPr="000A2516">
        <w:t> </w:t>
      </w:r>
      <w:r w:rsidRPr="000A2516">
        <w:t>million CHF ou des bénéfices d'environ 5,5 millions CHF.</w:t>
      </w:r>
    </w:p>
    <w:p w14:paraId="5B95013B" w14:textId="3A7A40B9" w:rsidR="00012236" w:rsidRPr="000A2516" w:rsidRDefault="00012236" w:rsidP="00351981">
      <w:r w:rsidRPr="000A2516">
        <w:t>Les deux premières options comportent un risque de réduction de la portée des manifestations ITU Telecom, de sorte que ces manifestations, qui sont actuellement d'envergure mondiale et s'adressent à tous, deviendraient pertinentes uniquement pour les pays en développement. À l'inverse, une manifestation mondiale sur le numérique au service du bien social permettrait de conserver une portée mondiale. Elle offrirait également un double avantage, à savoir la possibilité de repenser entièrement la manifestation</w:t>
      </w:r>
      <w:r w:rsidR="00CA7CFD" w:rsidRPr="000A2516">
        <w:t>,</w:t>
      </w:r>
      <w:r w:rsidRPr="000A2516">
        <w:t xml:space="preserve"> tout en conservant la composante de l'exposition qui fait sa particularité, et la possibilité de tirer parti de la composition unique et diversifiée des membres de l'UIT pour mieux répondre aux besoins du secteur des TIC et, à terme, de permettre à l'UIT d'accomplir sa mission, consistant à élargir l'accès aux TIC au service du développement durable.</w:t>
      </w:r>
    </w:p>
    <w:p w14:paraId="4256913E" w14:textId="77777777" w:rsidR="00EA6AC9" w:rsidRDefault="00EA6AC9" w:rsidP="00351981">
      <w:r>
        <w:br w:type="page"/>
      </w:r>
    </w:p>
    <w:p w14:paraId="7E5D2473" w14:textId="047CC9CE" w:rsidR="00012236" w:rsidRPr="000A2516" w:rsidRDefault="00A13B9F" w:rsidP="00351981">
      <w:r w:rsidRPr="000A2516">
        <w:lastRenderedPageBreak/>
        <w:t xml:space="preserve">Dalberg </w:t>
      </w:r>
      <w:r w:rsidR="00012236" w:rsidRPr="000A2516">
        <w:t>recommand</w:t>
      </w:r>
      <w:r w:rsidRPr="000A2516">
        <w:t>e</w:t>
      </w:r>
      <w:r w:rsidR="00012236" w:rsidRPr="000A2516">
        <w:t xml:space="preserve"> que </w:t>
      </w:r>
      <w:r w:rsidRPr="000A2516">
        <w:t>l</w:t>
      </w:r>
      <w:r w:rsidR="00351981" w:rsidRPr="000A2516">
        <w:t>'</w:t>
      </w:r>
      <w:r w:rsidRPr="000A2516">
        <w:t>on</w:t>
      </w:r>
      <w:r w:rsidR="00012236" w:rsidRPr="000A2516">
        <w:t xml:space="preserve"> envisage d'approfondir la troisième option dans le cadre de la Phase II déjà étudiée, afin de concevoir une grande manifestation mondiale sur le numérique au service du bien social. Cette phase devrait comprendre notamment deux axes de travail clairs: i)</w:t>
      </w:r>
      <w:r w:rsidR="00AF256B" w:rsidRPr="000A2516">
        <w:t> </w:t>
      </w:r>
      <w:r w:rsidR="00012236" w:rsidRPr="000A2516">
        <w:t>un exercice d'alignement interne mobilisant les trois Bureaux et le Secrétariat, afin de convenir du portefeuille de manifestations stratégiques et du modèle d'exploitation (notamment en ce qui concerne la gouvernance des manifestations); ii) un exercice de création conjointe avec un sous</w:t>
      </w:r>
      <w:r w:rsidR="00AF256B" w:rsidRPr="000A2516">
        <w:noBreakHyphen/>
      </w:r>
      <w:r w:rsidR="00012236" w:rsidRPr="000A2516">
        <w:t>groupe de Membres de Secteur de l'UIT pour définir clairement leurs besoins et les éléments de nature à susciter leur participation et leur contribution aux manifestations futures.</w:t>
      </w:r>
    </w:p>
    <w:p w14:paraId="72A2EA67" w14:textId="589E920E" w:rsidR="00DD6B75" w:rsidRPr="000A2516" w:rsidRDefault="00DD6B75" w:rsidP="00351981">
      <w:pPr>
        <w:pStyle w:val="Heading1"/>
      </w:pPr>
      <w:r w:rsidRPr="000A2516">
        <w:t>2</w:t>
      </w:r>
      <w:r w:rsidRPr="000A2516">
        <w:tab/>
        <w:t>Propos</w:t>
      </w:r>
      <w:r w:rsidR="00A13B9F" w:rsidRPr="000A2516">
        <w:t>ition</w:t>
      </w:r>
    </w:p>
    <w:p w14:paraId="17DF7EF1" w14:textId="26381CA8" w:rsidR="00A13B9F" w:rsidRPr="000A2516" w:rsidRDefault="00A13B9F" w:rsidP="00351981">
      <w:pPr>
        <w:rPr>
          <w:bCs/>
        </w:rPr>
      </w:pPr>
      <w:r w:rsidRPr="000A2516">
        <w:rPr>
          <w:bCs/>
        </w:rPr>
        <w:t>Nous reconnaissons qu</w:t>
      </w:r>
      <w:r w:rsidR="00351981" w:rsidRPr="000A2516">
        <w:rPr>
          <w:bCs/>
        </w:rPr>
        <w:t>'</w:t>
      </w:r>
      <w:r w:rsidR="007F7581" w:rsidRPr="000A2516">
        <w:rPr>
          <w:bCs/>
        </w:rPr>
        <w:t>une</w:t>
      </w:r>
      <w:r w:rsidRPr="000A2516">
        <w:rPr>
          <w:bCs/>
        </w:rPr>
        <w:t xml:space="preserve"> réforme des </w:t>
      </w:r>
      <w:r w:rsidRPr="000A2516">
        <w:t>manifestations</w:t>
      </w:r>
      <w:r w:rsidRPr="000A2516">
        <w:rPr>
          <w:bCs/>
        </w:rPr>
        <w:t xml:space="preserve"> ITU Telecom </w:t>
      </w:r>
      <w:r w:rsidR="007F7581" w:rsidRPr="000A2516">
        <w:rPr>
          <w:bCs/>
        </w:rPr>
        <w:t>doit être effectuée d</w:t>
      </w:r>
      <w:r w:rsidR="00351981" w:rsidRPr="000A2516">
        <w:rPr>
          <w:bCs/>
        </w:rPr>
        <w:t>'</w:t>
      </w:r>
      <w:r w:rsidR="007F7581" w:rsidRPr="000A2516">
        <w:rPr>
          <w:bCs/>
        </w:rPr>
        <w:t>urgence</w:t>
      </w:r>
      <w:r w:rsidR="00351981" w:rsidRPr="000A2516">
        <w:rPr>
          <w:bCs/>
        </w:rPr>
        <w:t xml:space="preserve"> </w:t>
      </w:r>
      <w:r w:rsidRPr="000A2516">
        <w:rPr>
          <w:bCs/>
        </w:rPr>
        <w:t>et que si cette question n</w:t>
      </w:r>
      <w:r w:rsidR="00351981" w:rsidRPr="000A2516">
        <w:rPr>
          <w:bCs/>
        </w:rPr>
        <w:t>'</w:t>
      </w:r>
      <w:r w:rsidRPr="000A2516">
        <w:rPr>
          <w:bCs/>
        </w:rPr>
        <w:t>est</w:t>
      </w:r>
      <w:r w:rsidR="00351981" w:rsidRPr="000A2516">
        <w:rPr>
          <w:bCs/>
        </w:rPr>
        <w:t xml:space="preserve"> </w:t>
      </w:r>
      <w:r w:rsidRPr="000A2516">
        <w:rPr>
          <w:bCs/>
        </w:rPr>
        <w:t>pas traitée par le Conseil à sa session de 2021,</w:t>
      </w:r>
      <w:r w:rsidR="00351981" w:rsidRPr="000A2516">
        <w:rPr>
          <w:bCs/>
        </w:rPr>
        <w:t xml:space="preserve"> </w:t>
      </w:r>
      <w:r w:rsidRPr="000A2516">
        <w:rPr>
          <w:bCs/>
        </w:rPr>
        <w:t>il risque d</w:t>
      </w:r>
      <w:r w:rsidR="00351981" w:rsidRPr="000A2516">
        <w:rPr>
          <w:bCs/>
        </w:rPr>
        <w:t>'</w:t>
      </w:r>
      <w:r w:rsidRPr="000A2516">
        <w:rPr>
          <w:bCs/>
        </w:rPr>
        <w:t>en résulter un déficit, ce qui</w:t>
      </w:r>
      <w:r w:rsidR="00351981" w:rsidRPr="000A2516">
        <w:rPr>
          <w:bCs/>
        </w:rPr>
        <w:t xml:space="preserve"> </w:t>
      </w:r>
      <w:r w:rsidR="007F7581" w:rsidRPr="000A2516">
        <w:rPr>
          <w:bCs/>
        </w:rPr>
        <w:t>pourrait</w:t>
      </w:r>
      <w:r w:rsidRPr="000A2516">
        <w:rPr>
          <w:bCs/>
        </w:rPr>
        <w:t xml:space="preserve"> continuer </w:t>
      </w:r>
      <w:r w:rsidR="007F7581" w:rsidRPr="000A2516">
        <w:rPr>
          <w:bCs/>
        </w:rPr>
        <w:t>d</w:t>
      </w:r>
      <w:r w:rsidR="00351981" w:rsidRPr="000A2516">
        <w:rPr>
          <w:bCs/>
        </w:rPr>
        <w:t>'</w:t>
      </w:r>
      <w:r w:rsidRPr="000A2516">
        <w:rPr>
          <w:bCs/>
        </w:rPr>
        <w:t xml:space="preserve">avoir </w:t>
      </w:r>
      <w:r w:rsidR="007F7581" w:rsidRPr="000A2516">
        <w:rPr>
          <w:bCs/>
        </w:rPr>
        <w:t>des incidences</w:t>
      </w:r>
      <w:r w:rsidRPr="000A2516">
        <w:rPr>
          <w:bCs/>
        </w:rPr>
        <w:t xml:space="preserve"> négati</w:t>
      </w:r>
      <w:r w:rsidR="007F7581" w:rsidRPr="000A2516">
        <w:rPr>
          <w:bCs/>
        </w:rPr>
        <w:t>ves</w:t>
      </w:r>
      <w:r w:rsidRPr="000A2516">
        <w:rPr>
          <w:bCs/>
        </w:rPr>
        <w:t xml:space="preserve"> sur les ressources financières de l'Union.</w:t>
      </w:r>
    </w:p>
    <w:p w14:paraId="0A59E133" w14:textId="6B3E38FD" w:rsidR="00DD6B75" w:rsidRPr="000A2516" w:rsidRDefault="007F7581" w:rsidP="00351981">
      <w:pPr>
        <w:rPr>
          <w:bCs/>
        </w:rPr>
      </w:pPr>
      <w:r w:rsidRPr="000A2516">
        <w:rPr>
          <w:bCs/>
        </w:rPr>
        <w:t xml:space="preserve">Cependant, étant donné qu'il est nécessaire </w:t>
      </w:r>
      <w:r w:rsidR="001B6482" w:rsidRPr="000A2516">
        <w:rPr>
          <w:bCs/>
        </w:rPr>
        <w:t xml:space="preserve">de </w:t>
      </w:r>
      <w:r w:rsidR="00A66293" w:rsidRPr="000A2516">
        <w:rPr>
          <w:bCs/>
        </w:rPr>
        <w:t xml:space="preserve">revoir </w:t>
      </w:r>
      <w:r w:rsidR="001B6482" w:rsidRPr="000A2516">
        <w:t>la situation concernant</w:t>
      </w:r>
      <w:r w:rsidR="00351981" w:rsidRPr="000A2516">
        <w:t xml:space="preserve"> </w:t>
      </w:r>
      <w:r w:rsidRPr="000A2516">
        <w:rPr>
          <w:bCs/>
        </w:rPr>
        <w:t>ces grandes expositions/</w:t>
      </w:r>
      <w:r w:rsidR="001B6482" w:rsidRPr="000A2516">
        <w:rPr>
          <w:bCs/>
        </w:rPr>
        <w:t>manifestations</w:t>
      </w:r>
      <w:r w:rsidR="00351981" w:rsidRPr="000A2516">
        <w:rPr>
          <w:bCs/>
        </w:rPr>
        <w:t xml:space="preserve"> </w:t>
      </w:r>
      <w:r w:rsidR="00A66293" w:rsidRPr="000A2516">
        <w:t>et d</w:t>
      </w:r>
      <w:r w:rsidR="00351981" w:rsidRPr="000A2516">
        <w:t>'</w:t>
      </w:r>
      <w:r w:rsidR="00A66293" w:rsidRPr="000A2516">
        <w:t>examiner</w:t>
      </w:r>
      <w:r w:rsidR="001B6482" w:rsidRPr="000A2516">
        <w:t xml:space="preserve"> leur</w:t>
      </w:r>
      <w:r w:rsidR="001B6482" w:rsidRPr="000A2516">
        <w:rPr>
          <w:bCs/>
        </w:rPr>
        <w:t xml:space="preserve"> rentabilité</w:t>
      </w:r>
      <w:r w:rsidR="00351981" w:rsidRPr="000A2516">
        <w:rPr>
          <w:bCs/>
        </w:rPr>
        <w:t xml:space="preserve"> </w:t>
      </w:r>
      <w:r w:rsidRPr="000A2516">
        <w:rPr>
          <w:bCs/>
        </w:rPr>
        <w:t>à la lumière de la pandémie, nous</w:t>
      </w:r>
      <w:r w:rsidR="00351981" w:rsidRPr="000A2516">
        <w:rPr>
          <w:bCs/>
        </w:rPr>
        <w:t xml:space="preserve"> </w:t>
      </w:r>
      <w:r w:rsidRPr="000A2516">
        <w:rPr>
          <w:bCs/>
        </w:rPr>
        <w:t>suggér</w:t>
      </w:r>
      <w:r w:rsidR="001B6482" w:rsidRPr="000A2516">
        <w:rPr>
          <w:bCs/>
        </w:rPr>
        <w:t>ons que soient adoptées les</w:t>
      </w:r>
      <w:r w:rsidRPr="000A2516">
        <w:rPr>
          <w:bCs/>
        </w:rPr>
        <w:t xml:space="preserve"> approches </w:t>
      </w:r>
      <w:proofErr w:type="gramStart"/>
      <w:r w:rsidRPr="000A2516">
        <w:rPr>
          <w:bCs/>
        </w:rPr>
        <w:t>suivantes</w:t>
      </w:r>
      <w:r w:rsidR="00351981" w:rsidRPr="000A2516">
        <w:rPr>
          <w:bCs/>
        </w:rPr>
        <w:t>:</w:t>
      </w:r>
      <w:proofErr w:type="gramEnd"/>
    </w:p>
    <w:p w14:paraId="352127E3" w14:textId="50B9F48E" w:rsidR="00DD6B75" w:rsidRPr="000A2516" w:rsidRDefault="00AF256B" w:rsidP="00AF256B">
      <w:pPr>
        <w:pStyle w:val="enumlev1"/>
      </w:pPr>
      <w:r w:rsidRPr="000A2516">
        <w:t>1)</w:t>
      </w:r>
      <w:r w:rsidRPr="000A2516">
        <w:tab/>
      </w:r>
      <w:r w:rsidR="001B6482" w:rsidRPr="000A2516">
        <w:t xml:space="preserve">Étudier </w:t>
      </w:r>
      <w:r w:rsidR="00A66293" w:rsidRPr="000A2516">
        <w:t xml:space="preserve">les incidences </w:t>
      </w:r>
      <w:r w:rsidR="001B6482" w:rsidRPr="000A2516">
        <w:t>financi</w:t>
      </w:r>
      <w:r w:rsidR="00A66293" w:rsidRPr="000A2516">
        <w:t>ères</w:t>
      </w:r>
      <w:r w:rsidR="001B6482" w:rsidRPr="000A2516">
        <w:t xml:space="preserve"> et opérationnel</w:t>
      </w:r>
      <w:r w:rsidR="00A66293" w:rsidRPr="000A2516">
        <w:t>les</w:t>
      </w:r>
      <w:r w:rsidR="001B6482" w:rsidRPr="000A2516">
        <w:t xml:space="preserve"> d'autres </w:t>
      </w:r>
      <w:r w:rsidR="00A66293" w:rsidRPr="000A2516">
        <w:t>manifestations</w:t>
      </w:r>
      <w:r w:rsidR="001B6482" w:rsidRPr="000A2516">
        <w:t xml:space="preserve"> organisé</w:t>
      </w:r>
      <w:r w:rsidR="00A66293" w:rsidRPr="000A2516">
        <w:t>e</w:t>
      </w:r>
      <w:r w:rsidR="001B6482" w:rsidRPr="000A2516">
        <w:t xml:space="preserve">s par le secteur privé, </w:t>
      </w:r>
      <w:r w:rsidR="00A66293" w:rsidRPr="000A2516">
        <w:t>par exemple</w:t>
      </w:r>
      <w:r w:rsidR="001B6482" w:rsidRPr="000A2516">
        <w:t xml:space="preserve"> le CES et le Mobile World </w:t>
      </w:r>
      <w:proofErr w:type="spellStart"/>
      <w:r w:rsidR="001B6482" w:rsidRPr="000A2516">
        <w:t>Congre</w:t>
      </w:r>
      <w:r w:rsidRPr="000A2516">
        <w:t>s</w:t>
      </w:r>
      <w:r w:rsidR="001B6482" w:rsidRPr="000A2516">
        <w:t>s</w:t>
      </w:r>
      <w:proofErr w:type="spellEnd"/>
      <w:r w:rsidR="001B6482" w:rsidRPr="000A2516">
        <w:t xml:space="preserve">, et </w:t>
      </w:r>
      <w:r w:rsidR="00924C1C" w:rsidRPr="000A2516">
        <w:t>le</w:t>
      </w:r>
      <w:r w:rsidR="00CA7CFD" w:rsidRPr="000A2516">
        <w:t>ur</w:t>
      </w:r>
      <w:r w:rsidR="00924C1C" w:rsidRPr="000A2516">
        <w:t>s activités de</w:t>
      </w:r>
      <w:r w:rsidR="00351981" w:rsidRPr="000A2516">
        <w:t xml:space="preserve"> </w:t>
      </w:r>
      <w:r w:rsidR="001B6482" w:rsidRPr="000A2516">
        <w:t>prépara</w:t>
      </w:r>
      <w:r w:rsidR="00A66293" w:rsidRPr="000A2516">
        <w:t>tion des manifestations</w:t>
      </w:r>
      <w:r w:rsidR="001B6482" w:rsidRPr="000A2516">
        <w:t xml:space="preserve"> futur</w:t>
      </w:r>
      <w:r w:rsidR="00A66293" w:rsidRPr="000A2516">
        <w:t>e</w:t>
      </w:r>
      <w:r w:rsidR="001B6482" w:rsidRPr="000A2516">
        <w:t>s</w:t>
      </w:r>
      <w:r w:rsidRPr="000A2516">
        <w:t>.</w:t>
      </w:r>
    </w:p>
    <w:p w14:paraId="5403F872" w14:textId="33BAC7AA" w:rsidR="00DD6B75" w:rsidRPr="000A2516" w:rsidRDefault="00AF256B" w:rsidP="00AF256B">
      <w:pPr>
        <w:pStyle w:val="enumlev1"/>
      </w:pPr>
      <w:r w:rsidRPr="000A2516">
        <w:t>2)</w:t>
      </w:r>
      <w:r w:rsidRPr="000A2516">
        <w:tab/>
      </w:r>
      <w:r w:rsidR="00924C1C" w:rsidRPr="000A2516">
        <w:t>Évaluer les résultats de l'édition de 2020 du Forum du SMSI, de l'édition de 2021 du Forum du SMSI</w:t>
      </w:r>
      <w:r w:rsidR="00351981" w:rsidRPr="000A2516">
        <w:t xml:space="preserve"> </w:t>
      </w:r>
      <w:r w:rsidR="00924C1C" w:rsidRPr="000A2516">
        <w:t>et de la manifestation ITU Digital World 2020</w:t>
      </w:r>
      <w:r w:rsidR="00351981" w:rsidRPr="000A2516">
        <w:t xml:space="preserve"> </w:t>
      </w:r>
      <w:r w:rsidR="00924C1C" w:rsidRPr="000A2516">
        <w:t>et analyser les incidences financières d</w:t>
      </w:r>
      <w:r w:rsidR="00351981" w:rsidRPr="000A2516">
        <w:t>'</w:t>
      </w:r>
      <w:r w:rsidR="00924C1C" w:rsidRPr="000A2516">
        <w:t>ITU Digital World 2021</w:t>
      </w:r>
      <w:r w:rsidRPr="000A2516">
        <w:t>.</w:t>
      </w:r>
    </w:p>
    <w:p w14:paraId="375F041B" w14:textId="7A4A545E" w:rsidR="00DD6B75" w:rsidRPr="000A2516" w:rsidRDefault="00AF256B" w:rsidP="00AF256B">
      <w:pPr>
        <w:pStyle w:val="enumlev1"/>
      </w:pPr>
      <w:r w:rsidRPr="000A2516">
        <w:t>3)</w:t>
      </w:r>
      <w:r w:rsidRPr="000A2516">
        <w:tab/>
      </w:r>
      <w:r w:rsidR="00924C1C" w:rsidRPr="000A2516">
        <w:t>Examiner les expositions hybrides virtuelles et physiques des manifestations ITU Telecom et en estimer les coûts et les résultats</w:t>
      </w:r>
      <w:r w:rsidRPr="000A2516">
        <w:t>.</w:t>
      </w:r>
    </w:p>
    <w:p w14:paraId="532D5FB7" w14:textId="10CFEF54" w:rsidR="00DD6B75" w:rsidRPr="000A2516" w:rsidRDefault="00DD6B75" w:rsidP="00AF256B">
      <w:pPr>
        <w:pStyle w:val="enumlev1"/>
      </w:pPr>
      <w:r w:rsidRPr="000A2516">
        <w:t>4)</w:t>
      </w:r>
      <w:r w:rsidRPr="000A2516">
        <w:tab/>
      </w:r>
      <w:r w:rsidR="00AF256B" w:rsidRPr="000A2516">
        <w:t>T</w:t>
      </w:r>
      <w:r w:rsidR="00CA7CFD" w:rsidRPr="000A2516">
        <w:t xml:space="preserve">enir </w:t>
      </w:r>
      <w:r w:rsidR="00924C1C" w:rsidRPr="000A2516">
        <w:t xml:space="preserve">dûment </w:t>
      </w:r>
      <w:r w:rsidR="00CA7CFD" w:rsidRPr="000A2516">
        <w:t>compte des</w:t>
      </w:r>
      <w:r w:rsidR="00924C1C" w:rsidRPr="000A2516">
        <w:t xml:space="preserve"> demandes des Membres de Secteur dans la conception des manifestations ITU Telecom</w:t>
      </w:r>
      <w:r w:rsidR="00AF256B" w:rsidRPr="000A2516">
        <w:t>.</w:t>
      </w:r>
    </w:p>
    <w:p w14:paraId="0EBDDC81" w14:textId="05791652" w:rsidR="00DD6B75" w:rsidRPr="000A2516" w:rsidRDefault="00DD6B75" w:rsidP="00AF256B">
      <w:pPr>
        <w:pStyle w:val="enumlev1"/>
      </w:pPr>
      <w:r w:rsidRPr="000A2516">
        <w:t>5)</w:t>
      </w:r>
      <w:r w:rsidRPr="000A2516">
        <w:tab/>
      </w:r>
      <w:r w:rsidR="00924C1C" w:rsidRPr="000A2516">
        <w:t>Adopter des technologies de pointe pour les participants virtuels (par exemple la technologie avatar) et faciliter la participation</w:t>
      </w:r>
      <w:r w:rsidR="00351981" w:rsidRPr="000A2516">
        <w:t xml:space="preserve"> </w:t>
      </w:r>
      <w:r w:rsidR="00924C1C" w:rsidRPr="000A2516">
        <w:t>pour les personnes handicapées et les personnes</w:t>
      </w:r>
      <w:r w:rsidR="00351981" w:rsidRPr="000A2516">
        <w:t xml:space="preserve"> </w:t>
      </w:r>
      <w:r w:rsidR="00924C1C" w:rsidRPr="000A2516">
        <w:t>vivant dans les zones rurales</w:t>
      </w:r>
      <w:r w:rsidR="00CA7CFD" w:rsidRPr="000A2516">
        <w:t xml:space="preserve"> ou </w:t>
      </w:r>
      <w:r w:rsidR="00924C1C" w:rsidRPr="000A2516">
        <w:t>isolées</w:t>
      </w:r>
      <w:r w:rsidR="00351981" w:rsidRPr="000A2516">
        <w:t xml:space="preserve"> </w:t>
      </w:r>
      <w:r w:rsidR="00924C1C" w:rsidRPr="000A2516">
        <w:t>qui éprouvent des difficultés à assister à des manifestations physiques</w:t>
      </w:r>
      <w:r w:rsidR="00AF256B" w:rsidRPr="000A2516">
        <w:t>.</w:t>
      </w:r>
    </w:p>
    <w:p w14:paraId="7745818B" w14:textId="4E14E1C3" w:rsidR="00012236" w:rsidRDefault="00DD6B75" w:rsidP="00AF256B">
      <w:pPr>
        <w:pStyle w:val="enumlev1"/>
      </w:pPr>
      <w:r w:rsidRPr="000A2516">
        <w:t>6)</w:t>
      </w:r>
      <w:r w:rsidRPr="000A2516">
        <w:tab/>
      </w:r>
      <w:r w:rsidR="00AF256B" w:rsidRPr="000A2516">
        <w:t>F</w:t>
      </w:r>
      <w:r w:rsidR="00E41AA1" w:rsidRPr="000A2516">
        <w:t>aire preuve de souplesse s</w:t>
      </w:r>
      <w:r w:rsidR="00351981" w:rsidRPr="000A2516">
        <w:t>'</w:t>
      </w:r>
      <w:r w:rsidR="00E41AA1" w:rsidRPr="000A2516">
        <w:t>agissant</w:t>
      </w:r>
      <w:r w:rsidR="00351981" w:rsidRPr="000A2516">
        <w:t xml:space="preserve"> </w:t>
      </w:r>
      <w:r w:rsidR="00E41AA1" w:rsidRPr="000A2516">
        <w:t xml:space="preserve">du lieu où se tiendront les </w:t>
      </w:r>
      <w:r w:rsidR="00924C1C" w:rsidRPr="000A2516">
        <w:t>manifestations, en tenant compte de la reconstruction des locaux du siège de l'UIT.</w:t>
      </w:r>
    </w:p>
    <w:p w14:paraId="1225D740" w14:textId="77777777" w:rsidR="00EA6AC9" w:rsidRPr="000A2516" w:rsidRDefault="00EA6AC9" w:rsidP="00EA6AC9"/>
    <w:p w14:paraId="49ABFA1B" w14:textId="04A728F1" w:rsidR="00DD6B75" w:rsidRPr="000A2516" w:rsidRDefault="00DD6B75" w:rsidP="00351981">
      <w:pPr>
        <w:spacing w:before="360"/>
        <w:jc w:val="center"/>
      </w:pPr>
      <w:r w:rsidRPr="000A2516">
        <w:t>______________</w:t>
      </w:r>
    </w:p>
    <w:sectPr w:rsidR="00DD6B75" w:rsidRPr="000A2516" w:rsidSect="005C3890">
      <w:headerReference w:type="even" r:id="rId10"/>
      <w:headerReference w:type="default" r:id="rId11"/>
      <w:footerReference w:type="even" r:id="rId12"/>
      <w:footerReference w:type="default" r:id="rId13"/>
      <w:footerReference w:type="first" r:id="rId14"/>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0A8C" w14:textId="77777777" w:rsidR="008B6529" w:rsidRDefault="008B6529">
      <w:r>
        <w:separator/>
      </w:r>
    </w:p>
  </w:endnote>
  <w:endnote w:type="continuationSeparator" w:id="0">
    <w:p w14:paraId="0F32EF90" w14:textId="77777777" w:rsidR="008B6529" w:rsidRDefault="008B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C871" w14:textId="61B17D15" w:rsidR="00732045" w:rsidRDefault="003064DB">
    <w:pPr>
      <w:pStyle w:val="Footer"/>
    </w:pPr>
    <w:r>
      <w:fldChar w:fldCharType="begin"/>
    </w:r>
    <w:r>
      <w:instrText xml:space="preserve"> FILENAME \p \* MERGEFORMAT </w:instrText>
    </w:r>
    <w:r>
      <w:fldChar w:fldCharType="separate"/>
    </w:r>
    <w:r w:rsidR="00EA6AC9">
      <w:t>P:\FRA\SG\CONSEIL\C21\000\079F.docx</w:t>
    </w:r>
    <w:r>
      <w:fldChar w:fldCharType="end"/>
    </w:r>
    <w:r w:rsidR="00732045">
      <w:tab/>
    </w:r>
    <w:r w:rsidR="002F1B76">
      <w:fldChar w:fldCharType="begin"/>
    </w:r>
    <w:r w:rsidR="00732045">
      <w:instrText xml:space="preserve"> savedate \@ dd.MM.yy </w:instrText>
    </w:r>
    <w:r w:rsidR="002F1B76">
      <w:fldChar w:fldCharType="separate"/>
    </w:r>
    <w:r>
      <w:t>26.05.21</w:t>
    </w:r>
    <w:r w:rsidR="002F1B76">
      <w:fldChar w:fldCharType="end"/>
    </w:r>
    <w:r w:rsidR="00732045">
      <w:tab/>
    </w:r>
    <w:r w:rsidR="002F1B76">
      <w:fldChar w:fldCharType="begin"/>
    </w:r>
    <w:r w:rsidR="00732045">
      <w:instrText xml:space="preserve"> printdate \@ dd.MM.yy </w:instrText>
    </w:r>
    <w:r w:rsidR="002F1B76">
      <w:fldChar w:fldCharType="separate"/>
    </w:r>
    <w:r w:rsidR="00EA6AC9">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172E" w14:textId="3F9BB5FE" w:rsidR="00732045" w:rsidRDefault="003064DB">
    <w:pPr>
      <w:pStyle w:val="Footer"/>
    </w:pPr>
    <w:r w:rsidRPr="003064DB">
      <w:rPr>
        <w:color w:val="F2F2F2" w:themeColor="background1" w:themeShade="F2"/>
      </w:rPr>
      <w:fldChar w:fldCharType="begin"/>
    </w:r>
    <w:r w:rsidRPr="003064DB">
      <w:rPr>
        <w:color w:val="F2F2F2" w:themeColor="background1" w:themeShade="F2"/>
      </w:rPr>
      <w:instrText xml:space="preserve"> FILENAM</w:instrText>
    </w:r>
    <w:r w:rsidRPr="003064DB">
      <w:rPr>
        <w:color w:val="F2F2F2" w:themeColor="background1" w:themeShade="F2"/>
      </w:rPr>
      <w:instrText xml:space="preserve">E \p \* MERGEFORMAT </w:instrText>
    </w:r>
    <w:r w:rsidRPr="003064DB">
      <w:rPr>
        <w:color w:val="F2F2F2" w:themeColor="background1" w:themeShade="F2"/>
      </w:rPr>
      <w:fldChar w:fldCharType="separate"/>
    </w:r>
    <w:r w:rsidR="00EA6AC9" w:rsidRPr="003064DB">
      <w:rPr>
        <w:color w:val="F2F2F2" w:themeColor="background1" w:themeShade="F2"/>
      </w:rPr>
      <w:t>P:\FRA\SG\CONSEIL\C21\000\079F.docx</w:t>
    </w:r>
    <w:r w:rsidRPr="003064DB">
      <w:rPr>
        <w:color w:val="F2F2F2" w:themeColor="background1" w:themeShade="F2"/>
      </w:rPr>
      <w:fldChar w:fldCharType="end"/>
    </w:r>
    <w:r w:rsidR="00DD6B75" w:rsidRPr="003064DB">
      <w:rPr>
        <w:color w:val="F2F2F2" w:themeColor="background1" w:themeShade="F2"/>
      </w:rPr>
      <w:t xml:space="preserve"> (489471)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2D25"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45D8" w14:textId="77777777" w:rsidR="008B6529" w:rsidRDefault="008B6529">
      <w:r>
        <w:t>____________________</w:t>
      </w:r>
    </w:p>
  </w:footnote>
  <w:footnote w:type="continuationSeparator" w:id="0">
    <w:p w14:paraId="500B653D" w14:textId="77777777" w:rsidR="008B6529" w:rsidRDefault="008B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C31B"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8D2BE72"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2695" w14:textId="09E059F5" w:rsidR="00732045" w:rsidRDefault="00C27A7C" w:rsidP="00475FB3">
    <w:pPr>
      <w:pStyle w:val="Header"/>
    </w:pPr>
    <w:r>
      <w:fldChar w:fldCharType="begin"/>
    </w:r>
    <w:r>
      <w:instrText>PAGE</w:instrText>
    </w:r>
    <w:r>
      <w:fldChar w:fldCharType="separate"/>
    </w:r>
    <w:r w:rsidR="00EA6AC9">
      <w:rPr>
        <w:noProof/>
      </w:rPr>
      <w:t>4</w:t>
    </w:r>
    <w:r>
      <w:rPr>
        <w:noProof/>
      </w:rPr>
      <w:fldChar w:fldCharType="end"/>
    </w:r>
  </w:p>
  <w:p w14:paraId="49A61FB5" w14:textId="3C03F6A0" w:rsidR="00732045" w:rsidRDefault="00732045" w:rsidP="00106B19">
    <w:pPr>
      <w:pStyle w:val="Header"/>
    </w:pPr>
    <w:r>
      <w:t>C</w:t>
    </w:r>
    <w:r w:rsidR="009C353C">
      <w:t>2</w:t>
    </w:r>
    <w:r w:rsidR="004D1D50">
      <w:t>1</w:t>
    </w:r>
    <w:r>
      <w:t>/</w:t>
    </w:r>
    <w:r w:rsidR="00DD6B75">
      <w:t>79</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67E74"/>
    <w:multiLevelType w:val="hybridMultilevel"/>
    <w:tmpl w:val="23BC422E"/>
    <w:lvl w:ilvl="0" w:tplc="75A2244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E38B1"/>
    <w:multiLevelType w:val="multilevel"/>
    <w:tmpl w:val="0D70FFFA"/>
    <w:lvl w:ilvl="0">
      <w:start w:val="1"/>
      <w:numFmt w:val="decimal"/>
      <w:lvlText w:val="%1."/>
      <w:lvlJc w:val="left"/>
      <w:pPr>
        <w:ind w:left="502" w:hanging="360"/>
      </w:pPr>
      <w:rPr>
        <w:rFonts w:hint="default"/>
      </w:rPr>
    </w:lvl>
    <w:lvl w:ilvl="1">
      <w:start w:val="2"/>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B656186"/>
    <w:multiLevelType w:val="hybridMultilevel"/>
    <w:tmpl w:val="FFC61D60"/>
    <w:lvl w:ilvl="0" w:tplc="729C4EB4">
      <w:start w:val="1"/>
      <w:numFmt w:val="decimal"/>
      <w:lvlText w:val="%1."/>
      <w:lvlJc w:val="left"/>
      <w:pPr>
        <w:ind w:left="360" w:hanging="360"/>
      </w:pPr>
      <w:rPr>
        <w:rFonts w:hint="default"/>
        <w:lang w:val="en-G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30BB072-4C54-4271-B09F-E08F177E2DF7}"/>
    <w:docVar w:name="dgnword-eventsink" w:val="1411792451712"/>
  </w:docVars>
  <w:rsids>
    <w:rsidRoot w:val="008B6529"/>
    <w:rsid w:val="00012236"/>
    <w:rsid w:val="000A2516"/>
    <w:rsid w:val="000D0D0A"/>
    <w:rsid w:val="000F5CF4"/>
    <w:rsid w:val="00103163"/>
    <w:rsid w:val="00106B19"/>
    <w:rsid w:val="00115D93"/>
    <w:rsid w:val="001247A8"/>
    <w:rsid w:val="001378C0"/>
    <w:rsid w:val="0018694A"/>
    <w:rsid w:val="001A3287"/>
    <w:rsid w:val="001A6508"/>
    <w:rsid w:val="001A75C9"/>
    <w:rsid w:val="001B6482"/>
    <w:rsid w:val="001D4C31"/>
    <w:rsid w:val="001E4D21"/>
    <w:rsid w:val="00207CD1"/>
    <w:rsid w:val="002477A2"/>
    <w:rsid w:val="00263A51"/>
    <w:rsid w:val="00267E02"/>
    <w:rsid w:val="0027281A"/>
    <w:rsid w:val="002A5D44"/>
    <w:rsid w:val="002E0BC4"/>
    <w:rsid w:val="002F1B76"/>
    <w:rsid w:val="003064DB"/>
    <w:rsid w:val="0033568E"/>
    <w:rsid w:val="00351981"/>
    <w:rsid w:val="00355FF5"/>
    <w:rsid w:val="00361350"/>
    <w:rsid w:val="003C3FAE"/>
    <w:rsid w:val="004038CB"/>
    <w:rsid w:val="0040546F"/>
    <w:rsid w:val="0042404A"/>
    <w:rsid w:val="0044618F"/>
    <w:rsid w:val="0046769A"/>
    <w:rsid w:val="00475FB3"/>
    <w:rsid w:val="004C37A9"/>
    <w:rsid w:val="004D1D50"/>
    <w:rsid w:val="004F259E"/>
    <w:rsid w:val="00511F1D"/>
    <w:rsid w:val="00520F36"/>
    <w:rsid w:val="00540615"/>
    <w:rsid w:val="00540A6D"/>
    <w:rsid w:val="00571EEA"/>
    <w:rsid w:val="00575417"/>
    <w:rsid w:val="005768E1"/>
    <w:rsid w:val="00581E82"/>
    <w:rsid w:val="005B0FDD"/>
    <w:rsid w:val="005B1938"/>
    <w:rsid w:val="005C3890"/>
    <w:rsid w:val="005F7BFE"/>
    <w:rsid w:val="00600017"/>
    <w:rsid w:val="006235CA"/>
    <w:rsid w:val="006643AB"/>
    <w:rsid w:val="007210CD"/>
    <w:rsid w:val="00732045"/>
    <w:rsid w:val="007369DB"/>
    <w:rsid w:val="007739BB"/>
    <w:rsid w:val="007956C2"/>
    <w:rsid w:val="007A187E"/>
    <w:rsid w:val="007C72C2"/>
    <w:rsid w:val="007D4436"/>
    <w:rsid w:val="007F257A"/>
    <w:rsid w:val="007F3665"/>
    <w:rsid w:val="007F7581"/>
    <w:rsid w:val="00800037"/>
    <w:rsid w:val="00861D73"/>
    <w:rsid w:val="00897553"/>
    <w:rsid w:val="008A4E87"/>
    <w:rsid w:val="008B6529"/>
    <w:rsid w:val="008C049D"/>
    <w:rsid w:val="008D76E6"/>
    <w:rsid w:val="0092392D"/>
    <w:rsid w:val="00924C1C"/>
    <w:rsid w:val="0093234A"/>
    <w:rsid w:val="0097363B"/>
    <w:rsid w:val="00980E1F"/>
    <w:rsid w:val="009C307F"/>
    <w:rsid w:val="009C353C"/>
    <w:rsid w:val="00A13B9F"/>
    <w:rsid w:val="00A2113E"/>
    <w:rsid w:val="00A23A51"/>
    <w:rsid w:val="00A24607"/>
    <w:rsid w:val="00A25CD3"/>
    <w:rsid w:val="00A66293"/>
    <w:rsid w:val="00A709FE"/>
    <w:rsid w:val="00A82767"/>
    <w:rsid w:val="00AA332F"/>
    <w:rsid w:val="00AA7BBB"/>
    <w:rsid w:val="00AB64A8"/>
    <w:rsid w:val="00AC0266"/>
    <w:rsid w:val="00AD24EC"/>
    <w:rsid w:val="00AF256B"/>
    <w:rsid w:val="00B309F9"/>
    <w:rsid w:val="00B32B60"/>
    <w:rsid w:val="00B61619"/>
    <w:rsid w:val="00BB4545"/>
    <w:rsid w:val="00BD5873"/>
    <w:rsid w:val="00BE0220"/>
    <w:rsid w:val="00C04BE3"/>
    <w:rsid w:val="00C239A0"/>
    <w:rsid w:val="00C25D29"/>
    <w:rsid w:val="00C27A7C"/>
    <w:rsid w:val="00CA08ED"/>
    <w:rsid w:val="00CA7CFD"/>
    <w:rsid w:val="00CF183B"/>
    <w:rsid w:val="00D05CB0"/>
    <w:rsid w:val="00D375CD"/>
    <w:rsid w:val="00D553A2"/>
    <w:rsid w:val="00D774D3"/>
    <w:rsid w:val="00D904E8"/>
    <w:rsid w:val="00DA08C3"/>
    <w:rsid w:val="00DB5A3E"/>
    <w:rsid w:val="00DC22AA"/>
    <w:rsid w:val="00DD6B75"/>
    <w:rsid w:val="00DF74DD"/>
    <w:rsid w:val="00E25AD0"/>
    <w:rsid w:val="00E41AA1"/>
    <w:rsid w:val="00E94196"/>
    <w:rsid w:val="00EA6AC9"/>
    <w:rsid w:val="00EB6350"/>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D0E37D"/>
  <w15:docId w15:val="{3D5E4876-6E6B-49CA-AE93-B103150B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1">
    <w:name w:val="Unresolved Mention1"/>
    <w:basedOn w:val="DefaultParagraphFont"/>
    <w:uiPriority w:val="99"/>
    <w:semiHidden/>
    <w:unhideWhenUsed/>
    <w:rsid w:val="00012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011-F.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20-CL-C-0010/en"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PF_C21.dotx</Template>
  <TotalTime>1</TotalTime>
  <Pages>4</Pages>
  <Words>1304</Words>
  <Characters>7524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8811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du Japon - Evaluation strat間ique et financi鑢e des manifestations ITU TELECOM</dc:title>
  <dc:subject>Council 2021, Virtual consultation of councillors</dc:subject>
  <dc:creator>Chanavat, Emilie</dc:creator>
  <cp:keywords>C2021, C21, VCC, C21-VCC-1</cp:keywords>
  <dc:description/>
  <cp:lastModifiedBy>Xue, Kun</cp:lastModifiedBy>
  <cp:revision>2</cp:revision>
  <cp:lastPrinted>2000-07-18T08:55:00Z</cp:lastPrinted>
  <dcterms:created xsi:type="dcterms:W3CDTF">2021-05-27T08:45:00Z</dcterms:created>
  <dcterms:modified xsi:type="dcterms:W3CDTF">2021-05-27T08:45:00Z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