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413A7" w14:paraId="708238BD" w14:textId="77777777">
        <w:trPr>
          <w:cantSplit/>
        </w:trPr>
        <w:tc>
          <w:tcPr>
            <w:tcW w:w="6912" w:type="dxa"/>
          </w:tcPr>
          <w:p w14:paraId="1E4BE461" w14:textId="77777777" w:rsidR="00520F36" w:rsidRPr="006413A7" w:rsidRDefault="00520F36" w:rsidP="00472844">
            <w:pPr>
              <w:spacing w:before="360"/>
            </w:pPr>
            <w:bookmarkStart w:id="0" w:name="dc06"/>
            <w:bookmarkEnd w:id="0"/>
            <w:r w:rsidRPr="006413A7">
              <w:rPr>
                <w:b/>
                <w:bCs/>
                <w:sz w:val="30"/>
                <w:szCs w:val="30"/>
              </w:rPr>
              <w:t>Conseil 20</w:t>
            </w:r>
            <w:r w:rsidR="009C353C" w:rsidRPr="006413A7">
              <w:rPr>
                <w:b/>
                <w:bCs/>
                <w:sz w:val="30"/>
                <w:szCs w:val="30"/>
              </w:rPr>
              <w:t>2</w:t>
            </w:r>
            <w:r w:rsidR="004D1D50" w:rsidRPr="006413A7">
              <w:rPr>
                <w:b/>
                <w:bCs/>
                <w:sz w:val="30"/>
                <w:szCs w:val="30"/>
              </w:rPr>
              <w:t>1</w:t>
            </w:r>
            <w:r w:rsidRPr="006413A7">
              <w:rPr>
                <w:rFonts w:ascii="Verdana" w:hAnsi="Verdana"/>
                <w:b/>
                <w:bCs/>
                <w:sz w:val="26"/>
                <w:szCs w:val="26"/>
              </w:rPr>
              <w:br/>
            </w:r>
            <w:r w:rsidR="004D1D50" w:rsidRPr="006413A7">
              <w:rPr>
                <w:b/>
                <w:bCs/>
                <w:sz w:val="28"/>
                <w:szCs w:val="28"/>
              </w:rPr>
              <w:t>Consultation virtuelle des Conseillers</w:t>
            </w:r>
            <w:r w:rsidRPr="006413A7">
              <w:rPr>
                <w:b/>
                <w:bCs/>
                <w:sz w:val="28"/>
                <w:szCs w:val="28"/>
              </w:rPr>
              <w:t xml:space="preserve">, </w:t>
            </w:r>
            <w:r w:rsidR="004D1D50" w:rsidRPr="006413A7">
              <w:rPr>
                <w:b/>
                <w:bCs/>
                <w:sz w:val="28"/>
                <w:szCs w:val="28"/>
              </w:rPr>
              <w:t>8</w:t>
            </w:r>
            <w:r w:rsidRPr="006413A7">
              <w:rPr>
                <w:b/>
                <w:bCs/>
                <w:sz w:val="28"/>
                <w:szCs w:val="28"/>
              </w:rPr>
              <w:t>-</w:t>
            </w:r>
            <w:r w:rsidR="009C353C" w:rsidRPr="006413A7">
              <w:rPr>
                <w:b/>
                <w:bCs/>
                <w:sz w:val="28"/>
                <w:szCs w:val="28"/>
              </w:rPr>
              <w:t>1</w:t>
            </w:r>
            <w:r w:rsidR="004D1D50" w:rsidRPr="006413A7">
              <w:rPr>
                <w:b/>
                <w:bCs/>
                <w:sz w:val="28"/>
                <w:szCs w:val="28"/>
              </w:rPr>
              <w:t>8</w:t>
            </w:r>
            <w:r w:rsidR="00106B19" w:rsidRPr="006413A7">
              <w:rPr>
                <w:b/>
                <w:bCs/>
                <w:sz w:val="28"/>
                <w:szCs w:val="28"/>
              </w:rPr>
              <w:t xml:space="preserve"> juin</w:t>
            </w:r>
            <w:r w:rsidRPr="006413A7">
              <w:rPr>
                <w:b/>
                <w:bCs/>
                <w:sz w:val="28"/>
                <w:szCs w:val="28"/>
              </w:rPr>
              <w:t xml:space="preserve"> 20</w:t>
            </w:r>
            <w:r w:rsidR="009C353C" w:rsidRPr="006413A7">
              <w:rPr>
                <w:b/>
                <w:bCs/>
                <w:sz w:val="28"/>
                <w:szCs w:val="28"/>
              </w:rPr>
              <w:t>2</w:t>
            </w:r>
            <w:r w:rsidR="004D1D50" w:rsidRPr="006413A7">
              <w:rPr>
                <w:b/>
                <w:bCs/>
                <w:sz w:val="28"/>
                <w:szCs w:val="28"/>
              </w:rPr>
              <w:t>1</w:t>
            </w:r>
          </w:p>
        </w:tc>
        <w:tc>
          <w:tcPr>
            <w:tcW w:w="3261" w:type="dxa"/>
          </w:tcPr>
          <w:p w14:paraId="60852FA8" w14:textId="77777777" w:rsidR="00520F36" w:rsidRPr="006413A7" w:rsidRDefault="009C353C" w:rsidP="00472844">
            <w:pPr>
              <w:spacing w:before="0"/>
            </w:pPr>
            <w:bookmarkStart w:id="1" w:name="ditulogo"/>
            <w:bookmarkEnd w:id="1"/>
            <w:r w:rsidRPr="006413A7">
              <w:rPr>
                <w:noProof/>
                <w:lang w:val="en-US"/>
              </w:rPr>
              <w:drawing>
                <wp:inline distT="0" distB="0" distL="0" distR="0" wp14:anchorId="18F3B9D4" wp14:editId="592CAC9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413A7" w14:paraId="4291C83D" w14:textId="77777777" w:rsidTr="00EF41DD">
        <w:trPr>
          <w:cantSplit/>
          <w:trHeight w:val="20"/>
        </w:trPr>
        <w:tc>
          <w:tcPr>
            <w:tcW w:w="6912" w:type="dxa"/>
            <w:tcBorders>
              <w:bottom w:val="single" w:sz="12" w:space="0" w:color="auto"/>
            </w:tcBorders>
            <w:vAlign w:val="center"/>
          </w:tcPr>
          <w:p w14:paraId="4EC79C67" w14:textId="77777777" w:rsidR="00520F36" w:rsidRPr="006413A7" w:rsidRDefault="00520F36" w:rsidP="00472844">
            <w:pPr>
              <w:spacing w:before="0"/>
              <w:rPr>
                <w:b/>
                <w:bCs/>
                <w:sz w:val="26"/>
                <w:szCs w:val="26"/>
              </w:rPr>
            </w:pPr>
          </w:p>
        </w:tc>
        <w:tc>
          <w:tcPr>
            <w:tcW w:w="3261" w:type="dxa"/>
            <w:tcBorders>
              <w:bottom w:val="single" w:sz="12" w:space="0" w:color="auto"/>
            </w:tcBorders>
          </w:tcPr>
          <w:p w14:paraId="5AC7EB11" w14:textId="77777777" w:rsidR="00520F36" w:rsidRPr="006413A7" w:rsidRDefault="00520F36" w:rsidP="00472844">
            <w:pPr>
              <w:spacing w:before="0"/>
              <w:rPr>
                <w:b/>
                <w:bCs/>
              </w:rPr>
            </w:pPr>
          </w:p>
        </w:tc>
      </w:tr>
      <w:tr w:rsidR="00520F36" w:rsidRPr="006413A7" w14:paraId="250EAD66" w14:textId="77777777">
        <w:trPr>
          <w:cantSplit/>
          <w:trHeight w:val="20"/>
        </w:trPr>
        <w:tc>
          <w:tcPr>
            <w:tcW w:w="6912" w:type="dxa"/>
            <w:tcBorders>
              <w:top w:val="single" w:sz="12" w:space="0" w:color="auto"/>
            </w:tcBorders>
          </w:tcPr>
          <w:p w14:paraId="6DBB9690" w14:textId="77777777" w:rsidR="00520F36" w:rsidRPr="006413A7" w:rsidRDefault="00520F36" w:rsidP="00472844">
            <w:pPr>
              <w:spacing w:before="0"/>
              <w:rPr>
                <w:smallCaps/>
                <w:sz w:val="22"/>
              </w:rPr>
            </w:pPr>
          </w:p>
        </w:tc>
        <w:tc>
          <w:tcPr>
            <w:tcW w:w="3261" w:type="dxa"/>
            <w:tcBorders>
              <w:top w:val="single" w:sz="12" w:space="0" w:color="auto"/>
            </w:tcBorders>
          </w:tcPr>
          <w:p w14:paraId="508BFA50" w14:textId="77777777" w:rsidR="00520F36" w:rsidRPr="006413A7" w:rsidRDefault="00520F36" w:rsidP="00472844">
            <w:pPr>
              <w:spacing w:before="0"/>
              <w:rPr>
                <w:b/>
                <w:bCs/>
              </w:rPr>
            </w:pPr>
          </w:p>
        </w:tc>
      </w:tr>
      <w:tr w:rsidR="00520F36" w:rsidRPr="006413A7" w14:paraId="53B2CC47" w14:textId="77777777">
        <w:trPr>
          <w:cantSplit/>
          <w:trHeight w:val="20"/>
        </w:trPr>
        <w:tc>
          <w:tcPr>
            <w:tcW w:w="6912" w:type="dxa"/>
            <w:vMerge w:val="restart"/>
          </w:tcPr>
          <w:p w14:paraId="3F1EEFD5" w14:textId="26D8B79C" w:rsidR="00520F36" w:rsidRPr="006413A7" w:rsidRDefault="00472844" w:rsidP="00472844">
            <w:pPr>
              <w:spacing w:before="0"/>
              <w:rPr>
                <w:rFonts w:cs="Times"/>
                <w:b/>
                <w:bCs/>
                <w:szCs w:val="24"/>
              </w:rPr>
            </w:pPr>
            <w:bookmarkStart w:id="2" w:name="dnum" w:colFirst="1" w:colLast="1"/>
            <w:bookmarkStart w:id="3" w:name="dmeeting" w:colFirst="0" w:colLast="0"/>
            <w:r w:rsidRPr="006413A7">
              <w:rPr>
                <w:rFonts w:cs="Times"/>
                <w:b/>
                <w:bCs/>
                <w:szCs w:val="24"/>
              </w:rPr>
              <w:t xml:space="preserve">Point de l'ordre du </w:t>
            </w:r>
            <w:proofErr w:type="gramStart"/>
            <w:r w:rsidRPr="006413A7">
              <w:rPr>
                <w:rFonts w:cs="Times"/>
                <w:b/>
                <w:bCs/>
                <w:szCs w:val="24"/>
              </w:rPr>
              <w:t>jour:</w:t>
            </w:r>
            <w:proofErr w:type="gramEnd"/>
            <w:r w:rsidRPr="006413A7">
              <w:rPr>
                <w:rFonts w:cs="Times"/>
                <w:b/>
                <w:bCs/>
                <w:szCs w:val="24"/>
              </w:rPr>
              <w:t xml:space="preserve"> PL 2.8</w:t>
            </w:r>
          </w:p>
        </w:tc>
        <w:tc>
          <w:tcPr>
            <w:tcW w:w="3261" w:type="dxa"/>
          </w:tcPr>
          <w:p w14:paraId="20E386B0" w14:textId="76CB57F3" w:rsidR="00520F36" w:rsidRPr="006413A7" w:rsidRDefault="00520F36" w:rsidP="00472844">
            <w:pPr>
              <w:spacing w:before="0"/>
              <w:rPr>
                <w:b/>
                <w:bCs/>
              </w:rPr>
            </w:pPr>
            <w:r w:rsidRPr="006413A7">
              <w:rPr>
                <w:b/>
                <w:bCs/>
              </w:rPr>
              <w:t>Document C</w:t>
            </w:r>
            <w:r w:rsidR="009C353C" w:rsidRPr="006413A7">
              <w:rPr>
                <w:b/>
                <w:bCs/>
              </w:rPr>
              <w:t>2</w:t>
            </w:r>
            <w:r w:rsidR="004D1D50" w:rsidRPr="006413A7">
              <w:rPr>
                <w:b/>
                <w:bCs/>
              </w:rPr>
              <w:t>1</w:t>
            </w:r>
            <w:r w:rsidRPr="006413A7">
              <w:rPr>
                <w:b/>
                <w:bCs/>
              </w:rPr>
              <w:t>/</w:t>
            </w:r>
            <w:r w:rsidR="00472844" w:rsidRPr="006413A7">
              <w:rPr>
                <w:b/>
                <w:bCs/>
              </w:rPr>
              <w:t>78</w:t>
            </w:r>
            <w:r w:rsidRPr="006413A7">
              <w:rPr>
                <w:b/>
                <w:bCs/>
              </w:rPr>
              <w:t>-F</w:t>
            </w:r>
          </w:p>
        </w:tc>
      </w:tr>
      <w:tr w:rsidR="00520F36" w:rsidRPr="006413A7" w14:paraId="605D4012" w14:textId="77777777">
        <w:trPr>
          <w:cantSplit/>
          <w:trHeight w:val="20"/>
        </w:trPr>
        <w:tc>
          <w:tcPr>
            <w:tcW w:w="6912" w:type="dxa"/>
            <w:vMerge/>
          </w:tcPr>
          <w:p w14:paraId="0D539E6E" w14:textId="77777777" w:rsidR="00520F36" w:rsidRPr="006413A7" w:rsidRDefault="00520F36" w:rsidP="00472844">
            <w:pPr>
              <w:shd w:val="solid" w:color="FFFFFF" w:fill="FFFFFF"/>
              <w:spacing w:before="180"/>
              <w:rPr>
                <w:smallCaps/>
              </w:rPr>
            </w:pPr>
            <w:bookmarkStart w:id="4" w:name="ddate" w:colFirst="1" w:colLast="1"/>
            <w:bookmarkEnd w:id="2"/>
            <w:bookmarkEnd w:id="3"/>
          </w:p>
        </w:tc>
        <w:tc>
          <w:tcPr>
            <w:tcW w:w="3261" w:type="dxa"/>
          </w:tcPr>
          <w:p w14:paraId="5BF1A53F" w14:textId="6B5BF4EB" w:rsidR="00520F36" w:rsidRPr="006413A7" w:rsidRDefault="00472844" w:rsidP="00472844">
            <w:pPr>
              <w:spacing w:before="0"/>
              <w:rPr>
                <w:b/>
                <w:bCs/>
              </w:rPr>
            </w:pPr>
            <w:r w:rsidRPr="006413A7">
              <w:rPr>
                <w:b/>
                <w:bCs/>
              </w:rPr>
              <w:t>24 mai</w:t>
            </w:r>
            <w:r w:rsidR="00520F36" w:rsidRPr="006413A7">
              <w:rPr>
                <w:b/>
                <w:bCs/>
              </w:rPr>
              <w:t xml:space="preserve"> 20</w:t>
            </w:r>
            <w:r w:rsidR="009C353C" w:rsidRPr="006413A7">
              <w:rPr>
                <w:b/>
                <w:bCs/>
              </w:rPr>
              <w:t>2</w:t>
            </w:r>
            <w:r w:rsidR="0097363B" w:rsidRPr="006413A7">
              <w:rPr>
                <w:b/>
                <w:bCs/>
              </w:rPr>
              <w:t>1</w:t>
            </w:r>
          </w:p>
        </w:tc>
      </w:tr>
      <w:tr w:rsidR="00520F36" w:rsidRPr="006413A7" w14:paraId="4040E212" w14:textId="77777777">
        <w:trPr>
          <w:cantSplit/>
          <w:trHeight w:val="20"/>
        </w:trPr>
        <w:tc>
          <w:tcPr>
            <w:tcW w:w="6912" w:type="dxa"/>
            <w:vMerge/>
          </w:tcPr>
          <w:p w14:paraId="746FD8BD" w14:textId="77777777" w:rsidR="00520F36" w:rsidRPr="006413A7" w:rsidRDefault="00520F36" w:rsidP="00472844">
            <w:pPr>
              <w:shd w:val="solid" w:color="FFFFFF" w:fill="FFFFFF"/>
              <w:spacing w:before="180"/>
              <w:rPr>
                <w:smallCaps/>
              </w:rPr>
            </w:pPr>
            <w:bookmarkStart w:id="5" w:name="dorlang" w:colFirst="1" w:colLast="1"/>
            <w:bookmarkEnd w:id="4"/>
          </w:p>
        </w:tc>
        <w:tc>
          <w:tcPr>
            <w:tcW w:w="3261" w:type="dxa"/>
          </w:tcPr>
          <w:p w14:paraId="01DAC193" w14:textId="77777777" w:rsidR="00520F36" w:rsidRPr="006413A7" w:rsidRDefault="00520F36" w:rsidP="00472844">
            <w:pPr>
              <w:spacing w:before="0"/>
              <w:rPr>
                <w:b/>
                <w:bCs/>
              </w:rPr>
            </w:pPr>
            <w:proofErr w:type="gramStart"/>
            <w:r w:rsidRPr="006413A7">
              <w:rPr>
                <w:b/>
                <w:bCs/>
              </w:rPr>
              <w:t>Original:</w:t>
            </w:r>
            <w:proofErr w:type="gramEnd"/>
            <w:r w:rsidRPr="006413A7">
              <w:rPr>
                <w:b/>
                <w:bCs/>
              </w:rPr>
              <w:t xml:space="preserve"> anglais</w:t>
            </w:r>
          </w:p>
        </w:tc>
      </w:tr>
      <w:tr w:rsidR="00520F36" w:rsidRPr="006413A7" w14:paraId="336681AB" w14:textId="77777777">
        <w:trPr>
          <w:cantSplit/>
        </w:trPr>
        <w:tc>
          <w:tcPr>
            <w:tcW w:w="10173" w:type="dxa"/>
            <w:gridSpan w:val="2"/>
          </w:tcPr>
          <w:p w14:paraId="142D92D4" w14:textId="2EB6D1FF" w:rsidR="00520F36" w:rsidRPr="006413A7" w:rsidRDefault="00472844" w:rsidP="00472844">
            <w:pPr>
              <w:pStyle w:val="Source"/>
            </w:pPr>
            <w:bookmarkStart w:id="6" w:name="dsource" w:colFirst="0" w:colLast="0"/>
            <w:bookmarkEnd w:id="5"/>
            <w:r w:rsidRPr="006413A7">
              <w:t>Note du Secrétaire général</w:t>
            </w:r>
          </w:p>
        </w:tc>
      </w:tr>
      <w:tr w:rsidR="00520F36" w:rsidRPr="006413A7" w14:paraId="74A37B01" w14:textId="77777777">
        <w:trPr>
          <w:cantSplit/>
        </w:trPr>
        <w:tc>
          <w:tcPr>
            <w:tcW w:w="10173" w:type="dxa"/>
            <w:gridSpan w:val="2"/>
          </w:tcPr>
          <w:p w14:paraId="695D4839" w14:textId="50FEC115" w:rsidR="00472844" w:rsidRPr="006413A7" w:rsidRDefault="00472844" w:rsidP="00472844">
            <w:pPr>
              <w:pStyle w:val="Title1"/>
            </w:pPr>
            <w:bookmarkStart w:id="7" w:name="dtitle1" w:colFirst="0" w:colLast="0"/>
            <w:bookmarkEnd w:id="6"/>
            <w:r w:rsidRPr="006413A7">
              <w:t>Contribution de l'inde</w:t>
            </w:r>
          </w:p>
          <w:p w14:paraId="7E894EDD" w14:textId="3E75A00C" w:rsidR="00520F36" w:rsidRPr="006413A7" w:rsidRDefault="00472844" w:rsidP="00472844">
            <w:pPr>
              <w:pStyle w:val="Title1"/>
            </w:pPr>
            <w:r w:rsidRPr="006413A7">
              <w:t>AMNT-</w:t>
            </w:r>
            <w:proofErr w:type="gramStart"/>
            <w:r w:rsidRPr="006413A7">
              <w:t>20:</w:t>
            </w:r>
            <w:proofErr w:type="gramEnd"/>
            <w:r w:rsidRPr="006413A7">
              <w:t xml:space="preserve"> SCÉNARIOS POSSIBLES suite au COVID-19 ET RECOMMANDATIONS</w:t>
            </w:r>
          </w:p>
        </w:tc>
      </w:tr>
    </w:tbl>
    <w:bookmarkEnd w:id="7"/>
    <w:p w14:paraId="52FAE936" w14:textId="40FDC592" w:rsidR="00472844" w:rsidRPr="00472844" w:rsidRDefault="00472844" w:rsidP="000B79AD">
      <w:pPr>
        <w:spacing w:before="360"/>
      </w:pPr>
      <w:r w:rsidRPr="00472844">
        <w:t xml:space="preserve">J'ai l'honneur de transmettre aux États Membres du Conseil </w:t>
      </w:r>
      <w:r w:rsidR="00B71930">
        <w:t>une contribution soumise par la </w:t>
      </w:r>
      <w:r w:rsidRPr="00472844">
        <w:rPr>
          <w:b/>
          <w:bCs/>
        </w:rPr>
        <w:t>République de l</w:t>
      </w:r>
      <w:r w:rsidRPr="006413A7">
        <w:rPr>
          <w:b/>
          <w:bCs/>
        </w:rPr>
        <w:t>'</w:t>
      </w:r>
      <w:r w:rsidRPr="00472844">
        <w:rPr>
          <w:b/>
          <w:bCs/>
        </w:rPr>
        <w:t>Inde</w:t>
      </w:r>
      <w:r w:rsidRPr="006413A7">
        <w:t>.</w:t>
      </w:r>
    </w:p>
    <w:p w14:paraId="7ED1AFEE" w14:textId="77777777" w:rsidR="00472844" w:rsidRPr="00472844" w:rsidRDefault="00472844" w:rsidP="00472844">
      <w:pPr>
        <w:tabs>
          <w:tab w:val="clear" w:pos="567"/>
          <w:tab w:val="clear" w:pos="1134"/>
          <w:tab w:val="clear" w:pos="1701"/>
          <w:tab w:val="clear" w:pos="2268"/>
          <w:tab w:val="clear" w:pos="2835"/>
          <w:tab w:val="center" w:pos="7371"/>
        </w:tabs>
        <w:spacing w:before="840"/>
      </w:pPr>
      <w:r w:rsidRPr="00472844">
        <w:tab/>
        <w:t>Houlin ZHAO</w:t>
      </w:r>
      <w:r w:rsidRPr="00472844">
        <w:br/>
      </w:r>
      <w:r w:rsidRPr="00472844">
        <w:tab/>
        <w:t>Secrétaire général</w:t>
      </w:r>
    </w:p>
    <w:p w14:paraId="4D572C34" w14:textId="77777777" w:rsidR="00472844" w:rsidRPr="00472844" w:rsidRDefault="00472844" w:rsidP="00472844">
      <w:r w:rsidRPr="00472844">
        <w:br w:type="page"/>
      </w:r>
    </w:p>
    <w:p w14:paraId="2A0BE8CD" w14:textId="4657B236" w:rsidR="00472844" w:rsidRPr="006413A7" w:rsidRDefault="00472844" w:rsidP="00472844">
      <w:pPr>
        <w:pStyle w:val="Source"/>
      </w:pPr>
      <w:r w:rsidRPr="006413A7">
        <w:lastRenderedPageBreak/>
        <w:t>Contribution de l'Inde</w:t>
      </w:r>
    </w:p>
    <w:p w14:paraId="3EB2C5FB" w14:textId="3E1F5593" w:rsidR="00520F36" w:rsidRPr="006413A7" w:rsidRDefault="00472844" w:rsidP="00472844">
      <w:pPr>
        <w:pStyle w:val="Title1"/>
        <w:spacing w:after="240"/>
      </w:pPr>
      <w:r w:rsidRPr="006413A7">
        <w:t>AMNT-</w:t>
      </w:r>
      <w:proofErr w:type="gramStart"/>
      <w:r w:rsidRPr="006413A7">
        <w:t>20:</w:t>
      </w:r>
      <w:proofErr w:type="gramEnd"/>
      <w:r w:rsidRPr="006413A7">
        <w:t xml:space="preserve"> SCÉNARIOS POSSIBLES suite au COVID-19 ET RECOMMANDATIONS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413A7" w14:paraId="0C7647E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B620852" w14:textId="77777777" w:rsidR="00520F36" w:rsidRPr="006413A7" w:rsidRDefault="00520F36" w:rsidP="00472844">
            <w:pPr>
              <w:pStyle w:val="Headingb"/>
            </w:pPr>
            <w:r w:rsidRPr="006413A7">
              <w:t>Résumé</w:t>
            </w:r>
          </w:p>
          <w:p w14:paraId="2AE61F56" w14:textId="00EF66B3" w:rsidR="00520F36" w:rsidRPr="006413A7" w:rsidRDefault="00472844" w:rsidP="00472844">
            <w:r w:rsidRPr="006413A7">
              <w:t>Il se peut que les incertitudes entourant le COVID-19 aient des incidences sur la tenue de l'AMNT-20, prévue du 1er au 9 mars 2022. On trouvera dans le présent document deux scénarios possibles concernant la tenue de l'AMNT-20 ainsi que des recommandations sur la marche à suivre.</w:t>
            </w:r>
          </w:p>
          <w:p w14:paraId="594CEF4C" w14:textId="77777777" w:rsidR="00520F36" w:rsidRPr="006413A7" w:rsidRDefault="00520F36" w:rsidP="00472844">
            <w:pPr>
              <w:pStyle w:val="Headingb"/>
            </w:pPr>
            <w:proofErr w:type="gramStart"/>
            <w:r w:rsidRPr="006413A7">
              <w:t>Suite à</w:t>
            </w:r>
            <w:proofErr w:type="gramEnd"/>
            <w:r w:rsidRPr="006413A7">
              <w:t xml:space="preserve"> donner</w:t>
            </w:r>
          </w:p>
          <w:p w14:paraId="77851444" w14:textId="76888172" w:rsidR="00520F36" w:rsidRPr="006413A7" w:rsidRDefault="00472844" w:rsidP="00472844">
            <w:r w:rsidRPr="006413A7">
              <w:rPr>
                <w:bCs/>
              </w:rPr>
              <w:t xml:space="preserve">Le Conseil est invité à </w:t>
            </w:r>
            <w:r w:rsidRPr="006413A7">
              <w:rPr>
                <w:b/>
              </w:rPr>
              <w:t>approuver</w:t>
            </w:r>
            <w:r w:rsidRPr="006413A7">
              <w:rPr>
                <w:bCs/>
              </w:rPr>
              <w:t xml:space="preserve"> le présent document.</w:t>
            </w:r>
          </w:p>
          <w:p w14:paraId="476776DA" w14:textId="77777777" w:rsidR="00520F36" w:rsidRPr="006413A7" w:rsidRDefault="00520F36" w:rsidP="00472844">
            <w:pPr>
              <w:pStyle w:val="Table"/>
              <w:keepNext w:val="0"/>
              <w:spacing w:before="0" w:after="0"/>
              <w:rPr>
                <w:rFonts w:ascii="Calibri" w:hAnsi="Calibri"/>
                <w:caps w:val="0"/>
                <w:sz w:val="22"/>
                <w:lang w:val="fr-FR"/>
              </w:rPr>
            </w:pPr>
            <w:r w:rsidRPr="006413A7">
              <w:rPr>
                <w:rFonts w:ascii="Calibri" w:hAnsi="Calibri"/>
                <w:caps w:val="0"/>
                <w:sz w:val="22"/>
                <w:lang w:val="fr-FR"/>
              </w:rPr>
              <w:t>____________</w:t>
            </w:r>
          </w:p>
          <w:p w14:paraId="674776AA" w14:textId="77777777" w:rsidR="00520F36" w:rsidRPr="006413A7" w:rsidRDefault="00520F36" w:rsidP="00472844">
            <w:pPr>
              <w:pStyle w:val="Headingb"/>
            </w:pPr>
            <w:r w:rsidRPr="006413A7">
              <w:t>Références</w:t>
            </w:r>
          </w:p>
          <w:p w14:paraId="0DC6534C" w14:textId="35A970BF" w:rsidR="00520F36" w:rsidRPr="006413A7" w:rsidRDefault="00BC10B7" w:rsidP="00472844">
            <w:pPr>
              <w:spacing w:after="120"/>
              <w:rPr>
                <w:i/>
                <w:iCs/>
              </w:rPr>
            </w:pPr>
            <w:hyperlink r:id="rId9" w:history="1">
              <w:r w:rsidR="00472844" w:rsidRPr="006413A7">
                <w:rPr>
                  <w:rStyle w:val="Hyperlink"/>
                  <w:i/>
                  <w:iCs/>
                </w:rPr>
                <w:t>C21/24</w:t>
              </w:r>
            </w:hyperlink>
          </w:p>
        </w:tc>
      </w:tr>
    </w:tbl>
    <w:p w14:paraId="42A89884" w14:textId="1DB0AFA3" w:rsidR="00E0536B" w:rsidRPr="006413A7" w:rsidRDefault="00E0536B" w:rsidP="00E0536B">
      <w:pPr>
        <w:pStyle w:val="TOC1"/>
        <w:spacing w:before="840"/>
        <w:rPr>
          <w:rFonts w:asciiTheme="minorHAnsi" w:eastAsiaTheme="minorEastAsia" w:hAnsiTheme="minorHAnsi" w:cstheme="minorBidi"/>
          <w:b/>
          <w:bCs/>
          <w:noProof/>
          <w:sz w:val="22"/>
          <w:szCs w:val="22"/>
          <w:lang w:eastAsia="fr-FR"/>
        </w:rPr>
      </w:pPr>
      <w:r w:rsidRPr="006413A7">
        <w:rPr>
          <w:b/>
          <w:bCs/>
        </w:rPr>
        <w:fldChar w:fldCharType="begin"/>
      </w:r>
      <w:r w:rsidRPr="006413A7">
        <w:rPr>
          <w:b/>
          <w:bCs/>
        </w:rPr>
        <w:instrText xml:space="preserve"> TOC \o "2-2" \h \z \t "Heading 1;1" </w:instrText>
      </w:r>
      <w:r w:rsidRPr="006413A7">
        <w:rPr>
          <w:b/>
          <w:bCs/>
        </w:rPr>
        <w:fldChar w:fldCharType="separate"/>
      </w:r>
      <w:hyperlink w:anchor="_Toc72851384" w:history="1">
        <w:r w:rsidRPr="006413A7">
          <w:rPr>
            <w:rStyle w:val="Hyperlink"/>
            <w:b/>
            <w:bCs/>
            <w:noProof/>
          </w:rPr>
          <w:t>1</w:t>
        </w:r>
        <w:r w:rsidRPr="006413A7">
          <w:rPr>
            <w:rFonts w:asciiTheme="minorHAnsi" w:eastAsiaTheme="minorEastAsia" w:hAnsiTheme="minorHAnsi" w:cstheme="minorBidi"/>
            <w:b/>
            <w:bCs/>
            <w:noProof/>
            <w:sz w:val="22"/>
            <w:szCs w:val="22"/>
            <w:lang w:eastAsia="fr-FR"/>
          </w:rPr>
          <w:tab/>
        </w:r>
        <w:r w:rsidRPr="006413A7">
          <w:rPr>
            <w:rStyle w:val="Hyperlink"/>
            <w:b/>
            <w:bCs/>
            <w:noProof/>
          </w:rPr>
          <w:t>Introduction</w:t>
        </w:r>
        <w:r w:rsidRPr="006413A7">
          <w:rPr>
            <w:b/>
            <w:bCs/>
            <w:noProof/>
            <w:webHidden/>
          </w:rPr>
          <w:tab/>
        </w:r>
        <w:r w:rsidRPr="006413A7">
          <w:rPr>
            <w:b/>
            <w:bCs/>
            <w:noProof/>
            <w:webHidden/>
          </w:rPr>
          <w:tab/>
        </w:r>
        <w:r w:rsidRPr="006413A7">
          <w:rPr>
            <w:noProof/>
            <w:webHidden/>
          </w:rPr>
          <w:fldChar w:fldCharType="begin"/>
        </w:r>
        <w:r w:rsidRPr="006413A7">
          <w:rPr>
            <w:noProof/>
            <w:webHidden/>
          </w:rPr>
          <w:instrText xml:space="preserve"> PAGEREF _Toc72851384 \h </w:instrText>
        </w:r>
        <w:r w:rsidRPr="006413A7">
          <w:rPr>
            <w:noProof/>
            <w:webHidden/>
          </w:rPr>
        </w:r>
        <w:r w:rsidRPr="006413A7">
          <w:rPr>
            <w:noProof/>
            <w:webHidden/>
          </w:rPr>
          <w:fldChar w:fldCharType="separate"/>
        </w:r>
        <w:r w:rsidR="006413A7">
          <w:rPr>
            <w:noProof/>
            <w:webHidden/>
          </w:rPr>
          <w:t>3</w:t>
        </w:r>
        <w:r w:rsidRPr="006413A7">
          <w:rPr>
            <w:noProof/>
            <w:webHidden/>
          </w:rPr>
          <w:fldChar w:fldCharType="end"/>
        </w:r>
      </w:hyperlink>
    </w:p>
    <w:p w14:paraId="58EFCEC7" w14:textId="4DEE4C59" w:rsidR="00E0536B" w:rsidRPr="006413A7" w:rsidRDefault="00BC10B7">
      <w:pPr>
        <w:pStyle w:val="TOC1"/>
        <w:rPr>
          <w:rFonts w:asciiTheme="minorHAnsi" w:eastAsiaTheme="minorEastAsia" w:hAnsiTheme="minorHAnsi" w:cstheme="minorBidi"/>
          <w:b/>
          <w:bCs/>
          <w:noProof/>
          <w:sz w:val="22"/>
          <w:szCs w:val="22"/>
          <w:lang w:eastAsia="fr-FR"/>
        </w:rPr>
      </w:pPr>
      <w:hyperlink w:anchor="_Toc72851385" w:history="1">
        <w:r w:rsidR="00E0536B" w:rsidRPr="006413A7">
          <w:rPr>
            <w:rStyle w:val="Hyperlink"/>
            <w:b/>
            <w:bCs/>
            <w:noProof/>
          </w:rPr>
          <w:t>2</w:t>
        </w:r>
        <w:r w:rsidR="00E0536B" w:rsidRPr="006413A7">
          <w:rPr>
            <w:rFonts w:asciiTheme="minorHAnsi" w:eastAsiaTheme="minorEastAsia" w:hAnsiTheme="minorHAnsi" w:cstheme="minorBidi"/>
            <w:b/>
            <w:bCs/>
            <w:noProof/>
            <w:sz w:val="22"/>
            <w:szCs w:val="22"/>
            <w:lang w:eastAsia="fr-FR"/>
          </w:rPr>
          <w:tab/>
        </w:r>
        <w:r w:rsidR="00E0536B" w:rsidRPr="006413A7">
          <w:rPr>
            <w:rStyle w:val="Hyperlink"/>
            <w:b/>
            <w:bCs/>
            <w:noProof/>
          </w:rPr>
          <w:t>Objectifs</w:t>
        </w:r>
        <w:r w:rsidR="00E0536B" w:rsidRPr="006413A7">
          <w:rPr>
            <w:b/>
            <w:bCs/>
            <w:noProof/>
            <w:webHidden/>
          </w:rPr>
          <w:tab/>
        </w:r>
        <w:r w:rsidR="00E0536B" w:rsidRPr="006413A7">
          <w:rPr>
            <w:b/>
            <w:bCs/>
            <w:noProof/>
            <w:webHidden/>
          </w:rPr>
          <w:tab/>
        </w:r>
        <w:r w:rsidR="00E0536B" w:rsidRPr="006413A7">
          <w:rPr>
            <w:noProof/>
            <w:webHidden/>
          </w:rPr>
          <w:fldChar w:fldCharType="begin"/>
        </w:r>
        <w:r w:rsidR="00E0536B" w:rsidRPr="006413A7">
          <w:rPr>
            <w:noProof/>
            <w:webHidden/>
          </w:rPr>
          <w:instrText xml:space="preserve"> PAGEREF _Toc72851385 \h </w:instrText>
        </w:r>
        <w:r w:rsidR="00E0536B" w:rsidRPr="006413A7">
          <w:rPr>
            <w:noProof/>
            <w:webHidden/>
          </w:rPr>
        </w:r>
        <w:r w:rsidR="00E0536B" w:rsidRPr="006413A7">
          <w:rPr>
            <w:noProof/>
            <w:webHidden/>
          </w:rPr>
          <w:fldChar w:fldCharType="separate"/>
        </w:r>
        <w:r w:rsidR="006413A7">
          <w:rPr>
            <w:noProof/>
            <w:webHidden/>
          </w:rPr>
          <w:t>3</w:t>
        </w:r>
        <w:r w:rsidR="00E0536B" w:rsidRPr="006413A7">
          <w:rPr>
            <w:noProof/>
            <w:webHidden/>
          </w:rPr>
          <w:fldChar w:fldCharType="end"/>
        </w:r>
      </w:hyperlink>
    </w:p>
    <w:p w14:paraId="02DC856F" w14:textId="2BE92342" w:rsidR="00E0536B" w:rsidRPr="006413A7" w:rsidRDefault="00BC10B7">
      <w:pPr>
        <w:pStyle w:val="TOC1"/>
        <w:rPr>
          <w:rFonts w:asciiTheme="minorHAnsi" w:eastAsiaTheme="minorEastAsia" w:hAnsiTheme="minorHAnsi" w:cstheme="minorBidi"/>
          <w:b/>
          <w:bCs/>
          <w:noProof/>
          <w:sz w:val="22"/>
          <w:szCs w:val="22"/>
          <w:lang w:eastAsia="fr-FR"/>
        </w:rPr>
      </w:pPr>
      <w:hyperlink w:anchor="_Toc72851386" w:history="1">
        <w:r w:rsidR="00E0536B" w:rsidRPr="006413A7">
          <w:rPr>
            <w:rStyle w:val="Hyperlink"/>
            <w:b/>
            <w:bCs/>
            <w:noProof/>
          </w:rPr>
          <w:t>3</w:t>
        </w:r>
        <w:r w:rsidR="00E0536B" w:rsidRPr="006413A7">
          <w:rPr>
            <w:rFonts w:asciiTheme="minorHAnsi" w:eastAsiaTheme="minorEastAsia" w:hAnsiTheme="minorHAnsi" w:cstheme="minorBidi"/>
            <w:b/>
            <w:bCs/>
            <w:noProof/>
            <w:sz w:val="22"/>
            <w:szCs w:val="22"/>
            <w:lang w:eastAsia="fr-FR"/>
          </w:rPr>
          <w:tab/>
        </w:r>
        <w:r w:rsidR="00E0536B" w:rsidRPr="006413A7">
          <w:rPr>
            <w:rStyle w:val="Hyperlink"/>
            <w:b/>
            <w:bCs/>
            <w:noProof/>
          </w:rPr>
          <w:t>Scénarios</w:t>
        </w:r>
        <w:r w:rsidR="00E0536B" w:rsidRPr="006413A7">
          <w:rPr>
            <w:b/>
            <w:bCs/>
            <w:noProof/>
            <w:webHidden/>
          </w:rPr>
          <w:tab/>
        </w:r>
        <w:r w:rsidR="00E0536B" w:rsidRPr="006413A7">
          <w:rPr>
            <w:b/>
            <w:bCs/>
            <w:noProof/>
            <w:webHidden/>
          </w:rPr>
          <w:tab/>
        </w:r>
        <w:r w:rsidR="00E0536B" w:rsidRPr="006413A7">
          <w:rPr>
            <w:noProof/>
            <w:webHidden/>
          </w:rPr>
          <w:fldChar w:fldCharType="begin"/>
        </w:r>
        <w:r w:rsidR="00E0536B" w:rsidRPr="006413A7">
          <w:rPr>
            <w:noProof/>
            <w:webHidden/>
          </w:rPr>
          <w:instrText xml:space="preserve"> PAGEREF _Toc72851386 \h </w:instrText>
        </w:r>
        <w:r w:rsidR="00E0536B" w:rsidRPr="006413A7">
          <w:rPr>
            <w:noProof/>
            <w:webHidden/>
          </w:rPr>
        </w:r>
        <w:r w:rsidR="00E0536B" w:rsidRPr="006413A7">
          <w:rPr>
            <w:noProof/>
            <w:webHidden/>
          </w:rPr>
          <w:fldChar w:fldCharType="separate"/>
        </w:r>
        <w:r w:rsidR="006413A7">
          <w:rPr>
            <w:noProof/>
            <w:webHidden/>
          </w:rPr>
          <w:t>3</w:t>
        </w:r>
        <w:r w:rsidR="00E0536B" w:rsidRPr="006413A7">
          <w:rPr>
            <w:noProof/>
            <w:webHidden/>
          </w:rPr>
          <w:fldChar w:fldCharType="end"/>
        </w:r>
      </w:hyperlink>
    </w:p>
    <w:p w14:paraId="60F79E55" w14:textId="0501EE66" w:rsidR="00E0536B" w:rsidRPr="006413A7" w:rsidRDefault="00BC10B7" w:rsidP="006413A7">
      <w:pPr>
        <w:pStyle w:val="TOC2"/>
        <w:rPr>
          <w:rFonts w:asciiTheme="minorHAnsi" w:eastAsiaTheme="minorEastAsia" w:hAnsiTheme="minorHAnsi" w:cstheme="minorBidi"/>
          <w:b/>
          <w:bCs/>
          <w:noProof/>
          <w:sz w:val="22"/>
          <w:szCs w:val="22"/>
          <w:lang w:eastAsia="fr-FR"/>
        </w:rPr>
      </w:pPr>
      <w:hyperlink w:anchor="_Toc72851387" w:history="1">
        <w:r w:rsidR="00E0536B" w:rsidRPr="006413A7">
          <w:rPr>
            <w:rStyle w:val="Hyperlink"/>
            <w:b/>
            <w:bCs/>
            <w:noProof/>
          </w:rPr>
          <w:t>3.1</w:t>
        </w:r>
        <w:r w:rsidR="00E0536B" w:rsidRPr="006413A7">
          <w:rPr>
            <w:rFonts w:asciiTheme="minorHAnsi" w:eastAsiaTheme="minorEastAsia" w:hAnsiTheme="minorHAnsi" w:cstheme="minorBidi"/>
            <w:b/>
            <w:bCs/>
            <w:noProof/>
            <w:sz w:val="22"/>
            <w:szCs w:val="22"/>
            <w:lang w:eastAsia="fr-FR"/>
          </w:rPr>
          <w:tab/>
        </w:r>
        <w:r w:rsidR="00E0536B" w:rsidRPr="006413A7">
          <w:rPr>
            <w:rStyle w:val="Hyperlink"/>
            <w:b/>
            <w:bCs/>
            <w:noProof/>
          </w:rPr>
          <w:t>Scénario – 1: Organiser l'AMNT-20 comme prévu à Hyderabad (Inde)</w:t>
        </w:r>
        <w:r w:rsidR="00E0536B" w:rsidRPr="006413A7">
          <w:rPr>
            <w:b/>
            <w:bCs/>
            <w:noProof/>
            <w:webHidden/>
          </w:rPr>
          <w:tab/>
        </w:r>
        <w:r w:rsidR="00E0536B" w:rsidRPr="006413A7">
          <w:rPr>
            <w:b/>
            <w:bCs/>
            <w:noProof/>
            <w:webHidden/>
          </w:rPr>
          <w:tab/>
        </w:r>
        <w:r w:rsidR="00E0536B" w:rsidRPr="006413A7">
          <w:rPr>
            <w:noProof/>
            <w:webHidden/>
          </w:rPr>
          <w:fldChar w:fldCharType="begin"/>
        </w:r>
        <w:r w:rsidR="00E0536B" w:rsidRPr="006413A7">
          <w:rPr>
            <w:noProof/>
            <w:webHidden/>
          </w:rPr>
          <w:instrText xml:space="preserve"> PAGEREF _Toc72851387 \h </w:instrText>
        </w:r>
        <w:r w:rsidR="00E0536B" w:rsidRPr="006413A7">
          <w:rPr>
            <w:noProof/>
            <w:webHidden/>
          </w:rPr>
        </w:r>
        <w:r w:rsidR="00E0536B" w:rsidRPr="006413A7">
          <w:rPr>
            <w:noProof/>
            <w:webHidden/>
          </w:rPr>
          <w:fldChar w:fldCharType="separate"/>
        </w:r>
        <w:r w:rsidR="006413A7">
          <w:rPr>
            <w:noProof/>
            <w:webHidden/>
          </w:rPr>
          <w:t>3</w:t>
        </w:r>
        <w:r w:rsidR="00E0536B" w:rsidRPr="006413A7">
          <w:rPr>
            <w:noProof/>
            <w:webHidden/>
          </w:rPr>
          <w:fldChar w:fldCharType="end"/>
        </w:r>
      </w:hyperlink>
    </w:p>
    <w:p w14:paraId="168206C3" w14:textId="0A29CEDB" w:rsidR="00E0536B" w:rsidRPr="006413A7" w:rsidRDefault="00BC10B7" w:rsidP="006413A7">
      <w:pPr>
        <w:pStyle w:val="TOC2"/>
        <w:rPr>
          <w:rFonts w:asciiTheme="minorHAnsi" w:eastAsiaTheme="minorEastAsia" w:hAnsiTheme="minorHAnsi" w:cstheme="minorBidi"/>
          <w:b/>
          <w:bCs/>
          <w:noProof/>
          <w:sz w:val="22"/>
          <w:szCs w:val="22"/>
          <w:lang w:eastAsia="fr-FR"/>
        </w:rPr>
      </w:pPr>
      <w:hyperlink w:anchor="_Toc72851388" w:history="1">
        <w:r w:rsidR="00E0536B" w:rsidRPr="006413A7">
          <w:rPr>
            <w:rStyle w:val="Hyperlink"/>
            <w:b/>
            <w:bCs/>
            <w:noProof/>
          </w:rPr>
          <w:t>3.2</w:t>
        </w:r>
        <w:r w:rsidR="00E0536B" w:rsidRPr="006413A7">
          <w:rPr>
            <w:rFonts w:asciiTheme="minorHAnsi" w:eastAsiaTheme="minorEastAsia" w:hAnsiTheme="minorHAnsi" w:cstheme="minorBidi"/>
            <w:b/>
            <w:bCs/>
            <w:noProof/>
            <w:sz w:val="22"/>
            <w:szCs w:val="22"/>
            <w:lang w:eastAsia="fr-FR"/>
          </w:rPr>
          <w:tab/>
        </w:r>
        <w:r w:rsidR="00E0536B" w:rsidRPr="006413A7">
          <w:rPr>
            <w:rStyle w:val="Hyperlink"/>
            <w:b/>
            <w:bCs/>
            <w:noProof/>
          </w:rPr>
          <w:t>Scénario – 2: Tenir l'AMNT-20 à Genève aux mêmes dates (solution de repli)</w:t>
        </w:r>
        <w:r w:rsidR="00E0536B" w:rsidRPr="006413A7">
          <w:rPr>
            <w:b/>
            <w:bCs/>
            <w:noProof/>
            <w:webHidden/>
          </w:rPr>
          <w:tab/>
        </w:r>
        <w:r w:rsidR="006413A7">
          <w:rPr>
            <w:b/>
            <w:bCs/>
            <w:noProof/>
            <w:webHidden/>
          </w:rPr>
          <w:tab/>
        </w:r>
        <w:r w:rsidR="00E0536B" w:rsidRPr="006413A7">
          <w:rPr>
            <w:noProof/>
            <w:webHidden/>
          </w:rPr>
          <w:fldChar w:fldCharType="begin"/>
        </w:r>
        <w:r w:rsidR="00E0536B" w:rsidRPr="006413A7">
          <w:rPr>
            <w:noProof/>
            <w:webHidden/>
          </w:rPr>
          <w:instrText xml:space="preserve"> PAGEREF _Toc72851388 \h </w:instrText>
        </w:r>
        <w:r w:rsidR="00E0536B" w:rsidRPr="006413A7">
          <w:rPr>
            <w:noProof/>
            <w:webHidden/>
          </w:rPr>
        </w:r>
        <w:r w:rsidR="00E0536B" w:rsidRPr="006413A7">
          <w:rPr>
            <w:noProof/>
            <w:webHidden/>
          </w:rPr>
          <w:fldChar w:fldCharType="separate"/>
        </w:r>
        <w:r w:rsidR="006413A7">
          <w:rPr>
            <w:noProof/>
            <w:webHidden/>
          </w:rPr>
          <w:t>4</w:t>
        </w:r>
        <w:r w:rsidR="00E0536B" w:rsidRPr="006413A7">
          <w:rPr>
            <w:noProof/>
            <w:webHidden/>
          </w:rPr>
          <w:fldChar w:fldCharType="end"/>
        </w:r>
      </w:hyperlink>
    </w:p>
    <w:p w14:paraId="154A3631" w14:textId="473B2E90" w:rsidR="00E0536B" w:rsidRPr="006413A7" w:rsidRDefault="00BC10B7">
      <w:pPr>
        <w:pStyle w:val="TOC1"/>
        <w:rPr>
          <w:rFonts w:asciiTheme="minorHAnsi" w:eastAsiaTheme="minorEastAsia" w:hAnsiTheme="minorHAnsi" w:cstheme="minorBidi"/>
          <w:b/>
          <w:bCs/>
          <w:noProof/>
          <w:sz w:val="22"/>
          <w:szCs w:val="22"/>
          <w:lang w:eastAsia="fr-FR"/>
        </w:rPr>
      </w:pPr>
      <w:hyperlink w:anchor="_Toc72851389" w:history="1">
        <w:r w:rsidR="00E0536B" w:rsidRPr="006413A7">
          <w:rPr>
            <w:rStyle w:val="Hyperlink"/>
            <w:b/>
            <w:bCs/>
            <w:noProof/>
          </w:rPr>
          <w:t>4</w:t>
        </w:r>
        <w:r w:rsidR="00E0536B" w:rsidRPr="006413A7">
          <w:rPr>
            <w:rFonts w:asciiTheme="minorHAnsi" w:eastAsiaTheme="minorEastAsia" w:hAnsiTheme="minorHAnsi" w:cstheme="minorBidi"/>
            <w:b/>
            <w:bCs/>
            <w:noProof/>
            <w:sz w:val="22"/>
            <w:szCs w:val="22"/>
            <w:lang w:eastAsia="fr-FR"/>
          </w:rPr>
          <w:tab/>
        </w:r>
        <w:r w:rsidR="00E0536B" w:rsidRPr="006413A7">
          <w:rPr>
            <w:rStyle w:val="Hyperlink"/>
            <w:b/>
            <w:bCs/>
            <w:noProof/>
          </w:rPr>
          <w:t>Recommandations – Marche à suivre (Proposition)</w:t>
        </w:r>
        <w:r w:rsidR="00E0536B" w:rsidRPr="006413A7">
          <w:rPr>
            <w:b/>
            <w:bCs/>
            <w:noProof/>
            <w:webHidden/>
          </w:rPr>
          <w:tab/>
        </w:r>
        <w:r w:rsidR="00E0536B" w:rsidRPr="006413A7">
          <w:rPr>
            <w:b/>
            <w:bCs/>
            <w:noProof/>
            <w:webHidden/>
          </w:rPr>
          <w:tab/>
        </w:r>
        <w:r w:rsidR="00E0536B" w:rsidRPr="006413A7">
          <w:rPr>
            <w:noProof/>
            <w:webHidden/>
          </w:rPr>
          <w:fldChar w:fldCharType="begin"/>
        </w:r>
        <w:r w:rsidR="00E0536B" w:rsidRPr="006413A7">
          <w:rPr>
            <w:noProof/>
            <w:webHidden/>
          </w:rPr>
          <w:instrText xml:space="preserve"> PAGEREF _Toc72851389 \h </w:instrText>
        </w:r>
        <w:r w:rsidR="00E0536B" w:rsidRPr="006413A7">
          <w:rPr>
            <w:noProof/>
            <w:webHidden/>
          </w:rPr>
        </w:r>
        <w:r w:rsidR="00E0536B" w:rsidRPr="006413A7">
          <w:rPr>
            <w:noProof/>
            <w:webHidden/>
          </w:rPr>
          <w:fldChar w:fldCharType="separate"/>
        </w:r>
        <w:r w:rsidR="006413A7">
          <w:rPr>
            <w:noProof/>
            <w:webHidden/>
          </w:rPr>
          <w:t>4</w:t>
        </w:r>
        <w:r w:rsidR="00E0536B" w:rsidRPr="006413A7">
          <w:rPr>
            <w:noProof/>
            <w:webHidden/>
          </w:rPr>
          <w:fldChar w:fldCharType="end"/>
        </w:r>
      </w:hyperlink>
    </w:p>
    <w:p w14:paraId="30B132B9" w14:textId="5A4EE389" w:rsidR="00472844" w:rsidRPr="006413A7" w:rsidRDefault="00E0536B" w:rsidP="00472844">
      <w:r w:rsidRPr="006413A7">
        <w:rPr>
          <w:b/>
          <w:bCs/>
        </w:rPr>
        <w:fldChar w:fldCharType="end"/>
      </w:r>
      <w:r w:rsidR="00472844" w:rsidRPr="006413A7">
        <w:br w:type="page"/>
      </w:r>
    </w:p>
    <w:p w14:paraId="4D9CB003" w14:textId="2D09D816" w:rsidR="00472844" w:rsidRPr="006413A7" w:rsidRDefault="00B61010" w:rsidP="00B61010">
      <w:pPr>
        <w:pStyle w:val="Heading1"/>
      </w:pPr>
      <w:bookmarkStart w:id="8" w:name="_Toc72504362"/>
      <w:bookmarkStart w:id="9" w:name="_Toc72851384"/>
      <w:r w:rsidRPr="006413A7">
        <w:lastRenderedPageBreak/>
        <w:t>1</w:t>
      </w:r>
      <w:r w:rsidRPr="006413A7">
        <w:tab/>
      </w:r>
      <w:r w:rsidR="00472844" w:rsidRPr="006413A7">
        <w:t>Introduction</w:t>
      </w:r>
      <w:bookmarkEnd w:id="8"/>
      <w:bookmarkEnd w:id="9"/>
    </w:p>
    <w:p w14:paraId="1527EA05" w14:textId="7D1F39BC" w:rsidR="00472844" w:rsidRPr="00472844" w:rsidRDefault="00472844" w:rsidP="00472844">
      <w:r w:rsidRPr="00472844">
        <w:t>Il est prévu que l'Assemblée mondiale de normalisation des télécommunications (AMNT-20)</w:t>
      </w:r>
      <w:r w:rsidRPr="006413A7">
        <w:t xml:space="preserve"> </w:t>
      </w:r>
      <w:r w:rsidRPr="00472844">
        <w:t>se tienne du 1er au 9 mars 2022 à Hyderabad (Inde). Les résultats de l'AMNT-20 dépendent dans une large mesure de la participation active des États Membres ainsi que de la présence physique d</w:t>
      </w:r>
      <w:r w:rsidRPr="006413A7">
        <w:t>'</w:t>
      </w:r>
      <w:r w:rsidRPr="00472844">
        <w:t>un assez grand nombre de délégués</w:t>
      </w:r>
      <w:r w:rsidRPr="006413A7">
        <w:t>.</w:t>
      </w:r>
      <w:r w:rsidRPr="00472844">
        <w:t xml:space="preserve"> La pandémie actuelle de COVID-19 est source de nombreuses incertitudes dans le monde entier. Malgré les efforts déployés et les mesures d'atténuation prises par l'Inde et d'autres États Membres, il a été nécessaire, en raison du COVID-19</w:t>
      </w:r>
      <w:r w:rsidRPr="006413A7">
        <w:t>,</w:t>
      </w:r>
      <w:r w:rsidRPr="00472844">
        <w:t xml:space="preserve"> d</w:t>
      </w:r>
      <w:r w:rsidRPr="006413A7">
        <w:t>'</w:t>
      </w:r>
      <w:r w:rsidRPr="00472844">
        <w:t>imposer des</w:t>
      </w:r>
      <w:r w:rsidRPr="006413A7">
        <w:t xml:space="preserve"> </w:t>
      </w:r>
      <w:r w:rsidRPr="00472844">
        <w:t>restrictions de voyage et de limiter les contacts physiques entre les personnes. Compte tenu de ces incertitudes liées à la santé et aux déplacements, il se peut que des États Membres ne soient pas en mesure de se rendre physiquement en Inde et de prendre une part active aux débats de l'AMNT-20. Le risque que la participation soit faible n'est pas de nature à favoriser le bon déroulement de l'AMNT-20. Afin de garantir le succès de l'Assemblée,</w:t>
      </w:r>
      <w:r w:rsidRPr="006413A7">
        <w:t xml:space="preserve"> </w:t>
      </w:r>
      <w:r w:rsidRPr="00472844">
        <w:t>deux solutions possibles sont envisagées</w:t>
      </w:r>
      <w:r w:rsidRPr="006413A7">
        <w:t xml:space="preserve"> </w:t>
      </w:r>
      <w:r w:rsidRPr="00472844">
        <w:t>dans la présente contribution.</w:t>
      </w:r>
    </w:p>
    <w:p w14:paraId="37498DF2" w14:textId="63F422C0" w:rsidR="00472844" w:rsidRPr="006413A7" w:rsidRDefault="000B79AD" w:rsidP="000B79AD">
      <w:pPr>
        <w:pStyle w:val="Heading1"/>
      </w:pPr>
      <w:bookmarkStart w:id="10" w:name="_Toc72504363"/>
      <w:bookmarkStart w:id="11" w:name="_Toc72851385"/>
      <w:r w:rsidRPr="006413A7">
        <w:t>2</w:t>
      </w:r>
      <w:r w:rsidRPr="006413A7">
        <w:tab/>
      </w:r>
      <w:r w:rsidR="00472844" w:rsidRPr="006413A7">
        <w:t>Objectifs</w:t>
      </w:r>
      <w:bookmarkEnd w:id="10"/>
      <w:bookmarkEnd w:id="11"/>
    </w:p>
    <w:p w14:paraId="1BD7455F" w14:textId="26393F1D" w:rsidR="00472844" w:rsidRPr="006413A7" w:rsidRDefault="000B79AD" w:rsidP="000B79AD">
      <w:pPr>
        <w:pStyle w:val="enumlev1"/>
      </w:pPr>
      <w:r w:rsidRPr="006413A7">
        <w:t>•</w:t>
      </w:r>
      <w:r w:rsidRPr="006413A7">
        <w:tab/>
      </w:r>
      <w:r w:rsidR="00472844" w:rsidRPr="006413A7">
        <w:t>Évaluer les avantages et inconvénients des scénarios possibles</w:t>
      </w:r>
      <w:r w:rsidRPr="006413A7">
        <w:t>.</w:t>
      </w:r>
    </w:p>
    <w:p w14:paraId="2C8D19CA" w14:textId="43E2E511" w:rsidR="00472844" w:rsidRPr="006413A7" w:rsidRDefault="000B79AD" w:rsidP="000B79AD">
      <w:pPr>
        <w:pStyle w:val="enumlev1"/>
      </w:pPr>
      <w:r w:rsidRPr="006413A7">
        <w:t>•</w:t>
      </w:r>
      <w:r w:rsidRPr="006413A7">
        <w:tab/>
      </w:r>
      <w:r w:rsidR="00472844" w:rsidRPr="006413A7">
        <w:t>Proposer des recommandations et une marche à suivre concernant la tenue de l'AMNT-20</w:t>
      </w:r>
      <w:r w:rsidRPr="006413A7">
        <w:t>.</w:t>
      </w:r>
    </w:p>
    <w:p w14:paraId="3C2330C7" w14:textId="561A095C" w:rsidR="00472844" w:rsidRPr="006413A7" w:rsidRDefault="000B79AD" w:rsidP="000B79AD">
      <w:pPr>
        <w:pStyle w:val="Heading1"/>
      </w:pPr>
      <w:bookmarkStart w:id="12" w:name="_Toc72504367"/>
      <w:bookmarkStart w:id="13" w:name="_Toc72851386"/>
      <w:r w:rsidRPr="006413A7">
        <w:t>3</w:t>
      </w:r>
      <w:r w:rsidRPr="006413A7">
        <w:tab/>
      </w:r>
      <w:r w:rsidR="00472844" w:rsidRPr="006413A7">
        <w:t>Scénarios</w:t>
      </w:r>
      <w:bookmarkEnd w:id="12"/>
      <w:bookmarkEnd w:id="13"/>
    </w:p>
    <w:p w14:paraId="2D130654" w14:textId="2E8A5F20" w:rsidR="00472844" w:rsidRPr="00472844" w:rsidRDefault="00472844" w:rsidP="00472844">
      <w:r w:rsidRPr="00472844">
        <w:t>On trouvera dans la présente section une analyse</w:t>
      </w:r>
      <w:r w:rsidRPr="006413A7">
        <w:t xml:space="preserve"> </w:t>
      </w:r>
      <w:r w:rsidRPr="00472844">
        <w:t>de deux scénarios possibles</w:t>
      </w:r>
      <w:r w:rsidRPr="006413A7">
        <w:t xml:space="preserve"> </w:t>
      </w:r>
      <w:r w:rsidRPr="00472844">
        <w:t>pour l'AMNT</w:t>
      </w:r>
      <w:r w:rsidR="000B79AD" w:rsidRPr="006413A7">
        <w:t>-</w:t>
      </w:r>
      <w:r w:rsidRPr="00472844">
        <w:t>20</w:t>
      </w:r>
      <w:r w:rsidRPr="006413A7">
        <w:t>,</w:t>
      </w:r>
      <w:r w:rsidRPr="00472844">
        <w:t xml:space="preserve"> ainsi que de leurs avantages et inconvénients, pour examen par le Conseil de l'UIT.</w:t>
      </w:r>
    </w:p>
    <w:p w14:paraId="4DE69BA8" w14:textId="34AB22AD" w:rsidR="00472844" w:rsidRPr="006413A7" w:rsidRDefault="000B79AD" w:rsidP="000B79AD">
      <w:pPr>
        <w:pStyle w:val="Heading2"/>
      </w:pPr>
      <w:bookmarkStart w:id="14" w:name="_Toc72504368"/>
      <w:bookmarkStart w:id="15" w:name="_Toc72851387"/>
      <w:r w:rsidRPr="006413A7">
        <w:t>3.1</w:t>
      </w:r>
      <w:r w:rsidRPr="006413A7">
        <w:tab/>
      </w:r>
      <w:r w:rsidR="00472844" w:rsidRPr="006413A7">
        <w:t xml:space="preserve">Scénario – </w:t>
      </w:r>
      <w:proofErr w:type="gramStart"/>
      <w:r w:rsidR="00472844" w:rsidRPr="006413A7">
        <w:t>1:</w:t>
      </w:r>
      <w:proofErr w:type="gramEnd"/>
      <w:r w:rsidR="00472844" w:rsidRPr="006413A7">
        <w:t xml:space="preserve"> </w:t>
      </w:r>
      <w:r w:rsidRPr="006413A7">
        <w:t>O</w:t>
      </w:r>
      <w:r w:rsidR="00472844" w:rsidRPr="006413A7">
        <w:t>rganiser l'AMNT-20 comme prévu à Hyderabad (Inde)</w:t>
      </w:r>
      <w:bookmarkEnd w:id="14"/>
      <w:bookmarkEnd w:id="15"/>
    </w:p>
    <w:p w14:paraId="22EE5F63" w14:textId="7783DD50" w:rsidR="00472844" w:rsidRPr="006413A7" w:rsidRDefault="000B79AD" w:rsidP="000B79AD">
      <w:pPr>
        <w:pStyle w:val="Headingb"/>
      </w:pPr>
      <w:r w:rsidRPr="006413A7">
        <w:t>I</w:t>
      </w:r>
      <w:r w:rsidRPr="006413A7">
        <w:tab/>
      </w:r>
      <w:r w:rsidR="00472844" w:rsidRPr="006413A7">
        <w:t>Avantages</w:t>
      </w:r>
    </w:p>
    <w:p w14:paraId="2DCE2D43" w14:textId="0434342D" w:rsidR="00472844" w:rsidRPr="006413A7" w:rsidRDefault="000B79AD" w:rsidP="000B79AD">
      <w:pPr>
        <w:pStyle w:val="enumlev1"/>
      </w:pPr>
      <w:r w:rsidRPr="006413A7">
        <w:t>•</w:t>
      </w:r>
      <w:r w:rsidRPr="006413A7">
        <w:tab/>
      </w:r>
      <w:r w:rsidR="00472844" w:rsidRPr="006413A7">
        <w:t>Les membres ont manifesté une préférence marquée pour une manifestation physique</w:t>
      </w:r>
      <w:r w:rsidRPr="006413A7">
        <w:t>.</w:t>
      </w:r>
    </w:p>
    <w:p w14:paraId="59AB2414" w14:textId="61C26110" w:rsidR="00472844" w:rsidRPr="006413A7" w:rsidRDefault="000B79AD" w:rsidP="000B79AD">
      <w:pPr>
        <w:pStyle w:val="enumlev1"/>
      </w:pPr>
      <w:r w:rsidRPr="006413A7">
        <w:t>•</w:t>
      </w:r>
      <w:r w:rsidRPr="006413A7">
        <w:tab/>
      </w:r>
      <w:r w:rsidR="00472844" w:rsidRPr="006413A7">
        <w:t>Les dates et le lieu ont déjà été fixés par les membres de l'UIT, les travaux préparatoires ont commencé et l'Inde est prête à accueillir une AMNT physique.</w:t>
      </w:r>
    </w:p>
    <w:p w14:paraId="1593EAB6" w14:textId="5575C224" w:rsidR="00472844" w:rsidRPr="006413A7" w:rsidRDefault="000B79AD" w:rsidP="000B79AD">
      <w:pPr>
        <w:pStyle w:val="enumlev1"/>
      </w:pPr>
      <w:r w:rsidRPr="006413A7">
        <w:t>•</w:t>
      </w:r>
      <w:r w:rsidRPr="006413A7">
        <w:tab/>
      </w:r>
      <w:r w:rsidR="00472844" w:rsidRPr="006413A7">
        <w:t>L'organisation d'une conférence sur place permet d'avoir un ordre du jour bien conçu, en ce sens qu'il est possible d'obtenir de meilleurs résultats grâce aux fréquentes interactions formelles et informelles entre les participants, conformément à l'esprit de ces grandes conférences</w:t>
      </w:r>
      <w:r w:rsidRPr="006413A7">
        <w:t>.</w:t>
      </w:r>
    </w:p>
    <w:p w14:paraId="669FFA9E" w14:textId="57E7FB33" w:rsidR="00472844" w:rsidRPr="006413A7" w:rsidRDefault="000B79AD" w:rsidP="000B79AD">
      <w:pPr>
        <w:pStyle w:val="enumlev1"/>
      </w:pPr>
      <w:r w:rsidRPr="006413A7">
        <w:t>•</w:t>
      </w:r>
      <w:r w:rsidRPr="006413A7">
        <w:tab/>
        <w:t>P</w:t>
      </w:r>
      <w:r w:rsidR="00472844" w:rsidRPr="006413A7">
        <w:t>ossibilités de visites du patrimoine culturel et des sites historiques et de participation à des manifestations sociales, des programmes culturels ainsi que des activités de mise en relation etc.</w:t>
      </w:r>
    </w:p>
    <w:p w14:paraId="1B04EEA4" w14:textId="767EA24F" w:rsidR="00472844" w:rsidRPr="006413A7" w:rsidRDefault="000B79AD" w:rsidP="000B79AD">
      <w:pPr>
        <w:pStyle w:val="Headingb"/>
      </w:pPr>
      <w:r w:rsidRPr="006413A7">
        <w:t>II</w:t>
      </w:r>
      <w:r w:rsidRPr="006413A7">
        <w:tab/>
      </w:r>
      <w:r w:rsidR="00472844" w:rsidRPr="006413A7">
        <w:t>Inconvénients</w:t>
      </w:r>
    </w:p>
    <w:p w14:paraId="2743D2EF" w14:textId="25FB216E" w:rsidR="00472844" w:rsidRPr="006413A7" w:rsidRDefault="000B79AD" w:rsidP="000B79AD">
      <w:pPr>
        <w:pStyle w:val="enumlev1"/>
      </w:pPr>
      <w:r w:rsidRPr="006413A7">
        <w:t>•</w:t>
      </w:r>
      <w:r w:rsidRPr="006413A7">
        <w:tab/>
      </w:r>
      <w:r w:rsidR="00472844" w:rsidRPr="006413A7">
        <w:t>Il se peut que le COVID-19 continue de sévir pendant et après l'AMNT-20, malgré la campagne de vaccination et d'autres mesures prises par l'Inde et d'autres États Membres. En raison de la pandémie, la participation risque d'être nettement plus faible que celle qui était prévue</w:t>
      </w:r>
      <w:r w:rsidRPr="006413A7">
        <w:t>.</w:t>
      </w:r>
    </w:p>
    <w:p w14:paraId="3B84F240" w14:textId="77777777" w:rsidR="000B79AD" w:rsidRPr="006413A7" w:rsidRDefault="000B79AD" w:rsidP="000B79AD">
      <w:pPr>
        <w:pStyle w:val="enumlev1"/>
      </w:pPr>
      <w:r w:rsidRPr="006413A7">
        <w:br w:type="page"/>
      </w:r>
    </w:p>
    <w:p w14:paraId="6FFFEDFE" w14:textId="38AA2047" w:rsidR="00472844" w:rsidRPr="006413A7" w:rsidRDefault="000B79AD" w:rsidP="000B79AD">
      <w:pPr>
        <w:pStyle w:val="enumlev1"/>
      </w:pPr>
      <w:r w:rsidRPr="006413A7">
        <w:lastRenderedPageBreak/>
        <w:t>•</w:t>
      </w:r>
      <w:r w:rsidRPr="006413A7">
        <w:tab/>
      </w:r>
      <w:r w:rsidR="00472844" w:rsidRPr="006413A7">
        <w:t>La mise en œuvre de règles de distanciation sociale aurait des conséquences logistiques, notamment sur la capacité du lieu, l'hébergement et les transports. En raison de diverses restrictions, les participants ne pourraient pas tirer pleinement parti de leur rencontre avec l'Inde</w:t>
      </w:r>
      <w:r w:rsidRPr="006413A7">
        <w:t>.</w:t>
      </w:r>
    </w:p>
    <w:p w14:paraId="485A1AF1" w14:textId="63104852" w:rsidR="00472844" w:rsidRPr="006413A7" w:rsidRDefault="00472844" w:rsidP="000B79AD">
      <w:pPr>
        <w:pStyle w:val="Heading2"/>
      </w:pPr>
      <w:bookmarkStart w:id="16" w:name="_Toc72851388"/>
      <w:r w:rsidRPr="006413A7">
        <w:t>3.2</w:t>
      </w:r>
      <w:bookmarkStart w:id="17" w:name="_Toc72504369"/>
      <w:r w:rsidR="000B79AD" w:rsidRPr="006413A7">
        <w:tab/>
      </w:r>
      <w:r w:rsidRPr="006413A7">
        <w:t xml:space="preserve">Scénario – </w:t>
      </w:r>
      <w:proofErr w:type="gramStart"/>
      <w:r w:rsidRPr="006413A7">
        <w:t>2:</w:t>
      </w:r>
      <w:proofErr w:type="gramEnd"/>
      <w:r w:rsidRPr="006413A7">
        <w:t xml:space="preserve"> Tenir l'AMNT-20 à Genève aux mêmes dates (solution de repli)</w:t>
      </w:r>
      <w:bookmarkEnd w:id="17"/>
      <w:bookmarkEnd w:id="16"/>
    </w:p>
    <w:p w14:paraId="43C85828" w14:textId="740604D5" w:rsidR="00472844" w:rsidRPr="006413A7" w:rsidRDefault="000B79AD" w:rsidP="000B79AD">
      <w:pPr>
        <w:pStyle w:val="Headingb"/>
      </w:pPr>
      <w:r w:rsidRPr="006413A7">
        <w:t>I</w:t>
      </w:r>
      <w:r w:rsidRPr="006413A7">
        <w:tab/>
      </w:r>
      <w:r w:rsidR="00472844" w:rsidRPr="006413A7">
        <w:t>Avantages</w:t>
      </w:r>
    </w:p>
    <w:p w14:paraId="77EAD0BE" w14:textId="245E1F0B" w:rsidR="00472844" w:rsidRPr="006413A7" w:rsidRDefault="000B79AD" w:rsidP="000B79AD">
      <w:pPr>
        <w:pStyle w:val="enumlev1"/>
      </w:pPr>
      <w:r w:rsidRPr="006413A7">
        <w:t>•</w:t>
      </w:r>
      <w:r w:rsidRPr="006413A7">
        <w:tab/>
      </w:r>
      <w:r w:rsidR="00472844" w:rsidRPr="006413A7">
        <w:t>Les avantages décrits au § 3.1.1 s'appliqueront.</w:t>
      </w:r>
    </w:p>
    <w:p w14:paraId="0656FD8A" w14:textId="0015B3F6" w:rsidR="00472844" w:rsidRPr="006413A7" w:rsidRDefault="000B79AD" w:rsidP="000B79AD">
      <w:pPr>
        <w:pStyle w:val="enumlev1"/>
      </w:pPr>
      <w:bookmarkStart w:id="18" w:name="_Hlk72847387"/>
      <w:r w:rsidRPr="006413A7">
        <w:t>•</w:t>
      </w:r>
      <w:r w:rsidRPr="006413A7">
        <w:tab/>
      </w:r>
      <w:r w:rsidR="00472844" w:rsidRPr="006413A7">
        <w:t xml:space="preserve">Au cas où les participants des États </w:t>
      </w:r>
      <w:r w:rsidR="00B71930">
        <w:t>M</w:t>
      </w:r>
      <w:r w:rsidR="00472844" w:rsidRPr="006413A7">
        <w:t>embres ne seraient pas en mesure d'être présents physiquement à l'AMNT-20, les membres du personnel diplomatique des États Membres concernés présents à Genève pourraient participer au processus décisionnel, avec l'appui technique offert par les États Membres via la participation à distance.</w:t>
      </w:r>
    </w:p>
    <w:bookmarkEnd w:id="18"/>
    <w:p w14:paraId="52495BFE" w14:textId="073174FA" w:rsidR="00472844" w:rsidRPr="006413A7" w:rsidRDefault="000B79AD" w:rsidP="000B79AD">
      <w:pPr>
        <w:pStyle w:val="enumlev1"/>
      </w:pPr>
      <w:r w:rsidRPr="006413A7">
        <w:t>•</w:t>
      </w:r>
      <w:r w:rsidRPr="006413A7">
        <w:tab/>
      </w:r>
      <w:r w:rsidR="00472844" w:rsidRPr="006413A7">
        <w:t>Il n'y aurait pas lieu de changer les dates de la manifestation, dans la mesure où celle-ci pourrait être organisée au Centre international de conférences de Genève (CICG), ce Centre disposant d'infrastructures adéquates et aisément accessibles</w:t>
      </w:r>
      <w:r w:rsidR="00E0536B" w:rsidRPr="006413A7">
        <w:t>.</w:t>
      </w:r>
    </w:p>
    <w:p w14:paraId="33A943FE" w14:textId="0F615545" w:rsidR="00472844" w:rsidRPr="006413A7" w:rsidRDefault="000B79AD" w:rsidP="000B79AD">
      <w:pPr>
        <w:pStyle w:val="enumlev1"/>
      </w:pPr>
      <w:r w:rsidRPr="006413A7">
        <w:t>•</w:t>
      </w:r>
      <w:r w:rsidRPr="006413A7">
        <w:tab/>
      </w:r>
      <w:r w:rsidR="00472844" w:rsidRPr="006413A7">
        <w:t>Il ne serait pas nécessaire que le personnel d'appui de l'UIT, les interprètes et d'autres intervenants se déplacent en dehors de Genève.</w:t>
      </w:r>
    </w:p>
    <w:p w14:paraId="7FA23FAF" w14:textId="6AFD57E5" w:rsidR="00472844" w:rsidRPr="006413A7" w:rsidRDefault="000B79AD" w:rsidP="000B79AD">
      <w:pPr>
        <w:pStyle w:val="Headingb"/>
      </w:pPr>
      <w:r w:rsidRPr="006413A7">
        <w:t>II</w:t>
      </w:r>
      <w:r w:rsidRPr="006413A7">
        <w:tab/>
      </w:r>
      <w:r w:rsidR="00472844" w:rsidRPr="006413A7">
        <w:t>Inconvénients</w:t>
      </w:r>
    </w:p>
    <w:p w14:paraId="0E7229AB" w14:textId="2410DF42" w:rsidR="00472844" w:rsidRPr="006413A7" w:rsidRDefault="000B79AD" w:rsidP="000B79AD">
      <w:pPr>
        <w:pStyle w:val="enumlev1"/>
      </w:pPr>
      <w:r w:rsidRPr="006413A7">
        <w:t>•</w:t>
      </w:r>
      <w:r w:rsidRPr="006413A7">
        <w:tab/>
      </w:r>
      <w:r w:rsidR="00472844" w:rsidRPr="006413A7">
        <w:t>Le nombre de cas de COVID-19 pourrait augmenter en Suisse, malgré la campagne de vaccination. Les autorités locales de Genève pourraient limiter le nombre de participants à la manifestation, ou imposer des mesures strictes de quarantaine en fonction de l'évolution de la situation.</w:t>
      </w:r>
    </w:p>
    <w:p w14:paraId="4CB539CC" w14:textId="36519A61" w:rsidR="00472844" w:rsidRPr="006413A7" w:rsidRDefault="000B79AD" w:rsidP="000B79AD">
      <w:pPr>
        <w:pStyle w:val="enumlev1"/>
      </w:pPr>
      <w:r w:rsidRPr="006413A7">
        <w:t>•</w:t>
      </w:r>
      <w:r w:rsidRPr="006413A7">
        <w:tab/>
      </w:r>
      <w:r w:rsidR="00472844" w:rsidRPr="006413A7">
        <w:t>Des mesures de distanciation sociale devraient être mises en œuvre, conformément aux normes de l'ONU et aux normes suisses.</w:t>
      </w:r>
    </w:p>
    <w:p w14:paraId="5F77152F" w14:textId="77599473" w:rsidR="00472844" w:rsidRPr="006413A7" w:rsidRDefault="000B79AD" w:rsidP="000B79AD">
      <w:pPr>
        <w:pStyle w:val="Heading1"/>
      </w:pPr>
      <w:bookmarkStart w:id="19" w:name="_Toc72504370"/>
      <w:bookmarkStart w:id="20" w:name="_Toc72851389"/>
      <w:r w:rsidRPr="006413A7">
        <w:t>4</w:t>
      </w:r>
      <w:r w:rsidRPr="006413A7">
        <w:tab/>
      </w:r>
      <w:r w:rsidR="00472844" w:rsidRPr="006413A7">
        <w:t>Recommandations – Marche à suivre (Proposition)</w:t>
      </w:r>
      <w:bookmarkEnd w:id="19"/>
      <w:bookmarkEnd w:id="20"/>
    </w:p>
    <w:p w14:paraId="76749040" w14:textId="2F2A3C3D" w:rsidR="00472844" w:rsidRPr="006413A7" w:rsidRDefault="000B79AD" w:rsidP="000B79AD">
      <w:pPr>
        <w:pStyle w:val="enumlev1"/>
      </w:pPr>
      <w:r w:rsidRPr="006413A7">
        <w:t>•</w:t>
      </w:r>
      <w:r w:rsidRPr="006413A7">
        <w:tab/>
      </w:r>
      <w:r w:rsidR="00472844" w:rsidRPr="006413A7">
        <w:t>Il est recommandé de tenir l'Assemblée comme prévu initi</w:t>
      </w:r>
      <w:r w:rsidR="00B71930">
        <w:t>alement, c'est-à-dire du 1</w:t>
      </w:r>
      <w:r w:rsidR="00B71930" w:rsidRPr="00B71930">
        <w:t>er</w:t>
      </w:r>
      <w:r w:rsidR="00B71930">
        <w:t> au </w:t>
      </w:r>
      <w:r w:rsidR="00472844" w:rsidRPr="006413A7">
        <w:t>9</w:t>
      </w:r>
      <w:r w:rsidR="00E0536B" w:rsidRPr="006413A7">
        <w:t> </w:t>
      </w:r>
      <w:r w:rsidR="00472844" w:rsidRPr="006413A7">
        <w:t>mars 2022 à Hyderabad (Inde) (Scénario 1).</w:t>
      </w:r>
    </w:p>
    <w:p w14:paraId="70CEE1D4" w14:textId="17A5E1A8" w:rsidR="00472844" w:rsidRPr="006413A7" w:rsidRDefault="000B79AD" w:rsidP="000B79AD">
      <w:pPr>
        <w:pStyle w:val="enumlev1"/>
      </w:pPr>
      <w:r w:rsidRPr="006413A7">
        <w:t>•</w:t>
      </w:r>
      <w:r w:rsidRPr="006413A7">
        <w:tab/>
      </w:r>
      <w:r w:rsidR="00472844" w:rsidRPr="006413A7">
        <w:t xml:space="preserve">Six mois avant la tenue de l'Assemblée (c'est-à-dire avant septembre 2021), la situation sera réexaminée par l'Inde et le secrétariat de l'UIT et, si les circonstances ne sont pas favorables à l'organisation de l'AMNT-20 en Inde, l'Assemblée pourra se tenir à Genève </w:t>
      </w:r>
      <w:r w:rsidR="00E0536B" w:rsidRPr="006413A7">
        <w:t>–</w:t>
      </w:r>
      <w:r w:rsidR="00472844" w:rsidRPr="006413A7">
        <w:t xml:space="preserve"> lieu par défaut des Conférences et Assemblées de l'UIT </w:t>
      </w:r>
      <w:r w:rsidR="00E0536B" w:rsidRPr="006413A7">
        <w:t>–</w:t>
      </w:r>
      <w:r w:rsidR="00472844" w:rsidRPr="006413A7">
        <w:t xml:space="preserve"> aux mêmes dates (solution de repli </w:t>
      </w:r>
      <w:r w:rsidR="00E0536B" w:rsidRPr="006413A7">
        <w:t>–</w:t>
      </w:r>
      <w:r w:rsidR="00472844" w:rsidRPr="006413A7">
        <w:t xml:space="preserve"> Scénario 2) et l'Inde pourra accueillir l'AMNT lors du prochain cycle, c'est-à-dire en 2024.</w:t>
      </w:r>
    </w:p>
    <w:p w14:paraId="4BBA8883" w14:textId="16F6316B" w:rsidR="00472844" w:rsidRPr="006413A7" w:rsidRDefault="000B79AD" w:rsidP="000B79AD">
      <w:pPr>
        <w:pStyle w:val="enumlev1"/>
      </w:pPr>
      <w:r w:rsidRPr="006413A7">
        <w:t>•</w:t>
      </w:r>
      <w:r w:rsidRPr="006413A7">
        <w:tab/>
      </w:r>
      <w:r w:rsidR="00B71930">
        <w:t>Les participants à la C</w:t>
      </w:r>
      <w:r w:rsidR="00472844" w:rsidRPr="006413A7">
        <w:t>onsultation virtuelle des Conseillers VCC sont invités à approuver ce plan d'action.</w:t>
      </w:r>
    </w:p>
    <w:p w14:paraId="5E8F8B1F" w14:textId="77777777" w:rsidR="000B79AD" w:rsidRPr="006413A7" w:rsidRDefault="000B79AD" w:rsidP="000B79AD">
      <w:pPr>
        <w:spacing w:before="360"/>
        <w:jc w:val="center"/>
      </w:pPr>
      <w:r w:rsidRPr="006413A7">
        <w:t>______________</w:t>
      </w:r>
    </w:p>
    <w:sectPr w:rsidR="000B79AD" w:rsidRPr="006413A7" w:rsidSect="005C3890">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57B2" w14:textId="77777777" w:rsidR="00472844" w:rsidRDefault="00472844">
      <w:r>
        <w:separator/>
      </w:r>
    </w:p>
  </w:endnote>
  <w:endnote w:type="continuationSeparator" w:id="0">
    <w:p w14:paraId="23F96B18" w14:textId="77777777" w:rsidR="00472844" w:rsidRDefault="0047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3E84" w14:textId="6CBC2DB9" w:rsidR="00732045" w:rsidRDefault="00995E5E">
    <w:pPr>
      <w:pStyle w:val="Footer"/>
    </w:pPr>
    <w:fldSimple w:instr=" FILENAME \p \* MERGEFORMAT ">
      <w:r w:rsidR="006413A7">
        <w:t>P:\FRA\SG\CONSEIL\C21\000\078F.docx</w:t>
      </w:r>
    </w:fldSimple>
    <w:r w:rsidR="00732045">
      <w:tab/>
    </w:r>
    <w:r w:rsidR="002F1B76">
      <w:fldChar w:fldCharType="begin"/>
    </w:r>
    <w:r w:rsidR="00732045">
      <w:instrText xml:space="preserve"> savedate \@ dd.MM.yy </w:instrText>
    </w:r>
    <w:r w:rsidR="002F1B76">
      <w:fldChar w:fldCharType="separate"/>
    </w:r>
    <w:r w:rsidR="00BC10B7">
      <w:t>26.05.21</w:t>
    </w:r>
    <w:r w:rsidR="002F1B76">
      <w:fldChar w:fldCharType="end"/>
    </w:r>
    <w:r w:rsidR="00732045">
      <w:tab/>
    </w:r>
    <w:r w:rsidR="002F1B76">
      <w:fldChar w:fldCharType="begin"/>
    </w:r>
    <w:r w:rsidR="00732045">
      <w:instrText xml:space="preserve"> printdate \@ dd.MM.yy </w:instrText>
    </w:r>
    <w:r w:rsidR="002F1B76">
      <w:fldChar w:fldCharType="separate"/>
    </w:r>
    <w:r w:rsidR="006413A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76F5" w14:textId="41339CF4" w:rsidR="00732045" w:rsidRDefault="00995E5E">
    <w:pPr>
      <w:pStyle w:val="Footer"/>
    </w:pPr>
    <w:r w:rsidRPr="00BC10B7">
      <w:rPr>
        <w:color w:val="F2F2F2" w:themeColor="background1" w:themeShade="F2"/>
      </w:rPr>
      <w:fldChar w:fldCharType="begin"/>
    </w:r>
    <w:r w:rsidRPr="00BC10B7">
      <w:rPr>
        <w:color w:val="F2F2F2" w:themeColor="background1" w:themeShade="F2"/>
      </w:rPr>
      <w:instrText xml:space="preserve"> FILENAME \p \* MERGEFORMAT </w:instrText>
    </w:r>
    <w:r w:rsidRPr="00BC10B7">
      <w:rPr>
        <w:color w:val="F2F2F2" w:themeColor="background1" w:themeShade="F2"/>
      </w:rPr>
      <w:fldChar w:fldCharType="separate"/>
    </w:r>
    <w:r w:rsidR="006413A7" w:rsidRPr="00BC10B7">
      <w:rPr>
        <w:color w:val="F2F2F2" w:themeColor="background1" w:themeShade="F2"/>
      </w:rPr>
      <w:t>P:\FRA\SG\CONSEIL\C21\000\078F.docx</w:t>
    </w:r>
    <w:r w:rsidRPr="00BC10B7">
      <w:rPr>
        <w:color w:val="F2F2F2" w:themeColor="background1" w:themeShade="F2"/>
      </w:rPr>
      <w:fldChar w:fldCharType="end"/>
    </w:r>
    <w:r w:rsidR="000B79AD" w:rsidRPr="00BC10B7">
      <w:rPr>
        <w:color w:val="F2F2F2" w:themeColor="background1" w:themeShade="F2"/>
      </w:rPr>
      <w:t xml:space="preserve"> (489469)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E5F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D41E" w14:textId="77777777" w:rsidR="00472844" w:rsidRDefault="00472844">
      <w:r>
        <w:t>____________________</w:t>
      </w:r>
    </w:p>
  </w:footnote>
  <w:footnote w:type="continuationSeparator" w:id="0">
    <w:p w14:paraId="56D18C23" w14:textId="77777777" w:rsidR="00472844" w:rsidRDefault="0047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E17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43190C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B09" w14:textId="1765C350" w:rsidR="00732045" w:rsidRDefault="00C27A7C" w:rsidP="00475FB3">
    <w:pPr>
      <w:pStyle w:val="Header"/>
    </w:pPr>
    <w:r>
      <w:fldChar w:fldCharType="begin"/>
    </w:r>
    <w:r>
      <w:instrText>PAGE</w:instrText>
    </w:r>
    <w:r>
      <w:fldChar w:fldCharType="separate"/>
    </w:r>
    <w:r w:rsidR="00995E5E">
      <w:rPr>
        <w:noProof/>
      </w:rPr>
      <w:t>4</w:t>
    </w:r>
    <w:r>
      <w:rPr>
        <w:noProof/>
      </w:rPr>
      <w:fldChar w:fldCharType="end"/>
    </w:r>
  </w:p>
  <w:p w14:paraId="64E46674" w14:textId="0C694323" w:rsidR="00732045" w:rsidRDefault="00732045" w:rsidP="00106B19">
    <w:pPr>
      <w:pStyle w:val="Header"/>
    </w:pPr>
    <w:r>
      <w:t>C</w:t>
    </w:r>
    <w:r w:rsidR="009C353C">
      <w:t>2</w:t>
    </w:r>
    <w:r w:rsidR="004D1D50">
      <w:t>1</w:t>
    </w:r>
    <w:r>
      <w:t>/</w:t>
    </w:r>
    <w:r w:rsidR="000B79AD">
      <w:t>78</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5C14" w14:textId="77777777" w:rsidR="00BC10B7" w:rsidRDefault="00BC1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DF4"/>
    <w:multiLevelType w:val="multilevel"/>
    <w:tmpl w:val="9AE27F0E"/>
    <w:lvl w:ilvl="0">
      <w:start w:val="1"/>
      <w:numFmt w:val="upperRoman"/>
      <w:lvlText w:val="%1."/>
      <w:lvlJc w:val="righ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95FF0"/>
    <w:multiLevelType w:val="multilevel"/>
    <w:tmpl w:val="E21836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1E69D9"/>
    <w:multiLevelType w:val="multilevel"/>
    <w:tmpl w:val="CD8AB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5F618E2"/>
    <w:multiLevelType w:val="multilevel"/>
    <w:tmpl w:val="8018977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4" w15:restartNumberingAfterBreak="0">
    <w:nsid w:val="5D845057"/>
    <w:multiLevelType w:val="multilevel"/>
    <w:tmpl w:val="4CF4BF5C"/>
    <w:lvl w:ilvl="0">
      <w:start w:val="1"/>
      <w:numFmt w:val="upperRoman"/>
      <w:lvlText w:val="%1."/>
      <w:lvlJc w:val="righ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72CB2D03"/>
    <w:multiLevelType w:val="multilevel"/>
    <w:tmpl w:val="11683330"/>
    <w:lvl w:ilvl="0">
      <w:start w:val="1"/>
      <w:numFmt w:val="decimal"/>
      <w:lvlText w:val="%1."/>
      <w:lvlJc w:val="left"/>
      <w:pPr>
        <w:tabs>
          <w:tab w:val="num" w:pos="720"/>
        </w:tabs>
        <w:ind w:left="72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5"/>
    <w:lvlOverride w:ilvl="0">
      <w:lvl w:ilvl="0">
        <w:start w:val="1"/>
        <w:numFmt w:val="upperRoman"/>
        <w:lvlText w:val="%1."/>
        <w:lvlJc w:val="right"/>
        <w:pPr>
          <w:ind w:left="0" w:firstLine="0"/>
        </w:pPr>
        <w:rPr>
          <w:rFonts w:hint="default"/>
        </w:rPr>
      </w:lvl>
    </w:lvlOverride>
    <w:lvlOverride w:ilvl="1">
      <w:lvl w:ilvl="1">
        <w:start w:val="1"/>
        <w:numFmt w:val="bullet"/>
        <w:lvlText w:val="o"/>
        <w:lvlJc w:val="left"/>
        <w:pPr>
          <w:tabs>
            <w:tab w:val="num" w:pos="2160"/>
          </w:tabs>
          <w:ind w:left="216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44"/>
    <w:rsid w:val="000B79AD"/>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2844"/>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413A7"/>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95E5E"/>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010"/>
    <w:rsid w:val="00B61619"/>
    <w:rsid w:val="00B71930"/>
    <w:rsid w:val="00BB4545"/>
    <w:rsid w:val="00BC10B7"/>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0536B"/>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246AE"/>
  <w15:docId w15:val="{FFAD49CC-0726-4BCB-993C-FFEA9556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link w:val="Title1Char"/>
    <w:qFormat/>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Title1Char">
    <w:name w:val="Title 1 Char"/>
    <w:link w:val="Title1"/>
    <w:locked/>
    <w:rsid w:val="00472844"/>
    <w:rPr>
      <w:rFonts w:ascii="Calibri" w:hAnsi="Calibri"/>
      <w:caps/>
      <w:sz w:val="28"/>
      <w:lang w:val="fr-FR" w:eastAsia="en-US"/>
    </w:rPr>
  </w:style>
  <w:style w:type="character" w:customStyle="1" w:styleId="UnresolvedMention1">
    <w:name w:val="Unresolved Mention1"/>
    <w:basedOn w:val="DefaultParagraphFont"/>
    <w:uiPriority w:val="99"/>
    <w:semiHidden/>
    <w:unhideWhenUsed/>
    <w:rsid w:val="0047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24/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455A-4990-47D9-8785-09441888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4</Pages>
  <Words>919</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6522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l'Inde - AMNT-20: scénarios possibles suite au Covid-19 et recommandations</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2021-05-26T08:03:00Z</dcterms:created>
  <dcterms:modified xsi:type="dcterms:W3CDTF">2021-05-26T08:03:00Z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