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0930460" w14:textId="77777777">
        <w:trPr>
          <w:cantSplit/>
        </w:trPr>
        <w:tc>
          <w:tcPr>
            <w:tcW w:w="6911" w:type="dxa"/>
          </w:tcPr>
          <w:p w14:paraId="5D4D2BA0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96BF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E96BF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48F829F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30B9956" wp14:editId="3F06249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5AA8C95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1B9F07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5B0CCAD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8E1448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41B753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C22AA05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28A773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50DD5AB" w14:textId="5EB73783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96BFD" w:rsidRPr="00E96BFD">
              <w:rPr>
                <w:b/>
                <w:bCs/>
                <w:caps/>
                <w:color w:val="000000"/>
                <w:szCs w:val="22"/>
              </w:rPr>
              <w:t>PL</w:t>
            </w:r>
            <w:r w:rsidR="00E96BFD" w:rsidRPr="00E96BFD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3.3</w:t>
            </w:r>
          </w:p>
        </w:tc>
        <w:tc>
          <w:tcPr>
            <w:tcW w:w="3120" w:type="dxa"/>
          </w:tcPr>
          <w:p w14:paraId="7ECABB90" w14:textId="58ECAFBB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96BFD">
              <w:rPr>
                <w:b/>
                <w:bCs/>
                <w:szCs w:val="22"/>
                <w:lang w:val="en-US"/>
              </w:rPr>
              <w:t>74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40CFF5D1" w14:textId="77777777">
        <w:trPr>
          <w:cantSplit/>
          <w:trHeight w:val="23"/>
        </w:trPr>
        <w:tc>
          <w:tcPr>
            <w:tcW w:w="6911" w:type="dxa"/>
            <w:vMerge/>
          </w:tcPr>
          <w:p w14:paraId="550CC5E9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114D50" w14:textId="02FCDCB6" w:rsidR="00BC7BC0" w:rsidRPr="001E6719" w:rsidRDefault="00E96BF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22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28E449B7" w14:textId="77777777">
        <w:trPr>
          <w:cantSplit/>
          <w:trHeight w:val="23"/>
        </w:trPr>
        <w:tc>
          <w:tcPr>
            <w:tcW w:w="6911" w:type="dxa"/>
            <w:vMerge/>
          </w:tcPr>
          <w:p w14:paraId="0516212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D02A0EC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0A8F5086" w14:textId="77777777">
        <w:trPr>
          <w:cantSplit/>
        </w:trPr>
        <w:tc>
          <w:tcPr>
            <w:tcW w:w="10031" w:type="dxa"/>
            <w:gridSpan w:val="2"/>
          </w:tcPr>
          <w:p w14:paraId="58ECAC00" w14:textId="622C8B71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BA5112" w14:paraId="1BA04F73" w14:textId="77777777">
        <w:trPr>
          <w:cantSplit/>
        </w:trPr>
        <w:tc>
          <w:tcPr>
            <w:tcW w:w="10031" w:type="dxa"/>
            <w:gridSpan w:val="2"/>
          </w:tcPr>
          <w:p w14:paraId="3710D3F6" w14:textId="0503728E" w:rsidR="00BC7BC0" w:rsidRPr="00EB4FCB" w:rsidRDefault="00BA511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96BFD">
              <w:rPr>
                <w:szCs w:val="22"/>
                <w:lang w:val="ru-RU"/>
              </w:rPr>
              <w:t>влияни</w:t>
            </w:r>
            <w:r>
              <w:rPr>
                <w:szCs w:val="22"/>
                <w:lang w:val="ru-RU"/>
              </w:rPr>
              <w:t xml:space="preserve">е </w:t>
            </w:r>
            <w:r w:rsidRPr="00E96BFD">
              <w:rPr>
                <w:szCs w:val="22"/>
                <w:lang w:val="ru-RU"/>
              </w:rPr>
              <w:t>пандемии коронавируса (COVID-19) на деятельност</w:t>
            </w:r>
            <w:r>
              <w:rPr>
                <w:szCs w:val="22"/>
                <w:lang w:val="ru-RU"/>
              </w:rPr>
              <w:t>ь</w:t>
            </w:r>
            <w:r w:rsidRPr="00E96BFD">
              <w:rPr>
                <w:szCs w:val="22"/>
                <w:lang w:val="ru-RU"/>
              </w:rPr>
              <w:t xml:space="preserve"> и функционирование МСЭ</w:t>
            </w:r>
          </w:p>
        </w:tc>
      </w:tr>
      <w:bookmarkEnd w:id="2"/>
    </w:tbl>
    <w:p w14:paraId="7014A266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96BFD" w14:paraId="3DD12CF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72906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5B83AFF6" w14:textId="77777777" w:rsidR="00E96BFD" w:rsidRPr="00E96BFD" w:rsidRDefault="00E96BFD" w:rsidP="00E96BFD">
            <w:pPr>
              <w:rPr>
                <w:szCs w:val="22"/>
                <w:lang w:val="ru-RU"/>
              </w:rPr>
            </w:pPr>
            <w:r w:rsidRPr="00E96BFD">
              <w:rPr>
                <w:szCs w:val="22"/>
                <w:lang w:val="ru-RU"/>
              </w:rPr>
              <w:t xml:space="preserve">В настоящем документе кратко представлен предварительный анализ влияния пандемии коронавируса (COVID-19) на некоторые виды деятельности и функционирование МСЭ с изложением имеющихся фактов, описанием извлеченных уроков и указанием некоторых аспектов, которые можно было бы рассмотреть в будущем. </w:t>
            </w:r>
          </w:p>
          <w:p w14:paraId="7382CF46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4E82FD36" w14:textId="77777777" w:rsidR="00E96BFD" w:rsidRPr="00E96BFD" w:rsidRDefault="00E96BFD" w:rsidP="00E96BFD">
            <w:pPr>
              <w:rPr>
                <w:szCs w:val="22"/>
                <w:lang w:val="ru-RU"/>
              </w:rPr>
            </w:pPr>
            <w:r w:rsidRPr="00E96BFD">
              <w:rPr>
                <w:szCs w:val="22"/>
                <w:lang w:val="ru-RU"/>
              </w:rPr>
              <w:t xml:space="preserve">Совету предлагается </w:t>
            </w:r>
            <w:r w:rsidRPr="00E96BFD">
              <w:rPr>
                <w:b/>
                <w:szCs w:val="22"/>
                <w:lang w:val="ru-RU"/>
              </w:rPr>
              <w:t>рассмотреть</w:t>
            </w:r>
            <w:r w:rsidRPr="00E96BFD">
              <w:rPr>
                <w:szCs w:val="22"/>
                <w:lang w:val="ru-RU"/>
              </w:rPr>
              <w:t xml:space="preserve"> настоящий документ.</w:t>
            </w:r>
          </w:p>
          <w:p w14:paraId="21986D12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6F9D10D8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779C2F58" w14:textId="4CCDF55E" w:rsidR="002D2F57" w:rsidRPr="001E6719" w:rsidRDefault="00E96BFD" w:rsidP="00E96BFD">
            <w:pPr>
              <w:spacing w:after="120"/>
              <w:rPr>
                <w:i/>
                <w:iCs/>
                <w:lang w:val="ru-RU"/>
              </w:rPr>
            </w:pPr>
            <w:bookmarkStart w:id="3" w:name="lt_pId018"/>
            <w:r w:rsidRPr="00E96BFD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8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VC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/13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VC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/13(</w:t>
              </w:r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Rev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.1)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21/70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21/68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21/29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20/53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21/7</w:t>
              </w:r>
            </w:hyperlink>
            <w:r w:rsidRPr="00E96BFD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E96BFD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Pr="00E96BFD">
                <w:rPr>
                  <w:rStyle w:val="Hyperlink"/>
                  <w:i/>
                  <w:iCs/>
                  <w:szCs w:val="22"/>
                  <w:lang w:val="ru-RU"/>
                </w:rPr>
                <w:t>21/50</w:t>
              </w:r>
            </w:hyperlink>
            <w:bookmarkEnd w:id="3"/>
          </w:p>
        </w:tc>
      </w:tr>
    </w:tbl>
    <w:p w14:paraId="465216D6" w14:textId="77777777" w:rsidR="00E96BFD" w:rsidRPr="00805107" w:rsidRDefault="00E96BFD" w:rsidP="00E96BFD">
      <w:pPr>
        <w:pStyle w:val="Heading1"/>
        <w:rPr>
          <w:lang w:val="ru-RU"/>
        </w:rPr>
      </w:pPr>
      <w:r w:rsidRPr="00805107">
        <w:rPr>
          <w:lang w:val="ru-RU"/>
        </w:rPr>
        <w:t>1</w:t>
      </w:r>
      <w:r w:rsidRPr="00805107">
        <w:rPr>
          <w:lang w:val="ru-RU"/>
        </w:rPr>
        <w:tab/>
        <w:t xml:space="preserve">Введение </w:t>
      </w:r>
    </w:p>
    <w:p w14:paraId="5642E649" w14:textId="77777777" w:rsidR="00E96BFD" w:rsidRPr="00805107" w:rsidRDefault="00E96BFD" w:rsidP="00E96BFD">
      <w:pPr>
        <w:rPr>
          <w:lang w:val="ru-RU"/>
        </w:rPr>
      </w:pPr>
      <w:r w:rsidRPr="00805107">
        <w:rPr>
          <w:lang w:val="ru-RU"/>
        </w:rPr>
        <w:t>1.1</w:t>
      </w:r>
      <w:r w:rsidRPr="00805107">
        <w:rPr>
          <w:lang w:val="ru-RU"/>
        </w:rPr>
        <w:tab/>
        <w:t xml:space="preserve">11 марта 2021 года исполнился год с того момента, как Всемирная организация здравоохранения (ВОЗ) объявила </w:t>
      </w:r>
      <w:r w:rsidRPr="00805107">
        <w:t>COVID</w:t>
      </w:r>
      <w:r w:rsidRPr="00805107">
        <w:rPr>
          <w:lang w:val="ru-RU"/>
        </w:rPr>
        <w:t xml:space="preserve">-19 глобальной пандемией. Эта пандемия оказала огромное влияние на функционирование и деятельность большинства организаций в краткосрочной перспективе и, вероятно, будет также иметь среднесрочные и даже долгосрочные последствия. Своевременное принятие конкретных мер по снижению риска в помещениях МСЭ позволило успешно ограничить распространение заболевания среди персонала МСЭ. С начала изоляции 20 марта 2020 года сотрудники МСЭ в основном работают из дома и собрания проводятся в виртуальном режиме. Подробная оценка воздействия будет иметь ключевое значение для разработки стратегии восстановления и отразится на устойчивости и конкурентоспособности Союза в долгосрочном периоде. По мере того как мир восстанавливается и приспосабливается к "новой норме", установившейся в результате пандемии </w:t>
      </w:r>
      <w:r w:rsidRPr="00805107">
        <w:t>COVID</w:t>
      </w:r>
      <w:r w:rsidRPr="00805107">
        <w:rPr>
          <w:lang w:val="ru-RU"/>
        </w:rPr>
        <w:t>-19, МСЭ также мобилизует свои ресурсы в соответствии с призывом Организации Объединенных Наций "сделать лучше, чем было".</w:t>
      </w:r>
    </w:p>
    <w:p w14:paraId="5F89507D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805107">
        <w:rPr>
          <w:rFonts w:asciiTheme="minorHAnsi" w:hAnsiTheme="minorHAnsi" w:cstheme="minorHAnsi"/>
          <w:szCs w:val="22"/>
          <w:lang w:val="ru-RU"/>
        </w:rPr>
        <w:t>1.2</w:t>
      </w:r>
      <w:r w:rsidRPr="00805107">
        <w:rPr>
          <w:rFonts w:asciiTheme="minorHAnsi" w:hAnsiTheme="minorHAnsi" w:cstheme="minorHAnsi"/>
          <w:szCs w:val="22"/>
          <w:lang w:val="ru-RU"/>
        </w:rPr>
        <w:tab/>
        <w:t xml:space="preserve">Цель настоящего </w:t>
      </w:r>
      <w:r w:rsidRPr="00F250C0">
        <w:rPr>
          <w:lang w:val="ru-RU"/>
        </w:rPr>
        <w:t>документа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 – провести предварительный анализ влияния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noBreakHyphen/>
        <w:t xml:space="preserve">19 на виды деятельности и функционирование МСЭ, в частности представить факты, изложить извлеченные уроки и обратить внимание на некоторые аспекты, которые можно было бы рассмотреть в краткосрочной и среднесрочной перспективе, с тем чтобы сделать МСЭ более современной, жизнеспособной и устойчивой организацией, которая продолжала бы оказывать высококачественные услуги своим членам. На основании руководящих указаний Совета МСЭ </w:t>
      </w:r>
      <w:r w:rsidRPr="00805107">
        <w:rPr>
          <w:rFonts w:asciiTheme="minorHAnsi" w:hAnsiTheme="minorHAnsi" w:cstheme="minorHAnsi"/>
          <w:szCs w:val="22"/>
          <w:lang w:val="ru-RU"/>
        </w:rPr>
        <w:lastRenderedPageBreak/>
        <w:t>относительно различных аспектов, рассматриваемых в настоящем документе, а также иных аспектов, которые могут быть актуальны, дальнейший анализ будет направлен на выявление способов адаптации к "новой норме" и повышения эффективности, действенности и устойчивости МСЭ.</w:t>
      </w:r>
    </w:p>
    <w:p w14:paraId="31E1C0AD" w14:textId="77777777" w:rsidR="00E96BFD" w:rsidRPr="00805107" w:rsidRDefault="00E96BFD" w:rsidP="00E96BFD">
      <w:pPr>
        <w:pStyle w:val="Heading1"/>
        <w:rPr>
          <w:iCs/>
          <w:lang w:val="ru-RU"/>
        </w:rPr>
      </w:pPr>
      <w:r w:rsidRPr="00805107">
        <w:rPr>
          <w:lang w:val="ru-RU"/>
        </w:rPr>
        <w:t>2</w:t>
      </w:r>
      <w:r w:rsidRPr="00805107">
        <w:rPr>
          <w:iCs/>
          <w:lang w:val="ru-RU"/>
        </w:rPr>
        <w:tab/>
        <w:t xml:space="preserve">Влияние </w:t>
      </w:r>
      <w:r w:rsidRPr="00805107">
        <w:t>COVID</w:t>
      </w:r>
      <w:r w:rsidRPr="00805107">
        <w:rPr>
          <w:lang w:val="ru-RU"/>
        </w:rPr>
        <w:t>-19 на всемирные конференции, собрания и мероприятия МСЭ</w:t>
      </w:r>
    </w:p>
    <w:p w14:paraId="3CA96A97" w14:textId="77777777" w:rsidR="00E96BFD" w:rsidRPr="00805107" w:rsidRDefault="00E96BFD" w:rsidP="00E96BFD">
      <w:pPr>
        <w:rPr>
          <w:lang w:val="ru-RU"/>
        </w:rPr>
      </w:pPr>
      <w:r w:rsidRPr="00F250C0">
        <w:rPr>
          <w:lang w:val="ru-RU"/>
        </w:rPr>
        <w:t>2.1</w:t>
      </w:r>
      <w:r w:rsidRPr="00F250C0">
        <w:rPr>
          <w:lang w:val="ru-RU"/>
        </w:rPr>
        <w:tab/>
      </w:r>
      <w:r w:rsidRPr="00805107">
        <w:rPr>
          <w:lang w:val="ru-RU"/>
        </w:rPr>
        <w:t xml:space="preserve">Организация конференций, ассамблей и мероприятий является одной из областей, наиболее затронутых пандемией </w:t>
      </w:r>
      <w:r w:rsidRPr="00805107">
        <w:t>COVID</w:t>
      </w:r>
      <w:r w:rsidRPr="00805107">
        <w:rPr>
          <w:lang w:val="ru-RU"/>
        </w:rPr>
        <w:t xml:space="preserve">-19, поскольку их приходилось проводить в виртуальном режиме либо переносить. С марта 2020 года многие собрания, запланированные МСЭ, проводятся виртуально, включая собрания </w:t>
      </w:r>
      <w:proofErr w:type="spellStart"/>
      <w:r w:rsidRPr="00805107">
        <w:rPr>
          <w:lang w:val="ru-RU"/>
        </w:rPr>
        <w:t>Радиорегламентарного</w:t>
      </w:r>
      <w:proofErr w:type="spellEnd"/>
      <w:r w:rsidRPr="00805107">
        <w:rPr>
          <w:lang w:val="ru-RU"/>
        </w:rPr>
        <w:t xml:space="preserve"> комитета (РРК), консультативных групп трех Секторов, исследовательских комиссий и рабочих групп. Некоторые крупные мероприятия МСЭ, такие как Форум ВВУИО, Всемирный саммит "ИИ во благо", Глобальный симпозиум для регуляторных органов (ГСР) и мероприятие </w:t>
      </w:r>
      <w:r w:rsidRPr="00805107">
        <w:t>ITU</w:t>
      </w:r>
      <w:r w:rsidRPr="00805107">
        <w:rPr>
          <w:lang w:val="ru-RU"/>
        </w:rPr>
        <w:t xml:space="preserve"> </w:t>
      </w:r>
      <w:r w:rsidRPr="00805107">
        <w:t>Digital</w:t>
      </w:r>
      <w:r w:rsidRPr="00805107">
        <w:rPr>
          <w:lang w:val="ru-RU"/>
        </w:rPr>
        <w:t xml:space="preserve"> </w:t>
      </w:r>
      <w:r w:rsidRPr="00805107">
        <w:t>World</w:t>
      </w:r>
      <w:r w:rsidRPr="00805107">
        <w:rPr>
          <w:lang w:val="ru-RU"/>
        </w:rPr>
        <w:t>, были перенесены и в итоге проведены в виртуальном формате в течение года, в то время как ВАСЭ-20 была перенесена на 2022 год и ВКРЭ-21 может быть также перенесена на 2022 год.</w:t>
      </w:r>
    </w:p>
    <w:p w14:paraId="4A6AF01B" w14:textId="302AB439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2.2</w:t>
      </w:r>
      <w:r w:rsidRPr="00F250C0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В 2020 году </w:t>
      </w:r>
      <w:r w:rsidRPr="00F250C0">
        <w:rPr>
          <w:lang w:val="ru-RU"/>
        </w:rPr>
        <w:t>вместо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сессии Совета 2020 года были проведены два раунда виртуальных консультаций Советников (</w:t>
      </w:r>
      <w:r w:rsidRPr="00805107">
        <w:rPr>
          <w:rFonts w:asciiTheme="minorHAnsi" w:hAnsiTheme="minorHAnsi" w:cstheme="minorHAnsi"/>
          <w:szCs w:val="22"/>
        </w:rPr>
        <w:t>VCC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). После обсуждения с </w:t>
      </w:r>
      <w:r w:rsidR="00A32625" w:rsidRPr="00805107">
        <w:rPr>
          <w:rFonts w:asciiTheme="minorHAnsi" w:hAnsiTheme="minorHAnsi" w:cstheme="minorHAnsi"/>
          <w:szCs w:val="22"/>
          <w:lang w:val="ru-RU"/>
        </w:rPr>
        <w:t>Государствами 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– </w:t>
      </w:r>
      <w:r w:rsidR="00A32625" w:rsidRPr="00805107">
        <w:rPr>
          <w:rFonts w:asciiTheme="minorHAnsi" w:hAnsiTheme="minorHAnsi" w:cstheme="minorHAnsi"/>
          <w:szCs w:val="22"/>
          <w:lang w:val="ru-RU"/>
        </w:rPr>
        <w:t xml:space="preserve">Членами 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Совета возможности проведения в 2021 году виртуального собрания Совета было решено, что виртуальные консультации не следует приравнивать к сессии Совета, они не должны предполагать принятие решений и их следует рассматривать как консультации по переписке, организованные в соответствии с Правилом 3.1 Правил процедуры Совета. </w:t>
      </w:r>
    </w:p>
    <w:p w14:paraId="038A2011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2.3</w:t>
      </w:r>
      <w:r w:rsidRPr="00F250C0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Общее число виртуальных мероприятий в 2020 году составило 288, а число зарегистрированных на них участников – 42 055. Таким образом, число мероприятий и их участников увеличилось на 107% и 93% </w:t>
      </w:r>
      <w:r w:rsidRPr="00F250C0">
        <w:rPr>
          <w:lang w:val="ru-RU"/>
        </w:rPr>
        <w:t>соответственно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по сравнению с показателями 2019 года, и это способствовало расширению охвата работы Союза (например, в ВСР-20, Форуме ВВУИО 2020 года, Всемирном саммите "ИИ во благо" и ГСР приняло участие почти в четыре раза больше участников, чем в соответствующих мероприятиях очного формата). Всего было проведено более 9700</w:t>
      </w:r>
      <w:r>
        <w:rPr>
          <w:rFonts w:asciiTheme="minorHAnsi" w:hAnsiTheme="minorHAnsi" w:cstheme="minorHAnsi"/>
          <w:szCs w:val="22"/>
        </w:rPr>
        <w:t> 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виртуальных сессий, число участников которых составило почти 340 000. На долю платформы </w:t>
      </w:r>
      <w:r w:rsidRPr="00805107">
        <w:rPr>
          <w:rFonts w:asciiTheme="minorHAnsi" w:hAnsiTheme="minorHAnsi" w:cstheme="minorHAnsi"/>
          <w:i/>
          <w:szCs w:val="22"/>
        </w:rPr>
        <w:t>Zoom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пришлось более 4700 (48%) виртуальных сессий и более 190 000 участников (56%), остальные виртуальные сессии были проведены с помощью </w:t>
      </w:r>
      <w:proofErr w:type="spellStart"/>
      <w:r w:rsidRPr="00805107">
        <w:rPr>
          <w:rFonts w:asciiTheme="minorHAnsi" w:hAnsiTheme="minorHAnsi" w:cstheme="minorHAnsi"/>
          <w:i/>
          <w:iCs/>
          <w:szCs w:val="22"/>
        </w:rPr>
        <w:t>Interprefy</w:t>
      </w:r>
      <w:proofErr w:type="spellEnd"/>
      <w:r w:rsidRPr="00805107">
        <w:rPr>
          <w:rFonts w:asciiTheme="minorHAnsi" w:hAnsiTheme="minorHAnsi" w:cstheme="minorHAnsi"/>
          <w:szCs w:val="22"/>
          <w:lang w:val="ru-RU"/>
        </w:rPr>
        <w:t xml:space="preserve">, </w:t>
      </w:r>
      <w:r w:rsidRPr="00805107">
        <w:rPr>
          <w:rFonts w:asciiTheme="minorHAnsi" w:hAnsiTheme="minorHAnsi" w:cstheme="minorHAnsi"/>
          <w:i/>
          <w:iCs/>
          <w:szCs w:val="22"/>
        </w:rPr>
        <w:t>GoToMeeting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и </w:t>
      </w:r>
      <w:proofErr w:type="spellStart"/>
      <w:r w:rsidRPr="00805107">
        <w:rPr>
          <w:rFonts w:asciiTheme="minorHAnsi" w:hAnsiTheme="minorHAnsi" w:cstheme="minorHAnsi"/>
          <w:i/>
          <w:iCs/>
          <w:szCs w:val="22"/>
        </w:rPr>
        <w:t>MyMeetings</w:t>
      </w:r>
      <w:proofErr w:type="spellEnd"/>
      <w:r w:rsidRPr="00805107">
        <w:rPr>
          <w:rFonts w:asciiTheme="minorHAnsi" w:hAnsiTheme="minorHAnsi" w:cstheme="minorHAnsi"/>
          <w:iCs/>
          <w:szCs w:val="22"/>
          <w:lang w:val="ru-RU"/>
        </w:rPr>
        <w:t xml:space="preserve">, а платформа </w:t>
      </w:r>
      <w:r w:rsidRPr="00805107">
        <w:rPr>
          <w:rFonts w:asciiTheme="minorHAnsi" w:hAnsiTheme="minorHAnsi" w:cstheme="minorHAnsi"/>
          <w:i/>
          <w:iCs/>
          <w:szCs w:val="22"/>
        </w:rPr>
        <w:t>Teams</w:t>
      </w:r>
      <w:r w:rsidRPr="00805107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iCs/>
          <w:szCs w:val="22"/>
          <w:lang w:val="ru-RU"/>
        </w:rPr>
        <w:t>использовалась главным образом для внутренних собраний МСЭ.</w:t>
      </w:r>
    </w:p>
    <w:p w14:paraId="64FCE100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2.4</w:t>
      </w:r>
      <w:r w:rsidRPr="00F250C0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Службе управления конференциями удалось удовлетворить растущее количество запросов на виртуальные мероприятия и </w:t>
      </w:r>
      <w:r w:rsidRPr="00F250C0">
        <w:rPr>
          <w:lang w:val="ru-RU"/>
        </w:rPr>
        <w:t>собрания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. За 2020 год более чем на 100% увеличились объемы поддержки электронных мероприятий, которая включает в себя техническую помощь делегатам и участникам в получении доступа, регистрации, аккредитации и эксплуатации, а также иную техническую поддержку (оказываемую в разных часовых поясах). Оперативность задействования Союзом своих внутренних ресурсов для адаптации инструментов и процессов к новой цифровой реальности была признана Женевской платформой по вопросам интернета и организацией </w:t>
      </w:r>
      <w:proofErr w:type="spellStart"/>
      <w:r w:rsidRPr="00805107">
        <w:rPr>
          <w:rFonts w:asciiTheme="minorHAnsi" w:hAnsiTheme="minorHAnsi" w:cstheme="minorHAnsi"/>
          <w:szCs w:val="22"/>
        </w:rPr>
        <w:t>DiploFoundation</w:t>
      </w:r>
      <w:proofErr w:type="spellEnd"/>
      <w:r w:rsidRPr="00805107">
        <w:rPr>
          <w:rFonts w:asciiTheme="minorHAnsi" w:hAnsiTheme="minorHAnsi" w:cstheme="minorHAnsi"/>
          <w:szCs w:val="22"/>
          <w:lang w:val="ru-RU"/>
        </w:rPr>
        <w:t xml:space="preserve"> в ходе шестой церемонии присуждения премии </w:t>
      </w:r>
      <w:r w:rsidRPr="00805107">
        <w:rPr>
          <w:rFonts w:asciiTheme="minorHAnsi" w:hAnsiTheme="minorHAnsi" w:cstheme="minorHAnsi"/>
          <w:szCs w:val="22"/>
        </w:rPr>
        <w:t>Geneva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szCs w:val="22"/>
        </w:rPr>
        <w:t>Engage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szCs w:val="22"/>
        </w:rPr>
        <w:t>Awards</w:t>
      </w:r>
      <w:r w:rsidRPr="00805107">
        <w:rPr>
          <w:rFonts w:asciiTheme="minorHAnsi" w:hAnsiTheme="minorHAnsi" w:cstheme="minorHAnsi"/>
          <w:szCs w:val="22"/>
          <w:lang w:val="ru-RU"/>
        </w:rPr>
        <w:t>, где МСЭ стал победителем в категории "Онлайновые мероприятия и участие".</w:t>
      </w:r>
    </w:p>
    <w:p w14:paraId="54509903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2.5</w:t>
      </w:r>
      <w:r w:rsidRPr="00F250C0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Большинство </w:t>
      </w:r>
      <w:r w:rsidRPr="00F250C0">
        <w:rPr>
          <w:lang w:val="ru-RU"/>
        </w:rPr>
        <w:t>организованных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в виртуальном режиме собраний, бесперебойную работу которых обеспечивал Секретариат МСЭ, были высоко оценены участниками. В числе </w:t>
      </w:r>
      <w:r w:rsidRPr="00805107">
        <w:rPr>
          <w:rFonts w:asciiTheme="minorHAnsi" w:hAnsiTheme="minorHAnsi" w:cstheme="minorHAnsi"/>
          <w:b/>
          <w:szCs w:val="22"/>
          <w:lang w:val="ru-RU"/>
        </w:rPr>
        <w:t xml:space="preserve">извлеченных уроков 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можно отметить, что, как показала практика, виртуальные собрания обеспечивают более широкий охват, чем очные, и на них нередко присутствует больше человек, чем в аналогичных очных собраниях, проводившихся ранее. </w:t>
      </w:r>
    </w:p>
    <w:p w14:paraId="330AE407" w14:textId="77777777" w:rsidR="00E96BFD" w:rsidRPr="00805107" w:rsidRDefault="00E96BFD" w:rsidP="00E96BFD">
      <w:pPr>
        <w:pStyle w:val="enumlev1"/>
        <w:rPr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lang w:val="ru-RU"/>
        </w:rPr>
        <w:t xml:space="preserve">Во многих случаях организация виртуальных собраний отличается большей степенью гибкости, то есть их проще организовать и это можно сделать в более сжатые сроки. Более </w:t>
      </w:r>
      <w:r w:rsidRPr="00805107">
        <w:rPr>
          <w:lang w:val="ru-RU"/>
        </w:rPr>
        <w:lastRenderedPageBreak/>
        <w:t xml:space="preserve">широкое участие может объясняться тем, что присутствие на онлайновых собраниях не требует путевых расходов. Кроме того, виртуальные собрания оказывают гораздо меньшее воздействие на окружающую среду по сравнению с очными мероприятиями, если учесть соответствующие авиаперевозки делегатов, персонала и устных переводчиков, грузоперевозки, отходы и потребление воды и электроэнергии. </w:t>
      </w:r>
    </w:p>
    <w:p w14:paraId="43DAB583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Тем не менее </w:t>
      </w:r>
      <w:r w:rsidRPr="00F250C0">
        <w:rPr>
          <w:lang w:val="ru-RU"/>
        </w:rPr>
        <w:t>существует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риск информационной перегрузки аудитории, и в особенности это касается членов, когда мероприятия по схожим темам запланированы близко друг от друга по времени. Соответственно, требуется более тщательное планирование и координация, чтобы можно было добиться желаемого результата и избежать при этом утомления от вебинаров. </w:t>
      </w:r>
    </w:p>
    <w:p w14:paraId="38723BAE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rFonts w:asciiTheme="minorHAnsi" w:hAnsiTheme="minorHAnsi" w:cstheme="minorHAnsi"/>
          <w:szCs w:val="22"/>
          <w:lang w:val="ru-RU"/>
        </w:rPr>
        <w:t>2.6</w:t>
      </w:r>
      <w:r w:rsidRPr="00F250C0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К числу </w:t>
      </w:r>
      <w:r w:rsidRPr="00805107">
        <w:rPr>
          <w:rFonts w:asciiTheme="minorHAnsi" w:hAnsiTheme="minorHAnsi" w:cstheme="minorHAnsi"/>
          <w:b/>
          <w:szCs w:val="22"/>
          <w:lang w:val="ru-RU"/>
        </w:rPr>
        <w:t>трудностей и проблем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относятся ограниченная пропускная способность (каналов аудио- и видеосвязи), низкое качество передачи и другие сложности с подключением, возникающие у некоторых участников. Кроме того, в то время как в рамках одних собраний, например собраний исследовательских комиссий, была определена процедура принятия решений, в рамках других собраний, таких как </w:t>
      </w:r>
      <w:r w:rsidRPr="00805107">
        <w:rPr>
          <w:rFonts w:asciiTheme="minorHAnsi" w:hAnsiTheme="minorHAnsi" w:cstheme="minorHAnsi"/>
          <w:szCs w:val="22"/>
        </w:rPr>
        <w:t>VCC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, предварительные итоги по конкретным вопросам подлежали формальному утверждению по переписке в соответствии с Правилом 3.2 Правилами процедуры Совета. </w:t>
      </w:r>
    </w:p>
    <w:p w14:paraId="11685AEE" w14:textId="305D889D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В целом оказание поддержки виртуальным собраниям и участие в них потребовали освоения новых навыков и функций как от персонала МСЭ (помощь модераторам, делегатам, председателям и секретарям в подключении к платформам, а также оказание поддержки непосредственно в ходе виртуальных собраний), так и от участников. Определенные проблемы в доступе и использовании были обусловлены тем, что для разных собраний использовались разные платформы.</w:t>
      </w:r>
    </w:p>
    <w:p w14:paraId="6B751255" w14:textId="09B7C462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Еще одна проблема заключалась в необходимости приспособиться к сокращенному времени собраний в день и наилучшим образом распорядиться ограниченным количеством временных интервалов, которые в полной мере удобны для различных часовых поясов. МСЭ использовал временные интервалы 12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 час. </w:t>
      </w:r>
      <w:r w:rsidRPr="00805107">
        <w:rPr>
          <w:rFonts w:asciiTheme="minorHAnsi" w:hAnsiTheme="minorHAnsi" w:cstheme="minorHAnsi"/>
          <w:szCs w:val="22"/>
          <w:lang w:val="ru-RU"/>
        </w:rPr>
        <w:t>00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 мин. </w:t>
      </w:r>
      <w:r w:rsidRPr="00805107">
        <w:rPr>
          <w:rFonts w:asciiTheme="minorHAnsi" w:hAnsiTheme="minorHAnsi" w:cstheme="minorHAnsi"/>
          <w:szCs w:val="22"/>
          <w:lang w:val="ru-RU"/>
        </w:rPr>
        <w:t>–15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 час. </w:t>
      </w:r>
      <w:r w:rsidRPr="00805107">
        <w:rPr>
          <w:rFonts w:asciiTheme="minorHAnsi" w:hAnsiTheme="minorHAnsi" w:cstheme="minorHAnsi"/>
          <w:szCs w:val="22"/>
          <w:lang w:val="ru-RU"/>
        </w:rPr>
        <w:t>00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 мин. </w:t>
      </w:r>
      <w:r w:rsidRPr="00805107">
        <w:rPr>
          <w:rFonts w:asciiTheme="minorHAnsi" w:hAnsiTheme="minorHAnsi" w:cstheme="minorHAnsi"/>
          <w:szCs w:val="22"/>
          <w:lang w:val="ru-RU"/>
        </w:rPr>
        <w:t>или 13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 час. </w:t>
      </w:r>
      <w:r w:rsidRPr="00805107">
        <w:rPr>
          <w:rFonts w:asciiTheme="minorHAnsi" w:hAnsiTheme="minorHAnsi" w:cstheme="minorHAnsi"/>
          <w:szCs w:val="22"/>
          <w:lang w:val="ru-RU"/>
        </w:rPr>
        <w:t>00</w:t>
      </w:r>
      <w:r w:rsidR="00BA5112">
        <w:rPr>
          <w:rFonts w:asciiTheme="minorHAnsi" w:hAnsiTheme="minorHAnsi" w:cstheme="minorHAnsi"/>
          <w:szCs w:val="22"/>
          <w:lang w:val="ru-RU"/>
        </w:rPr>
        <w:t xml:space="preserve"> мин. </w:t>
      </w:r>
      <w:r w:rsidRPr="00805107">
        <w:rPr>
          <w:rFonts w:asciiTheme="minorHAnsi" w:hAnsiTheme="minorHAnsi" w:cstheme="minorHAnsi"/>
          <w:szCs w:val="22"/>
          <w:lang w:val="ru-RU"/>
        </w:rPr>
        <w:t>–16</w:t>
      </w:r>
      <w:r w:rsidR="00874BAC">
        <w:rPr>
          <w:rFonts w:asciiTheme="minorHAnsi" w:hAnsiTheme="minorHAnsi" w:cstheme="minorHAnsi"/>
          <w:szCs w:val="22"/>
          <w:lang w:val="ru-RU"/>
        </w:rPr>
        <w:t xml:space="preserve"> час. </w:t>
      </w:r>
      <w:r w:rsidRPr="00805107">
        <w:rPr>
          <w:rFonts w:asciiTheme="minorHAnsi" w:hAnsiTheme="minorHAnsi" w:cstheme="minorHAnsi"/>
          <w:szCs w:val="22"/>
          <w:lang w:val="ru-RU"/>
        </w:rPr>
        <w:t>00 </w:t>
      </w:r>
      <w:r w:rsidR="00874BAC">
        <w:rPr>
          <w:rFonts w:asciiTheme="minorHAnsi" w:hAnsiTheme="minorHAnsi" w:cstheme="minorHAnsi"/>
          <w:szCs w:val="22"/>
          <w:lang w:val="ru-RU"/>
        </w:rPr>
        <w:t>мин</w:t>
      </w:r>
      <w:r w:rsidR="00BA5112">
        <w:rPr>
          <w:rFonts w:asciiTheme="minorHAnsi" w:hAnsiTheme="minorHAnsi" w:cstheme="minorHAnsi"/>
          <w:szCs w:val="22"/>
          <w:lang w:val="ru-RU"/>
        </w:rPr>
        <w:t>.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</w:t>
      </w:r>
      <w:r w:rsidRPr="00F250C0">
        <w:rPr>
          <w:rFonts w:asciiTheme="minorHAnsi" w:hAnsiTheme="minorHAnsi" w:cstheme="minorHAnsi"/>
          <w:szCs w:val="22"/>
          <w:lang w:val="ru-RU"/>
        </w:rPr>
        <w:t>CEST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, и ему удалось добиться весьма неплохих результатов в плане эффективности использования времени собраний (минимальное количество перерывов или их непродолжительность и т. д.), однако для некоторых регионов такой режим все же довольно неудобен. </w:t>
      </w:r>
    </w:p>
    <w:p w14:paraId="054D37BA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Также отмечалось сокращение времени устного перевода в день при сохранении его стоимости (если таковой предоставлялся). При том что возможность организации устного перевода есть не всегда, полезным и недорогим инструментом оказались субтитры, служащие подспорьем неанглоязычным участникам, а также лицам с нарушениями слуха. </w:t>
      </w:r>
    </w:p>
    <w:p w14:paraId="7E5F7CF5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F250C0">
        <w:rPr>
          <w:rFonts w:asciiTheme="minorHAnsi" w:hAnsiTheme="minorHAnsi" w:cstheme="minorHAnsi"/>
          <w:szCs w:val="22"/>
          <w:lang w:val="ru-RU"/>
        </w:rPr>
        <w:t>2.7</w:t>
      </w:r>
      <w:r w:rsidRPr="00F250C0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С учетом вышеизложенного для рассмотрения Советом предлагается следующее. </w:t>
      </w:r>
    </w:p>
    <w:p w14:paraId="3049D185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Учитывая успех виртуальных собраний, проведенных в 2020–2021 годах, а также в соответствии с мандатом МСЭ и его ролью лидера в использовании ИКТ для обеспечения устойчивого развития Советники могли бы рассмотреть вопрос о поощрении использования виртуального или смешанного форматов для некоторых мероприятий и собраний после пандемии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-19, поскольку это будет способствовать повышению эффективности и сокращению воздействия на окружающую среду, которое связано главным образом с международными перевозками. Вместе с тем можно было бы оценить методы, использовавшиеся для принятия решений в 2020 и/или 2021 году, и рассмотреть альтернативные процедуры принятия решений, подходящие для различных ситуаций, в частности для мероприятий смешанного формата, где участники, присутствующие очно, имеют в настоящее время больше прав, чем дистанционные участники. </w:t>
      </w:r>
    </w:p>
    <w:p w14:paraId="1AF7A160" w14:textId="704E5F24" w:rsidR="00E96BFD" w:rsidRPr="00805107" w:rsidRDefault="00E96BFD" w:rsidP="00E96BFD">
      <w:pPr>
        <w:pStyle w:val="Heading1"/>
        <w:rPr>
          <w:lang w:val="ru-RU"/>
        </w:rPr>
      </w:pPr>
      <w:r w:rsidRPr="00805107">
        <w:rPr>
          <w:lang w:val="ru-RU"/>
        </w:rPr>
        <w:lastRenderedPageBreak/>
        <w:t>3</w:t>
      </w:r>
      <w:r w:rsidRPr="00805107">
        <w:rPr>
          <w:lang w:val="ru-RU"/>
        </w:rPr>
        <w:tab/>
        <w:t xml:space="preserve">Влияние </w:t>
      </w:r>
      <w:r w:rsidRPr="00805107">
        <w:t>COVID</w:t>
      </w:r>
      <w:r w:rsidRPr="00805107">
        <w:rPr>
          <w:lang w:val="ru-RU"/>
        </w:rPr>
        <w:t>-19 на методы работы, рабочее пространство и устойчивость МСЭ</w:t>
      </w:r>
    </w:p>
    <w:p w14:paraId="28F6B359" w14:textId="77777777" w:rsidR="00E96BFD" w:rsidRPr="00805107" w:rsidRDefault="00E96BFD" w:rsidP="00E96BFD">
      <w:pPr>
        <w:rPr>
          <w:lang w:val="ru-RU"/>
        </w:rPr>
      </w:pPr>
      <w:r w:rsidRPr="00805107">
        <w:rPr>
          <w:lang w:val="ru-RU"/>
        </w:rPr>
        <w:t>3.1</w:t>
      </w:r>
      <w:r w:rsidRPr="00805107">
        <w:rPr>
          <w:lang w:val="ru-RU"/>
        </w:rPr>
        <w:tab/>
        <w:t xml:space="preserve">В связи с тем, </w:t>
      </w:r>
      <w:r>
        <w:rPr>
          <w:lang w:val="ru-RU"/>
        </w:rPr>
        <w:t xml:space="preserve">что </w:t>
      </w:r>
      <w:r w:rsidRPr="00805107">
        <w:rPr>
          <w:lang w:val="ru-RU"/>
        </w:rPr>
        <w:t xml:space="preserve">пандемия </w:t>
      </w:r>
      <w:r w:rsidRPr="00805107">
        <w:t>COVID</w:t>
      </w:r>
      <w:r w:rsidRPr="00805107">
        <w:rPr>
          <w:lang w:val="ru-RU"/>
        </w:rPr>
        <w:t xml:space="preserve">-19 обусловила необходимость целого ряда ограничений для обеспечения социального дистанцирования на работе, многие организации были вынуждены </w:t>
      </w:r>
      <w:r>
        <w:rPr>
          <w:lang w:val="ru-RU"/>
        </w:rPr>
        <w:t xml:space="preserve">в экстренном порядке </w:t>
      </w:r>
      <w:r w:rsidRPr="00805107">
        <w:rPr>
          <w:lang w:val="ru-RU"/>
        </w:rPr>
        <w:t>внедр</w:t>
      </w:r>
      <w:r>
        <w:rPr>
          <w:lang w:val="ru-RU"/>
        </w:rPr>
        <w:t>я</w:t>
      </w:r>
      <w:r w:rsidRPr="00805107">
        <w:rPr>
          <w:lang w:val="ru-RU"/>
        </w:rPr>
        <w:t xml:space="preserve">ть в рабочий процесс практику работы из дома. Это могло в значительной степени изменить восприятие роли офиса в контексте их профессиональной деятельности. Более того, во многих организациях это способствовало основательному переосмыслению уклада и закрепило дистанционную работу как эффективный или даже желательный формат работы. Основная часть персонала МСЭ (более 90%) также работает удаленно начиная с марта 2020 года, что оказало серьезное влияние на порядок выполнения сотрудниками МСЭ своих функций. </w:t>
      </w:r>
    </w:p>
    <w:p w14:paraId="1B4B1E26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Почти все зарубежные командировки начиная с апреля 2020 года были отменены. </w:t>
      </w:r>
      <w:r w:rsidRPr="00F250C0">
        <w:rPr>
          <w:rFonts w:asciiTheme="minorHAnsi" w:hAnsiTheme="minorHAnsi" w:cstheme="minorHAnsi"/>
          <w:szCs w:val="22"/>
          <w:lang w:val="ru-RU"/>
        </w:rPr>
        <w:t>Вследствие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этого остались неизрасходованные ассигнования на поездки и значительно сократились выбросы парниковых газов. Объемы выбросов от авиаперелетов в рамках командировок МСЭ сократились на 85%: с 1898 тонн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</w:t>
      </w:r>
      <w:r w:rsidRPr="00A32625">
        <w:rPr>
          <w:rFonts w:asciiTheme="minorHAnsi" w:hAnsiTheme="minorHAnsi" w:cstheme="minorHAnsi"/>
          <w:color w:val="000000" w:themeColor="text1"/>
          <w:szCs w:val="22"/>
          <w:vertAlign w:val="subscript"/>
          <w:lang w:val="ru-RU"/>
        </w:rPr>
        <w:t>2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в 2019 году до 267 тонн в 2020 году.</w:t>
      </w:r>
    </w:p>
    <w:p w14:paraId="2BD04FDA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Телеработа способствовала дальнейшему внедрению электронных деловых процедур, тем самым приближая МСЭ к превращению в безбумажную организацию. Одной из мер, призванных содействовать поддержанию безбумажных процедур по возвращении на рабочие места, стал вывод из эксплуатации пневматической почты в начале 2021 года.</w:t>
      </w:r>
    </w:p>
    <w:p w14:paraId="719432F0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bookmarkStart w:id="4" w:name="_Hlk69805312"/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>Был разработан план по возвращению на рабочие места (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RTO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). В дополнение к плану во всех помещениях Союза было подготовлено оборудование и предусмотрены процедуры по </w:t>
      </w:r>
      <w:r w:rsidRPr="00F250C0">
        <w:rPr>
          <w:rFonts w:asciiTheme="minorHAnsi" w:hAnsiTheme="minorHAnsi" w:cstheme="minorHAnsi"/>
          <w:szCs w:val="22"/>
          <w:lang w:val="ru-RU"/>
        </w:rPr>
        <w:t>соблюдению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правил в условиях кризиса. Более подробная информация размещена по следующему адресу: </w:t>
      </w:r>
      <w:hyperlink r:id="rId16" w:history="1">
        <w:r w:rsidRPr="00805107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proofErr w:type="spellStart"/>
        <w:r w:rsidRPr="00805107">
          <w:rPr>
            <w:rStyle w:val="Hyperlink"/>
            <w:rFonts w:asciiTheme="minorHAnsi" w:hAnsiTheme="minorHAnsi" w:cstheme="minorHAnsi"/>
            <w:szCs w:val="22"/>
          </w:rPr>
          <w:t>itu</w:t>
        </w:r>
        <w:proofErr w:type="spellEnd"/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805107">
          <w:rPr>
            <w:rStyle w:val="Hyperlink"/>
            <w:rFonts w:asciiTheme="minorHAnsi" w:hAnsiTheme="minorHAnsi" w:cstheme="minorHAnsi"/>
            <w:szCs w:val="22"/>
          </w:rPr>
          <w:t>office</w:t>
        </w:r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805107">
          <w:rPr>
            <w:rStyle w:val="Hyperlink"/>
            <w:rFonts w:asciiTheme="minorHAnsi" w:hAnsiTheme="minorHAnsi" w:cstheme="minorHAnsi"/>
            <w:szCs w:val="22"/>
          </w:rPr>
          <w:t>presence</w:t>
        </w:r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805107">
          <w:rPr>
            <w:rStyle w:val="Hyperlink"/>
            <w:rFonts w:asciiTheme="minorHAnsi" w:hAnsiTheme="minorHAnsi" w:cstheme="minorHAnsi"/>
            <w:szCs w:val="22"/>
          </w:rPr>
          <w:t>covid</w:t>
        </w:r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19.</w:t>
        </w:r>
        <w:proofErr w:type="spellStart"/>
        <w:r w:rsidRPr="00805107">
          <w:rPr>
            <w:rStyle w:val="Hyperlink"/>
            <w:rFonts w:asciiTheme="minorHAnsi" w:hAnsiTheme="minorHAnsi" w:cstheme="minorHAnsi"/>
            <w:szCs w:val="22"/>
          </w:rPr>
          <w:t>eu</w:t>
        </w:r>
        <w:proofErr w:type="spellEnd"/>
      </w:hyperlink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>.</w:t>
      </w:r>
    </w:p>
    <w:bookmarkEnd w:id="4"/>
    <w:p w14:paraId="5D730BBC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МСЭ ведет работу над мерами по снижению риска в помещениях в соответствии с </w:t>
      </w:r>
      <w:r w:rsidRPr="00F250C0">
        <w:rPr>
          <w:rFonts w:asciiTheme="minorHAnsi" w:hAnsiTheme="minorHAnsi" w:cstheme="minorHAnsi"/>
          <w:szCs w:val="22"/>
          <w:lang w:val="ru-RU"/>
        </w:rPr>
        <w:t>рекомендацией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ООН по соблюдению двухметровой социальной дистанции в офисных помещениях. В связи с нормами социального дистанцирования в будущем для конференций понадобятся более просторные аудитории или же, возможно, придется ограничить число участников, присутствующих на конференциях очно.</w:t>
      </w:r>
    </w:p>
    <w:p w14:paraId="21961087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Организовано предоставление новых услуг по поддержке персонала, включая оказание медицинской и психологической помощи и поощрение проведения неформальных </w:t>
      </w:r>
      <w:r w:rsidRPr="00F250C0">
        <w:rPr>
          <w:rFonts w:asciiTheme="minorHAnsi" w:hAnsiTheme="minorHAnsi" w:cstheme="minorHAnsi"/>
          <w:szCs w:val="22"/>
          <w:lang w:val="ru-RU"/>
        </w:rPr>
        <w:t>социальных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мероприятий в виртуальном режиме с участием коллег, руководителей и избираемых должностных лиц, а также виртуальных вечеринок по случаю окончания года и иных особых поводов. </w:t>
      </w:r>
    </w:p>
    <w:p w14:paraId="1504CDBB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На </w:t>
      </w:r>
      <w:r w:rsidRPr="00F250C0">
        <w:rPr>
          <w:rFonts w:asciiTheme="minorHAnsi" w:hAnsiTheme="minorHAnsi" w:cstheme="minorHAnsi"/>
          <w:szCs w:val="22"/>
          <w:lang w:val="ru-RU"/>
        </w:rPr>
        <w:t>фоне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COVID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-19 также обозначилась необходимость структуризации внутренних коммуникаций. Для того чтобы в некоторой степени компенсировать отсутствие общения на рабочих местах, МСЭ запустил рассылку информационного бюллетеня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ITU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Connections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>, издаваемого самими сотрудниками для своих коллег. Это стало возможным благодаря тому, что Советом было утверждено выделение кадровых ресурсов МСЭ для внутренних и внешних коммуникаций в поддержку проекта строительства нового здания штаб-квартиры МСЭ</w:t>
      </w:r>
      <w:r>
        <w:rPr>
          <w:rFonts w:asciiTheme="minorHAnsi" w:hAnsiTheme="minorHAnsi" w:cstheme="minorHAnsi"/>
          <w:color w:val="000000" w:themeColor="text1"/>
          <w:szCs w:val="22"/>
          <w:lang w:val="ru-RU"/>
        </w:rPr>
        <w:t>.</w:t>
      </w:r>
    </w:p>
    <w:p w14:paraId="74554BBB" w14:textId="77777777" w:rsidR="00E96BFD" w:rsidRPr="00805107" w:rsidRDefault="00E96BFD" w:rsidP="00E96BFD">
      <w:pPr>
        <w:rPr>
          <w:lang w:val="ru-RU"/>
        </w:rPr>
      </w:pPr>
      <w:r w:rsidRPr="00805107">
        <w:rPr>
          <w:lang w:val="ru-RU"/>
        </w:rPr>
        <w:t>3.2</w:t>
      </w:r>
      <w:r w:rsidRPr="00805107">
        <w:rPr>
          <w:lang w:val="ru-RU"/>
        </w:rPr>
        <w:tab/>
        <w:t xml:space="preserve">Ожидается, что широкое использование телеработы и виртуального формата собраний может продолжиться в 2022 году и в последующие годы, когда персоналу придется переместиться в другие помещения в связи с проектом строительства нового здания. С учетом того что вызванный </w:t>
      </w:r>
      <w:r w:rsidRPr="00805107">
        <w:t>COVID</w:t>
      </w:r>
      <w:r w:rsidRPr="00805107">
        <w:rPr>
          <w:lang w:val="ru-RU"/>
        </w:rPr>
        <w:t xml:space="preserve">-19 кризис дополнительно осложнил ситуацию, МСЭ обратился к консалтинговой компании </w:t>
      </w:r>
      <w:r w:rsidRPr="00805107">
        <w:rPr>
          <w:i/>
          <w:iCs/>
        </w:rPr>
        <w:t>Drees</w:t>
      </w:r>
      <w:r w:rsidRPr="00805107">
        <w:rPr>
          <w:i/>
          <w:iCs/>
          <w:lang w:val="ru-RU"/>
        </w:rPr>
        <w:t xml:space="preserve"> &amp; </w:t>
      </w:r>
      <w:r w:rsidRPr="00805107">
        <w:rPr>
          <w:i/>
          <w:iCs/>
        </w:rPr>
        <w:t>Sommer</w:t>
      </w:r>
      <w:r w:rsidRPr="00805107">
        <w:rPr>
          <w:i/>
          <w:iCs/>
          <w:lang w:val="ru-RU"/>
        </w:rPr>
        <w:t xml:space="preserve"> (</w:t>
      </w:r>
      <w:r w:rsidRPr="00805107">
        <w:rPr>
          <w:i/>
          <w:iCs/>
        </w:rPr>
        <w:t>D</w:t>
      </w:r>
      <w:r w:rsidRPr="00805107">
        <w:rPr>
          <w:i/>
          <w:iCs/>
          <w:lang w:val="ru-RU"/>
        </w:rPr>
        <w:t>&amp;</w:t>
      </w:r>
      <w:r w:rsidRPr="00805107">
        <w:rPr>
          <w:i/>
          <w:iCs/>
        </w:rPr>
        <w:t>S</w:t>
      </w:r>
      <w:r w:rsidRPr="00805107">
        <w:rPr>
          <w:i/>
          <w:iCs/>
          <w:lang w:val="ru-RU"/>
        </w:rPr>
        <w:t>)</w:t>
      </w:r>
      <w:r w:rsidRPr="00805107">
        <w:rPr>
          <w:iCs/>
          <w:lang w:val="ru-RU"/>
        </w:rPr>
        <w:t xml:space="preserve"> за помощью в разработке и осуществлении Стратегии по условиям работы персонала и Плана реализации для нового здания (более подробно см. Документ </w:t>
      </w:r>
      <w:hyperlink r:id="rId17" w:history="1">
        <w:r w:rsidRPr="00805107">
          <w:rPr>
            <w:rStyle w:val="Hyperlink"/>
            <w:rFonts w:asciiTheme="minorHAnsi" w:hAnsiTheme="minorHAnsi" w:cstheme="minorHAnsi"/>
            <w:szCs w:val="22"/>
          </w:rPr>
          <w:t>C</w:t>
        </w:r>
        <w:r w:rsidRPr="00805107">
          <w:rPr>
            <w:rStyle w:val="Hyperlink"/>
            <w:rFonts w:asciiTheme="minorHAnsi" w:hAnsiTheme="minorHAnsi" w:cstheme="minorHAnsi"/>
            <w:szCs w:val="22"/>
            <w:lang w:val="ru-RU"/>
          </w:rPr>
          <w:t>21/29</w:t>
        </w:r>
      </w:hyperlink>
      <w:r w:rsidRPr="00805107">
        <w:rPr>
          <w:rStyle w:val="Hyperlink"/>
          <w:rFonts w:asciiTheme="minorHAnsi" w:hAnsiTheme="minorHAnsi" w:cstheme="minorHAnsi"/>
          <w:color w:val="2C10FC"/>
          <w:szCs w:val="22"/>
          <w:u w:val="none"/>
          <w:lang w:val="ru-RU"/>
        </w:rPr>
        <w:t>)</w:t>
      </w:r>
      <w:r w:rsidRPr="00805107">
        <w:rPr>
          <w:rStyle w:val="Hyperlink"/>
          <w:rFonts w:asciiTheme="minorHAnsi" w:hAnsiTheme="minorHAnsi" w:cstheme="minorHAnsi"/>
          <w:color w:val="auto"/>
          <w:szCs w:val="22"/>
          <w:u w:val="none"/>
          <w:lang w:val="ru-RU"/>
        </w:rPr>
        <w:t xml:space="preserve">. На ранней стадии реализации проекта будет проведен анализ влияния пандемии </w:t>
      </w:r>
      <w:r w:rsidRPr="00805107">
        <w:t>COVID</w:t>
      </w:r>
      <w:r w:rsidRPr="00805107">
        <w:rPr>
          <w:lang w:val="ru-RU"/>
        </w:rPr>
        <w:noBreakHyphen/>
        <w:t>19 и ее последствий в контексте будущей рабочей среды МСЭ.</w:t>
      </w:r>
    </w:p>
    <w:p w14:paraId="07474C1C" w14:textId="5DDAF532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805107">
        <w:rPr>
          <w:rFonts w:asciiTheme="minorHAnsi" w:hAnsiTheme="minorHAnsi" w:cstheme="minorHAnsi"/>
          <w:szCs w:val="22"/>
          <w:lang w:val="ru-RU"/>
        </w:rPr>
        <w:lastRenderedPageBreak/>
        <w:t>3.3</w:t>
      </w:r>
      <w:r w:rsidRPr="00805107">
        <w:rPr>
          <w:rFonts w:asciiTheme="minorHAnsi" w:hAnsiTheme="minorHAnsi" w:cstheme="minorHAnsi"/>
          <w:szCs w:val="22"/>
          <w:lang w:val="ru-RU"/>
        </w:rPr>
        <w:tab/>
        <w:t xml:space="preserve">С учетом опыта телеработы во время пандемии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-19 массовая дистанционная работа может стать </w:t>
      </w:r>
      <w:r w:rsidRPr="007F6B93">
        <w:rPr>
          <w:lang w:val="ru-RU"/>
        </w:rPr>
        <w:t>долгосрочным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явлением в будущей рабочей среде. С одной стороны, сотрудники МСЭ могут извлечь из этого пользу в виде повышенной производительности и экономии времени за счет того, что не нужно добираться до работы, а также возможности более свободно распоряжаться своим временем. С другой стороны, все больше сотрудников отмечают, что они как будто постоянно находятся "в рабочем режиме", а это часто приводит к стиранию границ между работой и личной жизнью. Кроме того, некоторые сотрудники испытывают неудобства из-за отсутствия дома приемлемых условий для работы.</w:t>
      </w:r>
    </w:p>
    <w:p w14:paraId="553F755C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У сотрудников, работающих дистанционно, могут формироваться новые привычки организации времени, что может создать определенные трудности при возвращении на рабочие места. То же самое может касаться и привычек по поддержанию здоровья, сформированных за время работы из дома, и их возможной интеграции в работу на местах.</w:t>
      </w:r>
    </w:p>
    <w:p w14:paraId="7E86242F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Когда основная часть персонала работает дистанционно, вспомогательным службам тоже </w:t>
      </w:r>
      <w:r w:rsidRPr="007F6B93">
        <w:rPr>
          <w:rFonts w:asciiTheme="minorHAnsi" w:hAnsiTheme="minorHAnsi" w:cstheme="minorHAnsi"/>
          <w:color w:val="000000" w:themeColor="text1"/>
          <w:szCs w:val="22"/>
          <w:lang w:val="ru-RU"/>
        </w:rPr>
        <w:t>приходится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работать удаленно, и такая практика потребует дальнейшего развития в течение 2021 года и после. Это должно включать: виртуальную службу помощи; цифровые процессы, цифровые инструменты взаимодействия и механизмы цифровой подписи/цифрового утверждения; электронную документацию и системы поддержки управления информацией и соответствующую процедуру; систему онлайнового бронирования рабочего места в рамках реализации политики незакрепленных рабочих мест; и инфраструктуру МСЭ для поддержки телеработы – с учетом существенного увеличения виртуальных мероприятий и собраний, как внешних, так и внутренних.</w:t>
      </w:r>
    </w:p>
    <w:p w14:paraId="7B271023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Могут возникнуть и иные вопросы, связанные, например, с поддержкой виртуальных </w:t>
      </w:r>
      <w:r w:rsidRPr="007F6B93">
        <w:rPr>
          <w:rFonts w:asciiTheme="minorHAnsi" w:hAnsiTheme="minorHAnsi" w:cstheme="minorHAnsi"/>
          <w:color w:val="000000" w:themeColor="text1"/>
          <w:szCs w:val="22"/>
          <w:lang w:val="ru-RU"/>
        </w:rPr>
        <w:t>мероприятий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в разных часовых поясах в рамках сверхурочной работы; влиянием телеработы на физическое и/или психологическое состояние (стресс, изоляция, здоровье и т. д.); балансом между работой и личной жизнью; гендерным неравенством в контексте телеработы (оказывает большее негативное воздействие на женщин, чем на мужчин); устаревшими функциями персонала, нуждающегося в переподготовке; неиспользованными днями отпуска и пр. Можно было бы разработать соответствующие руководящие указания, обеспечивающие больше гибкости в выборе рабочих часов и режима работы. </w:t>
      </w:r>
    </w:p>
    <w:p w14:paraId="24A312AA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805107">
        <w:rPr>
          <w:rFonts w:asciiTheme="minorHAnsi" w:hAnsiTheme="minorHAnsi" w:cstheme="minorHAnsi"/>
          <w:szCs w:val="22"/>
          <w:lang w:val="ru-RU"/>
        </w:rPr>
        <w:t>3.4</w:t>
      </w:r>
      <w:r w:rsidRPr="00805107">
        <w:rPr>
          <w:rFonts w:asciiTheme="minorHAnsi" w:hAnsiTheme="minorHAnsi" w:cstheme="minorHAnsi"/>
          <w:szCs w:val="22"/>
          <w:lang w:val="ru-RU"/>
        </w:rPr>
        <w:tab/>
        <w:t>С учетом вышеизложенного на рассмотрение Совета могут быть предложены следующие пункты:</w:t>
      </w:r>
    </w:p>
    <w:p w14:paraId="1F0FD8A7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Вопрос о том, как воплотить приобретенный за время пандемии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>-19 опыт нового распорядка работы и режима поездок в более долгосрочную стратегию по сокращению выбросов, в частности за счет сокращения выбросов от авиаперелетов, вместо того чтобы возвращаться к уровням выбросов парниковых газов, существовавшим до пандемии.</w:t>
      </w:r>
    </w:p>
    <w:p w14:paraId="3DF750CA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Руководящие указания Комитета ООН высокого уровня по вопросам управления (КВУУ) относительно: а) типовой политики в отношении гибкого режима работы и </w:t>
      </w:r>
      <w:r w:rsidRPr="00805107">
        <w:rPr>
          <w:rFonts w:asciiTheme="minorHAnsi" w:hAnsiTheme="minorHAnsi" w:cstheme="minorHAnsi"/>
          <w:szCs w:val="22"/>
        </w:rPr>
        <w:t>b</w:t>
      </w:r>
      <w:r w:rsidRPr="00805107">
        <w:rPr>
          <w:rFonts w:asciiTheme="minorHAnsi" w:hAnsiTheme="minorHAnsi" w:cstheme="minorHAnsi"/>
          <w:szCs w:val="22"/>
          <w:lang w:val="ru-RU"/>
        </w:rPr>
        <w:t>) введения в действие обязательств старшего руководства в части более гибких контрактов и методов работы в условиях "новой нормы" в соответствии со стратегией системы ООН по вопросам будущей работы (</w:t>
      </w:r>
      <w:hyperlink r:id="rId18" w:history="1">
        <w:r w:rsidRPr="00805107">
          <w:rPr>
            <w:rFonts w:asciiTheme="minorHAnsi" w:hAnsiTheme="minorHAnsi" w:cstheme="minorHAnsi"/>
            <w:szCs w:val="22"/>
          </w:rPr>
          <w:t>CEB</w:t>
        </w:r>
        <w:r w:rsidRPr="00805107">
          <w:rPr>
            <w:rFonts w:asciiTheme="minorHAnsi" w:hAnsiTheme="minorHAnsi" w:cstheme="minorHAnsi"/>
            <w:szCs w:val="22"/>
            <w:lang w:val="ru-RU"/>
          </w:rPr>
          <w:t>/2019/1/</w:t>
        </w:r>
        <w:r w:rsidRPr="00805107">
          <w:rPr>
            <w:rFonts w:asciiTheme="minorHAnsi" w:hAnsiTheme="minorHAnsi" w:cstheme="minorHAnsi"/>
            <w:szCs w:val="22"/>
          </w:rPr>
          <w:t>Add</w:t>
        </w:r>
        <w:r w:rsidRPr="00805107">
          <w:rPr>
            <w:rFonts w:asciiTheme="minorHAnsi" w:hAnsiTheme="minorHAnsi" w:cstheme="minorHAnsi"/>
            <w:szCs w:val="22"/>
            <w:lang w:val="ru-RU"/>
          </w:rPr>
          <w:t>.2</w:t>
        </w:r>
      </w:hyperlink>
      <w:r w:rsidRPr="00805107">
        <w:rPr>
          <w:rFonts w:asciiTheme="minorHAnsi" w:hAnsiTheme="minorHAnsi" w:cstheme="minorHAnsi"/>
          <w:szCs w:val="22"/>
          <w:lang w:val="ru-RU"/>
        </w:rPr>
        <w:t>).</w:t>
      </w:r>
    </w:p>
    <w:p w14:paraId="53E33238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Уделение приоритетного внимания инициативе цифровой трансформации МСЭ и принятие стратегии цифровой трансформации как части Стратегического плана МСЭ и ее приведение в соответствие с ним.</w:t>
      </w:r>
    </w:p>
    <w:p w14:paraId="4E0A6A35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Обеспечение учета при организации условий труда гендерных вопросов и вопросов доступности.</w:t>
      </w:r>
    </w:p>
    <w:p w14:paraId="00994142" w14:textId="77777777" w:rsidR="00E96BFD" w:rsidRPr="00805107" w:rsidRDefault="00E96BFD" w:rsidP="00E96BFD">
      <w:pPr>
        <w:pStyle w:val="Heading1"/>
        <w:rPr>
          <w:lang w:val="ru-RU"/>
        </w:rPr>
      </w:pPr>
      <w:r w:rsidRPr="007F6B93">
        <w:rPr>
          <w:lang w:val="ru-RU"/>
        </w:rPr>
        <w:lastRenderedPageBreak/>
        <w:t>4</w:t>
      </w:r>
      <w:r w:rsidRPr="007F6B93">
        <w:rPr>
          <w:lang w:val="ru-RU"/>
        </w:rPr>
        <w:tab/>
      </w:r>
      <w:r w:rsidRPr="00805107">
        <w:rPr>
          <w:lang w:val="ru-RU"/>
        </w:rPr>
        <w:t xml:space="preserve">Влияние </w:t>
      </w:r>
      <w:r w:rsidRPr="00805107">
        <w:t>COVID</w:t>
      </w:r>
      <w:r w:rsidRPr="00805107">
        <w:rPr>
          <w:lang w:val="ru-RU"/>
        </w:rPr>
        <w:t>-19 на финансовое положение МСЭ и его членов</w:t>
      </w:r>
    </w:p>
    <w:p w14:paraId="126937D4" w14:textId="77777777" w:rsidR="00E96BFD" w:rsidRPr="00805107" w:rsidRDefault="00E96BFD" w:rsidP="00E96BFD">
      <w:pPr>
        <w:rPr>
          <w:lang w:val="ru-RU"/>
        </w:rPr>
      </w:pPr>
      <w:r w:rsidRPr="007F6B93">
        <w:rPr>
          <w:lang w:val="ru-RU"/>
        </w:rPr>
        <w:t>4.1</w:t>
      </w:r>
      <w:r w:rsidRPr="007F6B93">
        <w:rPr>
          <w:lang w:val="ru-RU"/>
        </w:rPr>
        <w:tab/>
      </w:r>
      <w:r w:rsidRPr="00805107">
        <w:rPr>
          <w:lang w:val="ru-RU"/>
        </w:rPr>
        <w:t xml:space="preserve">В 2020 году, несмотря на ситуацию, сложившуюся из-за </w:t>
      </w:r>
      <w:r w:rsidRPr="00805107">
        <w:t>COVID</w:t>
      </w:r>
      <w:r w:rsidRPr="00805107">
        <w:rPr>
          <w:lang w:val="ru-RU"/>
        </w:rPr>
        <w:t>-19, МСЭ не столкнулся с серьезным снижением уровня начисленных взносов от Государств-Членов, Членов Секторов, Ассоциированных членов и Академических организаций. По состоянию на 31 декабря 2020 года показатель сбора взносов оставался достаточно высоким – 95%, то есть на уровне показателей предыдущих годов.</w:t>
      </w:r>
    </w:p>
    <w:p w14:paraId="698F71FE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lang w:val="ru-RU"/>
        </w:rPr>
        <w:t>4.2</w:t>
      </w:r>
      <w:r w:rsidRPr="007F6B93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Вследствие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COVID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>-19 в ходе исполнения бюджета на 2020 год были сэкономлены средства. С</w:t>
      </w:r>
      <w:r>
        <w:rPr>
          <w:rFonts w:asciiTheme="minorHAnsi" w:hAnsiTheme="minorHAnsi" w:cstheme="minorHAnsi"/>
          <w:color w:val="000000" w:themeColor="text1"/>
          <w:szCs w:val="22"/>
          <w:lang w:val="ru-RU"/>
        </w:rPr>
        <w:t> 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учетом отмены всех официальных командировок и очных конференций, экономия была достигнута в основном за счет таких статей, как путевые расходы, стипендии, закупка оборудования, уборка помещений, электричество и собрания. Следует отметить, что объем сэкономленных средств компенсировал снижение доходов – главным образом доходов от продажи публикаций. Перенос запланированного во Вьетнаме Всемирного мероприятия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ITU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Telecom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2020 года также отразился на доходах по линии возмещения затрат. Следует также отметить, что были понесены расходы, не предусмотренные бюджетом 2020 года. Эти незапланированные расходы включают в себя затраты, связанные с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COVID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-19, финансовыми последствиями решений и резолюций после ВКР-19, взносом в систему медицинского страхования ЮНСМИС и т. д. По состоянию на 31 декабря 2020 года расходы, связанные с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COVID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-19, составляли 1 532 000 швейцарских франков (подробнее см. приложение 1). </w:t>
      </w:r>
    </w:p>
    <w:p w14:paraId="3F150889" w14:textId="77777777" w:rsidR="00E96BFD" w:rsidRPr="00805107" w:rsidRDefault="00E96BFD" w:rsidP="00E96BFD">
      <w:pPr>
        <w:rPr>
          <w:rFonts w:asciiTheme="minorHAnsi" w:hAnsiTheme="minorHAnsi" w:cstheme="minorHAnsi"/>
          <w:color w:val="000000"/>
          <w:szCs w:val="22"/>
          <w:lang w:val="ru-RU" w:eastAsia="zh-CN"/>
        </w:rPr>
      </w:pPr>
      <w:r w:rsidRPr="007F6B93">
        <w:rPr>
          <w:lang w:val="ru-RU"/>
        </w:rPr>
        <w:t>4.3</w:t>
      </w:r>
      <w:r w:rsidRPr="007F6B93">
        <w:rPr>
          <w:lang w:val="ru-RU"/>
        </w:rPr>
        <w:tab/>
      </w:r>
      <w:r w:rsidRPr="00805107">
        <w:rPr>
          <w:rFonts w:asciiTheme="minorHAnsi" w:hAnsiTheme="minorHAnsi" w:cstheme="minorHAnsi"/>
          <w:color w:val="000000"/>
          <w:szCs w:val="22"/>
          <w:lang w:val="ru-RU" w:eastAsia="zh-CN"/>
        </w:rPr>
        <w:t xml:space="preserve">Несмотря на вызванные пандемией </w:t>
      </w:r>
      <w:r w:rsidRPr="00805107">
        <w:rPr>
          <w:rFonts w:asciiTheme="minorHAnsi" w:hAnsiTheme="minorHAnsi" w:cstheme="minorHAnsi"/>
          <w:color w:val="000000" w:themeColor="text1"/>
          <w:szCs w:val="22"/>
        </w:rPr>
        <w:t>COVID</w:t>
      </w:r>
      <w:r w:rsidRPr="00805107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-19 </w:t>
      </w:r>
      <w:r w:rsidRPr="00805107">
        <w:rPr>
          <w:rFonts w:asciiTheme="minorHAnsi" w:hAnsiTheme="minorHAnsi" w:cstheme="minorHAnsi"/>
          <w:color w:val="000000"/>
          <w:szCs w:val="22"/>
          <w:lang w:val="ru-RU" w:eastAsia="zh-CN"/>
        </w:rPr>
        <w:t>трудности и глобальный экономический спад, а также ставшую следствием некоторую консолидацию в отрасли, численность членов МСЭ в 2020 году осталась на прежнем уровне и даже несколько увеличилась. Количество членов МСЭ достигло 925</w:t>
      </w:r>
      <w:r>
        <w:rPr>
          <w:rFonts w:asciiTheme="minorHAnsi" w:hAnsiTheme="minorHAnsi" w:cstheme="minorHAnsi"/>
          <w:color w:val="000000"/>
          <w:szCs w:val="22"/>
          <w:lang w:val="ru-RU" w:eastAsia="zh-CN"/>
        </w:rPr>
        <w:t> </w:t>
      </w:r>
      <w:r w:rsidRPr="00805107">
        <w:rPr>
          <w:rFonts w:asciiTheme="minorHAnsi" w:hAnsiTheme="minorHAnsi" w:cstheme="minorHAnsi"/>
          <w:color w:val="000000"/>
          <w:szCs w:val="22"/>
          <w:lang w:val="ru-RU" w:eastAsia="zh-CN"/>
        </w:rPr>
        <w:t xml:space="preserve">организаций, из которых почти 100 – новые члены. 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Наибольшее количество новых членов от отрасли </w:t>
      </w:r>
      <w:r w:rsidRPr="007F6B93">
        <w:rPr>
          <w:lang w:val="ru-RU"/>
        </w:rPr>
        <w:t>пришло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через МСЭ-Т. Ведущие академические организации, специализирующиеся на возникающих темах, также вошли в состав сообщества МСЭ, привлеченные новыми направлениями деятельности. Кроме того, в 2020 году в соответствии с Резолюцией</w:t>
      </w:r>
      <w:r w:rsidRPr="00805107">
        <w:rPr>
          <w:rFonts w:asciiTheme="minorHAnsi" w:hAnsiTheme="minorHAnsi" w:cstheme="minorHAnsi"/>
          <w:szCs w:val="22"/>
        </w:rPr>
        <w:t> </w:t>
      </w:r>
      <w:r w:rsidRPr="00805107">
        <w:rPr>
          <w:rFonts w:asciiTheme="minorHAnsi" w:hAnsiTheme="minorHAnsi" w:cstheme="minorHAnsi"/>
          <w:szCs w:val="22"/>
          <w:lang w:val="ru-RU"/>
        </w:rPr>
        <w:t>209 (Дубай, 2018</w:t>
      </w:r>
      <w:r w:rsidRPr="00805107">
        <w:rPr>
          <w:rFonts w:asciiTheme="minorHAnsi" w:hAnsiTheme="minorHAnsi" w:cstheme="minorHAnsi"/>
          <w:szCs w:val="22"/>
        </w:rPr>
        <w:t> 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г.) ПК был установлен пониженный размер взносов для МСП, что способствовало привлечению более 20 новых компаний в первый же год. Вместе с тем на конец 2020 года дальнейшее членство значительного числа организаций было под вопросом: членство порядка 100 организаций было приостановлено или заморожено вследствие неуплаты взносов и еще 16 членов в 2020 году заявили об отказе от участия, который вступит в силу в 2021 году. Прилагаются все усилия для того, чтобы сохранить существующий членский состав, включая тех, чье членство находится под угрозой, и одновременно привлечь новых членов в 2021 году. </w:t>
      </w:r>
    </w:p>
    <w:p w14:paraId="24F5371A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lang w:val="ru-RU"/>
        </w:rPr>
        <w:t>4.4</w:t>
      </w:r>
      <w:r w:rsidRPr="007F6B93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Оказание членам качественной и широкой поддержки позволило сохранить доходы Союза. В</w:t>
      </w:r>
      <w:r>
        <w:rPr>
          <w:rFonts w:asciiTheme="minorHAnsi" w:hAnsiTheme="minorHAnsi" w:cstheme="minorHAnsi"/>
          <w:szCs w:val="22"/>
          <w:lang w:val="ru-RU"/>
        </w:rPr>
        <w:t> 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числе </w:t>
      </w:r>
      <w:r w:rsidRPr="00805107">
        <w:rPr>
          <w:rFonts w:asciiTheme="minorHAnsi" w:hAnsiTheme="minorHAnsi" w:cstheme="minorHAnsi"/>
          <w:b/>
          <w:szCs w:val="22"/>
          <w:lang w:val="ru-RU"/>
        </w:rPr>
        <w:t>извлеченных уроков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 – необходимость диверсифицировать инструменты внешнего информирования о деятельности МСЭ и налаживать контакты с возможными новыми членами. Так, например, если поначалу </w:t>
      </w:r>
      <w:r w:rsidRPr="007F6B93">
        <w:rPr>
          <w:lang w:val="ru-RU"/>
        </w:rPr>
        <w:t>наблюдалось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сокращение спонсорской поддержки мероприятий, то предложенные опции в сочетании с ростом аудитории побудили спонсоров вернуться. </w:t>
      </w:r>
    </w:p>
    <w:p w14:paraId="6E4FB749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lang w:val="ru-RU"/>
        </w:rPr>
        <w:t>4.5</w:t>
      </w:r>
      <w:r w:rsidRPr="007F6B93"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С учетом </w:t>
      </w:r>
      <w:r w:rsidRPr="007F6B93">
        <w:rPr>
          <w:lang w:val="ru-RU"/>
        </w:rPr>
        <w:t>вышеизложенного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на рассмотрение Совета могут быть предложены следующие пункты:</w:t>
      </w:r>
    </w:p>
    <w:p w14:paraId="0337595E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Оказание финансовой поддержки проектам и программам, обеспечивающим взаимодействие с существующими и потенциальными членами Союза, таким как </w:t>
      </w:r>
      <w:proofErr w:type="spellStart"/>
      <w:r w:rsidRPr="007F6B93">
        <w:rPr>
          <w:rFonts w:asciiTheme="minorHAnsi" w:hAnsiTheme="minorHAnsi" w:cstheme="minorHAnsi"/>
          <w:szCs w:val="22"/>
          <w:lang w:val="ru-RU"/>
        </w:rPr>
        <w:t>My</w:t>
      </w:r>
      <w:proofErr w:type="spellEnd"/>
      <w:r w:rsidRPr="007F6B93">
        <w:rPr>
          <w:rFonts w:asciiTheme="minorHAnsi" w:hAnsiTheme="minorHAnsi" w:cstheme="minorHAnsi"/>
          <w:szCs w:val="22"/>
          <w:lang w:val="ru-RU"/>
        </w:rPr>
        <w:t xml:space="preserve"> ITU, веб-сайт МСЭ, единая платформа для собраний и специальная платформа для утверждения решений по переписке. </w:t>
      </w:r>
    </w:p>
    <w:p w14:paraId="7D6C29B6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Оказание финансовой поддержки усилиям, направленным на повышение доступности собраний и мероприятий МСЭ, с тем чтобы сделать МСЭ лидером в плане доступности. </w:t>
      </w:r>
    </w:p>
    <w:p w14:paraId="39891EA9" w14:textId="77777777" w:rsidR="00E96BFD" w:rsidRPr="00805107" w:rsidRDefault="00E96BFD" w:rsidP="00E96BFD">
      <w:pPr>
        <w:pStyle w:val="Heading1"/>
        <w:rPr>
          <w:lang w:val="ru-RU"/>
        </w:rPr>
      </w:pPr>
      <w:r w:rsidRPr="007F6B93">
        <w:rPr>
          <w:lang w:val="ru-RU"/>
        </w:rPr>
        <w:lastRenderedPageBreak/>
        <w:t>5</w:t>
      </w:r>
      <w:r w:rsidRPr="007F6B93">
        <w:rPr>
          <w:lang w:val="ru-RU"/>
        </w:rPr>
        <w:tab/>
      </w:r>
      <w:r w:rsidRPr="00805107">
        <w:rPr>
          <w:lang w:val="ru-RU"/>
        </w:rPr>
        <w:t>Стратегическая роль МСЭ в условиях "новой нормы"</w:t>
      </w:r>
    </w:p>
    <w:p w14:paraId="5C6A0765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rFonts w:asciiTheme="minorHAnsi" w:hAnsiTheme="minorHAnsi" w:cstheme="minorHAnsi"/>
          <w:szCs w:val="22"/>
          <w:lang w:val="ru-RU"/>
        </w:rPr>
        <w:t>5.1</w:t>
      </w:r>
      <w:r w:rsidRPr="007F6B93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Вызванный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>-19 кризис подчеркнул важнейшую роль ИКТ в непрерывном функционировании обществ, но в то же время выдвинул на передний план проблему вопиющего цифрового неравенства между странами и внутри стран. Будучи объединены глубокой верой в то, что технологии могут служить источником благ для каждого, Члены МСЭ активизировали свою деятельность и ведут работу, показавшую свою необходимость для спасания жизней и поддержания функционирования экономики.</w:t>
      </w:r>
    </w:p>
    <w:p w14:paraId="6AAA8AE6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rFonts w:asciiTheme="minorHAnsi" w:hAnsiTheme="minorHAnsi" w:cstheme="minorHAnsi"/>
          <w:szCs w:val="22"/>
          <w:lang w:val="ru-RU"/>
        </w:rPr>
        <w:t>5.2</w:t>
      </w:r>
      <w:r w:rsidRPr="007F6B93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МСЭ помогает странам в полной мере использовать цифровые технологии для реагирования на пандемию </w:t>
      </w:r>
      <w:r w:rsidRPr="00805107">
        <w:rPr>
          <w:rFonts w:asciiTheme="minorHAnsi" w:hAnsiTheme="minorHAnsi" w:cstheme="minorHAnsi"/>
          <w:szCs w:val="22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>-19 и восстановления после нее, а также для обеспечения готовности к аналогичным глобальным чрезвычайным ситуациям в будущем. Сегодня миру как никогда важно иметь возможность опереться на ИКТ и ведущую роль МСЭ в содействии установлению универсальных, защищенных, надёжных и приемлемых в ценовом отношении соединений.</w:t>
      </w:r>
    </w:p>
    <w:p w14:paraId="2B9F9843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rFonts w:asciiTheme="minorHAnsi" w:hAnsiTheme="minorHAnsi" w:cstheme="minorHAnsi"/>
          <w:szCs w:val="22"/>
          <w:lang w:val="ru-RU"/>
        </w:rPr>
        <w:t>5.3</w:t>
      </w:r>
      <w:r w:rsidRPr="007F6B93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Многие международные организации также осознали важность ИКТ в условиях кризиса и предприняли попытки получить мандат по координации вопросов ИКТ, имеющих отношение к их сфере ответственности. Кризис способствовал росту конкуренции в международной среде за координацию различных проектов по установлению соединений или их финансирование. В рамках экосистемы выдвигаются инициативы, дублирующие мандат МСЭ в отношении установления соединений и предоставления цифровых услуг, что, в свою очередь, создает возможности для укрепления роли МСЭ в сфере ИКТ.</w:t>
      </w:r>
    </w:p>
    <w:p w14:paraId="24A0FBBD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rFonts w:asciiTheme="minorHAnsi" w:hAnsiTheme="minorHAnsi" w:cstheme="minorHAnsi"/>
          <w:szCs w:val="22"/>
          <w:lang w:val="ru-RU"/>
        </w:rPr>
        <w:t>5.4</w:t>
      </w:r>
      <w:r w:rsidRPr="007F6B93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С учетом своих сильных сторон, заключающихся в обладании специальными техническими знаниями и опытом в области ИКТ, МСЭ необходимо четко разъяснить особую важность своей роли в совершенствовании ИКТ для обеспечения устойчивого развития. </w:t>
      </w:r>
      <w:r w:rsidRPr="00805107">
        <w:rPr>
          <w:rFonts w:asciiTheme="minorHAnsi" w:hAnsiTheme="minorHAnsi" w:cstheme="minorHAnsi"/>
          <w:b/>
          <w:szCs w:val="22"/>
          <w:lang w:val="ru-RU"/>
        </w:rPr>
        <w:t>Извлеченные уроки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 состоят в понимании того, насколько важно проводить широкую работу по информированию об услугах и продуктах, предлагаемых Союзом, и реализуемых им инициативах, об их пользе и о том, какими дополнительными преимуществами обладают услуги МСЭ. Ключевое значение, особенно в контексте международной координации, будет иметь совершенствование имеющихся у МСЭ возможностей/навыков, а также получение новых навыков и специальных знаний, необходимых для функционирования и преодоления трудностей в условиях "новой нормы". Применение подхода "Единый МСЭ" при решении новых проблем, предоставлении услуг членам и налаживании коммуникации является основополагающим элементом поддержания авторитета Организации и ее мандата. </w:t>
      </w:r>
    </w:p>
    <w:p w14:paraId="4EE63A61" w14:textId="77777777" w:rsidR="00E96BFD" w:rsidRPr="00805107" w:rsidRDefault="00E96BFD" w:rsidP="00E96BFD">
      <w:pPr>
        <w:rPr>
          <w:rFonts w:asciiTheme="minorHAnsi" w:hAnsiTheme="minorHAnsi" w:cstheme="minorHAnsi"/>
          <w:szCs w:val="22"/>
          <w:lang w:val="ru-RU"/>
        </w:rPr>
      </w:pPr>
      <w:r w:rsidRPr="007F6B93">
        <w:rPr>
          <w:rFonts w:asciiTheme="minorHAnsi" w:hAnsiTheme="minorHAnsi" w:cstheme="minorHAnsi"/>
          <w:szCs w:val="22"/>
          <w:lang w:val="ru-RU"/>
        </w:rPr>
        <w:t>5.5</w:t>
      </w:r>
      <w:r w:rsidRPr="007F6B93">
        <w:rPr>
          <w:rFonts w:asciiTheme="minorHAnsi" w:hAnsiTheme="minorHAnsi" w:cstheme="minorHAnsi"/>
          <w:szCs w:val="22"/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>С учетом вышеизложенного на рассмотрение Совета могут быть предложены следующие пункты:</w:t>
      </w:r>
    </w:p>
    <w:p w14:paraId="715A8855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Предложить Государствам-Членам поделиться своими ожиданиями в отношении мира после окончания пандемии </w:t>
      </w:r>
      <w:r w:rsidRPr="007F6B93">
        <w:rPr>
          <w:rFonts w:asciiTheme="minorHAnsi" w:hAnsiTheme="minorHAnsi" w:cstheme="minorHAnsi"/>
          <w:szCs w:val="22"/>
          <w:lang w:val="ru-RU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 xml:space="preserve">-19 и о том, как МСЭ мог бы наилучшим образом выполнять свои функции в соответствии с этими ожиданиями. </w:t>
      </w:r>
    </w:p>
    <w:p w14:paraId="392D10B4" w14:textId="77777777" w:rsidR="00E96BFD" w:rsidRPr="00805107" w:rsidRDefault="00E96BFD" w:rsidP="00E96BFD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F250C0">
        <w:rPr>
          <w:lang w:val="ru-RU"/>
        </w:rPr>
        <w:t>•</w:t>
      </w:r>
      <w:r>
        <w:rPr>
          <w:lang w:val="ru-RU"/>
        </w:rPr>
        <w:tab/>
      </w:r>
      <w:r w:rsidRPr="00805107">
        <w:rPr>
          <w:rFonts w:asciiTheme="minorHAnsi" w:hAnsiTheme="minorHAnsi" w:cstheme="minorHAnsi"/>
          <w:szCs w:val="22"/>
          <w:lang w:val="ru-RU"/>
        </w:rPr>
        <w:t xml:space="preserve">Разработать долгосрочное видение в отношении роли МСЭ в мире после пандемии </w:t>
      </w:r>
      <w:r w:rsidRPr="007F6B93">
        <w:rPr>
          <w:rFonts w:asciiTheme="minorHAnsi" w:hAnsiTheme="minorHAnsi" w:cstheme="minorHAnsi"/>
          <w:szCs w:val="22"/>
          <w:lang w:val="ru-RU"/>
        </w:rPr>
        <w:t>COVID</w:t>
      </w:r>
      <w:r w:rsidRPr="00805107">
        <w:rPr>
          <w:rFonts w:asciiTheme="minorHAnsi" w:hAnsiTheme="minorHAnsi" w:cstheme="minorHAnsi"/>
          <w:szCs w:val="22"/>
          <w:lang w:val="ru-RU"/>
        </w:rPr>
        <w:t>-19 и, в рамках разработки нового стратегического плана МСЭ на 2024–2027 годы, пригласить членов МСЭ принять активное участие в открытом процессе совместной подготовки новых стратегий Союза.</w:t>
      </w:r>
    </w:p>
    <w:p w14:paraId="34E0FCF7" w14:textId="77777777" w:rsidR="00BA5112" w:rsidRDefault="00E96BFD" w:rsidP="00BA5112">
      <w:pPr>
        <w:snapToGrid w:val="0"/>
        <w:spacing w:before="1440"/>
        <w:jc w:val="both"/>
        <w:rPr>
          <w:rFonts w:asciiTheme="minorHAnsi" w:hAnsiTheme="minorHAnsi" w:cstheme="minorHAnsi"/>
          <w:szCs w:val="22"/>
          <w:lang w:val="ru-RU"/>
        </w:rPr>
      </w:pPr>
      <w:r w:rsidRPr="00BA5112">
        <w:rPr>
          <w:rFonts w:asciiTheme="minorHAnsi" w:hAnsiTheme="minorHAnsi" w:cstheme="minorHAnsi"/>
          <w:b/>
          <w:bCs/>
          <w:szCs w:val="22"/>
          <w:lang w:val="ru-RU"/>
        </w:rPr>
        <w:t>Приложение</w:t>
      </w:r>
      <w:r w:rsidRPr="00BA5112">
        <w:rPr>
          <w:rFonts w:asciiTheme="minorHAnsi" w:hAnsiTheme="minorHAnsi" w:cstheme="minorHAnsi"/>
          <w:szCs w:val="22"/>
          <w:lang w:val="ru-RU"/>
        </w:rPr>
        <w:t>: 1</w:t>
      </w:r>
    </w:p>
    <w:p w14:paraId="778488F8" w14:textId="47C03C95" w:rsidR="00E96BFD" w:rsidRDefault="00E96BFD" w:rsidP="00BA5112">
      <w:pPr>
        <w:pStyle w:val="AnnexNo"/>
        <w:rPr>
          <w:lang w:val="ru-RU"/>
        </w:rPr>
      </w:pPr>
      <w:r w:rsidRPr="003D535A">
        <w:rPr>
          <w:lang w:val="ru-RU"/>
        </w:rPr>
        <w:br w:type="page"/>
      </w:r>
      <w:r>
        <w:rPr>
          <w:lang w:val="ru-RU"/>
        </w:rPr>
        <w:lastRenderedPageBreak/>
        <w:t>ПРИЛОЖЕНИЕ</w:t>
      </w:r>
    </w:p>
    <w:p w14:paraId="32878FC0" w14:textId="77777777" w:rsidR="00E96BFD" w:rsidRPr="007F6B93" w:rsidRDefault="00E96BFD" w:rsidP="00E96BFD">
      <w:pPr>
        <w:pStyle w:val="Annextitle"/>
        <w:rPr>
          <w:szCs w:val="26"/>
          <w:lang w:val="ru-RU"/>
        </w:rPr>
      </w:pPr>
      <w:r w:rsidRPr="007F6B93">
        <w:rPr>
          <w:rFonts w:asciiTheme="minorHAnsi" w:hAnsiTheme="minorHAnsi" w:cstheme="minorHAnsi"/>
          <w:bCs/>
          <w:color w:val="002060"/>
          <w:szCs w:val="26"/>
          <w:lang w:val="ru-RU"/>
        </w:rPr>
        <w:t xml:space="preserve">Расходы, связанные с пандемией </w:t>
      </w:r>
      <w:r w:rsidRPr="007F6B93">
        <w:rPr>
          <w:rFonts w:asciiTheme="minorHAnsi" w:hAnsiTheme="minorHAnsi" w:cstheme="minorHAnsi"/>
          <w:bCs/>
          <w:color w:val="002060"/>
          <w:szCs w:val="26"/>
        </w:rPr>
        <w:t>COVID</w:t>
      </w:r>
      <w:r w:rsidRPr="007F6B93">
        <w:rPr>
          <w:rFonts w:asciiTheme="minorHAnsi" w:hAnsiTheme="minorHAnsi" w:cstheme="minorHAnsi"/>
          <w:bCs/>
          <w:color w:val="002060"/>
          <w:szCs w:val="26"/>
          <w:lang w:val="ru-RU"/>
        </w:rPr>
        <w:t>-19, за 2020 год</w:t>
      </w:r>
    </w:p>
    <w:p w14:paraId="15A283C2" w14:textId="77777777" w:rsidR="00E96BFD" w:rsidRPr="00177818" w:rsidRDefault="00E96BFD" w:rsidP="00E96BFD">
      <w:pPr>
        <w:rPr>
          <w:lang w:val="ru-RU"/>
        </w:rPr>
      </w:pPr>
    </w:p>
    <w:tbl>
      <w:tblPr>
        <w:tblW w:w="6398" w:type="dxa"/>
        <w:jc w:val="center"/>
        <w:tblLook w:val="04A0" w:firstRow="1" w:lastRow="0" w:firstColumn="1" w:lastColumn="0" w:noHBand="0" w:noVBand="1"/>
      </w:tblPr>
      <w:tblGrid>
        <w:gridCol w:w="4762"/>
        <w:gridCol w:w="1638"/>
      </w:tblGrid>
      <w:tr w:rsidR="00E96BFD" w:rsidRPr="003A5F45" w14:paraId="2A346A69" w14:textId="77777777" w:rsidTr="00F51AB3">
        <w:trPr>
          <w:trHeight w:val="405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5623" w14:textId="77777777" w:rsidR="00E96BFD" w:rsidRPr="003B7B6A" w:rsidRDefault="00E96BFD" w:rsidP="00F51AB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</w:tblGrid>
            <w:tr w:rsidR="00E96BFD" w:rsidRPr="003A5F45" w14:paraId="590229EA" w14:textId="77777777" w:rsidTr="00BA5112">
              <w:trPr>
                <w:trHeight w:val="405"/>
                <w:tblCellSpacing w:w="0" w:type="dxa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F0867" w14:textId="77777777" w:rsidR="00E96BFD" w:rsidRPr="00E970AC" w:rsidRDefault="00E96BFD" w:rsidP="00F51AB3">
                  <w:pPr>
                    <w:snapToGrid w:val="0"/>
                    <w:spacing w:before="60" w:after="60"/>
                    <w:ind w:right="259"/>
                    <w:jc w:val="righ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70C0"/>
                      <w:sz w:val="20"/>
                      <w:lang w:val="ru-RU"/>
                    </w:rPr>
                  </w:pPr>
                  <w:r w:rsidRPr="00842B29">
                    <w:rPr>
                      <w:rFonts w:asciiTheme="minorHAnsi" w:hAnsiTheme="minorHAnsi" w:cstheme="minorHAnsi"/>
                      <w:noProof/>
                      <w:sz w:val="20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8A43E0F" wp14:editId="1927EE03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-147955</wp:posOffset>
                            </wp:positionV>
                            <wp:extent cx="937895" cy="4969510"/>
                            <wp:effectExtent l="0" t="0" r="14605" b="21590"/>
                            <wp:wrapNone/>
                            <wp:docPr id="3" name="Rectangle: Rounded Corners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7895" cy="4969510"/>
                                    </a:xfrm>
                                    <a:prstGeom prst="roundRect">
                                      <a:avLst>
                                        <a:gd name="adj" fmla="val 49424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4F81BD">
                                          <a:lumMod val="75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a14" a14:legacySpreadsheetColorIndex="9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AB5DDDA" id="Rectangle: Rounded Corners 3" o:spid="_x0000_s1026" style="position:absolute;margin-left:-1.55pt;margin-top:-11.65pt;width:73.85pt;height:3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" filled="f" strokecolor="#376092" strokeweight="1pt"/>
                        </w:pict>
                      </mc:Fallback>
                    </mc:AlternateContent>
                  </w:r>
                  <w:r w:rsidRPr="00E970A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70C0"/>
                      <w:sz w:val="20"/>
                      <w:lang w:val="ru-RU"/>
                    </w:rPr>
                    <w:t>Тыс. швейцарских франков</w:t>
                  </w:r>
                </w:p>
              </w:tc>
            </w:tr>
          </w:tbl>
          <w:p w14:paraId="430ECF53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BFD" w:rsidRPr="003A5F45" w14:paraId="66466A46" w14:textId="77777777" w:rsidTr="00F51AB3">
        <w:trPr>
          <w:trHeight w:val="24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0E05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A16C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BFD" w:rsidRPr="003A5F45" w14:paraId="0C5D76C0" w14:textId="77777777" w:rsidTr="00F51AB3">
        <w:trPr>
          <w:trHeight w:val="263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E88E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35B" w14:textId="77777777" w:rsidR="00E96BFD" w:rsidRPr="001321B8" w:rsidRDefault="00E96BFD" w:rsidP="00F51AB3">
            <w:pPr>
              <w:snapToGrid w:val="0"/>
              <w:spacing w:before="60" w:after="60"/>
              <w:ind w:right="23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ru-RU"/>
              </w:rPr>
              <w:t>Фактические данные за</w:t>
            </w:r>
            <w:r w:rsidRPr="003A5F45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ru-RU"/>
              </w:rPr>
              <w:t> г.</w:t>
            </w:r>
          </w:p>
        </w:tc>
      </w:tr>
      <w:tr w:rsidR="00E96BFD" w:rsidRPr="003A5F45" w14:paraId="627216DF" w14:textId="77777777" w:rsidTr="00F51AB3">
        <w:trPr>
          <w:trHeight w:val="263"/>
          <w:jc w:val="center"/>
        </w:trPr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4B4F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33CC"/>
                <w:sz w:val="20"/>
              </w:rPr>
            </w:pPr>
            <w:r w:rsidRPr="003A5F45">
              <w:rPr>
                <w:rFonts w:asciiTheme="minorHAnsi" w:hAnsiTheme="minorHAnsi" w:cstheme="minorHAnsi"/>
                <w:b/>
                <w:bCs/>
                <w:color w:val="0033CC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3124E" w14:textId="77777777" w:rsidR="00E96BFD" w:rsidRPr="00E970AC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US"/>
              </w:rPr>
            </w:pPr>
            <w:r w:rsidRPr="003A5F45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 </w:t>
            </w:r>
          </w:p>
        </w:tc>
      </w:tr>
      <w:tr w:rsidR="00E96BFD" w:rsidRPr="003A5F45" w14:paraId="15FD0FC8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4F5D" w14:textId="77777777" w:rsidR="00E96BFD" w:rsidRPr="001321B8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321B8">
              <w:rPr>
                <w:rFonts w:asciiTheme="minorHAnsi" w:hAnsiTheme="minorHAnsi" w:cstheme="minorHAnsi"/>
                <w:sz w:val="20"/>
                <w:lang w:val="ru-RU"/>
              </w:rPr>
              <w:t>Советник по медицинским вопросам на пол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ную</w:t>
            </w:r>
            <w:r w:rsidRPr="001321B8">
              <w:rPr>
                <w:rFonts w:asciiTheme="minorHAnsi" w:hAnsiTheme="minorHAnsi" w:cstheme="minorHAnsi"/>
                <w:sz w:val="20"/>
                <w:lang w:val="ru-RU"/>
              </w:rPr>
              <w:t xml:space="preserve"> ставк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у</w:t>
            </w:r>
            <w:r w:rsidRPr="001321B8">
              <w:rPr>
                <w:rFonts w:asciiTheme="minorHAnsi" w:hAnsiTheme="minorHAnsi" w:cstheme="minorHAnsi"/>
                <w:sz w:val="20"/>
                <w:lang w:val="ru-RU"/>
              </w:rPr>
              <w:t xml:space="preserve"> + психолог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8145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169</w:t>
            </w:r>
          </w:p>
        </w:tc>
      </w:tr>
      <w:tr w:rsidR="00E96BFD" w:rsidRPr="003A5F45" w14:paraId="1FA79634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2BB9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Инфракрасные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камеры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иное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оборудование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174D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130</w:t>
            </w:r>
          </w:p>
        </w:tc>
      </w:tr>
      <w:tr w:rsidR="00E96BFD" w:rsidRPr="003A5F45" w14:paraId="0B64A7D7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0953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Расходные материалы (маски, </w:t>
            </w:r>
            <w:proofErr w:type="spellStart"/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>санитайзеры</w:t>
            </w:r>
            <w:proofErr w:type="spellEnd"/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и пр.)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BD72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108</w:t>
            </w:r>
          </w:p>
        </w:tc>
      </w:tr>
      <w:tr w:rsidR="00E96BFD" w:rsidRPr="003A5F45" w14:paraId="4BF190EF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AC76" w14:textId="77777777" w:rsidR="00E96BFD" w:rsidRPr="00177818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77818">
              <w:rPr>
                <w:rFonts w:asciiTheme="minorHAnsi" w:hAnsiTheme="minorHAnsi" w:cstheme="minorHAnsi"/>
                <w:sz w:val="20"/>
                <w:lang w:val="ru-RU"/>
              </w:rPr>
              <w:t>Программное обеспечение (безопасность)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FE0B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21</w:t>
            </w:r>
          </w:p>
        </w:tc>
      </w:tr>
      <w:tr w:rsidR="00E96BFD" w:rsidRPr="003A5F45" w14:paraId="36D491ED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0FB9" w14:textId="77777777" w:rsidR="00E96BFD" w:rsidRPr="00177818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77818">
              <w:rPr>
                <w:rFonts w:asciiTheme="minorHAnsi" w:hAnsiTheme="minorHAnsi" w:cstheme="minorHAnsi"/>
                <w:sz w:val="20"/>
                <w:lang w:val="ru-RU"/>
              </w:rPr>
              <w:t>Мобильные телефоны (приобретение)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F018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125</w:t>
            </w:r>
          </w:p>
        </w:tc>
      </w:tr>
      <w:tr w:rsidR="00E96BFD" w:rsidRPr="003A5F45" w14:paraId="5B039361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F656" w14:textId="77777777" w:rsidR="00E96BFD" w:rsidRPr="00177818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77818">
              <w:rPr>
                <w:rFonts w:asciiTheme="minorHAnsi" w:hAnsiTheme="minorHAnsi" w:cstheme="minorHAnsi"/>
                <w:sz w:val="20"/>
                <w:lang w:val="ru-RU"/>
              </w:rPr>
              <w:t>Мобильные телефоны (связь)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EE6C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42B29">
              <w:rPr>
                <w:rFonts w:asciiTheme="minorHAnsi" w:hAnsiTheme="minorHAnsi" w:cstheme="minorHAnsi"/>
                <w:color w:val="002060"/>
                <w:sz w:val="20"/>
              </w:rPr>
              <w:t>190</w:t>
            </w:r>
          </w:p>
        </w:tc>
      </w:tr>
      <w:tr w:rsidR="00E96BFD" w:rsidRPr="003A5F45" w14:paraId="76F775EB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CA87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>Периферийное оборудование ИТ (ноутбуки, мониторы и пр.)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229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317</w:t>
            </w:r>
          </w:p>
        </w:tc>
      </w:tr>
      <w:tr w:rsidR="00E96BFD" w:rsidRPr="003A5F45" w14:paraId="5A460AB3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AF36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Дополнительная поддержка для телеработы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6165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111</w:t>
            </w:r>
          </w:p>
        </w:tc>
      </w:tr>
      <w:tr w:rsidR="00E96BFD" w:rsidRPr="003A5F45" w14:paraId="3446CC87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58E8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Лицензии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для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виртуальных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конференций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собраний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</w:t>
            </w:r>
            <w:r w:rsidRPr="0011294A">
              <w:rPr>
                <w:rFonts w:asciiTheme="minorHAnsi" w:hAnsiTheme="minorHAnsi" w:cstheme="minorHAnsi"/>
                <w:sz w:val="20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т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  <w:r w:rsidRPr="0011294A">
              <w:rPr>
                <w:rFonts w:asciiTheme="minorHAnsi" w:hAnsiTheme="minorHAnsi" w:cstheme="minorHAnsi"/>
                <w:sz w:val="20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д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9AFD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117</w:t>
            </w:r>
          </w:p>
        </w:tc>
      </w:tr>
      <w:tr w:rsidR="00E96BFD" w:rsidRPr="003A5F45" w14:paraId="516C05FE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311C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Поддержка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собраний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модераторы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иная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поддержка</w:t>
            </w:r>
            <w:r w:rsidRPr="0011294A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BF62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199</w:t>
            </w:r>
          </w:p>
        </w:tc>
      </w:tr>
      <w:tr w:rsidR="00E96BFD" w:rsidRPr="003A5F45" w14:paraId="4FCAF6F3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B0A0" w14:textId="77777777" w:rsidR="00E96BFD" w:rsidRPr="0011294A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Прочее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AB4F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45</w:t>
            </w:r>
          </w:p>
        </w:tc>
      </w:tr>
      <w:tr w:rsidR="00E96BFD" w:rsidRPr="003A5F45" w14:paraId="13184DD8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14:paraId="3870AEDB" w14:textId="77777777" w:rsidR="00E96BFD" w:rsidRPr="003A5F45" w:rsidRDefault="00E96BFD" w:rsidP="00F51AB3">
            <w:pPr>
              <w:snapToGrid w:val="0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A5F45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5F0D495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3A5F45">
              <w:rPr>
                <w:rFonts w:asciiTheme="minorHAnsi" w:hAnsiTheme="minorHAnsi" w:cstheme="minorHAnsi"/>
                <w:color w:val="002060"/>
                <w:sz w:val="20"/>
              </w:rPr>
              <w:t> </w:t>
            </w:r>
          </w:p>
        </w:tc>
      </w:tr>
      <w:tr w:rsidR="00E96BFD" w:rsidRPr="003A5F45" w14:paraId="36FC80E0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18A9" w14:textId="77777777" w:rsidR="00E96BFD" w:rsidRPr="003A5F45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color w:val="002060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BFEC" w14:textId="77777777" w:rsidR="00E96BFD" w:rsidRPr="003A5F45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6BFD" w:rsidRPr="00091451" w14:paraId="21C8A2ED" w14:textId="77777777" w:rsidTr="00F51AB3">
        <w:trPr>
          <w:trHeight w:val="28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D770" w14:textId="77777777" w:rsidR="00E96BFD" w:rsidRPr="0011294A" w:rsidRDefault="00E96BFD" w:rsidP="00F51AB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C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Cs w:val="24"/>
                <w:lang w:val="ru-RU"/>
              </w:rPr>
              <w:t>ВСЕГО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90CB" w14:textId="2FA01838" w:rsidR="00E96BFD" w:rsidRPr="00091451" w:rsidRDefault="00E96BFD" w:rsidP="00F51AB3">
            <w:pPr>
              <w:tabs>
                <w:tab w:val="clear" w:pos="1191"/>
                <w:tab w:val="clear" w:pos="1588"/>
                <w:tab w:val="left" w:pos="1196"/>
              </w:tabs>
              <w:snapToGrid w:val="0"/>
              <w:spacing w:before="60" w:after="60"/>
              <w:ind w:right="516"/>
              <w:jc w:val="right"/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1</w:t>
            </w:r>
            <w:r w:rsidR="00BA5112">
              <w:rPr>
                <w:rFonts w:asciiTheme="minorHAnsi" w:hAnsiTheme="minorHAnsi" w:cstheme="minorHAnsi"/>
                <w:b/>
                <w:bCs/>
                <w:color w:val="C00000"/>
                <w:szCs w:val="24"/>
                <w:lang w:val="ru-RU"/>
              </w:rPr>
              <w:t xml:space="preserve"> </w:t>
            </w:r>
            <w:r w:rsidRPr="003A5F45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532</w:t>
            </w:r>
          </w:p>
        </w:tc>
      </w:tr>
    </w:tbl>
    <w:p w14:paraId="291F1638" w14:textId="77777777" w:rsidR="00E96BFD" w:rsidRDefault="00E96BFD" w:rsidP="00E96BFD">
      <w:pPr>
        <w:spacing w:before="720"/>
        <w:jc w:val="center"/>
      </w:pPr>
      <w:r>
        <w:t>______________</w:t>
      </w:r>
    </w:p>
    <w:sectPr w:rsidR="00E96BFD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EB2A" w14:textId="77777777" w:rsidR="00496DAD" w:rsidRDefault="00496DAD">
      <w:r>
        <w:separator/>
      </w:r>
    </w:p>
  </w:endnote>
  <w:endnote w:type="continuationSeparator" w:id="0">
    <w:p w14:paraId="7D8017F0" w14:textId="77777777" w:rsidR="00496DAD" w:rsidRDefault="0049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BBAC" w14:textId="1A08AB45" w:rsidR="000E568E" w:rsidRPr="00AB5FDC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AB5FDC">
      <w:rPr>
        <w:color w:val="F2F2F2" w:themeColor="background1" w:themeShade="F2"/>
      </w:rPr>
      <w:fldChar w:fldCharType="begin"/>
    </w:r>
    <w:r w:rsidRPr="00AB5FDC">
      <w:rPr>
        <w:color w:val="F2F2F2" w:themeColor="background1" w:themeShade="F2"/>
      </w:rPr>
      <w:instrText xml:space="preserve"> FILENAME \p  \* MERGEFORMAT </w:instrText>
    </w:r>
    <w:r w:rsidRPr="00AB5FDC">
      <w:rPr>
        <w:color w:val="F2F2F2" w:themeColor="background1" w:themeShade="F2"/>
      </w:rPr>
      <w:fldChar w:fldCharType="separate"/>
    </w:r>
    <w:r w:rsidR="00BA5112" w:rsidRPr="00AB5FDC">
      <w:rPr>
        <w:color w:val="F2F2F2" w:themeColor="background1" w:themeShade="F2"/>
      </w:rPr>
      <w:t>P:\RUS\SG\CONSEIL\C21\000\074R.docx</w:t>
    </w:r>
    <w:r w:rsidRPr="00AB5FDC">
      <w:rPr>
        <w:color w:val="F2F2F2" w:themeColor="background1" w:themeShade="F2"/>
        <w:lang w:val="en-US"/>
      </w:rPr>
      <w:fldChar w:fldCharType="end"/>
    </w:r>
    <w:r w:rsidR="000E568E" w:rsidRPr="00AB5FDC">
      <w:rPr>
        <w:color w:val="F2F2F2" w:themeColor="background1" w:themeShade="F2"/>
      </w:rPr>
      <w:t xml:space="preserve"> (</w:t>
    </w:r>
    <w:r w:rsidR="00E96BFD" w:rsidRPr="00AB5FDC">
      <w:rPr>
        <w:color w:val="F2F2F2" w:themeColor="background1" w:themeShade="F2"/>
      </w:rPr>
      <w:t>485459</w:t>
    </w:r>
    <w:r w:rsidR="000E568E" w:rsidRPr="00AB5FDC">
      <w:rPr>
        <w:color w:val="F2F2F2" w:themeColor="background1" w:themeShade="F2"/>
      </w:rPr>
      <w:t>)</w:t>
    </w:r>
    <w:r w:rsidR="000E568E" w:rsidRPr="00AB5FDC">
      <w:rPr>
        <w:color w:val="F2F2F2" w:themeColor="background1" w:themeShade="F2"/>
      </w:rPr>
      <w:tab/>
    </w:r>
    <w:r w:rsidR="002D48C5" w:rsidRPr="00AB5FDC">
      <w:rPr>
        <w:color w:val="F2F2F2" w:themeColor="background1" w:themeShade="F2"/>
      </w:rPr>
      <w:fldChar w:fldCharType="begin"/>
    </w:r>
    <w:r w:rsidR="000E568E" w:rsidRPr="00AB5FDC">
      <w:rPr>
        <w:color w:val="F2F2F2" w:themeColor="background1" w:themeShade="F2"/>
      </w:rPr>
      <w:instrText xml:space="preserve"> SAVEDATE \@ DD.MM.YY </w:instrText>
    </w:r>
    <w:r w:rsidR="002D48C5" w:rsidRPr="00AB5FDC">
      <w:rPr>
        <w:color w:val="F2F2F2" w:themeColor="background1" w:themeShade="F2"/>
      </w:rPr>
      <w:fldChar w:fldCharType="separate"/>
    </w:r>
    <w:r w:rsidR="003B6861" w:rsidRPr="00AB5FDC">
      <w:rPr>
        <w:color w:val="F2F2F2" w:themeColor="background1" w:themeShade="F2"/>
      </w:rPr>
      <w:t>01.06.21</w:t>
    </w:r>
    <w:r w:rsidR="002D48C5" w:rsidRPr="00AB5FDC">
      <w:rPr>
        <w:color w:val="F2F2F2" w:themeColor="background1" w:themeShade="F2"/>
      </w:rPr>
      <w:fldChar w:fldCharType="end"/>
    </w:r>
    <w:r w:rsidR="000E568E" w:rsidRPr="00AB5FDC">
      <w:rPr>
        <w:color w:val="F2F2F2" w:themeColor="background1" w:themeShade="F2"/>
      </w:rPr>
      <w:tab/>
    </w:r>
    <w:r w:rsidR="002D48C5" w:rsidRPr="00AB5FDC">
      <w:rPr>
        <w:color w:val="F2F2F2" w:themeColor="background1" w:themeShade="F2"/>
      </w:rPr>
      <w:fldChar w:fldCharType="begin"/>
    </w:r>
    <w:r w:rsidR="000E568E" w:rsidRPr="00AB5FDC">
      <w:rPr>
        <w:color w:val="F2F2F2" w:themeColor="background1" w:themeShade="F2"/>
      </w:rPr>
      <w:instrText xml:space="preserve"> PRINTDATE \@ DD.MM.YY </w:instrText>
    </w:r>
    <w:r w:rsidR="002D48C5" w:rsidRPr="00AB5FDC">
      <w:rPr>
        <w:color w:val="F2F2F2" w:themeColor="background1" w:themeShade="F2"/>
      </w:rPr>
      <w:fldChar w:fldCharType="separate"/>
    </w:r>
    <w:r w:rsidR="00BA5112" w:rsidRPr="00AB5FDC">
      <w:rPr>
        <w:color w:val="F2F2F2" w:themeColor="background1" w:themeShade="F2"/>
      </w:rPr>
      <w:t>28.03.06</w:t>
    </w:r>
    <w:r w:rsidR="002D48C5" w:rsidRPr="00AB5FDC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38E8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C313" w14:textId="77777777" w:rsidR="00496DAD" w:rsidRDefault="00496DAD">
      <w:r>
        <w:t>____________________</w:t>
      </w:r>
    </w:p>
  </w:footnote>
  <w:footnote w:type="continuationSeparator" w:id="0">
    <w:p w14:paraId="02589054" w14:textId="77777777" w:rsidR="00496DAD" w:rsidRDefault="0049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A5F0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5AEA926" w14:textId="5A49D4CC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E96BFD">
      <w:rPr>
        <w:lang w:val="ru-RU"/>
      </w:rPr>
      <w:t>74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FD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B6861"/>
    <w:rsid w:val="003F099E"/>
    <w:rsid w:val="003F235E"/>
    <w:rsid w:val="004023E0"/>
    <w:rsid w:val="00403DD8"/>
    <w:rsid w:val="00442515"/>
    <w:rsid w:val="0045686C"/>
    <w:rsid w:val="004918C4"/>
    <w:rsid w:val="00496DAD"/>
    <w:rsid w:val="00497703"/>
    <w:rsid w:val="004A0374"/>
    <w:rsid w:val="004A45B5"/>
    <w:rsid w:val="004D0129"/>
    <w:rsid w:val="00525D07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74BAC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2625"/>
    <w:rsid w:val="00A71773"/>
    <w:rsid w:val="00AB5FDC"/>
    <w:rsid w:val="00AC0E8B"/>
    <w:rsid w:val="00AE2C85"/>
    <w:rsid w:val="00B12A37"/>
    <w:rsid w:val="00B63EF2"/>
    <w:rsid w:val="00BA5112"/>
    <w:rsid w:val="00BA7D89"/>
    <w:rsid w:val="00BC0D39"/>
    <w:rsid w:val="00BC7BC0"/>
    <w:rsid w:val="00BD57B7"/>
    <w:rsid w:val="00BE63E2"/>
    <w:rsid w:val="00C23D61"/>
    <w:rsid w:val="00CD2009"/>
    <w:rsid w:val="00CF629C"/>
    <w:rsid w:val="00D92EEA"/>
    <w:rsid w:val="00DA5D4E"/>
    <w:rsid w:val="00E176BA"/>
    <w:rsid w:val="00E423EC"/>
    <w:rsid w:val="00E55121"/>
    <w:rsid w:val="00E96BFD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0EAA62"/>
  <w15:docId w15:val="{E349C3D4-3509-47E0-ABCD-523E35E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E9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13/en" TargetMode="External"/><Relationship Id="rId13" Type="http://schemas.openxmlformats.org/officeDocument/2006/relationships/hyperlink" Target="https://www.itu.int/md/S20-CL-C-0053/en" TargetMode="External"/><Relationship Id="rId18" Type="http://schemas.openxmlformats.org/officeDocument/2006/relationships/hyperlink" Target="https://unsceb.org/topics/future-wor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C-0029/en" TargetMode="External"/><Relationship Id="rId17" Type="http://schemas.openxmlformats.org/officeDocument/2006/relationships/hyperlink" Target="https://www.itu.int/md/S21-CL-C-002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-office-presence-covid19.e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6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5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1-CL-C-0070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-C-0013/en" TargetMode="External"/><Relationship Id="rId14" Type="http://schemas.openxmlformats.org/officeDocument/2006/relationships/hyperlink" Target="https://www.itu.int/md/S21-CL-C-000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8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the Covid-19 pandemic on the functioning and activities of ITU</dc:title>
  <dc:subject>Council 2021, Virtual consultation of councillors</dc:subject>
  <dc:creator>Russian</dc:creator>
  <cp:keywords>C2021, C21, VCC, C21-VCC-1</cp:keywords>
  <dc:description/>
  <cp:lastModifiedBy>Xue, Kun</cp:lastModifiedBy>
  <cp:revision>3</cp:revision>
  <cp:lastPrinted>2006-03-28T16:12:00Z</cp:lastPrinted>
  <dcterms:created xsi:type="dcterms:W3CDTF">2021-06-01T18:22:00Z</dcterms:created>
  <dcterms:modified xsi:type="dcterms:W3CDTF">2021-06-01T18:23:00Z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