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AD6C8F" w14:paraId="571FD474" w14:textId="77777777">
        <w:trPr>
          <w:cantSplit/>
        </w:trPr>
        <w:tc>
          <w:tcPr>
            <w:tcW w:w="6912" w:type="dxa"/>
          </w:tcPr>
          <w:p w14:paraId="137BB9D8" w14:textId="77777777" w:rsidR="00520F36" w:rsidRPr="00AD6C8F" w:rsidRDefault="00520F36" w:rsidP="00583BE8">
            <w:pPr>
              <w:spacing w:before="360"/>
            </w:pPr>
            <w:bookmarkStart w:id="0" w:name="dc06"/>
            <w:bookmarkEnd w:id="0"/>
            <w:r w:rsidRPr="00AD6C8F">
              <w:rPr>
                <w:b/>
                <w:bCs/>
                <w:sz w:val="30"/>
                <w:szCs w:val="30"/>
              </w:rPr>
              <w:t>Conseil 20</w:t>
            </w:r>
            <w:r w:rsidR="009C353C" w:rsidRPr="00AD6C8F">
              <w:rPr>
                <w:b/>
                <w:bCs/>
                <w:sz w:val="30"/>
                <w:szCs w:val="30"/>
              </w:rPr>
              <w:t>2</w:t>
            </w:r>
            <w:r w:rsidR="004D1D50" w:rsidRPr="00AD6C8F">
              <w:rPr>
                <w:b/>
                <w:bCs/>
                <w:sz w:val="30"/>
                <w:szCs w:val="30"/>
              </w:rPr>
              <w:t>1</w:t>
            </w:r>
            <w:r w:rsidRPr="00AD6C8F">
              <w:rPr>
                <w:rFonts w:ascii="Verdana" w:hAnsi="Verdana"/>
                <w:b/>
                <w:bCs/>
                <w:sz w:val="26"/>
                <w:szCs w:val="26"/>
              </w:rPr>
              <w:br/>
            </w:r>
            <w:r w:rsidR="004D1D50" w:rsidRPr="00AD6C8F">
              <w:rPr>
                <w:b/>
                <w:bCs/>
                <w:sz w:val="28"/>
                <w:szCs w:val="28"/>
              </w:rPr>
              <w:t>Consultation virtuelle des Conseillers</w:t>
            </w:r>
            <w:r w:rsidRPr="00AD6C8F">
              <w:rPr>
                <w:b/>
                <w:bCs/>
                <w:sz w:val="28"/>
                <w:szCs w:val="28"/>
              </w:rPr>
              <w:t xml:space="preserve">, </w:t>
            </w:r>
            <w:r w:rsidR="004D1D50" w:rsidRPr="00AD6C8F">
              <w:rPr>
                <w:b/>
                <w:bCs/>
                <w:sz w:val="28"/>
                <w:szCs w:val="28"/>
              </w:rPr>
              <w:t>8</w:t>
            </w:r>
            <w:r w:rsidRPr="00AD6C8F">
              <w:rPr>
                <w:b/>
                <w:bCs/>
                <w:sz w:val="28"/>
                <w:szCs w:val="28"/>
              </w:rPr>
              <w:t>-</w:t>
            </w:r>
            <w:r w:rsidR="009C353C" w:rsidRPr="00AD6C8F">
              <w:rPr>
                <w:b/>
                <w:bCs/>
                <w:sz w:val="28"/>
                <w:szCs w:val="28"/>
              </w:rPr>
              <w:t>1</w:t>
            </w:r>
            <w:r w:rsidR="004D1D50" w:rsidRPr="00AD6C8F">
              <w:rPr>
                <w:b/>
                <w:bCs/>
                <w:sz w:val="28"/>
                <w:szCs w:val="28"/>
              </w:rPr>
              <w:t>8</w:t>
            </w:r>
            <w:r w:rsidR="00106B19" w:rsidRPr="00AD6C8F">
              <w:rPr>
                <w:b/>
                <w:bCs/>
                <w:sz w:val="28"/>
                <w:szCs w:val="28"/>
              </w:rPr>
              <w:t xml:space="preserve"> juin</w:t>
            </w:r>
            <w:r w:rsidRPr="00AD6C8F">
              <w:rPr>
                <w:b/>
                <w:bCs/>
                <w:sz w:val="28"/>
                <w:szCs w:val="28"/>
              </w:rPr>
              <w:t xml:space="preserve"> 20</w:t>
            </w:r>
            <w:r w:rsidR="009C353C" w:rsidRPr="00AD6C8F">
              <w:rPr>
                <w:b/>
                <w:bCs/>
                <w:sz w:val="28"/>
                <w:szCs w:val="28"/>
              </w:rPr>
              <w:t>2</w:t>
            </w:r>
            <w:r w:rsidR="004D1D50" w:rsidRPr="00AD6C8F">
              <w:rPr>
                <w:b/>
                <w:bCs/>
                <w:sz w:val="28"/>
                <w:szCs w:val="28"/>
              </w:rPr>
              <w:t>1</w:t>
            </w:r>
          </w:p>
        </w:tc>
        <w:tc>
          <w:tcPr>
            <w:tcW w:w="3261" w:type="dxa"/>
          </w:tcPr>
          <w:p w14:paraId="0C954FB7" w14:textId="77777777" w:rsidR="00520F36" w:rsidRPr="00AD6C8F" w:rsidRDefault="009C353C" w:rsidP="00583BE8">
            <w:pPr>
              <w:spacing w:before="0"/>
            </w:pPr>
            <w:bookmarkStart w:id="1" w:name="ditulogo"/>
            <w:bookmarkEnd w:id="1"/>
            <w:r w:rsidRPr="00AD6C8F">
              <w:rPr>
                <w:noProof/>
                <w:lang w:val="en-US"/>
              </w:rPr>
              <w:drawing>
                <wp:inline distT="0" distB="0" distL="0" distR="0" wp14:anchorId="5568BDDD" wp14:editId="2E489BCE">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AD6C8F" w14:paraId="04810685" w14:textId="77777777" w:rsidTr="00EF41DD">
        <w:trPr>
          <w:cantSplit/>
          <w:trHeight w:val="20"/>
        </w:trPr>
        <w:tc>
          <w:tcPr>
            <w:tcW w:w="6912" w:type="dxa"/>
            <w:tcBorders>
              <w:bottom w:val="single" w:sz="12" w:space="0" w:color="auto"/>
            </w:tcBorders>
            <w:vAlign w:val="center"/>
          </w:tcPr>
          <w:p w14:paraId="7B265016" w14:textId="77777777" w:rsidR="00520F36" w:rsidRPr="00AD6C8F" w:rsidRDefault="00520F36" w:rsidP="00583BE8">
            <w:pPr>
              <w:spacing w:before="0"/>
              <w:rPr>
                <w:b/>
                <w:bCs/>
                <w:sz w:val="26"/>
                <w:szCs w:val="26"/>
              </w:rPr>
            </w:pPr>
          </w:p>
        </w:tc>
        <w:tc>
          <w:tcPr>
            <w:tcW w:w="3261" w:type="dxa"/>
            <w:tcBorders>
              <w:bottom w:val="single" w:sz="12" w:space="0" w:color="auto"/>
            </w:tcBorders>
          </w:tcPr>
          <w:p w14:paraId="07DB560E" w14:textId="77777777" w:rsidR="00520F36" w:rsidRPr="00AD6C8F" w:rsidRDefault="00520F36" w:rsidP="00583BE8">
            <w:pPr>
              <w:spacing w:before="0"/>
              <w:rPr>
                <w:b/>
                <w:bCs/>
              </w:rPr>
            </w:pPr>
          </w:p>
        </w:tc>
      </w:tr>
      <w:tr w:rsidR="00520F36" w:rsidRPr="00AD6C8F" w14:paraId="7F8A0576" w14:textId="77777777">
        <w:trPr>
          <w:cantSplit/>
          <w:trHeight w:val="20"/>
        </w:trPr>
        <w:tc>
          <w:tcPr>
            <w:tcW w:w="6912" w:type="dxa"/>
            <w:tcBorders>
              <w:top w:val="single" w:sz="12" w:space="0" w:color="auto"/>
            </w:tcBorders>
          </w:tcPr>
          <w:p w14:paraId="64E3CEF7" w14:textId="77777777" w:rsidR="00520F36" w:rsidRPr="00AD6C8F" w:rsidRDefault="00520F36" w:rsidP="00583BE8">
            <w:pPr>
              <w:spacing w:before="0"/>
              <w:rPr>
                <w:smallCaps/>
                <w:sz w:val="22"/>
              </w:rPr>
            </w:pPr>
          </w:p>
        </w:tc>
        <w:tc>
          <w:tcPr>
            <w:tcW w:w="3261" w:type="dxa"/>
            <w:tcBorders>
              <w:top w:val="single" w:sz="12" w:space="0" w:color="auto"/>
            </w:tcBorders>
          </w:tcPr>
          <w:p w14:paraId="1287D1D8" w14:textId="77777777" w:rsidR="00520F36" w:rsidRPr="00AD6C8F" w:rsidRDefault="00520F36" w:rsidP="00583BE8">
            <w:pPr>
              <w:spacing w:before="0"/>
              <w:rPr>
                <w:b/>
                <w:bCs/>
              </w:rPr>
            </w:pPr>
          </w:p>
        </w:tc>
      </w:tr>
      <w:tr w:rsidR="00520F36" w:rsidRPr="00AD6C8F" w14:paraId="3B7467EA" w14:textId="77777777">
        <w:trPr>
          <w:cantSplit/>
          <w:trHeight w:val="20"/>
        </w:trPr>
        <w:tc>
          <w:tcPr>
            <w:tcW w:w="6912" w:type="dxa"/>
            <w:vMerge w:val="restart"/>
          </w:tcPr>
          <w:p w14:paraId="6D007055" w14:textId="1CB2161C" w:rsidR="00520F36" w:rsidRPr="00AD6C8F" w:rsidRDefault="006E7C07" w:rsidP="00583BE8">
            <w:pPr>
              <w:spacing w:before="0"/>
              <w:rPr>
                <w:rFonts w:cs="Times"/>
                <w:b/>
                <w:bCs/>
                <w:szCs w:val="24"/>
              </w:rPr>
            </w:pPr>
            <w:bookmarkStart w:id="2" w:name="dnum" w:colFirst="1" w:colLast="1"/>
            <w:bookmarkStart w:id="3" w:name="dmeeting" w:colFirst="0" w:colLast="0"/>
            <w:r w:rsidRPr="00AD6C8F">
              <w:rPr>
                <w:b/>
              </w:rPr>
              <w:t>Point de l</w:t>
            </w:r>
            <w:r w:rsidR="00BB6B4C" w:rsidRPr="00AD6C8F">
              <w:rPr>
                <w:b/>
              </w:rPr>
              <w:t>'</w:t>
            </w:r>
            <w:r w:rsidRPr="00AD6C8F">
              <w:rPr>
                <w:b/>
              </w:rPr>
              <w:t>ordre du jour</w:t>
            </w:r>
            <w:r w:rsidR="00BB6B4C" w:rsidRPr="00AD6C8F">
              <w:rPr>
                <w:b/>
              </w:rPr>
              <w:t>:</w:t>
            </w:r>
            <w:r w:rsidRPr="00AD6C8F">
              <w:rPr>
                <w:b/>
              </w:rPr>
              <w:t xml:space="preserve"> PL 3.3</w:t>
            </w:r>
          </w:p>
        </w:tc>
        <w:tc>
          <w:tcPr>
            <w:tcW w:w="3261" w:type="dxa"/>
          </w:tcPr>
          <w:p w14:paraId="44E25F72" w14:textId="2A949F45" w:rsidR="00520F36" w:rsidRPr="00AD6C8F" w:rsidRDefault="00520F36" w:rsidP="00583BE8">
            <w:pPr>
              <w:spacing w:before="0"/>
              <w:rPr>
                <w:b/>
                <w:bCs/>
              </w:rPr>
            </w:pPr>
            <w:r w:rsidRPr="00AD6C8F">
              <w:rPr>
                <w:b/>
                <w:bCs/>
              </w:rPr>
              <w:t>Document C</w:t>
            </w:r>
            <w:r w:rsidR="009C353C" w:rsidRPr="00AD6C8F">
              <w:rPr>
                <w:b/>
                <w:bCs/>
              </w:rPr>
              <w:t>2</w:t>
            </w:r>
            <w:r w:rsidR="004D1D50" w:rsidRPr="00AD6C8F">
              <w:rPr>
                <w:b/>
                <w:bCs/>
              </w:rPr>
              <w:t>1</w:t>
            </w:r>
            <w:r w:rsidRPr="00AD6C8F">
              <w:rPr>
                <w:b/>
                <w:bCs/>
              </w:rPr>
              <w:t>/</w:t>
            </w:r>
            <w:r w:rsidR="006E7C07" w:rsidRPr="00AD6C8F">
              <w:rPr>
                <w:b/>
                <w:bCs/>
              </w:rPr>
              <w:t>74</w:t>
            </w:r>
            <w:r w:rsidRPr="00AD6C8F">
              <w:rPr>
                <w:b/>
                <w:bCs/>
              </w:rPr>
              <w:t>-F</w:t>
            </w:r>
          </w:p>
        </w:tc>
      </w:tr>
      <w:tr w:rsidR="00520F36" w:rsidRPr="00AD6C8F" w14:paraId="692602F6" w14:textId="77777777">
        <w:trPr>
          <w:cantSplit/>
          <w:trHeight w:val="20"/>
        </w:trPr>
        <w:tc>
          <w:tcPr>
            <w:tcW w:w="6912" w:type="dxa"/>
            <w:vMerge/>
          </w:tcPr>
          <w:p w14:paraId="7BC34B21" w14:textId="77777777" w:rsidR="00520F36" w:rsidRPr="00AD6C8F" w:rsidRDefault="00520F36" w:rsidP="00583BE8">
            <w:pPr>
              <w:shd w:val="solid" w:color="FFFFFF" w:fill="FFFFFF"/>
              <w:spacing w:before="180"/>
              <w:rPr>
                <w:smallCaps/>
              </w:rPr>
            </w:pPr>
            <w:bookmarkStart w:id="4" w:name="ddate" w:colFirst="1" w:colLast="1"/>
            <w:bookmarkEnd w:id="2"/>
            <w:bookmarkEnd w:id="3"/>
          </w:p>
        </w:tc>
        <w:tc>
          <w:tcPr>
            <w:tcW w:w="3261" w:type="dxa"/>
          </w:tcPr>
          <w:p w14:paraId="0E262A00" w14:textId="0398B83D" w:rsidR="00520F36" w:rsidRPr="00AD6C8F" w:rsidRDefault="006E7C07" w:rsidP="00583BE8">
            <w:pPr>
              <w:spacing w:before="0"/>
              <w:rPr>
                <w:b/>
                <w:bCs/>
              </w:rPr>
            </w:pPr>
            <w:r w:rsidRPr="00AD6C8F">
              <w:rPr>
                <w:b/>
                <w:bCs/>
              </w:rPr>
              <w:t>22 avril</w:t>
            </w:r>
            <w:r w:rsidR="00520F36" w:rsidRPr="00AD6C8F">
              <w:rPr>
                <w:b/>
                <w:bCs/>
              </w:rPr>
              <w:t xml:space="preserve"> 20</w:t>
            </w:r>
            <w:r w:rsidR="009C353C" w:rsidRPr="00AD6C8F">
              <w:rPr>
                <w:b/>
                <w:bCs/>
              </w:rPr>
              <w:t>2</w:t>
            </w:r>
            <w:r w:rsidR="0097363B" w:rsidRPr="00AD6C8F">
              <w:rPr>
                <w:b/>
                <w:bCs/>
              </w:rPr>
              <w:t>1</w:t>
            </w:r>
          </w:p>
        </w:tc>
      </w:tr>
      <w:tr w:rsidR="00520F36" w:rsidRPr="00AD6C8F" w14:paraId="68E8BB8E" w14:textId="77777777">
        <w:trPr>
          <w:cantSplit/>
          <w:trHeight w:val="20"/>
        </w:trPr>
        <w:tc>
          <w:tcPr>
            <w:tcW w:w="6912" w:type="dxa"/>
            <w:vMerge/>
          </w:tcPr>
          <w:p w14:paraId="724C83B6" w14:textId="77777777" w:rsidR="00520F36" w:rsidRPr="00AD6C8F" w:rsidRDefault="00520F36" w:rsidP="00583BE8">
            <w:pPr>
              <w:shd w:val="solid" w:color="FFFFFF" w:fill="FFFFFF"/>
              <w:spacing w:before="180"/>
              <w:rPr>
                <w:smallCaps/>
              </w:rPr>
            </w:pPr>
            <w:bookmarkStart w:id="5" w:name="dorlang" w:colFirst="1" w:colLast="1"/>
            <w:bookmarkEnd w:id="4"/>
          </w:p>
        </w:tc>
        <w:tc>
          <w:tcPr>
            <w:tcW w:w="3261" w:type="dxa"/>
          </w:tcPr>
          <w:p w14:paraId="7C65CFFB" w14:textId="77777777" w:rsidR="00520F36" w:rsidRPr="00AD6C8F" w:rsidRDefault="00520F36" w:rsidP="00583BE8">
            <w:pPr>
              <w:spacing w:before="0"/>
              <w:rPr>
                <w:b/>
                <w:bCs/>
              </w:rPr>
            </w:pPr>
            <w:r w:rsidRPr="00AD6C8F">
              <w:rPr>
                <w:b/>
                <w:bCs/>
              </w:rPr>
              <w:t>Original: anglais</w:t>
            </w:r>
          </w:p>
        </w:tc>
      </w:tr>
      <w:tr w:rsidR="006E7C07" w:rsidRPr="00AD6C8F" w14:paraId="3EE223DF" w14:textId="77777777">
        <w:trPr>
          <w:cantSplit/>
        </w:trPr>
        <w:tc>
          <w:tcPr>
            <w:tcW w:w="10173" w:type="dxa"/>
            <w:gridSpan w:val="2"/>
          </w:tcPr>
          <w:p w14:paraId="43701BAA" w14:textId="14A8DD78" w:rsidR="006E7C07" w:rsidRPr="00AD6C8F" w:rsidRDefault="006E7C07" w:rsidP="00583BE8">
            <w:pPr>
              <w:pStyle w:val="Source"/>
            </w:pPr>
            <w:bookmarkStart w:id="6" w:name="dsource" w:colFirst="0" w:colLast="0"/>
            <w:bookmarkEnd w:id="5"/>
            <w:r w:rsidRPr="00AD6C8F">
              <w:t>Rapport du Secrétaire général</w:t>
            </w:r>
          </w:p>
        </w:tc>
      </w:tr>
      <w:tr w:rsidR="006E7C07" w:rsidRPr="00AD6C8F" w14:paraId="48C0B425" w14:textId="77777777">
        <w:trPr>
          <w:cantSplit/>
        </w:trPr>
        <w:tc>
          <w:tcPr>
            <w:tcW w:w="10173" w:type="dxa"/>
            <w:gridSpan w:val="2"/>
          </w:tcPr>
          <w:p w14:paraId="0486F70F" w14:textId="064727E2" w:rsidR="006E7C07" w:rsidRPr="00AD6C8F" w:rsidRDefault="006E7C07" w:rsidP="00583BE8">
            <w:pPr>
              <w:pStyle w:val="Title1"/>
            </w:pPr>
            <w:bookmarkStart w:id="7" w:name="dtitle1" w:colFirst="0" w:colLast="0"/>
            <w:bookmarkEnd w:id="6"/>
            <w:r w:rsidRPr="00AD6C8F">
              <w:rPr>
                <w:color w:val="000000"/>
              </w:rPr>
              <w:t xml:space="preserve">INCIDENCES DE LA PANDÉMIE DE COVID-19 SUR LE FONCTIONNEMENT </w:t>
            </w:r>
            <w:r w:rsidR="001C1EC6">
              <w:rPr>
                <w:color w:val="000000"/>
              </w:rPr>
              <w:br/>
            </w:r>
            <w:r w:rsidRPr="00AD6C8F">
              <w:rPr>
                <w:color w:val="000000"/>
              </w:rPr>
              <w:t>ET LES ACTIVITÉS DE L</w:t>
            </w:r>
            <w:r w:rsidR="00BB6B4C" w:rsidRPr="00AD6C8F">
              <w:rPr>
                <w:color w:val="000000"/>
              </w:rPr>
              <w:t>'</w:t>
            </w:r>
            <w:r w:rsidRPr="00AD6C8F">
              <w:rPr>
                <w:color w:val="000000"/>
              </w:rPr>
              <w:t>UIT</w:t>
            </w:r>
          </w:p>
        </w:tc>
      </w:tr>
      <w:bookmarkEnd w:id="7"/>
    </w:tbl>
    <w:p w14:paraId="23CBC40A" w14:textId="77777777" w:rsidR="00520F36" w:rsidRPr="00AD6C8F" w:rsidRDefault="00520F36" w:rsidP="00583BE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AD6C8F" w14:paraId="6C66DD71"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5B2C69E1" w14:textId="77777777" w:rsidR="00520F36" w:rsidRPr="00AD6C8F" w:rsidRDefault="00520F36" w:rsidP="00583BE8">
            <w:pPr>
              <w:pStyle w:val="Headingb"/>
            </w:pPr>
            <w:r w:rsidRPr="00AD6C8F">
              <w:t>Résumé</w:t>
            </w:r>
          </w:p>
          <w:p w14:paraId="51E6CA0F" w14:textId="7827DBA0" w:rsidR="00520F36" w:rsidRPr="00AD6C8F" w:rsidRDefault="006E7C07" w:rsidP="00583BE8">
            <w:r w:rsidRPr="00AD6C8F">
              <w:t>On trouvera dans le présent document un résumé de l</w:t>
            </w:r>
            <w:r w:rsidR="00BB6B4C" w:rsidRPr="00AD6C8F">
              <w:t>'</w:t>
            </w:r>
            <w:r w:rsidRPr="00AD6C8F">
              <w:t xml:space="preserve">analyse </w:t>
            </w:r>
            <w:r w:rsidRPr="00AD6C8F">
              <w:rPr>
                <w:bCs/>
              </w:rPr>
              <w:t>préliminaire</w:t>
            </w:r>
            <w:r w:rsidRPr="00AD6C8F">
              <w:t xml:space="preserve"> des incidences de la pandémie de coronavirus (COVID-19) sur certains domaines d</w:t>
            </w:r>
            <w:r w:rsidR="00BB6B4C" w:rsidRPr="00AD6C8F">
              <w:t>'</w:t>
            </w:r>
            <w:r w:rsidRPr="00AD6C8F">
              <w:t>activité et le fonctionnement de l</w:t>
            </w:r>
            <w:r w:rsidR="00BB6B4C" w:rsidRPr="00AD6C8F">
              <w:t>'</w:t>
            </w:r>
            <w:r w:rsidRPr="00AD6C8F">
              <w:t>UIT ainsi qu</w:t>
            </w:r>
            <w:r w:rsidR="00BB6B4C" w:rsidRPr="00AD6C8F">
              <w:t>'</w:t>
            </w:r>
            <w:r w:rsidRPr="00AD6C8F">
              <w:t>une présentation des faits connus, des enseignements tirés et de certaines considérations dont on voudra peut-être tenir compte pour l</w:t>
            </w:r>
            <w:r w:rsidR="00BB6B4C" w:rsidRPr="00AD6C8F">
              <w:t>'</w:t>
            </w:r>
            <w:r w:rsidRPr="00AD6C8F">
              <w:t>avenir.</w:t>
            </w:r>
          </w:p>
          <w:p w14:paraId="1DE27BD1" w14:textId="77777777" w:rsidR="00520F36" w:rsidRPr="00AD6C8F" w:rsidRDefault="00520F36" w:rsidP="00583BE8">
            <w:pPr>
              <w:pStyle w:val="Headingb"/>
            </w:pPr>
            <w:r w:rsidRPr="00AD6C8F">
              <w:t>Suite à donner</w:t>
            </w:r>
          </w:p>
          <w:p w14:paraId="14B4B6A7" w14:textId="27D56110" w:rsidR="00520F36" w:rsidRPr="00AD6C8F" w:rsidRDefault="006E7C07" w:rsidP="00583BE8">
            <w:r w:rsidRPr="00AD6C8F">
              <w:rPr>
                <w:rFonts w:asciiTheme="minorHAnsi" w:hAnsiTheme="minorHAnsi" w:cstheme="minorHAnsi"/>
                <w:szCs w:val="24"/>
              </w:rPr>
              <w:t xml:space="preserve">Le Conseil est invité à </w:t>
            </w:r>
            <w:r w:rsidRPr="00AD6C8F">
              <w:rPr>
                <w:rFonts w:asciiTheme="minorHAnsi" w:hAnsiTheme="minorHAnsi" w:cstheme="minorHAnsi"/>
                <w:b/>
                <w:bCs/>
                <w:szCs w:val="24"/>
              </w:rPr>
              <w:t>examiner</w:t>
            </w:r>
            <w:r w:rsidRPr="00AD6C8F">
              <w:rPr>
                <w:rFonts w:asciiTheme="minorHAnsi" w:hAnsiTheme="minorHAnsi" w:cstheme="minorHAnsi"/>
                <w:szCs w:val="24"/>
              </w:rPr>
              <w:t xml:space="preserve"> le présent document.</w:t>
            </w:r>
          </w:p>
          <w:p w14:paraId="73CFE135" w14:textId="77777777" w:rsidR="00520F36" w:rsidRPr="00AD6C8F" w:rsidRDefault="00520F36" w:rsidP="00583BE8">
            <w:pPr>
              <w:pStyle w:val="Table"/>
              <w:keepNext w:val="0"/>
              <w:spacing w:before="0" w:after="0"/>
              <w:rPr>
                <w:rFonts w:ascii="Calibri" w:hAnsi="Calibri"/>
                <w:caps w:val="0"/>
                <w:sz w:val="22"/>
                <w:lang w:val="fr-FR"/>
              </w:rPr>
            </w:pPr>
            <w:r w:rsidRPr="00AD6C8F">
              <w:rPr>
                <w:rFonts w:ascii="Calibri" w:hAnsi="Calibri"/>
                <w:caps w:val="0"/>
                <w:sz w:val="22"/>
                <w:lang w:val="fr-FR"/>
              </w:rPr>
              <w:t>____________</w:t>
            </w:r>
          </w:p>
          <w:p w14:paraId="08FFA578" w14:textId="77777777" w:rsidR="00520F36" w:rsidRPr="00AD6C8F" w:rsidRDefault="00520F36" w:rsidP="00583BE8">
            <w:pPr>
              <w:pStyle w:val="Headingb"/>
            </w:pPr>
            <w:r w:rsidRPr="00AD6C8F">
              <w:t>Références</w:t>
            </w:r>
          </w:p>
          <w:p w14:paraId="6BAD24BA" w14:textId="4F6E624C" w:rsidR="00520F36" w:rsidRPr="00AD6C8F" w:rsidRDefault="006E7C07" w:rsidP="00583BE8">
            <w:pPr>
              <w:spacing w:after="120"/>
              <w:rPr>
                <w:i/>
                <w:iCs/>
              </w:rPr>
            </w:pPr>
            <w:r w:rsidRPr="00AD6C8F">
              <w:rPr>
                <w:i/>
                <w:iCs/>
              </w:rPr>
              <w:t xml:space="preserve">Documents </w:t>
            </w:r>
            <w:hyperlink r:id="rId8" w:history="1">
              <w:r w:rsidRPr="00AD6C8F">
                <w:rPr>
                  <w:rStyle w:val="Hyperlink"/>
                  <w:i/>
                  <w:iCs/>
                </w:rPr>
                <w:t>VC/13</w:t>
              </w:r>
            </w:hyperlink>
            <w:r w:rsidRPr="00AD6C8F">
              <w:rPr>
                <w:i/>
                <w:iCs/>
              </w:rPr>
              <w:t xml:space="preserve">, </w:t>
            </w:r>
            <w:hyperlink r:id="rId9" w:history="1">
              <w:r w:rsidRPr="00AD6C8F">
                <w:rPr>
                  <w:rStyle w:val="Hyperlink"/>
                  <w:i/>
                  <w:iCs/>
                </w:rPr>
                <w:t>VC/13(Rév.1)</w:t>
              </w:r>
            </w:hyperlink>
            <w:r w:rsidRPr="00AD6C8F">
              <w:rPr>
                <w:i/>
                <w:iCs/>
              </w:rPr>
              <w:t xml:space="preserve">, </w:t>
            </w:r>
            <w:hyperlink r:id="rId10" w:history="1">
              <w:r w:rsidRPr="00AD6C8F">
                <w:rPr>
                  <w:rStyle w:val="Hyperlink"/>
                  <w:i/>
                  <w:iCs/>
                </w:rPr>
                <w:t>C21/70</w:t>
              </w:r>
            </w:hyperlink>
            <w:r w:rsidRPr="00AD6C8F">
              <w:rPr>
                <w:i/>
                <w:iCs/>
              </w:rPr>
              <w:t xml:space="preserve">, </w:t>
            </w:r>
            <w:hyperlink r:id="rId11" w:history="1">
              <w:r w:rsidRPr="00AD6C8F">
                <w:rPr>
                  <w:rStyle w:val="Hyperlink"/>
                  <w:i/>
                  <w:iCs/>
                </w:rPr>
                <w:t>C21/68</w:t>
              </w:r>
            </w:hyperlink>
            <w:r w:rsidRPr="00AD6C8F">
              <w:rPr>
                <w:i/>
                <w:iCs/>
              </w:rPr>
              <w:t xml:space="preserve">, </w:t>
            </w:r>
            <w:hyperlink r:id="rId12" w:history="1">
              <w:r w:rsidRPr="00AD6C8F">
                <w:rPr>
                  <w:rStyle w:val="Hyperlink"/>
                  <w:i/>
                  <w:iCs/>
                </w:rPr>
                <w:t>C21/29</w:t>
              </w:r>
            </w:hyperlink>
            <w:r w:rsidRPr="00AD6C8F">
              <w:rPr>
                <w:i/>
                <w:iCs/>
              </w:rPr>
              <w:t xml:space="preserve">, </w:t>
            </w:r>
            <w:hyperlink r:id="rId13" w:history="1">
              <w:r w:rsidRPr="00AD6C8F">
                <w:rPr>
                  <w:rStyle w:val="Hyperlink"/>
                  <w:i/>
                  <w:iCs/>
                </w:rPr>
                <w:t>C20/53</w:t>
              </w:r>
            </w:hyperlink>
            <w:r w:rsidRPr="00AD6C8F">
              <w:rPr>
                <w:i/>
                <w:iCs/>
              </w:rPr>
              <w:t xml:space="preserve">, </w:t>
            </w:r>
            <w:hyperlink r:id="rId14" w:history="1">
              <w:r w:rsidRPr="00AD6C8F">
                <w:rPr>
                  <w:rStyle w:val="Hyperlink"/>
                  <w:i/>
                  <w:iCs/>
                </w:rPr>
                <w:t>C21/7</w:t>
              </w:r>
            </w:hyperlink>
            <w:r w:rsidRPr="00AD6C8F">
              <w:rPr>
                <w:i/>
                <w:iCs/>
              </w:rPr>
              <w:t xml:space="preserve"> et</w:t>
            </w:r>
            <w:r w:rsidR="001C1EC6">
              <w:rPr>
                <w:i/>
                <w:iCs/>
              </w:rPr>
              <w:t> </w:t>
            </w:r>
            <w:hyperlink r:id="rId15" w:history="1">
              <w:r w:rsidRPr="00AD6C8F">
                <w:rPr>
                  <w:rStyle w:val="Hyperlink"/>
                  <w:i/>
                  <w:iCs/>
                </w:rPr>
                <w:t>C21/50</w:t>
              </w:r>
            </w:hyperlink>
          </w:p>
        </w:tc>
      </w:tr>
    </w:tbl>
    <w:p w14:paraId="3954B296" w14:textId="7744B5C2" w:rsidR="006E7C07" w:rsidRPr="00AD6C8F" w:rsidRDefault="006E7C07" w:rsidP="00583BE8">
      <w:pPr>
        <w:pStyle w:val="Heading1"/>
      </w:pPr>
      <w:r w:rsidRPr="00AD6C8F">
        <w:t>1</w:t>
      </w:r>
      <w:r w:rsidRPr="00AD6C8F">
        <w:tab/>
        <w:t>Introduction</w:t>
      </w:r>
    </w:p>
    <w:p w14:paraId="0153E96E" w14:textId="1935DBC3" w:rsidR="006E7C07" w:rsidRPr="00AD6C8F" w:rsidRDefault="006E7C07" w:rsidP="00583BE8">
      <w:r w:rsidRPr="00AD6C8F">
        <w:t>1.1</w:t>
      </w:r>
      <w:r w:rsidRPr="00AD6C8F">
        <w:tab/>
        <w:t>Le 11 mars 2021, cela faisait précisément un an que l</w:t>
      </w:r>
      <w:r w:rsidR="00BB6B4C" w:rsidRPr="00AD6C8F">
        <w:t>'</w:t>
      </w:r>
      <w:r w:rsidRPr="00AD6C8F">
        <w:t>Organisation mondiale de la Santé (OMS) avait qualifié l</w:t>
      </w:r>
      <w:r w:rsidR="00BB6B4C" w:rsidRPr="00AD6C8F">
        <w:t>'</w:t>
      </w:r>
      <w:r w:rsidRPr="00AD6C8F">
        <w:t>épidémie de COVID-19 de pandémie mondiale. Celle-ci a eu des répercussions considérables sur le fonctionnement et les activités à court terme de la plupart des organisations, répercussions susceptibles de se prolonger sur le moyen terme, voire le long terme. La mise en œuvre rapide de mesures d</w:t>
      </w:r>
      <w:r w:rsidR="00BB6B4C" w:rsidRPr="00AD6C8F">
        <w:t>'</w:t>
      </w:r>
      <w:r w:rsidRPr="00AD6C8F">
        <w:t>atténuation ciblées dans les locaux de l</w:t>
      </w:r>
      <w:r w:rsidR="00BB6B4C" w:rsidRPr="00AD6C8F">
        <w:t>'</w:t>
      </w:r>
      <w:r w:rsidRPr="00AD6C8F">
        <w:t>Union a permis d</w:t>
      </w:r>
      <w:r w:rsidR="00BB6B4C" w:rsidRPr="00AD6C8F">
        <w:t>'</w:t>
      </w:r>
      <w:r w:rsidRPr="00AD6C8F">
        <w:t>éviter la propagation du virus à l</w:t>
      </w:r>
      <w:r w:rsidR="00BB6B4C" w:rsidRPr="00AD6C8F">
        <w:t>'</w:t>
      </w:r>
      <w:r w:rsidRPr="00AD6C8F">
        <w:t>UIT. Depuis le début</w:t>
      </w:r>
      <w:r w:rsidR="001C1EC6">
        <w:t xml:space="preserve"> des mesures de confinement, le </w:t>
      </w:r>
      <w:r w:rsidRPr="00AD6C8F">
        <w:t>20 mars 2020, les fonctionnaires de l</w:t>
      </w:r>
      <w:r w:rsidR="00BB6B4C" w:rsidRPr="00AD6C8F">
        <w:t>'</w:t>
      </w:r>
      <w:r w:rsidRPr="00AD6C8F">
        <w:t>UIT travaillent normalement depuis chez eux et les réunions ont lieu sous forme virtuelle. Des évaluations d</w:t>
      </w:r>
      <w:r w:rsidR="00BB6B4C" w:rsidRPr="00AD6C8F">
        <w:t>'</w:t>
      </w:r>
      <w:r w:rsidRPr="00AD6C8F">
        <w:t>impact détaillées seront cruciales pour élaborer une stratégie de redressement, qui influera sur la viabilité et la compétitivité à long terme de l</w:t>
      </w:r>
      <w:r w:rsidR="00BB6B4C" w:rsidRPr="00AD6C8F">
        <w:t>'</w:t>
      </w:r>
      <w:r w:rsidRPr="00AD6C8F">
        <w:t>Union. Alors que le monde se remet de la nouvelle nor</w:t>
      </w:r>
      <w:r w:rsidR="001C1EC6">
        <w:t>malité créée par la pandémie de </w:t>
      </w:r>
      <w:r w:rsidRPr="00AD6C8F">
        <w:t>COVID-19 et tâche de s</w:t>
      </w:r>
      <w:r w:rsidR="00BB6B4C" w:rsidRPr="00AD6C8F">
        <w:t>'</w:t>
      </w:r>
      <w:r w:rsidRPr="00AD6C8F">
        <w:t>y adapter, l</w:t>
      </w:r>
      <w:r w:rsidR="00BB6B4C" w:rsidRPr="00AD6C8F">
        <w:t>'</w:t>
      </w:r>
      <w:r w:rsidRPr="00AD6C8F">
        <w:t>UIT se mobilise elle aussi dans le cadre de l</w:t>
      </w:r>
      <w:r w:rsidR="00BB6B4C" w:rsidRPr="00AD6C8F">
        <w:t>'</w:t>
      </w:r>
      <w:r w:rsidRPr="00AD6C8F">
        <w:t>appel lancé par l</w:t>
      </w:r>
      <w:r w:rsidR="00BB6B4C" w:rsidRPr="00AD6C8F">
        <w:t>'</w:t>
      </w:r>
      <w:r w:rsidRPr="00AD6C8F">
        <w:t>Organisation des Nations Unies (ONU) afin de reconstruire en mieux.</w:t>
      </w:r>
    </w:p>
    <w:p w14:paraId="0B2ED8A3" w14:textId="5BB09119" w:rsidR="006E7C07" w:rsidRPr="00AD6C8F" w:rsidRDefault="006E7C07" w:rsidP="00583BE8">
      <w:r w:rsidRPr="00AD6C8F">
        <w:lastRenderedPageBreak/>
        <w:t>1.2</w:t>
      </w:r>
      <w:r w:rsidRPr="00AD6C8F">
        <w:tab/>
        <w:t>Le présent document vise à procéder à une analyse préliminaire des incidences du COVID-19 sur les activités et le fonctionnement de l</w:t>
      </w:r>
      <w:r w:rsidR="00BB6B4C" w:rsidRPr="00AD6C8F">
        <w:t>'</w:t>
      </w:r>
      <w:r w:rsidRPr="00AD6C8F">
        <w:t>UIT, à présenter les faits, à souligner les enseignements tirés et à appeler l</w:t>
      </w:r>
      <w:r w:rsidR="00BB6B4C" w:rsidRPr="00AD6C8F">
        <w:t>'</w:t>
      </w:r>
      <w:r w:rsidRPr="00AD6C8F">
        <w:t>attention sur certains aspects dont il pourrait être tenu compte à court et à moyen terme pour faire de l</w:t>
      </w:r>
      <w:r w:rsidR="00BB6B4C" w:rsidRPr="00AD6C8F">
        <w:t>'</w:t>
      </w:r>
      <w:r w:rsidRPr="00AD6C8F">
        <w:t>UIT une organisation plus moderne, plus résiliente et plus durable qui continuera à fournir des services de grande qualité à ses membres. Une fois que le Conseil de l</w:t>
      </w:r>
      <w:r w:rsidR="00BB6B4C" w:rsidRPr="00AD6C8F">
        <w:t>'</w:t>
      </w:r>
      <w:r w:rsidRPr="00AD6C8F">
        <w:t>UIT aura donné des orientations sur les différentes considérations abordées dans le présent document, et sur d</w:t>
      </w:r>
      <w:r w:rsidR="00BB6B4C" w:rsidRPr="00AD6C8F">
        <w:t>'</w:t>
      </w:r>
      <w:r w:rsidRPr="00AD6C8F">
        <w:t>éventuelles considérations connexes, une analyse plus approfondie sera effectuée afin de déterminer les moyens de s</w:t>
      </w:r>
      <w:r w:rsidR="00BB6B4C" w:rsidRPr="00AD6C8F">
        <w:t>'</w:t>
      </w:r>
      <w:r w:rsidRPr="00AD6C8F">
        <w:t>adapter à la nouvelle normalité et d</w:t>
      </w:r>
      <w:r w:rsidR="00BB6B4C" w:rsidRPr="00AD6C8F">
        <w:t>'</w:t>
      </w:r>
      <w:r w:rsidRPr="00AD6C8F">
        <w:t>améliorer l</w:t>
      </w:r>
      <w:r w:rsidR="00BB6B4C" w:rsidRPr="00AD6C8F">
        <w:t>'</w:t>
      </w:r>
      <w:r w:rsidRPr="00AD6C8F">
        <w:t>efficience, l</w:t>
      </w:r>
      <w:r w:rsidR="00BB6B4C" w:rsidRPr="00AD6C8F">
        <w:t>'</w:t>
      </w:r>
      <w:r w:rsidRPr="00AD6C8F">
        <w:t>efficacité et la durabilité de l</w:t>
      </w:r>
      <w:r w:rsidR="00BB6B4C" w:rsidRPr="00AD6C8F">
        <w:t>'</w:t>
      </w:r>
      <w:r w:rsidRPr="00AD6C8F">
        <w:t>UIT.</w:t>
      </w:r>
    </w:p>
    <w:p w14:paraId="1F39971F" w14:textId="7102C30C" w:rsidR="006E7C07" w:rsidRPr="00AD6C8F" w:rsidRDefault="006E7C07" w:rsidP="00583BE8">
      <w:pPr>
        <w:pStyle w:val="Heading1"/>
      </w:pPr>
      <w:r w:rsidRPr="00AD6C8F">
        <w:t>2</w:t>
      </w:r>
      <w:r w:rsidRPr="00AD6C8F">
        <w:tab/>
        <w:t>Incidences du COVID-19 sur les conférences, réunions et manifestations internationales de l</w:t>
      </w:r>
      <w:r w:rsidR="00BB6B4C" w:rsidRPr="00AD6C8F">
        <w:t>'</w:t>
      </w:r>
      <w:r w:rsidRPr="00AD6C8F">
        <w:t>UIT</w:t>
      </w:r>
    </w:p>
    <w:p w14:paraId="7F673E30" w14:textId="1E99A00A" w:rsidR="006E7C07" w:rsidRPr="00AD6C8F" w:rsidRDefault="006E7C07" w:rsidP="00583BE8">
      <w:r w:rsidRPr="00AD6C8F">
        <w:t>2.1</w:t>
      </w:r>
      <w:r w:rsidRPr="00AD6C8F">
        <w:tab/>
        <w:t>L</w:t>
      </w:r>
      <w:r w:rsidR="00BB6B4C" w:rsidRPr="00AD6C8F">
        <w:t>'</w:t>
      </w:r>
      <w:r w:rsidRPr="00AD6C8F">
        <w:t>organisation de conférences, d</w:t>
      </w:r>
      <w:r w:rsidR="00BB6B4C" w:rsidRPr="00AD6C8F">
        <w:t>'</w:t>
      </w:r>
      <w:r w:rsidRPr="00AD6C8F">
        <w:t>assemblées et de manifestations fait partie des domaines les plus touchés par la pandémie de COVID-19, car il a fallu les tenir virtuellement ou les reporter. Depuis mars 2020, de nombreuses réunions prévues par l</w:t>
      </w:r>
      <w:r w:rsidR="00BB6B4C" w:rsidRPr="00AD6C8F">
        <w:t>'</w:t>
      </w:r>
      <w:r w:rsidRPr="00AD6C8F">
        <w:t>UIT se sont tenues virtuellement, notam</w:t>
      </w:r>
      <w:r w:rsidR="00F439CF">
        <w:t>ment les réunions du Comité du R</w:t>
      </w:r>
      <w:r w:rsidRPr="00AD6C8F">
        <w:t>èglement des radiocommunications, des groupes consultatifs des trois Secteurs, des commissions d</w:t>
      </w:r>
      <w:r w:rsidR="00BB6B4C" w:rsidRPr="00AD6C8F">
        <w:t>'</w:t>
      </w:r>
      <w:r w:rsidRPr="00AD6C8F">
        <w:t>étude</w:t>
      </w:r>
      <w:r w:rsidR="00F439CF">
        <w:t>s</w:t>
      </w:r>
      <w:r w:rsidRPr="00AD6C8F">
        <w:t xml:space="preserve"> et des groupes de travail. Si certaines des grandes manifestations de l</w:t>
      </w:r>
      <w:r w:rsidR="00BB6B4C" w:rsidRPr="00AD6C8F">
        <w:t>'</w:t>
      </w:r>
      <w:r w:rsidRPr="00AD6C8F">
        <w:t>UIT, comme le Forum du Sommet mondial sur la société de l</w:t>
      </w:r>
      <w:r w:rsidR="00BB6B4C" w:rsidRPr="00AD6C8F">
        <w:t>'</w:t>
      </w:r>
      <w:r w:rsidRPr="00AD6C8F">
        <w:t xml:space="preserve">information (SMSI), le </w:t>
      </w:r>
      <w:r w:rsidRPr="00AD6C8F">
        <w:rPr>
          <w:color w:val="000000"/>
        </w:rPr>
        <w:t>Sommet mondial sur l</w:t>
      </w:r>
      <w:r w:rsidR="00BB6B4C" w:rsidRPr="00AD6C8F">
        <w:rPr>
          <w:color w:val="000000"/>
        </w:rPr>
        <w:t>'</w:t>
      </w:r>
      <w:r w:rsidRPr="00AD6C8F">
        <w:rPr>
          <w:color w:val="000000"/>
        </w:rPr>
        <w:t>intelligence artificielle au service du bien social</w:t>
      </w:r>
      <w:r w:rsidRPr="00AD6C8F">
        <w:t>, le Colloque mondial des régulateurs (GSR) et ITU Digital World, se sont tenues virtuellement tout au long de l</w:t>
      </w:r>
      <w:r w:rsidR="00BB6B4C" w:rsidRPr="00AD6C8F">
        <w:t>'</w:t>
      </w:r>
      <w:r w:rsidRPr="00AD6C8F">
        <w:t>année, quoique plus tard que prévu, l</w:t>
      </w:r>
      <w:r w:rsidR="00BB6B4C" w:rsidRPr="00AD6C8F">
        <w:t>'</w:t>
      </w:r>
      <w:r w:rsidRPr="00AD6C8F">
        <w:t>Assemblée mondiale de normalisation des télécommunications de 2020 (AMNT-20) a été reportée à 2022, et la Conférence mondiale de développement des télécommunications de 2021 (CMDT-21) pou</w:t>
      </w:r>
      <w:r w:rsidR="001C1EC6">
        <w:t>rrait également être reportée à </w:t>
      </w:r>
      <w:r w:rsidRPr="00AD6C8F">
        <w:t xml:space="preserve">2022. </w:t>
      </w:r>
    </w:p>
    <w:p w14:paraId="36C9A94B" w14:textId="000C950E" w:rsidR="006E7C07" w:rsidRPr="00AD6C8F" w:rsidRDefault="006E7C07" w:rsidP="00583BE8">
      <w:r w:rsidRPr="00AD6C8F">
        <w:t>2.2</w:t>
      </w:r>
      <w:r w:rsidRPr="00AD6C8F">
        <w:tab/>
        <w:t>En 2020, deux consultations virtuelles des conseillers ont été organisées à la place de la session du Conseil. Après avoir consulté les États Membres du Conseil sur la tenue d</w:t>
      </w:r>
      <w:r w:rsidR="00BB6B4C" w:rsidRPr="00AD6C8F">
        <w:t>'</w:t>
      </w:r>
      <w:r w:rsidRPr="00AD6C8F">
        <w:t>une éventuelle réunion virtuelle du Conseil en 2021, il a été convenu que la consultation virtuelle ne devait pas être considérée comme une session du Conseil, qu</w:t>
      </w:r>
      <w:r w:rsidR="00BB6B4C" w:rsidRPr="00AD6C8F">
        <w:t>'</w:t>
      </w:r>
      <w:r w:rsidRPr="00AD6C8F">
        <w:t>elle ne devait avoir aucun caractère décisionnel et qu</w:t>
      </w:r>
      <w:r w:rsidR="00BB6B4C" w:rsidRPr="00AD6C8F">
        <w:t>'</w:t>
      </w:r>
      <w:r w:rsidRPr="00AD6C8F">
        <w:t>elle devait être considérée comme une consultation par correspondance, organisée conformément à l</w:t>
      </w:r>
      <w:r w:rsidR="00BB6B4C" w:rsidRPr="00AD6C8F">
        <w:t>'</w:t>
      </w:r>
      <w:r w:rsidRPr="00AD6C8F">
        <w:t xml:space="preserve">Article 3.1 du Règlement intérieur du Conseil. </w:t>
      </w:r>
    </w:p>
    <w:p w14:paraId="7170690D" w14:textId="393EDCF6" w:rsidR="006E7C07" w:rsidRPr="00AD6C8F" w:rsidRDefault="006E7C07" w:rsidP="00583BE8">
      <w:r w:rsidRPr="00AD6C8F">
        <w:t>2.3</w:t>
      </w:r>
      <w:r w:rsidRPr="00AD6C8F">
        <w:tab/>
        <w:t>En 2020, le nombre total de manifestations virtuelles s</w:t>
      </w:r>
      <w:r w:rsidR="00BB6B4C" w:rsidRPr="00AD6C8F">
        <w:t>'</w:t>
      </w:r>
      <w:r w:rsidRPr="00AD6C8F">
        <w:t>est élevé à 288 et le nombre de participants inscrits à 42 055. Cela représente une augmentation de 107% du nombre de manifestations et de 93% du nombre de participants par rapport à 2019 et a contribué à rendre les travaux de l</w:t>
      </w:r>
      <w:r w:rsidR="00BB6B4C" w:rsidRPr="00AD6C8F">
        <w:t>'</w:t>
      </w:r>
      <w:r w:rsidRPr="00AD6C8F">
        <w:t>Union plus inclusifs (le Séminaire mondial des radiocommunications de 2020 (</w:t>
      </w:r>
      <w:r w:rsidRPr="00AD6C8F">
        <w:rPr>
          <w:rFonts w:eastAsia="Calibri" w:cstheme="minorBidi"/>
          <w:spacing w:val="-2"/>
        </w:rPr>
        <w:t>WRS</w:t>
      </w:r>
      <w:r w:rsidR="00BB6B4C" w:rsidRPr="00AD6C8F">
        <w:rPr>
          <w:rFonts w:eastAsia="Calibri" w:cstheme="minorBidi"/>
          <w:spacing w:val="-2"/>
        </w:rPr>
        <w:noBreakHyphen/>
      </w:r>
      <w:r w:rsidRPr="00AD6C8F">
        <w:rPr>
          <w:rFonts w:eastAsia="Calibri" w:cstheme="minorBidi"/>
          <w:spacing w:val="-2"/>
        </w:rPr>
        <w:t>20), le Forum 2020 du SMSI, le Sommet mondial sur l</w:t>
      </w:r>
      <w:r w:rsidR="00BB6B4C" w:rsidRPr="00AD6C8F">
        <w:rPr>
          <w:rFonts w:eastAsia="Calibri" w:cstheme="minorBidi"/>
          <w:spacing w:val="-2"/>
        </w:rPr>
        <w:t>'</w:t>
      </w:r>
      <w:r w:rsidRPr="00AD6C8F">
        <w:rPr>
          <w:rFonts w:eastAsia="Calibri" w:cstheme="minorBidi"/>
          <w:spacing w:val="-2"/>
        </w:rPr>
        <w:t xml:space="preserve">intelligence artificielle au service du bien social et le GSR </w:t>
      </w:r>
      <w:r w:rsidRPr="00AD6C8F">
        <w:rPr>
          <w:spacing w:val="-2"/>
        </w:rPr>
        <w:t>ont par exemple compté jusqu</w:t>
      </w:r>
      <w:r w:rsidR="00BB6B4C" w:rsidRPr="00AD6C8F">
        <w:rPr>
          <w:spacing w:val="-2"/>
        </w:rPr>
        <w:t>'</w:t>
      </w:r>
      <w:r w:rsidRPr="00AD6C8F">
        <w:rPr>
          <w:spacing w:val="-2"/>
        </w:rPr>
        <w:t>à</w:t>
      </w:r>
      <w:r w:rsidRPr="00AD6C8F">
        <w:t xml:space="preserve"> 4 fois plus de participants </w:t>
      </w:r>
      <w:r w:rsidRPr="00AD6C8F">
        <w:rPr>
          <w:rFonts w:eastAsia="Calibri" w:cstheme="minorBidi"/>
        </w:rPr>
        <w:t xml:space="preserve">que lors de leurs éditions physiques). </w:t>
      </w:r>
      <w:r w:rsidRPr="00AD6C8F">
        <w:t>Au total, plus de 9 700 séances virtuelles ont été organisées et quelque 340</w:t>
      </w:r>
      <w:r w:rsidR="00BB6B4C" w:rsidRPr="00AD6C8F">
        <w:t> </w:t>
      </w:r>
      <w:r w:rsidRPr="00AD6C8F">
        <w:t>000 personnes y ont participé. Plus de 4 700 séances virtuelles ont été organisées par Zoom (48%), et plus de 190 000 personnes y ont participé (56%). Le reste des séances ont été organisées à l</w:t>
      </w:r>
      <w:r w:rsidR="00BB6B4C" w:rsidRPr="00AD6C8F">
        <w:t>'</w:t>
      </w:r>
      <w:r w:rsidRPr="00AD6C8F">
        <w:t>aide d</w:t>
      </w:r>
      <w:r w:rsidR="00BB6B4C" w:rsidRPr="00AD6C8F">
        <w:t>'</w:t>
      </w:r>
      <w:r w:rsidRPr="00AD6C8F">
        <w:rPr>
          <w:i/>
          <w:iCs/>
        </w:rPr>
        <w:t>Interprefy</w:t>
      </w:r>
      <w:r w:rsidRPr="00AD6C8F">
        <w:t xml:space="preserve">, de </w:t>
      </w:r>
      <w:r w:rsidRPr="00AD6C8F">
        <w:rPr>
          <w:i/>
          <w:iCs/>
        </w:rPr>
        <w:t>GoToMeeting</w:t>
      </w:r>
      <w:r w:rsidRPr="00AD6C8F">
        <w:t xml:space="preserve"> ou de </w:t>
      </w:r>
      <w:r w:rsidRPr="00AD6C8F">
        <w:rPr>
          <w:i/>
          <w:iCs/>
        </w:rPr>
        <w:t xml:space="preserve">MyMeetings, </w:t>
      </w:r>
      <w:r w:rsidRPr="00AD6C8F">
        <w:t xml:space="preserve">tandis que </w:t>
      </w:r>
      <w:r w:rsidRPr="00AD6C8F">
        <w:rPr>
          <w:i/>
          <w:iCs/>
        </w:rPr>
        <w:t xml:space="preserve">Teams </w:t>
      </w:r>
      <w:r w:rsidRPr="00AD6C8F">
        <w:t>était principalement utilisé pour les réunions internes de l</w:t>
      </w:r>
      <w:r w:rsidR="00BB6B4C" w:rsidRPr="00AD6C8F">
        <w:t>'</w:t>
      </w:r>
      <w:r w:rsidRPr="00AD6C8F">
        <w:t xml:space="preserve">UIT. </w:t>
      </w:r>
    </w:p>
    <w:p w14:paraId="007B0A84" w14:textId="36CCE9AE" w:rsidR="006E7C07" w:rsidRPr="00AD6C8F" w:rsidRDefault="006E7C07" w:rsidP="00583BE8">
      <w:r w:rsidRPr="00AD6C8F">
        <w:t>2.4</w:t>
      </w:r>
      <w:r w:rsidRPr="00AD6C8F">
        <w:tab/>
        <w:t>Le service de gestion des conférences a su faire face à la demande croissante de manifestations et de réunions virtuelles. En 2020, les services d</w:t>
      </w:r>
      <w:r w:rsidR="00BB6B4C" w:rsidRPr="00AD6C8F">
        <w:t>'</w:t>
      </w:r>
      <w:r w:rsidRPr="00AD6C8F">
        <w:t>appui aux manifestations électroniques, qui comprennent les services d</w:t>
      </w:r>
      <w:r w:rsidR="00BB6B4C" w:rsidRPr="00AD6C8F">
        <w:t>'</w:t>
      </w:r>
      <w:r w:rsidRPr="00AD6C8F">
        <w:t>appui technique fournis aux délégués et aux participants en matière d</w:t>
      </w:r>
      <w:r w:rsidR="00BB6B4C" w:rsidRPr="00AD6C8F">
        <w:t>'</w:t>
      </w:r>
      <w:r w:rsidRPr="00AD6C8F">
        <w:t>accès, d</w:t>
      </w:r>
      <w:r w:rsidR="00BB6B4C" w:rsidRPr="00AD6C8F">
        <w:t>'</w:t>
      </w:r>
      <w:r w:rsidRPr="00AD6C8F">
        <w:t>enregistrement, d</w:t>
      </w:r>
      <w:r w:rsidR="00BB6B4C" w:rsidRPr="00AD6C8F">
        <w:t>'</w:t>
      </w:r>
      <w:r w:rsidRPr="00AD6C8F">
        <w:t>accréditation, de fonctionnement et d</w:t>
      </w:r>
      <w:r w:rsidR="00BB6B4C" w:rsidRPr="00AD6C8F">
        <w:t>'</w:t>
      </w:r>
      <w:r w:rsidRPr="00AD6C8F">
        <w:t xml:space="preserve">autres </w:t>
      </w:r>
      <w:r w:rsidRPr="00AD6C8F">
        <w:lastRenderedPageBreak/>
        <w:t>formes d</w:t>
      </w:r>
      <w:r w:rsidR="00BB6B4C" w:rsidRPr="00AD6C8F">
        <w:t>'</w:t>
      </w:r>
      <w:r w:rsidRPr="00AD6C8F">
        <w:t>assistance technique (fournis dans différents fuseaux hora</w:t>
      </w:r>
      <w:r w:rsidR="00F439CF">
        <w:t>ires), ont progressé de plus de </w:t>
      </w:r>
      <w:r w:rsidRPr="00AD6C8F">
        <w:t>100%. La capacité de l</w:t>
      </w:r>
      <w:r w:rsidR="00BB6B4C" w:rsidRPr="00AD6C8F">
        <w:t>'</w:t>
      </w:r>
      <w:r w:rsidRPr="00AD6C8F">
        <w:t>UIT d</w:t>
      </w:r>
      <w:r w:rsidR="00BB6B4C" w:rsidRPr="00AD6C8F">
        <w:t>'</w:t>
      </w:r>
      <w:r w:rsidRPr="00AD6C8F">
        <w:t>utiliser rapidement ses compétences internes pour adapter les outils et les processus à la nouvelle réalité numérique a été mise à l</w:t>
      </w:r>
      <w:r w:rsidR="00BB6B4C" w:rsidRPr="00AD6C8F">
        <w:t>'</w:t>
      </w:r>
      <w:r w:rsidRPr="00AD6C8F">
        <w:t>honneur par la Geneva Internet Platform et DiploFoundation à l</w:t>
      </w:r>
      <w:r w:rsidR="00BB6B4C" w:rsidRPr="00AD6C8F">
        <w:t>'</w:t>
      </w:r>
      <w:r w:rsidRPr="00AD6C8F">
        <w:t>occasion de la 6</w:t>
      </w:r>
      <w:r w:rsidR="00F439CF" w:rsidRPr="00F439CF">
        <w:t>ème</w:t>
      </w:r>
      <w:r w:rsidRPr="00AD6C8F">
        <w:t xml:space="preserve"> édition des Geneva Engage Awards, où l</w:t>
      </w:r>
      <w:r w:rsidR="00BB6B4C" w:rsidRPr="00AD6C8F">
        <w:t>'</w:t>
      </w:r>
      <w:r w:rsidRPr="00AD6C8F">
        <w:t>UIT est arrivée en tête de la catégorie "Réunions et participation en ligne".</w:t>
      </w:r>
    </w:p>
    <w:p w14:paraId="0B4F27EC" w14:textId="21195A1A" w:rsidR="006E7C07" w:rsidRPr="00AD6C8F" w:rsidRDefault="006E7C07" w:rsidP="00583BE8">
      <w:r w:rsidRPr="00AD6C8F">
        <w:t>2.5</w:t>
      </w:r>
      <w:r w:rsidRPr="00AD6C8F">
        <w:tab/>
        <w:t>La plupart des réunions organisées virtuellement ont été très appréciées des participants et ont été gérées sans problème par le secrétariat de l</w:t>
      </w:r>
      <w:r w:rsidR="00BB6B4C" w:rsidRPr="00AD6C8F">
        <w:t>'</w:t>
      </w:r>
      <w:r w:rsidRPr="00AD6C8F">
        <w:t xml:space="preserve">UIT. Parmi </w:t>
      </w:r>
      <w:r w:rsidRPr="00AD6C8F">
        <w:rPr>
          <w:b/>
          <w:bCs/>
        </w:rPr>
        <w:t>les enseignements tirés</w:t>
      </w:r>
      <w:r w:rsidRPr="00AD6C8F">
        <w:t>, on soulignera le fait que les réunions virtuelles se sont révélées plus inclusives que les réunions physiques et qu</w:t>
      </w:r>
      <w:r w:rsidR="00BB6B4C" w:rsidRPr="00AD6C8F">
        <w:t>'</w:t>
      </w:r>
      <w:r w:rsidRPr="00AD6C8F">
        <w:t xml:space="preserve">elles comptaient souvent plus de participants que les mêmes réunions auparavant tenues physiquement. </w:t>
      </w:r>
    </w:p>
    <w:p w14:paraId="76BB4486" w14:textId="38F40A00" w:rsidR="006E7C07" w:rsidRPr="00AD6C8F" w:rsidRDefault="006E7C07" w:rsidP="00583BE8">
      <w:pPr>
        <w:pStyle w:val="enumlev1"/>
        <w:rPr>
          <w:rFonts w:asciiTheme="minorHAnsi" w:hAnsiTheme="minorHAnsi" w:cstheme="minorHAnsi"/>
          <w:szCs w:val="24"/>
        </w:rPr>
      </w:pPr>
      <w:r w:rsidRPr="00AD6C8F">
        <w:t>•</w:t>
      </w:r>
      <w:r w:rsidRPr="00AD6C8F">
        <w:tab/>
        <w:t>Dans de nombreux cas, l</w:t>
      </w:r>
      <w:r w:rsidR="00BB6B4C" w:rsidRPr="00AD6C8F">
        <w:t>'</w:t>
      </w:r>
      <w:r w:rsidRPr="00AD6C8F">
        <w:t>organisation de réunions virtuelles permet une plus grande souplesse, s</w:t>
      </w:r>
      <w:r w:rsidR="00BB6B4C" w:rsidRPr="00AD6C8F">
        <w:t>'</w:t>
      </w:r>
      <w:r w:rsidRPr="00AD6C8F">
        <w:t>avère plus facile et requiert moins d</w:t>
      </w:r>
      <w:r w:rsidR="00BB6B4C" w:rsidRPr="00AD6C8F">
        <w:t>'</w:t>
      </w:r>
      <w:r w:rsidRPr="00AD6C8F">
        <w:t xml:space="preserve">anticipation. </w:t>
      </w:r>
      <w:r w:rsidRPr="00AD6C8F">
        <w:rPr>
          <w:rFonts w:asciiTheme="minorHAnsi" w:hAnsiTheme="minorHAnsi" w:cstheme="minorHAnsi"/>
          <w:szCs w:val="24"/>
        </w:rPr>
        <w:t>La hausse du taux de participation peut s</w:t>
      </w:r>
      <w:r w:rsidR="00BB6B4C" w:rsidRPr="00AD6C8F">
        <w:rPr>
          <w:rFonts w:asciiTheme="minorHAnsi" w:hAnsiTheme="minorHAnsi" w:cstheme="minorHAnsi"/>
          <w:szCs w:val="24"/>
        </w:rPr>
        <w:t>'</w:t>
      </w:r>
      <w:r w:rsidRPr="00AD6C8F">
        <w:rPr>
          <w:rFonts w:asciiTheme="minorHAnsi" w:hAnsiTheme="minorHAnsi" w:cstheme="minorHAnsi"/>
          <w:szCs w:val="24"/>
        </w:rPr>
        <w:t>expliquer par le fait que la participation aux réunions en ligne n</w:t>
      </w:r>
      <w:r w:rsidR="00BB6B4C" w:rsidRPr="00AD6C8F">
        <w:rPr>
          <w:rFonts w:asciiTheme="minorHAnsi" w:hAnsiTheme="minorHAnsi" w:cstheme="minorHAnsi"/>
          <w:szCs w:val="24"/>
        </w:rPr>
        <w:t>'</w:t>
      </w:r>
      <w:r w:rsidRPr="00AD6C8F">
        <w:rPr>
          <w:rFonts w:asciiTheme="minorHAnsi" w:hAnsiTheme="minorHAnsi" w:cstheme="minorHAnsi"/>
          <w:szCs w:val="24"/>
        </w:rPr>
        <w:t>entraîne pas de frais de déplacement.</w:t>
      </w:r>
      <w:r w:rsidRPr="00AD6C8F">
        <w:t xml:space="preserve"> Les réunions virtuelles ont également une empreinte écologique beaucoup plus faible que celle des manifestations physiques si l</w:t>
      </w:r>
      <w:r w:rsidR="00BB6B4C" w:rsidRPr="00AD6C8F">
        <w:t>'</w:t>
      </w:r>
      <w:r w:rsidRPr="00AD6C8F">
        <w:t>on tient compte du fait que celles-ci nécessitent de réserver des vols pour les délégués, le personnel et les interprètes et d</w:t>
      </w:r>
      <w:r w:rsidR="00BB6B4C" w:rsidRPr="00AD6C8F">
        <w:t>'</w:t>
      </w:r>
      <w:r w:rsidRPr="00AD6C8F">
        <w:t>acheminer du matériel, produisent des déchets et consomment de l</w:t>
      </w:r>
      <w:r w:rsidR="00BB6B4C" w:rsidRPr="00AD6C8F">
        <w:t>'</w:t>
      </w:r>
      <w:r w:rsidRPr="00AD6C8F">
        <w:t>eau et de l</w:t>
      </w:r>
      <w:r w:rsidR="00BB6B4C" w:rsidRPr="00AD6C8F">
        <w:t>'</w:t>
      </w:r>
      <w:r w:rsidRPr="00AD6C8F">
        <w:t>énergie.</w:t>
      </w:r>
    </w:p>
    <w:p w14:paraId="6B606170" w14:textId="20B4419F" w:rsidR="006E7C07" w:rsidRPr="00AD6C8F" w:rsidRDefault="006E7C07" w:rsidP="00583BE8">
      <w:pPr>
        <w:pStyle w:val="enumlev1"/>
        <w:rPr>
          <w:rFonts w:asciiTheme="minorHAnsi" w:hAnsiTheme="minorHAnsi" w:cstheme="minorHAnsi"/>
          <w:szCs w:val="24"/>
        </w:rPr>
      </w:pPr>
      <w:r w:rsidRPr="00AD6C8F">
        <w:t>•</w:t>
      </w:r>
      <w:r w:rsidRPr="00AD6C8F">
        <w:tab/>
        <w:t>Cependant, il y a un risque de sollicitation excessive du public, et des membres en particulier, lorsque des manifestations sur des sujets similaires sont programmées à des dates rapprochées. Par conséquent, il faut faire preuve d</w:t>
      </w:r>
      <w:r w:rsidR="00BB6B4C" w:rsidRPr="00AD6C8F">
        <w:t>'</w:t>
      </w:r>
      <w:r w:rsidRPr="00AD6C8F">
        <w:t>une plus grande minutie dans la planification et la coordination de ces manifestations, afin d</w:t>
      </w:r>
      <w:r w:rsidR="00BB6B4C" w:rsidRPr="00AD6C8F">
        <w:t>'</w:t>
      </w:r>
      <w:r w:rsidRPr="00AD6C8F">
        <w:t>atteindre les résultats souhaités et de faire en sorte que le public ne se lasse pas des webinaires.</w:t>
      </w:r>
      <w:r w:rsidRPr="00AD6C8F">
        <w:rPr>
          <w:rFonts w:asciiTheme="minorHAnsi" w:hAnsiTheme="minorHAnsi" w:cstheme="minorHAnsi"/>
          <w:szCs w:val="24"/>
        </w:rPr>
        <w:t xml:space="preserve"> </w:t>
      </w:r>
    </w:p>
    <w:p w14:paraId="16D5D766" w14:textId="13B21E81" w:rsidR="006E7C07" w:rsidRPr="00AD6C8F" w:rsidRDefault="006E7C07" w:rsidP="00583BE8">
      <w:r w:rsidRPr="00AD6C8F">
        <w:t>2.6</w:t>
      </w:r>
      <w:r w:rsidRPr="00AD6C8F">
        <w:tab/>
        <w:t xml:space="preserve">Les </w:t>
      </w:r>
      <w:r w:rsidRPr="00AD6C8F">
        <w:rPr>
          <w:b/>
          <w:bCs/>
        </w:rPr>
        <w:t>contraintes ou difficultés</w:t>
      </w:r>
      <w:r w:rsidRPr="00AD6C8F">
        <w:t xml:space="preserve"> comprennent notamment les limites en matière de bande passante (pour l</w:t>
      </w:r>
      <w:r w:rsidR="00BB6B4C" w:rsidRPr="00AD6C8F">
        <w:t>'</w:t>
      </w:r>
      <w:r w:rsidRPr="00AD6C8F">
        <w:t>audio et la vidéo), la mauvaise qualité de transmission ou d</w:t>
      </w:r>
      <w:r w:rsidR="00BB6B4C" w:rsidRPr="00AD6C8F">
        <w:t>'</w:t>
      </w:r>
      <w:r w:rsidRPr="00AD6C8F">
        <w:t>autres capacités de connexion de certains participants. En outre, si dans certaines réunions, notamment celles des commissions d</w:t>
      </w:r>
      <w:r w:rsidR="00BB6B4C" w:rsidRPr="00AD6C8F">
        <w:t>'</w:t>
      </w:r>
      <w:r w:rsidRPr="00AD6C8F">
        <w:t>études, les participants se sont mis d</w:t>
      </w:r>
      <w:r w:rsidR="00BB6B4C" w:rsidRPr="00AD6C8F">
        <w:t>'</w:t>
      </w:r>
      <w:r w:rsidRPr="00AD6C8F">
        <w:t>accord sur le processus de prise de décision, dans d</w:t>
      </w:r>
      <w:r w:rsidR="00BB6B4C" w:rsidRPr="00AD6C8F">
        <w:t>'</w:t>
      </w:r>
      <w:r w:rsidRPr="00AD6C8F">
        <w:t>autres, par exemple les consultations virtuelles des conseillers, les résultats provisoires sur tel ou tel sujet devaient être suivis d</w:t>
      </w:r>
      <w:r w:rsidR="00BB6B4C" w:rsidRPr="00AD6C8F">
        <w:t>'</w:t>
      </w:r>
      <w:r w:rsidRPr="00AD6C8F">
        <w:t>une approbation formelle par correspondance, conformément à l</w:t>
      </w:r>
      <w:r w:rsidR="00BB6B4C" w:rsidRPr="00AD6C8F">
        <w:t>'</w:t>
      </w:r>
      <w:r w:rsidRPr="00AD6C8F">
        <w:t xml:space="preserve">Article 3.2 du Règlement intérieur du Conseil. </w:t>
      </w:r>
    </w:p>
    <w:p w14:paraId="24B52D30" w14:textId="0DECA7BC" w:rsidR="006E7C07" w:rsidRPr="00AD6C8F" w:rsidRDefault="006E7C07" w:rsidP="00583BE8">
      <w:pPr>
        <w:pStyle w:val="enumlev1"/>
      </w:pPr>
      <w:r w:rsidRPr="00AD6C8F">
        <w:t>•</w:t>
      </w:r>
      <w:r w:rsidRPr="00AD6C8F">
        <w:tab/>
        <w:t>Dans l</w:t>
      </w:r>
      <w:r w:rsidR="00BB6B4C" w:rsidRPr="00AD6C8F">
        <w:t>'</w:t>
      </w:r>
      <w:r w:rsidRPr="00AD6C8F">
        <w:t>ensemble, la prestation de services d</w:t>
      </w:r>
      <w:r w:rsidR="00BB6B4C" w:rsidRPr="00AD6C8F">
        <w:t>'</w:t>
      </w:r>
      <w:r w:rsidRPr="00AD6C8F">
        <w:t>appui et la participation aux réunions virtuelles ont obligé le personnel de l</w:t>
      </w:r>
      <w:r w:rsidR="00BB6B4C" w:rsidRPr="00AD6C8F">
        <w:t>'</w:t>
      </w:r>
      <w:r w:rsidRPr="00AD6C8F">
        <w:t>UIT à acquérir de nouvelles connaissances et compétences (aider les modérateurs, les délégués, les présidents et les secrétaires à se connecter aux plates</w:t>
      </w:r>
      <w:r w:rsidR="00BB6B4C" w:rsidRPr="00AD6C8F">
        <w:noBreakHyphen/>
      </w:r>
      <w:r w:rsidRPr="00AD6C8F">
        <w:t>formes et à fournir une aide pendant les réunions virtuelles), tout comme les participants. L</w:t>
      </w:r>
      <w:r w:rsidR="00BB6B4C" w:rsidRPr="00AD6C8F">
        <w:t>'</w:t>
      </w:r>
      <w:r w:rsidRPr="00AD6C8F">
        <w:t>utilisation de différentes plates-formes pour différentes réunions a donné lieu à des problèmes d</w:t>
      </w:r>
      <w:r w:rsidR="00BB6B4C" w:rsidRPr="00AD6C8F">
        <w:t>'</w:t>
      </w:r>
      <w:r w:rsidRPr="00AD6C8F">
        <w:t>accès et d</w:t>
      </w:r>
      <w:r w:rsidR="00BB6B4C" w:rsidRPr="00AD6C8F">
        <w:t>'</w:t>
      </w:r>
      <w:r w:rsidRPr="00AD6C8F">
        <w:t xml:space="preserve">utilisation. </w:t>
      </w:r>
    </w:p>
    <w:p w14:paraId="559348B4" w14:textId="07F63B6B" w:rsidR="006E7C07" w:rsidRPr="00AD6C8F" w:rsidRDefault="006E7C07" w:rsidP="00583BE8">
      <w:pPr>
        <w:pStyle w:val="enumlev1"/>
      </w:pPr>
      <w:r w:rsidRPr="00AD6C8F">
        <w:t>•</w:t>
      </w:r>
      <w:r w:rsidRPr="00AD6C8F">
        <w:tab/>
        <w:t>Il a en outre été difficile de s</w:t>
      </w:r>
      <w:r w:rsidR="00BB6B4C" w:rsidRPr="00AD6C8F">
        <w:t>'</w:t>
      </w:r>
      <w:r w:rsidRPr="00AD6C8F">
        <w:t>adapter à la diminution du temps de réunion par jour et de gérer le manque de créneaux horaires pleinement commodes pour tous les fuseaux horaires. L</w:t>
      </w:r>
      <w:r w:rsidR="00BB6B4C" w:rsidRPr="00AD6C8F">
        <w:t>'</w:t>
      </w:r>
      <w:r w:rsidRPr="00AD6C8F">
        <w:t>UIT a utilisé les créneaux 12 h 00-15 h 00 ou 13 h 00-16 h 00 CEST et s</w:t>
      </w:r>
      <w:r w:rsidR="00BB6B4C" w:rsidRPr="00AD6C8F">
        <w:t>'</w:t>
      </w:r>
      <w:r w:rsidRPr="00AD6C8F">
        <w:t>est montrée très efficace dans sa gestion du temps de réunion (pauses peu nombreuses ou de courte durée, etc.) mais ces créneaux sont particulièrement problématiques pour certaines régions.</w:t>
      </w:r>
    </w:p>
    <w:p w14:paraId="0E58F90F" w14:textId="2FA89CAA" w:rsidR="006E7C07" w:rsidRPr="00AD6C8F" w:rsidRDefault="006E7C07" w:rsidP="00583BE8">
      <w:pPr>
        <w:pStyle w:val="enumlev1"/>
      </w:pPr>
      <w:r w:rsidRPr="00AD6C8F">
        <w:t>•</w:t>
      </w:r>
      <w:r w:rsidRPr="00AD6C8F">
        <w:tab/>
        <w:t>On a en outre essayé de réduire le nombre d</w:t>
      </w:r>
      <w:r w:rsidR="00BB6B4C" w:rsidRPr="00AD6C8F">
        <w:t>'</w:t>
      </w:r>
      <w:r w:rsidRPr="00AD6C8F">
        <w:t>heures d</w:t>
      </w:r>
      <w:r w:rsidR="00BB6B4C" w:rsidRPr="00AD6C8F">
        <w:t>'</w:t>
      </w:r>
      <w:r w:rsidRPr="00AD6C8F">
        <w:t>interprétation, sans que les coûts ne soient modifiés (lorsque c</w:t>
      </w:r>
      <w:r w:rsidR="00BB6B4C" w:rsidRPr="00AD6C8F">
        <w:t>'</w:t>
      </w:r>
      <w:r w:rsidRPr="00AD6C8F">
        <w:t>était possible). Bien qu</w:t>
      </w:r>
      <w:r w:rsidR="00BB6B4C" w:rsidRPr="00AD6C8F">
        <w:t>'</w:t>
      </w:r>
      <w:r w:rsidRPr="00AD6C8F">
        <w:t>il ne soit pas toujours possible de fournir des services d</w:t>
      </w:r>
      <w:r w:rsidR="00BB6B4C" w:rsidRPr="00AD6C8F">
        <w:t>'</w:t>
      </w:r>
      <w:r w:rsidRPr="00AD6C8F">
        <w:t>interprétation, le sous-titrage s</w:t>
      </w:r>
      <w:r w:rsidR="00BB6B4C" w:rsidRPr="00AD6C8F">
        <w:t>'</w:t>
      </w:r>
      <w:r w:rsidRPr="00AD6C8F">
        <w:t>est avéré être un outil utile et peu coûteux pour aider les participants non anglophones, ainsi que les personnes malentendantes.</w:t>
      </w:r>
    </w:p>
    <w:p w14:paraId="06577BDC" w14:textId="19C9BA8C" w:rsidR="006E7C07" w:rsidRPr="00AD6C8F" w:rsidRDefault="006E7C07" w:rsidP="00583BE8">
      <w:r w:rsidRPr="00AD6C8F">
        <w:lastRenderedPageBreak/>
        <w:t>2.7</w:t>
      </w:r>
      <w:r w:rsidRPr="00AD6C8F">
        <w:tab/>
        <w:t xml:space="preserve">Compte tenu de ce qui précède, il est proposé que le Conseil examine ce qui suit. </w:t>
      </w:r>
    </w:p>
    <w:p w14:paraId="65375E5E" w14:textId="45B7B7E1" w:rsidR="006E7C07" w:rsidRPr="00AD6C8F" w:rsidRDefault="006E7C07" w:rsidP="00583BE8">
      <w:pPr>
        <w:pStyle w:val="enumlev1"/>
        <w:rPr>
          <w:rFonts w:asciiTheme="minorHAnsi" w:hAnsiTheme="minorHAnsi" w:cstheme="minorHAnsi"/>
          <w:szCs w:val="24"/>
        </w:rPr>
      </w:pPr>
      <w:r w:rsidRPr="00AD6C8F">
        <w:t>•</w:t>
      </w:r>
      <w:r w:rsidRPr="00AD6C8F">
        <w:tab/>
      </w:r>
      <w:r w:rsidRPr="00AD6C8F">
        <w:rPr>
          <w:rFonts w:asciiTheme="minorHAnsi" w:hAnsiTheme="minorHAnsi" w:cstheme="minorHAnsi"/>
          <w:szCs w:val="24"/>
        </w:rPr>
        <w:t>Compte tenu du</w:t>
      </w:r>
      <w:r w:rsidRPr="00AD6C8F">
        <w:t xml:space="preserve"> succès des réunions virtuelles organisées en 2020-2021, les conseillers pourraient envisager d</w:t>
      </w:r>
      <w:r w:rsidR="00BB6B4C" w:rsidRPr="00AD6C8F">
        <w:t>'</w:t>
      </w:r>
      <w:r w:rsidRPr="00AD6C8F">
        <w:t>encourager l</w:t>
      </w:r>
      <w:r w:rsidR="00BB6B4C" w:rsidRPr="00AD6C8F">
        <w:t>'</w:t>
      </w:r>
      <w:r w:rsidRPr="00AD6C8F">
        <w:t>organisation de certaines manifestations et réunions sous forme virtuelle ou hybride dans l</w:t>
      </w:r>
      <w:r w:rsidR="00BB6B4C" w:rsidRPr="00AD6C8F">
        <w:t>'</w:t>
      </w:r>
      <w:r w:rsidRPr="00AD6C8F">
        <w:t>après-COVID, ce qui permettrait de réaliser des gains d</w:t>
      </w:r>
      <w:r w:rsidR="00BB6B4C" w:rsidRPr="00AD6C8F">
        <w:t>'</w:t>
      </w:r>
      <w:r w:rsidRPr="00AD6C8F">
        <w:t>efficacité et de réduire l</w:t>
      </w:r>
      <w:r w:rsidR="00BB6B4C" w:rsidRPr="00AD6C8F">
        <w:t>'</w:t>
      </w:r>
      <w:r w:rsidRPr="00AD6C8F">
        <w:t>impact que ces réunions ont sur l</w:t>
      </w:r>
      <w:r w:rsidR="00BB6B4C" w:rsidRPr="00AD6C8F">
        <w:t>'</w:t>
      </w:r>
      <w:r w:rsidRPr="00AD6C8F">
        <w:t>environnement, avant tout en raison des voyages internationaux, conformément au mandat et au rôle de l</w:t>
      </w:r>
      <w:r w:rsidR="00BB6B4C" w:rsidRPr="00AD6C8F">
        <w:t>'</w:t>
      </w:r>
      <w:r w:rsidRPr="00AD6C8F">
        <w:t>UIT, pionnière de l</w:t>
      </w:r>
      <w:r w:rsidR="00BB6B4C" w:rsidRPr="00AD6C8F">
        <w:t>'</w:t>
      </w:r>
      <w:r w:rsidRPr="00AD6C8F">
        <w:t>utilisation des TIC au service du développement durable. Parallèlement, les méthodes utilisées pour prendre des décisions en 2020 et/ou 2021 pourraient être évaluées et d</w:t>
      </w:r>
      <w:r w:rsidR="00BB6B4C" w:rsidRPr="00AD6C8F">
        <w:t>'</w:t>
      </w:r>
      <w:r w:rsidRPr="00AD6C8F">
        <w:t>autres processus décisionnels adaptés à différentes situations pourraient être envisagés, notamment pour les manifestations hybrides, où les participants physiquement présents ont actuellement davantage de droits que les participants à distance.</w:t>
      </w:r>
    </w:p>
    <w:p w14:paraId="182C25E0" w14:textId="4F76FE36" w:rsidR="006E7C07" w:rsidRPr="00AD6C8F" w:rsidRDefault="006E7C07" w:rsidP="00583BE8">
      <w:pPr>
        <w:pStyle w:val="Heading1"/>
      </w:pPr>
      <w:r w:rsidRPr="00AD6C8F">
        <w:t>3</w:t>
      </w:r>
      <w:r w:rsidRPr="00AD6C8F">
        <w:tab/>
        <w:t>Incidences du COVID-19 sur les méthodes de travail, les espaces de travail et la pérennité de l</w:t>
      </w:r>
      <w:r w:rsidR="00BB6B4C" w:rsidRPr="00AD6C8F">
        <w:t>'</w:t>
      </w:r>
      <w:r w:rsidRPr="00AD6C8F">
        <w:t>UIT</w:t>
      </w:r>
    </w:p>
    <w:p w14:paraId="70B5C12A" w14:textId="2F778A2B" w:rsidR="006E7C07" w:rsidRPr="00AD6C8F" w:rsidRDefault="006E7C07" w:rsidP="00583BE8">
      <w:r w:rsidRPr="00AD6C8F">
        <w:t>3.1</w:t>
      </w:r>
      <w:r w:rsidRPr="00AD6C8F">
        <w:tab/>
        <w:t>La pandémie de COVID-19 ayant soulevé toute une série de préoccupations liées à la distanciation sociale au bureau, de nombreuses organisations ont été contraintes de recourir, du jour au lendemain, au télétravail. Cela a pu modifier considérablement la façon dont la présence au bureau est perçue dans un contexte professionnel. Dans de nombreuses organisations, cela a en outre participé d</w:t>
      </w:r>
      <w:r w:rsidR="00BB6B4C" w:rsidRPr="00AD6C8F">
        <w:t>'</w:t>
      </w:r>
      <w:r w:rsidRPr="00AD6C8F">
        <w:t>une profonde remise en question et a ancré le travail à distance comme une forme de travail utile, voire souhaitable. La plupart des fonctionnaires de l</w:t>
      </w:r>
      <w:r w:rsidR="00BB6B4C" w:rsidRPr="00AD6C8F">
        <w:t>'</w:t>
      </w:r>
      <w:r w:rsidRPr="00AD6C8F">
        <w:t>UIT (plus de 90%) travaillent eux-mêmes à distance depuis mars 2020, ce qui a eu une forte incidence sur la manière dont ils s</w:t>
      </w:r>
      <w:r w:rsidR="00BB6B4C" w:rsidRPr="00AD6C8F">
        <w:t>'</w:t>
      </w:r>
      <w:r w:rsidRPr="00AD6C8F">
        <w:t>acquittent de leurs fonctions.</w:t>
      </w:r>
    </w:p>
    <w:p w14:paraId="07C04A58" w14:textId="5B71384D" w:rsidR="006E7C07" w:rsidRPr="00AD6C8F" w:rsidRDefault="006E7C07" w:rsidP="00583BE8">
      <w:pPr>
        <w:pStyle w:val="enumlev1"/>
      </w:pPr>
      <w:r w:rsidRPr="00AD6C8F">
        <w:t>•</w:t>
      </w:r>
      <w:r w:rsidRPr="00AD6C8F">
        <w:tab/>
        <w:t>Presque toutes les missions à l</w:t>
      </w:r>
      <w:r w:rsidR="00BB6B4C" w:rsidRPr="00AD6C8F">
        <w:t>'</w:t>
      </w:r>
      <w:r w:rsidRPr="00AD6C8F">
        <w:t>étranger ont été annulées depuis avril 2020, en conséquence de quoi des crédits ouverts pour les voyages n</w:t>
      </w:r>
      <w:r w:rsidR="00BB6B4C" w:rsidRPr="00AD6C8F">
        <w:t>'</w:t>
      </w:r>
      <w:r w:rsidRPr="00AD6C8F">
        <w:t>ont pas été utilisés, et les émissions de gaz à effet de serre ont fortement diminué. Les émissions liées aux vols effectués dans le cadre de missions de l</w:t>
      </w:r>
      <w:r w:rsidR="00BB6B4C" w:rsidRPr="00AD6C8F">
        <w:t>'</w:t>
      </w:r>
      <w:r w:rsidRPr="00AD6C8F">
        <w:t>UIT ont diminué de 85%, chutant de 1</w:t>
      </w:r>
      <w:r w:rsidR="006C0252" w:rsidRPr="00AD6C8F">
        <w:t xml:space="preserve"> </w:t>
      </w:r>
      <w:r w:rsidRPr="00AD6C8F">
        <w:t>898 tonnes de CO</w:t>
      </w:r>
      <w:r w:rsidRPr="00492096">
        <w:rPr>
          <w:vertAlign w:val="subscript"/>
        </w:rPr>
        <w:t>2</w:t>
      </w:r>
      <w:r w:rsidRPr="00AD6C8F">
        <w:t xml:space="preserve"> en 2019 à 267</w:t>
      </w:r>
      <w:r w:rsidR="00BB6B4C" w:rsidRPr="00AD6C8F">
        <w:t> </w:t>
      </w:r>
      <w:r w:rsidRPr="00AD6C8F">
        <w:t>tonnes de CO</w:t>
      </w:r>
      <w:r w:rsidRPr="00492096">
        <w:rPr>
          <w:vertAlign w:val="subscript"/>
        </w:rPr>
        <w:t>2</w:t>
      </w:r>
      <w:r w:rsidRPr="00AD6C8F">
        <w:t xml:space="preserve"> en 2020.</w:t>
      </w:r>
    </w:p>
    <w:p w14:paraId="76F0BC9A" w14:textId="49AFFC13" w:rsidR="006E7C07" w:rsidRPr="00AD6C8F" w:rsidRDefault="006E7C07" w:rsidP="00583BE8">
      <w:pPr>
        <w:pStyle w:val="enumlev1"/>
      </w:pPr>
      <w:r w:rsidRPr="00AD6C8F">
        <w:t>•</w:t>
      </w:r>
      <w:r w:rsidRPr="00AD6C8F">
        <w:tab/>
        <w:t>Le télétravail a contribué à poursuivre le passage à des flux de travail électroniques et a permis à l</w:t>
      </w:r>
      <w:r w:rsidR="00BB6B4C" w:rsidRPr="00AD6C8F">
        <w:t>'</w:t>
      </w:r>
      <w:r w:rsidRPr="00AD6C8F">
        <w:t>UIT de se rapprocher de son objectif de ne plus utiliser de papier. La mise hors service du tube pneumatique, début 2021, fait partie des mesures prises pour encourager la pérennisation de processus dématérialisés lorsqu</w:t>
      </w:r>
      <w:r w:rsidR="00BB6B4C" w:rsidRPr="00AD6C8F">
        <w:t>'</w:t>
      </w:r>
      <w:r w:rsidRPr="00AD6C8F">
        <w:t>il sera possible de retourner au bureau.</w:t>
      </w:r>
    </w:p>
    <w:p w14:paraId="0C80475A" w14:textId="518A757F" w:rsidR="006E7C07" w:rsidRPr="00AD6C8F" w:rsidRDefault="006E7C07" w:rsidP="00583BE8">
      <w:pPr>
        <w:pStyle w:val="enumlev1"/>
      </w:pPr>
      <w:bookmarkStart w:id="8" w:name="_Hlk69805312"/>
      <w:r w:rsidRPr="00AD6C8F">
        <w:t>•</w:t>
      </w:r>
      <w:r w:rsidRPr="00AD6C8F">
        <w:tab/>
        <w:t xml:space="preserve">Un plan de retour au bureau a été élaboré. </w:t>
      </w:r>
      <w:bookmarkEnd w:id="8"/>
      <w:r w:rsidRPr="00AD6C8F">
        <w:t>Parallèlement, tous les locaux de l</w:t>
      </w:r>
      <w:r w:rsidR="00BB6B4C" w:rsidRPr="00AD6C8F">
        <w:t>'</w:t>
      </w:r>
      <w:r w:rsidRPr="00AD6C8F">
        <w:t>Union ont été préparés, sur le plan des équipements et des procédures, pour respecter les règles applicables en temps de crise. On trouvera de plus amples informations à ce sujet à l</w:t>
      </w:r>
      <w:r w:rsidR="00BB6B4C" w:rsidRPr="00AD6C8F">
        <w:t>'</w:t>
      </w:r>
      <w:r w:rsidRPr="00AD6C8F">
        <w:t xml:space="preserve">adresse suivante: </w:t>
      </w:r>
      <w:hyperlink r:id="rId16" w:history="1">
        <w:r w:rsidRPr="00AD6C8F">
          <w:rPr>
            <w:rStyle w:val="Hyperlink"/>
            <w:rFonts w:asciiTheme="minorHAnsi" w:hAnsiTheme="minorHAnsi" w:cstheme="minorHAnsi"/>
            <w:szCs w:val="24"/>
          </w:rPr>
          <w:t>https://itu-office-presence-covid19.eu</w:t>
        </w:r>
      </w:hyperlink>
      <w:r w:rsidRPr="00AD6C8F">
        <w:t>.</w:t>
      </w:r>
    </w:p>
    <w:p w14:paraId="303DEE49" w14:textId="2497D811" w:rsidR="006E7C07" w:rsidRPr="00AD6C8F" w:rsidRDefault="006E7C07" w:rsidP="00583BE8">
      <w:pPr>
        <w:pStyle w:val="enumlev1"/>
      </w:pPr>
      <w:r w:rsidRPr="00AD6C8F">
        <w:t>•</w:t>
      </w:r>
      <w:r w:rsidRPr="00AD6C8F">
        <w:tab/>
        <w:t>L</w:t>
      </w:r>
      <w:r w:rsidR="00BB6B4C" w:rsidRPr="00AD6C8F">
        <w:t>'</w:t>
      </w:r>
      <w:r w:rsidRPr="00AD6C8F">
        <w:t>UIT a tâché de prendre des mesures d</w:t>
      </w:r>
      <w:r w:rsidR="00BB6B4C" w:rsidRPr="00AD6C8F">
        <w:t>'</w:t>
      </w:r>
      <w:r w:rsidRPr="00AD6C8F">
        <w:t>adaptation des espaces conformes à la recommandation de l</w:t>
      </w:r>
      <w:r w:rsidR="00BB6B4C" w:rsidRPr="00AD6C8F">
        <w:t>'</w:t>
      </w:r>
      <w:r w:rsidRPr="00AD6C8F">
        <w:t>ONU tendant à maintenir une distance sociale de 2 mètres dans les espaces de bureau. À l</w:t>
      </w:r>
      <w:r w:rsidR="00BB6B4C" w:rsidRPr="00AD6C8F">
        <w:t>'</w:t>
      </w:r>
      <w:r w:rsidRPr="00AD6C8F">
        <w:t xml:space="preserve">avenir, des espaces plus grands seront nécessaires pour les conférences, ou il faudra peut-être envisager, dans le cadre de celles-ci, de limiter le nombre de participants physiquement présents, en raison des règles de distanciation sociale. </w:t>
      </w:r>
    </w:p>
    <w:p w14:paraId="52EB2EE6" w14:textId="0EA69944" w:rsidR="006E7C07" w:rsidRPr="00AD6C8F" w:rsidRDefault="006E7C07" w:rsidP="00583BE8">
      <w:pPr>
        <w:pStyle w:val="enumlev1"/>
      </w:pPr>
      <w:r w:rsidRPr="00AD6C8F">
        <w:t>•</w:t>
      </w:r>
      <w:r w:rsidRPr="00AD6C8F">
        <w:tab/>
        <w:t>De nouveaux services d</w:t>
      </w:r>
      <w:r w:rsidR="00BB6B4C" w:rsidRPr="00AD6C8F">
        <w:t>'</w:t>
      </w:r>
      <w:r w:rsidRPr="00AD6C8F">
        <w:t>appui au personnel ont été mis en place, notamment un appui médical et psychologique, la promotion d</w:t>
      </w:r>
      <w:r w:rsidR="00BB6B4C" w:rsidRPr="00AD6C8F">
        <w:t>'</w:t>
      </w:r>
      <w:r w:rsidRPr="00AD6C8F">
        <w:t>activités virtuelles informelles permettant d</w:t>
      </w:r>
      <w:r w:rsidR="00BB6B4C" w:rsidRPr="00AD6C8F">
        <w:t>'</w:t>
      </w:r>
      <w:r w:rsidRPr="00AD6C8F">
        <w:t>échanger avec d</w:t>
      </w:r>
      <w:r w:rsidR="00BB6B4C" w:rsidRPr="00AD6C8F">
        <w:t>'</w:t>
      </w:r>
      <w:r w:rsidRPr="00AD6C8F">
        <w:t>autres collègues, des hauts fonctionnaires et des fonctionnaires élus et des fêtes virtuelles organisées en fin d</w:t>
      </w:r>
      <w:r w:rsidR="00BB6B4C" w:rsidRPr="00AD6C8F">
        <w:t>'</w:t>
      </w:r>
      <w:r w:rsidRPr="00AD6C8F">
        <w:t xml:space="preserve">année et pour des occasions particulières. </w:t>
      </w:r>
    </w:p>
    <w:p w14:paraId="2373193B" w14:textId="2BC1419C" w:rsidR="006E7C07" w:rsidRPr="00AD6C8F" w:rsidRDefault="006E7C07" w:rsidP="00583BE8">
      <w:pPr>
        <w:pStyle w:val="enumlev1"/>
      </w:pPr>
      <w:r w:rsidRPr="00AD6C8F">
        <w:lastRenderedPageBreak/>
        <w:t>•</w:t>
      </w:r>
      <w:r w:rsidRPr="00AD6C8F">
        <w:tab/>
        <w:t>Le COVID-19 a également mis en évidence la nécessité de structurer les communications internes. Pour compenser dans une certaine mesure l</w:t>
      </w:r>
      <w:r w:rsidR="00BB6B4C" w:rsidRPr="00AD6C8F">
        <w:t>'</w:t>
      </w:r>
      <w:r w:rsidRPr="00AD6C8F">
        <w:t>absence de contacts dans les locaux, l</w:t>
      </w:r>
      <w:r w:rsidR="00BB6B4C" w:rsidRPr="00AD6C8F">
        <w:t>'</w:t>
      </w:r>
      <w:r w:rsidRPr="00AD6C8F">
        <w:t>UIT a lancé "ITU Connections", un bulletin d</w:t>
      </w:r>
      <w:r w:rsidR="00BB6B4C" w:rsidRPr="00AD6C8F">
        <w:t>'</w:t>
      </w:r>
      <w:r w:rsidRPr="00AD6C8F">
        <w:t>information élaboré par les fonctionnaires pour les fonctionnaires. Ce projet a pu voir le jour car le Conseil a approuvé l</w:t>
      </w:r>
      <w:r w:rsidR="00BB6B4C" w:rsidRPr="00AD6C8F">
        <w:t>'</w:t>
      </w:r>
      <w:r w:rsidRPr="00AD6C8F">
        <w:t>affectation d</w:t>
      </w:r>
      <w:r w:rsidR="00BB6B4C" w:rsidRPr="00AD6C8F">
        <w:t>'</w:t>
      </w:r>
      <w:r w:rsidRPr="00AD6C8F">
        <w:t>un fonctionnaire à la communication interne et externe à l</w:t>
      </w:r>
      <w:r w:rsidR="00BB6B4C" w:rsidRPr="00AD6C8F">
        <w:t>'</w:t>
      </w:r>
      <w:r w:rsidRPr="00AD6C8F">
        <w:t>appui du projet de nouveau bâtiment du siège de l</w:t>
      </w:r>
      <w:r w:rsidR="00BB6B4C" w:rsidRPr="00AD6C8F">
        <w:t>'</w:t>
      </w:r>
      <w:r w:rsidRPr="00AD6C8F">
        <w:t>UIT.</w:t>
      </w:r>
    </w:p>
    <w:p w14:paraId="119BA096" w14:textId="65BA506E" w:rsidR="006E7C07" w:rsidRPr="00AD6C8F" w:rsidRDefault="006E7C07" w:rsidP="00583BE8">
      <w:pPr>
        <w:rPr>
          <w:rFonts w:asciiTheme="minorHAnsi" w:hAnsiTheme="minorHAnsi"/>
        </w:rPr>
      </w:pPr>
      <w:r w:rsidRPr="00AD6C8F">
        <w:rPr>
          <w:rFonts w:asciiTheme="minorHAnsi" w:hAnsiTheme="minorHAnsi"/>
        </w:rPr>
        <w:t>3.2</w:t>
      </w:r>
      <w:r w:rsidRPr="00AD6C8F">
        <w:rPr>
          <w:rFonts w:asciiTheme="minorHAnsi" w:hAnsiTheme="minorHAnsi"/>
        </w:rPr>
        <w:tab/>
      </w:r>
      <w:r w:rsidRPr="00AD6C8F">
        <w:t xml:space="preserve">Le recours intensif au télétravail et aux réunions virtuelles devrait se poursuivre en 2022 et après, lorsque le personnel sera relogé dans le cadre du projet de nouveau </w:t>
      </w:r>
      <w:r w:rsidR="00492096">
        <w:t>bâtiment. La crise du </w:t>
      </w:r>
      <w:r w:rsidRPr="00AD6C8F">
        <w:t>COVID-19 ayant rajouté à la complexité, l</w:t>
      </w:r>
      <w:r w:rsidR="00BB6B4C" w:rsidRPr="00AD6C8F">
        <w:t>'</w:t>
      </w:r>
      <w:r w:rsidRPr="00AD6C8F">
        <w:t>UIT a choisi le</w:t>
      </w:r>
      <w:r w:rsidRPr="00AD6C8F">
        <w:rPr>
          <w:rFonts w:asciiTheme="minorHAnsi" w:hAnsiTheme="minorHAnsi"/>
        </w:rPr>
        <w:t xml:space="preserve"> cabinet de conseil </w:t>
      </w:r>
      <w:r w:rsidRPr="00AD6C8F">
        <w:rPr>
          <w:rFonts w:asciiTheme="minorHAnsi" w:hAnsiTheme="minorHAnsi"/>
          <w:i/>
          <w:iCs/>
        </w:rPr>
        <w:t xml:space="preserve">Drees &amp; Sommer (D&amp;S) </w:t>
      </w:r>
      <w:r w:rsidRPr="00AD6C8F">
        <w:rPr>
          <w:rFonts w:asciiTheme="minorHAnsi" w:hAnsiTheme="minorHAnsi"/>
        </w:rPr>
        <w:t>pour l</w:t>
      </w:r>
      <w:r w:rsidR="00BB6B4C" w:rsidRPr="00AD6C8F">
        <w:rPr>
          <w:rFonts w:asciiTheme="minorHAnsi" w:hAnsiTheme="minorHAnsi"/>
        </w:rPr>
        <w:t>'</w:t>
      </w:r>
      <w:r w:rsidRPr="00AD6C8F">
        <w:rPr>
          <w:rFonts w:asciiTheme="minorHAnsi" w:hAnsiTheme="minorHAnsi"/>
        </w:rPr>
        <w:t xml:space="preserve">aider à élaborer et à mettre en œuvre la stratégie et le plan de mise en œuvre pour les conditions de travail du personnel dans le nouveau bâtiment (de plus amples informations sont disponibles dans le Document </w:t>
      </w:r>
      <w:hyperlink r:id="rId17" w:history="1">
        <w:r w:rsidRPr="00AD6C8F">
          <w:rPr>
            <w:rStyle w:val="Hyperlink"/>
          </w:rPr>
          <w:t>C21/29</w:t>
        </w:r>
      </w:hyperlink>
      <w:r w:rsidRPr="00AD6C8F">
        <w:t xml:space="preserve">). </w:t>
      </w:r>
      <w:r w:rsidRPr="00AD6C8F">
        <w:rPr>
          <w:rFonts w:asciiTheme="minorHAnsi" w:hAnsiTheme="minorHAnsi"/>
        </w:rPr>
        <w:t>Les incidences de la pandémie de COVID-19 et ses effets sur le futur environnement de travail de l</w:t>
      </w:r>
      <w:r w:rsidR="00BB6B4C" w:rsidRPr="00AD6C8F">
        <w:rPr>
          <w:rFonts w:asciiTheme="minorHAnsi" w:hAnsiTheme="minorHAnsi"/>
        </w:rPr>
        <w:t>'</w:t>
      </w:r>
      <w:r w:rsidRPr="00AD6C8F">
        <w:rPr>
          <w:rFonts w:asciiTheme="minorHAnsi" w:hAnsiTheme="minorHAnsi"/>
        </w:rPr>
        <w:t>UIT seront analysés dès le tout début du projet.</w:t>
      </w:r>
    </w:p>
    <w:p w14:paraId="1A6C5E28" w14:textId="643F755E" w:rsidR="006E7C07" w:rsidRPr="00AD6C8F" w:rsidRDefault="006E7C07" w:rsidP="00583BE8">
      <w:pPr>
        <w:rPr>
          <w:rFonts w:asciiTheme="minorHAnsi" w:hAnsiTheme="minorHAnsi"/>
        </w:rPr>
      </w:pPr>
      <w:r w:rsidRPr="00AD6C8F">
        <w:rPr>
          <w:rFonts w:asciiTheme="minorHAnsi" w:hAnsiTheme="minorHAnsi"/>
        </w:rPr>
        <w:t>3.3</w:t>
      </w:r>
      <w:r w:rsidRPr="00AD6C8F">
        <w:rPr>
          <w:rFonts w:asciiTheme="minorHAnsi" w:hAnsiTheme="minorHAnsi"/>
        </w:rPr>
        <w:tab/>
        <w:t>Le télétravail généralisé pourrait rester une caractéristique durable du futur environnement de travail, compte tenu de l</w:t>
      </w:r>
      <w:r w:rsidR="00BB6B4C" w:rsidRPr="00AD6C8F">
        <w:rPr>
          <w:rFonts w:asciiTheme="minorHAnsi" w:hAnsiTheme="minorHAnsi"/>
        </w:rPr>
        <w:t>'</w:t>
      </w:r>
      <w:r w:rsidRPr="00AD6C8F">
        <w:rPr>
          <w:rFonts w:asciiTheme="minorHAnsi" w:hAnsiTheme="minorHAnsi"/>
        </w:rPr>
        <w:t xml:space="preserve">expérience acquise en la matière pendant la pandémie de COVID-19. </w:t>
      </w:r>
      <w:r w:rsidRPr="00AD6C8F">
        <w:t>D</w:t>
      </w:r>
      <w:r w:rsidR="00BB6B4C" w:rsidRPr="00AD6C8F">
        <w:t>'</w:t>
      </w:r>
      <w:r w:rsidRPr="00AD6C8F">
        <w:t>une part, les fonctionnaires de l</w:t>
      </w:r>
      <w:r w:rsidR="00BB6B4C" w:rsidRPr="00AD6C8F">
        <w:t>'</w:t>
      </w:r>
      <w:r w:rsidRPr="00AD6C8F">
        <w:t>UIT pourraient accroître leur productivité et gagner du temps, car ils n</w:t>
      </w:r>
      <w:r w:rsidR="00BB6B4C" w:rsidRPr="00AD6C8F">
        <w:t>'</w:t>
      </w:r>
      <w:r w:rsidRPr="00AD6C8F">
        <w:t xml:space="preserve">auront plus à se rendre au travail et pourront mieux gérer leur temps. </w:t>
      </w:r>
      <w:r w:rsidRPr="00AD6C8F">
        <w:rPr>
          <w:rFonts w:asciiTheme="minorHAnsi" w:hAnsiTheme="minorHAnsi"/>
        </w:rPr>
        <w:t>D</w:t>
      </w:r>
      <w:r w:rsidR="00BB6B4C" w:rsidRPr="00AD6C8F">
        <w:rPr>
          <w:rFonts w:asciiTheme="minorHAnsi" w:hAnsiTheme="minorHAnsi"/>
        </w:rPr>
        <w:t>'</w:t>
      </w:r>
      <w:r w:rsidRPr="00AD6C8F">
        <w:rPr>
          <w:rFonts w:asciiTheme="minorHAnsi" w:hAnsiTheme="minorHAnsi"/>
        </w:rPr>
        <w:t>autre part, de plus en plus de fonctionnaires disent avoir le sentiment d</w:t>
      </w:r>
      <w:r w:rsidR="00BB6B4C" w:rsidRPr="00AD6C8F">
        <w:rPr>
          <w:rFonts w:asciiTheme="minorHAnsi" w:hAnsiTheme="minorHAnsi"/>
        </w:rPr>
        <w:t>'</w:t>
      </w:r>
      <w:r w:rsidRPr="00AD6C8F">
        <w:rPr>
          <w:rFonts w:asciiTheme="minorHAnsi" w:hAnsiTheme="minorHAnsi"/>
        </w:rPr>
        <w:t xml:space="preserve">être </w:t>
      </w:r>
      <w:r w:rsidR="00BB6B4C" w:rsidRPr="00AD6C8F">
        <w:rPr>
          <w:rFonts w:asciiTheme="minorHAnsi" w:hAnsiTheme="minorHAnsi"/>
        </w:rPr>
        <w:t>"</w:t>
      </w:r>
      <w:r w:rsidRPr="00AD6C8F">
        <w:rPr>
          <w:rFonts w:asciiTheme="minorHAnsi" w:hAnsiTheme="minorHAnsi"/>
        </w:rPr>
        <w:t>toujours en service</w:t>
      </w:r>
      <w:r w:rsidR="00BB6B4C" w:rsidRPr="00AD6C8F">
        <w:rPr>
          <w:rFonts w:asciiTheme="minorHAnsi" w:hAnsiTheme="minorHAnsi"/>
        </w:rPr>
        <w:t>"</w:t>
      </w:r>
      <w:r w:rsidRPr="00AD6C8F">
        <w:rPr>
          <w:rFonts w:asciiTheme="minorHAnsi" w:hAnsiTheme="minorHAnsi"/>
        </w:rPr>
        <w:t>, ce qui tend à estomper les limites entre vie professionnelle et vie privée. En outre, certains fonctionnaires n</w:t>
      </w:r>
      <w:r w:rsidR="00BB6B4C" w:rsidRPr="00AD6C8F">
        <w:rPr>
          <w:rFonts w:asciiTheme="minorHAnsi" w:hAnsiTheme="minorHAnsi"/>
        </w:rPr>
        <w:t>'</w:t>
      </w:r>
      <w:r w:rsidRPr="00AD6C8F">
        <w:rPr>
          <w:rFonts w:asciiTheme="minorHAnsi" w:hAnsiTheme="minorHAnsi"/>
        </w:rPr>
        <w:t>ont pas les équipements adaptés chez eux.</w:t>
      </w:r>
    </w:p>
    <w:p w14:paraId="4A64D8D5" w14:textId="7EB9D730" w:rsidR="006E7C07" w:rsidRPr="00AD6C8F" w:rsidRDefault="006E7C07" w:rsidP="00583BE8">
      <w:pPr>
        <w:pStyle w:val="enumlev1"/>
      </w:pPr>
      <w:r w:rsidRPr="00AD6C8F">
        <w:t>•</w:t>
      </w:r>
      <w:r w:rsidRPr="00AD6C8F">
        <w:tab/>
        <w:t xml:space="preserve">Les fonctionnaires qui travaillent à distance auront peut-être pris de nouvelles habitudes en matière de gestion du temps, et ils éprouveront peut-être des difficultés à retourner au bureau. Il en sera peut-être de même en ce qui concerne les habitudes liées au bien-être prises dans le cadre du travail à domicile et de leur éventuelle transposition au bureau. </w:t>
      </w:r>
    </w:p>
    <w:p w14:paraId="19DF34FA" w14:textId="586E068B" w:rsidR="006E7C07" w:rsidRPr="00AD6C8F" w:rsidRDefault="006E7C07" w:rsidP="00583BE8">
      <w:pPr>
        <w:pStyle w:val="enumlev1"/>
        <w:rPr>
          <w:szCs w:val="24"/>
        </w:rPr>
      </w:pPr>
      <w:r w:rsidRPr="00AD6C8F">
        <w:t>•</w:t>
      </w:r>
      <w:r w:rsidRPr="00AD6C8F">
        <w:tab/>
        <w:t>La plupart des fonctionnaires travaillant à distance, les services d</w:t>
      </w:r>
      <w:r w:rsidR="00BB6B4C" w:rsidRPr="00AD6C8F">
        <w:t>'</w:t>
      </w:r>
      <w:r w:rsidRPr="00AD6C8F">
        <w:t>appui ont dû être gérés à distance, et ces services devront être encore renforcés en 2021 et après, en particulier: service d</w:t>
      </w:r>
      <w:r w:rsidR="00BB6B4C" w:rsidRPr="00AD6C8F">
        <w:t>'</w:t>
      </w:r>
      <w:r w:rsidRPr="00AD6C8F">
        <w:t>assistance virtuel</w:t>
      </w:r>
      <w:r w:rsidR="00BB6B4C" w:rsidRPr="00AD6C8F">
        <w:t>;</w:t>
      </w:r>
      <w:r w:rsidRPr="00AD6C8F">
        <w:t xml:space="preserve"> processus numériques, outils de collaboration et mécanismes de signature/d</w:t>
      </w:r>
      <w:r w:rsidR="00BB6B4C" w:rsidRPr="00AD6C8F">
        <w:t>'</w:t>
      </w:r>
      <w:r w:rsidRPr="00AD6C8F">
        <w:t>approbation numériques</w:t>
      </w:r>
      <w:r w:rsidR="00BB6B4C" w:rsidRPr="00AD6C8F">
        <w:t>;</w:t>
      </w:r>
      <w:r w:rsidRPr="00AD6C8F">
        <w:t xml:space="preserve"> systèmes et processus facilitant la gestion des dossiers et des informations électroniques</w:t>
      </w:r>
      <w:r w:rsidR="00BB6B4C" w:rsidRPr="00AD6C8F">
        <w:t>;</w:t>
      </w:r>
      <w:r w:rsidRPr="00AD6C8F">
        <w:t xml:space="preserve"> système de réservation en ligne des espaces de travail pour faciliter l</w:t>
      </w:r>
      <w:r w:rsidR="00BB6B4C" w:rsidRPr="00AD6C8F">
        <w:t>'</w:t>
      </w:r>
      <w:r w:rsidRPr="00AD6C8F">
        <w:t>application de la politique de bureaux non nominatifs; et infrastructures propres à l</w:t>
      </w:r>
      <w:r w:rsidR="00BB6B4C" w:rsidRPr="00AD6C8F">
        <w:t>'</w:t>
      </w:r>
      <w:r w:rsidRPr="00AD6C8F">
        <w:t>UIT favorisant le télétravail, compte tenu de l</w:t>
      </w:r>
      <w:r w:rsidR="00BB6B4C" w:rsidRPr="00AD6C8F">
        <w:t>'</w:t>
      </w:r>
      <w:r w:rsidRPr="00AD6C8F">
        <w:t>augmentation importante du nombre de manifestations et réunions virtuelles, tant en interne qu</w:t>
      </w:r>
      <w:r w:rsidR="00BB6B4C" w:rsidRPr="00AD6C8F">
        <w:t>'</w:t>
      </w:r>
      <w:r w:rsidRPr="00AD6C8F">
        <w:t>en externe.</w:t>
      </w:r>
    </w:p>
    <w:p w14:paraId="23002D3E" w14:textId="71869254" w:rsidR="006E7C07" w:rsidRPr="00AD6C8F" w:rsidRDefault="006E7C07" w:rsidP="00583BE8">
      <w:pPr>
        <w:pStyle w:val="enumlev1"/>
      </w:pPr>
      <w:r w:rsidRPr="00AD6C8F">
        <w:t>•</w:t>
      </w:r>
      <w:r w:rsidRPr="00AD6C8F">
        <w:tab/>
        <w:t>D</w:t>
      </w:r>
      <w:r w:rsidR="00BB6B4C" w:rsidRPr="00AD6C8F">
        <w:t>'</w:t>
      </w:r>
      <w:r w:rsidRPr="00AD6C8F">
        <w:t>autres questions nouvelles peuvent se poser, par exemple en ce qui concerne: la fourniture d</w:t>
      </w:r>
      <w:r w:rsidR="00BB6B4C" w:rsidRPr="00AD6C8F">
        <w:t>'</w:t>
      </w:r>
      <w:r w:rsidRPr="00AD6C8F">
        <w:t>une assistance dans divers fuseaux horaires pour les manifestations virtuelles dans le cadre d</w:t>
      </w:r>
      <w:r w:rsidR="00BB6B4C" w:rsidRPr="00AD6C8F">
        <w:t>'</w:t>
      </w:r>
      <w:r w:rsidRPr="00AD6C8F">
        <w:t>heures supplémentaires; les conséquences physiques et/ou psychologiques du télétravail (stress, isolement, anxiété et santé); l</w:t>
      </w:r>
      <w:r w:rsidR="00BB6B4C" w:rsidRPr="00AD6C8F">
        <w:t>'</w:t>
      </w:r>
      <w:r w:rsidRPr="00AD6C8F">
        <w:t>équilibre entre vie professionnelle et vie privée; les inégalités hommes-femmes en matière de télétravail (les femmes en pâtissent plus que les hommes); les fonctions du personnel rendues obsolètes, qui nécessitent de nouvelles formations; les reports de congés, etc. On pourra élaborer les lignes directrices nécessaires pour avoir une plus grande latitude dans le choix des heures et des modalités de travail.</w:t>
      </w:r>
    </w:p>
    <w:p w14:paraId="5C8F1555" w14:textId="77777777" w:rsidR="00AD6C8F" w:rsidRDefault="00AD6C8F" w:rsidP="00583BE8">
      <w:r>
        <w:br w:type="page"/>
      </w:r>
    </w:p>
    <w:p w14:paraId="58D475DE" w14:textId="69E04A4B" w:rsidR="006E7C07" w:rsidRPr="00AD6C8F" w:rsidRDefault="006E7C07" w:rsidP="00583BE8">
      <w:r w:rsidRPr="00AD6C8F">
        <w:lastRenderedPageBreak/>
        <w:t>3.4</w:t>
      </w:r>
      <w:r w:rsidRPr="00AD6C8F">
        <w:tab/>
        <w:t>Compte tenu de ce qui précède, on pourra proposer au Conseil d</w:t>
      </w:r>
      <w:r w:rsidR="00BB6B4C" w:rsidRPr="00AD6C8F">
        <w:t>'</w:t>
      </w:r>
      <w:r w:rsidRPr="00AD6C8F">
        <w:t>examiner les points suivants:</w:t>
      </w:r>
    </w:p>
    <w:p w14:paraId="69BAB763" w14:textId="7C45BA80" w:rsidR="006E7C07" w:rsidRPr="00AD6C8F" w:rsidRDefault="006E7C07" w:rsidP="00583BE8">
      <w:pPr>
        <w:pStyle w:val="enumlev1"/>
      </w:pPr>
      <w:r w:rsidRPr="00AD6C8F">
        <w:t>•</w:t>
      </w:r>
      <w:r w:rsidRPr="00AD6C8F">
        <w:tab/>
        <w:t>Comment traduire les enseignements tirés de la pandémie de COVID-19 concernant les nouvelles méthodes de travail et les modalités de voyage en une stratégie de réduction des émissions sur le long terme et ne pas retrouver les niveaux d</w:t>
      </w:r>
      <w:r w:rsidR="00BB6B4C" w:rsidRPr="00AD6C8F">
        <w:t>'</w:t>
      </w:r>
      <w:r w:rsidRPr="00AD6C8F">
        <w:t>émissions de gaz à effet de serre antérieurs à la pandémie, notamment en réduisant les émissions liées aux vols.</w:t>
      </w:r>
    </w:p>
    <w:p w14:paraId="3B1A46D4" w14:textId="181396C0" w:rsidR="006E7C07" w:rsidRPr="00AD6C8F" w:rsidRDefault="006E7C07" w:rsidP="00583BE8">
      <w:pPr>
        <w:pStyle w:val="enumlev1"/>
      </w:pPr>
      <w:r w:rsidRPr="00AD6C8F">
        <w:t>•</w:t>
      </w:r>
      <w:r w:rsidRPr="00AD6C8F">
        <w:tab/>
      </w:r>
      <w:r w:rsidRPr="00AD6C8F">
        <w:rPr>
          <w:spacing w:val="-2"/>
        </w:rPr>
        <w:t>Les lignes directrices du Comité de haut niveau des Nations Unies sur la gestion sur: a) la politique type sur l</w:t>
      </w:r>
      <w:r w:rsidR="00BB6B4C" w:rsidRPr="00AD6C8F">
        <w:rPr>
          <w:spacing w:val="-2"/>
        </w:rPr>
        <w:t>'</w:t>
      </w:r>
      <w:r w:rsidRPr="00AD6C8F">
        <w:rPr>
          <w:spacing w:val="-2"/>
        </w:rPr>
        <w:t>aménagement des modalités de travail et b) la concrétisation</w:t>
      </w:r>
      <w:r w:rsidRPr="00AD6C8F">
        <w:t xml:space="preserve"> des engagements des hauts dirigeants concernant les modalités de recrutement et de travail dans le cadre de la nouvelle normalité, conformément à la S</w:t>
      </w:r>
      <w:r w:rsidR="00511E1E">
        <w:t>tratégie du système des Nations </w:t>
      </w:r>
      <w:r w:rsidRPr="00AD6C8F">
        <w:t>Unies sur l</w:t>
      </w:r>
      <w:r w:rsidR="00BB6B4C" w:rsidRPr="00AD6C8F">
        <w:t>'</w:t>
      </w:r>
      <w:r w:rsidRPr="00AD6C8F">
        <w:t>avenir du travail (</w:t>
      </w:r>
      <w:hyperlink r:id="rId18" w:history="1">
        <w:r w:rsidRPr="00AD6C8F">
          <w:t>CEB/2019/1/Add.2</w:t>
        </w:r>
      </w:hyperlink>
      <w:r w:rsidRPr="00AD6C8F">
        <w:t xml:space="preserve">). </w:t>
      </w:r>
    </w:p>
    <w:p w14:paraId="7A1C0223" w14:textId="739F60BE" w:rsidR="006E7C07" w:rsidRPr="00AD6C8F" w:rsidRDefault="006E7C07" w:rsidP="00583BE8">
      <w:pPr>
        <w:pStyle w:val="enumlev1"/>
      </w:pPr>
      <w:r w:rsidRPr="00AD6C8F">
        <w:t>•</w:t>
      </w:r>
      <w:r w:rsidRPr="00AD6C8F">
        <w:tab/>
        <w:t>L</w:t>
      </w:r>
      <w:r w:rsidR="00BB6B4C" w:rsidRPr="00AD6C8F">
        <w:t>'</w:t>
      </w:r>
      <w:r w:rsidRPr="00AD6C8F">
        <w:t>attention prioritaire accordée à l</w:t>
      </w:r>
      <w:r w:rsidR="00BB6B4C" w:rsidRPr="00AD6C8F">
        <w:t>'</w:t>
      </w:r>
      <w:r w:rsidRPr="00AD6C8F">
        <w:t>initiative de transformation numérique de l</w:t>
      </w:r>
      <w:r w:rsidR="00BB6B4C" w:rsidRPr="00AD6C8F">
        <w:t>'</w:t>
      </w:r>
      <w:r w:rsidRPr="00AD6C8F">
        <w:t>UIT et l</w:t>
      </w:r>
      <w:r w:rsidR="00BB6B4C" w:rsidRPr="00AD6C8F">
        <w:t>'</w:t>
      </w:r>
      <w:r w:rsidRPr="00AD6C8F">
        <w:t>adoption d</w:t>
      </w:r>
      <w:r w:rsidR="00BB6B4C" w:rsidRPr="00AD6C8F">
        <w:t>'</w:t>
      </w:r>
      <w:r w:rsidRPr="00AD6C8F">
        <w:t>une stratégie de transformation numérique à inclure dans le Plan stratégique de l</w:t>
      </w:r>
      <w:r w:rsidR="00BB6B4C" w:rsidRPr="00AD6C8F">
        <w:t>'</w:t>
      </w:r>
      <w:r w:rsidRPr="00AD6C8F">
        <w:t>UIT et qui y soit conforme.</w:t>
      </w:r>
    </w:p>
    <w:p w14:paraId="1F8AF1BA" w14:textId="245307E7" w:rsidR="006E7C07" w:rsidRPr="00AD6C8F" w:rsidRDefault="006E7C07" w:rsidP="00583BE8">
      <w:pPr>
        <w:pStyle w:val="enumlev1"/>
      </w:pPr>
      <w:r w:rsidRPr="00AD6C8F">
        <w:t>•</w:t>
      </w:r>
      <w:r w:rsidRPr="00AD6C8F">
        <w:tab/>
        <w:t>La prise en compte, dans les conditions de travail, des questions d</w:t>
      </w:r>
      <w:r w:rsidR="00BB6B4C" w:rsidRPr="00AD6C8F">
        <w:t>'</w:t>
      </w:r>
      <w:r w:rsidRPr="00AD6C8F">
        <w:t xml:space="preserve">égalité hommes-femmes </w:t>
      </w:r>
      <w:r w:rsidRPr="00AD6C8F">
        <w:rPr>
          <w:bCs/>
        </w:rPr>
        <w:t>et d</w:t>
      </w:r>
      <w:r w:rsidR="00BB6B4C" w:rsidRPr="00AD6C8F">
        <w:rPr>
          <w:bCs/>
        </w:rPr>
        <w:t>'</w:t>
      </w:r>
      <w:r w:rsidRPr="00AD6C8F">
        <w:rPr>
          <w:bCs/>
        </w:rPr>
        <w:t xml:space="preserve">accessibilité. </w:t>
      </w:r>
    </w:p>
    <w:p w14:paraId="30682D89" w14:textId="0E5721B7" w:rsidR="006E7C07" w:rsidRPr="00AD6C8F" w:rsidRDefault="006E7C07" w:rsidP="00583BE8">
      <w:pPr>
        <w:pStyle w:val="Heading1"/>
      </w:pPr>
      <w:r w:rsidRPr="00AD6C8F">
        <w:t>4</w:t>
      </w:r>
      <w:r w:rsidRPr="00AD6C8F">
        <w:tab/>
        <w:t>Incidences du COVID-19 sur la situation financière et les Membres de l</w:t>
      </w:r>
      <w:r w:rsidR="00BB6B4C" w:rsidRPr="00AD6C8F">
        <w:t>'</w:t>
      </w:r>
      <w:r w:rsidRPr="00AD6C8F">
        <w:t>UIT</w:t>
      </w:r>
    </w:p>
    <w:p w14:paraId="27A7A6C1" w14:textId="6112839D" w:rsidR="006E7C07" w:rsidRPr="00AD6C8F" w:rsidRDefault="006E7C07" w:rsidP="00583BE8">
      <w:r w:rsidRPr="00AD6C8F">
        <w:t>4.1</w:t>
      </w:r>
      <w:r w:rsidRPr="00AD6C8F">
        <w:tab/>
        <w:t>En 2020, malgré la situation liée au COVID-19, l</w:t>
      </w:r>
      <w:r w:rsidR="00BB6B4C" w:rsidRPr="00AD6C8F">
        <w:t>'</w:t>
      </w:r>
      <w:r w:rsidRPr="00AD6C8F">
        <w:t>UIT n</w:t>
      </w:r>
      <w:r w:rsidR="00BB6B4C" w:rsidRPr="00AD6C8F">
        <w:t>'</w:t>
      </w:r>
      <w:r w:rsidRPr="00AD6C8F">
        <w:t>a pas connu de baisse significative des contributions mises en recouvrement auprès des États Membres, des Membres de Secteur, des Associés et des établissements universitaires. Au 31 décembre 2020, le taux de recouvrement des contributions restait élevé: il s</w:t>
      </w:r>
      <w:r w:rsidR="00BB6B4C" w:rsidRPr="00AD6C8F">
        <w:t>'</w:t>
      </w:r>
      <w:r w:rsidRPr="00AD6C8F">
        <w:t>établissait à 95%, comme les années précédentes.</w:t>
      </w:r>
    </w:p>
    <w:p w14:paraId="65B5069D" w14:textId="7ED2D1C9" w:rsidR="006E7C07" w:rsidRPr="00AD6C8F" w:rsidRDefault="006E7C07" w:rsidP="00583BE8">
      <w:r w:rsidRPr="00AD6C8F">
        <w:rPr>
          <w:color w:val="000000" w:themeColor="text1"/>
        </w:rPr>
        <w:t>4.2</w:t>
      </w:r>
      <w:r w:rsidRPr="00AD6C8F">
        <w:rPr>
          <w:color w:val="000000" w:themeColor="text1"/>
        </w:rPr>
        <w:tab/>
        <w:t>Le COVID-19 a permis de faire des économies dans le cadre de l</w:t>
      </w:r>
      <w:r w:rsidR="00BB6B4C" w:rsidRPr="00AD6C8F">
        <w:rPr>
          <w:color w:val="000000" w:themeColor="text1"/>
        </w:rPr>
        <w:t>'</w:t>
      </w:r>
      <w:r w:rsidR="00511E1E">
        <w:rPr>
          <w:color w:val="000000" w:themeColor="text1"/>
        </w:rPr>
        <w:t>exécution du budget de </w:t>
      </w:r>
      <w:r w:rsidRPr="00AD6C8F">
        <w:rPr>
          <w:color w:val="000000" w:themeColor="text1"/>
        </w:rPr>
        <w:t>2020. Comme toutes les missions officielles et les conférences physiques ont été annulées, ces économies concernaient principalement les frais de voyage, les bourses, l</w:t>
      </w:r>
      <w:r w:rsidR="00BB6B4C" w:rsidRPr="00AD6C8F">
        <w:rPr>
          <w:color w:val="000000" w:themeColor="text1"/>
        </w:rPr>
        <w:t>'</w:t>
      </w:r>
      <w:r w:rsidRPr="00AD6C8F">
        <w:rPr>
          <w:color w:val="000000" w:themeColor="text1"/>
        </w:rPr>
        <w:t>achat d</w:t>
      </w:r>
      <w:r w:rsidR="00BB6B4C" w:rsidRPr="00AD6C8F">
        <w:rPr>
          <w:color w:val="000000" w:themeColor="text1"/>
        </w:rPr>
        <w:t>'</w:t>
      </w:r>
      <w:r w:rsidRPr="00AD6C8F">
        <w:rPr>
          <w:color w:val="000000" w:themeColor="text1"/>
        </w:rPr>
        <w:t>équipements, le nettoyage, l</w:t>
      </w:r>
      <w:r w:rsidR="00BB6B4C" w:rsidRPr="00AD6C8F">
        <w:rPr>
          <w:color w:val="000000" w:themeColor="text1"/>
        </w:rPr>
        <w:t>'</w:t>
      </w:r>
      <w:r w:rsidRPr="00AD6C8F">
        <w:rPr>
          <w:color w:val="000000" w:themeColor="text1"/>
        </w:rPr>
        <w:t>électricité et les réunions. On notera que les économies réalisées ont compensé la diminution des recettes, principalement celles tirées de la vente de publications. Le report de la manifestation ITU Telecom World 2020, prévue au Viet Nam, a également eu une incidence sur les recettes perçues au titre du recouvrement des coûts. Il convient en outre de noter que certaines dépenses n</w:t>
      </w:r>
      <w:r w:rsidR="00BB6B4C" w:rsidRPr="00AD6C8F">
        <w:rPr>
          <w:color w:val="000000" w:themeColor="text1"/>
        </w:rPr>
        <w:t>'</w:t>
      </w:r>
      <w:r w:rsidRPr="00AD6C8F">
        <w:rPr>
          <w:color w:val="000000" w:themeColor="text1"/>
        </w:rPr>
        <w:t>étaient pas prévues dans le budget de 2020. Ces dépenses imprévues se rapportent notamment aux coûts liés au COVID-19, aux décisions et résolutions ayant des incidences financières adoptées après la Conférence mondiale des radiocommunications de 2019, aux montants versés au titre du régime de l</w:t>
      </w:r>
      <w:r w:rsidR="00BB6B4C" w:rsidRPr="00AD6C8F">
        <w:rPr>
          <w:color w:val="000000" w:themeColor="text1"/>
        </w:rPr>
        <w:t>'</w:t>
      </w:r>
      <w:r w:rsidRPr="00AD6C8F">
        <w:rPr>
          <w:color w:val="000000" w:themeColor="text1"/>
        </w:rPr>
        <w:t xml:space="preserve">Assurance mutuelle du personnel des Nations Unies, etc. </w:t>
      </w:r>
      <w:r w:rsidRPr="00AD6C8F">
        <w:rPr>
          <w:rFonts w:asciiTheme="minorHAnsi" w:hAnsiTheme="minorHAnsi" w:cstheme="minorHAnsi"/>
          <w:color w:val="000000" w:themeColor="text1"/>
          <w:szCs w:val="24"/>
        </w:rPr>
        <w:t>Au 31 décembre 2020, les dépenses liées au COVID-19 s</w:t>
      </w:r>
      <w:r w:rsidR="00BB6B4C" w:rsidRPr="00AD6C8F">
        <w:rPr>
          <w:rFonts w:asciiTheme="minorHAnsi" w:hAnsiTheme="minorHAnsi" w:cstheme="minorHAnsi"/>
          <w:color w:val="000000" w:themeColor="text1"/>
          <w:szCs w:val="24"/>
        </w:rPr>
        <w:t>'</w:t>
      </w:r>
      <w:r w:rsidRPr="00AD6C8F">
        <w:rPr>
          <w:rFonts w:asciiTheme="minorHAnsi" w:hAnsiTheme="minorHAnsi" w:cstheme="minorHAnsi"/>
          <w:color w:val="000000" w:themeColor="text1"/>
          <w:szCs w:val="24"/>
        </w:rPr>
        <w:t>élevaient à 1 532 000 CHF (plus de détails dans l</w:t>
      </w:r>
      <w:r w:rsidR="00BB6B4C" w:rsidRPr="00AD6C8F">
        <w:rPr>
          <w:rFonts w:asciiTheme="minorHAnsi" w:hAnsiTheme="minorHAnsi" w:cstheme="minorHAnsi"/>
          <w:color w:val="000000" w:themeColor="text1"/>
          <w:szCs w:val="24"/>
        </w:rPr>
        <w:t>'</w:t>
      </w:r>
      <w:r w:rsidRPr="00AD6C8F">
        <w:rPr>
          <w:rFonts w:asciiTheme="minorHAnsi" w:hAnsiTheme="minorHAnsi" w:cstheme="minorHAnsi"/>
          <w:color w:val="000000" w:themeColor="text1"/>
          <w:szCs w:val="24"/>
        </w:rPr>
        <w:t>Annexe 1).</w:t>
      </w:r>
    </w:p>
    <w:p w14:paraId="6CCBA054" w14:textId="53B42499" w:rsidR="006E7C07" w:rsidRPr="00AD6C8F" w:rsidRDefault="006E7C07" w:rsidP="00583BE8">
      <w:pPr>
        <w:rPr>
          <w:color w:val="000000"/>
          <w:szCs w:val="24"/>
          <w:lang w:eastAsia="zh-CN"/>
        </w:rPr>
      </w:pPr>
      <w:r w:rsidRPr="00AD6C8F">
        <w:t>4.3</w:t>
      </w:r>
      <w:r w:rsidRPr="00AD6C8F">
        <w:tab/>
        <w:t>Malgré</w:t>
      </w:r>
      <w:r w:rsidRPr="00AD6C8F">
        <w:rPr>
          <w:color w:val="000000"/>
          <w:szCs w:val="24"/>
          <w:shd w:val="clear" w:color="auto" w:fill="FFFFFF"/>
        </w:rPr>
        <w:t xml:space="preserve"> les problèmes posés par le COVID, le ralentissement économique mondial et la fusion de certaines entreprises induite par cette situation, le nombre des membres de l</w:t>
      </w:r>
      <w:r w:rsidR="00BB6B4C" w:rsidRPr="00AD6C8F">
        <w:rPr>
          <w:color w:val="000000"/>
          <w:szCs w:val="24"/>
          <w:shd w:val="clear" w:color="auto" w:fill="FFFFFF"/>
        </w:rPr>
        <w:t>'</w:t>
      </w:r>
      <w:r w:rsidRPr="00AD6C8F">
        <w:rPr>
          <w:color w:val="000000"/>
          <w:szCs w:val="24"/>
          <w:shd w:val="clear" w:color="auto" w:fill="FFFFFF"/>
        </w:rPr>
        <w:t>UIT est resté stable en 2020, et a même légèrement augmenté. L</w:t>
      </w:r>
      <w:r w:rsidR="00BB6B4C" w:rsidRPr="00AD6C8F">
        <w:rPr>
          <w:color w:val="000000"/>
          <w:szCs w:val="24"/>
          <w:shd w:val="clear" w:color="auto" w:fill="FFFFFF"/>
        </w:rPr>
        <w:t>'</w:t>
      </w:r>
      <w:r w:rsidRPr="00AD6C8F">
        <w:rPr>
          <w:color w:val="000000"/>
          <w:szCs w:val="24"/>
          <w:shd w:val="clear" w:color="auto" w:fill="FFFFFF"/>
        </w:rPr>
        <w:t>Union comptait 925 entités parmi ses membres, dont près de 100 nouvelles adhésions. C</w:t>
      </w:r>
      <w:r w:rsidR="00BB6B4C" w:rsidRPr="00AD6C8F">
        <w:rPr>
          <w:color w:val="000000"/>
          <w:szCs w:val="24"/>
          <w:shd w:val="clear" w:color="auto" w:fill="FFFFFF"/>
        </w:rPr>
        <w:t>'</w:t>
      </w:r>
      <w:r w:rsidRPr="00AD6C8F">
        <w:rPr>
          <w:color w:val="000000"/>
          <w:szCs w:val="24"/>
          <w:shd w:val="clear" w:color="auto" w:fill="FFFFFF"/>
        </w:rPr>
        <w:t>est dans le Secteur de la normalisation des télécommunications (UIT-T) que l</w:t>
      </w:r>
      <w:r w:rsidR="00BB6B4C" w:rsidRPr="00AD6C8F">
        <w:rPr>
          <w:color w:val="000000"/>
          <w:szCs w:val="24"/>
          <w:shd w:val="clear" w:color="auto" w:fill="FFFFFF"/>
        </w:rPr>
        <w:t>'</w:t>
      </w:r>
      <w:r w:rsidRPr="00AD6C8F">
        <w:rPr>
          <w:color w:val="000000"/>
          <w:szCs w:val="24"/>
          <w:shd w:val="clear" w:color="auto" w:fill="FFFFFF"/>
        </w:rPr>
        <w:t xml:space="preserve">augmentation du nombre de membres issus du secteur privé a été la plus forte. </w:t>
      </w:r>
      <w:r w:rsidRPr="00AD6C8F">
        <w:rPr>
          <w:color w:val="000000"/>
        </w:rPr>
        <w:t>Des établissements universitaires de renom spécialisés dans des domaines d</w:t>
      </w:r>
      <w:r w:rsidR="00BB6B4C" w:rsidRPr="00AD6C8F">
        <w:rPr>
          <w:color w:val="000000"/>
        </w:rPr>
        <w:t>'</w:t>
      </w:r>
      <w:r w:rsidRPr="00AD6C8F">
        <w:rPr>
          <w:color w:val="000000"/>
        </w:rPr>
        <w:t>avant-garde sont devenus membres de l</w:t>
      </w:r>
      <w:r w:rsidR="00BB6B4C" w:rsidRPr="00AD6C8F">
        <w:rPr>
          <w:color w:val="000000"/>
        </w:rPr>
        <w:t>'</w:t>
      </w:r>
      <w:r w:rsidRPr="00AD6C8F">
        <w:rPr>
          <w:color w:val="000000"/>
        </w:rPr>
        <w:t>UIT, attirés par les nouvelles activités</w:t>
      </w:r>
      <w:r w:rsidRPr="00AD6C8F">
        <w:rPr>
          <w:color w:val="000000"/>
          <w:szCs w:val="24"/>
          <w:shd w:val="clear" w:color="auto" w:fill="FFFFFF"/>
        </w:rPr>
        <w:t xml:space="preserve">. En outre, de nouvelles contributions financières réduites pour les petites et moyennes entreprises ont été mises en place en 2020, conformément à la Résolution 209 (Dubaï, 2018) de la Conférence de </w:t>
      </w:r>
      <w:r w:rsidRPr="00AD6C8F">
        <w:rPr>
          <w:color w:val="000000"/>
          <w:szCs w:val="24"/>
          <w:shd w:val="clear" w:color="auto" w:fill="FFFFFF"/>
        </w:rPr>
        <w:lastRenderedPageBreak/>
        <w:t xml:space="preserve">plénipotentiaires, ce qui a incité plus de 20 entreprises à devenir membres la première année. Cela étant dit, un nombre important de membres étaient dans une </w:t>
      </w:r>
      <w:r w:rsidR="00511E1E">
        <w:rPr>
          <w:color w:val="000000"/>
          <w:szCs w:val="24"/>
          <w:shd w:val="clear" w:color="auto" w:fill="FFFFFF"/>
        </w:rPr>
        <w:t>situation difficile à la fin de </w:t>
      </w:r>
      <w:r w:rsidRPr="00AD6C8F">
        <w:rPr>
          <w:color w:val="000000"/>
          <w:szCs w:val="24"/>
          <w:shd w:val="clear" w:color="auto" w:fill="FFFFFF"/>
        </w:rPr>
        <w:t>2020: près de 100 avaient vu leur adhésion suspendue ou gelée pour cause de non-paiement des droits, et 16 autres avaient dénoncé leur participation en 2020, avec prise d</w:t>
      </w:r>
      <w:r w:rsidR="00BB6B4C" w:rsidRPr="00AD6C8F">
        <w:rPr>
          <w:color w:val="000000"/>
          <w:szCs w:val="24"/>
          <w:shd w:val="clear" w:color="auto" w:fill="FFFFFF"/>
        </w:rPr>
        <w:t>'</w:t>
      </w:r>
      <w:r w:rsidRPr="00AD6C8F">
        <w:rPr>
          <w:color w:val="000000"/>
          <w:szCs w:val="24"/>
          <w:shd w:val="clear" w:color="auto" w:fill="FFFFFF"/>
        </w:rPr>
        <w:t>effet en 2021. Tout est mis en œuvre pour garder les membres actuels, y compris ceux qui sont dans une situation difficile, et en attirer de nouveaux en 2021.</w:t>
      </w:r>
    </w:p>
    <w:p w14:paraId="5AD2BAEA" w14:textId="518D1B91" w:rsidR="006E7C07" w:rsidRPr="00AD6C8F" w:rsidRDefault="006E7C07" w:rsidP="00583BE8">
      <w:pPr>
        <w:rPr>
          <w:rFonts w:asciiTheme="minorHAnsi" w:hAnsiTheme="minorHAnsi" w:cstheme="minorHAnsi"/>
          <w:szCs w:val="24"/>
        </w:rPr>
      </w:pPr>
      <w:r w:rsidRPr="00AD6C8F">
        <w:rPr>
          <w:rFonts w:asciiTheme="minorHAnsi" w:hAnsiTheme="minorHAnsi" w:cstheme="minorHAnsi"/>
          <w:szCs w:val="24"/>
        </w:rPr>
        <w:t>4.4</w:t>
      </w:r>
      <w:r w:rsidRPr="00AD6C8F">
        <w:rPr>
          <w:rFonts w:asciiTheme="minorHAnsi" w:hAnsiTheme="minorHAnsi" w:cstheme="minorHAnsi"/>
          <w:szCs w:val="24"/>
        </w:rPr>
        <w:tab/>
        <w:t>La qualité et le caractère onéreux des services d</w:t>
      </w:r>
      <w:r w:rsidR="00BB6B4C" w:rsidRPr="00AD6C8F">
        <w:rPr>
          <w:rFonts w:asciiTheme="minorHAnsi" w:hAnsiTheme="minorHAnsi" w:cstheme="minorHAnsi"/>
          <w:szCs w:val="24"/>
        </w:rPr>
        <w:t>'</w:t>
      </w:r>
      <w:r w:rsidRPr="00AD6C8F">
        <w:rPr>
          <w:rFonts w:asciiTheme="minorHAnsi" w:hAnsiTheme="minorHAnsi" w:cstheme="minorHAnsi"/>
          <w:szCs w:val="24"/>
        </w:rPr>
        <w:t>appui fournis aux membres ont garanti des recettes à l</w:t>
      </w:r>
      <w:r w:rsidR="00BB6B4C" w:rsidRPr="00AD6C8F">
        <w:rPr>
          <w:rFonts w:asciiTheme="minorHAnsi" w:hAnsiTheme="minorHAnsi" w:cstheme="minorHAnsi"/>
          <w:szCs w:val="24"/>
        </w:rPr>
        <w:t>'</w:t>
      </w:r>
      <w:r w:rsidRPr="00AD6C8F">
        <w:rPr>
          <w:rFonts w:asciiTheme="minorHAnsi" w:hAnsiTheme="minorHAnsi" w:cstheme="minorHAnsi"/>
          <w:szCs w:val="24"/>
        </w:rPr>
        <w:t xml:space="preserve">Union. </w:t>
      </w:r>
      <w:r w:rsidRPr="00AD6C8F">
        <w:rPr>
          <w:rFonts w:asciiTheme="minorHAnsi" w:hAnsiTheme="minorHAnsi" w:cstheme="minorHAnsi"/>
          <w:b/>
          <w:bCs/>
          <w:szCs w:val="24"/>
        </w:rPr>
        <w:t>Les enseignements tirés</w:t>
      </w:r>
      <w:r w:rsidRPr="00AD6C8F">
        <w:rPr>
          <w:rFonts w:asciiTheme="minorHAnsi" w:hAnsiTheme="minorHAnsi" w:cstheme="minorHAnsi"/>
          <w:szCs w:val="24"/>
        </w:rPr>
        <w:t xml:space="preserve"> portent notamment sur la diversification des outils permettant de communiquer sur les activités de l</w:t>
      </w:r>
      <w:r w:rsidR="00BB6B4C" w:rsidRPr="00AD6C8F">
        <w:rPr>
          <w:rFonts w:asciiTheme="minorHAnsi" w:hAnsiTheme="minorHAnsi" w:cstheme="minorHAnsi"/>
          <w:szCs w:val="24"/>
        </w:rPr>
        <w:t>'</w:t>
      </w:r>
      <w:r w:rsidRPr="00AD6C8F">
        <w:rPr>
          <w:rFonts w:asciiTheme="minorHAnsi" w:hAnsiTheme="minorHAnsi" w:cstheme="minorHAnsi"/>
          <w:szCs w:val="24"/>
        </w:rPr>
        <w:t>UIT auprès de tiers et de contacter d</w:t>
      </w:r>
      <w:r w:rsidR="00BB6B4C" w:rsidRPr="00AD6C8F">
        <w:rPr>
          <w:rFonts w:asciiTheme="minorHAnsi" w:hAnsiTheme="minorHAnsi" w:cstheme="minorHAnsi"/>
          <w:szCs w:val="24"/>
        </w:rPr>
        <w:t>'</w:t>
      </w:r>
      <w:r w:rsidRPr="00AD6C8F">
        <w:rPr>
          <w:rFonts w:asciiTheme="minorHAnsi" w:hAnsiTheme="minorHAnsi" w:cstheme="minorHAnsi"/>
          <w:szCs w:val="24"/>
        </w:rPr>
        <w:t>éventuels nouveaux membres. Par exemple, si les parrainages des manifestations ont connu une baisse pendant la première période, les avantages proposés et l</w:t>
      </w:r>
      <w:r w:rsidR="00BB6B4C" w:rsidRPr="00AD6C8F">
        <w:rPr>
          <w:rFonts w:asciiTheme="minorHAnsi" w:hAnsiTheme="minorHAnsi" w:cstheme="minorHAnsi"/>
          <w:szCs w:val="24"/>
        </w:rPr>
        <w:t>'</w:t>
      </w:r>
      <w:r w:rsidRPr="00AD6C8F">
        <w:rPr>
          <w:rFonts w:asciiTheme="minorHAnsi" w:hAnsiTheme="minorHAnsi" w:cstheme="minorHAnsi"/>
          <w:szCs w:val="24"/>
        </w:rPr>
        <w:t xml:space="preserve">accroissement du public ont incité les parrains à revenir. </w:t>
      </w:r>
    </w:p>
    <w:p w14:paraId="61597B59" w14:textId="74C5D513" w:rsidR="006E7C07" w:rsidRPr="00AD6C8F" w:rsidRDefault="006E7C07" w:rsidP="00583BE8">
      <w:pPr>
        <w:rPr>
          <w:rFonts w:asciiTheme="minorHAnsi" w:hAnsiTheme="minorHAnsi" w:cstheme="minorHAnsi"/>
          <w:szCs w:val="24"/>
        </w:rPr>
      </w:pPr>
      <w:r w:rsidRPr="00AD6C8F">
        <w:rPr>
          <w:rFonts w:asciiTheme="minorHAnsi" w:hAnsiTheme="minorHAnsi" w:cstheme="minorHAnsi"/>
          <w:szCs w:val="24"/>
        </w:rPr>
        <w:t>4.5</w:t>
      </w:r>
      <w:r w:rsidRPr="00AD6C8F">
        <w:rPr>
          <w:rFonts w:asciiTheme="minorHAnsi" w:hAnsiTheme="minorHAnsi" w:cstheme="minorHAnsi"/>
          <w:szCs w:val="24"/>
        </w:rPr>
        <w:tab/>
        <w:t>Compte tenu de ce qui précède, on pourra proposer au Conseil d</w:t>
      </w:r>
      <w:r w:rsidR="00BB6B4C" w:rsidRPr="00AD6C8F">
        <w:rPr>
          <w:rFonts w:asciiTheme="minorHAnsi" w:hAnsiTheme="minorHAnsi" w:cstheme="minorHAnsi"/>
          <w:szCs w:val="24"/>
        </w:rPr>
        <w:t>'</w:t>
      </w:r>
      <w:r w:rsidRPr="00AD6C8F">
        <w:rPr>
          <w:rFonts w:asciiTheme="minorHAnsi" w:hAnsiTheme="minorHAnsi" w:cstheme="minorHAnsi"/>
          <w:szCs w:val="24"/>
        </w:rPr>
        <w:t>examiner les points suivants:</w:t>
      </w:r>
    </w:p>
    <w:p w14:paraId="40DDE517" w14:textId="2585E0EB" w:rsidR="006E7C07" w:rsidRPr="00AD6C8F" w:rsidRDefault="006E7C07" w:rsidP="00583BE8">
      <w:pPr>
        <w:pStyle w:val="enumlev1"/>
        <w:rPr>
          <w:rFonts w:asciiTheme="minorHAnsi" w:hAnsiTheme="minorHAnsi" w:cstheme="minorHAnsi"/>
        </w:rPr>
      </w:pPr>
      <w:r w:rsidRPr="00AD6C8F">
        <w:t>•</w:t>
      </w:r>
      <w:r w:rsidRPr="00AD6C8F">
        <w:tab/>
      </w:r>
      <w:r w:rsidRPr="00AD6C8F">
        <w:rPr>
          <w:lang w:eastAsia="zh-CN"/>
        </w:rPr>
        <w:t>Les mesures d</w:t>
      </w:r>
      <w:r w:rsidR="00BB6B4C" w:rsidRPr="00AD6C8F">
        <w:rPr>
          <w:lang w:eastAsia="zh-CN"/>
        </w:rPr>
        <w:t>'</w:t>
      </w:r>
      <w:r w:rsidRPr="00AD6C8F">
        <w:rPr>
          <w:lang w:eastAsia="zh-CN"/>
        </w:rPr>
        <w:t>aide financière pour les projets ou programmes qui facilitent la communication avec les membres actuels et potentiels de l</w:t>
      </w:r>
      <w:r w:rsidR="00BB6B4C" w:rsidRPr="00AD6C8F">
        <w:rPr>
          <w:lang w:eastAsia="zh-CN"/>
        </w:rPr>
        <w:t>'</w:t>
      </w:r>
      <w:r w:rsidRPr="00AD6C8F">
        <w:rPr>
          <w:lang w:eastAsia="zh-CN"/>
        </w:rPr>
        <w:t>Union, tels que MyITU, le site web de l</w:t>
      </w:r>
      <w:r w:rsidR="00BB6B4C" w:rsidRPr="00AD6C8F">
        <w:rPr>
          <w:lang w:eastAsia="zh-CN"/>
        </w:rPr>
        <w:t>'</w:t>
      </w:r>
      <w:r w:rsidRPr="00AD6C8F">
        <w:rPr>
          <w:lang w:eastAsia="zh-CN"/>
        </w:rPr>
        <w:t>UIT, la plate-forme unifiée pour les réunions et la plate-forme dédiée à l</w:t>
      </w:r>
      <w:r w:rsidR="00BB6B4C" w:rsidRPr="00AD6C8F">
        <w:rPr>
          <w:lang w:eastAsia="zh-CN"/>
        </w:rPr>
        <w:t>'</w:t>
      </w:r>
      <w:r w:rsidRPr="00AD6C8F">
        <w:rPr>
          <w:lang w:eastAsia="zh-CN"/>
        </w:rPr>
        <w:t>approbation des décisions par correspondance.</w:t>
      </w:r>
    </w:p>
    <w:p w14:paraId="1BAA8271" w14:textId="793CCADC" w:rsidR="006E7C07" w:rsidRPr="00AD6C8F" w:rsidRDefault="006E7C07" w:rsidP="00583BE8">
      <w:pPr>
        <w:pStyle w:val="enumlev1"/>
        <w:rPr>
          <w:rFonts w:asciiTheme="minorHAnsi" w:hAnsiTheme="minorHAnsi" w:cstheme="minorHAnsi"/>
        </w:rPr>
      </w:pPr>
      <w:r w:rsidRPr="00AD6C8F">
        <w:t>•</w:t>
      </w:r>
      <w:r w:rsidRPr="00AD6C8F">
        <w:tab/>
      </w:r>
      <w:r w:rsidRPr="00AD6C8F">
        <w:rPr>
          <w:rFonts w:asciiTheme="minorHAnsi" w:hAnsiTheme="minorHAnsi" w:cstheme="minorHAnsi"/>
        </w:rPr>
        <w:t xml:space="preserve">Les mesures </w:t>
      </w:r>
      <w:r w:rsidRPr="00AD6C8F">
        <w:rPr>
          <w:lang w:eastAsia="zh-CN"/>
        </w:rPr>
        <w:t>d</w:t>
      </w:r>
      <w:r w:rsidR="00BB6B4C" w:rsidRPr="00AD6C8F">
        <w:rPr>
          <w:lang w:eastAsia="zh-CN"/>
        </w:rPr>
        <w:t>'</w:t>
      </w:r>
      <w:r w:rsidRPr="00AD6C8F">
        <w:rPr>
          <w:lang w:eastAsia="zh-CN"/>
        </w:rPr>
        <w:t xml:space="preserve">aide financière </w:t>
      </w:r>
      <w:r w:rsidRPr="00AD6C8F">
        <w:rPr>
          <w:rFonts w:asciiTheme="minorHAnsi" w:hAnsiTheme="minorHAnsi" w:cstheme="minorHAnsi"/>
        </w:rPr>
        <w:t>visant à rendre les réunions et les manifestations de l</w:t>
      </w:r>
      <w:r w:rsidR="00BB6B4C" w:rsidRPr="00AD6C8F">
        <w:rPr>
          <w:rFonts w:asciiTheme="minorHAnsi" w:hAnsiTheme="minorHAnsi" w:cstheme="minorHAnsi"/>
        </w:rPr>
        <w:t>'</w:t>
      </w:r>
      <w:r w:rsidRPr="00AD6C8F">
        <w:rPr>
          <w:rFonts w:asciiTheme="minorHAnsi" w:hAnsiTheme="minorHAnsi" w:cstheme="minorHAnsi"/>
        </w:rPr>
        <w:t>UIT plus accessibles et à faire de l</w:t>
      </w:r>
      <w:r w:rsidR="00BB6B4C" w:rsidRPr="00AD6C8F">
        <w:rPr>
          <w:rFonts w:asciiTheme="minorHAnsi" w:hAnsiTheme="minorHAnsi" w:cstheme="minorHAnsi"/>
        </w:rPr>
        <w:t>'</w:t>
      </w:r>
      <w:r w:rsidRPr="00AD6C8F">
        <w:rPr>
          <w:rFonts w:asciiTheme="minorHAnsi" w:hAnsiTheme="minorHAnsi" w:cstheme="minorHAnsi"/>
        </w:rPr>
        <w:t>UIT un ambassadeur de l</w:t>
      </w:r>
      <w:r w:rsidR="00BB6B4C" w:rsidRPr="00AD6C8F">
        <w:rPr>
          <w:rFonts w:asciiTheme="minorHAnsi" w:hAnsiTheme="minorHAnsi" w:cstheme="minorHAnsi"/>
        </w:rPr>
        <w:t>'</w:t>
      </w:r>
      <w:r w:rsidRPr="00AD6C8F">
        <w:rPr>
          <w:rFonts w:asciiTheme="minorHAnsi" w:hAnsiTheme="minorHAnsi" w:cstheme="minorHAnsi"/>
        </w:rPr>
        <w:t xml:space="preserve">accessibilité. </w:t>
      </w:r>
    </w:p>
    <w:p w14:paraId="775AEFC8" w14:textId="12DF0D11" w:rsidR="006E7C07" w:rsidRPr="00AD6C8F" w:rsidRDefault="006E7C07" w:rsidP="00583BE8">
      <w:pPr>
        <w:pStyle w:val="Heading1"/>
      </w:pPr>
      <w:r w:rsidRPr="00AD6C8F">
        <w:t>5</w:t>
      </w:r>
      <w:r w:rsidRPr="00AD6C8F">
        <w:tab/>
        <w:t>Rôle stratégique de l</w:t>
      </w:r>
      <w:r w:rsidR="00BB6B4C" w:rsidRPr="00AD6C8F">
        <w:t>'</w:t>
      </w:r>
      <w:r w:rsidRPr="00AD6C8F">
        <w:t>UIT dans la nouvelle normalité</w:t>
      </w:r>
    </w:p>
    <w:p w14:paraId="76ADB77A" w14:textId="091642F4" w:rsidR="006E7C07" w:rsidRPr="00AD6C8F" w:rsidRDefault="006E7C07" w:rsidP="00583BE8">
      <w:r w:rsidRPr="00AD6C8F">
        <w:t>5.1</w:t>
      </w:r>
      <w:r w:rsidRPr="00AD6C8F">
        <w:tab/>
        <w:t>La crise liée au COVID-19 a non seulement souligné le rôle essentiel que jouent les TIC afin d</w:t>
      </w:r>
      <w:r w:rsidR="00BB6B4C" w:rsidRPr="00AD6C8F">
        <w:t>'</w:t>
      </w:r>
      <w:r w:rsidRPr="00AD6C8F">
        <w:t>assurer la continuité du fonctionnement des sociétés, mais elle a aussi mis en évidence les inégalités flagrantes entre les pays et au sein des pays dans le domaine du numérique. Mus par la conviction que les technologies peuvent être un avantage pour tous, les Membres de l</w:t>
      </w:r>
      <w:r w:rsidR="00BB6B4C" w:rsidRPr="00AD6C8F">
        <w:t>'</w:t>
      </w:r>
      <w:r w:rsidRPr="00AD6C8F">
        <w:t>UIT ont redoublé d</w:t>
      </w:r>
      <w:r w:rsidR="00BB6B4C" w:rsidRPr="00AD6C8F">
        <w:t>'</w:t>
      </w:r>
      <w:r w:rsidRPr="00AD6C8F">
        <w:t xml:space="preserve">efforts et ont pris part à des activités qui se sont révélées essentielles pour sauver des vies et soutenir les économies. </w:t>
      </w:r>
    </w:p>
    <w:p w14:paraId="0164ABD9" w14:textId="5B95D2DE" w:rsidR="006E7C07" w:rsidRPr="00AD6C8F" w:rsidRDefault="006E7C07" w:rsidP="00583BE8">
      <w:r w:rsidRPr="00AD6C8F">
        <w:t>5.2</w:t>
      </w:r>
      <w:r w:rsidRPr="00AD6C8F">
        <w:tab/>
        <w:t>L</w:t>
      </w:r>
      <w:r w:rsidR="00BB6B4C" w:rsidRPr="00AD6C8F">
        <w:t>'</w:t>
      </w:r>
      <w:r w:rsidRPr="00AD6C8F">
        <w:t>UIT aide les pays à utiliser pleinement les technologies numériques dans la lutt</w:t>
      </w:r>
      <w:r w:rsidR="004C5592">
        <w:t>e contre le </w:t>
      </w:r>
      <w:r w:rsidRPr="00AD6C8F">
        <w:t>COVID-19 et le relèvement, et à se préparer à faire face aux futures situations d</w:t>
      </w:r>
      <w:r w:rsidR="00BB6B4C" w:rsidRPr="00AD6C8F">
        <w:t>'</w:t>
      </w:r>
      <w:r w:rsidRPr="00AD6C8F">
        <w:t>urgence mondiales de ce type. Aujourd</w:t>
      </w:r>
      <w:r w:rsidR="00BB6B4C" w:rsidRPr="00AD6C8F">
        <w:t>'</w:t>
      </w:r>
      <w:r w:rsidRPr="00AD6C8F">
        <w:t>hui plus que jamais, nous devons tous pouvoir compter sur les TIC et sur le rôle moteur joué par l</w:t>
      </w:r>
      <w:r w:rsidR="00BB6B4C" w:rsidRPr="00AD6C8F">
        <w:t>'</w:t>
      </w:r>
      <w:r w:rsidRPr="00AD6C8F">
        <w:t>UIT dans la promotion d</w:t>
      </w:r>
      <w:r w:rsidR="00BB6B4C" w:rsidRPr="00AD6C8F">
        <w:t>'</w:t>
      </w:r>
      <w:r w:rsidRPr="00AD6C8F">
        <w:t xml:space="preserve">une connectivité universelle, sûre, fiable et abordable. </w:t>
      </w:r>
    </w:p>
    <w:p w14:paraId="0E21664C" w14:textId="705D4BD6" w:rsidR="006E7C07" w:rsidRPr="00AD6C8F" w:rsidRDefault="006E7C07" w:rsidP="00583BE8">
      <w:r w:rsidRPr="00AD6C8F">
        <w:t>5.3</w:t>
      </w:r>
      <w:r w:rsidRPr="00AD6C8F">
        <w:tab/>
        <w:t>De nombreuses organisations internationales ont en outre pris conscience de l</w:t>
      </w:r>
      <w:r w:rsidR="00BB6B4C" w:rsidRPr="00AD6C8F">
        <w:t>'</w:t>
      </w:r>
      <w:r w:rsidRPr="00AD6C8F">
        <w:t>importance des TIC en temps de crise et ont essayé d</w:t>
      </w:r>
      <w:r w:rsidR="00BB6B4C" w:rsidRPr="00AD6C8F">
        <w:t>'</w:t>
      </w:r>
      <w:r w:rsidRPr="00AD6C8F">
        <w:t>obtenir un mandat pour la coordination des TIC dans leur domaine. À la faveur de la crise, la concurrence concernant la coordination de projets ou de financement en matière de connectivité s</w:t>
      </w:r>
      <w:r w:rsidR="00BB6B4C" w:rsidRPr="00AD6C8F">
        <w:t>'</w:t>
      </w:r>
      <w:r w:rsidRPr="00AD6C8F">
        <w:t>est accrue sur la scène internationale. Si certaines initiatives au sein de l</w:t>
      </w:r>
      <w:r w:rsidR="00BB6B4C" w:rsidRPr="00AD6C8F">
        <w:t>'</w:t>
      </w:r>
      <w:r w:rsidRPr="00AD6C8F">
        <w:t>écosystème font effectivement concurrence au mandat de l</w:t>
      </w:r>
      <w:r w:rsidR="00BB6B4C" w:rsidRPr="00AD6C8F">
        <w:t>'</w:t>
      </w:r>
      <w:r w:rsidRPr="00AD6C8F">
        <w:t>UIT en matière de connectivité et de fourniture de services numériques, elles permettent aussi de renforcer le rôle de l</w:t>
      </w:r>
      <w:r w:rsidR="00BB6B4C" w:rsidRPr="00AD6C8F">
        <w:t>'</w:t>
      </w:r>
      <w:r w:rsidRPr="00AD6C8F">
        <w:t>Union dans le secteur des TIC.</w:t>
      </w:r>
    </w:p>
    <w:p w14:paraId="081565A0" w14:textId="77777777" w:rsidR="00AD6C8F" w:rsidRDefault="00AD6C8F" w:rsidP="00583BE8">
      <w:r>
        <w:br w:type="page"/>
      </w:r>
    </w:p>
    <w:p w14:paraId="325E2982" w14:textId="3B174DEE" w:rsidR="006E7C07" w:rsidRPr="00AD6C8F" w:rsidRDefault="006E7C07" w:rsidP="00583BE8">
      <w:r w:rsidRPr="00AD6C8F">
        <w:lastRenderedPageBreak/>
        <w:t>5.4</w:t>
      </w:r>
      <w:r w:rsidRPr="00AD6C8F">
        <w:tab/>
        <w:t>Compte tenu des atouts de l</w:t>
      </w:r>
      <w:r w:rsidR="00BB6B4C" w:rsidRPr="00AD6C8F">
        <w:t>'</w:t>
      </w:r>
      <w:r w:rsidRPr="00AD6C8F">
        <w:t>UIT en matière d</w:t>
      </w:r>
      <w:r w:rsidR="00BB6B4C" w:rsidRPr="00AD6C8F">
        <w:t>'</w:t>
      </w:r>
      <w:r w:rsidRPr="00AD6C8F">
        <w:t>expertise technique et de son expérience dans le domaine des TIC, l</w:t>
      </w:r>
      <w:r w:rsidR="00BB6B4C" w:rsidRPr="00AD6C8F">
        <w:t>'</w:t>
      </w:r>
      <w:r w:rsidRPr="00AD6C8F">
        <w:t>Union doit se faire plus précise quant aux fonctions essentielles qu</w:t>
      </w:r>
      <w:r w:rsidR="00BB6B4C" w:rsidRPr="00AD6C8F">
        <w:t>'</w:t>
      </w:r>
      <w:r w:rsidRPr="00AD6C8F">
        <w:t xml:space="preserve">elle remplit en vue de consolider le secteur des TIC et de parvenir au développement durable. </w:t>
      </w:r>
      <w:r w:rsidRPr="00AD6C8F">
        <w:rPr>
          <w:b/>
          <w:bCs/>
        </w:rPr>
        <w:t xml:space="preserve">Les enseignements tirés </w:t>
      </w:r>
      <w:r w:rsidRPr="00AD6C8F">
        <w:t>montrent</w:t>
      </w:r>
      <w:r w:rsidRPr="00AD6C8F">
        <w:rPr>
          <w:b/>
          <w:bCs/>
        </w:rPr>
        <w:t xml:space="preserve"> </w:t>
      </w:r>
      <w:r w:rsidRPr="00AD6C8F">
        <w:t>notamment qu</w:t>
      </w:r>
      <w:r w:rsidR="00BB6B4C" w:rsidRPr="00AD6C8F">
        <w:t>'</w:t>
      </w:r>
      <w:r w:rsidRPr="00AD6C8F">
        <w:t>il est très important de bien communiquer sur les services, les produits et les initiatives que l</w:t>
      </w:r>
      <w:r w:rsidR="00BB6B4C" w:rsidRPr="00AD6C8F">
        <w:t>'</w:t>
      </w:r>
      <w:r w:rsidRPr="00AD6C8F">
        <w:t>UIT peut fournir, sur leur importance et sur la valeur ajoutée que l</w:t>
      </w:r>
      <w:r w:rsidR="00BB6B4C" w:rsidRPr="00AD6C8F">
        <w:t>'</w:t>
      </w:r>
      <w:r w:rsidRPr="00AD6C8F">
        <w:t>UIT apporte avec ces services. Il sera essentiel d</w:t>
      </w:r>
      <w:r w:rsidR="00BB6B4C" w:rsidRPr="00AD6C8F">
        <w:t>'</w:t>
      </w:r>
      <w:r w:rsidRPr="00AD6C8F">
        <w:t>améliorer les capacités/compétences existantes à l</w:t>
      </w:r>
      <w:r w:rsidR="00BB6B4C" w:rsidRPr="00AD6C8F">
        <w:t>'</w:t>
      </w:r>
      <w:r w:rsidRPr="00AD6C8F">
        <w:t>UIT et d</w:t>
      </w:r>
      <w:r w:rsidR="00BB6B4C" w:rsidRPr="00AD6C8F">
        <w:t>'</w:t>
      </w:r>
      <w:r w:rsidRPr="00AD6C8F">
        <w:t>acquérir les connaissances et le savoir-faire nécessaires pour fonctionner et faire face aux problèmes dans la nouvelle normalité, en particulier en ce qui concerne la coordination internationale. Il est fondamental de relever les nouveaux défis, de fournir des services aux membres et de communiquer sur le modèle "Une UIT unie dans l</w:t>
      </w:r>
      <w:r w:rsidR="00BB6B4C" w:rsidRPr="00AD6C8F">
        <w:t>'</w:t>
      </w:r>
      <w:r w:rsidRPr="00AD6C8F">
        <w:t>action", afin que l</w:t>
      </w:r>
      <w:r w:rsidR="00BB6B4C" w:rsidRPr="00AD6C8F">
        <w:t>'</w:t>
      </w:r>
      <w:r w:rsidRPr="00AD6C8F">
        <w:t>organisation reste en bonne place et que son mandat demeure pertinent.</w:t>
      </w:r>
    </w:p>
    <w:p w14:paraId="616B3289" w14:textId="17D0F8CD" w:rsidR="006E7C07" w:rsidRPr="00AD6C8F" w:rsidRDefault="006E7C07" w:rsidP="00583BE8">
      <w:r w:rsidRPr="00AD6C8F">
        <w:t>5.5</w:t>
      </w:r>
      <w:r w:rsidRPr="00AD6C8F">
        <w:tab/>
        <w:t>Compte tenu de ce qui précède, on pourra proposer au Conseil d</w:t>
      </w:r>
      <w:r w:rsidR="00BB6B4C" w:rsidRPr="00AD6C8F">
        <w:t>'</w:t>
      </w:r>
      <w:r w:rsidRPr="00AD6C8F">
        <w:t>examiner les points suivants:</w:t>
      </w:r>
    </w:p>
    <w:p w14:paraId="687E8CD8" w14:textId="1F9746A6" w:rsidR="006E7C07" w:rsidRPr="00AD6C8F" w:rsidRDefault="006E7C07" w:rsidP="00583BE8">
      <w:pPr>
        <w:pStyle w:val="enumlev1"/>
      </w:pPr>
      <w:r w:rsidRPr="00AD6C8F">
        <w:t>•</w:t>
      </w:r>
      <w:r w:rsidRPr="00AD6C8F">
        <w:tab/>
        <w:t>Inviter les États Membres à faire part de leurs attentes concernant l</w:t>
      </w:r>
      <w:r w:rsidR="00BB6B4C" w:rsidRPr="00AD6C8F">
        <w:t>'</w:t>
      </w:r>
      <w:r w:rsidRPr="00AD6C8F">
        <w:t>après-COVID et de leurs vues sur la façon dont l</w:t>
      </w:r>
      <w:r w:rsidR="00BB6B4C" w:rsidRPr="00AD6C8F">
        <w:t>'</w:t>
      </w:r>
      <w:r w:rsidRPr="00AD6C8F">
        <w:t xml:space="preserve">UIT peut répondre au mieux à ces attentes. </w:t>
      </w:r>
    </w:p>
    <w:p w14:paraId="59EE1F2C" w14:textId="229F8B7C" w:rsidR="006E7C07" w:rsidRPr="00AD6C8F" w:rsidRDefault="006E7C07" w:rsidP="00583BE8">
      <w:pPr>
        <w:pStyle w:val="enumlev1"/>
      </w:pPr>
      <w:r w:rsidRPr="00AD6C8F">
        <w:t>•</w:t>
      </w:r>
      <w:r w:rsidRPr="00AD6C8F">
        <w:tab/>
        <w:t>Élaborer une vision à long terme concernant le rôle de l</w:t>
      </w:r>
      <w:r w:rsidR="00BB6B4C" w:rsidRPr="00AD6C8F">
        <w:t>'</w:t>
      </w:r>
      <w:r w:rsidRPr="00AD6C8F">
        <w:t>UIT pour l</w:t>
      </w:r>
      <w:r w:rsidR="00BB6B4C" w:rsidRPr="00AD6C8F">
        <w:t>'</w:t>
      </w:r>
      <w:r w:rsidRPr="00AD6C8F">
        <w:t xml:space="preserve">après-COVID </w:t>
      </w:r>
      <w:r w:rsidR="004C5592">
        <w:t>et, compte </w:t>
      </w:r>
      <w:r w:rsidRPr="00AD6C8F">
        <w:t>tenu du cadre d</w:t>
      </w:r>
      <w:r w:rsidR="00BB6B4C" w:rsidRPr="00AD6C8F">
        <w:t>'</w:t>
      </w:r>
      <w:r w:rsidRPr="00AD6C8F">
        <w:t>élaboration du nouveau plan stratégique de l</w:t>
      </w:r>
      <w:r w:rsidR="00BB6B4C" w:rsidRPr="00AD6C8F">
        <w:t>'</w:t>
      </w:r>
      <w:r w:rsidR="004C5592">
        <w:t>UIT pour la période </w:t>
      </w:r>
      <w:r w:rsidRPr="00AD6C8F">
        <w:t>2024</w:t>
      </w:r>
      <w:r w:rsidR="00BB6B4C" w:rsidRPr="00AD6C8F">
        <w:noBreakHyphen/>
      </w:r>
      <w:r w:rsidRPr="00AD6C8F">
        <w:t>2027, inviter les membres de l</w:t>
      </w:r>
      <w:r w:rsidR="00BB6B4C" w:rsidRPr="00AD6C8F">
        <w:t>'</w:t>
      </w:r>
      <w:r w:rsidRPr="00AD6C8F">
        <w:t>UIT à participer activement au processus ouvert d</w:t>
      </w:r>
      <w:r w:rsidR="00BB6B4C" w:rsidRPr="00AD6C8F">
        <w:t>'</w:t>
      </w:r>
      <w:r w:rsidRPr="00AD6C8F">
        <w:t>élaboration concertée des nouvelles stratégies de l</w:t>
      </w:r>
      <w:r w:rsidR="00BB6B4C" w:rsidRPr="00AD6C8F">
        <w:t>'</w:t>
      </w:r>
      <w:r w:rsidRPr="00AD6C8F">
        <w:t xml:space="preserve">Union. </w:t>
      </w:r>
    </w:p>
    <w:p w14:paraId="1F2EB99F" w14:textId="77777777" w:rsidR="006E7C07" w:rsidRPr="004C5592" w:rsidRDefault="006E7C07" w:rsidP="00583BE8">
      <w:pPr>
        <w:snapToGrid w:val="0"/>
        <w:spacing w:before="2040" w:after="120"/>
        <w:jc w:val="both"/>
        <w:rPr>
          <w:rFonts w:asciiTheme="minorHAnsi" w:hAnsiTheme="minorHAnsi" w:cstheme="minorHAnsi"/>
          <w:iCs/>
          <w:szCs w:val="24"/>
        </w:rPr>
      </w:pPr>
      <w:r w:rsidRPr="004C5592">
        <w:rPr>
          <w:rFonts w:asciiTheme="minorHAnsi" w:hAnsiTheme="minorHAnsi" w:cstheme="minorHAnsi"/>
          <w:b/>
          <w:bCs/>
          <w:iCs/>
          <w:szCs w:val="24"/>
        </w:rPr>
        <w:t>Annexe</w:t>
      </w:r>
      <w:r w:rsidRPr="004C5592">
        <w:rPr>
          <w:rFonts w:asciiTheme="minorHAnsi" w:hAnsiTheme="minorHAnsi" w:cstheme="minorHAnsi"/>
          <w:iCs/>
          <w:szCs w:val="24"/>
        </w:rPr>
        <w:t>: 1</w:t>
      </w:r>
    </w:p>
    <w:p w14:paraId="5E93CC0C" w14:textId="77777777" w:rsidR="006E7C07" w:rsidRPr="00AD6C8F" w:rsidRDefault="006E7C07" w:rsidP="00583BE8">
      <w:r w:rsidRPr="00AD6C8F">
        <w:br w:type="page"/>
      </w:r>
    </w:p>
    <w:p w14:paraId="6707C68B" w14:textId="537E0995" w:rsidR="006E7C07" w:rsidRPr="00AD6C8F" w:rsidRDefault="006E7C07" w:rsidP="004C5592">
      <w:pPr>
        <w:pStyle w:val="Annextitle"/>
        <w:spacing w:after="600"/>
      </w:pPr>
      <w:r w:rsidRPr="00AD6C8F">
        <w:lastRenderedPageBreak/>
        <w:t>ANNEXE</w:t>
      </w:r>
    </w:p>
    <w:tbl>
      <w:tblPr>
        <w:tblW w:w="7513" w:type="dxa"/>
        <w:jc w:val="center"/>
        <w:tblLook w:val="04A0" w:firstRow="1" w:lastRow="0" w:firstColumn="1" w:lastColumn="0" w:noHBand="0" w:noVBand="1"/>
      </w:tblPr>
      <w:tblGrid>
        <w:gridCol w:w="5773"/>
        <w:gridCol w:w="1740"/>
      </w:tblGrid>
      <w:tr w:rsidR="006E7C07" w:rsidRPr="00AD6C8F" w14:paraId="1C5F0A5C" w14:textId="77777777" w:rsidTr="004C5592">
        <w:trPr>
          <w:trHeight w:val="256"/>
          <w:jc w:val="center"/>
        </w:trPr>
        <w:tc>
          <w:tcPr>
            <w:tcW w:w="7513" w:type="dxa"/>
            <w:gridSpan w:val="2"/>
            <w:tcBorders>
              <w:top w:val="nil"/>
              <w:left w:val="nil"/>
              <w:bottom w:val="nil"/>
              <w:right w:val="nil"/>
            </w:tcBorders>
            <w:shd w:val="clear" w:color="auto" w:fill="auto"/>
            <w:noWrap/>
            <w:vAlign w:val="center"/>
            <w:hideMark/>
          </w:tcPr>
          <w:p w14:paraId="544CAB93" w14:textId="227FC817" w:rsidR="006E7C07" w:rsidRPr="00AD6C8F" w:rsidRDefault="006E7C07" w:rsidP="00583BE8">
            <w:pPr>
              <w:snapToGrid w:val="0"/>
              <w:spacing w:before="0" w:after="120"/>
              <w:jc w:val="both"/>
              <w:rPr>
                <w:rFonts w:asciiTheme="minorHAnsi" w:hAnsiTheme="minorHAnsi" w:cstheme="minorHAnsi"/>
                <w:b/>
                <w:bCs/>
                <w:color w:val="002060"/>
                <w:sz w:val="28"/>
                <w:szCs w:val="28"/>
              </w:rPr>
            </w:pPr>
            <w:r w:rsidRPr="00AD6C8F">
              <w:rPr>
                <w:rFonts w:asciiTheme="minorHAnsi" w:hAnsiTheme="minorHAnsi" w:cstheme="minorHAnsi"/>
                <w:b/>
                <w:bCs/>
                <w:color w:val="002060"/>
                <w:sz w:val="28"/>
                <w:szCs w:val="28"/>
              </w:rPr>
              <w:t>Dépenses liées au COVID-19 engagées en 2020</w:t>
            </w:r>
          </w:p>
        </w:tc>
      </w:tr>
      <w:tr w:rsidR="006E7C07" w:rsidRPr="00AD6C8F" w14:paraId="578D801C" w14:textId="77777777" w:rsidTr="004C5592">
        <w:trPr>
          <w:trHeight w:val="405"/>
          <w:jc w:val="center"/>
        </w:trPr>
        <w:tc>
          <w:tcPr>
            <w:tcW w:w="5773" w:type="dxa"/>
            <w:tcBorders>
              <w:top w:val="nil"/>
              <w:left w:val="nil"/>
              <w:bottom w:val="nil"/>
              <w:right w:val="nil"/>
            </w:tcBorders>
            <w:shd w:val="clear" w:color="auto" w:fill="auto"/>
            <w:noWrap/>
            <w:vAlign w:val="center"/>
            <w:hideMark/>
          </w:tcPr>
          <w:p w14:paraId="788E0620" w14:textId="753A05DF" w:rsidR="006E7C07" w:rsidRPr="00AD6C8F" w:rsidRDefault="006E7C07" w:rsidP="00583BE8">
            <w:pPr>
              <w:snapToGrid w:val="0"/>
              <w:spacing w:before="0" w:after="160"/>
              <w:jc w:val="both"/>
              <w:rPr>
                <w:rFonts w:asciiTheme="minorHAnsi" w:hAnsiTheme="minorHAnsi" w:cstheme="minorHAnsi"/>
                <w:sz w:val="20"/>
              </w:rPr>
            </w:pPr>
          </w:p>
        </w:tc>
        <w:tc>
          <w:tcPr>
            <w:tcW w:w="1740" w:type="dxa"/>
            <w:tcBorders>
              <w:top w:val="nil"/>
              <w:left w:val="nil"/>
              <w:bottom w:val="nil"/>
              <w:right w:val="nil"/>
            </w:tcBorders>
            <w:shd w:val="clear" w:color="auto" w:fill="auto"/>
            <w:noWrap/>
            <w:vAlign w:val="bottom"/>
            <w:hideMark/>
          </w:tcPr>
          <w:p w14:paraId="7B8DFEEB" w14:textId="3A3CBAC8" w:rsidR="006E7C07" w:rsidRPr="00AD6C8F" w:rsidRDefault="004C5592" w:rsidP="00583BE8">
            <w:pPr>
              <w:snapToGrid w:val="0"/>
              <w:spacing w:before="0" w:after="160"/>
              <w:jc w:val="both"/>
              <w:rPr>
                <w:rFonts w:asciiTheme="minorHAnsi" w:hAnsiTheme="minorHAnsi" w:cstheme="minorHAnsi"/>
                <w:sz w:val="20"/>
              </w:rPr>
            </w:pPr>
            <w:r w:rsidRPr="00AD6C8F">
              <w:rPr>
                <w:rFonts w:asciiTheme="minorHAnsi" w:hAnsiTheme="minorHAnsi" w:cstheme="minorHAnsi"/>
                <w:noProof/>
                <w:sz w:val="20"/>
                <w:lang w:val="en-US"/>
              </w:rPr>
              <mc:AlternateContent>
                <mc:Choice Requires="wps">
                  <w:drawing>
                    <wp:anchor distT="0" distB="0" distL="114300" distR="114300" simplePos="0" relativeHeight="251659264" behindDoc="0" locked="0" layoutInCell="1" allowOverlap="1" wp14:anchorId="14A514D8" wp14:editId="377D93E2">
                      <wp:simplePos x="0" y="0"/>
                      <wp:positionH relativeFrom="column">
                        <wp:posOffset>-52705</wp:posOffset>
                      </wp:positionH>
                      <wp:positionV relativeFrom="paragraph">
                        <wp:posOffset>63500</wp:posOffset>
                      </wp:positionV>
                      <wp:extent cx="1045845" cy="4820285"/>
                      <wp:effectExtent l="0" t="0" r="20955" b="1841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4820285"/>
                              </a:xfrm>
                              <a:prstGeom prst="roundRect">
                                <a:avLst>
                                  <a:gd name="adj" fmla="val 49424"/>
                                </a:avLst>
                              </a:prstGeom>
                              <a:noFill/>
                              <a:ln w="12700">
                                <a:solidFill>
                                  <a:schemeClr val="accent1">
                                    <a:lumMod val="75000"/>
                                  </a:schemeClr>
                                </a:solidFill>
                                <a:round/>
                                <a:headEnd/>
                                <a:tailEnd/>
                              </a:ln>
                              <a:extLst>
                                <a:ext uri="{909E8E84-426E-40DD-AFC4-6F175D3DCCD1}">
                                  <a14:hiddenFill xmlns:a14="http://schemas.microsoft.com/office/drawing/2010/main">
                                    <a:solidFill>
                                      <a:srgbClr val="FFFFFF" mc:Ignorable="a14" a14:legacySpreadsheetColorIndex="9"/>
                                    </a:solidFill>
                                  </a14:hiddenFill>
                                </a:ext>
                              </a:extLst>
                            </wps:spPr>
                            <wps:bodyPr wrap="square">
                              <a:noAutofit/>
                            </wps:bodyPr>
                          </wps:wsp>
                        </a:graphicData>
                      </a:graphic>
                      <wp14:sizeRelH relativeFrom="page">
                        <wp14:pctWidth>0</wp14:pctWidth>
                      </wp14:sizeRelH>
                      <wp14:sizeRelV relativeFrom="page">
                        <wp14:pctHeight>0</wp14:pctHeight>
                      </wp14:sizeRelV>
                    </wp:anchor>
                  </w:drawing>
                </mc:Choice>
                <mc:Fallback>
                  <w:pict>
                    <v:roundrect w14:anchorId="0B5A41C5" id="Rectangle: Rounded Corners 3" o:spid="_x0000_s1026" style="position:absolute;margin-left:-4.15pt;margin-top:5pt;width:82.35pt;height:37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3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fgtQIAAGoFAAAOAAAAZHJzL2Uyb0RvYy54bWysVF1v2yAUfZ+0/4B4T22nTptYdaoqH1Ol&#10;bqva7QcQwDErXwMSJ5r233chTtque5im5YGA4Z7LOfdcrq53SqItd14YXePiLMeIa2qY0Osaf/2y&#10;HIwx8oFoRqTRvMZ77vH19P27q85WfGhaIxl3CEC0rzpb4zYEW2WZpy1XxJ8ZyzVsNsYpEmDp1hlz&#10;pAN0JbNhnl9knXHMOkO59/B1ftjE04TfNJyGz03jeUCyxnC3kEaXxlUcs+kVqdaO2FbQ/hrkH26h&#10;iNCQ9AQ1J4GgjRNvoJSgznjThDNqVGaaRlCeOACbIv+NzWNLLE9cQBxvTzL5/wdLP23vHRKsxucY&#10;aaKgRA8gGtFrySv0YDaacYZmxmmoMTqPenXWVxD2aO9dZOztnaFPHmkzayGM3zhnupYTBrcs4vns&#10;VUBceAhFq+6jYZCObIJJ0u0apyIgiIJ2qUL7U4X4LiAKH4u8HI3LEUYU9srxMB+ORykHqY7h1vnw&#10;gRuF4qTGLlKIlFIOsr3zIdWJ9WwJ+4ZRoyRUfUskKiflsOwR+8MZqY6YMVKbpZAy+UZq1MGdhpd5&#10;ntC9kYLF3aRLtDCfSYcAF2hSynUo0jm5UcD98P1ylEN0lAmkPIYcVi/REo2UNEq70CzNAxHyMIdo&#10;qWNaUKqnGDVLFvwxySeL8WJcDsrhxWJQ5vP54GY5KwcXy+JyND+fz2bz4me8WVFWrWCM60ji2A5F&#10;+Xd26xvzYORTQ7zWxK1XJ0WW6Yf7NIq+yfKH5lfEPW3sAHrHkiBWQoqwT+8ARopWt2ttHFnJ6Kqi&#10;xCjykXxN6P7RuujIlvMwM9K4W7A12GlyFP5Z6uy1CKkSoOTxP2mbHB1NfGiGlWF7MHQHr0iN/fcN&#10;cbFpo1NuwNuNCLG60feHg/0CGjqB9o9PfDFertOp5ydy+gsAAP//AwBQSwMEFAAGAAgAAAAhAJJC&#10;CGzgAAAACQEAAA8AAABkcnMvZG93bnJldi54bWxMj8FOwzAQRO9I/IO1SFxQ6xRoCCFOVUE5wKVq&#10;4QOc2MQp8dqK3Sbk69me4Lgzo9k3xWq0HTvpPrQOBSzmCTCNtVMtNgI+P15nGbAQJSrZOdQCfnSA&#10;VXl5UchcuQF3+rSPDaMSDLkUYGL0OeehNtrKMHdeI3lfrrcy0tk3XPVyoHLb8dskSbmVLdIHI71+&#10;Nrr+3h+tgM3mxY+H97fllN1MW2+maajWByGur8b1E7Cox/gXhjM+oUNJTJU7ogqsEzDL7ihJekKT&#10;zv4yvQdWCXhIHxfAy4L/X1D+AgAA//8DAFBLAQItABQABgAIAAAAIQC2gziS/gAAAOEBAAATAAAA&#10;AAAAAAAAAAAAAAAAAABbQ29udGVudF9UeXBlc10ueG1sUEsBAi0AFAAGAAgAAAAhADj9If/WAAAA&#10;lAEAAAsAAAAAAAAAAAAAAAAALwEAAF9yZWxzLy5yZWxzUEsBAi0AFAAGAAgAAAAhADNcN+C1AgAA&#10;agUAAA4AAAAAAAAAAAAAAAAALgIAAGRycy9lMm9Eb2MueG1sUEsBAi0AFAAGAAgAAAAhAJJCCGzg&#10;AAAACQEAAA8AAAAAAAAAAAAAAAAADwUAAGRycy9kb3ducmV2LnhtbFBLBQYAAAAABAAEAPMAAAAc&#10;BgAAAAA=&#10;" filled="f" strokecolor="#365f91 [2404]" strokeweight="1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420"/>
            </w:tblGrid>
            <w:tr w:rsidR="006E7C07" w:rsidRPr="00AD6C8F" w14:paraId="7DA238D6" w14:textId="77777777" w:rsidTr="001C6BE5">
              <w:trPr>
                <w:trHeight w:val="405"/>
                <w:tblCellSpacing w:w="0" w:type="dxa"/>
              </w:trPr>
              <w:tc>
                <w:tcPr>
                  <w:tcW w:w="1420" w:type="dxa"/>
                  <w:tcBorders>
                    <w:top w:val="nil"/>
                    <w:left w:val="nil"/>
                    <w:bottom w:val="nil"/>
                    <w:right w:val="nil"/>
                  </w:tcBorders>
                  <w:shd w:val="clear" w:color="auto" w:fill="auto"/>
                  <w:noWrap/>
                  <w:vAlign w:val="center"/>
                  <w:hideMark/>
                </w:tcPr>
                <w:p w14:paraId="117982F9" w14:textId="550C587B" w:rsidR="006E7C07" w:rsidRPr="00AD6C8F" w:rsidRDefault="006E7C07" w:rsidP="004C5592">
                  <w:pPr>
                    <w:snapToGrid w:val="0"/>
                    <w:spacing w:before="0" w:after="160"/>
                    <w:jc w:val="center"/>
                    <w:rPr>
                      <w:rFonts w:asciiTheme="minorHAnsi" w:hAnsiTheme="minorHAnsi" w:cstheme="minorHAnsi"/>
                      <w:b/>
                      <w:bCs/>
                      <w:i/>
                      <w:iCs/>
                      <w:color w:val="0070C0"/>
                      <w:sz w:val="20"/>
                    </w:rPr>
                  </w:pPr>
                  <w:r w:rsidRPr="00AD6C8F">
                    <w:rPr>
                      <w:rFonts w:asciiTheme="minorHAnsi" w:hAnsiTheme="minorHAnsi" w:cstheme="minorHAnsi"/>
                      <w:b/>
                      <w:bCs/>
                      <w:i/>
                      <w:iCs/>
                      <w:color w:val="0070C0"/>
                      <w:sz w:val="20"/>
                    </w:rPr>
                    <w:t>En milliers</w:t>
                  </w:r>
                  <w:r w:rsidR="005C046E" w:rsidRPr="00AD6C8F">
                    <w:rPr>
                      <w:rFonts w:asciiTheme="minorHAnsi" w:hAnsiTheme="minorHAnsi" w:cstheme="minorHAnsi"/>
                      <w:b/>
                      <w:bCs/>
                      <w:i/>
                      <w:iCs/>
                      <w:color w:val="0070C0"/>
                      <w:sz w:val="20"/>
                    </w:rPr>
                    <w:br/>
                  </w:r>
                  <w:r w:rsidRPr="00AD6C8F">
                    <w:rPr>
                      <w:rFonts w:asciiTheme="minorHAnsi" w:hAnsiTheme="minorHAnsi" w:cstheme="minorHAnsi"/>
                      <w:b/>
                      <w:bCs/>
                      <w:i/>
                      <w:iCs/>
                      <w:color w:val="0070C0"/>
                      <w:sz w:val="20"/>
                    </w:rPr>
                    <w:t>de CHF</w:t>
                  </w:r>
                </w:p>
              </w:tc>
            </w:tr>
          </w:tbl>
          <w:p w14:paraId="536B544A" w14:textId="77777777" w:rsidR="006E7C07" w:rsidRPr="00AD6C8F" w:rsidRDefault="006E7C07" w:rsidP="00583BE8">
            <w:pPr>
              <w:snapToGrid w:val="0"/>
              <w:spacing w:before="0" w:after="160"/>
              <w:jc w:val="both"/>
              <w:rPr>
                <w:rFonts w:asciiTheme="minorHAnsi" w:hAnsiTheme="minorHAnsi" w:cstheme="minorHAnsi"/>
                <w:sz w:val="20"/>
              </w:rPr>
            </w:pPr>
          </w:p>
        </w:tc>
      </w:tr>
      <w:tr w:rsidR="006E7C07" w:rsidRPr="00AD6C8F" w14:paraId="64EBAA08" w14:textId="77777777" w:rsidTr="004C5592">
        <w:trPr>
          <w:trHeight w:val="240"/>
          <w:jc w:val="center"/>
        </w:trPr>
        <w:tc>
          <w:tcPr>
            <w:tcW w:w="5773" w:type="dxa"/>
            <w:tcBorders>
              <w:top w:val="nil"/>
              <w:left w:val="nil"/>
              <w:bottom w:val="nil"/>
              <w:right w:val="nil"/>
            </w:tcBorders>
            <w:shd w:val="clear" w:color="auto" w:fill="auto"/>
            <w:noWrap/>
            <w:vAlign w:val="center"/>
            <w:hideMark/>
          </w:tcPr>
          <w:p w14:paraId="6A789B38" w14:textId="77777777" w:rsidR="006E7C07" w:rsidRPr="00AD6C8F" w:rsidRDefault="006E7C07" w:rsidP="00583BE8">
            <w:pPr>
              <w:snapToGrid w:val="0"/>
              <w:spacing w:before="0" w:after="160"/>
              <w:jc w:val="both"/>
              <w:rPr>
                <w:rFonts w:asciiTheme="minorHAnsi" w:hAnsiTheme="minorHAnsi" w:cstheme="minorHAnsi"/>
                <w:sz w:val="20"/>
              </w:rPr>
            </w:pPr>
          </w:p>
        </w:tc>
        <w:tc>
          <w:tcPr>
            <w:tcW w:w="1740" w:type="dxa"/>
            <w:tcBorders>
              <w:top w:val="nil"/>
              <w:left w:val="nil"/>
              <w:bottom w:val="nil"/>
              <w:right w:val="nil"/>
            </w:tcBorders>
            <w:shd w:val="clear" w:color="auto" w:fill="auto"/>
            <w:noWrap/>
            <w:vAlign w:val="center"/>
            <w:hideMark/>
          </w:tcPr>
          <w:p w14:paraId="2FE7A683" w14:textId="77777777" w:rsidR="006E7C07" w:rsidRPr="00AD6C8F" w:rsidRDefault="006E7C07" w:rsidP="00583BE8">
            <w:pPr>
              <w:snapToGrid w:val="0"/>
              <w:spacing w:before="0" w:after="160"/>
              <w:jc w:val="both"/>
              <w:rPr>
                <w:rFonts w:asciiTheme="minorHAnsi" w:hAnsiTheme="minorHAnsi" w:cstheme="minorHAnsi"/>
                <w:sz w:val="20"/>
              </w:rPr>
            </w:pPr>
          </w:p>
        </w:tc>
      </w:tr>
      <w:tr w:rsidR="006E7C07" w:rsidRPr="00AD6C8F" w14:paraId="4BE8D5CA" w14:textId="77777777" w:rsidTr="004C5592">
        <w:trPr>
          <w:trHeight w:val="263"/>
          <w:jc w:val="center"/>
        </w:trPr>
        <w:tc>
          <w:tcPr>
            <w:tcW w:w="5773" w:type="dxa"/>
            <w:tcBorders>
              <w:top w:val="nil"/>
              <w:left w:val="nil"/>
              <w:bottom w:val="nil"/>
              <w:right w:val="nil"/>
            </w:tcBorders>
            <w:shd w:val="clear" w:color="auto" w:fill="auto"/>
            <w:noWrap/>
            <w:vAlign w:val="center"/>
            <w:hideMark/>
          </w:tcPr>
          <w:p w14:paraId="3FE6E8D2" w14:textId="77777777" w:rsidR="006E7C07" w:rsidRPr="00AD6C8F" w:rsidRDefault="006E7C07" w:rsidP="00583BE8">
            <w:pPr>
              <w:snapToGrid w:val="0"/>
              <w:spacing w:before="0" w:after="160"/>
              <w:jc w:val="both"/>
              <w:rPr>
                <w:rFonts w:asciiTheme="minorHAnsi" w:hAnsiTheme="minorHAnsi" w:cstheme="minorHAnsi"/>
                <w:sz w:val="20"/>
              </w:rPr>
            </w:pPr>
          </w:p>
        </w:tc>
        <w:tc>
          <w:tcPr>
            <w:tcW w:w="1740" w:type="dxa"/>
            <w:tcBorders>
              <w:top w:val="nil"/>
              <w:left w:val="nil"/>
              <w:bottom w:val="nil"/>
              <w:right w:val="nil"/>
            </w:tcBorders>
            <w:shd w:val="clear" w:color="auto" w:fill="auto"/>
            <w:noWrap/>
            <w:vAlign w:val="center"/>
            <w:hideMark/>
          </w:tcPr>
          <w:p w14:paraId="187E9A0E" w14:textId="49FAEC01" w:rsidR="006E7C07" w:rsidRPr="00AD6C8F" w:rsidRDefault="006E7C07" w:rsidP="004C5592">
            <w:pPr>
              <w:snapToGrid w:val="0"/>
              <w:spacing w:before="0" w:after="160"/>
              <w:jc w:val="center"/>
              <w:rPr>
                <w:rFonts w:asciiTheme="minorHAnsi" w:hAnsiTheme="minorHAnsi" w:cstheme="minorHAnsi"/>
                <w:b/>
                <w:bCs/>
                <w:color w:val="002060"/>
                <w:sz w:val="20"/>
              </w:rPr>
            </w:pPr>
            <w:r w:rsidRPr="00AD6C8F">
              <w:rPr>
                <w:rFonts w:asciiTheme="minorHAnsi" w:hAnsiTheme="minorHAnsi" w:cstheme="minorHAnsi"/>
                <w:b/>
                <w:bCs/>
                <w:color w:val="002060"/>
                <w:sz w:val="20"/>
              </w:rPr>
              <w:t>Montant</w:t>
            </w:r>
            <w:r w:rsidR="005C046E" w:rsidRPr="00AD6C8F">
              <w:rPr>
                <w:rFonts w:asciiTheme="minorHAnsi" w:hAnsiTheme="minorHAnsi" w:cstheme="minorHAnsi"/>
                <w:b/>
                <w:bCs/>
                <w:color w:val="002060"/>
                <w:sz w:val="20"/>
              </w:rPr>
              <w:br/>
            </w:r>
            <w:r w:rsidRPr="00AD6C8F">
              <w:rPr>
                <w:rFonts w:asciiTheme="minorHAnsi" w:hAnsiTheme="minorHAnsi" w:cstheme="minorHAnsi"/>
                <w:b/>
                <w:bCs/>
                <w:color w:val="002060"/>
                <w:sz w:val="20"/>
              </w:rPr>
              <w:t>effectif</w:t>
            </w:r>
            <w:r w:rsidR="005C046E" w:rsidRPr="00AD6C8F">
              <w:rPr>
                <w:rFonts w:asciiTheme="minorHAnsi" w:hAnsiTheme="minorHAnsi" w:cstheme="minorHAnsi"/>
                <w:b/>
                <w:bCs/>
                <w:color w:val="002060"/>
                <w:sz w:val="20"/>
              </w:rPr>
              <w:br/>
            </w:r>
            <w:r w:rsidRPr="00AD6C8F">
              <w:rPr>
                <w:rFonts w:asciiTheme="minorHAnsi" w:hAnsiTheme="minorHAnsi" w:cstheme="minorHAnsi"/>
                <w:b/>
                <w:bCs/>
                <w:color w:val="002060"/>
                <w:sz w:val="20"/>
              </w:rPr>
              <w:t>2020</w:t>
            </w:r>
          </w:p>
        </w:tc>
      </w:tr>
      <w:tr w:rsidR="006E7C07" w:rsidRPr="00AD6C8F" w14:paraId="75B29344" w14:textId="77777777" w:rsidTr="004C5592">
        <w:trPr>
          <w:trHeight w:val="263"/>
          <w:jc w:val="center"/>
        </w:trPr>
        <w:tc>
          <w:tcPr>
            <w:tcW w:w="5773" w:type="dxa"/>
            <w:tcBorders>
              <w:top w:val="nil"/>
              <w:left w:val="nil"/>
              <w:bottom w:val="single" w:sz="4" w:space="0" w:color="auto"/>
              <w:right w:val="nil"/>
            </w:tcBorders>
            <w:shd w:val="clear" w:color="auto" w:fill="auto"/>
            <w:noWrap/>
            <w:vAlign w:val="center"/>
            <w:hideMark/>
          </w:tcPr>
          <w:p w14:paraId="3E5E83E5" w14:textId="77777777" w:rsidR="006E7C07" w:rsidRPr="00AD6C8F" w:rsidRDefault="006E7C07" w:rsidP="00583BE8">
            <w:pPr>
              <w:snapToGrid w:val="0"/>
              <w:spacing w:before="0" w:after="160"/>
              <w:jc w:val="both"/>
              <w:rPr>
                <w:rFonts w:asciiTheme="minorHAnsi" w:hAnsiTheme="minorHAnsi" w:cstheme="minorHAnsi"/>
                <w:b/>
                <w:bCs/>
                <w:color w:val="0033CC"/>
                <w:sz w:val="20"/>
              </w:rPr>
            </w:pPr>
            <w:r w:rsidRPr="00AD6C8F">
              <w:rPr>
                <w:rFonts w:asciiTheme="minorHAnsi" w:hAnsiTheme="minorHAnsi" w:cstheme="minorHAnsi"/>
                <w:b/>
                <w:bCs/>
                <w:color w:val="0033CC"/>
                <w:sz w:val="20"/>
              </w:rPr>
              <w:t> </w:t>
            </w:r>
          </w:p>
        </w:tc>
        <w:tc>
          <w:tcPr>
            <w:tcW w:w="1740" w:type="dxa"/>
            <w:tcBorders>
              <w:top w:val="nil"/>
              <w:left w:val="nil"/>
              <w:bottom w:val="single" w:sz="4" w:space="0" w:color="auto"/>
              <w:right w:val="nil"/>
            </w:tcBorders>
            <w:shd w:val="clear" w:color="auto" w:fill="auto"/>
            <w:vAlign w:val="center"/>
            <w:hideMark/>
          </w:tcPr>
          <w:p w14:paraId="4AF6B60B" w14:textId="6A0B3BD4" w:rsidR="006E7C07" w:rsidRPr="00AD6C8F" w:rsidRDefault="006E7C07" w:rsidP="00583BE8">
            <w:pPr>
              <w:snapToGrid w:val="0"/>
              <w:spacing w:before="0" w:after="160"/>
              <w:jc w:val="both"/>
              <w:rPr>
                <w:rFonts w:asciiTheme="minorHAnsi" w:hAnsiTheme="minorHAnsi" w:cstheme="minorHAnsi"/>
                <w:b/>
                <w:bCs/>
                <w:color w:val="002060"/>
                <w:sz w:val="20"/>
              </w:rPr>
            </w:pPr>
            <w:r w:rsidRPr="00AD6C8F">
              <w:rPr>
                <w:rFonts w:asciiTheme="minorHAnsi" w:hAnsiTheme="minorHAnsi" w:cstheme="minorHAnsi"/>
                <w:b/>
                <w:bCs/>
                <w:color w:val="002060"/>
                <w:sz w:val="20"/>
              </w:rPr>
              <w:t> </w:t>
            </w:r>
          </w:p>
        </w:tc>
      </w:tr>
      <w:tr w:rsidR="006E7C07" w:rsidRPr="00AD6C8F" w14:paraId="7C56340F" w14:textId="77777777" w:rsidTr="004C5592">
        <w:trPr>
          <w:trHeight w:val="280"/>
          <w:jc w:val="center"/>
        </w:trPr>
        <w:tc>
          <w:tcPr>
            <w:tcW w:w="5773" w:type="dxa"/>
            <w:tcBorders>
              <w:top w:val="nil"/>
              <w:left w:val="nil"/>
              <w:bottom w:val="nil"/>
              <w:right w:val="nil"/>
            </w:tcBorders>
            <w:shd w:val="clear" w:color="auto" w:fill="auto"/>
            <w:vAlign w:val="center"/>
            <w:hideMark/>
          </w:tcPr>
          <w:p w14:paraId="5EC89EA6" w14:textId="77777777" w:rsidR="006E7C07" w:rsidRPr="00AD6C8F" w:rsidRDefault="006E7C07" w:rsidP="004C5592">
            <w:pPr>
              <w:snapToGrid w:val="0"/>
              <w:spacing w:before="60" w:after="60"/>
              <w:jc w:val="both"/>
              <w:rPr>
                <w:rFonts w:asciiTheme="minorHAnsi" w:hAnsiTheme="minorHAnsi" w:cstheme="minorHAnsi"/>
                <w:sz w:val="20"/>
              </w:rPr>
            </w:pPr>
            <w:r w:rsidRPr="00AD6C8F">
              <w:rPr>
                <w:rFonts w:asciiTheme="minorHAnsi" w:hAnsiTheme="minorHAnsi" w:cstheme="minorHAnsi"/>
                <w:sz w:val="20"/>
              </w:rPr>
              <w:t>Médecin conseil à temps plein + psychologue</w:t>
            </w:r>
          </w:p>
        </w:tc>
        <w:tc>
          <w:tcPr>
            <w:tcW w:w="1740" w:type="dxa"/>
            <w:tcBorders>
              <w:top w:val="nil"/>
              <w:left w:val="nil"/>
              <w:bottom w:val="nil"/>
              <w:right w:val="nil"/>
            </w:tcBorders>
            <w:shd w:val="clear" w:color="auto" w:fill="auto"/>
            <w:noWrap/>
            <w:vAlign w:val="center"/>
            <w:hideMark/>
          </w:tcPr>
          <w:p w14:paraId="517B2563" w14:textId="77777777" w:rsidR="006E7C07" w:rsidRPr="00AD6C8F" w:rsidRDefault="006E7C07" w:rsidP="004C5592">
            <w:pPr>
              <w:snapToGrid w:val="0"/>
              <w:spacing w:before="60" w:after="60"/>
              <w:jc w:val="center"/>
              <w:rPr>
                <w:rFonts w:asciiTheme="minorHAnsi" w:hAnsiTheme="minorHAnsi" w:cstheme="minorHAnsi"/>
                <w:color w:val="002060"/>
                <w:sz w:val="20"/>
              </w:rPr>
            </w:pPr>
            <w:r w:rsidRPr="00AD6C8F">
              <w:rPr>
                <w:rFonts w:asciiTheme="minorHAnsi" w:hAnsiTheme="minorHAnsi" w:cstheme="minorHAnsi"/>
                <w:color w:val="002060"/>
                <w:sz w:val="20"/>
              </w:rPr>
              <w:t>169</w:t>
            </w:r>
          </w:p>
        </w:tc>
      </w:tr>
      <w:tr w:rsidR="006E7C07" w:rsidRPr="00AD6C8F" w14:paraId="0EE6339C" w14:textId="77777777" w:rsidTr="004C5592">
        <w:trPr>
          <w:trHeight w:val="280"/>
          <w:jc w:val="center"/>
        </w:trPr>
        <w:tc>
          <w:tcPr>
            <w:tcW w:w="5773" w:type="dxa"/>
            <w:tcBorders>
              <w:top w:val="nil"/>
              <w:left w:val="nil"/>
              <w:bottom w:val="nil"/>
              <w:right w:val="nil"/>
            </w:tcBorders>
            <w:shd w:val="clear" w:color="auto" w:fill="auto"/>
            <w:vAlign w:val="center"/>
            <w:hideMark/>
          </w:tcPr>
          <w:p w14:paraId="12180F46" w14:textId="77777777" w:rsidR="006E7C07" w:rsidRPr="00AD6C8F" w:rsidRDefault="006E7C07" w:rsidP="004C5592">
            <w:pPr>
              <w:snapToGrid w:val="0"/>
              <w:spacing w:before="60" w:after="60"/>
              <w:jc w:val="both"/>
              <w:rPr>
                <w:rFonts w:asciiTheme="minorHAnsi" w:hAnsiTheme="minorHAnsi" w:cstheme="minorHAnsi"/>
                <w:sz w:val="20"/>
              </w:rPr>
            </w:pPr>
            <w:r w:rsidRPr="00AD6C8F">
              <w:rPr>
                <w:rFonts w:asciiTheme="minorHAnsi" w:hAnsiTheme="minorHAnsi" w:cstheme="minorHAnsi"/>
                <w:sz w:val="20"/>
              </w:rPr>
              <w:t>Caméras infrarouges et autres équipements</w:t>
            </w:r>
          </w:p>
        </w:tc>
        <w:tc>
          <w:tcPr>
            <w:tcW w:w="1740" w:type="dxa"/>
            <w:tcBorders>
              <w:top w:val="nil"/>
              <w:left w:val="nil"/>
              <w:bottom w:val="nil"/>
              <w:right w:val="nil"/>
            </w:tcBorders>
            <w:shd w:val="clear" w:color="auto" w:fill="auto"/>
            <w:noWrap/>
            <w:vAlign w:val="center"/>
            <w:hideMark/>
          </w:tcPr>
          <w:p w14:paraId="400EB297" w14:textId="77777777" w:rsidR="006E7C07" w:rsidRPr="00AD6C8F" w:rsidRDefault="006E7C07" w:rsidP="004C5592">
            <w:pPr>
              <w:snapToGrid w:val="0"/>
              <w:spacing w:before="60" w:after="60"/>
              <w:jc w:val="center"/>
              <w:rPr>
                <w:rFonts w:asciiTheme="minorHAnsi" w:hAnsiTheme="minorHAnsi" w:cstheme="minorHAnsi"/>
                <w:color w:val="002060"/>
                <w:sz w:val="20"/>
              </w:rPr>
            </w:pPr>
            <w:r w:rsidRPr="00AD6C8F">
              <w:rPr>
                <w:rFonts w:asciiTheme="minorHAnsi" w:hAnsiTheme="minorHAnsi" w:cstheme="minorHAnsi"/>
                <w:color w:val="002060"/>
                <w:sz w:val="20"/>
              </w:rPr>
              <w:t>130</w:t>
            </w:r>
          </w:p>
        </w:tc>
      </w:tr>
      <w:tr w:rsidR="006E7C07" w:rsidRPr="00AD6C8F" w14:paraId="145F5B6E" w14:textId="77777777" w:rsidTr="004C5592">
        <w:trPr>
          <w:trHeight w:val="280"/>
          <w:jc w:val="center"/>
        </w:trPr>
        <w:tc>
          <w:tcPr>
            <w:tcW w:w="5773" w:type="dxa"/>
            <w:tcBorders>
              <w:top w:val="nil"/>
              <w:left w:val="nil"/>
              <w:bottom w:val="nil"/>
              <w:right w:val="nil"/>
            </w:tcBorders>
            <w:shd w:val="clear" w:color="auto" w:fill="auto"/>
            <w:vAlign w:val="center"/>
            <w:hideMark/>
          </w:tcPr>
          <w:p w14:paraId="3056989A" w14:textId="77777777" w:rsidR="006E7C07" w:rsidRPr="00AD6C8F" w:rsidRDefault="006E7C07" w:rsidP="004C5592">
            <w:pPr>
              <w:snapToGrid w:val="0"/>
              <w:spacing w:before="60" w:after="60"/>
              <w:jc w:val="both"/>
              <w:rPr>
                <w:rFonts w:asciiTheme="minorHAnsi" w:hAnsiTheme="minorHAnsi" w:cstheme="minorHAnsi"/>
                <w:sz w:val="20"/>
              </w:rPr>
            </w:pPr>
            <w:r w:rsidRPr="00AD6C8F">
              <w:rPr>
                <w:rFonts w:asciiTheme="minorHAnsi" w:hAnsiTheme="minorHAnsi" w:cstheme="minorHAnsi"/>
                <w:sz w:val="20"/>
              </w:rPr>
              <w:t>Fournitures (masques, gel hydroalcoolique, etc.)</w:t>
            </w:r>
          </w:p>
        </w:tc>
        <w:tc>
          <w:tcPr>
            <w:tcW w:w="1740" w:type="dxa"/>
            <w:tcBorders>
              <w:top w:val="nil"/>
              <w:left w:val="nil"/>
              <w:bottom w:val="nil"/>
              <w:right w:val="nil"/>
            </w:tcBorders>
            <w:shd w:val="clear" w:color="auto" w:fill="auto"/>
            <w:noWrap/>
            <w:vAlign w:val="center"/>
            <w:hideMark/>
          </w:tcPr>
          <w:p w14:paraId="052916E1" w14:textId="77777777" w:rsidR="006E7C07" w:rsidRPr="00AD6C8F" w:rsidRDefault="006E7C07" w:rsidP="004C5592">
            <w:pPr>
              <w:snapToGrid w:val="0"/>
              <w:spacing w:before="60" w:after="60"/>
              <w:jc w:val="center"/>
              <w:rPr>
                <w:rFonts w:asciiTheme="minorHAnsi" w:hAnsiTheme="minorHAnsi" w:cstheme="minorHAnsi"/>
                <w:color w:val="002060"/>
                <w:sz w:val="20"/>
              </w:rPr>
            </w:pPr>
            <w:r w:rsidRPr="00AD6C8F">
              <w:rPr>
                <w:rFonts w:asciiTheme="minorHAnsi" w:hAnsiTheme="minorHAnsi" w:cstheme="minorHAnsi"/>
                <w:color w:val="002060"/>
                <w:sz w:val="20"/>
              </w:rPr>
              <w:t>108</w:t>
            </w:r>
          </w:p>
        </w:tc>
      </w:tr>
      <w:tr w:rsidR="006E7C07" w:rsidRPr="00AD6C8F" w14:paraId="33B89C5E" w14:textId="77777777" w:rsidTr="004C5592">
        <w:trPr>
          <w:trHeight w:val="280"/>
          <w:jc w:val="center"/>
        </w:trPr>
        <w:tc>
          <w:tcPr>
            <w:tcW w:w="5773" w:type="dxa"/>
            <w:tcBorders>
              <w:top w:val="nil"/>
              <w:left w:val="nil"/>
              <w:bottom w:val="nil"/>
              <w:right w:val="nil"/>
            </w:tcBorders>
            <w:shd w:val="clear" w:color="auto" w:fill="auto"/>
            <w:vAlign w:val="center"/>
            <w:hideMark/>
          </w:tcPr>
          <w:p w14:paraId="29434C73" w14:textId="77777777" w:rsidR="006E7C07" w:rsidRPr="00AD6C8F" w:rsidRDefault="006E7C07" w:rsidP="004C5592">
            <w:pPr>
              <w:snapToGrid w:val="0"/>
              <w:spacing w:before="60" w:after="60"/>
              <w:jc w:val="both"/>
              <w:rPr>
                <w:rFonts w:asciiTheme="minorHAnsi" w:hAnsiTheme="minorHAnsi" w:cstheme="minorHAnsi"/>
                <w:sz w:val="20"/>
              </w:rPr>
            </w:pPr>
            <w:r w:rsidRPr="00AD6C8F">
              <w:rPr>
                <w:rFonts w:asciiTheme="minorHAnsi" w:hAnsiTheme="minorHAnsi" w:cstheme="minorHAnsi"/>
                <w:sz w:val="20"/>
              </w:rPr>
              <w:t>Logiciels (sécurité)</w:t>
            </w:r>
          </w:p>
        </w:tc>
        <w:tc>
          <w:tcPr>
            <w:tcW w:w="1740" w:type="dxa"/>
            <w:tcBorders>
              <w:top w:val="nil"/>
              <w:left w:val="nil"/>
              <w:bottom w:val="nil"/>
              <w:right w:val="nil"/>
            </w:tcBorders>
            <w:shd w:val="clear" w:color="auto" w:fill="auto"/>
            <w:noWrap/>
            <w:vAlign w:val="center"/>
            <w:hideMark/>
          </w:tcPr>
          <w:p w14:paraId="15D8A82E" w14:textId="77777777" w:rsidR="006E7C07" w:rsidRPr="00AD6C8F" w:rsidRDefault="006E7C07" w:rsidP="004C5592">
            <w:pPr>
              <w:snapToGrid w:val="0"/>
              <w:spacing w:before="60" w:after="60"/>
              <w:jc w:val="center"/>
              <w:rPr>
                <w:rFonts w:asciiTheme="minorHAnsi" w:hAnsiTheme="minorHAnsi" w:cstheme="minorHAnsi"/>
                <w:color w:val="002060"/>
                <w:sz w:val="20"/>
              </w:rPr>
            </w:pPr>
            <w:r w:rsidRPr="00AD6C8F">
              <w:rPr>
                <w:rFonts w:asciiTheme="minorHAnsi" w:hAnsiTheme="minorHAnsi" w:cstheme="minorHAnsi"/>
                <w:color w:val="002060"/>
                <w:sz w:val="20"/>
              </w:rPr>
              <w:t>21</w:t>
            </w:r>
          </w:p>
        </w:tc>
      </w:tr>
      <w:tr w:rsidR="006E7C07" w:rsidRPr="00AD6C8F" w14:paraId="3549E233" w14:textId="77777777" w:rsidTr="004C5592">
        <w:trPr>
          <w:trHeight w:val="280"/>
          <w:jc w:val="center"/>
        </w:trPr>
        <w:tc>
          <w:tcPr>
            <w:tcW w:w="5773" w:type="dxa"/>
            <w:tcBorders>
              <w:top w:val="nil"/>
              <w:left w:val="nil"/>
              <w:bottom w:val="nil"/>
              <w:right w:val="nil"/>
            </w:tcBorders>
            <w:shd w:val="clear" w:color="auto" w:fill="auto"/>
            <w:vAlign w:val="center"/>
            <w:hideMark/>
          </w:tcPr>
          <w:p w14:paraId="4C5389B4" w14:textId="77777777" w:rsidR="006E7C07" w:rsidRPr="00AD6C8F" w:rsidRDefault="006E7C07" w:rsidP="004C5592">
            <w:pPr>
              <w:snapToGrid w:val="0"/>
              <w:spacing w:before="60" w:after="60"/>
              <w:jc w:val="both"/>
              <w:rPr>
                <w:rFonts w:asciiTheme="minorHAnsi" w:hAnsiTheme="minorHAnsi" w:cstheme="minorHAnsi"/>
                <w:sz w:val="20"/>
              </w:rPr>
            </w:pPr>
            <w:r w:rsidRPr="00AD6C8F">
              <w:rPr>
                <w:rFonts w:asciiTheme="minorHAnsi" w:hAnsiTheme="minorHAnsi" w:cstheme="minorHAnsi"/>
                <w:sz w:val="20"/>
              </w:rPr>
              <w:t>Téléphones mobiles (achat)</w:t>
            </w:r>
          </w:p>
        </w:tc>
        <w:tc>
          <w:tcPr>
            <w:tcW w:w="1740" w:type="dxa"/>
            <w:tcBorders>
              <w:top w:val="nil"/>
              <w:left w:val="nil"/>
              <w:bottom w:val="nil"/>
              <w:right w:val="nil"/>
            </w:tcBorders>
            <w:shd w:val="clear" w:color="auto" w:fill="auto"/>
            <w:noWrap/>
            <w:vAlign w:val="center"/>
            <w:hideMark/>
          </w:tcPr>
          <w:p w14:paraId="3BD6AA23" w14:textId="77777777" w:rsidR="006E7C07" w:rsidRPr="00AD6C8F" w:rsidRDefault="006E7C07" w:rsidP="004C5592">
            <w:pPr>
              <w:snapToGrid w:val="0"/>
              <w:spacing w:before="60" w:after="60"/>
              <w:jc w:val="center"/>
              <w:rPr>
                <w:rFonts w:asciiTheme="minorHAnsi" w:hAnsiTheme="minorHAnsi" w:cstheme="minorHAnsi"/>
                <w:color w:val="002060"/>
                <w:sz w:val="20"/>
              </w:rPr>
            </w:pPr>
            <w:r w:rsidRPr="00AD6C8F">
              <w:rPr>
                <w:rFonts w:asciiTheme="minorHAnsi" w:hAnsiTheme="minorHAnsi" w:cstheme="minorHAnsi"/>
                <w:color w:val="002060"/>
                <w:sz w:val="20"/>
              </w:rPr>
              <w:t>125</w:t>
            </w:r>
          </w:p>
        </w:tc>
      </w:tr>
      <w:tr w:rsidR="006E7C07" w:rsidRPr="00AD6C8F" w14:paraId="2ECF6522" w14:textId="77777777" w:rsidTr="004C5592">
        <w:trPr>
          <w:trHeight w:val="280"/>
          <w:jc w:val="center"/>
        </w:trPr>
        <w:tc>
          <w:tcPr>
            <w:tcW w:w="5773" w:type="dxa"/>
            <w:tcBorders>
              <w:top w:val="nil"/>
              <w:left w:val="nil"/>
              <w:bottom w:val="nil"/>
              <w:right w:val="nil"/>
            </w:tcBorders>
            <w:shd w:val="clear" w:color="auto" w:fill="auto"/>
            <w:vAlign w:val="center"/>
            <w:hideMark/>
          </w:tcPr>
          <w:p w14:paraId="6E777E10" w14:textId="77777777" w:rsidR="006E7C07" w:rsidRPr="00AD6C8F" w:rsidRDefault="006E7C07" w:rsidP="004C5592">
            <w:pPr>
              <w:snapToGrid w:val="0"/>
              <w:spacing w:before="60" w:after="60"/>
              <w:jc w:val="both"/>
              <w:rPr>
                <w:rFonts w:asciiTheme="minorHAnsi" w:hAnsiTheme="minorHAnsi" w:cstheme="minorHAnsi"/>
                <w:sz w:val="20"/>
              </w:rPr>
            </w:pPr>
            <w:r w:rsidRPr="00AD6C8F">
              <w:rPr>
                <w:rFonts w:asciiTheme="minorHAnsi" w:hAnsiTheme="minorHAnsi" w:cstheme="minorHAnsi"/>
                <w:sz w:val="20"/>
              </w:rPr>
              <w:t>Téléphones mobiles (abonnements)</w:t>
            </w:r>
          </w:p>
        </w:tc>
        <w:tc>
          <w:tcPr>
            <w:tcW w:w="1740" w:type="dxa"/>
            <w:tcBorders>
              <w:top w:val="nil"/>
              <w:left w:val="nil"/>
              <w:bottom w:val="nil"/>
              <w:right w:val="nil"/>
            </w:tcBorders>
            <w:shd w:val="clear" w:color="auto" w:fill="auto"/>
            <w:noWrap/>
            <w:vAlign w:val="center"/>
            <w:hideMark/>
          </w:tcPr>
          <w:p w14:paraId="792C2D36" w14:textId="77777777" w:rsidR="006E7C07" w:rsidRPr="00AD6C8F" w:rsidRDefault="006E7C07" w:rsidP="004C5592">
            <w:pPr>
              <w:snapToGrid w:val="0"/>
              <w:spacing w:before="60" w:after="60"/>
              <w:jc w:val="center"/>
              <w:rPr>
                <w:rFonts w:asciiTheme="minorHAnsi" w:hAnsiTheme="minorHAnsi" w:cstheme="minorHAnsi"/>
                <w:color w:val="002060"/>
                <w:sz w:val="20"/>
              </w:rPr>
            </w:pPr>
            <w:r w:rsidRPr="00AD6C8F">
              <w:rPr>
                <w:rFonts w:asciiTheme="minorHAnsi" w:hAnsiTheme="minorHAnsi" w:cstheme="minorHAnsi"/>
                <w:color w:val="002060"/>
                <w:sz w:val="20"/>
              </w:rPr>
              <w:t>190</w:t>
            </w:r>
          </w:p>
        </w:tc>
      </w:tr>
      <w:tr w:rsidR="006E7C07" w:rsidRPr="00AD6C8F" w14:paraId="113A09F7" w14:textId="77777777" w:rsidTr="004C5592">
        <w:trPr>
          <w:trHeight w:val="280"/>
          <w:jc w:val="center"/>
        </w:trPr>
        <w:tc>
          <w:tcPr>
            <w:tcW w:w="5773" w:type="dxa"/>
            <w:tcBorders>
              <w:top w:val="nil"/>
              <w:left w:val="nil"/>
              <w:bottom w:val="nil"/>
              <w:right w:val="nil"/>
            </w:tcBorders>
            <w:shd w:val="clear" w:color="auto" w:fill="auto"/>
            <w:noWrap/>
            <w:vAlign w:val="center"/>
            <w:hideMark/>
          </w:tcPr>
          <w:p w14:paraId="65678E35" w14:textId="39DD67A9" w:rsidR="006E7C07" w:rsidRPr="00AD6C8F" w:rsidRDefault="006E7C07" w:rsidP="004C5592">
            <w:pPr>
              <w:snapToGrid w:val="0"/>
              <w:spacing w:before="60" w:after="60"/>
              <w:jc w:val="both"/>
              <w:rPr>
                <w:rFonts w:asciiTheme="minorHAnsi" w:hAnsiTheme="minorHAnsi" w:cstheme="minorHAnsi"/>
                <w:sz w:val="20"/>
              </w:rPr>
            </w:pPr>
            <w:r w:rsidRPr="00AD6C8F">
              <w:rPr>
                <w:rFonts w:asciiTheme="minorHAnsi" w:hAnsiTheme="minorHAnsi" w:cstheme="minorHAnsi"/>
                <w:sz w:val="20"/>
              </w:rPr>
              <w:t>Périphériques informatiques (ordinateurs portables,</w:t>
            </w:r>
            <w:r w:rsidR="004C5592">
              <w:rPr>
                <w:rFonts w:asciiTheme="minorHAnsi" w:hAnsiTheme="minorHAnsi" w:cstheme="minorHAnsi"/>
                <w:sz w:val="20"/>
              </w:rPr>
              <w:t xml:space="preserve"> </w:t>
            </w:r>
            <w:r w:rsidRPr="00AD6C8F">
              <w:rPr>
                <w:rFonts w:asciiTheme="minorHAnsi" w:hAnsiTheme="minorHAnsi" w:cstheme="minorHAnsi"/>
                <w:sz w:val="20"/>
              </w:rPr>
              <w:t>écrans, etc.)</w:t>
            </w:r>
          </w:p>
        </w:tc>
        <w:tc>
          <w:tcPr>
            <w:tcW w:w="1740" w:type="dxa"/>
            <w:tcBorders>
              <w:top w:val="nil"/>
              <w:left w:val="nil"/>
              <w:bottom w:val="nil"/>
              <w:right w:val="nil"/>
            </w:tcBorders>
            <w:shd w:val="clear" w:color="auto" w:fill="auto"/>
            <w:noWrap/>
            <w:vAlign w:val="center"/>
            <w:hideMark/>
          </w:tcPr>
          <w:p w14:paraId="50C784AF" w14:textId="77777777" w:rsidR="006E7C07" w:rsidRPr="00AD6C8F" w:rsidRDefault="006E7C07" w:rsidP="004C5592">
            <w:pPr>
              <w:snapToGrid w:val="0"/>
              <w:spacing w:before="60" w:after="60"/>
              <w:jc w:val="center"/>
              <w:rPr>
                <w:rFonts w:asciiTheme="minorHAnsi" w:hAnsiTheme="minorHAnsi" w:cstheme="minorHAnsi"/>
                <w:color w:val="002060"/>
                <w:sz w:val="20"/>
              </w:rPr>
            </w:pPr>
            <w:r w:rsidRPr="00AD6C8F">
              <w:rPr>
                <w:rFonts w:asciiTheme="minorHAnsi" w:hAnsiTheme="minorHAnsi" w:cstheme="minorHAnsi"/>
                <w:color w:val="002060"/>
                <w:sz w:val="20"/>
              </w:rPr>
              <w:t>317</w:t>
            </w:r>
          </w:p>
        </w:tc>
      </w:tr>
      <w:tr w:rsidR="006E7C07" w:rsidRPr="00AD6C8F" w14:paraId="069AD7A5" w14:textId="77777777" w:rsidTr="004C5592">
        <w:trPr>
          <w:trHeight w:val="280"/>
          <w:jc w:val="center"/>
        </w:trPr>
        <w:tc>
          <w:tcPr>
            <w:tcW w:w="5773" w:type="dxa"/>
            <w:tcBorders>
              <w:top w:val="nil"/>
              <w:left w:val="nil"/>
              <w:bottom w:val="nil"/>
              <w:right w:val="nil"/>
            </w:tcBorders>
            <w:shd w:val="clear" w:color="auto" w:fill="auto"/>
            <w:noWrap/>
            <w:vAlign w:val="center"/>
            <w:hideMark/>
          </w:tcPr>
          <w:p w14:paraId="7A9CFAC8" w14:textId="77777777" w:rsidR="006E7C07" w:rsidRPr="00AD6C8F" w:rsidRDefault="006E7C07" w:rsidP="004C5592">
            <w:pPr>
              <w:snapToGrid w:val="0"/>
              <w:spacing w:before="60" w:after="60"/>
              <w:jc w:val="both"/>
              <w:rPr>
                <w:rFonts w:asciiTheme="minorHAnsi" w:hAnsiTheme="minorHAnsi" w:cstheme="minorHAnsi"/>
                <w:sz w:val="20"/>
              </w:rPr>
            </w:pPr>
            <w:r w:rsidRPr="00AD6C8F">
              <w:rPr>
                <w:rFonts w:asciiTheme="minorHAnsi" w:hAnsiTheme="minorHAnsi" w:cstheme="minorHAnsi"/>
                <w:sz w:val="20"/>
              </w:rPr>
              <w:t>Appui supplémentaire concernant le télétravail</w:t>
            </w:r>
          </w:p>
        </w:tc>
        <w:tc>
          <w:tcPr>
            <w:tcW w:w="1740" w:type="dxa"/>
            <w:tcBorders>
              <w:top w:val="nil"/>
              <w:left w:val="nil"/>
              <w:bottom w:val="nil"/>
              <w:right w:val="nil"/>
            </w:tcBorders>
            <w:shd w:val="clear" w:color="auto" w:fill="auto"/>
            <w:noWrap/>
            <w:vAlign w:val="center"/>
            <w:hideMark/>
          </w:tcPr>
          <w:p w14:paraId="734DB161" w14:textId="77777777" w:rsidR="006E7C07" w:rsidRPr="00AD6C8F" w:rsidRDefault="006E7C07" w:rsidP="004C5592">
            <w:pPr>
              <w:snapToGrid w:val="0"/>
              <w:spacing w:before="60" w:after="60"/>
              <w:jc w:val="center"/>
              <w:rPr>
                <w:rFonts w:asciiTheme="minorHAnsi" w:hAnsiTheme="minorHAnsi" w:cstheme="minorHAnsi"/>
                <w:color w:val="002060"/>
                <w:sz w:val="20"/>
              </w:rPr>
            </w:pPr>
            <w:r w:rsidRPr="00AD6C8F">
              <w:rPr>
                <w:rFonts w:asciiTheme="minorHAnsi" w:hAnsiTheme="minorHAnsi" w:cstheme="minorHAnsi"/>
                <w:color w:val="002060"/>
                <w:sz w:val="20"/>
              </w:rPr>
              <w:t>111</w:t>
            </w:r>
          </w:p>
        </w:tc>
      </w:tr>
      <w:tr w:rsidR="006E7C07" w:rsidRPr="00AD6C8F" w14:paraId="1CEA2118" w14:textId="77777777" w:rsidTr="004C5592">
        <w:trPr>
          <w:trHeight w:val="280"/>
          <w:jc w:val="center"/>
        </w:trPr>
        <w:tc>
          <w:tcPr>
            <w:tcW w:w="5773" w:type="dxa"/>
            <w:tcBorders>
              <w:top w:val="nil"/>
              <w:left w:val="nil"/>
              <w:bottom w:val="nil"/>
              <w:right w:val="nil"/>
            </w:tcBorders>
            <w:shd w:val="clear" w:color="auto" w:fill="auto"/>
            <w:noWrap/>
            <w:vAlign w:val="center"/>
            <w:hideMark/>
          </w:tcPr>
          <w:p w14:paraId="7D4F7CBA" w14:textId="77777777" w:rsidR="006E7C07" w:rsidRPr="00AD6C8F" w:rsidRDefault="006E7C07" w:rsidP="004C5592">
            <w:pPr>
              <w:snapToGrid w:val="0"/>
              <w:spacing w:before="60" w:after="60"/>
              <w:jc w:val="both"/>
              <w:rPr>
                <w:rFonts w:asciiTheme="minorHAnsi" w:hAnsiTheme="minorHAnsi" w:cstheme="minorHAnsi"/>
                <w:sz w:val="20"/>
              </w:rPr>
            </w:pPr>
            <w:r w:rsidRPr="00AD6C8F">
              <w:rPr>
                <w:rFonts w:asciiTheme="minorHAnsi" w:hAnsiTheme="minorHAnsi" w:cstheme="minorHAnsi"/>
                <w:sz w:val="20"/>
              </w:rPr>
              <w:t>Licences pour les conférences et réunions virtuelles, etc.</w:t>
            </w:r>
          </w:p>
        </w:tc>
        <w:tc>
          <w:tcPr>
            <w:tcW w:w="1740" w:type="dxa"/>
            <w:tcBorders>
              <w:top w:val="nil"/>
              <w:left w:val="nil"/>
              <w:bottom w:val="nil"/>
              <w:right w:val="nil"/>
            </w:tcBorders>
            <w:shd w:val="clear" w:color="auto" w:fill="auto"/>
            <w:noWrap/>
            <w:vAlign w:val="center"/>
            <w:hideMark/>
          </w:tcPr>
          <w:p w14:paraId="6D70D6B7" w14:textId="77777777" w:rsidR="006E7C07" w:rsidRPr="00AD6C8F" w:rsidRDefault="006E7C07" w:rsidP="004C5592">
            <w:pPr>
              <w:snapToGrid w:val="0"/>
              <w:spacing w:before="60" w:after="60"/>
              <w:jc w:val="center"/>
              <w:rPr>
                <w:rFonts w:asciiTheme="minorHAnsi" w:hAnsiTheme="minorHAnsi" w:cstheme="minorHAnsi"/>
                <w:color w:val="002060"/>
                <w:sz w:val="20"/>
              </w:rPr>
            </w:pPr>
            <w:r w:rsidRPr="00AD6C8F">
              <w:rPr>
                <w:rFonts w:asciiTheme="minorHAnsi" w:hAnsiTheme="minorHAnsi" w:cstheme="minorHAnsi"/>
                <w:color w:val="002060"/>
                <w:sz w:val="20"/>
              </w:rPr>
              <w:t>117</w:t>
            </w:r>
          </w:p>
        </w:tc>
      </w:tr>
      <w:tr w:rsidR="006E7C07" w:rsidRPr="00AD6C8F" w14:paraId="027418F5" w14:textId="77777777" w:rsidTr="004C5592">
        <w:trPr>
          <w:trHeight w:val="280"/>
          <w:jc w:val="center"/>
        </w:trPr>
        <w:tc>
          <w:tcPr>
            <w:tcW w:w="5773" w:type="dxa"/>
            <w:tcBorders>
              <w:top w:val="nil"/>
              <w:left w:val="nil"/>
              <w:right w:val="nil"/>
            </w:tcBorders>
            <w:shd w:val="clear" w:color="auto" w:fill="auto"/>
            <w:noWrap/>
            <w:vAlign w:val="center"/>
            <w:hideMark/>
          </w:tcPr>
          <w:p w14:paraId="5D045DE0" w14:textId="77777777" w:rsidR="006E7C07" w:rsidRPr="00AD6C8F" w:rsidRDefault="006E7C07" w:rsidP="004C5592">
            <w:pPr>
              <w:snapToGrid w:val="0"/>
              <w:spacing w:before="60" w:after="60"/>
              <w:jc w:val="both"/>
              <w:rPr>
                <w:rFonts w:asciiTheme="minorHAnsi" w:hAnsiTheme="minorHAnsi" w:cstheme="minorHAnsi"/>
                <w:sz w:val="20"/>
              </w:rPr>
            </w:pPr>
            <w:r w:rsidRPr="00AD6C8F">
              <w:rPr>
                <w:rFonts w:asciiTheme="minorHAnsi" w:hAnsiTheme="minorHAnsi" w:cstheme="minorHAnsi"/>
                <w:sz w:val="20"/>
              </w:rPr>
              <w:t>Appui (animateurs et autres) aux réunions</w:t>
            </w:r>
          </w:p>
        </w:tc>
        <w:tc>
          <w:tcPr>
            <w:tcW w:w="1740" w:type="dxa"/>
            <w:tcBorders>
              <w:top w:val="nil"/>
              <w:left w:val="nil"/>
              <w:right w:val="nil"/>
            </w:tcBorders>
            <w:shd w:val="clear" w:color="auto" w:fill="auto"/>
            <w:noWrap/>
            <w:vAlign w:val="center"/>
            <w:hideMark/>
          </w:tcPr>
          <w:p w14:paraId="0B923125" w14:textId="77777777" w:rsidR="006E7C07" w:rsidRPr="00AD6C8F" w:rsidRDefault="006E7C07" w:rsidP="004C5592">
            <w:pPr>
              <w:snapToGrid w:val="0"/>
              <w:spacing w:before="60" w:after="60"/>
              <w:jc w:val="center"/>
              <w:rPr>
                <w:rFonts w:asciiTheme="minorHAnsi" w:hAnsiTheme="minorHAnsi" w:cstheme="minorHAnsi"/>
                <w:color w:val="002060"/>
                <w:sz w:val="20"/>
              </w:rPr>
            </w:pPr>
            <w:r w:rsidRPr="00AD6C8F">
              <w:rPr>
                <w:rFonts w:asciiTheme="minorHAnsi" w:hAnsiTheme="minorHAnsi" w:cstheme="minorHAnsi"/>
                <w:color w:val="002060"/>
                <w:sz w:val="20"/>
              </w:rPr>
              <w:t>199</w:t>
            </w:r>
          </w:p>
        </w:tc>
      </w:tr>
      <w:tr w:rsidR="006E7C07" w:rsidRPr="00AD6C8F" w14:paraId="2050A97A" w14:textId="77777777" w:rsidTr="004C5592">
        <w:trPr>
          <w:trHeight w:val="280"/>
          <w:jc w:val="center"/>
        </w:trPr>
        <w:tc>
          <w:tcPr>
            <w:tcW w:w="5773" w:type="dxa"/>
            <w:tcBorders>
              <w:top w:val="nil"/>
              <w:left w:val="nil"/>
              <w:bottom w:val="single" w:sz="4" w:space="0" w:color="auto"/>
              <w:right w:val="nil"/>
            </w:tcBorders>
            <w:shd w:val="clear" w:color="auto" w:fill="auto"/>
            <w:vAlign w:val="center"/>
            <w:hideMark/>
          </w:tcPr>
          <w:p w14:paraId="3AEE318A" w14:textId="77777777" w:rsidR="006E7C07" w:rsidRPr="00AD6C8F" w:rsidRDefault="006E7C07" w:rsidP="004C5592">
            <w:pPr>
              <w:snapToGrid w:val="0"/>
              <w:spacing w:before="60" w:after="60"/>
              <w:jc w:val="both"/>
              <w:rPr>
                <w:rFonts w:asciiTheme="minorHAnsi" w:hAnsiTheme="minorHAnsi" w:cstheme="minorHAnsi"/>
                <w:sz w:val="20"/>
              </w:rPr>
            </w:pPr>
            <w:r w:rsidRPr="00AD6C8F">
              <w:rPr>
                <w:rFonts w:asciiTheme="minorHAnsi" w:hAnsiTheme="minorHAnsi" w:cstheme="minorHAnsi"/>
                <w:sz w:val="20"/>
              </w:rPr>
              <w:t>Divers</w:t>
            </w:r>
          </w:p>
        </w:tc>
        <w:tc>
          <w:tcPr>
            <w:tcW w:w="1740" w:type="dxa"/>
            <w:tcBorders>
              <w:top w:val="nil"/>
              <w:left w:val="nil"/>
              <w:bottom w:val="single" w:sz="4" w:space="0" w:color="auto"/>
              <w:right w:val="nil"/>
            </w:tcBorders>
            <w:shd w:val="clear" w:color="auto" w:fill="auto"/>
            <w:noWrap/>
            <w:vAlign w:val="center"/>
            <w:hideMark/>
          </w:tcPr>
          <w:p w14:paraId="5EEF605D" w14:textId="77777777" w:rsidR="006E7C07" w:rsidRPr="00AD6C8F" w:rsidRDefault="006E7C07" w:rsidP="004C5592">
            <w:pPr>
              <w:snapToGrid w:val="0"/>
              <w:spacing w:before="60" w:after="60"/>
              <w:jc w:val="center"/>
              <w:rPr>
                <w:rFonts w:asciiTheme="minorHAnsi" w:hAnsiTheme="minorHAnsi" w:cstheme="minorHAnsi"/>
                <w:color w:val="002060"/>
                <w:sz w:val="20"/>
              </w:rPr>
            </w:pPr>
            <w:r w:rsidRPr="00AD6C8F">
              <w:rPr>
                <w:rFonts w:asciiTheme="minorHAnsi" w:hAnsiTheme="minorHAnsi" w:cstheme="minorHAnsi"/>
                <w:color w:val="002060"/>
                <w:sz w:val="20"/>
              </w:rPr>
              <w:t>45</w:t>
            </w:r>
          </w:p>
        </w:tc>
      </w:tr>
      <w:tr w:rsidR="006E7C07" w:rsidRPr="00AD6C8F" w14:paraId="077C1891" w14:textId="77777777" w:rsidTr="004C5592">
        <w:trPr>
          <w:trHeight w:val="280"/>
          <w:jc w:val="center"/>
        </w:trPr>
        <w:tc>
          <w:tcPr>
            <w:tcW w:w="5773" w:type="dxa"/>
            <w:tcBorders>
              <w:top w:val="single" w:sz="4" w:space="0" w:color="auto"/>
              <w:left w:val="nil"/>
              <w:bottom w:val="nil"/>
              <w:right w:val="nil"/>
            </w:tcBorders>
            <w:shd w:val="clear" w:color="auto" w:fill="auto"/>
            <w:noWrap/>
            <w:vAlign w:val="center"/>
            <w:hideMark/>
          </w:tcPr>
          <w:p w14:paraId="6D2C7B95" w14:textId="77777777" w:rsidR="006E7C07" w:rsidRPr="00AD6C8F" w:rsidRDefault="006E7C07" w:rsidP="004C5592">
            <w:pPr>
              <w:snapToGrid w:val="0"/>
              <w:spacing w:before="60" w:after="60"/>
              <w:jc w:val="both"/>
              <w:rPr>
                <w:rFonts w:asciiTheme="minorHAnsi" w:hAnsiTheme="minorHAnsi" w:cstheme="minorHAnsi"/>
                <w:color w:val="002060"/>
                <w:sz w:val="20"/>
              </w:rPr>
            </w:pPr>
          </w:p>
        </w:tc>
        <w:tc>
          <w:tcPr>
            <w:tcW w:w="1740" w:type="dxa"/>
            <w:tcBorders>
              <w:top w:val="single" w:sz="4" w:space="0" w:color="auto"/>
              <w:left w:val="nil"/>
              <w:bottom w:val="nil"/>
              <w:right w:val="nil"/>
            </w:tcBorders>
            <w:shd w:val="clear" w:color="auto" w:fill="auto"/>
            <w:noWrap/>
            <w:vAlign w:val="center"/>
            <w:hideMark/>
          </w:tcPr>
          <w:p w14:paraId="5E8DF851" w14:textId="77777777" w:rsidR="006E7C07" w:rsidRPr="00AD6C8F" w:rsidRDefault="006E7C07" w:rsidP="004C5592">
            <w:pPr>
              <w:snapToGrid w:val="0"/>
              <w:spacing w:before="60" w:after="60"/>
              <w:jc w:val="center"/>
              <w:rPr>
                <w:rFonts w:asciiTheme="minorHAnsi" w:hAnsiTheme="minorHAnsi" w:cstheme="minorHAnsi"/>
                <w:sz w:val="20"/>
              </w:rPr>
            </w:pPr>
          </w:p>
        </w:tc>
      </w:tr>
      <w:tr w:rsidR="006E7C07" w:rsidRPr="00AD6C8F" w14:paraId="34608EDA" w14:textId="77777777" w:rsidTr="004C5592">
        <w:trPr>
          <w:trHeight w:val="280"/>
          <w:jc w:val="center"/>
        </w:trPr>
        <w:tc>
          <w:tcPr>
            <w:tcW w:w="5773" w:type="dxa"/>
            <w:tcBorders>
              <w:top w:val="nil"/>
              <w:left w:val="nil"/>
              <w:bottom w:val="nil"/>
              <w:right w:val="nil"/>
            </w:tcBorders>
            <w:shd w:val="clear" w:color="auto" w:fill="auto"/>
            <w:noWrap/>
            <w:vAlign w:val="center"/>
            <w:hideMark/>
          </w:tcPr>
          <w:p w14:paraId="3EC71DAF" w14:textId="77777777" w:rsidR="006E7C07" w:rsidRPr="00AD6C8F" w:rsidRDefault="006E7C07" w:rsidP="004C5592">
            <w:pPr>
              <w:snapToGrid w:val="0"/>
              <w:spacing w:before="60" w:after="60"/>
              <w:jc w:val="both"/>
              <w:rPr>
                <w:rFonts w:asciiTheme="minorHAnsi" w:hAnsiTheme="minorHAnsi" w:cstheme="minorHAnsi"/>
                <w:b/>
                <w:bCs/>
                <w:color w:val="C00000"/>
                <w:szCs w:val="24"/>
              </w:rPr>
            </w:pPr>
            <w:r w:rsidRPr="00AD6C8F">
              <w:rPr>
                <w:rFonts w:asciiTheme="minorHAnsi" w:hAnsiTheme="minorHAnsi" w:cstheme="minorHAnsi"/>
                <w:b/>
                <w:bCs/>
                <w:color w:val="C00000"/>
                <w:szCs w:val="24"/>
              </w:rPr>
              <w:t>TOTAL</w:t>
            </w:r>
          </w:p>
        </w:tc>
        <w:tc>
          <w:tcPr>
            <w:tcW w:w="1740" w:type="dxa"/>
            <w:tcBorders>
              <w:top w:val="nil"/>
              <w:left w:val="nil"/>
              <w:bottom w:val="nil"/>
              <w:right w:val="nil"/>
            </w:tcBorders>
            <w:shd w:val="clear" w:color="auto" w:fill="auto"/>
            <w:noWrap/>
            <w:vAlign w:val="center"/>
            <w:hideMark/>
          </w:tcPr>
          <w:p w14:paraId="77CAA673" w14:textId="77777777" w:rsidR="006E7C07" w:rsidRPr="00AD6C8F" w:rsidRDefault="006E7C07" w:rsidP="004C5592">
            <w:pPr>
              <w:snapToGrid w:val="0"/>
              <w:spacing w:before="60" w:after="60"/>
              <w:jc w:val="center"/>
              <w:rPr>
                <w:rFonts w:asciiTheme="minorHAnsi" w:hAnsiTheme="minorHAnsi" w:cstheme="minorHAnsi"/>
                <w:b/>
                <w:bCs/>
                <w:color w:val="C00000"/>
                <w:szCs w:val="24"/>
              </w:rPr>
            </w:pPr>
            <w:r w:rsidRPr="00AD6C8F">
              <w:rPr>
                <w:rFonts w:asciiTheme="minorHAnsi" w:hAnsiTheme="minorHAnsi" w:cstheme="minorHAnsi"/>
                <w:b/>
                <w:bCs/>
                <w:color w:val="C00000"/>
                <w:szCs w:val="24"/>
              </w:rPr>
              <w:t>1 532</w:t>
            </w:r>
          </w:p>
        </w:tc>
      </w:tr>
    </w:tbl>
    <w:p w14:paraId="414A2B37" w14:textId="3AD5D422" w:rsidR="00897553" w:rsidRPr="00AD6C8F" w:rsidRDefault="006E7C07" w:rsidP="004C5592">
      <w:pPr>
        <w:spacing w:before="840"/>
        <w:jc w:val="center"/>
      </w:pPr>
      <w:r w:rsidRPr="00AD6C8F">
        <w:t>_________________</w:t>
      </w:r>
    </w:p>
    <w:sectPr w:rsidR="00897553" w:rsidRPr="00AD6C8F" w:rsidSect="005C3890">
      <w:headerReference w:type="even" r:id="rId19"/>
      <w:headerReference w:type="default" r:id="rId20"/>
      <w:footerReference w:type="even" r:id="rId21"/>
      <w:footerReference w:type="default" r:id="rId22"/>
      <w:footerReference w:type="first" r:id="rId2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3797B" w14:textId="77777777" w:rsidR="006E7C07" w:rsidRDefault="006E7C07">
      <w:r>
        <w:separator/>
      </w:r>
    </w:p>
  </w:endnote>
  <w:endnote w:type="continuationSeparator" w:id="0">
    <w:p w14:paraId="624DC7CB" w14:textId="77777777" w:rsidR="006E7C07" w:rsidRDefault="006E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7D8B" w14:textId="20238D20" w:rsidR="00732045" w:rsidRDefault="005B485C">
    <w:pPr>
      <w:pStyle w:val="Footer"/>
    </w:pPr>
    <w:fldSimple w:instr=" FILENAME \p \* MERGEFORMAT ">
      <w:r w:rsidR="00D62FD4">
        <w:t>P:\FRA\SG\CONSEIL\C21\000\074F.docx</w:t>
      </w:r>
    </w:fldSimple>
    <w:r w:rsidR="00732045">
      <w:tab/>
    </w:r>
    <w:r w:rsidR="002F1B76">
      <w:fldChar w:fldCharType="begin"/>
    </w:r>
    <w:r w:rsidR="00732045">
      <w:instrText xml:space="preserve"> savedate \@ dd.MM.yy </w:instrText>
    </w:r>
    <w:r w:rsidR="002F1B76">
      <w:fldChar w:fldCharType="separate"/>
    </w:r>
    <w:r w:rsidR="00501F0B">
      <w:t>11.05.21</w:t>
    </w:r>
    <w:r w:rsidR="002F1B76">
      <w:fldChar w:fldCharType="end"/>
    </w:r>
    <w:r w:rsidR="00732045">
      <w:tab/>
    </w:r>
    <w:r w:rsidR="002F1B76">
      <w:fldChar w:fldCharType="begin"/>
    </w:r>
    <w:r w:rsidR="00732045">
      <w:instrText xml:space="preserve"> printdate \@ dd.MM.yy </w:instrText>
    </w:r>
    <w:r w:rsidR="002F1B76">
      <w:fldChar w:fldCharType="separate"/>
    </w:r>
    <w:r w:rsidR="00D62FD4">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8D63" w14:textId="2358849A" w:rsidR="00732045" w:rsidRDefault="005B485C" w:rsidP="00BB6B4C">
    <w:pPr>
      <w:pStyle w:val="Footer"/>
    </w:pPr>
    <w:r w:rsidRPr="00501F0B">
      <w:rPr>
        <w:color w:val="F2F2F2" w:themeColor="background1" w:themeShade="F2"/>
      </w:rPr>
      <w:fldChar w:fldCharType="begin"/>
    </w:r>
    <w:r w:rsidRPr="00501F0B">
      <w:rPr>
        <w:color w:val="F2F2F2" w:themeColor="background1" w:themeShade="F2"/>
      </w:rPr>
      <w:instrText xml:space="preserve"> FILENAME \p  \* MERGEFORMAT </w:instrText>
    </w:r>
    <w:r w:rsidRPr="00501F0B">
      <w:rPr>
        <w:color w:val="F2F2F2" w:themeColor="background1" w:themeShade="F2"/>
      </w:rPr>
      <w:fldChar w:fldCharType="separate"/>
    </w:r>
    <w:r w:rsidR="00D62FD4" w:rsidRPr="00501F0B">
      <w:rPr>
        <w:color w:val="F2F2F2" w:themeColor="background1" w:themeShade="F2"/>
      </w:rPr>
      <w:t>P:\FRA\SG\CONSEIL\C21\000\074F.docx</w:t>
    </w:r>
    <w:r w:rsidRPr="00501F0B">
      <w:rPr>
        <w:color w:val="F2F2F2" w:themeColor="background1" w:themeShade="F2"/>
      </w:rPr>
      <w:fldChar w:fldCharType="end"/>
    </w:r>
    <w:r w:rsidR="00BB6B4C" w:rsidRPr="00501F0B">
      <w:rPr>
        <w:color w:val="F2F2F2" w:themeColor="background1" w:themeShade="F2"/>
      </w:rPr>
      <w:t xml:space="preserve"> (485459)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664B"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50C4" w14:textId="77777777" w:rsidR="006E7C07" w:rsidRDefault="006E7C07">
      <w:r>
        <w:t>____________________</w:t>
      </w:r>
    </w:p>
  </w:footnote>
  <w:footnote w:type="continuationSeparator" w:id="0">
    <w:p w14:paraId="7FD7FE9F" w14:textId="77777777" w:rsidR="006E7C07" w:rsidRDefault="006E7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C8C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756DC3F"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C462" w14:textId="4927E2A8" w:rsidR="00732045" w:rsidRDefault="00C27A7C" w:rsidP="00475FB3">
    <w:pPr>
      <w:pStyle w:val="Header"/>
    </w:pPr>
    <w:r>
      <w:fldChar w:fldCharType="begin"/>
    </w:r>
    <w:r>
      <w:instrText>PAGE</w:instrText>
    </w:r>
    <w:r>
      <w:fldChar w:fldCharType="separate"/>
    </w:r>
    <w:r w:rsidR="005B485C">
      <w:rPr>
        <w:noProof/>
      </w:rPr>
      <w:t>2</w:t>
    </w:r>
    <w:r>
      <w:rPr>
        <w:noProof/>
      </w:rPr>
      <w:fldChar w:fldCharType="end"/>
    </w:r>
  </w:p>
  <w:p w14:paraId="35F395BB" w14:textId="7DC8773A" w:rsidR="00732045" w:rsidRDefault="00732045" w:rsidP="00106B19">
    <w:pPr>
      <w:pStyle w:val="Header"/>
    </w:pPr>
    <w:r>
      <w:t>C</w:t>
    </w:r>
    <w:r w:rsidR="009C353C">
      <w:t>2</w:t>
    </w:r>
    <w:r w:rsidR="004D1D50">
      <w:t>1</w:t>
    </w:r>
    <w:r>
      <w:t>/</w:t>
    </w:r>
    <w:r w:rsidR="006E7C07">
      <w:t>74</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CEB7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046F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5666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ACC0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8478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9CDA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226B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FAE4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140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FCF4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00F83"/>
    <w:multiLevelType w:val="multilevel"/>
    <w:tmpl w:val="993E8220"/>
    <w:lvl w:ilvl="0">
      <w:start w:val="2"/>
      <w:numFmt w:val="decimal"/>
      <w:lvlText w:val="%1."/>
      <w:lvlJc w:val="left"/>
      <w:pPr>
        <w:ind w:left="144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11" w15:restartNumberingAfterBreak="0">
    <w:nsid w:val="04253187"/>
    <w:multiLevelType w:val="hybridMultilevel"/>
    <w:tmpl w:val="901E5220"/>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992" w:hanging="705"/>
      </w:pPr>
      <w:rPr>
        <w:rFonts w:ascii="Symbol" w:hAnsi="Symbol"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043D4C6A"/>
    <w:multiLevelType w:val="hybridMultilevel"/>
    <w:tmpl w:val="4F80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B3C62"/>
    <w:multiLevelType w:val="hybridMultilevel"/>
    <w:tmpl w:val="64243F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5A003E"/>
    <w:multiLevelType w:val="multilevel"/>
    <w:tmpl w:val="EE0E33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396F6E"/>
    <w:multiLevelType w:val="hybridMultilevel"/>
    <w:tmpl w:val="64B26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EE6968"/>
    <w:multiLevelType w:val="hybridMultilevel"/>
    <w:tmpl w:val="EC12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32107"/>
    <w:multiLevelType w:val="hybridMultilevel"/>
    <w:tmpl w:val="DD242BBA"/>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3"/>
  </w:num>
  <w:num w:numId="3">
    <w:abstractNumId w:val="10"/>
  </w:num>
  <w:num w:numId="4">
    <w:abstractNumId w:val="11"/>
  </w:num>
  <w:num w:numId="5">
    <w:abstractNumId w:val="12"/>
  </w:num>
  <w:num w:numId="6">
    <w:abstractNumId w:val="17"/>
  </w:num>
  <w:num w:numId="7">
    <w:abstractNumId w:val="14"/>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07"/>
    <w:rsid w:val="000D0D0A"/>
    <w:rsid w:val="00100844"/>
    <w:rsid w:val="00103163"/>
    <w:rsid w:val="00106B19"/>
    <w:rsid w:val="00115D93"/>
    <w:rsid w:val="001247A8"/>
    <w:rsid w:val="001378C0"/>
    <w:rsid w:val="0018694A"/>
    <w:rsid w:val="001A3287"/>
    <w:rsid w:val="001A6508"/>
    <w:rsid w:val="001C1EC6"/>
    <w:rsid w:val="001D4C31"/>
    <w:rsid w:val="001E4D21"/>
    <w:rsid w:val="00207CD1"/>
    <w:rsid w:val="002477A2"/>
    <w:rsid w:val="00263A51"/>
    <w:rsid w:val="00267E02"/>
    <w:rsid w:val="002A5D44"/>
    <w:rsid w:val="002E0BC4"/>
    <w:rsid w:val="002F1B76"/>
    <w:rsid w:val="0033568E"/>
    <w:rsid w:val="00355FF5"/>
    <w:rsid w:val="00361350"/>
    <w:rsid w:val="003C3FAE"/>
    <w:rsid w:val="004038CB"/>
    <w:rsid w:val="0040546F"/>
    <w:rsid w:val="0042404A"/>
    <w:rsid w:val="0044618F"/>
    <w:rsid w:val="0046769A"/>
    <w:rsid w:val="00475FB3"/>
    <w:rsid w:val="00492096"/>
    <w:rsid w:val="004C37A9"/>
    <w:rsid w:val="004C5592"/>
    <w:rsid w:val="004D1D50"/>
    <w:rsid w:val="004F259E"/>
    <w:rsid w:val="00501F0B"/>
    <w:rsid w:val="00511E1E"/>
    <w:rsid w:val="00511F1D"/>
    <w:rsid w:val="00520F36"/>
    <w:rsid w:val="00540615"/>
    <w:rsid w:val="00540A6D"/>
    <w:rsid w:val="00571EEA"/>
    <w:rsid w:val="00575417"/>
    <w:rsid w:val="005768E1"/>
    <w:rsid w:val="00583BE8"/>
    <w:rsid w:val="005B1938"/>
    <w:rsid w:val="005B485C"/>
    <w:rsid w:val="005C046E"/>
    <w:rsid w:val="005C3890"/>
    <w:rsid w:val="005F7BFE"/>
    <w:rsid w:val="00600017"/>
    <w:rsid w:val="006235CA"/>
    <w:rsid w:val="006643AB"/>
    <w:rsid w:val="006C0252"/>
    <w:rsid w:val="006E7C07"/>
    <w:rsid w:val="007210CD"/>
    <w:rsid w:val="00732045"/>
    <w:rsid w:val="007369DB"/>
    <w:rsid w:val="007956C2"/>
    <w:rsid w:val="007A187E"/>
    <w:rsid w:val="007C72C2"/>
    <w:rsid w:val="007D4436"/>
    <w:rsid w:val="007F257A"/>
    <w:rsid w:val="007F3665"/>
    <w:rsid w:val="00800037"/>
    <w:rsid w:val="00861D73"/>
    <w:rsid w:val="00897553"/>
    <w:rsid w:val="008A4E87"/>
    <w:rsid w:val="008D76E6"/>
    <w:rsid w:val="0092392D"/>
    <w:rsid w:val="0093234A"/>
    <w:rsid w:val="0097363B"/>
    <w:rsid w:val="009C307F"/>
    <w:rsid w:val="009C353C"/>
    <w:rsid w:val="00A2113E"/>
    <w:rsid w:val="00A23A51"/>
    <w:rsid w:val="00A24607"/>
    <w:rsid w:val="00A25CD3"/>
    <w:rsid w:val="00A709FE"/>
    <w:rsid w:val="00A82767"/>
    <w:rsid w:val="00AA332F"/>
    <w:rsid w:val="00AA7BBB"/>
    <w:rsid w:val="00AB64A8"/>
    <w:rsid w:val="00AC0266"/>
    <w:rsid w:val="00AD24EC"/>
    <w:rsid w:val="00AD6C8F"/>
    <w:rsid w:val="00B309F9"/>
    <w:rsid w:val="00B32B60"/>
    <w:rsid w:val="00B61619"/>
    <w:rsid w:val="00BB4545"/>
    <w:rsid w:val="00BB6B4C"/>
    <w:rsid w:val="00BD5873"/>
    <w:rsid w:val="00C04BE3"/>
    <w:rsid w:val="00C25D29"/>
    <w:rsid w:val="00C27A7C"/>
    <w:rsid w:val="00CA08ED"/>
    <w:rsid w:val="00CF183B"/>
    <w:rsid w:val="00D375CD"/>
    <w:rsid w:val="00D553A2"/>
    <w:rsid w:val="00D62FD4"/>
    <w:rsid w:val="00D774D3"/>
    <w:rsid w:val="00D904E8"/>
    <w:rsid w:val="00DA08C3"/>
    <w:rsid w:val="00DB5A3E"/>
    <w:rsid w:val="00DC22AA"/>
    <w:rsid w:val="00DF74DD"/>
    <w:rsid w:val="00E25AD0"/>
    <w:rsid w:val="00EB6350"/>
    <w:rsid w:val="00F15B57"/>
    <w:rsid w:val="00F427DB"/>
    <w:rsid w:val="00F439CF"/>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226D16"/>
  <w15:docId w15:val="{5091CACD-98BD-4E58-8CD8-0C372E7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732045"/>
    <w:pPr>
      <w:keepNext/>
      <w:keepLines/>
      <w:spacing w:before="480"/>
      <w:ind w:left="567" w:hanging="567"/>
      <w:outlineLvl w:val="0"/>
    </w:pPr>
    <w:rPr>
      <w:b/>
      <w:sz w:val="28"/>
    </w:rPr>
  </w:style>
  <w:style w:type="paragraph" w:styleId="Heading2">
    <w:name w:val="heading 2"/>
    <w:basedOn w:val="Heading1"/>
    <w:next w:val="Normal"/>
    <w:link w:val="Heading2Char"/>
    <w:qFormat/>
    <w:rsid w:val="00732045"/>
    <w:pPr>
      <w:spacing w:before="320"/>
      <w:outlineLvl w:val="1"/>
    </w:pPr>
    <w:rPr>
      <w:sz w:val="24"/>
    </w:rPr>
  </w:style>
  <w:style w:type="paragraph" w:styleId="Heading3">
    <w:name w:val="heading 3"/>
    <w:basedOn w:val="Heading1"/>
    <w:next w:val="Normal"/>
    <w:link w:val="Heading3Char"/>
    <w:uiPriority w:val="9"/>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CEO_Hyperlink"/>
    <w:basedOn w:val="DefaultParagraphFont"/>
    <w:rsid w:val="00732045"/>
    <w:rPr>
      <w:color w:val="0000FF"/>
      <w:u w:val="single"/>
    </w:rPr>
  </w:style>
  <w:style w:type="character" w:styleId="FollowedHyperlink">
    <w:name w:val="FollowedHyperlink"/>
    <w:basedOn w:val="DefaultParagraphFont"/>
    <w:uiPriority w:val="99"/>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6E7C07"/>
    <w:rPr>
      <w:color w:val="605E5C"/>
      <w:shd w:val="clear" w:color="auto" w:fill="E1DFDD"/>
    </w:rPr>
  </w:style>
  <w:style w:type="character" w:customStyle="1" w:styleId="Heading2Char">
    <w:name w:val="Heading 2 Char"/>
    <w:basedOn w:val="DefaultParagraphFont"/>
    <w:link w:val="Heading2"/>
    <w:rsid w:val="006E7C07"/>
    <w:rPr>
      <w:rFonts w:ascii="Calibri" w:hAnsi="Calibri"/>
      <w:b/>
      <w:sz w:val="24"/>
      <w:lang w:val="fr-FR" w:eastAsia="en-US"/>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6E7C07"/>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lang w:val="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locked/>
    <w:rsid w:val="006E7C07"/>
    <w:rPr>
      <w:rFonts w:ascii="Calibri" w:hAnsi="Calibri"/>
      <w:sz w:val="24"/>
      <w:lang w:eastAsia="en-US"/>
    </w:rPr>
  </w:style>
  <w:style w:type="character" w:styleId="CommentReference">
    <w:name w:val="annotation reference"/>
    <w:basedOn w:val="DefaultParagraphFont"/>
    <w:uiPriority w:val="99"/>
    <w:semiHidden/>
    <w:unhideWhenUsed/>
    <w:rsid w:val="006E7C07"/>
    <w:rPr>
      <w:sz w:val="16"/>
      <w:szCs w:val="16"/>
    </w:rPr>
  </w:style>
  <w:style w:type="paragraph" w:styleId="CommentText">
    <w:name w:val="annotation text"/>
    <w:basedOn w:val="Normal"/>
    <w:link w:val="CommentTextChar"/>
    <w:uiPriority w:val="99"/>
    <w:unhideWhenUsed/>
    <w:rsid w:val="006E7C07"/>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6E7C07"/>
    <w:rPr>
      <w:rFonts w:asciiTheme="minorHAnsi" w:eastAsiaTheme="minorHAnsi" w:hAnsiTheme="minorHAnsi" w:cstheme="minorBidi"/>
      <w:lang w:eastAsia="en-US"/>
    </w:rPr>
  </w:style>
  <w:style w:type="character" w:customStyle="1" w:styleId="Heading1Char">
    <w:name w:val="Heading 1 Char"/>
    <w:basedOn w:val="DefaultParagraphFont"/>
    <w:link w:val="Heading1"/>
    <w:uiPriority w:val="9"/>
    <w:rsid w:val="006E7C07"/>
    <w:rPr>
      <w:rFonts w:ascii="Calibri" w:hAnsi="Calibri"/>
      <w:b/>
      <w:sz w:val="28"/>
      <w:lang w:val="fr-FR" w:eastAsia="en-US"/>
    </w:rPr>
  </w:style>
  <w:style w:type="character" w:customStyle="1" w:styleId="Heading3Char">
    <w:name w:val="Heading 3 Char"/>
    <w:basedOn w:val="DefaultParagraphFont"/>
    <w:link w:val="Heading3"/>
    <w:uiPriority w:val="9"/>
    <w:rsid w:val="006E7C07"/>
    <w:rPr>
      <w:rFonts w:ascii="Calibri" w:hAnsi="Calibri"/>
      <w:b/>
      <w:sz w:val="24"/>
      <w:lang w:val="fr-FR" w:eastAsia="en-US"/>
    </w:rPr>
  </w:style>
  <w:style w:type="paragraph" w:styleId="CommentSubject">
    <w:name w:val="annotation subject"/>
    <w:basedOn w:val="CommentText"/>
    <w:next w:val="CommentText"/>
    <w:link w:val="CommentSubjectChar"/>
    <w:uiPriority w:val="99"/>
    <w:semiHidden/>
    <w:unhideWhenUsed/>
    <w:rsid w:val="006E7C07"/>
    <w:pPr>
      <w:spacing w:after="0"/>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6E7C07"/>
    <w:rPr>
      <w:rFonts w:ascii="Calibri" w:eastAsiaTheme="minorHAnsi" w:hAnsi="Calibri" w:cstheme="minorBidi"/>
      <w:b/>
      <w:bCs/>
      <w:lang w:eastAsia="en-US"/>
    </w:rPr>
  </w:style>
  <w:style w:type="paragraph" w:styleId="Revision">
    <w:name w:val="Revision"/>
    <w:hidden/>
    <w:uiPriority w:val="99"/>
    <w:semiHidden/>
    <w:rsid w:val="006E7C07"/>
    <w:rPr>
      <w:rFonts w:ascii="Calibri" w:hAnsi="Calibri"/>
      <w:sz w:val="24"/>
      <w:lang w:eastAsia="en-US"/>
    </w:rPr>
  </w:style>
  <w:style w:type="character" w:customStyle="1" w:styleId="HeaderChar">
    <w:name w:val="Header Char"/>
    <w:basedOn w:val="DefaultParagraphFont"/>
    <w:link w:val="Header"/>
    <w:rsid w:val="006E7C07"/>
    <w:rPr>
      <w:rFonts w:ascii="Calibri" w:hAnsi="Calibri"/>
      <w:sz w:val="18"/>
      <w:lang w:val="fr-FR" w:eastAsia="en-US"/>
    </w:rPr>
  </w:style>
  <w:style w:type="character" w:customStyle="1" w:styleId="FooterChar">
    <w:name w:val="Footer Char"/>
    <w:basedOn w:val="DefaultParagraphFont"/>
    <w:link w:val="Footer"/>
    <w:uiPriority w:val="99"/>
    <w:rsid w:val="006E7C07"/>
    <w:rPr>
      <w:rFonts w:ascii="Calibri" w:hAnsi="Calibri"/>
      <w:caps/>
      <w:noProof/>
      <w:sz w:val="16"/>
      <w:lang w:val="fr-FR" w:eastAsia="en-US"/>
    </w:rPr>
  </w:style>
  <w:style w:type="paragraph" w:customStyle="1" w:styleId="Heading10">
    <w:name w:val="Heading_1"/>
    <w:basedOn w:val="Heading2"/>
    <w:rsid w:val="006E7C07"/>
    <w:pPr>
      <w:keepNext w:val="0"/>
      <w:keepLines w:val="0"/>
      <w:tabs>
        <w:tab w:val="left" w:pos="720"/>
      </w:tabs>
      <w:snapToGrid w:val="0"/>
      <w:spacing w:before="480" w:after="120"/>
      <w:ind w:left="0" w:firstLine="0"/>
      <w:jc w:val="both"/>
    </w:pPr>
    <w:rPr>
      <w:rFonts w:asciiTheme="minorHAnsi" w:hAnsiTheme="minorHAnsi"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0-CLVC-C-0013/en" TargetMode="External"/><Relationship Id="rId13" Type="http://schemas.openxmlformats.org/officeDocument/2006/relationships/hyperlink" Target="https://www.itu.int/md/S20-CL-C-0053/en" TargetMode="External"/><Relationship Id="rId18" Type="http://schemas.openxmlformats.org/officeDocument/2006/relationships/hyperlink" Target="https://unsceb.org/topics/future-wor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itu.int/md/S21-CL-C-0029/en" TargetMode="External"/><Relationship Id="rId17" Type="http://schemas.openxmlformats.org/officeDocument/2006/relationships/hyperlink" Target="https://www.itu.int/md/S21-CL-C-0029/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tu-office-presence-covid19.e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1-CL-C-0068/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S21-CL-C-0050/en" TargetMode="External"/><Relationship Id="rId23" Type="http://schemas.openxmlformats.org/officeDocument/2006/relationships/footer" Target="footer3.xml"/><Relationship Id="rId10" Type="http://schemas.openxmlformats.org/officeDocument/2006/relationships/hyperlink" Target="https://www.itu.int/md/S21-CL-C-0070/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0-CLVC-C-0013/en" TargetMode="External"/><Relationship Id="rId14" Type="http://schemas.openxmlformats.org/officeDocument/2006/relationships/hyperlink" Target="https://www.itu.int/md/S21-CL-C-0007/en"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Desktop\PF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PF_C21.dotx</Template>
  <TotalTime>1</TotalTime>
  <Pages>9</Pages>
  <Words>3959</Words>
  <Characters>22559</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26466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Incidences de la pandémie de Covid-19 sur le fonctionnement et les activités de l'UIT</dc:title>
  <dc:subject>Council 2021, Virtual consultation of councillors</dc:subject>
  <dc:creator>Collonge, Marion</dc:creator>
  <cp:keywords>C2021, C21, VCC, C21-VCC-1</cp:keywords>
  <dc:description/>
  <cp:lastModifiedBy>Xue, Kun</cp:lastModifiedBy>
  <cp:revision>2</cp:revision>
  <cp:lastPrinted>2000-07-18T08:55:00Z</cp:lastPrinted>
  <dcterms:created xsi:type="dcterms:W3CDTF">2021-05-25T12:01:00Z</dcterms:created>
  <dcterms:modified xsi:type="dcterms:W3CDTF">2021-05-25T12:01:00Z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