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43627" w:rsidRPr="00813E5E" w14:paraId="11F72AF7" w14:textId="77777777" w:rsidTr="00E86458">
        <w:trPr>
          <w:cantSplit/>
          <w:trHeight w:val="1276"/>
        </w:trPr>
        <w:tc>
          <w:tcPr>
            <w:tcW w:w="6911" w:type="dxa"/>
          </w:tcPr>
          <w:p w14:paraId="137E970E" w14:textId="77777777" w:rsidR="00B43627" w:rsidRPr="00813E5E" w:rsidRDefault="00B43627" w:rsidP="00E86458">
            <w:pPr>
              <w:spacing w:before="360" w:after="48"/>
              <w:rPr>
                <w:position w:val="6"/>
              </w:rPr>
            </w:pPr>
            <w:bookmarkStart w:id="0" w:name="dc06"/>
            <w:bookmarkEnd w:id="0"/>
            <w:r w:rsidRPr="00DE4373">
              <w:rPr>
                <w:b/>
                <w:bCs/>
                <w:position w:val="6"/>
                <w:sz w:val="30"/>
                <w:szCs w:val="30"/>
              </w:rPr>
              <w:t>Council 2021</w:t>
            </w:r>
            <w:r w:rsidRPr="00DE4373">
              <w:rPr>
                <w:b/>
                <w:bCs/>
                <w:position w:val="6"/>
                <w:sz w:val="30"/>
                <w:szCs w:val="30"/>
              </w:rPr>
              <w:br/>
            </w:r>
            <w:r w:rsidRPr="00DE4373">
              <w:rPr>
                <w:b/>
                <w:bCs/>
                <w:position w:val="6"/>
                <w:sz w:val="28"/>
                <w:szCs w:val="28"/>
              </w:rPr>
              <w:t xml:space="preserve">Virtual consultation of councillors, </w:t>
            </w:r>
            <w:r w:rsidRPr="00722181">
              <w:rPr>
                <w:b/>
                <w:bCs/>
                <w:position w:val="6"/>
                <w:sz w:val="28"/>
                <w:szCs w:val="28"/>
              </w:rPr>
              <w:t>8-18 June</w:t>
            </w:r>
            <w:r w:rsidRPr="00DE4373">
              <w:rPr>
                <w:b/>
                <w:bCs/>
                <w:position w:val="6"/>
                <w:sz w:val="28"/>
                <w:szCs w:val="28"/>
              </w:rPr>
              <w:t xml:space="preserve"> 2021</w:t>
            </w:r>
          </w:p>
        </w:tc>
        <w:tc>
          <w:tcPr>
            <w:tcW w:w="3120" w:type="dxa"/>
            <w:vAlign w:val="center"/>
          </w:tcPr>
          <w:p w14:paraId="7A75BD96" w14:textId="77777777" w:rsidR="00B43627" w:rsidRPr="00813E5E" w:rsidRDefault="00B43627" w:rsidP="00E86458">
            <w:bookmarkStart w:id="1" w:name="ditulogo"/>
            <w:bookmarkEnd w:id="1"/>
            <w:r>
              <w:rPr>
                <w:noProof/>
                <w:lang w:eastAsia="zh-CN"/>
              </w:rPr>
              <w:drawing>
                <wp:inline distT="0" distB="0" distL="0" distR="0" wp14:anchorId="6BB5E5FB" wp14:editId="3C44C804">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43627" w:rsidRPr="00813E5E" w14:paraId="478461BF" w14:textId="77777777" w:rsidTr="00E86458">
        <w:trPr>
          <w:cantSplit/>
        </w:trPr>
        <w:tc>
          <w:tcPr>
            <w:tcW w:w="6911" w:type="dxa"/>
            <w:tcBorders>
              <w:bottom w:val="single" w:sz="12" w:space="0" w:color="auto"/>
            </w:tcBorders>
          </w:tcPr>
          <w:p w14:paraId="523808CA" w14:textId="77777777" w:rsidR="00B43627" w:rsidRPr="00813E5E" w:rsidRDefault="00B43627" w:rsidP="00E86458">
            <w:pPr>
              <w:rPr>
                <w:b/>
                <w:smallCaps/>
                <w:szCs w:val="24"/>
              </w:rPr>
            </w:pPr>
          </w:p>
        </w:tc>
        <w:tc>
          <w:tcPr>
            <w:tcW w:w="3120" w:type="dxa"/>
            <w:tcBorders>
              <w:bottom w:val="single" w:sz="12" w:space="0" w:color="auto"/>
            </w:tcBorders>
          </w:tcPr>
          <w:p w14:paraId="4AB61D07" w14:textId="77777777" w:rsidR="00B43627" w:rsidRPr="00813E5E" w:rsidRDefault="00B43627" w:rsidP="00E86458">
            <w:pPr>
              <w:rPr>
                <w:szCs w:val="24"/>
              </w:rPr>
            </w:pPr>
          </w:p>
        </w:tc>
      </w:tr>
      <w:tr w:rsidR="00B43627" w:rsidRPr="00813E5E" w14:paraId="404CF39C" w14:textId="77777777" w:rsidTr="00E86458">
        <w:trPr>
          <w:cantSplit/>
        </w:trPr>
        <w:tc>
          <w:tcPr>
            <w:tcW w:w="6911" w:type="dxa"/>
            <w:tcBorders>
              <w:top w:val="single" w:sz="12" w:space="0" w:color="auto"/>
            </w:tcBorders>
          </w:tcPr>
          <w:p w14:paraId="3CA6ABD0" w14:textId="77777777" w:rsidR="00B43627" w:rsidRPr="00813E5E" w:rsidRDefault="00B43627" w:rsidP="00E86458">
            <w:pPr>
              <w:rPr>
                <w:b/>
                <w:smallCaps/>
                <w:szCs w:val="24"/>
              </w:rPr>
            </w:pPr>
          </w:p>
        </w:tc>
        <w:tc>
          <w:tcPr>
            <w:tcW w:w="3120" w:type="dxa"/>
            <w:tcBorders>
              <w:top w:val="single" w:sz="12" w:space="0" w:color="auto"/>
            </w:tcBorders>
          </w:tcPr>
          <w:p w14:paraId="611A12B7" w14:textId="77777777" w:rsidR="00B43627" w:rsidRPr="00813E5E" w:rsidRDefault="00B43627" w:rsidP="00E86458">
            <w:pPr>
              <w:rPr>
                <w:szCs w:val="24"/>
              </w:rPr>
            </w:pPr>
          </w:p>
        </w:tc>
      </w:tr>
      <w:tr w:rsidR="00B43627" w:rsidRPr="00813E5E" w14:paraId="376AECB5" w14:textId="77777777" w:rsidTr="00E86458">
        <w:trPr>
          <w:cantSplit/>
          <w:trHeight w:val="23"/>
        </w:trPr>
        <w:tc>
          <w:tcPr>
            <w:tcW w:w="6911" w:type="dxa"/>
            <w:vMerge w:val="restart"/>
          </w:tcPr>
          <w:p w14:paraId="632A8E8C" w14:textId="77777777" w:rsidR="00B43627" w:rsidRPr="00E85629" w:rsidRDefault="00B43627" w:rsidP="00E86458">
            <w:pPr>
              <w:tabs>
                <w:tab w:val="left" w:pos="851"/>
              </w:tabs>
              <w:rPr>
                <w:b/>
              </w:rPr>
            </w:pPr>
            <w:bookmarkStart w:id="2" w:name="dmeeting" w:colFirst="0" w:colLast="0"/>
            <w:bookmarkStart w:id="3" w:name="dnum" w:colFirst="1" w:colLast="1"/>
            <w:r>
              <w:rPr>
                <w:b/>
              </w:rPr>
              <w:t>Agenda item: PL 3.3</w:t>
            </w:r>
          </w:p>
        </w:tc>
        <w:tc>
          <w:tcPr>
            <w:tcW w:w="3120" w:type="dxa"/>
          </w:tcPr>
          <w:p w14:paraId="72AB79C2" w14:textId="77777777" w:rsidR="00B43627" w:rsidRPr="00E85629" w:rsidRDefault="00B43627" w:rsidP="00E86458">
            <w:pPr>
              <w:tabs>
                <w:tab w:val="left" w:pos="851"/>
              </w:tabs>
              <w:rPr>
                <w:b/>
              </w:rPr>
            </w:pPr>
            <w:r>
              <w:rPr>
                <w:b/>
              </w:rPr>
              <w:t>Document C21/74-E</w:t>
            </w:r>
          </w:p>
        </w:tc>
      </w:tr>
      <w:tr w:rsidR="00B43627" w:rsidRPr="00813E5E" w14:paraId="50A3F2E5" w14:textId="77777777" w:rsidTr="00E86458">
        <w:trPr>
          <w:cantSplit/>
          <w:trHeight w:val="23"/>
        </w:trPr>
        <w:tc>
          <w:tcPr>
            <w:tcW w:w="6911" w:type="dxa"/>
            <w:vMerge/>
          </w:tcPr>
          <w:p w14:paraId="1C079E84" w14:textId="77777777" w:rsidR="00B43627" w:rsidRPr="00813E5E" w:rsidRDefault="00B43627" w:rsidP="00E86458">
            <w:pPr>
              <w:tabs>
                <w:tab w:val="left" w:pos="851"/>
              </w:tabs>
              <w:rPr>
                <w:b/>
              </w:rPr>
            </w:pPr>
            <w:bookmarkStart w:id="4" w:name="ddate" w:colFirst="1" w:colLast="1"/>
            <w:bookmarkEnd w:id="2"/>
            <w:bookmarkEnd w:id="3"/>
          </w:p>
        </w:tc>
        <w:tc>
          <w:tcPr>
            <w:tcW w:w="3120" w:type="dxa"/>
          </w:tcPr>
          <w:p w14:paraId="6B5901B8" w14:textId="77777777" w:rsidR="00B43627" w:rsidRPr="00E85629" w:rsidRDefault="00B43627" w:rsidP="00E86458">
            <w:pPr>
              <w:tabs>
                <w:tab w:val="left" w:pos="993"/>
              </w:tabs>
              <w:rPr>
                <w:b/>
              </w:rPr>
            </w:pPr>
            <w:r>
              <w:rPr>
                <w:b/>
              </w:rPr>
              <w:t>7 April 2021</w:t>
            </w:r>
          </w:p>
        </w:tc>
      </w:tr>
      <w:tr w:rsidR="00B43627" w:rsidRPr="00813E5E" w14:paraId="52689D6E" w14:textId="77777777" w:rsidTr="00E86458">
        <w:trPr>
          <w:cantSplit/>
          <w:trHeight w:val="23"/>
        </w:trPr>
        <w:tc>
          <w:tcPr>
            <w:tcW w:w="6911" w:type="dxa"/>
            <w:vMerge/>
          </w:tcPr>
          <w:p w14:paraId="3CAA0931" w14:textId="77777777" w:rsidR="00B43627" w:rsidRPr="00813E5E" w:rsidRDefault="00B43627" w:rsidP="00E86458">
            <w:pPr>
              <w:tabs>
                <w:tab w:val="left" w:pos="851"/>
              </w:tabs>
              <w:rPr>
                <w:b/>
              </w:rPr>
            </w:pPr>
            <w:bookmarkStart w:id="5" w:name="dorlang" w:colFirst="1" w:colLast="1"/>
            <w:bookmarkEnd w:id="4"/>
          </w:p>
        </w:tc>
        <w:tc>
          <w:tcPr>
            <w:tcW w:w="3120" w:type="dxa"/>
          </w:tcPr>
          <w:p w14:paraId="622F7A03" w14:textId="77777777" w:rsidR="00B43627" w:rsidRPr="00E85629" w:rsidRDefault="00B43627" w:rsidP="00E86458">
            <w:pPr>
              <w:tabs>
                <w:tab w:val="left" w:pos="993"/>
              </w:tabs>
              <w:rPr>
                <w:b/>
              </w:rPr>
            </w:pPr>
            <w:r>
              <w:rPr>
                <w:b/>
              </w:rPr>
              <w:t>Original: English</w:t>
            </w:r>
          </w:p>
        </w:tc>
      </w:tr>
      <w:tr w:rsidR="00B43627" w:rsidRPr="00813E5E" w14:paraId="6360C5ED" w14:textId="77777777" w:rsidTr="00E86458">
        <w:trPr>
          <w:cantSplit/>
        </w:trPr>
        <w:tc>
          <w:tcPr>
            <w:tcW w:w="10031" w:type="dxa"/>
            <w:gridSpan w:val="2"/>
          </w:tcPr>
          <w:p w14:paraId="126C64B9" w14:textId="77777777" w:rsidR="00B43627" w:rsidRPr="00DE4373" w:rsidRDefault="00B43627" w:rsidP="00E86458">
            <w:pPr>
              <w:pStyle w:val="Source"/>
            </w:pPr>
            <w:bookmarkStart w:id="6" w:name="dsource" w:colFirst="0" w:colLast="0"/>
            <w:bookmarkEnd w:id="5"/>
            <w:r w:rsidRPr="00473A43">
              <w:t>Report by the Secretary-General</w:t>
            </w:r>
          </w:p>
        </w:tc>
      </w:tr>
      <w:tr w:rsidR="00B43627" w:rsidRPr="00813E5E" w14:paraId="1FDEFDA0" w14:textId="77777777" w:rsidTr="00E86458">
        <w:trPr>
          <w:cantSplit/>
        </w:trPr>
        <w:tc>
          <w:tcPr>
            <w:tcW w:w="10031" w:type="dxa"/>
            <w:gridSpan w:val="2"/>
          </w:tcPr>
          <w:p w14:paraId="12960232" w14:textId="77777777" w:rsidR="00B43627" w:rsidRPr="00813E5E" w:rsidRDefault="00B43627" w:rsidP="00E86458">
            <w:pPr>
              <w:pStyle w:val="Title1"/>
            </w:pPr>
            <w:bookmarkStart w:id="7" w:name="dtitle1" w:colFirst="0" w:colLast="0"/>
            <w:bookmarkEnd w:id="6"/>
            <w:r w:rsidRPr="00473A43">
              <w:t>IMPACT OF THE COVID-19 PANDEMIC ON THE FUNCTIONING AND ACTIVITIES OF ITU</w:t>
            </w:r>
          </w:p>
        </w:tc>
      </w:tr>
      <w:bookmarkEnd w:id="7"/>
    </w:tbl>
    <w:p w14:paraId="48B4A536" w14:textId="77777777" w:rsidR="00B43627" w:rsidRPr="00813E5E" w:rsidRDefault="00B43627" w:rsidP="00B4362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43627" w:rsidRPr="00CB55F4" w14:paraId="6E420E93" w14:textId="77777777" w:rsidTr="00E86458">
        <w:trPr>
          <w:trHeight w:val="3372"/>
        </w:trPr>
        <w:tc>
          <w:tcPr>
            <w:tcW w:w="8080" w:type="dxa"/>
            <w:tcBorders>
              <w:top w:val="single" w:sz="12" w:space="0" w:color="auto"/>
              <w:left w:val="single" w:sz="12" w:space="0" w:color="auto"/>
              <w:bottom w:val="single" w:sz="12" w:space="0" w:color="auto"/>
              <w:right w:val="single" w:sz="12" w:space="0" w:color="auto"/>
            </w:tcBorders>
          </w:tcPr>
          <w:p w14:paraId="5532EA66" w14:textId="77777777" w:rsidR="00B43627" w:rsidRPr="00D31EFB" w:rsidRDefault="00B43627" w:rsidP="00E86458">
            <w:pPr>
              <w:pStyle w:val="Headingb"/>
              <w:spacing w:before="120" w:after="120"/>
              <w:rPr>
                <w:rFonts w:asciiTheme="minorHAnsi" w:hAnsiTheme="minorHAnsi" w:cstheme="minorHAnsi"/>
                <w:szCs w:val="24"/>
              </w:rPr>
            </w:pPr>
            <w:r w:rsidRPr="00D31EFB">
              <w:rPr>
                <w:rFonts w:asciiTheme="minorHAnsi" w:hAnsiTheme="minorHAnsi" w:cstheme="minorHAnsi"/>
                <w:szCs w:val="24"/>
              </w:rPr>
              <w:t>Summary</w:t>
            </w:r>
          </w:p>
          <w:p w14:paraId="1D572678" w14:textId="77777777" w:rsidR="00B43627" w:rsidRPr="00D31EFB" w:rsidRDefault="00B43627" w:rsidP="00E86458">
            <w:pPr>
              <w:pStyle w:val="Headingb"/>
              <w:spacing w:before="120" w:after="120"/>
              <w:ind w:left="0" w:firstLine="0"/>
              <w:jc w:val="both"/>
              <w:rPr>
                <w:rFonts w:asciiTheme="minorHAnsi" w:hAnsiTheme="minorHAnsi" w:cstheme="minorHAnsi"/>
                <w:b w:val="0"/>
                <w:szCs w:val="24"/>
              </w:rPr>
            </w:pPr>
            <w:r w:rsidRPr="00D31EFB">
              <w:rPr>
                <w:rFonts w:asciiTheme="minorHAnsi" w:hAnsiTheme="minorHAnsi" w:cstheme="minorHAnsi"/>
                <w:b w:val="0"/>
                <w:szCs w:val="24"/>
              </w:rPr>
              <w:t>This document summarizes</w:t>
            </w:r>
            <w:r>
              <w:rPr>
                <w:rFonts w:asciiTheme="minorHAnsi" w:hAnsiTheme="minorHAnsi" w:cstheme="minorHAnsi"/>
                <w:b w:val="0"/>
                <w:szCs w:val="24"/>
              </w:rPr>
              <w:t xml:space="preserve"> a </w:t>
            </w:r>
            <w:r w:rsidRPr="000545CF">
              <w:rPr>
                <w:rFonts w:asciiTheme="minorHAnsi" w:hAnsiTheme="minorHAnsi" w:cstheme="minorHAnsi"/>
                <w:b w:val="0"/>
                <w:bCs/>
                <w:szCs w:val="24"/>
              </w:rPr>
              <w:t>preliminary</w:t>
            </w:r>
            <w:r>
              <w:rPr>
                <w:rFonts w:asciiTheme="minorHAnsi" w:hAnsiTheme="minorHAnsi" w:cstheme="minorHAnsi"/>
                <w:b w:val="0"/>
                <w:szCs w:val="24"/>
              </w:rPr>
              <w:t xml:space="preserve"> analysis of</w:t>
            </w:r>
            <w:r w:rsidRPr="00D31EFB">
              <w:rPr>
                <w:rFonts w:asciiTheme="minorHAnsi" w:hAnsiTheme="minorHAnsi" w:cstheme="minorHAnsi"/>
                <w:b w:val="0"/>
                <w:szCs w:val="24"/>
              </w:rPr>
              <w:t xml:space="preserve"> the impact of the coronavirus (COVID-19) pandemic</w:t>
            </w:r>
            <w:r>
              <w:rPr>
                <w:rFonts w:asciiTheme="minorHAnsi" w:hAnsiTheme="minorHAnsi" w:cstheme="minorHAnsi"/>
                <w:b w:val="0"/>
                <w:szCs w:val="24"/>
              </w:rPr>
              <w:t xml:space="preserve"> on some areas of activity and </w:t>
            </w:r>
            <w:r w:rsidRPr="00D31EFB">
              <w:rPr>
                <w:rFonts w:asciiTheme="minorHAnsi" w:hAnsiTheme="minorHAnsi" w:cstheme="minorHAnsi"/>
                <w:b w:val="0"/>
                <w:szCs w:val="24"/>
              </w:rPr>
              <w:t>functioning of ITU</w:t>
            </w:r>
            <w:r>
              <w:rPr>
                <w:rFonts w:asciiTheme="minorHAnsi" w:hAnsiTheme="minorHAnsi" w:cstheme="minorHAnsi"/>
                <w:b w:val="0"/>
                <w:szCs w:val="24"/>
              </w:rPr>
              <w:t>, presenting available facts, underlining the lessons learned, and highlighting some aspects that may be considered for the future.</w:t>
            </w:r>
          </w:p>
          <w:p w14:paraId="336B9426" w14:textId="77777777" w:rsidR="00B43627" w:rsidRPr="00D31EFB" w:rsidRDefault="00B43627" w:rsidP="00E86458">
            <w:pPr>
              <w:pStyle w:val="Headingb"/>
              <w:spacing w:before="120" w:after="120"/>
              <w:ind w:left="0" w:firstLine="0"/>
              <w:rPr>
                <w:rFonts w:asciiTheme="minorHAnsi" w:hAnsiTheme="minorHAnsi" w:cstheme="minorHAnsi"/>
                <w:szCs w:val="24"/>
              </w:rPr>
            </w:pPr>
            <w:r w:rsidRPr="00D31EFB">
              <w:rPr>
                <w:rFonts w:asciiTheme="minorHAnsi" w:hAnsiTheme="minorHAnsi" w:cstheme="minorHAnsi"/>
                <w:szCs w:val="24"/>
              </w:rPr>
              <w:t>Action required</w:t>
            </w:r>
          </w:p>
          <w:p w14:paraId="411F4561" w14:textId="77777777" w:rsidR="00B43627" w:rsidRPr="00D31EFB" w:rsidRDefault="00B43627" w:rsidP="00E86458">
            <w:pPr>
              <w:pStyle w:val="Table"/>
              <w:keepNext w:val="0"/>
              <w:spacing w:before="120"/>
              <w:jc w:val="left"/>
              <w:rPr>
                <w:rFonts w:asciiTheme="minorHAnsi" w:hAnsiTheme="minorHAnsi" w:cstheme="minorHAnsi"/>
                <w:caps w:val="0"/>
                <w:szCs w:val="24"/>
              </w:rPr>
            </w:pPr>
            <w:r w:rsidRPr="00D31EFB">
              <w:rPr>
                <w:rFonts w:asciiTheme="minorHAnsi" w:hAnsiTheme="minorHAnsi" w:cstheme="minorHAnsi"/>
                <w:caps w:val="0"/>
                <w:szCs w:val="24"/>
              </w:rPr>
              <w:t xml:space="preserve">The Council is invited </w:t>
            </w:r>
            <w:r>
              <w:rPr>
                <w:rFonts w:asciiTheme="minorHAnsi" w:hAnsiTheme="minorHAnsi" w:cstheme="minorHAnsi"/>
                <w:caps w:val="0"/>
                <w:szCs w:val="24"/>
              </w:rPr>
              <w:t xml:space="preserve">to </w:t>
            </w:r>
            <w:r w:rsidRPr="008462B0">
              <w:rPr>
                <w:rFonts w:asciiTheme="minorHAnsi" w:hAnsiTheme="minorHAnsi" w:cstheme="minorHAnsi"/>
                <w:b/>
                <w:bCs/>
                <w:caps w:val="0"/>
                <w:szCs w:val="24"/>
              </w:rPr>
              <w:t>consider</w:t>
            </w:r>
            <w:r w:rsidRPr="00D31EFB">
              <w:rPr>
                <w:rFonts w:asciiTheme="minorHAnsi" w:hAnsiTheme="minorHAnsi" w:cstheme="minorHAnsi"/>
                <w:caps w:val="0"/>
                <w:szCs w:val="24"/>
              </w:rPr>
              <w:t xml:space="preserve"> </w:t>
            </w:r>
            <w:r>
              <w:rPr>
                <w:rFonts w:asciiTheme="minorHAnsi" w:hAnsiTheme="minorHAnsi" w:cstheme="minorHAnsi"/>
                <w:caps w:val="0"/>
                <w:szCs w:val="24"/>
              </w:rPr>
              <w:t>the</w:t>
            </w:r>
            <w:r w:rsidRPr="00D31EFB">
              <w:rPr>
                <w:rFonts w:asciiTheme="minorHAnsi" w:hAnsiTheme="minorHAnsi" w:cstheme="minorHAnsi"/>
                <w:caps w:val="0"/>
                <w:szCs w:val="24"/>
              </w:rPr>
              <w:t xml:space="preserve"> document.</w:t>
            </w:r>
          </w:p>
          <w:p w14:paraId="67B57054" w14:textId="77777777" w:rsidR="00B43627" w:rsidRPr="00A313F0" w:rsidRDefault="00B43627" w:rsidP="00E86458">
            <w:pPr>
              <w:pStyle w:val="Table"/>
              <w:keepNext w:val="0"/>
              <w:spacing w:before="120"/>
              <w:jc w:val="left"/>
              <w:rPr>
                <w:rFonts w:asciiTheme="minorHAnsi" w:hAnsiTheme="minorHAnsi" w:cstheme="minorHAnsi"/>
                <w:caps w:val="0"/>
                <w:szCs w:val="24"/>
                <w:lang w:val="fr-FR"/>
              </w:rPr>
            </w:pPr>
            <w:r w:rsidRPr="00A313F0">
              <w:rPr>
                <w:rFonts w:asciiTheme="minorHAnsi" w:hAnsiTheme="minorHAnsi" w:cstheme="minorHAnsi"/>
                <w:caps w:val="0"/>
                <w:szCs w:val="24"/>
                <w:lang w:val="fr-FR"/>
              </w:rPr>
              <w:t>____________</w:t>
            </w:r>
          </w:p>
          <w:p w14:paraId="36A33B68" w14:textId="77777777" w:rsidR="00B43627" w:rsidRPr="00A313F0" w:rsidRDefault="00B43627" w:rsidP="00E86458">
            <w:pPr>
              <w:pStyle w:val="Headingb"/>
              <w:spacing w:before="120" w:after="120"/>
              <w:rPr>
                <w:rFonts w:asciiTheme="minorHAnsi" w:hAnsiTheme="minorHAnsi" w:cstheme="minorHAnsi"/>
                <w:szCs w:val="24"/>
                <w:lang w:val="fr-FR"/>
              </w:rPr>
            </w:pPr>
            <w:proofErr w:type="spellStart"/>
            <w:r w:rsidRPr="00A313F0">
              <w:rPr>
                <w:rFonts w:asciiTheme="minorHAnsi" w:hAnsiTheme="minorHAnsi" w:cstheme="minorHAnsi"/>
                <w:szCs w:val="24"/>
                <w:lang w:val="fr-FR"/>
              </w:rPr>
              <w:t>References</w:t>
            </w:r>
            <w:proofErr w:type="spellEnd"/>
          </w:p>
          <w:p w14:paraId="2F2AC60C" w14:textId="77777777" w:rsidR="00B43627" w:rsidRPr="00DF2CE3" w:rsidRDefault="00B43627" w:rsidP="00E86458">
            <w:pPr>
              <w:spacing w:after="120"/>
              <w:rPr>
                <w:lang w:val="fr-FR"/>
              </w:rPr>
            </w:pPr>
            <w:r w:rsidRPr="00B43627">
              <w:rPr>
                <w:rFonts w:asciiTheme="minorHAnsi" w:hAnsiTheme="minorHAnsi" w:cstheme="minorHAnsi"/>
                <w:szCs w:val="24"/>
                <w:lang w:val="fr-FR"/>
              </w:rPr>
              <w:t xml:space="preserve">Documents </w:t>
            </w:r>
            <w:hyperlink r:id="rId6" w:history="1">
              <w:r w:rsidRPr="00B43627">
                <w:rPr>
                  <w:rStyle w:val="Hyperlink"/>
                  <w:rFonts w:asciiTheme="minorHAnsi" w:hAnsiTheme="minorHAnsi" w:cstheme="minorHAnsi"/>
                  <w:szCs w:val="24"/>
                  <w:lang w:val="fr-FR"/>
                </w:rPr>
                <w:t>VC/13</w:t>
              </w:r>
            </w:hyperlink>
            <w:r w:rsidRPr="00B43627">
              <w:rPr>
                <w:rStyle w:val="Hyperlink"/>
                <w:rFonts w:asciiTheme="minorHAnsi" w:hAnsiTheme="minorHAnsi" w:cstheme="minorHAnsi"/>
                <w:szCs w:val="24"/>
                <w:lang w:val="fr-FR"/>
              </w:rPr>
              <w:t xml:space="preserve">, </w:t>
            </w:r>
            <w:hyperlink r:id="rId7" w:history="1">
              <w:r w:rsidRPr="00B43627">
                <w:rPr>
                  <w:rStyle w:val="Hyperlink"/>
                  <w:rFonts w:asciiTheme="minorHAnsi" w:hAnsiTheme="minorHAnsi" w:cstheme="minorHAnsi"/>
                  <w:szCs w:val="24"/>
                  <w:lang w:val="fr-FR"/>
                </w:rPr>
                <w:t>VC/13(Rev.1)</w:t>
              </w:r>
            </w:hyperlink>
            <w:r w:rsidRPr="00B43627">
              <w:rPr>
                <w:rStyle w:val="Hyperlink"/>
                <w:rFonts w:asciiTheme="minorHAnsi" w:hAnsiTheme="minorHAnsi" w:cstheme="minorHAnsi"/>
                <w:szCs w:val="24"/>
                <w:lang w:val="fr-FR"/>
              </w:rPr>
              <w:t xml:space="preserve">, </w:t>
            </w:r>
            <w:hyperlink r:id="rId8" w:history="1">
              <w:r w:rsidRPr="00B43627">
                <w:rPr>
                  <w:rStyle w:val="Hyperlink"/>
                  <w:rFonts w:asciiTheme="minorHAnsi" w:hAnsiTheme="minorHAnsi" w:cstheme="minorHAnsi"/>
                  <w:szCs w:val="24"/>
                  <w:lang w:val="fr-FR"/>
                </w:rPr>
                <w:t>C21/70</w:t>
              </w:r>
            </w:hyperlink>
            <w:r w:rsidRPr="00B43627">
              <w:rPr>
                <w:rStyle w:val="Hyperlink"/>
                <w:rFonts w:asciiTheme="minorHAnsi" w:hAnsiTheme="minorHAnsi" w:cstheme="minorHAnsi"/>
                <w:szCs w:val="24"/>
                <w:lang w:val="fr-FR"/>
              </w:rPr>
              <w:t xml:space="preserve">, </w:t>
            </w:r>
            <w:hyperlink r:id="rId9" w:history="1">
              <w:r w:rsidRPr="00B43627">
                <w:rPr>
                  <w:rStyle w:val="Hyperlink"/>
                  <w:rFonts w:asciiTheme="minorHAnsi" w:hAnsiTheme="minorHAnsi" w:cstheme="minorHAnsi"/>
                  <w:szCs w:val="24"/>
                  <w:lang w:val="fr-FR"/>
                </w:rPr>
                <w:t>C21/68</w:t>
              </w:r>
            </w:hyperlink>
            <w:r w:rsidRPr="00B43627">
              <w:rPr>
                <w:rStyle w:val="Hyperlink"/>
                <w:rFonts w:asciiTheme="minorHAnsi" w:hAnsiTheme="minorHAnsi" w:cstheme="minorHAnsi"/>
                <w:szCs w:val="24"/>
                <w:lang w:val="fr-FR"/>
              </w:rPr>
              <w:t xml:space="preserve">, </w:t>
            </w:r>
            <w:hyperlink r:id="rId10" w:history="1">
              <w:r w:rsidRPr="00B43627">
                <w:rPr>
                  <w:rStyle w:val="Hyperlink"/>
                  <w:rFonts w:asciiTheme="minorHAnsi" w:hAnsiTheme="minorHAnsi" w:cstheme="minorHAnsi"/>
                  <w:szCs w:val="24"/>
                  <w:lang w:val="fr-FR"/>
                </w:rPr>
                <w:t>C21/29</w:t>
              </w:r>
            </w:hyperlink>
            <w:r w:rsidRPr="00B43627">
              <w:rPr>
                <w:rStyle w:val="Hyperlink"/>
                <w:rFonts w:asciiTheme="minorHAnsi" w:hAnsiTheme="minorHAnsi" w:cstheme="minorHAnsi"/>
                <w:szCs w:val="24"/>
                <w:lang w:val="fr-FR"/>
              </w:rPr>
              <w:t xml:space="preserve">, </w:t>
            </w:r>
            <w:hyperlink r:id="rId11" w:history="1">
              <w:r w:rsidRPr="00B43627">
                <w:rPr>
                  <w:rStyle w:val="Hyperlink"/>
                  <w:rFonts w:asciiTheme="minorHAnsi" w:hAnsiTheme="minorHAnsi" w:cstheme="minorHAnsi"/>
                  <w:szCs w:val="24"/>
                  <w:lang w:val="fr-FR"/>
                </w:rPr>
                <w:t>C20/53</w:t>
              </w:r>
            </w:hyperlink>
            <w:r w:rsidRPr="00B43627">
              <w:rPr>
                <w:rStyle w:val="Hyperlink"/>
                <w:rFonts w:asciiTheme="minorHAnsi" w:hAnsiTheme="minorHAnsi" w:cstheme="minorHAnsi"/>
                <w:szCs w:val="24"/>
                <w:lang w:val="fr-FR"/>
              </w:rPr>
              <w:t xml:space="preserve">, </w:t>
            </w:r>
            <w:hyperlink r:id="rId12" w:history="1">
              <w:r w:rsidRPr="00B43627">
                <w:rPr>
                  <w:rStyle w:val="Hyperlink"/>
                  <w:rFonts w:asciiTheme="minorHAnsi" w:hAnsiTheme="minorHAnsi" w:cstheme="minorHAnsi"/>
                  <w:szCs w:val="24"/>
                  <w:lang w:val="fr-FR"/>
                </w:rPr>
                <w:t>C21/7</w:t>
              </w:r>
            </w:hyperlink>
            <w:r>
              <w:rPr>
                <w:rStyle w:val="Hyperlink"/>
                <w:rFonts w:asciiTheme="minorHAnsi" w:hAnsiTheme="minorHAnsi" w:cstheme="minorHAnsi"/>
                <w:szCs w:val="24"/>
                <w:lang w:val="fr-FR"/>
              </w:rPr>
              <w:t xml:space="preserve">, </w:t>
            </w:r>
            <w:hyperlink r:id="rId13" w:history="1">
              <w:r w:rsidRPr="00E74DB0">
                <w:rPr>
                  <w:rStyle w:val="Hyperlink"/>
                  <w:rFonts w:asciiTheme="minorHAnsi" w:hAnsiTheme="minorHAnsi" w:cstheme="minorHAnsi"/>
                  <w:szCs w:val="24"/>
                  <w:lang w:val="fr-FR"/>
                </w:rPr>
                <w:t>C21/50</w:t>
              </w:r>
            </w:hyperlink>
          </w:p>
          <w:p w14:paraId="16FC75DB" w14:textId="77777777" w:rsidR="00B43627" w:rsidRPr="00A313F0" w:rsidRDefault="00B43627" w:rsidP="00E86458">
            <w:pPr>
              <w:spacing w:after="120"/>
              <w:rPr>
                <w:szCs w:val="24"/>
                <w:lang w:val="fr-FR"/>
              </w:rPr>
            </w:pPr>
          </w:p>
        </w:tc>
      </w:tr>
    </w:tbl>
    <w:p w14:paraId="77360A32" w14:textId="77777777" w:rsidR="00B43627" w:rsidRPr="00D31EFB" w:rsidRDefault="00B43627" w:rsidP="00B43627">
      <w:pPr>
        <w:pStyle w:val="Heading2"/>
        <w:tabs>
          <w:tab w:val="left" w:pos="720"/>
        </w:tabs>
        <w:spacing w:before="600" w:after="120"/>
        <w:ind w:left="0" w:firstLine="0"/>
        <w:jc w:val="both"/>
        <w:rPr>
          <w:rFonts w:asciiTheme="minorHAnsi" w:hAnsiTheme="minorHAnsi" w:cstheme="minorHAnsi"/>
          <w:color w:val="000000"/>
          <w:szCs w:val="24"/>
        </w:rPr>
      </w:pPr>
      <w:bookmarkStart w:id="8" w:name="dstart"/>
      <w:bookmarkStart w:id="9" w:name="dbreak"/>
      <w:bookmarkEnd w:id="8"/>
      <w:bookmarkEnd w:id="9"/>
      <w:r w:rsidRPr="00D31EFB">
        <w:rPr>
          <w:rFonts w:asciiTheme="minorHAnsi" w:hAnsiTheme="minorHAnsi" w:cstheme="minorHAnsi"/>
          <w:color w:val="000000"/>
          <w:szCs w:val="24"/>
        </w:rPr>
        <w:t>1.</w:t>
      </w:r>
      <w:r>
        <w:rPr>
          <w:rFonts w:asciiTheme="minorHAnsi" w:hAnsiTheme="minorHAnsi" w:cstheme="minorHAnsi"/>
          <w:color w:val="000000"/>
          <w:szCs w:val="24"/>
        </w:rPr>
        <w:tab/>
      </w:r>
      <w:r w:rsidRPr="00D31EFB">
        <w:rPr>
          <w:rFonts w:asciiTheme="minorHAnsi" w:hAnsiTheme="minorHAnsi" w:cstheme="minorHAnsi"/>
          <w:color w:val="000000"/>
          <w:szCs w:val="24"/>
        </w:rPr>
        <w:t>Introduction</w:t>
      </w:r>
    </w:p>
    <w:p w14:paraId="6F321679" w14:textId="2C4C2EF2" w:rsidR="00B43627" w:rsidRPr="00F475EC" w:rsidRDefault="00B43627" w:rsidP="00B43627">
      <w:pPr>
        <w:tabs>
          <w:tab w:val="left" w:pos="720"/>
        </w:tabs>
        <w:adjustRightInd w:val="0"/>
        <w:snapToGrid w:val="0"/>
        <w:spacing w:after="160"/>
        <w:jc w:val="both"/>
        <w:rPr>
          <w:rFonts w:asciiTheme="minorHAnsi" w:hAnsiTheme="minorHAnsi" w:cstheme="minorHAnsi"/>
          <w:szCs w:val="24"/>
        </w:rPr>
      </w:pPr>
      <w:r>
        <w:rPr>
          <w:rFonts w:asciiTheme="minorHAnsi" w:hAnsiTheme="minorHAnsi" w:cstheme="minorHAnsi"/>
          <w:szCs w:val="24"/>
        </w:rPr>
        <w:t>1.1.</w:t>
      </w:r>
      <w:r>
        <w:rPr>
          <w:rFonts w:asciiTheme="minorHAnsi" w:hAnsiTheme="minorHAnsi" w:cstheme="minorHAnsi"/>
          <w:szCs w:val="24"/>
        </w:rPr>
        <w:tab/>
        <w:t xml:space="preserve">11 </w:t>
      </w:r>
      <w:r w:rsidRPr="00F475EC">
        <w:rPr>
          <w:rFonts w:asciiTheme="minorHAnsi" w:hAnsiTheme="minorHAnsi" w:cstheme="minorHAnsi"/>
          <w:szCs w:val="24"/>
        </w:rPr>
        <w:t xml:space="preserve">March 2021 </w:t>
      </w:r>
      <w:r w:rsidR="00850244" w:rsidRPr="00F475EC">
        <w:rPr>
          <w:rFonts w:asciiTheme="minorHAnsi" w:hAnsiTheme="minorHAnsi" w:cstheme="minorHAnsi"/>
          <w:szCs w:val="24"/>
        </w:rPr>
        <w:t>mark</w:t>
      </w:r>
      <w:r w:rsidR="00850244">
        <w:rPr>
          <w:rFonts w:asciiTheme="minorHAnsi" w:hAnsiTheme="minorHAnsi" w:cstheme="minorHAnsi"/>
          <w:szCs w:val="24"/>
        </w:rPr>
        <w:t>ed</w:t>
      </w:r>
      <w:r w:rsidR="00850244" w:rsidRPr="00F475EC">
        <w:rPr>
          <w:rFonts w:asciiTheme="minorHAnsi" w:hAnsiTheme="minorHAnsi" w:cstheme="minorHAnsi"/>
          <w:szCs w:val="24"/>
        </w:rPr>
        <w:t xml:space="preserve"> </w:t>
      </w:r>
      <w:r w:rsidRPr="00F475EC">
        <w:rPr>
          <w:rFonts w:asciiTheme="minorHAnsi" w:hAnsiTheme="minorHAnsi" w:cstheme="minorHAnsi"/>
          <w:szCs w:val="24"/>
        </w:rPr>
        <w:t xml:space="preserve">one year since the World Health Organization (WHO) declared </w:t>
      </w:r>
      <w:r w:rsidR="001D2660">
        <w:rPr>
          <w:rFonts w:asciiTheme="minorHAnsi" w:hAnsiTheme="minorHAnsi" w:cstheme="minorHAnsi"/>
          <w:szCs w:val="24"/>
        </w:rPr>
        <w:t>COVID-19</w:t>
      </w:r>
      <w:r w:rsidR="001D2660" w:rsidRPr="00F475EC">
        <w:rPr>
          <w:rFonts w:asciiTheme="minorHAnsi" w:hAnsiTheme="minorHAnsi" w:cstheme="minorHAnsi"/>
          <w:szCs w:val="24"/>
        </w:rPr>
        <w:t xml:space="preserve"> </w:t>
      </w:r>
      <w:r w:rsidRPr="00F475EC">
        <w:rPr>
          <w:rFonts w:asciiTheme="minorHAnsi" w:hAnsiTheme="minorHAnsi" w:cstheme="minorHAnsi"/>
          <w:szCs w:val="24"/>
        </w:rPr>
        <w:t xml:space="preserve">as a global pandemic. </w:t>
      </w:r>
      <w:r w:rsidR="001D2660">
        <w:rPr>
          <w:rFonts w:asciiTheme="minorHAnsi" w:hAnsiTheme="minorHAnsi" w:cstheme="minorHAnsi"/>
          <w:szCs w:val="24"/>
        </w:rPr>
        <w:t>The pandemic</w:t>
      </w:r>
      <w:r w:rsidRPr="00F475EC">
        <w:rPr>
          <w:rFonts w:asciiTheme="minorHAnsi" w:hAnsiTheme="minorHAnsi" w:cstheme="minorHAnsi"/>
          <w:szCs w:val="24"/>
        </w:rPr>
        <w:t xml:space="preserve"> has had a huge impact on the functioning and activities of </w:t>
      </w:r>
      <w:r w:rsidR="001D2660">
        <w:rPr>
          <w:rFonts w:asciiTheme="minorHAnsi" w:hAnsiTheme="minorHAnsi" w:cstheme="minorHAnsi"/>
          <w:szCs w:val="24"/>
        </w:rPr>
        <w:t xml:space="preserve">most organizations </w:t>
      </w:r>
      <w:r w:rsidRPr="00F475EC">
        <w:rPr>
          <w:rFonts w:asciiTheme="minorHAnsi" w:hAnsiTheme="minorHAnsi" w:cstheme="minorHAnsi"/>
          <w:szCs w:val="24"/>
        </w:rPr>
        <w:t>in the short run, possibly expanding to the medium</w:t>
      </w:r>
      <w:r w:rsidR="00565645">
        <w:rPr>
          <w:rFonts w:asciiTheme="minorHAnsi" w:hAnsiTheme="minorHAnsi" w:cstheme="minorHAnsi"/>
          <w:szCs w:val="24"/>
        </w:rPr>
        <w:t>-</w:t>
      </w:r>
      <w:r w:rsidR="001D2660">
        <w:rPr>
          <w:rFonts w:asciiTheme="minorHAnsi" w:hAnsiTheme="minorHAnsi" w:cstheme="minorHAnsi"/>
          <w:szCs w:val="24"/>
        </w:rPr>
        <w:t xml:space="preserve">and even long-term. </w:t>
      </w:r>
      <w:r w:rsidRPr="00F475EC">
        <w:rPr>
          <w:rFonts w:asciiTheme="minorHAnsi" w:hAnsiTheme="minorHAnsi" w:cstheme="minorHAnsi"/>
          <w:szCs w:val="24"/>
        </w:rPr>
        <w:t>T</w:t>
      </w:r>
      <w:r w:rsidR="001D2660">
        <w:rPr>
          <w:rFonts w:asciiTheme="minorHAnsi" w:hAnsiTheme="minorHAnsi" w:cstheme="minorHAnsi"/>
          <w:szCs w:val="24"/>
        </w:rPr>
        <w:t>he t</w:t>
      </w:r>
      <w:r w:rsidRPr="00F475EC">
        <w:rPr>
          <w:rFonts w:asciiTheme="minorHAnsi" w:hAnsiTheme="minorHAnsi" w:cstheme="minorHAnsi"/>
          <w:szCs w:val="24"/>
        </w:rPr>
        <w:t xml:space="preserve">imely implementation of specific </w:t>
      </w:r>
      <w:r w:rsidR="001D2660">
        <w:rPr>
          <w:rFonts w:asciiTheme="minorHAnsi" w:hAnsiTheme="minorHAnsi" w:cstheme="minorHAnsi"/>
          <w:szCs w:val="24"/>
        </w:rPr>
        <w:t>mitigation measures</w:t>
      </w:r>
      <w:r w:rsidRPr="00F475EC">
        <w:rPr>
          <w:rFonts w:asciiTheme="minorHAnsi" w:hAnsiTheme="minorHAnsi" w:cstheme="minorHAnsi"/>
          <w:szCs w:val="24"/>
        </w:rPr>
        <w:t xml:space="preserve"> </w:t>
      </w:r>
      <w:r w:rsidR="00850244">
        <w:rPr>
          <w:rFonts w:asciiTheme="minorHAnsi" w:hAnsiTheme="minorHAnsi" w:cstheme="minorHAnsi"/>
          <w:szCs w:val="24"/>
        </w:rPr>
        <w:t xml:space="preserve">in ITU premises </w:t>
      </w:r>
      <w:r w:rsidRPr="00F475EC">
        <w:rPr>
          <w:rFonts w:asciiTheme="minorHAnsi" w:hAnsiTheme="minorHAnsi" w:cstheme="minorHAnsi"/>
          <w:szCs w:val="24"/>
        </w:rPr>
        <w:t>ha</w:t>
      </w:r>
      <w:r w:rsidR="00850244">
        <w:rPr>
          <w:rFonts w:asciiTheme="minorHAnsi" w:hAnsiTheme="minorHAnsi" w:cstheme="minorHAnsi"/>
          <w:szCs w:val="24"/>
        </w:rPr>
        <w:t>s</w:t>
      </w:r>
      <w:r w:rsidRPr="00F475EC">
        <w:rPr>
          <w:rFonts w:asciiTheme="minorHAnsi" w:hAnsiTheme="minorHAnsi" w:cstheme="minorHAnsi"/>
          <w:szCs w:val="24"/>
        </w:rPr>
        <w:t xml:space="preserve"> been </w:t>
      </w:r>
      <w:r w:rsidR="001D2660">
        <w:rPr>
          <w:rFonts w:asciiTheme="minorHAnsi" w:hAnsiTheme="minorHAnsi" w:cstheme="minorHAnsi"/>
          <w:szCs w:val="24"/>
        </w:rPr>
        <w:t>successful in avoid</w:t>
      </w:r>
      <w:r w:rsidR="001C4F57">
        <w:rPr>
          <w:rFonts w:asciiTheme="minorHAnsi" w:hAnsiTheme="minorHAnsi" w:cstheme="minorHAnsi"/>
          <w:szCs w:val="24"/>
        </w:rPr>
        <w:t>ing</w:t>
      </w:r>
      <w:r w:rsidR="001D2660">
        <w:rPr>
          <w:rFonts w:asciiTheme="minorHAnsi" w:hAnsiTheme="minorHAnsi" w:cstheme="minorHAnsi"/>
          <w:szCs w:val="24"/>
        </w:rPr>
        <w:t xml:space="preserve"> transmission </w:t>
      </w:r>
      <w:r w:rsidRPr="00F475EC">
        <w:rPr>
          <w:rFonts w:asciiTheme="minorHAnsi" w:hAnsiTheme="minorHAnsi" w:cstheme="minorHAnsi"/>
          <w:szCs w:val="24"/>
        </w:rPr>
        <w:t xml:space="preserve">within ITU. </w:t>
      </w:r>
      <w:r w:rsidR="001D2660">
        <w:rPr>
          <w:rFonts w:asciiTheme="minorHAnsi" w:hAnsiTheme="minorHAnsi" w:cstheme="minorHAnsi"/>
          <w:szCs w:val="24"/>
        </w:rPr>
        <w:t xml:space="preserve">With the start of </w:t>
      </w:r>
      <w:r w:rsidR="001C4F57">
        <w:rPr>
          <w:rFonts w:asciiTheme="minorHAnsi" w:hAnsiTheme="minorHAnsi" w:cstheme="minorHAnsi"/>
          <w:szCs w:val="24"/>
        </w:rPr>
        <w:t xml:space="preserve">the </w:t>
      </w:r>
      <w:r w:rsidR="001D2660">
        <w:rPr>
          <w:rFonts w:asciiTheme="minorHAnsi" w:hAnsiTheme="minorHAnsi" w:cstheme="minorHAnsi"/>
          <w:szCs w:val="24"/>
        </w:rPr>
        <w:t>lockdown on 20 March 2020 ITU staff have normally worked from home and meetings have been virtual. D</w:t>
      </w:r>
      <w:r w:rsidRPr="00F475EC">
        <w:rPr>
          <w:rFonts w:asciiTheme="minorHAnsi" w:hAnsiTheme="minorHAnsi" w:cstheme="minorHAnsi"/>
          <w:szCs w:val="24"/>
        </w:rPr>
        <w:t xml:space="preserve">etailed impact assessments </w:t>
      </w:r>
      <w:r>
        <w:rPr>
          <w:rFonts w:asciiTheme="minorHAnsi" w:hAnsiTheme="minorHAnsi" w:cstheme="minorHAnsi"/>
          <w:szCs w:val="24"/>
        </w:rPr>
        <w:t>will be</w:t>
      </w:r>
      <w:r w:rsidRPr="00F475EC">
        <w:rPr>
          <w:rFonts w:asciiTheme="minorHAnsi" w:hAnsiTheme="minorHAnsi" w:cstheme="minorHAnsi"/>
          <w:szCs w:val="24"/>
        </w:rPr>
        <w:t xml:space="preserve"> crucial for designing a recovery strategy, affecting the long-term sustainability and competitiveness of the Union. As the world recovers from and adjusts to the new normal created by the COVID-19 pandemic, ITU is also mobilizing around the United Nations' call to build back better.</w:t>
      </w:r>
      <w:r>
        <w:rPr>
          <w:rFonts w:asciiTheme="minorHAnsi" w:hAnsiTheme="minorHAnsi" w:cstheme="minorHAnsi"/>
          <w:szCs w:val="24"/>
        </w:rPr>
        <w:t xml:space="preserve"> </w:t>
      </w:r>
    </w:p>
    <w:p w14:paraId="6F9518F7" w14:textId="6191B786" w:rsidR="00B43627" w:rsidRPr="00F475EC" w:rsidRDefault="00B43627" w:rsidP="00B43627">
      <w:pPr>
        <w:adjustRightInd w:val="0"/>
        <w:snapToGrid w:val="0"/>
        <w:spacing w:after="160"/>
        <w:jc w:val="both"/>
        <w:rPr>
          <w:rFonts w:asciiTheme="minorHAnsi" w:hAnsiTheme="minorHAnsi" w:cstheme="minorHAnsi"/>
          <w:szCs w:val="24"/>
        </w:rPr>
      </w:pPr>
      <w:r>
        <w:rPr>
          <w:rFonts w:asciiTheme="minorHAnsi" w:hAnsiTheme="minorHAnsi" w:cstheme="minorHAnsi"/>
          <w:szCs w:val="24"/>
        </w:rPr>
        <w:t>1.2.</w:t>
      </w:r>
      <w:r>
        <w:rPr>
          <w:rFonts w:asciiTheme="minorHAnsi" w:hAnsiTheme="minorHAnsi" w:cstheme="minorHAnsi"/>
          <w:szCs w:val="24"/>
        </w:rPr>
        <w:tab/>
      </w:r>
      <w:r w:rsidRPr="00F475EC">
        <w:rPr>
          <w:rFonts w:asciiTheme="minorHAnsi" w:hAnsiTheme="minorHAnsi" w:cstheme="minorHAnsi"/>
          <w:szCs w:val="24"/>
        </w:rPr>
        <w:t>This document aims to make a preliminary analysis of the impact of COVID-19 on the activities and functioning of ITU, presenting facts, underlining the lessons learned</w:t>
      </w:r>
      <w:r>
        <w:rPr>
          <w:rFonts w:asciiTheme="minorHAnsi" w:hAnsiTheme="minorHAnsi" w:cstheme="minorHAnsi"/>
          <w:szCs w:val="24"/>
        </w:rPr>
        <w:t>,</w:t>
      </w:r>
      <w:r w:rsidRPr="00F475EC">
        <w:rPr>
          <w:rFonts w:asciiTheme="minorHAnsi" w:hAnsiTheme="minorHAnsi" w:cstheme="minorHAnsi"/>
          <w:szCs w:val="24"/>
        </w:rPr>
        <w:t xml:space="preserve"> and </w:t>
      </w:r>
      <w:r>
        <w:rPr>
          <w:rFonts w:asciiTheme="minorHAnsi" w:hAnsiTheme="minorHAnsi" w:cstheme="minorHAnsi"/>
          <w:szCs w:val="24"/>
        </w:rPr>
        <w:t>bringing</w:t>
      </w:r>
      <w:r w:rsidRPr="00F475EC">
        <w:rPr>
          <w:rFonts w:asciiTheme="minorHAnsi" w:hAnsiTheme="minorHAnsi" w:cstheme="minorHAnsi"/>
          <w:szCs w:val="24"/>
        </w:rPr>
        <w:t xml:space="preserve"> the attention </w:t>
      </w:r>
      <w:r w:rsidR="00850244">
        <w:rPr>
          <w:rFonts w:asciiTheme="minorHAnsi" w:hAnsiTheme="minorHAnsi" w:cstheme="minorHAnsi"/>
          <w:szCs w:val="24"/>
        </w:rPr>
        <w:t>to</w:t>
      </w:r>
      <w:r w:rsidRPr="00F475EC">
        <w:rPr>
          <w:rFonts w:asciiTheme="minorHAnsi" w:hAnsiTheme="minorHAnsi" w:cstheme="minorHAnsi"/>
          <w:szCs w:val="24"/>
        </w:rPr>
        <w:t xml:space="preserve"> some aspects that may be considered in the short</w:t>
      </w:r>
      <w:r>
        <w:rPr>
          <w:rFonts w:asciiTheme="minorHAnsi" w:hAnsiTheme="minorHAnsi" w:cstheme="minorHAnsi"/>
          <w:szCs w:val="24"/>
        </w:rPr>
        <w:t>-</w:t>
      </w:r>
      <w:r w:rsidRPr="00F475EC">
        <w:rPr>
          <w:rFonts w:asciiTheme="minorHAnsi" w:hAnsiTheme="minorHAnsi" w:cstheme="minorHAnsi"/>
          <w:szCs w:val="24"/>
        </w:rPr>
        <w:t xml:space="preserve"> and medium-</w:t>
      </w:r>
      <w:r w:rsidRPr="00F475EC">
        <w:rPr>
          <w:rFonts w:asciiTheme="minorHAnsi" w:hAnsiTheme="minorHAnsi" w:cstheme="minorHAnsi"/>
          <w:szCs w:val="24"/>
        </w:rPr>
        <w:lastRenderedPageBreak/>
        <w:t>term to make ITU a more modern, resilient</w:t>
      </w:r>
      <w:r>
        <w:rPr>
          <w:rFonts w:asciiTheme="minorHAnsi" w:hAnsiTheme="minorHAnsi" w:cstheme="minorHAnsi"/>
          <w:szCs w:val="24"/>
        </w:rPr>
        <w:t>,</w:t>
      </w:r>
      <w:r w:rsidRPr="00F475EC">
        <w:rPr>
          <w:rFonts w:asciiTheme="minorHAnsi" w:hAnsiTheme="minorHAnsi" w:cstheme="minorHAnsi"/>
          <w:szCs w:val="24"/>
        </w:rPr>
        <w:t xml:space="preserve"> and sustainable organization while continuing to provide </w:t>
      </w:r>
      <w:r w:rsidR="00E6567E">
        <w:rPr>
          <w:rFonts w:asciiTheme="minorHAnsi" w:hAnsiTheme="minorHAnsi" w:cstheme="minorHAnsi"/>
          <w:szCs w:val="24"/>
        </w:rPr>
        <w:t xml:space="preserve">a high quality of </w:t>
      </w:r>
      <w:r w:rsidRPr="00F475EC">
        <w:rPr>
          <w:rFonts w:asciiTheme="minorHAnsi" w:hAnsiTheme="minorHAnsi" w:cstheme="minorHAnsi"/>
          <w:szCs w:val="24"/>
        </w:rPr>
        <w:t>services to its membership.</w:t>
      </w:r>
      <w:r>
        <w:rPr>
          <w:rFonts w:asciiTheme="minorHAnsi" w:hAnsiTheme="minorHAnsi" w:cstheme="minorHAnsi"/>
          <w:szCs w:val="24"/>
        </w:rPr>
        <w:t xml:space="preserve"> </w:t>
      </w:r>
      <w:r w:rsidRPr="00F475EC">
        <w:rPr>
          <w:rFonts w:asciiTheme="minorHAnsi" w:hAnsiTheme="minorHAnsi" w:cstheme="minorHAnsi"/>
          <w:szCs w:val="24"/>
        </w:rPr>
        <w:t>Following the guidance of the ITU Council</w:t>
      </w:r>
      <w:r w:rsidR="00850244">
        <w:rPr>
          <w:rFonts w:asciiTheme="minorHAnsi" w:hAnsiTheme="minorHAnsi" w:cstheme="minorHAnsi"/>
          <w:szCs w:val="24"/>
        </w:rPr>
        <w:t xml:space="preserve"> on</w:t>
      </w:r>
      <w:r w:rsidRPr="00F475EC">
        <w:rPr>
          <w:rFonts w:asciiTheme="minorHAnsi" w:hAnsiTheme="minorHAnsi" w:cstheme="minorHAnsi"/>
          <w:szCs w:val="24"/>
        </w:rPr>
        <w:t xml:space="preserve"> the different aspects addressed in this document, and others that may be related, </w:t>
      </w:r>
      <w:r w:rsidR="004C3A63">
        <w:rPr>
          <w:rFonts w:asciiTheme="minorHAnsi" w:hAnsiTheme="minorHAnsi" w:cstheme="minorHAnsi"/>
          <w:szCs w:val="24"/>
        </w:rPr>
        <w:t xml:space="preserve">a further analysis will be made </w:t>
      </w:r>
      <w:proofErr w:type="gramStart"/>
      <w:r w:rsidRPr="00F475EC">
        <w:rPr>
          <w:rFonts w:asciiTheme="minorHAnsi" w:hAnsiTheme="minorHAnsi" w:cstheme="minorHAnsi"/>
          <w:szCs w:val="24"/>
        </w:rPr>
        <w:t>so as to</w:t>
      </w:r>
      <w:proofErr w:type="gramEnd"/>
      <w:r w:rsidRPr="00F475EC">
        <w:rPr>
          <w:rFonts w:asciiTheme="minorHAnsi" w:hAnsiTheme="minorHAnsi" w:cstheme="minorHAnsi"/>
          <w:szCs w:val="24"/>
        </w:rPr>
        <w:t xml:space="preserve"> </w:t>
      </w:r>
      <w:r w:rsidR="004C3A63">
        <w:rPr>
          <w:rFonts w:asciiTheme="minorHAnsi" w:hAnsiTheme="minorHAnsi" w:cstheme="minorHAnsi"/>
          <w:szCs w:val="24"/>
        </w:rPr>
        <w:t xml:space="preserve">identify ways </w:t>
      </w:r>
      <w:r w:rsidR="001C4F57">
        <w:rPr>
          <w:rFonts w:asciiTheme="minorHAnsi" w:hAnsiTheme="minorHAnsi" w:cstheme="minorHAnsi"/>
          <w:szCs w:val="24"/>
        </w:rPr>
        <w:t xml:space="preserve">to </w:t>
      </w:r>
      <w:r w:rsidRPr="00F475EC">
        <w:rPr>
          <w:rFonts w:asciiTheme="minorHAnsi" w:hAnsiTheme="minorHAnsi" w:cstheme="minorHAnsi"/>
          <w:szCs w:val="24"/>
        </w:rPr>
        <w:t>adapt to the new normal</w:t>
      </w:r>
      <w:r w:rsidR="00FF327F">
        <w:rPr>
          <w:rFonts w:asciiTheme="minorHAnsi" w:hAnsiTheme="minorHAnsi" w:cstheme="minorHAnsi"/>
          <w:szCs w:val="24"/>
        </w:rPr>
        <w:t xml:space="preserve"> and improve ITU’s efficiency, effectiveness and sustainability</w:t>
      </w:r>
      <w:r w:rsidRPr="00F475EC">
        <w:rPr>
          <w:rFonts w:asciiTheme="minorHAnsi" w:hAnsiTheme="minorHAnsi" w:cstheme="minorHAnsi"/>
          <w:szCs w:val="24"/>
        </w:rPr>
        <w:t>.</w:t>
      </w:r>
    </w:p>
    <w:p w14:paraId="45EBA30E" w14:textId="77777777" w:rsidR="00B43627" w:rsidRPr="00CD0DF3" w:rsidRDefault="00B43627" w:rsidP="00B43627">
      <w:pPr>
        <w:pStyle w:val="Heading2"/>
        <w:tabs>
          <w:tab w:val="left" w:pos="720"/>
        </w:tabs>
        <w:adjustRightInd w:val="0"/>
        <w:snapToGrid w:val="0"/>
        <w:spacing w:before="0" w:after="160"/>
        <w:ind w:left="0" w:firstLine="0"/>
        <w:jc w:val="both"/>
        <w:rPr>
          <w:rFonts w:asciiTheme="minorHAnsi" w:hAnsiTheme="minorHAnsi" w:cstheme="minorHAnsi"/>
          <w:color w:val="000000"/>
          <w:szCs w:val="24"/>
        </w:rPr>
      </w:pPr>
      <w:r w:rsidRPr="00D31EFB">
        <w:rPr>
          <w:rFonts w:asciiTheme="minorHAnsi" w:hAnsiTheme="minorHAnsi" w:cstheme="minorHAnsi"/>
          <w:szCs w:val="24"/>
        </w:rPr>
        <w:t>2</w:t>
      </w:r>
      <w:r w:rsidRPr="00D31EFB">
        <w:rPr>
          <w:rFonts w:asciiTheme="minorHAnsi" w:hAnsiTheme="minorHAnsi" w:cstheme="minorHAnsi"/>
          <w:color w:val="000000"/>
          <w:szCs w:val="24"/>
        </w:rPr>
        <w:t>.</w:t>
      </w:r>
      <w:r w:rsidRPr="00D31EFB">
        <w:rPr>
          <w:rFonts w:asciiTheme="minorHAnsi" w:hAnsiTheme="minorHAnsi" w:cstheme="minorHAnsi"/>
          <w:iCs/>
          <w:szCs w:val="24"/>
        </w:rPr>
        <w:tab/>
      </w:r>
      <w:r>
        <w:rPr>
          <w:rFonts w:asciiTheme="minorHAnsi" w:hAnsiTheme="minorHAnsi" w:cstheme="minorHAnsi"/>
          <w:color w:val="000000"/>
          <w:szCs w:val="24"/>
        </w:rPr>
        <w:t>Impact of COVID-19 on ITU World Conferences, Meetings and Events</w:t>
      </w:r>
    </w:p>
    <w:p w14:paraId="7BDB3C81" w14:textId="370818DA" w:rsidR="00B43627" w:rsidRDefault="00B43627" w:rsidP="00B43627">
      <w:pPr>
        <w:pStyle w:val="ListParagraph"/>
        <w:numPr>
          <w:ilvl w:val="1"/>
          <w:numId w:val="3"/>
        </w:numPr>
        <w:adjustRightInd w:val="0"/>
        <w:snapToGrid w:val="0"/>
        <w:spacing w:after="160"/>
        <w:ind w:left="0" w:firstLine="0"/>
        <w:contextualSpacing w:val="0"/>
        <w:jc w:val="both"/>
        <w:rPr>
          <w:rFonts w:asciiTheme="minorHAnsi" w:hAnsiTheme="minorHAnsi" w:cstheme="minorHAnsi"/>
          <w:szCs w:val="24"/>
        </w:rPr>
      </w:pPr>
      <w:r w:rsidRPr="00AA4C5F">
        <w:rPr>
          <w:rFonts w:asciiTheme="minorHAnsi" w:hAnsiTheme="minorHAnsi" w:cstheme="minorHAnsi"/>
          <w:szCs w:val="24"/>
        </w:rPr>
        <w:t>The organization of conferences</w:t>
      </w:r>
      <w:r w:rsidRPr="003109C6">
        <w:rPr>
          <w:rFonts w:asciiTheme="minorHAnsi" w:hAnsiTheme="minorHAnsi" w:cstheme="minorHAnsi"/>
          <w:szCs w:val="24"/>
        </w:rPr>
        <w:t xml:space="preserve">, </w:t>
      </w:r>
      <w:r w:rsidRPr="00E47E2D">
        <w:rPr>
          <w:rFonts w:asciiTheme="minorHAnsi" w:hAnsiTheme="minorHAnsi" w:cstheme="minorHAnsi"/>
          <w:szCs w:val="24"/>
        </w:rPr>
        <w:t>assemblies</w:t>
      </w:r>
      <w:r w:rsidRPr="003109C6">
        <w:rPr>
          <w:rFonts w:asciiTheme="minorHAnsi" w:hAnsiTheme="minorHAnsi" w:cstheme="minorHAnsi"/>
          <w:szCs w:val="24"/>
        </w:rPr>
        <w:t>, and events</w:t>
      </w:r>
      <w:r w:rsidRPr="00AA4C5F">
        <w:rPr>
          <w:rFonts w:asciiTheme="minorHAnsi" w:hAnsiTheme="minorHAnsi" w:cstheme="minorHAnsi"/>
          <w:szCs w:val="24"/>
        </w:rPr>
        <w:t xml:space="preserve"> is one of the areas most impacted by the C</w:t>
      </w:r>
      <w:r>
        <w:rPr>
          <w:rFonts w:asciiTheme="minorHAnsi" w:hAnsiTheme="minorHAnsi" w:cstheme="minorHAnsi"/>
          <w:szCs w:val="24"/>
        </w:rPr>
        <w:t>OVID</w:t>
      </w:r>
      <w:r w:rsidRPr="00E47E2D">
        <w:rPr>
          <w:rFonts w:asciiTheme="minorHAnsi" w:hAnsiTheme="minorHAnsi" w:cstheme="minorHAnsi"/>
          <w:szCs w:val="24"/>
        </w:rPr>
        <w:t xml:space="preserve">-19 pandemic, as they had to be </w:t>
      </w:r>
      <w:r w:rsidRPr="003109C6">
        <w:rPr>
          <w:rFonts w:asciiTheme="minorHAnsi" w:hAnsiTheme="minorHAnsi" w:cstheme="minorHAnsi"/>
          <w:szCs w:val="24"/>
        </w:rPr>
        <w:t xml:space="preserve">held virtually or </w:t>
      </w:r>
      <w:r w:rsidRPr="00AA4C5F">
        <w:rPr>
          <w:rFonts w:asciiTheme="minorHAnsi" w:hAnsiTheme="minorHAnsi" w:cstheme="minorHAnsi"/>
          <w:szCs w:val="24"/>
        </w:rPr>
        <w:t>postponed</w:t>
      </w:r>
      <w:r w:rsidRPr="003109C6">
        <w:rPr>
          <w:rFonts w:asciiTheme="minorHAnsi" w:hAnsiTheme="minorHAnsi" w:cstheme="minorHAnsi"/>
          <w:szCs w:val="24"/>
        </w:rPr>
        <w:t xml:space="preserve">. Since March 2020, many meetings planned by ITU </w:t>
      </w:r>
      <w:r>
        <w:rPr>
          <w:rFonts w:asciiTheme="minorHAnsi" w:hAnsiTheme="minorHAnsi" w:cstheme="minorHAnsi"/>
          <w:szCs w:val="24"/>
        </w:rPr>
        <w:t>have been</w:t>
      </w:r>
      <w:r w:rsidRPr="003109C6">
        <w:rPr>
          <w:rFonts w:asciiTheme="minorHAnsi" w:hAnsiTheme="minorHAnsi" w:cstheme="minorHAnsi"/>
          <w:szCs w:val="24"/>
        </w:rPr>
        <w:t xml:space="preserve"> held virtually, including the Radio Regulation Board (RRB), Advisory Groups of the three Sectors, Study Groups, and Working parties. Some of the major ITU events, such as the WSIS Forum, AI for Good Global Summit, Global Symposium for Regulators (GSR), ITU </w:t>
      </w:r>
      <w:r>
        <w:rPr>
          <w:rFonts w:asciiTheme="minorHAnsi" w:hAnsiTheme="minorHAnsi" w:cstheme="minorHAnsi"/>
          <w:szCs w:val="24"/>
        </w:rPr>
        <w:t>Digital World</w:t>
      </w:r>
      <w:r w:rsidRPr="003109C6">
        <w:rPr>
          <w:rFonts w:asciiTheme="minorHAnsi" w:hAnsiTheme="minorHAnsi" w:cstheme="minorHAnsi"/>
          <w:szCs w:val="24"/>
        </w:rPr>
        <w:t>, were postponed but held virtually throughout the year while WTSA</w:t>
      </w:r>
      <w:r w:rsidR="00FF327F">
        <w:rPr>
          <w:rFonts w:asciiTheme="minorHAnsi" w:hAnsiTheme="minorHAnsi" w:cstheme="minorHAnsi"/>
          <w:szCs w:val="24"/>
        </w:rPr>
        <w:t>-20</w:t>
      </w:r>
      <w:r w:rsidRPr="003109C6">
        <w:rPr>
          <w:rFonts w:asciiTheme="minorHAnsi" w:hAnsiTheme="minorHAnsi" w:cstheme="minorHAnsi"/>
          <w:szCs w:val="24"/>
        </w:rPr>
        <w:t xml:space="preserve"> </w:t>
      </w:r>
      <w:r w:rsidR="00FF327F">
        <w:rPr>
          <w:rFonts w:asciiTheme="minorHAnsi" w:hAnsiTheme="minorHAnsi" w:cstheme="minorHAnsi"/>
          <w:szCs w:val="24"/>
        </w:rPr>
        <w:t>was postpone</w:t>
      </w:r>
      <w:r w:rsidR="001C4F57">
        <w:rPr>
          <w:rFonts w:asciiTheme="minorHAnsi" w:hAnsiTheme="minorHAnsi" w:cstheme="minorHAnsi"/>
          <w:szCs w:val="24"/>
        </w:rPr>
        <w:t>d</w:t>
      </w:r>
      <w:r w:rsidR="00FF327F">
        <w:rPr>
          <w:rFonts w:asciiTheme="minorHAnsi" w:hAnsiTheme="minorHAnsi" w:cstheme="minorHAnsi"/>
          <w:szCs w:val="24"/>
        </w:rPr>
        <w:t xml:space="preserve"> to 2022 </w:t>
      </w:r>
      <w:r w:rsidRPr="003109C6">
        <w:rPr>
          <w:rFonts w:asciiTheme="minorHAnsi" w:hAnsiTheme="minorHAnsi" w:cstheme="minorHAnsi"/>
          <w:szCs w:val="24"/>
        </w:rPr>
        <w:t xml:space="preserve">and </w:t>
      </w:r>
      <w:r w:rsidRPr="0038421A">
        <w:rPr>
          <w:rFonts w:asciiTheme="minorHAnsi" w:hAnsiTheme="minorHAnsi" w:cstheme="minorHAnsi"/>
          <w:szCs w:val="24"/>
        </w:rPr>
        <w:t>WTDC</w:t>
      </w:r>
      <w:r w:rsidR="00FF327F">
        <w:rPr>
          <w:rFonts w:asciiTheme="minorHAnsi" w:hAnsiTheme="minorHAnsi" w:cstheme="minorHAnsi"/>
          <w:szCs w:val="24"/>
        </w:rPr>
        <w:t xml:space="preserve">-21 may also be postponed to 2022. </w:t>
      </w:r>
    </w:p>
    <w:p w14:paraId="24AD1AB3" w14:textId="6CDD218F" w:rsidR="00B43627" w:rsidRPr="006C4CB3" w:rsidRDefault="00F83899" w:rsidP="00B43627">
      <w:pPr>
        <w:pStyle w:val="ListParagraph"/>
        <w:numPr>
          <w:ilvl w:val="1"/>
          <w:numId w:val="3"/>
        </w:numPr>
        <w:adjustRightInd w:val="0"/>
        <w:snapToGrid w:val="0"/>
        <w:spacing w:after="160"/>
        <w:ind w:left="0" w:firstLine="0"/>
        <w:contextualSpacing w:val="0"/>
        <w:jc w:val="both"/>
        <w:rPr>
          <w:rFonts w:asciiTheme="minorHAnsi" w:hAnsiTheme="minorHAnsi" w:cstheme="minorHAnsi"/>
          <w:szCs w:val="24"/>
        </w:rPr>
      </w:pPr>
      <w:r w:rsidRPr="00A15B7F">
        <w:rPr>
          <w:rFonts w:asciiTheme="minorHAnsi" w:hAnsiTheme="minorHAnsi" w:cstheme="minorHAnsi"/>
          <w:szCs w:val="24"/>
        </w:rPr>
        <w:t xml:space="preserve">Two Virtual </w:t>
      </w:r>
      <w:r w:rsidR="00FF327F">
        <w:rPr>
          <w:rFonts w:asciiTheme="minorHAnsi" w:hAnsiTheme="minorHAnsi" w:cstheme="minorHAnsi"/>
          <w:szCs w:val="24"/>
        </w:rPr>
        <w:t>C</w:t>
      </w:r>
      <w:r w:rsidRPr="00A15B7F">
        <w:rPr>
          <w:rFonts w:asciiTheme="minorHAnsi" w:hAnsiTheme="minorHAnsi" w:cstheme="minorHAnsi"/>
          <w:szCs w:val="24"/>
        </w:rPr>
        <w:t xml:space="preserve">onsultations of </w:t>
      </w:r>
      <w:r w:rsidR="00FF327F">
        <w:rPr>
          <w:rFonts w:asciiTheme="minorHAnsi" w:hAnsiTheme="minorHAnsi" w:cstheme="minorHAnsi"/>
          <w:szCs w:val="24"/>
        </w:rPr>
        <w:t>C</w:t>
      </w:r>
      <w:r w:rsidRPr="00A15B7F">
        <w:rPr>
          <w:rFonts w:asciiTheme="minorHAnsi" w:hAnsiTheme="minorHAnsi" w:cstheme="minorHAnsi"/>
          <w:szCs w:val="24"/>
        </w:rPr>
        <w:t>ouncillors (VCCs) were organized in 2</w:t>
      </w:r>
      <w:r w:rsidRPr="006C4CB3">
        <w:rPr>
          <w:rFonts w:asciiTheme="minorHAnsi" w:hAnsiTheme="minorHAnsi" w:cstheme="minorHAnsi"/>
          <w:szCs w:val="24"/>
        </w:rPr>
        <w:t xml:space="preserve">020, in lieu of the 2020 session of the Council. </w:t>
      </w:r>
      <w:r w:rsidR="00B43627" w:rsidRPr="006C4CB3">
        <w:rPr>
          <w:rFonts w:asciiTheme="minorHAnsi" w:hAnsiTheme="minorHAnsi" w:cstheme="minorHAnsi"/>
          <w:szCs w:val="24"/>
        </w:rPr>
        <w:t xml:space="preserve">After consultation with </w:t>
      </w:r>
      <w:r w:rsidR="00B43627">
        <w:rPr>
          <w:rFonts w:asciiTheme="minorHAnsi" w:hAnsiTheme="minorHAnsi" w:cstheme="minorHAnsi"/>
          <w:szCs w:val="24"/>
        </w:rPr>
        <w:t xml:space="preserve">Council </w:t>
      </w:r>
      <w:r w:rsidR="00B43627" w:rsidRPr="006C4CB3">
        <w:rPr>
          <w:rFonts w:asciiTheme="minorHAnsi" w:hAnsiTheme="minorHAnsi" w:cstheme="minorHAnsi"/>
          <w:szCs w:val="24"/>
        </w:rPr>
        <w:t xml:space="preserve">Member States on holding a possible virtual meeting of the Council in 2021, it was agreed that the virtual </w:t>
      </w:r>
      <w:r w:rsidR="00B43627">
        <w:rPr>
          <w:rFonts w:asciiTheme="minorHAnsi" w:hAnsiTheme="minorHAnsi" w:cstheme="minorHAnsi"/>
          <w:szCs w:val="24"/>
        </w:rPr>
        <w:t>consultation</w:t>
      </w:r>
      <w:r w:rsidR="00B43627" w:rsidRPr="006C4CB3">
        <w:rPr>
          <w:rFonts w:asciiTheme="minorHAnsi" w:hAnsiTheme="minorHAnsi" w:cstheme="minorHAnsi"/>
          <w:szCs w:val="24"/>
        </w:rPr>
        <w:t xml:space="preserve"> should not be considered as a session of </w:t>
      </w:r>
      <w:r w:rsidR="00B43627">
        <w:rPr>
          <w:rFonts w:asciiTheme="minorHAnsi" w:hAnsiTheme="minorHAnsi" w:cstheme="minorHAnsi"/>
          <w:szCs w:val="24"/>
        </w:rPr>
        <w:t xml:space="preserve">the </w:t>
      </w:r>
      <w:r w:rsidR="00B43627" w:rsidRPr="006C4CB3">
        <w:rPr>
          <w:rFonts w:asciiTheme="minorHAnsi" w:hAnsiTheme="minorHAnsi" w:cstheme="minorHAnsi"/>
          <w:szCs w:val="24"/>
        </w:rPr>
        <w:t xml:space="preserve">Council, should be of a non-decisional nature, and should be considered as a consultation by correspondence, organized consistent with Rule 3.1 of the Rules of Procedure of Council. </w:t>
      </w:r>
    </w:p>
    <w:p w14:paraId="5680A741" w14:textId="2E3A8B17" w:rsidR="00B43627" w:rsidRPr="003E7D25" w:rsidRDefault="00B43627" w:rsidP="003E7D25">
      <w:pPr>
        <w:pStyle w:val="ListParagraph"/>
        <w:numPr>
          <w:ilvl w:val="1"/>
          <w:numId w:val="3"/>
        </w:numPr>
        <w:tabs>
          <w:tab w:val="left" w:pos="720"/>
        </w:tabs>
        <w:adjustRightInd w:val="0"/>
        <w:snapToGrid w:val="0"/>
        <w:spacing w:after="160"/>
        <w:ind w:left="0" w:firstLine="0"/>
        <w:contextualSpacing w:val="0"/>
        <w:jc w:val="both"/>
        <w:rPr>
          <w:rFonts w:asciiTheme="minorHAnsi" w:hAnsiTheme="minorHAnsi" w:cstheme="minorHAnsi"/>
          <w:szCs w:val="24"/>
        </w:rPr>
      </w:pPr>
      <w:r w:rsidRPr="003E47A3" w:rsidDel="00ED348C">
        <w:rPr>
          <w:rFonts w:asciiTheme="minorHAnsi" w:hAnsiTheme="minorHAnsi" w:cstheme="minorHAnsi"/>
          <w:szCs w:val="24"/>
        </w:rPr>
        <w:t>The total number of virtual events amounted to 288 with 42,055 registered participants in 2020. This was an increase of 107% in events and 93% in participants compared to 2019 and contributed to the improved inclusiveness in the work of the Union</w:t>
      </w:r>
      <w:r w:rsidR="001E38B6">
        <w:rPr>
          <w:rFonts w:asciiTheme="minorHAnsi" w:hAnsiTheme="minorHAnsi" w:cstheme="minorHAnsi"/>
          <w:szCs w:val="24"/>
        </w:rPr>
        <w:t xml:space="preserve"> (for example, </w:t>
      </w:r>
      <w:r w:rsidR="001E38B6">
        <w:rPr>
          <w:rFonts w:eastAsia="Calibri" w:cstheme="minorBidi"/>
          <w:szCs w:val="24"/>
        </w:rPr>
        <w:t xml:space="preserve">WRS-20, WSIS Forum 2020, AI for Good Global Summit and GSR </w:t>
      </w:r>
      <w:r w:rsidR="001E38B6">
        <w:rPr>
          <w:rFonts w:asciiTheme="minorHAnsi" w:hAnsiTheme="minorHAnsi" w:cstheme="minorHAnsi"/>
          <w:szCs w:val="24"/>
        </w:rPr>
        <w:t xml:space="preserve">were attended by up to 4-times more participants </w:t>
      </w:r>
      <w:r w:rsidR="001E38B6">
        <w:rPr>
          <w:rFonts w:eastAsia="Calibri" w:cstheme="minorBidi"/>
          <w:szCs w:val="24"/>
        </w:rPr>
        <w:t>than the physical format)</w:t>
      </w:r>
      <w:r w:rsidRPr="003E47A3" w:rsidDel="00ED348C">
        <w:rPr>
          <w:rFonts w:asciiTheme="minorHAnsi" w:hAnsiTheme="minorHAnsi" w:cstheme="minorHAnsi"/>
          <w:szCs w:val="24"/>
        </w:rPr>
        <w:t xml:space="preserve">. </w:t>
      </w:r>
      <w:r w:rsidRPr="003E47A3">
        <w:rPr>
          <w:rFonts w:asciiTheme="minorHAnsi" w:hAnsiTheme="minorHAnsi" w:cstheme="minorHAnsi"/>
          <w:szCs w:val="24"/>
        </w:rPr>
        <w:t>In total this amounted to over 9,700 virtual sessions with nearly 340,000 attend</w:t>
      </w:r>
      <w:r w:rsidR="001C4F57">
        <w:rPr>
          <w:rFonts w:asciiTheme="minorHAnsi" w:hAnsiTheme="minorHAnsi" w:cstheme="minorHAnsi"/>
          <w:szCs w:val="24"/>
        </w:rPr>
        <w:t>ees</w:t>
      </w:r>
      <w:r w:rsidRPr="003E47A3">
        <w:rPr>
          <w:rFonts w:asciiTheme="minorHAnsi" w:hAnsiTheme="minorHAnsi" w:cstheme="minorHAnsi"/>
          <w:szCs w:val="24"/>
        </w:rPr>
        <w:t>.</w:t>
      </w:r>
      <w:r>
        <w:rPr>
          <w:rFonts w:asciiTheme="minorHAnsi" w:hAnsiTheme="minorHAnsi" w:cstheme="minorHAnsi"/>
          <w:szCs w:val="24"/>
        </w:rPr>
        <w:t xml:space="preserve"> </w:t>
      </w:r>
      <w:r w:rsidRPr="00AA4C5F">
        <w:rPr>
          <w:rFonts w:asciiTheme="minorHAnsi" w:hAnsiTheme="minorHAnsi" w:cstheme="minorHAnsi"/>
          <w:i/>
          <w:iCs/>
          <w:szCs w:val="24"/>
        </w:rPr>
        <w:t>Zoom</w:t>
      </w:r>
      <w:r w:rsidRPr="00DA5401">
        <w:rPr>
          <w:rFonts w:asciiTheme="minorHAnsi" w:hAnsiTheme="minorHAnsi" w:cstheme="minorHAnsi"/>
          <w:szCs w:val="24"/>
        </w:rPr>
        <w:t xml:space="preserve"> accounted for over 4,700 virtual sessions (48%) with over 190,000 attendees (56%)</w:t>
      </w:r>
      <w:r>
        <w:rPr>
          <w:rFonts w:asciiTheme="minorHAnsi" w:hAnsiTheme="minorHAnsi" w:cstheme="minorHAnsi"/>
          <w:szCs w:val="24"/>
        </w:rPr>
        <w:t>, and</w:t>
      </w:r>
      <w:r w:rsidRPr="00DA5401">
        <w:rPr>
          <w:rFonts w:asciiTheme="minorHAnsi" w:hAnsiTheme="minorHAnsi" w:cstheme="minorHAnsi"/>
          <w:szCs w:val="24"/>
        </w:rPr>
        <w:t xml:space="preserve"> the remaining were shared between </w:t>
      </w:r>
      <w:proofErr w:type="spellStart"/>
      <w:r w:rsidRPr="00AA4C5F">
        <w:rPr>
          <w:rFonts w:asciiTheme="minorHAnsi" w:hAnsiTheme="minorHAnsi" w:cstheme="minorHAnsi"/>
          <w:i/>
          <w:iCs/>
          <w:szCs w:val="24"/>
        </w:rPr>
        <w:t>Interprefy</w:t>
      </w:r>
      <w:proofErr w:type="spellEnd"/>
      <w:r w:rsidRPr="00DA5401">
        <w:rPr>
          <w:rFonts w:asciiTheme="minorHAnsi" w:hAnsiTheme="minorHAnsi" w:cstheme="minorHAnsi"/>
          <w:szCs w:val="24"/>
        </w:rPr>
        <w:t xml:space="preserve">, </w:t>
      </w:r>
      <w:r w:rsidRPr="00AA4C5F">
        <w:rPr>
          <w:rFonts w:asciiTheme="minorHAnsi" w:hAnsiTheme="minorHAnsi" w:cstheme="minorHAnsi"/>
          <w:i/>
          <w:iCs/>
          <w:szCs w:val="24"/>
        </w:rPr>
        <w:t>GoToMeeting</w:t>
      </w:r>
      <w:r w:rsidRPr="00DA5401">
        <w:rPr>
          <w:rFonts w:asciiTheme="minorHAnsi" w:hAnsiTheme="minorHAnsi" w:cstheme="minorHAnsi"/>
          <w:szCs w:val="24"/>
        </w:rPr>
        <w:t xml:space="preserve"> and </w:t>
      </w:r>
      <w:proofErr w:type="spellStart"/>
      <w:r w:rsidRPr="00AA4C5F">
        <w:rPr>
          <w:rFonts w:asciiTheme="minorHAnsi" w:hAnsiTheme="minorHAnsi" w:cstheme="minorHAnsi"/>
          <w:i/>
          <w:iCs/>
          <w:szCs w:val="24"/>
        </w:rPr>
        <w:t>MyMeetings</w:t>
      </w:r>
      <w:proofErr w:type="spellEnd"/>
      <w:r>
        <w:rPr>
          <w:rFonts w:asciiTheme="minorHAnsi" w:hAnsiTheme="minorHAnsi" w:cstheme="minorHAnsi"/>
          <w:i/>
          <w:iCs/>
          <w:szCs w:val="24"/>
        </w:rPr>
        <w:t xml:space="preserve">, </w:t>
      </w:r>
      <w:r>
        <w:rPr>
          <w:rFonts w:asciiTheme="minorHAnsi" w:hAnsiTheme="minorHAnsi" w:cstheme="minorHAnsi"/>
          <w:szCs w:val="24"/>
        </w:rPr>
        <w:t xml:space="preserve">whilst </w:t>
      </w:r>
      <w:r w:rsidRPr="00AA4C5F">
        <w:rPr>
          <w:rFonts w:asciiTheme="minorHAnsi" w:hAnsiTheme="minorHAnsi" w:cstheme="minorHAnsi"/>
          <w:i/>
          <w:iCs/>
          <w:szCs w:val="24"/>
        </w:rPr>
        <w:t>Teams</w:t>
      </w:r>
      <w:r w:rsidRPr="00DA5401">
        <w:rPr>
          <w:rFonts w:asciiTheme="minorHAnsi" w:hAnsiTheme="minorHAnsi" w:cstheme="minorHAnsi"/>
          <w:szCs w:val="24"/>
        </w:rPr>
        <w:t xml:space="preserve"> was mainly used for internal ITU meetings. </w:t>
      </w:r>
    </w:p>
    <w:p w14:paraId="5856CB97" w14:textId="16F6AB0E" w:rsidR="00B43627" w:rsidRPr="00AA4C5F" w:rsidRDefault="00BB0F92" w:rsidP="003E7D25">
      <w:pPr>
        <w:pStyle w:val="ListParagraph"/>
        <w:numPr>
          <w:ilvl w:val="1"/>
          <w:numId w:val="3"/>
        </w:numPr>
        <w:tabs>
          <w:tab w:val="left" w:pos="720"/>
        </w:tabs>
        <w:adjustRightInd w:val="0"/>
        <w:snapToGrid w:val="0"/>
        <w:spacing w:after="160"/>
        <w:ind w:left="0" w:firstLine="0"/>
        <w:contextualSpacing w:val="0"/>
        <w:jc w:val="both"/>
        <w:rPr>
          <w:rFonts w:asciiTheme="minorHAnsi" w:hAnsiTheme="minorHAnsi" w:cstheme="minorHAnsi"/>
          <w:szCs w:val="24"/>
          <w:lang w:val="en-GB"/>
        </w:rPr>
      </w:pPr>
      <w:r w:rsidRPr="00BB0F92">
        <w:rPr>
          <w:rFonts w:asciiTheme="minorHAnsi" w:hAnsiTheme="minorHAnsi" w:cstheme="minorHAnsi"/>
          <w:szCs w:val="24"/>
        </w:rPr>
        <w:t xml:space="preserve">The conference management service has been able to respond to the growing number of requests for virtual events and meetings. Electronic events support has increased over 100% during 2020, which includes the technical support to delegates and participants for access, registration, accreditation, </w:t>
      </w:r>
      <w:proofErr w:type="gramStart"/>
      <w:r w:rsidRPr="00BB0F92">
        <w:rPr>
          <w:rFonts w:asciiTheme="minorHAnsi" w:hAnsiTheme="minorHAnsi" w:cstheme="minorHAnsi"/>
          <w:szCs w:val="24"/>
        </w:rPr>
        <w:t>operation</w:t>
      </w:r>
      <w:proofErr w:type="gramEnd"/>
      <w:r w:rsidRPr="00BB0F92">
        <w:rPr>
          <w:rFonts w:asciiTheme="minorHAnsi" w:hAnsiTheme="minorHAnsi" w:cstheme="minorHAnsi"/>
          <w:szCs w:val="24"/>
        </w:rPr>
        <w:t xml:space="preserve"> and other technical assistance (provided in different time zones). ITU’s quick use of in-house expertise to adapt tools and processes to the new digital reality was recognized by the Geneva Internet Platform and </w:t>
      </w:r>
      <w:proofErr w:type="spellStart"/>
      <w:r w:rsidRPr="00BB0F92">
        <w:rPr>
          <w:rFonts w:asciiTheme="minorHAnsi" w:hAnsiTheme="minorHAnsi" w:cstheme="minorHAnsi"/>
          <w:szCs w:val="24"/>
        </w:rPr>
        <w:t>DiploFoundation</w:t>
      </w:r>
      <w:proofErr w:type="spellEnd"/>
      <w:r w:rsidRPr="00BB0F92">
        <w:rPr>
          <w:rFonts w:asciiTheme="minorHAnsi" w:hAnsiTheme="minorHAnsi" w:cstheme="minorHAnsi"/>
          <w:szCs w:val="24"/>
        </w:rPr>
        <w:t xml:space="preserve"> at the 6th Geneva Engage Awards, where ITU won the ‘Online meetings and participation’ category</w:t>
      </w:r>
      <w:r w:rsidR="00B43627" w:rsidRPr="00DF2CE3">
        <w:t>.</w:t>
      </w:r>
    </w:p>
    <w:p w14:paraId="14CD38A6" w14:textId="4679011C" w:rsidR="00B43627" w:rsidRDefault="00B43627" w:rsidP="00B43627">
      <w:pPr>
        <w:pStyle w:val="ListParagraph"/>
        <w:numPr>
          <w:ilvl w:val="1"/>
          <w:numId w:val="3"/>
        </w:numPr>
        <w:adjustRightInd w:val="0"/>
        <w:snapToGrid w:val="0"/>
        <w:spacing w:after="160"/>
        <w:ind w:left="0" w:firstLine="0"/>
        <w:contextualSpacing w:val="0"/>
        <w:jc w:val="both"/>
        <w:rPr>
          <w:rFonts w:asciiTheme="minorHAnsi" w:hAnsiTheme="minorHAnsi" w:cstheme="minorHAnsi"/>
          <w:szCs w:val="24"/>
        </w:rPr>
      </w:pPr>
      <w:r w:rsidRPr="00785655">
        <w:rPr>
          <w:rFonts w:asciiTheme="minorHAnsi" w:hAnsiTheme="minorHAnsi" w:cstheme="minorHAnsi"/>
          <w:szCs w:val="24"/>
        </w:rPr>
        <w:t xml:space="preserve">Most of the meetings organized virtually were very much appreciated by the participants and ran smoothly by the ITU </w:t>
      </w:r>
      <w:r>
        <w:rPr>
          <w:rFonts w:asciiTheme="minorHAnsi" w:hAnsiTheme="minorHAnsi" w:cstheme="minorHAnsi"/>
          <w:szCs w:val="24"/>
        </w:rPr>
        <w:t>S</w:t>
      </w:r>
      <w:r w:rsidRPr="00785655">
        <w:rPr>
          <w:rFonts w:asciiTheme="minorHAnsi" w:hAnsiTheme="minorHAnsi" w:cstheme="minorHAnsi"/>
          <w:szCs w:val="24"/>
        </w:rPr>
        <w:t xml:space="preserve">ecretariat. </w:t>
      </w:r>
      <w:r w:rsidRPr="00AA4C5F">
        <w:rPr>
          <w:rFonts w:asciiTheme="minorHAnsi" w:hAnsiTheme="minorHAnsi" w:cstheme="minorHAnsi"/>
          <w:b/>
          <w:bCs/>
          <w:szCs w:val="24"/>
        </w:rPr>
        <w:t>The lessons learned</w:t>
      </w:r>
      <w:r w:rsidRPr="00785655">
        <w:rPr>
          <w:rFonts w:asciiTheme="minorHAnsi" w:hAnsiTheme="minorHAnsi" w:cstheme="minorHAnsi"/>
          <w:szCs w:val="24"/>
        </w:rPr>
        <w:t xml:space="preserve"> include </w:t>
      </w:r>
      <w:r w:rsidR="00FF327F">
        <w:rPr>
          <w:rFonts w:asciiTheme="minorHAnsi" w:hAnsiTheme="minorHAnsi" w:cstheme="minorHAnsi"/>
          <w:szCs w:val="24"/>
        </w:rPr>
        <w:t xml:space="preserve">that </w:t>
      </w:r>
      <w:r w:rsidRPr="00785655">
        <w:rPr>
          <w:rFonts w:asciiTheme="minorHAnsi" w:hAnsiTheme="minorHAnsi" w:cstheme="minorHAnsi"/>
          <w:szCs w:val="24"/>
        </w:rPr>
        <w:t xml:space="preserve">virtual meetings have proved to be more inclusive than physical ones and </w:t>
      </w:r>
      <w:r>
        <w:rPr>
          <w:rFonts w:asciiTheme="minorHAnsi" w:hAnsiTheme="minorHAnsi" w:cstheme="minorHAnsi"/>
          <w:szCs w:val="24"/>
        </w:rPr>
        <w:t xml:space="preserve">often </w:t>
      </w:r>
      <w:r w:rsidRPr="00785655">
        <w:rPr>
          <w:rFonts w:asciiTheme="minorHAnsi" w:hAnsiTheme="minorHAnsi" w:cstheme="minorHAnsi"/>
          <w:szCs w:val="24"/>
        </w:rPr>
        <w:t xml:space="preserve">had more participants than the same meetings previously held physically. </w:t>
      </w:r>
    </w:p>
    <w:p w14:paraId="2002F526" w14:textId="59EC8E09" w:rsidR="00B43627" w:rsidRPr="00AA4C5F" w:rsidRDefault="00B43627" w:rsidP="00B43627">
      <w:pPr>
        <w:pStyle w:val="ListParagraph"/>
        <w:numPr>
          <w:ilvl w:val="0"/>
          <w:numId w:val="5"/>
        </w:numPr>
        <w:adjustRightInd w:val="0"/>
        <w:snapToGrid w:val="0"/>
        <w:spacing w:after="160"/>
        <w:ind w:hanging="450"/>
        <w:contextualSpacing w:val="0"/>
        <w:jc w:val="both"/>
        <w:rPr>
          <w:rFonts w:asciiTheme="minorHAnsi" w:hAnsiTheme="minorHAnsi" w:cstheme="minorHAnsi"/>
          <w:szCs w:val="24"/>
        </w:rPr>
      </w:pPr>
      <w:r>
        <w:t xml:space="preserve">In many cases, the organization of virtual meetings has a higher degree of flexibility, can be </w:t>
      </w:r>
      <w:r w:rsidR="00FF327F">
        <w:t>more easily organized and at</w:t>
      </w:r>
      <w:r>
        <w:t xml:space="preserve"> shorter notice. </w:t>
      </w:r>
      <w:r w:rsidRPr="00486873">
        <w:rPr>
          <w:rFonts w:asciiTheme="minorHAnsi" w:hAnsiTheme="minorHAnsi" w:cstheme="minorHAnsi"/>
          <w:szCs w:val="24"/>
        </w:rPr>
        <w:t xml:space="preserve">Higher participation may be attributed to the fact that attendance for online meetings has no travel costs </w:t>
      </w:r>
      <w:r w:rsidRPr="00486873">
        <w:rPr>
          <w:rFonts w:asciiTheme="minorHAnsi" w:hAnsiTheme="minorHAnsi" w:cstheme="minorHAnsi"/>
          <w:szCs w:val="24"/>
        </w:rPr>
        <w:lastRenderedPageBreak/>
        <w:t>associated with it.</w:t>
      </w:r>
      <w:r w:rsidRPr="007A2DCE">
        <w:rPr>
          <w:rFonts w:asciiTheme="minorHAnsi" w:hAnsiTheme="minorHAnsi" w:cstheme="minorHAnsi"/>
          <w:szCs w:val="24"/>
        </w:rPr>
        <w:t xml:space="preserve"> </w:t>
      </w:r>
      <w:r w:rsidRPr="00940A26">
        <w:t xml:space="preserve">Virtual meetings </w:t>
      </w:r>
      <w:r>
        <w:t xml:space="preserve">also </w:t>
      </w:r>
      <w:r w:rsidRPr="00940A26">
        <w:t>have a much smaller environmental footprint when considering delegate</w:t>
      </w:r>
      <w:r>
        <w:t xml:space="preserve">, staff and </w:t>
      </w:r>
      <w:r w:rsidRPr="00940A26">
        <w:t>interpreter flights, freight, waste, water</w:t>
      </w:r>
      <w:r>
        <w:t>,</w:t>
      </w:r>
      <w:r w:rsidRPr="00940A26">
        <w:t xml:space="preserve"> and energy consumption in the context of physical events</w:t>
      </w:r>
      <w:r>
        <w:t>.</w:t>
      </w:r>
    </w:p>
    <w:p w14:paraId="2C83792A" w14:textId="51DE03DB" w:rsidR="00B43627" w:rsidRDefault="008D5D0C" w:rsidP="00B43627">
      <w:pPr>
        <w:pStyle w:val="ListParagraph"/>
        <w:numPr>
          <w:ilvl w:val="0"/>
          <w:numId w:val="5"/>
        </w:numPr>
        <w:adjustRightInd w:val="0"/>
        <w:snapToGrid w:val="0"/>
        <w:spacing w:after="160"/>
        <w:contextualSpacing w:val="0"/>
        <w:jc w:val="both"/>
        <w:rPr>
          <w:rFonts w:asciiTheme="minorHAnsi" w:hAnsiTheme="minorHAnsi" w:cstheme="minorHAnsi"/>
          <w:szCs w:val="24"/>
        </w:rPr>
      </w:pPr>
      <w:r>
        <w:t>However, t</w:t>
      </w:r>
      <w:r w:rsidR="00B43627">
        <w:t>here is a risk</w:t>
      </w:r>
      <w:r w:rsidR="00B43627" w:rsidRPr="00F57BD9">
        <w:t xml:space="preserve"> of saturating audiences, and membership in particular, when events on similar topics are scheduled close in time to each other</w:t>
      </w:r>
      <w:r>
        <w:t>. Consequently</w:t>
      </w:r>
      <w:r w:rsidR="005A7993">
        <w:t>,</w:t>
      </w:r>
      <w:r>
        <w:t xml:space="preserve"> there is a </w:t>
      </w:r>
      <w:r w:rsidR="00B43627" w:rsidRPr="00F57BD9">
        <w:t xml:space="preserve">need for more detailed planning and coordination </w:t>
      </w:r>
      <w:proofErr w:type="gramStart"/>
      <w:r w:rsidR="00B43627" w:rsidRPr="00F57BD9">
        <w:t>in order to</w:t>
      </w:r>
      <w:proofErr w:type="gramEnd"/>
      <w:r w:rsidR="00B43627" w:rsidRPr="00F57BD9">
        <w:t xml:space="preserve"> achieve the desired impact and avoid webinar fatigue</w:t>
      </w:r>
      <w:r w:rsidR="00B43627">
        <w:t>.</w:t>
      </w:r>
      <w:r w:rsidR="00B43627" w:rsidRPr="00735EDD">
        <w:rPr>
          <w:rFonts w:asciiTheme="minorHAnsi" w:hAnsiTheme="minorHAnsi" w:cstheme="minorHAnsi"/>
          <w:szCs w:val="24"/>
        </w:rPr>
        <w:t xml:space="preserve"> </w:t>
      </w:r>
    </w:p>
    <w:p w14:paraId="4ACC093D" w14:textId="2287FAA8" w:rsidR="00B43627" w:rsidRPr="007A2DCE" w:rsidRDefault="008D5D0C" w:rsidP="00BB0F92">
      <w:pPr>
        <w:pStyle w:val="ListParagraph"/>
        <w:numPr>
          <w:ilvl w:val="1"/>
          <w:numId w:val="3"/>
        </w:numPr>
        <w:adjustRightInd w:val="0"/>
        <w:snapToGrid w:val="0"/>
        <w:spacing w:after="160"/>
        <w:ind w:left="0" w:firstLine="0"/>
        <w:contextualSpacing w:val="0"/>
        <w:jc w:val="both"/>
        <w:rPr>
          <w:rFonts w:asciiTheme="minorHAnsi" w:hAnsiTheme="minorHAnsi" w:cstheme="minorHAnsi"/>
          <w:szCs w:val="24"/>
        </w:rPr>
      </w:pPr>
      <w:r>
        <w:rPr>
          <w:rFonts w:asciiTheme="minorHAnsi" w:hAnsiTheme="minorHAnsi" w:cstheme="minorHAnsi"/>
          <w:szCs w:val="24"/>
        </w:rPr>
        <w:t>The</w:t>
      </w:r>
      <w:r w:rsidR="00B43627" w:rsidRPr="00AA4C5F">
        <w:rPr>
          <w:rFonts w:asciiTheme="minorHAnsi" w:hAnsiTheme="minorHAnsi" w:cstheme="minorHAnsi"/>
          <w:b/>
          <w:bCs/>
          <w:szCs w:val="24"/>
        </w:rPr>
        <w:t xml:space="preserve"> constraints</w:t>
      </w:r>
      <w:r w:rsidR="00B43627">
        <w:rPr>
          <w:rFonts w:asciiTheme="minorHAnsi" w:hAnsiTheme="minorHAnsi" w:cstheme="minorHAnsi"/>
          <w:b/>
          <w:bCs/>
          <w:szCs w:val="24"/>
        </w:rPr>
        <w:t xml:space="preserve"> or challenges</w:t>
      </w:r>
      <w:r w:rsidR="00B43627" w:rsidRPr="00796F04">
        <w:rPr>
          <w:rFonts w:asciiTheme="minorHAnsi" w:hAnsiTheme="minorHAnsi" w:cstheme="minorHAnsi"/>
          <w:szCs w:val="24"/>
        </w:rPr>
        <w:t xml:space="preserve"> includ</w:t>
      </w:r>
      <w:r>
        <w:rPr>
          <w:rFonts w:asciiTheme="minorHAnsi" w:hAnsiTheme="minorHAnsi" w:cstheme="minorHAnsi"/>
          <w:szCs w:val="24"/>
        </w:rPr>
        <w:t>e</w:t>
      </w:r>
      <w:r w:rsidR="00B43627">
        <w:rPr>
          <w:rFonts w:asciiTheme="minorHAnsi" w:hAnsiTheme="minorHAnsi" w:cstheme="minorHAnsi"/>
          <w:szCs w:val="24"/>
        </w:rPr>
        <w:t xml:space="preserve"> </w:t>
      </w:r>
      <w:r w:rsidR="00B43627" w:rsidRPr="00796F04">
        <w:rPr>
          <w:rFonts w:asciiTheme="minorHAnsi" w:hAnsiTheme="minorHAnsi" w:cstheme="minorHAnsi"/>
          <w:szCs w:val="24"/>
        </w:rPr>
        <w:t>limited bandwidth</w:t>
      </w:r>
      <w:r w:rsidR="00B43627">
        <w:rPr>
          <w:rFonts w:asciiTheme="minorHAnsi" w:hAnsiTheme="minorHAnsi" w:cstheme="minorHAnsi"/>
          <w:szCs w:val="24"/>
        </w:rPr>
        <w:t xml:space="preserve"> (for audio and video), poor transmission quality,</w:t>
      </w:r>
      <w:r w:rsidR="00B43627" w:rsidRPr="00796F04">
        <w:rPr>
          <w:rFonts w:asciiTheme="minorHAnsi" w:hAnsiTheme="minorHAnsi" w:cstheme="minorHAnsi"/>
          <w:szCs w:val="24"/>
        </w:rPr>
        <w:t xml:space="preserve"> </w:t>
      </w:r>
      <w:r w:rsidR="00B43627">
        <w:rPr>
          <w:rFonts w:asciiTheme="minorHAnsi" w:hAnsiTheme="minorHAnsi" w:cstheme="minorHAnsi"/>
          <w:szCs w:val="24"/>
        </w:rPr>
        <w:t xml:space="preserve">or other </w:t>
      </w:r>
      <w:r w:rsidR="00B43627" w:rsidRPr="00796F04">
        <w:rPr>
          <w:rFonts w:asciiTheme="minorHAnsi" w:hAnsiTheme="minorHAnsi" w:cstheme="minorHAnsi"/>
          <w:szCs w:val="24"/>
        </w:rPr>
        <w:t>connection capabilities by some participants</w:t>
      </w:r>
      <w:r>
        <w:rPr>
          <w:rFonts w:asciiTheme="minorHAnsi" w:hAnsiTheme="minorHAnsi" w:cstheme="minorHAnsi"/>
          <w:szCs w:val="24"/>
        </w:rPr>
        <w:t>. Also</w:t>
      </w:r>
      <w:r w:rsidR="00B43627">
        <w:rPr>
          <w:rFonts w:asciiTheme="minorHAnsi" w:hAnsiTheme="minorHAnsi" w:cstheme="minorHAnsi"/>
          <w:szCs w:val="24"/>
        </w:rPr>
        <w:t>, in certain meetings</w:t>
      </w:r>
      <w:r>
        <w:rPr>
          <w:rFonts w:asciiTheme="minorHAnsi" w:hAnsiTheme="minorHAnsi" w:cstheme="minorHAnsi"/>
          <w:szCs w:val="24"/>
        </w:rPr>
        <w:t>,</w:t>
      </w:r>
      <w:r w:rsidR="00B43627">
        <w:rPr>
          <w:rFonts w:asciiTheme="minorHAnsi" w:hAnsiTheme="minorHAnsi" w:cstheme="minorHAnsi"/>
          <w:szCs w:val="24"/>
        </w:rPr>
        <w:t xml:space="preserve"> </w:t>
      </w:r>
      <w:r>
        <w:rPr>
          <w:rFonts w:asciiTheme="minorHAnsi" w:hAnsiTheme="minorHAnsi" w:cstheme="minorHAnsi"/>
          <w:szCs w:val="24"/>
        </w:rPr>
        <w:t xml:space="preserve">including </w:t>
      </w:r>
      <w:r w:rsidR="00B43627">
        <w:rPr>
          <w:rFonts w:asciiTheme="minorHAnsi" w:hAnsiTheme="minorHAnsi" w:cstheme="minorHAnsi"/>
          <w:szCs w:val="24"/>
        </w:rPr>
        <w:t>Study Group</w:t>
      </w:r>
      <w:r>
        <w:rPr>
          <w:rFonts w:asciiTheme="minorHAnsi" w:hAnsiTheme="minorHAnsi" w:cstheme="minorHAnsi"/>
          <w:szCs w:val="24"/>
        </w:rPr>
        <w:t xml:space="preserve"> meetings</w:t>
      </w:r>
      <w:r w:rsidR="00B43627">
        <w:rPr>
          <w:rFonts w:asciiTheme="minorHAnsi" w:hAnsiTheme="minorHAnsi" w:cstheme="minorHAnsi"/>
          <w:szCs w:val="24"/>
        </w:rPr>
        <w:t xml:space="preserve">, there was an agreement on the decision-making process, while in others, such as the </w:t>
      </w:r>
      <w:r>
        <w:rPr>
          <w:rFonts w:asciiTheme="minorHAnsi" w:hAnsiTheme="minorHAnsi" w:cstheme="minorHAnsi"/>
          <w:szCs w:val="24"/>
        </w:rPr>
        <w:t>VCCs</w:t>
      </w:r>
      <w:r w:rsidR="00B43627">
        <w:rPr>
          <w:rFonts w:asciiTheme="minorHAnsi" w:hAnsiTheme="minorHAnsi" w:cstheme="minorHAnsi"/>
          <w:szCs w:val="24"/>
        </w:rPr>
        <w:t xml:space="preserve">, provisional outcomes on a subject had to be followed by formal approval by correspondence </w:t>
      </w:r>
      <w:r w:rsidR="00B43627" w:rsidRPr="006C4CB3">
        <w:rPr>
          <w:rFonts w:asciiTheme="minorHAnsi" w:hAnsiTheme="minorHAnsi" w:cstheme="minorHAnsi"/>
          <w:szCs w:val="24"/>
        </w:rPr>
        <w:t>as per rule 3.2 of the Rules of Procedure of the Council</w:t>
      </w:r>
      <w:r w:rsidR="00B43627">
        <w:rPr>
          <w:rFonts w:asciiTheme="minorHAnsi" w:hAnsiTheme="minorHAnsi" w:cstheme="minorHAnsi"/>
          <w:szCs w:val="24"/>
        </w:rPr>
        <w:t xml:space="preserve">. </w:t>
      </w:r>
    </w:p>
    <w:p w14:paraId="108B3FDB" w14:textId="77777777" w:rsidR="00B43627" w:rsidRDefault="00B43627" w:rsidP="00BB0F92">
      <w:pPr>
        <w:pStyle w:val="ListParagraph"/>
        <w:numPr>
          <w:ilvl w:val="0"/>
          <w:numId w:val="5"/>
        </w:numPr>
        <w:adjustRightInd w:val="0"/>
        <w:snapToGrid w:val="0"/>
        <w:spacing w:after="160"/>
        <w:ind w:hanging="450"/>
        <w:contextualSpacing w:val="0"/>
        <w:jc w:val="both"/>
        <w:rPr>
          <w:rFonts w:asciiTheme="minorHAnsi" w:hAnsiTheme="minorHAnsi" w:cstheme="minorHAnsi"/>
          <w:szCs w:val="24"/>
        </w:rPr>
      </w:pPr>
      <w:r>
        <w:rPr>
          <w:rFonts w:asciiTheme="minorHAnsi" w:hAnsiTheme="minorHAnsi" w:cstheme="minorHAnsi"/>
          <w:szCs w:val="24"/>
        </w:rPr>
        <w:t>Overall, t</w:t>
      </w:r>
      <w:r w:rsidRPr="00AA4C5F">
        <w:rPr>
          <w:rFonts w:asciiTheme="minorHAnsi" w:hAnsiTheme="minorHAnsi" w:cstheme="minorHAnsi"/>
          <w:szCs w:val="24"/>
        </w:rPr>
        <w:t xml:space="preserve">he support and the participation in virtual meetings required new skills and functions for the ITU staff (helping moderators, delegates, Chairs, and Secretaries, to connect to platforms and assist during the virtual meetings) and for participants. The usage of different platforms for different meetings has created problems in the access and usage. </w:t>
      </w:r>
    </w:p>
    <w:p w14:paraId="5ED8661A" w14:textId="21D344B9" w:rsidR="00B43627" w:rsidRDefault="00B43627" w:rsidP="00BB0F92">
      <w:pPr>
        <w:pStyle w:val="ListParagraph"/>
        <w:numPr>
          <w:ilvl w:val="0"/>
          <w:numId w:val="5"/>
        </w:numPr>
        <w:adjustRightInd w:val="0"/>
        <w:snapToGrid w:val="0"/>
        <w:spacing w:after="160"/>
        <w:ind w:hanging="450"/>
        <w:contextualSpacing w:val="0"/>
        <w:jc w:val="both"/>
        <w:rPr>
          <w:rFonts w:asciiTheme="minorHAnsi" w:hAnsiTheme="minorHAnsi" w:cstheme="minorHAnsi"/>
          <w:szCs w:val="24"/>
        </w:rPr>
      </w:pPr>
      <w:r>
        <w:rPr>
          <w:rFonts w:asciiTheme="minorHAnsi" w:hAnsiTheme="minorHAnsi" w:cstheme="minorHAnsi"/>
          <w:szCs w:val="24"/>
        </w:rPr>
        <w:t>It was also a challenge to adjust to r</w:t>
      </w:r>
      <w:r w:rsidRPr="00355A5F">
        <w:rPr>
          <w:rFonts w:asciiTheme="minorHAnsi" w:hAnsiTheme="minorHAnsi" w:cstheme="minorHAnsi"/>
          <w:szCs w:val="24"/>
        </w:rPr>
        <w:t>educed meeting time per day</w:t>
      </w:r>
      <w:r w:rsidR="00BB0F92">
        <w:rPr>
          <w:rFonts w:asciiTheme="minorHAnsi" w:hAnsiTheme="minorHAnsi" w:cstheme="minorHAnsi"/>
          <w:szCs w:val="24"/>
        </w:rPr>
        <w:t xml:space="preserve"> and to manage </w:t>
      </w:r>
      <w:r>
        <w:rPr>
          <w:rFonts w:asciiTheme="minorHAnsi" w:hAnsiTheme="minorHAnsi" w:cstheme="minorHAnsi"/>
          <w:szCs w:val="24"/>
        </w:rPr>
        <w:t>a</w:t>
      </w:r>
      <w:r w:rsidRPr="00355A5F">
        <w:rPr>
          <w:rFonts w:asciiTheme="minorHAnsi" w:hAnsiTheme="minorHAnsi" w:cstheme="minorHAnsi"/>
          <w:szCs w:val="24"/>
        </w:rPr>
        <w:t xml:space="preserve"> lack of timeslots that are fully convenient for all time zones. ITU used the timeslots 12:00 -15:00 or 13:00 -16:00 CEST </w:t>
      </w:r>
      <w:r>
        <w:rPr>
          <w:rFonts w:asciiTheme="minorHAnsi" w:hAnsiTheme="minorHAnsi" w:cstheme="minorHAnsi"/>
          <w:szCs w:val="24"/>
        </w:rPr>
        <w:t xml:space="preserve">with very good results on using efficiently the time for the meetings (very few </w:t>
      </w:r>
      <w:r w:rsidR="008D5D0C">
        <w:rPr>
          <w:rFonts w:asciiTheme="minorHAnsi" w:hAnsiTheme="minorHAnsi" w:cstheme="minorHAnsi"/>
          <w:szCs w:val="24"/>
        </w:rPr>
        <w:t xml:space="preserve">or </w:t>
      </w:r>
      <w:r>
        <w:rPr>
          <w:rFonts w:asciiTheme="minorHAnsi" w:hAnsiTheme="minorHAnsi" w:cstheme="minorHAnsi"/>
          <w:szCs w:val="24"/>
        </w:rPr>
        <w:t>short breaks etc.) but</w:t>
      </w:r>
      <w:r w:rsidRPr="00355A5F">
        <w:rPr>
          <w:rFonts w:asciiTheme="minorHAnsi" w:hAnsiTheme="minorHAnsi" w:cstheme="minorHAnsi"/>
          <w:szCs w:val="24"/>
        </w:rPr>
        <w:t xml:space="preserve"> it poses a particular burden on certain regions.</w:t>
      </w:r>
    </w:p>
    <w:p w14:paraId="0915C878" w14:textId="7F595E13" w:rsidR="00B43627" w:rsidRPr="00B43627" w:rsidRDefault="00B43627" w:rsidP="00BB0F92">
      <w:pPr>
        <w:pStyle w:val="ListParagraph"/>
        <w:numPr>
          <w:ilvl w:val="0"/>
          <w:numId w:val="5"/>
        </w:numPr>
        <w:adjustRightInd w:val="0"/>
        <w:snapToGrid w:val="0"/>
        <w:spacing w:after="160"/>
        <w:ind w:hanging="450"/>
        <w:contextualSpacing w:val="0"/>
        <w:jc w:val="both"/>
        <w:rPr>
          <w:rFonts w:asciiTheme="minorHAnsi" w:hAnsiTheme="minorHAnsi" w:cstheme="minorHAnsi"/>
          <w:szCs w:val="24"/>
        </w:rPr>
      </w:pPr>
      <w:r w:rsidRPr="00B43627">
        <w:t>Redu</w:t>
      </w:r>
      <w:r w:rsidRPr="00735EDD">
        <w:t xml:space="preserve">ced interpretation time per day </w:t>
      </w:r>
      <w:r w:rsidR="008D5D0C">
        <w:t xml:space="preserve">but </w:t>
      </w:r>
      <w:r w:rsidRPr="00735EDD">
        <w:t>with the same cost (where available) was also experienced. While it is not always possible to provide interpretation</w:t>
      </w:r>
      <w:r>
        <w:t>,</w:t>
      </w:r>
      <w:r w:rsidRPr="00735EDD">
        <w:t xml:space="preserve"> captioning has proven a useful low-cost tool to assist non-English speaking participants, as well as persons with hearing</w:t>
      </w:r>
      <w:r>
        <w:t xml:space="preserve"> impairments.</w:t>
      </w:r>
    </w:p>
    <w:p w14:paraId="60F2CB6E" w14:textId="3EB8D6D0" w:rsidR="00E45CD0" w:rsidRPr="00E45CD0" w:rsidRDefault="00BB0F92" w:rsidP="003E7D25">
      <w:pPr>
        <w:pStyle w:val="ListParagraph"/>
        <w:numPr>
          <w:ilvl w:val="1"/>
          <w:numId w:val="3"/>
        </w:numPr>
        <w:adjustRightInd w:val="0"/>
        <w:snapToGrid w:val="0"/>
        <w:spacing w:after="160"/>
        <w:ind w:left="0" w:firstLine="0"/>
        <w:contextualSpacing w:val="0"/>
        <w:jc w:val="both"/>
        <w:rPr>
          <w:rFonts w:asciiTheme="minorHAnsi" w:hAnsiTheme="minorHAnsi" w:cstheme="minorHAnsi"/>
          <w:szCs w:val="24"/>
        </w:rPr>
      </w:pPr>
      <w:r w:rsidRPr="00E45CD0">
        <w:rPr>
          <w:rFonts w:asciiTheme="minorHAnsi" w:hAnsiTheme="minorHAnsi" w:cstheme="minorHAnsi"/>
          <w:szCs w:val="24"/>
        </w:rPr>
        <w:t xml:space="preserve">Taking into consideration the above, the </w:t>
      </w:r>
      <w:r w:rsidR="008D5D0C">
        <w:rPr>
          <w:rFonts w:asciiTheme="minorHAnsi" w:hAnsiTheme="minorHAnsi" w:cstheme="minorHAnsi"/>
          <w:szCs w:val="24"/>
        </w:rPr>
        <w:t>following is</w:t>
      </w:r>
      <w:r w:rsidRPr="00E45CD0">
        <w:rPr>
          <w:rFonts w:asciiTheme="minorHAnsi" w:hAnsiTheme="minorHAnsi" w:cstheme="minorHAnsi"/>
          <w:szCs w:val="24"/>
        </w:rPr>
        <w:t xml:space="preserve"> proposed to be considered by the Council. </w:t>
      </w:r>
    </w:p>
    <w:p w14:paraId="39471376" w14:textId="6311DC97" w:rsidR="00E45CD0" w:rsidRPr="00AC02E9" w:rsidRDefault="00B43627" w:rsidP="003E7D25">
      <w:pPr>
        <w:pStyle w:val="ListParagraph"/>
        <w:numPr>
          <w:ilvl w:val="0"/>
          <w:numId w:val="5"/>
        </w:numPr>
        <w:jc w:val="both"/>
        <w:rPr>
          <w:rFonts w:asciiTheme="minorHAnsi" w:hAnsiTheme="minorHAnsi" w:cstheme="minorHAnsi"/>
          <w:szCs w:val="24"/>
        </w:rPr>
      </w:pPr>
      <w:r w:rsidRPr="003E7D25">
        <w:rPr>
          <w:rFonts w:asciiTheme="minorHAnsi" w:hAnsiTheme="minorHAnsi" w:cstheme="minorHAnsi"/>
          <w:szCs w:val="24"/>
        </w:rPr>
        <w:t>Considering</w:t>
      </w:r>
      <w:r w:rsidRPr="008C3A2C">
        <w:t xml:space="preserve"> the success of virtual meetings organized in 2020-2021, encouraging virtual or hybrid formats for certain events and meetings in the post-COVID time may be considered</w:t>
      </w:r>
      <w:r>
        <w:t xml:space="preserve"> by the</w:t>
      </w:r>
      <w:r w:rsidR="005A7993">
        <w:t xml:space="preserve"> C</w:t>
      </w:r>
      <w:r>
        <w:t>ouncillors</w:t>
      </w:r>
      <w:r w:rsidRPr="008C3A2C">
        <w:t xml:space="preserve">, resulting in </w:t>
      </w:r>
      <w:proofErr w:type="gramStart"/>
      <w:r w:rsidRPr="008C3A2C">
        <w:t>efficiencies</w:t>
      </w:r>
      <w:proofErr w:type="gramEnd"/>
      <w:r w:rsidRPr="008C3A2C">
        <w:t xml:space="preserve"> and reduced environmental impacts mainly linked to international travel in line with ITU’s mandate and role as a front runner in using ICTs for sustainable development. </w:t>
      </w:r>
      <w:r>
        <w:t>At the same time, t</w:t>
      </w:r>
      <w:r w:rsidRPr="008C3A2C">
        <w:t>he methods used to take decisions in 2020 and</w:t>
      </w:r>
      <w:r>
        <w:t>/or</w:t>
      </w:r>
      <w:r w:rsidRPr="008C3A2C">
        <w:t xml:space="preserve"> 2021 could be assessed and alternative decision-making processes appropriate for different situations may be considered</w:t>
      </w:r>
      <w:r w:rsidR="008D5D0C">
        <w:t xml:space="preserve"> </w:t>
      </w:r>
      <w:proofErr w:type="gramStart"/>
      <w:r w:rsidR="008D5D0C">
        <w:t xml:space="preserve">in particular </w:t>
      </w:r>
      <w:r w:rsidR="009D3DBA">
        <w:t>for</w:t>
      </w:r>
      <w:proofErr w:type="gramEnd"/>
      <w:r w:rsidR="009D3DBA">
        <w:t xml:space="preserve"> </w:t>
      </w:r>
      <w:r w:rsidR="008D5D0C">
        <w:t>hybrid events where physical participants currently enjoy greater rights than remote participants</w:t>
      </w:r>
      <w:r w:rsidRPr="008C3A2C">
        <w:t>.</w:t>
      </w:r>
    </w:p>
    <w:p w14:paraId="1CB601F0" w14:textId="77777777" w:rsidR="00B43627" w:rsidRPr="008C3A2C" w:rsidRDefault="00B43627" w:rsidP="003E7D25">
      <w:pPr>
        <w:pStyle w:val="ListParagraph"/>
        <w:jc w:val="both"/>
      </w:pPr>
    </w:p>
    <w:p w14:paraId="0D750CC3" w14:textId="77777777" w:rsidR="00B43627" w:rsidRPr="00143C40" w:rsidRDefault="00B43627" w:rsidP="00BB0F92">
      <w:pPr>
        <w:adjustRightInd w:val="0"/>
        <w:snapToGrid w:val="0"/>
        <w:spacing w:after="160"/>
        <w:jc w:val="both"/>
        <w:rPr>
          <w:b/>
          <w:bCs/>
        </w:rPr>
      </w:pPr>
      <w:r>
        <w:rPr>
          <w:b/>
          <w:bCs/>
        </w:rPr>
        <w:t>3</w:t>
      </w:r>
      <w:r w:rsidRPr="00143C40">
        <w:rPr>
          <w:b/>
          <w:bCs/>
        </w:rPr>
        <w:t>.</w:t>
      </w:r>
      <w:r w:rsidRPr="00143C40">
        <w:rPr>
          <w:b/>
          <w:bCs/>
        </w:rPr>
        <w:tab/>
      </w:r>
      <w:r w:rsidRPr="008C3A2C">
        <w:rPr>
          <w:rFonts w:asciiTheme="minorHAnsi" w:hAnsiTheme="minorHAnsi" w:cstheme="minorHAnsi"/>
          <w:b/>
          <w:bCs/>
          <w:szCs w:val="24"/>
        </w:rPr>
        <w:t xml:space="preserve">Impact of COVID-19 on </w:t>
      </w:r>
      <w:r>
        <w:rPr>
          <w:rFonts w:asciiTheme="minorHAnsi" w:hAnsiTheme="minorHAnsi" w:cstheme="minorHAnsi"/>
          <w:b/>
          <w:bCs/>
          <w:szCs w:val="24"/>
        </w:rPr>
        <w:t xml:space="preserve">ITU </w:t>
      </w:r>
      <w:r w:rsidRPr="008C3A2C">
        <w:rPr>
          <w:rFonts w:asciiTheme="minorHAnsi" w:hAnsiTheme="minorHAnsi" w:cstheme="minorHAnsi"/>
          <w:b/>
          <w:bCs/>
          <w:szCs w:val="24"/>
        </w:rPr>
        <w:t>Working Methods</w:t>
      </w:r>
      <w:r>
        <w:rPr>
          <w:rFonts w:asciiTheme="minorHAnsi" w:hAnsiTheme="minorHAnsi" w:cstheme="minorHAnsi"/>
          <w:b/>
          <w:bCs/>
          <w:szCs w:val="24"/>
        </w:rPr>
        <w:t>, Working Space</w:t>
      </w:r>
      <w:r w:rsidRPr="008C3A2C">
        <w:rPr>
          <w:rFonts w:asciiTheme="minorHAnsi" w:hAnsiTheme="minorHAnsi" w:cstheme="minorHAnsi"/>
          <w:b/>
          <w:bCs/>
          <w:szCs w:val="24"/>
        </w:rPr>
        <w:t xml:space="preserve"> and Sustainability</w:t>
      </w:r>
    </w:p>
    <w:p w14:paraId="5E774DA2" w14:textId="620D170E" w:rsidR="00B43627" w:rsidRDefault="00B43627" w:rsidP="00BB0F92">
      <w:pPr>
        <w:pStyle w:val="ListParagraph"/>
        <w:adjustRightInd w:val="0"/>
        <w:snapToGrid w:val="0"/>
        <w:spacing w:after="160"/>
        <w:ind w:left="0"/>
        <w:contextualSpacing w:val="0"/>
        <w:jc w:val="both"/>
        <w:rPr>
          <w:rFonts w:asciiTheme="minorHAnsi" w:hAnsiTheme="minorHAnsi" w:cstheme="minorHAnsi"/>
          <w:szCs w:val="24"/>
        </w:rPr>
      </w:pPr>
      <w:r>
        <w:rPr>
          <w:rFonts w:asciiTheme="minorHAnsi" w:hAnsiTheme="minorHAnsi" w:cstheme="minorHAnsi"/>
          <w:szCs w:val="24"/>
        </w:rPr>
        <w:t>3.1.</w:t>
      </w:r>
      <w:r>
        <w:rPr>
          <w:rFonts w:asciiTheme="minorHAnsi" w:hAnsiTheme="minorHAnsi" w:cstheme="minorHAnsi"/>
          <w:szCs w:val="24"/>
        </w:rPr>
        <w:tab/>
        <w:t xml:space="preserve">As the </w:t>
      </w:r>
      <w:r w:rsidRPr="00143C40">
        <w:rPr>
          <w:rFonts w:asciiTheme="minorHAnsi" w:hAnsiTheme="minorHAnsi" w:cstheme="minorHAnsi"/>
          <w:szCs w:val="24"/>
        </w:rPr>
        <w:t>C</w:t>
      </w:r>
      <w:r>
        <w:rPr>
          <w:rFonts w:asciiTheme="minorHAnsi" w:hAnsiTheme="minorHAnsi" w:cstheme="minorHAnsi"/>
          <w:szCs w:val="24"/>
        </w:rPr>
        <w:t>OVID-19 pandemic</w:t>
      </w:r>
      <w:r w:rsidRPr="00143C40">
        <w:rPr>
          <w:rFonts w:asciiTheme="minorHAnsi" w:hAnsiTheme="minorHAnsi" w:cstheme="minorHAnsi"/>
          <w:szCs w:val="24"/>
        </w:rPr>
        <w:t xml:space="preserve"> raised an array of concerns in terms of social distancing </w:t>
      </w:r>
      <w:r>
        <w:rPr>
          <w:rFonts w:asciiTheme="minorHAnsi" w:hAnsiTheme="minorHAnsi" w:cstheme="minorHAnsi"/>
          <w:szCs w:val="24"/>
        </w:rPr>
        <w:t xml:space="preserve">in the Office, </w:t>
      </w:r>
      <w:r w:rsidRPr="00AA4C5F">
        <w:rPr>
          <w:rFonts w:asciiTheme="minorHAnsi" w:hAnsiTheme="minorHAnsi" w:cstheme="minorHAnsi"/>
          <w:szCs w:val="24"/>
        </w:rPr>
        <w:t xml:space="preserve">many organizations were forced to introduce working from home in their work environment from one day to the next. This may have led to a significant change in the </w:t>
      </w:r>
      <w:r w:rsidRPr="00AA4C5F">
        <w:rPr>
          <w:rFonts w:asciiTheme="minorHAnsi" w:hAnsiTheme="minorHAnsi" w:cstheme="minorHAnsi"/>
          <w:szCs w:val="24"/>
        </w:rPr>
        <w:lastRenderedPageBreak/>
        <w:t>perception of the office's role in the context of their professional activities. It has also contributed to a substantial rethinking in many organizations and has anchored remote working as a useful or even desirable form of work</w:t>
      </w:r>
      <w:r w:rsidRPr="00457E74">
        <w:rPr>
          <w:rFonts w:asciiTheme="minorHAnsi" w:hAnsiTheme="minorHAnsi" w:cstheme="minorHAnsi"/>
          <w:szCs w:val="24"/>
        </w:rPr>
        <w:t>.</w:t>
      </w:r>
      <w:r w:rsidRPr="00EC1E86">
        <w:rPr>
          <w:rFonts w:asciiTheme="minorHAnsi" w:hAnsiTheme="minorHAnsi" w:cstheme="minorHAnsi"/>
          <w:szCs w:val="24"/>
        </w:rPr>
        <w:t xml:space="preserve"> </w:t>
      </w:r>
      <w:r>
        <w:rPr>
          <w:rFonts w:asciiTheme="minorHAnsi" w:hAnsiTheme="minorHAnsi" w:cstheme="minorHAnsi"/>
          <w:szCs w:val="24"/>
        </w:rPr>
        <w:t xml:space="preserve">Most of </w:t>
      </w:r>
      <w:r w:rsidRPr="00457E74">
        <w:rPr>
          <w:rFonts w:asciiTheme="minorHAnsi" w:hAnsiTheme="minorHAnsi" w:cstheme="minorHAnsi"/>
          <w:szCs w:val="24"/>
        </w:rPr>
        <w:t xml:space="preserve">the </w:t>
      </w:r>
      <w:r>
        <w:rPr>
          <w:rFonts w:asciiTheme="minorHAnsi" w:hAnsiTheme="minorHAnsi" w:cstheme="minorHAnsi"/>
          <w:szCs w:val="24"/>
        </w:rPr>
        <w:t xml:space="preserve">ITU </w:t>
      </w:r>
      <w:r w:rsidRPr="00457E74">
        <w:rPr>
          <w:rFonts w:asciiTheme="minorHAnsi" w:hAnsiTheme="minorHAnsi" w:cstheme="minorHAnsi"/>
          <w:szCs w:val="24"/>
        </w:rPr>
        <w:t>staff (</w:t>
      </w:r>
      <w:r w:rsidR="008D5D0C">
        <w:rPr>
          <w:rFonts w:asciiTheme="minorHAnsi" w:hAnsiTheme="minorHAnsi" w:cstheme="minorHAnsi"/>
          <w:szCs w:val="24"/>
        </w:rPr>
        <w:t>&gt;</w:t>
      </w:r>
      <w:r w:rsidRPr="00457E74">
        <w:rPr>
          <w:rFonts w:asciiTheme="minorHAnsi" w:hAnsiTheme="minorHAnsi" w:cstheme="minorHAnsi"/>
          <w:szCs w:val="24"/>
        </w:rPr>
        <w:t xml:space="preserve">90%) </w:t>
      </w:r>
      <w:r>
        <w:rPr>
          <w:rFonts w:asciiTheme="minorHAnsi" w:hAnsiTheme="minorHAnsi" w:cstheme="minorHAnsi"/>
          <w:szCs w:val="24"/>
        </w:rPr>
        <w:t xml:space="preserve">also </w:t>
      </w:r>
      <w:r w:rsidRPr="00457E74">
        <w:rPr>
          <w:rFonts w:asciiTheme="minorHAnsi" w:hAnsiTheme="minorHAnsi" w:cstheme="minorHAnsi"/>
          <w:szCs w:val="24"/>
        </w:rPr>
        <w:t>works remotely since March 2020 which had a strong impact on the way ITU staff delivered their services</w:t>
      </w:r>
      <w:r>
        <w:rPr>
          <w:rFonts w:asciiTheme="minorHAnsi" w:hAnsiTheme="minorHAnsi" w:cstheme="minorHAnsi"/>
          <w:szCs w:val="24"/>
        </w:rPr>
        <w:t>.</w:t>
      </w:r>
    </w:p>
    <w:p w14:paraId="21EA33EB" w14:textId="3F486738" w:rsidR="00B43627" w:rsidRDefault="00B43627" w:rsidP="00B43627">
      <w:pPr>
        <w:pStyle w:val="ListParagraph"/>
        <w:numPr>
          <w:ilvl w:val="0"/>
          <w:numId w:val="1"/>
        </w:numPr>
        <w:adjustRightInd w:val="0"/>
        <w:snapToGrid w:val="0"/>
        <w:spacing w:after="160"/>
        <w:contextualSpacing w:val="0"/>
        <w:jc w:val="both"/>
        <w:rPr>
          <w:rFonts w:asciiTheme="minorHAnsi" w:hAnsiTheme="minorHAnsi" w:cstheme="minorHAnsi"/>
          <w:color w:val="000000" w:themeColor="text1"/>
          <w:szCs w:val="24"/>
        </w:rPr>
      </w:pPr>
      <w:r w:rsidRPr="00DF2CE3">
        <w:rPr>
          <w:rFonts w:asciiTheme="minorHAnsi" w:hAnsiTheme="minorHAnsi" w:cstheme="minorHAnsi"/>
          <w:color w:val="000000" w:themeColor="text1"/>
          <w:szCs w:val="24"/>
        </w:rPr>
        <w:t xml:space="preserve">Almost all missions </w:t>
      </w:r>
      <w:r>
        <w:rPr>
          <w:rFonts w:asciiTheme="minorHAnsi" w:hAnsiTheme="minorHAnsi" w:cstheme="minorHAnsi"/>
          <w:color w:val="000000" w:themeColor="text1"/>
          <w:szCs w:val="24"/>
        </w:rPr>
        <w:t>ab</w:t>
      </w:r>
      <w:r w:rsidR="00551FEE">
        <w:rPr>
          <w:rFonts w:asciiTheme="minorHAnsi" w:hAnsiTheme="minorHAnsi" w:cstheme="minorHAnsi"/>
          <w:color w:val="000000" w:themeColor="text1"/>
          <w:szCs w:val="24"/>
        </w:rPr>
        <w:t>r</w:t>
      </w:r>
      <w:r>
        <w:rPr>
          <w:rFonts w:asciiTheme="minorHAnsi" w:hAnsiTheme="minorHAnsi" w:cstheme="minorHAnsi"/>
          <w:color w:val="000000" w:themeColor="text1"/>
          <w:szCs w:val="24"/>
        </w:rPr>
        <w:t>oad have been</w:t>
      </w:r>
      <w:r w:rsidRPr="00DF2CE3">
        <w:rPr>
          <w:rFonts w:asciiTheme="minorHAnsi" w:hAnsiTheme="minorHAnsi" w:cstheme="minorHAnsi"/>
          <w:color w:val="000000" w:themeColor="text1"/>
          <w:szCs w:val="24"/>
        </w:rPr>
        <w:t xml:space="preserve"> cancelled since April 2020</w:t>
      </w:r>
      <w:r>
        <w:rPr>
          <w:rFonts w:asciiTheme="minorHAnsi" w:hAnsiTheme="minorHAnsi" w:cstheme="minorHAnsi"/>
          <w:color w:val="000000" w:themeColor="text1"/>
          <w:szCs w:val="24"/>
        </w:rPr>
        <w:t>.</w:t>
      </w:r>
      <w:r w:rsidRPr="00DF2CE3">
        <w:rPr>
          <w:rFonts w:asciiTheme="minorHAnsi" w:hAnsiTheme="minorHAnsi" w:cstheme="minorHAnsi"/>
          <w:color w:val="000000" w:themeColor="text1"/>
          <w:szCs w:val="24"/>
        </w:rPr>
        <w:t xml:space="preserve"> This resulted in unspent appropriations on travel and led to significant reductions in greenhouse gas emissions. Emissions from </w:t>
      </w:r>
      <w:r>
        <w:rPr>
          <w:rFonts w:asciiTheme="minorHAnsi" w:hAnsiTheme="minorHAnsi" w:cstheme="minorHAnsi"/>
          <w:color w:val="000000" w:themeColor="text1"/>
          <w:szCs w:val="24"/>
        </w:rPr>
        <w:t xml:space="preserve">ITU </w:t>
      </w:r>
      <w:r w:rsidRPr="00DF2CE3">
        <w:rPr>
          <w:rFonts w:asciiTheme="minorHAnsi" w:hAnsiTheme="minorHAnsi" w:cstheme="minorHAnsi"/>
          <w:color w:val="000000" w:themeColor="text1"/>
          <w:szCs w:val="24"/>
        </w:rPr>
        <w:t>mission flights decreased by 85% from 1898 tons CO2 in 2019 to 267 tons CO2 in 2020.</w:t>
      </w:r>
    </w:p>
    <w:p w14:paraId="30D67FB6" w14:textId="77777777" w:rsidR="00B43627" w:rsidRPr="00F9044E" w:rsidRDefault="00B43627" w:rsidP="00B43627">
      <w:pPr>
        <w:pStyle w:val="ListParagraph"/>
        <w:numPr>
          <w:ilvl w:val="0"/>
          <w:numId w:val="1"/>
        </w:numPr>
        <w:adjustRightInd w:val="0"/>
        <w:snapToGrid w:val="0"/>
        <w:spacing w:after="160"/>
        <w:contextualSpacing w:val="0"/>
        <w:jc w:val="both"/>
        <w:rPr>
          <w:rFonts w:asciiTheme="minorHAnsi" w:hAnsiTheme="minorHAnsi" w:cstheme="minorHAnsi"/>
        </w:rPr>
      </w:pPr>
      <w:r>
        <w:rPr>
          <w:rFonts w:asciiTheme="minorHAnsi" w:hAnsiTheme="minorHAnsi" w:cstheme="minorHAnsi"/>
        </w:rPr>
        <w:t xml:space="preserve">Teleworking </w:t>
      </w:r>
      <w:r w:rsidRPr="00F9044E">
        <w:rPr>
          <w:rFonts w:asciiTheme="minorHAnsi" w:hAnsiTheme="minorHAnsi" w:cstheme="minorHAnsi"/>
        </w:rPr>
        <w:t xml:space="preserve">supported the further transition to electronic workflows, allowing ITU to move closer to becoming a paperless organization. One measure taken to encourage maintaining paper free processes upon return to the office was the decommissioning of the pneumatic tube </w:t>
      </w:r>
      <w:r>
        <w:rPr>
          <w:rFonts w:asciiTheme="minorHAnsi" w:hAnsiTheme="minorHAnsi" w:cstheme="minorHAnsi"/>
        </w:rPr>
        <w:t xml:space="preserve">in </w:t>
      </w:r>
      <w:r w:rsidRPr="00F9044E">
        <w:rPr>
          <w:rFonts w:asciiTheme="minorHAnsi" w:hAnsiTheme="minorHAnsi" w:cstheme="minorHAnsi"/>
        </w:rPr>
        <w:t>early 2021.</w:t>
      </w:r>
    </w:p>
    <w:p w14:paraId="2FEE2B94" w14:textId="7967A799" w:rsidR="00B43627" w:rsidRDefault="00B43627" w:rsidP="00B43627">
      <w:pPr>
        <w:pStyle w:val="ListParagraph"/>
        <w:numPr>
          <w:ilvl w:val="0"/>
          <w:numId w:val="1"/>
        </w:numPr>
        <w:adjustRightInd w:val="0"/>
        <w:snapToGrid w:val="0"/>
        <w:spacing w:after="160"/>
        <w:contextualSpacing w:val="0"/>
        <w:jc w:val="both"/>
        <w:rPr>
          <w:rFonts w:asciiTheme="minorHAnsi" w:hAnsiTheme="minorHAnsi" w:cstheme="minorHAnsi"/>
          <w:color w:val="000000" w:themeColor="text1"/>
          <w:szCs w:val="24"/>
        </w:rPr>
      </w:pPr>
      <w:bookmarkStart w:id="10" w:name="_Hlk69805312"/>
      <w:r w:rsidRPr="00DF2CE3">
        <w:rPr>
          <w:rFonts w:asciiTheme="minorHAnsi" w:hAnsiTheme="minorHAnsi" w:cstheme="minorHAnsi"/>
          <w:color w:val="000000" w:themeColor="text1"/>
          <w:szCs w:val="24"/>
        </w:rPr>
        <w:t xml:space="preserve">A ‘Return to office </w:t>
      </w:r>
      <w:r>
        <w:rPr>
          <w:rFonts w:asciiTheme="minorHAnsi" w:hAnsiTheme="minorHAnsi" w:cstheme="minorHAnsi"/>
          <w:color w:val="000000" w:themeColor="text1"/>
          <w:szCs w:val="24"/>
        </w:rPr>
        <w:t>(RTO)</w:t>
      </w:r>
      <w:r w:rsidR="00EE773E" w:rsidRPr="00DF2CE3">
        <w:rPr>
          <w:rFonts w:asciiTheme="minorHAnsi" w:hAnsiTheme="minorHAnsi" w:cstheme="minorHAnsi"/>
          <w:color w:val="000000" w:themeColor="text1"/>
          <w:szCs w:val="24"/>
        </w:rPr>
        <w:t>’</w:t>
      </w:r>
      <w:r>
        <w:rPr>
          <w:rFonts w:asciiTheme="minorHAnsi" w:hAnsiTheme="minorHAnsi" w:cstheme="minorHAnsi"/>
          <w:color w:val="000000" w:themeColor="text1"/>
          <w:szCs w:val="24"/>
        </w:rPr>
        <w:t xml:space="preserve"> </w:t>
      </w:r>
      <w:r w:rsidRPr="00DF2CE3">
        <w:rPr>
          <w:rFonts w:asciiTheme="minorHAnsi" w:hAnsiTheme="minorHAnsi" w:cstheme="minorHAnsi"/>
          <w:color w:val="000000" w:themeColor="text1"/>
          <w:szCs w:val="24"/>
        </w:rPr>
        <w:t>plan was developed</w:t>
      </w:r>
      <w:r>
        <w:rPr>
          <w:rFonts w:asciiTheme="minorHAnsi" w:hAnsiTheme="minorHAnsi" w:cstheme="minorHAnsi"/>
          <w:color w:val="000000" w:themeColor="text1"/>
          <w:szCs w:val="24"/>
        </w:rPr>
        <w:t xml:space="preserve">. </w:t>
      </w:r>
      <w:bookmarkEnd w:id="10"/>
      <w:r>
        <w:rPr>
          <w:rFonts w:asciiTheme="minorHAnsi" w:hAnsiTheme="minorHAnsi" w:cstheme="minorHAnsi"/>
          <w:color w:val="000000" w:themeColor="text1"/>
          <w:szCs w:val="24"/>
        </w:rPr>
        <w:t>Alongside the plan, a</w:t>
      </w:r>
      <w:r w:rsidRPr="00DF2CE3">
        <w:rPr>
          <w:rFonts w:asciiTheme="minorHAnsi" w:hAnsiTheme="minorHAnsi" w:cstheme="minorHAnsi"/>
          <w:color w:val="000000" w:themeColor="text1"/>
          <w:szCs w:val="24"/>
        </w:rPr>
        <w:t xml:space="preserve">ll premises of </w:t>
      </w:r>
      <w:r>
        <w:rPr>
          <w:rFonts w:asciiTheme="minorHAnsi" w:hAnsiTheme="minorHAnsi" w:cstheme="minorHAnsi"/>
          <w:color w:val="000000" w:themeColor="text1"/>
          <w:szCs w:val="24"/>
        </w:rPr>
        <w:t xml:space="preserve">the Union were </w:t>
      </w:r>
      <w:r w:rsidRPr="00DF2CE3">
        <w:rPr>
          <w:rFonts w:asciiTheme="minorHAnsi" w:hAnsiTheme="minorHAnsi" w:cstheme="minorHAnsi"/>
          <w:color w:val="000000" w:themeColor="text1"/>
          <w:szCs w:val="24"/>
        </w:rPr>
        <w:t>prepared with the equipment and procedures to fulfil the rules during the crises</w:t>
      </w:r>
      <w:r w:rsidR="00551FEE">
        <w:rPr>
          <w:rFonts w:asciiTheme="minorHAnsi" w:hAnsiTheme="minorHAnsi" w:cstheme="minorHAnsi"/>
          <w:color w:val="000000" w:themeColor="text1"/>
          <w:szCs w:val="24"/>
        </w:rPr>
        <w:t>.</w:t>
      </w:r>
      <w:r w:rsidR="005839D5">
        <w:rPr>
          <w:rFonts w:asciiTheme="minorHAnsi" w:hAnsiTheme="minorHAnsi" w:cstheme="minorHAnsi"/>
          <w:color w:val="000000" w:themeColor="text1"/>
          <w:szCs w:val="24"/>
        </w:rPr>
        <w:t xml:space="preserve"> More information can be found </w:t>
      </w:r>
      <w:r w:rsidR="00D11473">
        <w:rPr>
          <w:rFonts w:asciiTheme="minorHAnsi" w:hAnsiTheme="minorHAnsi" w:cstheme="minorHAnsi"/>
          <w:color w:val="000000" w:themeColor="text1"/>
          <w:szCs w:val="24"/>
        </w:rPr>
        <w:t xml:space="preserve">at the following address: </w:t>
      </w:r>
      <w:hyperlink r:id="rId14" w:history="1">
        <w:r w:rsidR="00551FEE" w:rsidRPr="00551FEE">
          <w:rPr>
            <w:rStyle w:val="Hyperlink"/>
            <w:rFonts w:asciiTheme="minorHAnsi" w:hAnsiTheme="minorHAnsi" w:cstheme="minorHAnsi"/>
            <w:szCs w:val="24"/>
          </w:rPr>
          <w:t>https://itu-office-presence-covid19.eu</w:t>
        </w:r>
      </w:hyperlink>
      <w:r w:rsidR="00551FEE">
        <w:rPr>
          <w:rFonts w:asciiTheme="minorHAnsi" w:hAnsiTheme="minorHAnsi" w:cstheme="minorHAnsi"/>
          <w:color w:val="000000" w:themeColor="text1"/>
          <w:szCs w:val="24"/>
        </w:rPr>
        <w:t>.</w:t>
      </w:r>
    </w:p>
    <w:p w14:paraId="5F0AAB06" w14:textId="77777777" w:rsidR="00B43627" w:rsidRPr="00AA4C5F" w:rsidRDefault="00B43627" w:rsidP="00B43627">
      <w:pPr>
        <w:pStyle w:val="ListParagraph"/>
        <w:numPr>
          <w:ilvl w:val="0"/>
          <w:numId w:val="1"/>
        </w:numPr>
        <w:adjustRightInd w:val="0"/>
        <w:snapToGrid w:val="0"/>
        <w:spacing w:after="160"/>
        <w:contextualSpacing w:val="0"/>
        <w:jc w:val="both"/>
        <w:rPr>
          <w:rFonts w:asciiTheme="minorHAnsi" w:hAnsiTheme="minorHAnsi" w:cstheme="minorHAnsi"/>
          <w:color w:val="000000" w:themeColor="text1"/>
          <w:szCs w:val="24"/>
        </w:rPr>
      </w:pPr>
      <w:r w:rsidRPr="0036117D">
        <w:rPr>
          <w:rFonts w:asciiTheme="minorHAnsi" w:hAnsiTheme="minorHAnsi" w:cstheme="minorHAnsi"/>
          <w:szCs w:val="24"/>
        </w:rPr>
        <w:t>ITU has been working on space mitigation measures</w:t>
      </w:r>
      <w:r>
        <w:rPr>
          <w:rFonts w:asciiTheme="minorHAnsi" w:hAnsiTheme="minorHAnsi" w:cstheme="minorHAnsi"/>
          <w:szCs w:val="24"/>
        </w:rPr>
        <w:t xml:space="preserve"> following the UN recommendation for maintaining </w:t>
      </w:r>
      <w:r w:rsidRPr="0036117D">
        <w:rPr>
          <w:rFonts w:asciiTheme="minorHAnsi" w:hAnsiTheme="minorHAnsi" w:cstheme="minorHAnsi"/>
          <w:szCs w:val="24"/>
        </w:rPr>
        <w:t>social distancing of 2 meters</w:t>
      </w:r>
      <w:r>
        <w:rPr>
          <w:rFonts w:asciiTheme="minorHAnsi" w:hAnsiTheme="minorHAnsi" w:cstheme="minorHAnsi"/>
          <w:szCs w:val="24"/>
        </w:rPr>
        <w:t xml:space="preserve"> in office spaces. </w:t>
      </w:r>
      <w:r w:rsidRPr="0036117D">
        <w:rPr>
          <w:rFonts w:asciiTheme="minorHAnsi" w:hAnsiTheme="minorHAnsi" w:cstheme="minorHAnsi"/>
          <w:szCs w:val="24"/>
        </w:rPr>
        <w:t xml:space="preserve">Larger spaces would be required for conferences in the future or conferences may have to consider limiting the number of participants physically present, due to social distancing regulations. </w:t>
      </w:r>
    </w:p>
    <w:p w14:paraId="374FF25A" w14:textId="18959424" w:rsidR="00B43627" w:rsidRPr="00E86458" w:rsidRDefault="00B43627" w:rsidP="00B43627">
      <w:pPr>
        <w:pStyle w:val="ListParagraph"/>
        <w:numPr>
          <w:ilvl w:val="0"/>
          <w:numId w:val="1"/>
        </w:numPr>
        <w:adjustRightInd w:val="0"/>
        <w:snapToGrid w:val="0"/>
        <w:spacing w:after="160"/>
        <w:contextualSpacing w:val="0"/>
        <w:jc w:val="both"/>
        <w:rPr>
          <w:rFonts w:asciiTheme="minorHAnsi" w:hAnsiTheme="minorHAnsi" w:cstheme="minorHAnsi"/>
          <w:color w:val="000000" w:themeColor="text1"/>
          <w:szCs w:val="24"/>
        </w:rPr>
      </w:pPr>
      <w:r w:rsidRPr="00DF2CE3">
        <w:rPr>
          <w:rFonts w:asciiTheme="minorHAnsi" w:hAnsiTheme="minorHAnsi" w:cstheme="minorHAnsi"/>
          <w:color w:val="000000" w:themeColor="text1"/>
          <w:szCs w:val="24"/>
        </w:rPr>
        <w:t xml:space="preserve">New staff support services were introduced including medical and psychological support, promotion </w:t>
      </w:r>
      <w:r w:rsidR="00551FEE">
        <w:rPr>
          <w:rFonts w:asciiTheme="minorHAnsi" w:hAnsiTheme="minorHAnsi" w:cstheme="minorHAnsi"/>
          <w:color w:val="000000" w:themeColor="text1"/>
          <w:szCs w:val="24"/>
        </w:rPr>
        <w:t>of</w:t>
      </w:r>
      <w:r w:rsidR="00551FEE" w:rsidRPr="00DF2CE3">
        <w:rPr>
          <w:rFonts w:asciiTheme="minorHAnsi" w:hAnsiTheme="minorHAnsi" w:cstheme="minorHAnsi"/>
          <w:color w:val="000000" w:themeColor="text1"/>
          <w:szCs w:val="24"/>
        </w:rPr>
        <w:t xml:space="preserve"> </w:t>
      </w:r>
      <w:r w:rsidRPr="00DF2CE3">
        <w:rPr>
          <w:rFonts w:asciiTheme="minorHAnsi" w:hAnsiTheme="minorHAnsi" w:cstheme="minorHAnsi"/>
          <w:color w:val="000000" w:themeColor="text1"/>
          <w:szCs w:val="24"/>
        </w:rPr>
        <w:t>informal virtual</w:t>
      </w:r>
      <w:r>
        <w:rPr>
          <w:rFonts w:asciiTheme="minorHAnsi" w:hAnsiTheme="minorHAnsi" w:cstheme="minorHAnsi"/>
          <w:color w:val="000000" w:themeColor="text1"/>
          <w:szCs w:val="24"/>
        </w:rPr>
        <w:t xml:space="preserve"> social</w:t>
      </w:r>
      <w:r w:rsidRPr="00DF2CE3">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events</w:t>
      </w:r>
      <w:r w:rsidRPr="00DF2CE3">
        <w:rPr>
          <w:rFonts w:asciiTheme="minorHAnsi" w:hAnsiTheme="minorHAnsi" w:cstheme="minorHAnsi"/>
          <w:color w:val="000000" w:themeColor="text1"/>
          <w:szCs w:val="24"/>
        </w:rPr>
        <w:t xml:space="preserve"> with other colleagues, </w:t>
      </w:r>
      <w:r>
        <w:rPr>
          <w:rFonts w:asciiTheme="minorHAnsi" w:hAnsiTheme="minorHAnsi" w:cstheme="minorHAnsi"/>
          <w:color w:val="000000" w:themeColor="text1"/>
          <w:szCs w:val="24"/>
        </w:rPr>
        <w:t>senior</w:t>
      </w:r>
      <w:r w:rsidRPr="00DF2CE3">
        <w:rPr>
          <w:rFonts w:asciiTheme="minorHAnsi" w:hAnsiTheme="minorHAnsi" w:cstheme="minorHAnsi"/>
          <w:color w:val="000000" w:themeColor="text1"/>
          <w:szCs w:val="24"/>
        </w:rPr>
        <w:t xml:space="preserve"> and elected officials, virtual parties at the end of the year and for special occasions</w:t>
      </w:r>
      <w:r>
        <w:rPr>
          <w:rFonts w:asciiTheme="minorHAnsi" w:hAnsiTheme="minorHAnsi" w:cstheme="minorHAnsi"/>
          <w:color w:val="000000" w:themeColor="text1"/>
          <w:szCs w:val="24"/>
        </w:rPr>
        <w:t>.</w:t>
      </w:r>
      <w:r w:rsidRPr="00E86458">
        <w:rPr>
          <w:rFonts w:asciiTheme="minorHAnsi" w:hAnsiTheme="minorHAnsi" w:cstheme="minorHAnsi"/>
          <w:color w:val="000000" w:themeColor="text1"/>
          <w:szCs w:val="24"/>
        </w:rPr>
        <w:t xml:space="preserve"> </w:t>
      </w:r>
    </w:p>
    <w:p w14:paraId="31005303" w14:textId="3D60F0C9" w:rsidR="00B43627" w:rsidRPr="00E86458" w:rsidRDefault="00B43627" w:rsidP="003E7D25">
      <w:pPr>
        <w:pStyle w:val="ListParagraph"/>
        <w:numPr>
          <w:ilvl w:val="0"/>
          <w:numId w:val="1"/>
        </w:numPr>
        <w:adjustRightInd w:val="0"/>
        <w:snapToGrid w:val="0"/>
        <w:spacing w:after="160"/>
        <w:contextualSpacing w:val="0"/>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COVID-19 </w:t>
      </w:r>
      <w:r w:rsidR="00EE773E">
        <w:rPr>
          <w:rFonts w:asciiTheme="minorHAnsi" w:hAnsiTheme="minorHAnsi" w:cstheme="minorHAnsi"/>
          <w:color w:val="000000" w:themeColor="text1"/>
          <w:szCs w:val="24"/>
        </w:rPr>
        <w:t xml:space="preserve">also </w:t>
      </w:r>
      <w:r>
        <w:rPr>
          <w:rFonts w:asciiTheme="minorHAnsi" w:hAnsiTheme="minorHAnsi" w:cstheme="minorHAnsi"/>
          <w:color w:val="000000" w:themeColor="text1"/>
          <w:szCs w:val="24"/>
        </w:rPr>
        <w:t xml:space="preserve">highlighted the need for internal communications to be structured. To compensate to some extent for the lack of networking on </w:t>
      </w:r>
      <w:r w:rsidR="00EE773E">
        <w:rPr>
          <w:rFonts w:asciiTheme="minorHAnsi" w:hAnsiTheme="minorHAnsi" w:cstheme="minorHAnsi"/>
          <w:color w:val="000000" w:themeColor="text1"/>
          <w:szCs w:val="24"/>
        </w:rPr>
        <w:t xml:space="preserve">the </w:t>
      </w:r>
      <w:r>
        <w:rPr>
          <w:rFonts w:asciiTheme="minorHAnsi" w:hAnsiTheme="minorHAnsi" w:cstheme="minorHAnsi"/>
          <w:color w:val="000000" w:themeColor="text1"/>
          <w:szCs w:val="24"/>
        </w:rPr>
        <w:t xml:space="preserve">premises, ITU introduced </w:t>
      </w:r>
      <w:r w:rsidR="00EE773E">
        <w:rPr>
          <w:rFonts w:asciiTheme="minorHAnsi" w:hAnsiTheme="minorHAnsi" w:cstheme="minorHAnsi"/>
          <w:color w:val="000000" w:themeColor="text1"/>
          <w:szCs w:val="24"/>
        </w:rPr>
        <w:t>‘I</w:t>
      </w:r>
      <w:r>
        <w:rPr>
          <w:rFonts w:asciiTheme="minorHAnsi" w:hAnsiTheme="minorHAnsi" w:cstheme="minorHAnsi"/>
          <w:color w:val="000000" w:themeColor="text1"/>
          <w:szCs w:val="24"/>
        </w:rPr>
        <w:t>TU Connections</w:t>
      </w:r>
      <w:r w:rsidR="00EE773E">
        <w:rPr>
          <w:rFonts w:asciiTheme="minorHAnsi" w:hAnsiTheme="minorHAnsi" w:cstheme="minorHAnsi"/>
          <w:color w:val="000000" w:themeColor="text1"/>
          <w:szCs w:val="24"/>
        </w:rPr>
        <w:t>’</w:t>
      </w:r>
      <w:r>
        <w:rPr>
          <w:rFonts w:asciiTheme="minorHAnsi" w:hAnsiTheme="minorHAnsi" w:cstheme="minorHAnsi"/>
          <w:color w:val="000000" w:themeColor="text1"/>
          <w:szCs w:val="24"/>
        </w:rPr>
        <w:t>, a newsletter by staff for staff. This has been made possible through the Council approval of an ITU staff resource dedicated to internal and external communications in support of the new ITU Headquarters project.</w:t>
      </w:r>
    </w:p>
    <w:p w14:paraId="747D71FA" w14:textId="77777777" w:rsidR="00B43627" w:rsidRDefault="00B43627" w:rsidP="00B43627">
      <w:pPr>
        <w:adjustRightInd w:val="0"/>
        <w:snapToGrid w:val="0"/>
        <w:spacing w:after="160"/>
        <w:jc w:val="both"/>
        <w:rPr>
          <w:rFonts w:asciiTheme="minorHAnsi" w:hAnsiTheme="minorHAnsi" w:cstheme="minorHAnsi"/>
          <w:szCs w:val="24"/>
        </w:rPr>
      </w:pPr>
      <w:r>
        <w:rPr>
          <w:rFonts w:asciiTheme="minorHAnsi" w:hAnsiTheme="minorHAnsi" w:cstheme="minorHAnsi"/>
          <w:szCs w:val="24"/>
        </w:rPr>
        <w:t>3.2.</w:t>
      </w:r>
      <w:r>
        <w:rPr>
          <w:rFonts w:asciiTheme="minorHAnsi" w:hAnsiTheme="minorHAnsi" w:cstheme="minorHAnsi"/>
          <w:szCs w:val="24"/>
        </w:rPr>
        <w:tab/>
      </w:r>
      <w:r w:rsidRPr="00DF2CE3">
        <w:rPr>
          <w:rFonts w:cstheme="minorHAnsi"/>
          <w:szCs w:val="24"/>
        </w:rPr>
        <w:t xml:space="preserve">It is expected </w:t>
      </w:r>
      <w:r w:rsidRPr="0036117D">
        <w:rPr>
          <w:rFonts w:cstheme="minorHAnsi"/>
          <w:szCs w:val="24"/>
        </w:rPr>
        <w:t xml:space="preserve">that </w:t>
      </w:r>
      <w:r w:rsidRPr="00AA4C5F">
        <w:rPr>
          <w:rFonts w:cstheme="minorHAnsi"/>
          <w:szCs w:val="24"/>
        </w:rPr>
        <w:t>extensive teleworking</w:t>
      </w:r>
      <w:r w:rsidRPr="0036117D">
        <w:rPr>
          <w:rFonts w:cstheme="minorHAnsi"/>
          <w:szCs w:val="24"/>
        </w:rPr>
        <w:t xml:space="preserve"> and the use of </w:t>
      </w:r>
      <w:r w:rsidRPr="00AA4C5F">
        <w:rPr>
          <w:rFonts w:cstheme="minorHAnsi"/>
          <w:szCs w:val="24"/>
        </w:rPr>
        <w:t>virtual meetings</w:t>
      </w:r>
      <w:r w:rsidRPr="0036117D">
        <w:rPr>
          <w:rFonts w:cstheme="minorHAnsi"/>
          <w:szCs w:val="24"/>
        </w:rPr>
        <w:t xml:space="preserve"> may</w:t>
      </w:r>
      <w:r w:rsidRPr="00DF2CE3">
        <w:rPr>
          <w:rFonts w:cstheme="minorHAnsi"/>
          <w:szCs w:val="24"/>
        </w:rPr>
        <w:t xml:space="preserve"> continue into 2022 and beyond, when staff will need to relocate in connection with the new building project. </w:t>
      </w:r>
      <w:r>
        <w:rPr>
          <w:rFonts w:cstheme="minorHAnsi"/>
          <w:szCs w:val="24"/>
        </w:rPr>
        <w:t xml:space="preserve">As the COVID-19 crisis represented an additional degree of complexity, </w:t>
      </w:r>
      <w:r w:rsidRPr="00DF2CE3">
        <w:rPr>
          <w:rFonts w:cstheme="minorHAnsi"/>
        </w:rPr>
        <w:t>ITU selected a</w:t>
      </w:r>
      <w:r w:rsidRPr="006F0229">
        <w:rPr>
          <w:rFonts w:asciiTheme="minorHAnsi" w:hAnsiTheme="minorHAnsi" w:cstheme="minorHAnsi"/>
          <w:szCs w:val="24"/>
        </w:rPr>
        <w:t xml:space="preserve"> consulting company</w:t>
      </w:r>
      <w:r>
        <w:rPr>
          <w:rFonts w:asciiTheme="minorHAnsi" w:hAnsiTheme="minorHAnsi" w:cstheme="minorHAnsi"/>
          <w:szCs w:val="24"/>
        </w:rPr>
        <w:t xml:space="preserve">, </w:t>
      </w:r>
      <w:r w:rsidRPr="00E47E2D">
        <w:rPr>
          <w:rFonts w:asciiTheme="minorHAnsi" w:hAnsiTheme="minorHAnsi" w:cstheme="minorHAnsi"/>
          <w:i/>
          <w:iCs/>
          <w:szCs w:val="24"/>
        </w:rPr>
        <w:t>Drees &amp; Somme</w:t>
      </w:r>
      <w:r>
        <w:rPr>
          <w:rFonts w:asciiTheme="minorHAnsi" w:hAnsiTheme="minorHAnsi" w:cstheme="minorHAnsi"/>
          <w:i/>
          <w:iCs/>
          <w:szCs w:val="24"/>
        </w:rPr>
        <w:t>r (D&amp;S)</w:t>
      </w:r>
      <w:r w:rsidRPr="006F0229">
        <w:rPr>
          <w:rFonts w:asciiTheme="minorHAnsi" w:hAnsiTheme="minorHAnsi" w:cstheme="minorHAnsi"/>
          <w:szCs w:val="24"/>
        </w:rPr>
        <w:t xml:space="preserve">, to support </w:t>
      </w:r>
      <w:r>
        <w:rPr>
          <w:rFonts w:asciiTheme="minorHAnsi" w:hAnsiTheme="minorHAnsi" w:cstheme="minorHAnsi"/>
          <w:szCs w:val="24"/>
        </w:rPr>
        <w:t>the development and implementation of</w:t>
      </w:r>
      <w:r w:rsidRPr="006F0229">
        <w:rPr>
          <w:rFonts w:asciiTheme="minorHAnsi" w:hAnsiTheme="minorHAnsi" w:cstheme="minorHAnsi"/>
          <w:szCs w:val="24"/>
        </w:rPr>
        <w:t xml:space="preserve"> the Staff working Conditions Strategy and Implementation Plan for the new building (more details can be found in document </w:t>
      </w:r>
      <w:hyperlink r:id="rId15" w:history="1">
        <w:r w:rsidRPr="005A1917">
          <w:rPr>
            <w:rStyle w:val="Hyperlink"/>
          </w:rPr>
          <w:t>C21/29</w:t>
        </w:r>
      </w:hyperlink>
      <w:r w:rsidRPr="006F0229">
        <w:rPr>
          <w:rFonts w:asciiTheme="minorHAnsi" w:hAnsiTheme="minorHAnsi" w:cstheme="minorHAnsi"/>
          <w:szCs w:val="24"/>
        </w:rPr>
        <w:t xml:space="preserve">). </w:t>
      </w:r>
      <w:r w:rsidRPr="00AA4C5F">
        <w:rPr>
          <w:rFonts w:asciiTheme="minorHAnsi" w:hAnsiTheme="minorHAnsi" w:cstheme="minorHAnsi"/>
          <w:szCs w:val="24"/>
        </w:rPr>
        <w:t>The impact of the COVID-19 pandemic and its implications regarding the future ITU work environment will be analyzed at an early stage of the project</w:t>
      </w:r>
      <w:r>
        <w:rPr>
          <w:rFonts w:asciiTheme="minorHAnsi" w:hAnsiTheme="minorHAnsi" w:cstheme="minorHAnsi"/>
          <w:szCs w:val="24"/>
        </w:rPr>
        <w:t>.</w:t>
      </w:r>
    </w:p>
    <w:p w14:paraId="0B8A8680" w14:textId="4B022257" w:rsidR="00B43627" w:rsidRDefault="00B43627" w:rsidP="00B43627">
      <w:pPr>
        <w:adjustRightInd w:val="0"/>
        <w:snapToGrid w:val="0"/>
        <w:spacing w:after="160"/>
        <w:jc w:val="both"/>
        <w:rPr>
          <w:rFonts w:asciiTheme="minorHAnsi" w:hAnsiTheme="minorHAnsi" w:cstheme="minorHAnsi"/>
        </w:rPr>
      </w:pPr>
      <w:r>
        <w:rPr>
          <w:rFonts w:asciiTheme="minorHAnsi" w:hAnsiTheme="minorHAnsi" w:cstheme="minorHAnsi"/>
          <w:szCs w:val="24"/>
        </w:rPr>
        <w:t>3.3.</w:t>
      </w:r>
      <w:r>
        <w:rPr>
          <w:rFonts w:asciiTheme="minorHAnsi" w:hAnsiTheme="minorHAnsi" w:cstheme="minorHAnsi"/>
          <w:szCs w:val="24"/>
        </w:rPr>
        <w:tab/>
        <w:t>Widespread telework</w:t>
      </w:r>
      <w:r w:rsidR="00547AB9">
        <w:rPr>
          <w:rFonts w:asciiTheme="minorHAnsi" w:hAnsiTheme="minorHAnsi" w:cstheme="minorHAnsi"/>
          <w:szCs w:val="24"/>
        </w:rPr>
        <w:t>ing</w:t>
      </w:r>
      <w:r>
        <w:rPr>
          <w:rFonts w:asciiTheme="minorHAnsi" w:hAnsiTheme="minorHAnsi" w:cstheme="minorHAnsi"/>
          <w:szCs w:val="24"/>
        </w:rPr>
        <w:t xml:space="preserve"> may remain a long-term feature of the future work</w:t>
      </w:r>
      <w:r w:rsidR="00551FEE">
        <w:rPr>
          <w:rFonts w:asciiTheme="minorHAnsi" w:hAnsiTheme="minorHAnsi" w:cstheme="minorHAnsi"/>
          <w:szCs w:val="24"/>
        </w:rPr>
        <w:t xml:space="preserve"> </w:t>
      </w:r>
      <w:r>
        <w:rPr>
          <w:rFonts w:asciiTheme="minorHAnsi" w:hAnsiTheme="minorHAnsi" w:cstheme="minorHAnsi"/>
          <w:szCs w:val="24"/>
        </w:rPr>
        <w:t xml:space="preserve">environment, catalyzed by the experiences made with teleworking during the COVID-19 pandemic. </w:t>
      </w:r>
      <w:r>
        <w:t xml:space="preserve">On the one hand, ITU staff members may </w:t>
      </w:r>
      <w:r w:rsidRPr="007229F4">
        <w:t xml:space="preserve">benefit </w:t>
      </w:r>
      <w:r>
        <w:t>from</w:t>
      </w:r>
      <w:r w:rsidRPr="007229F4">
        <w:t xml:space="preserve"> enhanced productivity </w:t>
      </w:r>
      <w:r>
        <w:t>and</w:t>
      </w:r>
      <w:r w:rsidRPr="007229F4">
        <w:t xml:space="preserve"> gain in time by no longer commuting to work and </w:t>
      </w:r>
      <w:r>
        <w:t xml:space="preserve">more </w:t>
      </w:r>
      <w:r w:rsidRPr="007229F4">
        <w:t>control over one’s time</w:t>
      </w:r>
      <w:r>
        <w:t xml:space="preserve">. On the other hand, there are increasing </w:t>
      </w:r>
      <w:r>
        <w:rPr>
          <w:rFonts w:asciiTheme="minorHAnsi" w:hAnsiTheme="minorHAnsi" w:cstheme="minorHAnsi"/>
        </w:rPr>
        <w:t>r</w:t>
      </w:r>
      <w:r w:rsidRPr="009B2B4D">
        <w:rPr>
          <w:rFonts w:asciiTheme="minorHAnsi" w:hAnsiTheme="minorHAnsi" w:cstheme="minorHAnsi"/>
        </w:rPr>
        <w:t xml:space="preserve">eports of </w:t>
      </w:r>
      <w:r w:rsidR="00547AB9">
        <w:rPr>
          <w:rFonts w:asciiTheme="minorHAnsi" w:hAnsiTheme="minorHAnsi" w:cstheme="minorHAnsi"/>
        </w:rPr>
        <w:t xml:space="preserve">some </w:t>
      </w:r>
      <w:r>
        <w:rPr>
          <w:rFonts w:asciiTheme="minorHAnsi" w:hAnsiTheme="minorHAnsi" w:cstheme="minorHAnsi"/>
        </w:rPr>
        <w:t>staff members</w:t>
      </w:r>
      <w:r w:rsidRPr="009B2B4D">
        <w:rPr>
          <w:rFonts w:asciiTheme="minorHAnsi" w:hAnsiTheme="minorHAnsi" w:cstheme="minorHAnsi"/>
        </w:rPr>
        <w:t xml:space="preserve"> feeling they are “always</w:t>
      </w:r>
      <w:r>
        <w:rPr>
          <w:rFonts w:asciiTheme="minorHAnsi" w:hAnsiTheme="minorHAnsi" w:cstheme="minorHAnsi"/>
        </w:rPr>
        <w:t xml:space="preserve"> </w:t>
      </w:r>
      <w:r w:rsidRPr="009B2B4D">
        <w:rPr>
          <w:rFonts w:asciiTheme="minorHAnsi" w:hAnsiTheme="minorHAnsi" w:cstheme="minorHAnsi"/>
        </w:rPr>
        <w:t>on</w:t>
      </w:r>
      <w:r>
        <w:rPr>
          <w:rFonts w:asciiTheme="minorHAnsi" w:hAnsiTheme="minorHAnsi" w:cstheme="minorHAnsi"/>
        </w:rPr>
        <w:t>”,</w:t>
      </w:r>
      <w:r w:rsidRPr="009B2B4D">
        <w:rPr>
          <w:rFonts w:asciiTheme="minorHAnsi" w:hAnsiTheme="minorHAnsi" w:cstheme="minorHAnsi"/>
        </w:rPr>
        <w:t xml:space="preserve"> which </w:t>
      </w:r>
      <w:r w:rsidRPr="009B2B4D">
        <w:rPr>
          <w:rFonts w:asciiTheme="minorHAnsi" w:hAnsiTheme="minorHAnsi" w:cstheme="minorHAnsi"/>
        </w:rPr>
        <w:lastRenderedPageBreak/>
        <w:t>tends to blur work and home life into one</w:t>
      </w:r>
      <w:r>
        <w:rPr>
          <w:rFonts w:asciiTheme="minorHAnsi" w:hAnsiTheme="minorHAnsi" w:cstheme="minorHAnsi"/>
        </w:rPr>
        <w:t>. In addition, some staff members struggle with unsuitable facilities</w:t>
      </w:r>
      <w:r w:rsidR="00547AB9">
        <w:rPr>
          <w:rFonts w:asciiTheme="minorHAnsi" w:hAnsiTheme="minorHAnsi" w:cstheme="minorHAnsi"/>
        </w:rPr>
        <w:t xml:space="preserve"> in their home</w:t>
      </w:r>
      <w:r>
        <w:rPr>
          <w:rFonts w:asciiTheme="minorHAnsi" w:hAnsiTheme="minorHAnsi" w:cstheme="minorHAnsi"/>
        </w:rPr>
        <w:t>.</w:t>
      </w:r>
    </w:p>
    <w:p w14:paraId="5C568795" w14:textId="778A063B" w:rsidR="00B43627" w:rsidRDefault="00B43627" w:rsidP="00B43627">
      <w:pPr>
        <w:pStyle w:val="ListParagraph"/>
        <w:numPr>
          <w:ilvl w:val="0"/>
          <w:numId w:val="1"/>
        </w:numPr>
        <w:adjustRightInd w:val="0"/>
        <w:snapToGrid w:val="0"/>
        <w:spacing w:after="160"/>
        <w:contextualSpacing w:val="0"/>
        <w:jc w:val="both"/>
        <w:rPr>
          <w:rFonts w:asciiTheme="minorHAnsi" w:hAnsiTheme="minorHAnsi" w:cstheme="minorHAnsi"/>
        </w:rPr>
      </w:pPr>
      <w:r w:rsidRPr="00AA4C5F">
        <w:rPr>
          <w:rFonts w:asciiTheme="minorHAnsi" w:hAnsiTheme="minorHAnsi" w:cstheme="minorHAnsi"/>
          <w:szCs w:val="24"/>
          <w:lang w:val="en-GB"/>
        </w:rPr>
        <w:t>Staff</w:t>
      </w:r>
      <w:r w:rsidRPr="00DF2CE3">
        <w:rPr>
          <w:rFonts w:asciiTheme="minorHAnsi" w:hAnsiTheme="minorHAnsi" w:cstheme="minorHAnsi"/>
        </w:rPr>
        <w:t xml:space="preserve"> working remotely may develop new routines in terms of time management, which could create rigidities during the </w:t>
      </w:r>
      <w:r>
        <w:rPr>
          <w:rFonts w:asciiTheme="minorHAnsi" w:hAnsiTheme="minorHAnsi" w:cstheme="minorHAnsi"/>
        </w:rPr>
        <w:t>Return to Office</w:t>
      </w:r>
      <w:r w:rsidRPr="00DF2CE3">
        <w:rPr>
          <w:rFonts w:asciiTheme="minorHAnsi" w:hAnsiTheme="minorHAnsi" w:cstheme="minorHAnsi"/>
        </w:rPr>
        <w:t xml:space="preserve">. The same principle could apply with wellbeing habits while working from home and their possible transposition of these habits to the office. </w:t>
      </w:r>
    </w:p>
    <w:p w14:paraId="7E9C49F9" w14:textId="50F03E0E" w:rsidR="00B43627" w:rsidRPr="00AA4C5F" w:rsidRDefault="00B43627" w:rsidP="00B43627">
      <w:pPr>
        <w:pStyle w:val="ListParagraph"/>
        <w:numPr>
          <w:ilvl w:val="0"/>
          <w:numId w:val="1"/>
        </w:numPr>
        <w:adjustRightInd w:val="0"/>
        <w:snapToGrid w:val="0"/>
        <w:spacing w:after="160"/>
        <w:contextualSpacing w:val="0"/>
        <w:jc w:val="both"/>
        <w:rPr>
          <w:rFonts w:asciiTheme="minorHAnsi" w:hAnsiTheme="minorHAnsi" w:cstheme="minorHAnsi"/>
          <w:szCs w:val="24"/>
        </w:rPr>
      </w:pPr>
      <w:r w:rsidRPr="00C86B1C">
        <w:rPr>
          <w:rFonts w:asciiTheme="minorHAnsi" w:hAnsiTheme="minorHAnsi" w:cstheme="minorHAnsi"/>
        </w:rPr>
        <w:t xml:space="preserve">With most staff working remotely, the support services had to be managed remotely, and this will need further development during 2021 and beyond. This should include: a virtual help desk; digital processes, collaboration tools, and digital signature/approval mechanisms; electronic records and information management support systems and process; </w:t>
      </w:r>
      <w:r>
        <w:rPr>
          <w:rFonts w:asciiTheme="minorHAnsi" w:hAnsiTheme="minorHAnsi" w:cstheme="minorHAnsi"/>
        </w:rPr>
        <w:t xml:space="preserve">online workplace booking system to facilitate unassigned desk policy; </w:t>
      </w:r>
      <w:r w:rsidRPr="00C86B1C">
        <w:rPr>
          <w:rFonts w:asciiTheme="minorHAnsi" w:hAnsiTheme="minorHAnsi" w:cstheme="minorHAnsi"/>
        </w:rPr>
        <w:t xml:space="preserve">and ITU infrastructures supporting teleworking, considering the substantial increase in virtual events and meetings, both internally and externally. </w:t>
      </w:r>
    </w:p>
    <w:p w14:paraId="4CCED668" w14:textId="3638B733" w:rsidR="00B43627" w:rsidRDefault="00B43627" w:rsidP="00B43627">
      <w:pPr>
        <w:pStyle w:val="ListParagraph"/>
        <w:numPr>
          <w:ilvl w:val="0"/>
          <w:numId w:val="1"/>
        </w:numPr>
        <w:adjustRightInd w:val="0"/>
        <w:snapToGrid w:val="0"/>
        <w:spacing w:after="160"/>
        <w:contextualSpacing w:val="0"/>
        <w:jc w:val="both"/>
      </w:pPr>
      <w:r w:rsidRPr="00C86B1C">
        <w:t>Other emerging issues may be related to</w:t>
      </w:r>
      <w:r>
        <w:t>,</w:t>
      </w:r>
      <w:r w:rsidRPr="00C86B1C">
        <w:t xml:space="preserve"> </w:t>
      </w:r>
      <w:r>
        <w:t>for example: t</w:t>
      </w:r>
      <w:r w:rsidRPr="00C86B1C">
        <w:t xml:space="preserve">ime zone support for virtual events through overtime work; </w:t>
      </w:r>
      <w:r>
        <w:t>p</w:t>
      </w:r>
      <w:r w:rsidRPr="00C86B1C">
        <w:t xml:space="preserve">hysical and/or </w:t>
      </w:r>
      <w:r>
        <w:t>p</w:t>
      </w:r>
      <w:r w:rsidRPr="00C86B1C">
        <w:t>sychological impact of teleworking (</w:t>
      </w:r>
      <w:r>
        <w:t>s</w:t>
      </w:r>
      <w:r w:rsidRPr="00C86B1C">
        <w:t xml:space="preserve">tress, </w:t>
      </w:r>
      <w:r>
        <w:t>i</w:t>
      </w:r>
      <w:r w:rsidRPr="00C86B1C">
        <w:t xml:space="preserve">solation, </w:t>
      </w:r>
      <w:r>
        <w:t>a</w:t>
      </w:r>
      <w:r w:rsidRPr="00C86B1C">
        <w:t xml:space="preserve">nxiety, </w:t>
      </w:r>
      <w:r>
        <w:t>h</w:t>
      </w:r>
      <w:r w:rsidRPr="00C86B1C">
        <w:t xml:space="preserve">ealth); </w:t>
      </w:r>
      <w:r>
        <w:t>w</w:t>
      </w:r>
      <w:r w:rsidRPr="00C86B1C">
        <w:t xml:space="preserve">ork-life balance; </w:t>
      </w:r>
      <w:r>
        <w:t>g</w:t>
      </w:r>
      <w:r w:rsidRPr="00C86B1C">
        <w:t>ender inequality in teleworking (harm</w:t>
      </w:r>
      <w:r w:rsidR="00547AB9">
        <w:t>s</w:t>
      </w:r>
      <w:r w:rsidRPr="00C86B1C">
        <w:t xml:space="preserve"> women more than men); </w:t>
      </w:r>
      <w:r>
        <w:t>o</w:t>
      </w:r>
      <w:r w:rsidRPr="00C86B1C">
        <w:t xml:space="preserve">bsolete staff functions, requiring new trainings; </w:t>
      </w:r>
      <w:r>
        <w:t>p</w:t>
      </w:r>
      <w:r w:rsidRPr="00C86B1C">
        <w:t xml:space="preserve">ostponed leaves; etc. </w:t>
      </w:r>
      <w:r>
        <w:t>Necessary g</w:t>
      </w:r>
      <w:r w:rsidRPr="00143C40">
        <w:t>uidelines to allow for more flexibility in the choice of working hours and arrangements could be developed.</w:t>
      </w:r>
    </w:p>
    <w:p w14:paraId="360444D9" w14:textId="2BEC3CD9" w:rsidR="00B43627" w:rsidRDefault="00B43627" w:rsidP="00B43627">
      <w:pPr>
        <w:pStyle w:val="ListParagraph"/>
        <w:adjustRightInd w:val="0"/>
        <w:snapToGrid w:val="0"/>
        <w:spacing w:after="160"/>
        <w:ind w:left="0"/>
        <w:contextualSpacing w:val="0"/>
        <w:jc w:val="both"/>
        <w:rPr>
          <w:rFonts w:asciiTheme="minorHAnsi" w:hAnsiTheme="minorHAnsi" w:cstheme="minorHAnsi"/>
          <w:szCs w:val="24"/>
        </w:rPr>
      </w:pPr>
      <w:r>
        <w:t>3.4.</w:t>
      </w:r>
      <w:r>
        <w:tab/>
      </w:r>
      <w:r>
        <w:rPr>
          <w:rFonts w:asciiTheme="minorHAnsi" w:hAnsiTheme="minorHAnsi" w:cstheme="minorHAnsi"/>
          <w:szCs w:val="24"/>
        </w:rPr>
        <w:t xml:space="preserve">Taking into consideration the above-mentioned, the points below </w:t>
      </w:r>
      <w:r w:rsidR="004E5A77">
        <w:rPr>
          <w:rFonts w:asciiTheme="minorHAnsi" w:hAnsiTheme="minorHAnsi" w:cstheme="minorHAnsi"/>
          <w:szCs w:val="24"/>
        </w:rPr>
        <w:t>are</w:t>
      </w:r>
      <w:r>
        <w:rPr>
          <w:rFonts w:asciiTheme="minorHAnsi" w:hAnsiTheme="minorHAnsi" w:cstheme="minorHAnsi"/>
          <w:szCs w:val="24"/>
        </w:rPr>
        <w:t xml:space="preserve"> proposed to be considered by the Council:  </w:t>
      </w:r>
    </w:p>
    <w:p w14:paraId="5CD21657" w14:textId="238DD472" w:rsidR="00B43627" w:rsidRPr="00C833E5" w:rsidRDefault="00B43627" w:rsidP="00B43627">
      <w:pPr>
        <w:pStyle w:val="ListParagraph"/>
        <w:numPr>
          <w:ilvl w:val="0"/>
          <w:numId w:val="1"/>
        </w:numPr>
        <w:adjustRightInd w:val="0"/>
        <w:snapToGrid w:val="0"/>
        <w:spacing w:after="160"/>
        <w:contextualSpacing w:val="0"/>
        <w:jc w:val="both"/>
        <w:rPr>
          <w:rFonts w:asciiTheme="minorHAnsi" w:hAnsiTheme="minorHAnsi" w:cstheme="minorHAnsi"/>
          <w:szCs w:val="24"/>
        </w:rPr>
      </w:pPr>
      <w:r>
        <w:rPr>
          <w:rFonts w:asciiTheme="minorHAnsi" w:hAnsiTheme="minorHAnsi" w:cstheme="minorHAnsi"/>
          <w:szCs w:val="24"/>
        </w:rPr>
        <w:t xml:space="preserve">How to translate the learnings on new ways of work and travel modalities from the COVID-19 pandemic into a longer-term </w:t>
      </w:r>
      <w:r w:rsidR="00661D26">
        <w:rPr>
          <w:rFonts w:asciiTheme="minorHAnsi" w:hAnsiTheme="minorHAnsi" w:cstheme="minorHAnsi"/>
          <w:szCs w:val="24"/>
        </w:rPr>
        <w:t xml:space="preserve">emission </w:t>
      </w:r>
      <w:r>
        <w:rPr>
          <w:rFonts w:asciiTheme="minorHAnsi" w:hAnsiTheme="minorHAnsi" w:cstheme="minorHAnsi"/>
          <w:szCs w:val="24"/>
        </w:rPr>
        <w:t xml:space="preserve">reductions strategy instead of bouncing back to pre-COVID </w:t>
      </w:r>
      <w:r w:rsidRPr="00C833E5">
        <w:rPr>
          <w:rFonts w:asciiTheme="minorHAnsi" w:hAnsiTheme="minorHAnsi" w:cstheme="minorHAnsi"/>
          <w:szCs w:val="24"/>
        </w:rPr>
        <w:t xml:space="preserve">levels of GHG emissions </w:t>
      </w:r>
      <w:r w:rsidRPr="00C833E5">
        <w:rPr>
          <w:rFonts w:asciiTheme="minorHAnsi" w:hAnsiTheme="minorHAnsi" w:cstheme="minorHAnsi"/>
        </w:rPr>
        <w:t>including by reducing emissions from flights.</w:t>
      </w:r>
    </w:p>
    <w:p w14:paraId="02AFFBD3" w14:textId="21E4B627" w:rsidR="00B43627" w:rsidRPr="00C833E5" w:rsidRDefault="00B43627" w:rsidP="00B43627">
      <w:pPr>
        <w:pStyle w:val="ListParagraph"/>
        <w:numPr>
          <w:ilvl w:val="0"/>
          <w:numId w:val="1"/>
        </w:numPr>
        <w:adjustRightInd w:val="0"/>
        <w:snapToGrid w:val="0"/>
        <w:spacing w:after="160"/>
        <w:contextualSpacing w:val="0"/>
        <w:jc w:val="both"/>
        <w:rPr>
          <w:rFonts w:asciiTheme="minorHAnsi" w:hAnsiTheme="minorHAnsi" w:cstheme="minorHAnsi"/>
          <w:szCs w:val="24"/>
        </w:rPr>
      </w:pPr>
      <w:r w:rsidRPr="00C833E5">
        <w:rPr>
          <w:rFonts w:asciiTheme="minorHAnsi" w:hAnsiTheme="minorHAnsi" w:cstheme="minorHAnsi"/>
          <w:szCs w:val="24"/>
        </w:rPr>
        <w:t>The Guidelines of the High-Level Commission on Management (HLCM) of the United Nations on</w:t>
      </w:r>
      <w:r>
        <w:rPr>
          <w:rFonts w:asciiTheme="minorHAnsi" w:hAnsiTheme="minorHAnsi" w:cstheme="minorHAnsi"/>
          <w:szCs w:val="24"/>
        </w:rPr>
        <w:t>:</w:t>
      </w:r>
      <w:r w:rsidRPr="00C833E5">
        <w:rPr>
          <w:rFonts w:asciiTheme="minorHAnsi" w:hAnsiTheme="minorHAnsi" w:cstheme="minorHAnsi"/>
          <w:szCs w:val="24"/>
        </w:rPr>
        <w:t xml:space="preserve"> </w:t>
      </w:r>
      <w:r w:rsidRPr="00C833E5">
        <w:t>a) Model policy of Flexible Working Arrangements and b) Operationalization of the Senior Leadership Commitments</w:t>
      </w:r>
      <w:r w:rsidRPr="00C833E5">
        <w:rPr>
          <w:rFonts w:asciiTheme="minorHAnsi" w:hAnsiTheme="minorHAnsi" w:cstheme="minorHAnsi"/>
          <w:szCs w:val="24"/>
        </w:rPr>
        <w:t xml:space="preserve"> more flexible ways of contracts and working in the new normal</w:t>
      </w:r>
      <w:r>
        <w:rPr>
          <w:rFonts w:asciiTheme="minorHAnsi" w:hAnsiTheme="minorHAnsi" w:cstheme="minorHAnsi"/>
          <w:szCs w:val="24"/>
        </w:rPr>
        <w:t xml:space="preserve">, </w:t>
      </w:r>
      <w:r w:rsidR="009548C4">
        <w:rPr>
          <w:rFonts w:asciiTheme="minorHAnsi" w:hAnsiTheme="minorHAnsi" w:cstheme="minorHAnsi"/>
          <w:szCs w:val="24"/>
        </w:rPr>
        <w:t xml:space="preserve">in line with </w:t>
      </w:r>
      <w:r>
        <w:rPr>
          <w:rFonts w:asciiTheme="minorHAnsi" w:hAnsiTheme="minorHAnsi" w:cstheme="minorHAnsi"/>
          <w:szCs w:val="24"/>
        </w:rPr>
        <w:t xml:space="preserve">the </w:t>
      </w:r>
      <w:r w:rsidRPr="00E86458">
        <w:rPr>
          <w:rFonts w:asciiTheme="minorHAnsi" w:hAnsiTheme="minorHAnsi" w:cstheme="minorHAnsi"/>
          <w:szCs w:val="24"/>
        </w:rPr>
        <w:t>U</w:t>
      </w:r>
      <w:r w:rsidR="009548C4">
        <w:rPr>
          <w:rFonts w:asciiTheme="minorHAnsi" w:hAnsiTheme="minorHAnsi" w:cstheme="minorHAnsi"/>
          <w:szCs w:val="24"/>
        </w:rPr>
        <w:t xml:space="preserve">N </w:t>
      </w:r>
      <w:r w:rsidRPr="00E86458">
        <w:rPr>
          <w:rFonts w:asciiTheme="minorHAnsi" w:hAnsiTheme="minorHAnsi" w:cstheme="minorHAnsi"/>
          <w:szCs w:val="24"/>
        </w:rPr>
        <w:t xml:space="preserve"> system strategy on the future of work (</w:t>
      </w:r>
      <w:hyperlink r:id="rId16" w:history="1">
        <w:r w:rsidRPr="00E86458">
          <w:rPr>
            <w:rFonts w:asciiTheme="minorHAnsi" w:hAnsiTheme="minorHAnsi" w:cstheme="minorHAnsi"/>
            <w:szCs w:val="24"/>
          </w:rPr>
          <w:t>CEB/2019/1/Add.2</w:t>
        </w:r>
      </w:hyperlink>
      <w:r w:rsidRPr="00E86458">
        <w:rPr>
          <w:rFonts w:asciiTheme="minorHAnsi" w:hAnsiTheme="minorHAnsi" w:cstheme="minorHAnsi"/>
          <w:szCs w:val="24"/>
        </w:rPr>
        <w:t>)</w:t>
      </w:r>
      <w:r>
        <w:rPr>
          <w:rFonts w:asciiTheme="minorHAnsi" w:hAnsiTheme="minorHAnsi" w:cstheme="minorHAnsi"/>
          <w:szCs w:val="24"/>
        </w:rPr>
        <w:t>.</w:t>
      </w:r>
      <w:r w:rsidRPr="00C833E5">
        <w:rPr>
          <w:rFonts w:asciiTheme="minorHAnsi" w:hAnsiTheme="minorHAnsi" w:cstheme="minorHAnsi"/>
          <w:szCs w:val="24"/>
        </w:rPr>
        <w:t xml:space="preserve"> </w:t>
      </w:r>
    </w:p>
    <w:p w14:paraId="345C7690" w14:textId="6B3596AF" w:rsidR="00B43627" w:rsidRDefault="00B43627" w:rsidP="00B43627">
      <w:pPr>
        <w:pStyle w:val="ListParagraph"/>
        <w:numPr>
          <w:ilvl w:val="0"/>
          <w:numId w:val="1"/>
        </w:numPr>
        <w:adjustRightInd w:val="0"/>
        <w:snapToGrid w:val="0"/>
        <w:spacing w:after="160"/>
        <w:contextualSpacing w:val="0"/>
        <w:jc w:val="both"/>
        <w:rPr>
          <w:rFonts w:asciiTheme="minorHAnsi" w:hAnsiTheme="minorHAnsi" w:cstheme="minorHAnsi"/>
          <w:szCs w:val="24"/>
        </w:rPr>
      </w:pPr>
      <w:r>
        <w:rPr>
          <w:rFonts w:asciiTheme="minorHAnsi" w:hAnsiTheme="minorHAnsi" w:cstheme="minorHAnsi"/>
          <w:szCs w:val="24"/>
        </w:rPr>
        <w:t>T</w:t>
      </w:r>
      <w:r w:rsidRPr="00AA4C5F">
        <w:rPr>
          <w:rFonts w:asciiTheme="minorHAnsi" w:hAnsiTheme="minorHAnsi" w:cstheme="minorHAnsi"/>
          <w:szCs w:val="24"/>
        </w:rPr>
        <w:t xml:space="preserve">he </w:t>
      </w:r>
      <w:r w:rsidR="00547AB9">
        <w:rPr>
          <w:rFonts w:asciiTheme="minorHAnsi" w:hAnsiTheme="minorHAnsi" w:cstheme="minorHAnsi"/>
          <w:szCs w:val="24"/>
        </w:rPr>
        <w:t xml:space="preserve">prioritization of the </w:t>
      </w:r>
      <w:r w:rsidRPr="00AA4C5F">
        <w:rPr>
          <w:rFonts w:asciiTheme="minorHAnsi" w:hAnsiTheme="minorHAnsi" w:cstheme="minorHAnsi"/>
          <w:szCs w:val="24"/>
        </w:rPr>
        <w:t xml:space="preserve">ITU digital transformation </w:t>
      </w:r>
      <w:r w:rsidR="00547AB9">
        <w:rPr>
          <w:rFonts w:asciiTheme="minorHAnsi" w:hAnsiTheme="minorHAnsi" w:cstheme="minorHAnsi"/>
          <w:szCs w:val="24"/>
        </w:rPr>
        <w:t>initiative and</w:t>
      </w:r>
      <w:r w:rsidRPr="00AA4C5F">
        <w:rPr>
          <w:rFonts w:asciiTheme="minorHAnsi" w:hAnsiTheme="minorHAnsi" w:cstheme="minorHAnsi"/>
          <w:szCs w:val="24"/>
        </w:rPr>
        <w:t xml:space="preserve"> adopt</w:t>
      </w:r>
      <w:r w:rsidR="00547AB9">
        <w:rPr>
          <w:rFonts w:asciiTheme="minorHAnsi" w:hAnsiTheme="minorHAnsi" w:cstheme="minorHAnsi"/>
          <w:szCs w:val="24"/>
        </w:rPr>
        <w:t>ion of</w:t>
      </w:r>
      <w:r w:rsidRPr="00AA4C5F">
        <w:rPr>
          <w:rFonts w:asciiTheme="minorHAnsi" w:hAnsiTheme="minorHAnsi" w:cstheme="minorHAnsi"/>
          <w:szCs w:val="24"/>
        </w:rPr>
        <w:t xml:space="preserve"> a digital transformation strategy </w:t>
      </w:r>
      <w:r w:rsidR="00547AB9">
        <w:rPr>
          <w:rFonts w:asciiTheme="minorHAnsi" w:hAnsiTheme="minorHAnsi" w:cstheme="minorHAnsi"/>
          <w:szCs w:val="24"/>
        </w:rPr>
        <w:t xml:space="preserve">to be </w:t>
      </w:r>
      <w:r w:rsidRPr="00AA4C5F">
        <w:rPr>
          <w:rFonts w:asciiTheme="minorHAnsi" w:hAnsiTheme="minorHAnsi" w:cstheme="minorHAnsi"/>
          <w:szCs w:val="24"/>
        </w:rPr>
        <w:t xml:space="preserve">included </w:t>
      </w:r>
      <w:r w:rsidR="00547AB9">
        <w:rPr>
          <w:rFonts w:asciiTheme="minorHAnsi" w:hAnsiTheme="minorHAnsi" w:cstheme="minorHAnsi"/>
          <w:szCs w:val="24"/>
        </w:rPr>
        <w:t xml:space="preserve">in, </w:t>
      </w:r>
      <w:r w:rsidRPr="00AA4C5F">
        <w:rPr>
          <w:rFonts w:asciiTheme="minorHAnsi" w:hAnsiTheme="minorHAnsi" w:cstheme="minorHAnsi"/>
          <w:szCs w:val="24"/>
        </w:rPr>
        <w:t>and aligned with</w:t>
      </w:r>
      <w:r w:rsidR="00547AB9">
        <w:rPr>
          <w:rFonts w:asciiTheme="minorHAnsi" w:hAnsiTheme="minorHAnsi" w:cstheme="minorHAnsi"/>
          <w:szCs w:val="24"/>
        </w:rPr>
        <w:t>,</w:t>
      </w:r>
      <w:r w:rsidRPr="00AA4C5F">
        <w:rPr>
          <w:rFonts w:asciiTheme="minorHAnsi" w:hAnsiTheme="minorHAnsi" w:cstheme="minorHAnsi"/>
          <w:szCs w:val="24"/>
        </w:rPr>
        <w:t xml:space="preserve"> the ITU Strategic </w:t>
      </w:r>
      <w:r>
        <w:rPr>
          <w:rFonts w:asciiTheme="minorHAnsi" w:hAnsiTheme="minorHAnsi" w:cstheme="minorHAnsi"/>
          <w:szCs w:val="24"/>
        </w:rPr>
        <w:t>Plan.</w:t>
      </w:r>
    </w:p>
    <w:p w14:paraId="5A3D52E5" w14:textId="6B82A5FD" w:rsidR="00B43627" w:rsidRPr="00AA4C5F" w:rsidRDefault="00B43627" w:rsidP="00B43627">
      <w:pPr>
        <w:pStyle w:val="ListParagraph"/>
        <w:numPr>
          <w:ilvl w:val="0"/>
          <w:numId w:val="1"/>
        </w:numPr>
        <w:adjustRightInd w:val="0"/>
        <w:snapToGrid w:val="0"/>
        <w:spacing w:after="160"/>
        <w:contextualSpacing w:val="0"/>
        <w:jc w:val="both"/>
        <w:rPr>
          <w:rFonts w:asciiTheme="minorHAnsi" w:hAnsiTheme="minorHAnsi" w:cstheme="minorHAnsi"/>
          <w:szCs w:val="24"/>
        </w:rPr>
      </w:pPr>
      <w:r>
        <w:rPr>
          <w:rFonts w:asciiTheme="minorHAnsi" w:hAnsiTheme="minorHAnsi" w:cstheme="minorHAnsi"/>
          <w:szCs w:val="24"/>
        </w:rPr>
        <w:t>T</w:t>
      </w:r>
      <w:r w:rsidRPr="00C833E5">
        <w:rPr>
          <w:rFonts w:asciiTheme="minorHAnsi" w:hAnsiTheme="minorHAnsi" w:cstheme="minorHAnsi"/>
          <w:szCs w:val="24"/>
        </w:rPr>
        <w:t xml:space="preserve">he </w:t>
      </w:r>
      <w:r w:rsidR="009548C4">
        <w:rPr>
          <w:rFonts w:asciiTheme="minorHAnsi" w:hAnsiTheme="minorHAnsi" w:cstheme="minorHAnsi"/>
          <w:szCs w:val="24"/>
        </w:rPr>
        <w:t>w</w:t>
      </w:r>
      <w:r w:rsidR="009548C4" w:rsidRPr="00C833E5">
        <w:rPr>
          <w:rFonts w:asciiTheme="minorHAnsi" w:hAnsiTheme="minorHAnsi" w:cstheme="minorHAnsi"/>
          <w:szCs w:val="24"/>
        </w:rPr>
        <w:t xml:space="preserve">orking </w:t>
      </w:r>
      <w:r w:rsidR="009548C4">
        <w:rPr>
          <w:rFonts w:asciiTheme="minorHAnsi" w:hAnsiTheme="minorHAnsi" w:cstheme="minorHAnsi"/>
          <w:szCs w:val="24"/>
        </w:rPr>
        <w:t>c</w:t>
      </w:r>
      <w:r w:rsidR="009548C4" w:rsidRPr="00C833E5">
        <w:rPr>
          <w:rFonts w:asciiTheme="minorHAnsi" w:hAnsiTheme="minorHAnsi" w:cstheme="minorHAnsi"/>
          <w:szCs w:val="24"/>
        </w:rPr>
        <w:t>ondition</w:t>
      </w:r>
      <w:r w:rsidR="00547AB9">
        <w:rPr>
          <w:rFonts w:asciiTheme="minorHAnsi" w:hAnsiTheme="minorHAnsi" w:cstheme="minorHAnsi"/>
          <w:szCs w:val="24"/>
        </w:rPr>
        <w:t xml:space="preserve">s aligned with </w:t>
      </w:r>
      <w:hyperlink r:id="rId17" w:history="1"/>
      <w:r w:rsidRPr="00AA4C5F">
        <w:rPr>
          <w:bCs/>
        </w:rPr>
        <w:t xml:space="preserve">the perspectives of Gender and Accessibility.  </w:t>
      </w:r>
    </w:p>
    <w:p w14:paraId="7DA21133" w14:textId="77777777" w:rsidR="00B43627" w:rsidRPr="00A74576" w:rsidRDefault="00B43627" w:rsidP="007C4255">
      <w:pPr>
        <w:pStyle w:val="Heading2"/>
        <w:numPr>
          <w:ilvl w:val="0"/>
          <w:numId w:val="6"/>
        </w:numPr>
        <w:tabs>
          <w:tab w:val="num" w:pos="360"/>
          <w:tab w:val="left" w:pos="720"/>
          <w:tab w:val="left" w:pos="900"/>
          <w:tab w:val="left" w:pos="990"/>
          <w:tab w:val="left" w:pos="1710"/>
          <w:tab w:val="left" w:pos="2970"/>
        </w:tabs>
        <w:adjustRightInd w:val="0"/>
        <w:snapToGrid w:val="0"/>
        <w:spacing w:before="0" w:after="160"/>
        <w:ind w:left="567" w:hanging="567"/>
        <w:jc w:val="both"/>
        <w:rPr>
          <w:rFonts w:asciiTheme="minorHAnsi" w:hAnsiTheme="minorHAnsi" w:cstheme="minorHAnsi"/>
          <w:szCs w:val="24"/>
        </w:rPr>
      </w:pPr>
      <w:r>
        <w:rPr>
          <w:rFonts w:asciiTheme="minorHAnsi" w:hAnsiTheme="minorHAnsi" w:cstheme="minorHAnsi"/>
          <w:szCs w:val="24"/>
        </w:rPr>
        <w:t>Impact of COVID-19 on ITU’s Financial position and Membership</w:t>
      </w:r>
    </w:p>
    <w:p w14:paraId="4D7AD4F3" w14:textId="41645D43" w:rsidR="00B43627" w:rsidRDefault="00B43627" w:rsidP="00B43627">
      <w:pPr>
        <w:pStyle w:val="ListParagraph"/>
        <w:numPr>
          <w:ilvl w:val="1"/>
          <w:numId w:val="7"/>
        </w:numPr>
        <w:adjustRightInd w:val="0"/>
        <w:snapToGrid w:val="0"/>
        <w:spacing w:after="160"/>
        <w:ind w:left="0" w:firstLine="0"/>
        <w:contextualSpacing w:val="0"/>
        <w:jc w:val="both"/>
      </w:pPr>
      <w:r>
        <w:t xml:space="preserve">In 2020, despite the situation related to COVID-19, ITU did not experience any significant decrease </w:t>
      </w:r>
      <w:r w:rsidRPr="00DC034B">
        <w:t xml:space="preserve">in the assessed contributions from Members States, </w:t>
      </w:r>
      <w:r>
        <w:t>S</w:t>
      </w:r>
      <w:r w:rsidRPr="00DC034B">
        <w:t xml:space="preserve">ector </w:t>
      </w:r>
      <w:r>
        <w:t>M</w:t>
      </w:r>
      <w:r w:rsidRPr="00DC034B">
        <w:t xml:space="preserve">embers, </w:t>
      </w:r>
      <w:r w:rsidR="00605CDD">
        <w:t>A</w:t>
      </w:r>
      <w:r w:rsidRPr="00DC034B">
        <w:t>ssociates and Academia</w:t>
      </w:r>
      <w:r w:rsidRPr="003B1698">
        <w:t>.</w:t>
      </w:r>
      <w:r>
        <w:t xml:space="preserve"> As of December 31, 2020, the collection rate of contributions remained high: 95% in line with previous years.</w:t>
      </w:r>
    </w:p>
    <w:p w14:paraId="7C485F31" w14:textId="5B88A641" w:rsidR="00B43627" w:rsidRPr="00AA4C5F" w:rsidRDefault="00B43627" w:rsidP="00B43627">
      <w:pPr>
        <w:pStyle w:val="ListParagraph"/>
        <w:numPr>
          <w:ilvl w:val="1"/>
          <w:numId w:val="7"/>
        </w:numPr>
        <w:adjustRightInd w:val="0"/>
        <w:snapToGrid w:val="0"/>
        <w:spacing w:after="160"/>
        <w:ind w:left="0" w:firstLine="0"/>
        <w:contextualSpacing w:val="0"/>
        <w:jc w:val="both"/>
      </w:pPr>
      <w:r w:rsidRPr="00C833E5">
        <w:rPr>
          <w:color w:val="000000" w:themeColor="text1"/>
        </w:rPr>
        <w:t>C</w:t>
      </w:r>
      <w:r>
        <w:rPr>
          <w:color w:val="000000" w:themeColor="text1"/>
        </w:rPr>
        <w:t>OVID</w:t>
      </w:r>
      <w:r w:rsidRPr="00C833E5">
        <w:rPr>
          <w:color w:val="000000" w:themeColor="text1"/>
        </w:rPr>
        <w:t xml:space="preserve">-19 has generated savings during the implementation of the 2020 budget. Since all official missions </w:t>
      </w:r>
      <w:r w:rsidR="004E5A77">
        <w:rPr>
          <w:color w:val="000000" w:themeColor="text1"/>
        </w:rPr>
        <w:t xml:space="preserve">and </w:t>
      </w:r>
      <w:r w:rsidR="004E5A77" w:rsidRPr="00C833E5">
        <w:rPr>
          <w:color w:val="000000" w:themeColor="text1"/>
        </w:rPr>
        <w:t xml:space="preserve">physical conferences </w:t>
      </w:r>
      <w:r w:rsidRPr="00C833E5">
        <w:rPr>
          <w:color w:val="000000" w:themeColor="text1"/>
        </w:rPr>
        <w:t xml:space="preserve">were cancelled, these savings were mainly in travel costs; fellowships; equipment purchases; cleaning; electricity; and meetings. It should </w:t>
      </w:r>
      <w:r w:rsidRPr="00C833E5">
        <w:rPr>
          <w:color w:val="000000" w:themeColor="text1"/>
        </w:rPr>
        <w:lastRenderedPageBreak/>
        <w:t>be noted that the savings achieved offset the decline in revenues, mainly from the sale of publications. The postponement of the ITU Telecom World 2020 event in Viet</w:t>
      </w:r>
      <w:r>
        <w:rPr>
          <w:color w:val="000000" w:themeColor="text1"/>
        </w:rPr>
        <w:t xml:space="preserve"> N</w:t>
      </w:r>
      <w:r w:rsidRPr="00C833E5">
        <w:rPr>
          <w:color w:val="000000" w:themeColor="text1"/>
        </w:rPr>
        <w:t>am also impacted on cost recovery revenues. It should also be noted that there were expenses that were not foreseen in the 2020 budget. These unplanned expenses include C</w:t>
      </w:r>
      <w:r>
        <w:rPr>
          <w:color w:val="000000" w:themeColor="text1"/>
        </w:rPr>
        <w:t>OVID</w:t>
      </w:r>
      <w:r w:rsidRPr="00C833E5">
        <w:rPr>
          <w:color w:val="000000" w:themeColor="text1"/>
        </w:rPr>
        <w:t>-19 costs</w:t>
      </w:r>
      <w:r>
        <w:rPr>
          <w:color w:val="000000" w:themeColor="text1"/>
        </w:rPr>
        <w:t>,</w:t>
      </w:r>
      <w:r w:rsidRPr="00C833E5">
        <w:rPr>
          <w:color w:val="000000" w:themeColor="text1"/>
        </w:rPr>
        <w:t xml:space="preserve"> decisions and resolutions with financial implications after WRC-19</w:t>
      </w:r>
      <w:r>
        <w:rPr>
          <w:color w:val="000000" w:themeColor="text1"/>
        </w:rPr>
        <w:t>,</w:t>
      </w:r>
      <w:r w:rsidRPr="00C833E5">
        <w:rPr>
          <w:color w:val="000000" w:themeColor="text1"/>
        </w:rPr>
        <w:t xml:space="preserve"> contribution to UNSMIS health insurance</w:t>
      </w:r>
      <w:r>
        <w:rPr>
          <w:color w:val="000000" w:themeColor="text1"/>
        </w:rPr>
        <w:t>,</w:t>
      </w:r>
      <w:r w:rsidRPr="00C833E5">
        <w:rPr>
          <w:color w:val="000000" w:themeColor="text1"/>
        </w:rPr>
        <w:t xml:space="preserve"> etc. </w:t>
      </w:r>
      <w:r w:rsidR="00605CDD" w:rsidRPr="00091451">
        <w:rPr>
          <w:rFonts w:asciiTheme="minorHAnsi" w:hAnsiTheme="minorHAnsi" w:cstheme="minorHAnsi"/>
          <w:color w:val="000000" w:themeColor="text1"/>
          <w:szCs w:val="24"/>
        </w:rPr>
        <w:t>As of 31 December 2020, C</w:t>
      </w:r>
      <w:r w:rsidR="00605CDD">
        <w:rPr>
          <w:rFonts w:asciiTheme="minorHAnsi" w:hAnsiTheme="minorHAnsi" w:cstheme="minorHAnsi"/>
          <w:color w:val="000000" w:themeColor="text1"/>
          <w:szCs w:val="24"/>
        </w:rPr>
        <w:t>OVID</w:t>
      </w:r>
      <w:r w:rsidR="00605CDD" w:rsidRPr="00091451">
        <w:rPr>
          <w:rFonts w:asciiTheme="minorHAnsi" w:hAnsiTheme="minorHAnsi" w:cstheme="minorHAnsi"/>
          <w:color w:val="000000" w:themeColor="text1"/>
          <w:szCs w:val="24"/>
        </w:rPr>
        <w:t>-19</w:t>
      </w:r>
      <w:r w:rsidR="00605CDD">
        <w:rPr>
          <w:rFonts w:asciiTheme="minorHAnsi" w:hAnsiTheme="minorHAnsi" w:cstheme="minorHAnsi"/>
          <w:color w:val="000000" w:themeColor="text1"/>
          <w:szCs w:val="24"/>
        </w:rPr>
        <w:t>’</w:t>
      </w:r>
      <w:r w:rsidR="00605CDD" w:rsidRPr="00091451">
        <w:rPr>
          <w:rFonts w:asciiTheme="minorHAnsi" w:hAnsiTheme="minorHAnsi" w:cstheme="minorHAnsi"/>
          <w:color w:val="000000" w:themeColor="text1"/>
          <w:szCs w:val="24"/>
        </w:rPr>
        <w:t>s expenses amount to CHF1,532,000</w:t>
      </w:r>
      <w:r w:rsidR="00D10EBE">
        <w:rPr>
          <w:rFonts w:asciiTheme="minorHAnsi" w:hAnsiTheme="minorHAnsi" w:cstheme="minorHAnsi"/>
          <w:color w:val="000000" w:themeColor="text1"/>
          <w:szCs w:val="24"/>
        </w:rPr>
        <w:t xml:space="preserve"> </w:t>
      </w:r>
      <w:r w:rsidR="003B3EB9">
        <w:rPr>
          <w:rFonts w:asciiTheme="minorHAnsi" w:hAnsiTheme="minorHAnsi" w:cstheme="minorHAnsi"/>
          <w:color w:val="000000" w:themeColor="text1"/>
          <w:szCs w:val="24"/>
        </w:rPr>
        <w:t>(details</w:t>
      </w:r>
      <w:r w:rsidR="00515278">
        <w:rPr>
          <w:rFonts w:asciiTheme="minorHAnsi" w:hAnsiTheme="minorHAnsi" w:cstheme="minorHAnsi"/>
          <w:color w:val="000000" w:themeColor="text1"/>
          <w:szCs w:val="24"/>
        </w:rPr>
        <w:t xml:space="preserve"> in Annex 1)</w:t>
      </w:r>
      <w:r w:rsidR="00605CDD">
        <w:rPr>
          <w:rFonts w:asciiTheme="minorHAnsi" w:hAnsiTheme="minorHAnsi" w:cstheme="minorHAnsi"/>
          <w:color w:val="000000" w:themeColor="text1"/>
          <w:szCs w:val="24"/>
        </w:rPr>
        <w:t>.</w:t>
      </w:r>
    </w:p>
    <w:p w14:paraId="58ECB8E7" w14:textId="6F563822" w:rsidR="00B43627" w:rsidRPr="00143C40" w:rsidRDefault="00B43627" w:rsidP="00B43627">
      <w:pPr>
        <w:pStyle w:val="ListParagraph"/>
        <w:numPr>
          <w:ilvl w:val="1"/>
          <w:numId w:val="7"/>
        </w:numPr>
        <w:adjustRightInd w:val="0"/>
        <w:snapToGrid w:val="0"/>
        <w:spacing w:after="160"/>
        <w:ind w:left="0" w:firstLine="0"/>
        <w:contextualSpacing w:val="0"/>
        <w:jc w:val="both"/>
        <w:rPr>
          <w:color w:val="000000"/>
          <w:szCs w:val="24"/>
          <w:lang w:eastAsia="zh-CN"/>
        </w:rPr>
      </w:pPr>
      <w:r w:rsidRPr="00143C40">
        <w:t>Despite</w:t>
      </w:r>
      <w:r w:rsidRPr="00143C40">
        <w:rPr>
          <w:color w:val="000000"/>
          <w:szCs w:val="24"/>
          <w:shd w:val="clear" w:color="auto" w:fill="FFFFFF"/>
        </w:rPr>
        <w:t xml:space="preserve"> the challenges of COVID and the global economic slowdown, and some resulting consolidation in the industry, ITU membership remained stable in 2020, and even grew slightly. ITU membership reached 925 entities, including almost 100 new members. The strongest growth in industry membership came through ITU-T. Leading academia specializing in emerging topics also joined ITU</w:t>
      </w:r>
      <w:r w:rsidR="00B84A98">
        <w:rPr>
          <w:color w:val="000000"/>
          <w:szCs w:val="24"/>
          <w:shd w:val="clear" w:color="auto" w:fill="FFFFFF"/>
        </w:rPr>
        <w:t>,</w:t>
      </w:r>
      <w:r w:rsidRPr="00143C40">
        <w:rPr>
          <w:color w:val="000000"/>
          <w:szCs w:val="24"/>
          <w:shd w:val="clear" w:color="auto" w:fill="FFFFFF"/>
        </w:rPr>
        <w:t xml:space="preserve"> attracted by new activities. Furthermore, new reduced fees for SMEs were introduced in 2020, as per PP Res</w:t>
      </w:r>
      <w:r w:rsidR="007E57FD">
        <w:rPr>
          <w:color w:val="000000"/>
          <w:szCs w:val="24"/>
          <w:shd w:val="clear" w:color="auto" w:fill="FFFFFF"/>
        </w:rPr>
        <w:t>olution</w:t>
      </w:r>
      <w:r w:rsidRPr="00143C40">
        <w:rPr>
          <w:color w:val="000000"/>
          <w:szCs w:val="24"/>
          <w:shd w:val="clear" w:color="auto" w:fill="FFFFFF"/>
        </w:rPr>
        <w:t xml:space="preserve"> 209 (Dubai, 2018), attracting more than 20 companies in the first year. That said, a significant number of memberships were at risk at the end of 2020, with almost 100 suspended or frozen for non-payment of fees, with another 16 denunciations announced in 2020 to take effect in 2021. Every effort is being made to maintain existing members, including those at risk, while attracting new members in 2021.</w:t>
      </w:r>
    </w:p>
    <w:p w14:paraId="0C7E5275" w14:textId="767A784A" w:rsidR="00B43627" w:rsidRDefault="00B43627" w:rsidP="00B43627">
      <w:pPr>
        <w:pStyle w:val="ListParagraph"/>
        <w:numPr>
          <w:ilvl w:val="1"/>
          <w:numId w:val="7"/>
        </w:numPr>
        <w:adjustRightInd w:val="0"/>
        <w:snapToGrid w:val="0"/>
        <w:spacing w:after="160"/>
        <w:ind w:left="0" w:firstLine="0"/>
        <w:contextualSpacing w:val="0"/>
        <w:jc w:val="both"/>
        <w:rPr>
          <w:rFonts w:asciiTheme="minorHAnsi" w:hAnsiTheme="minorHAnsi" w:cstheme="minorHAnsi"/>
          <w:szCs w:val="24"/>
        </w:rPr>
      </w:pPr>
      <w:r>
        <w:rPr>
          <w:rFonts w:asciiTheme="minorHAnsi" w:hAnsiTheme="minorHAnsi" w:cstheme="minorHAnsi"/>
          <w:szCs w:val="24"/>
        </w:rPr>
        <w:t>The quality and ex</w:t>
      </w:r>
      <w:r w:rsidR="00595689">
        <w:rPr>
          <w:rFonts w:asciiTheme="minorHAnsi" w:hAnsiTheme="minorHAnsi" w:cstheme="minorHAnsi"/>
          <w:szCs w:val="24"/>
        </w:rPr>
        <w:t>t</w:t>
      </w:r>
      <w:r>
        <w:rPr>
          <w:rFonts w:asciiTheme="minorHAnsi" w:hAnsiTheme="minorHAnsi" w:cstheme="minorHAnsi"/>
          <w:szCs w:val="24"/>
        </w:rPr>
        <w:t xml:space="preserve">ensive support for the members </w:t>
      </w:r>
      <w:proofErr w:type="gramStart"/>
      <w:r>
        <w:rPr>
          <w:rFonts w:asciiTheme="minorHAnsi" w:hAnsiTheme="minorHAnsi" w:cstheme="minorHAnsi"/>
          <w:szCs w:val="24"/>
        </w:rPr>
        <w:t>have</w:t>
      </w:r>
      <w:proofErr w:type="gramEnd"/>
      <w:r>
        <w:rPr>
          <w:rFonts w:asciiTheme="minorHAnsi" w:hAnsiTheme="minorHAnsi" w:cstheme="minorHAnsi"/>
          <w:szCs w:val="24"/>
        </w:rPr>
        <w:t xml:space="preserve"> secured the revenues of the Union</w:t>
      </w:r>
      <w:r w:rsidRPr="00785655">
        <w:rPr>
          <w:rFonts w:asciiTheme="minorHAnsi" w:hAnsiTheme="minorHAnsi" w:cstheme="minorHAnsi"/>
          <w:szCs w:val="24"/>
        </w:rPr>
        <w:t xml:space="preserve">. </w:t>
      </w:r>
      <w:r w:rsidRPr="00143C40">
        <w:rPr>
          <w:rFonts w:asciiTheme="minorHAnsi" w:hAnsiTheme="minorHAnsi" w:cstheme="minorHAnsi"/>
          <w:b/>
          <w:bCs/>
          <w:szCs w:val="24"/>
        </w:rPr>
        <w:t>The lessons learned</w:t>
      </w:r>
      <w:r w:rsidRPr="00785655">
        <w:rPr>
          <w:rFonts w:asciiTheme="minorHAnsi" w:hAnsiTheme="minorHAnsi" w:cstheme="minorHAnsi"/>
          <w:szCs w:val="24"/>
        </w:rPr>
        <w:t xml:space="preserve"> include </w:t>
      </w:r>
      <w:r>
        <w:rPr>
          <w:rFonts w:asciiTheme="minorHAnsi" w:hAnsiTheme="minorHAnsi" w:cstheme="minorHAnsi"/>
          <w:szCs w:val="24"/>
        </w:rPr>
        <w:t>t</w:t>
      </w:r>
      <w:r w:rsidRPr="006F0229">
        <w:rPr>
          <w:rFonts w:asciiTheme="minorHAnsi" w:hAnsiTheme="minorHAnsi" w:cstheme="minorHAnsi"/>
          <w:szCs w:val="24"/>
        </w:rPr>
        <w:t>he diversification of the tools to communicate externally on the ITU activities and to contact possible new members</w:t>
      </w:r>
      <w:r>
        <w:rPr>
          <w:rFonts w:asciiTheme="minorHAnsi" w:hAnsiTheme="minorHAnsi" w:cstheme="minorHAnsi"/>
          <w:szCs w:val="24"/>
        </w:rPr>
        <w:t>. For example, while t</w:t>
      </w:r>
      <w:r w:rsidRPr="006F0229">
        <w:rPr>
          <w:rFonts w:asciiTheme="minorHAnsi" w:hAnsiTheme="minorHAnsi" w:cstheme="minorHAnsi"/>
          <w:szCs w:val="24"/>
        </w:rPr>
        <w:t>he sponsorships of the events have seen a decrease in the first period, the packages offered</w:t>
      </w:r>
      <w:r>
        <w:rPr>
          <w:rFonts w:asciiTheme="minorHAnsi" w:hAnsiTheme="minorHAnsi" w:cstheme="minorHAnsi"/>
          <w:szCs w:val="24"/>
        </w:rPr>
        <w:t xml:space="preserve"> together with the</w:t>
      </w:r>
      <w:r w:rsidRPr="00ED348C">
        <w:rPr>
          <w:rFonts w:asciiTheme="minorHAnsi" w:hAnsiTheme="minorHAnsi" w:cstheme="minorHAnsi"/>
          <w:szCs w:val="24"/>
        </w:rPr>
        <w:t xml:space="preserve"> </w:t>
      </w:r>
      <w:r w:rsidRPr="006F0229">
        <w:rPr>
          <w:rFonts w:asciiTheme="minorHAnsi" w:hAnsiTheme="minorHAnsi" w:cstheme="minorHAnsi"/>
          <w:szCs w:val="24"/>
        </w:rPr>
        <w:t>increasing audience</w:t>
      </w:r>
      <w:r>
        <w:rPr>
          <w:rFonts w:asciiTheme="minorHAnsi" w:hAnsiTheme="minorHAnsi" w:cstheme="minorHAnsi"/>
          <w:szCs w:val="24"/>
        </w:rPr>
        <w:t xml:space="preserve"> </w:t>
      </w:r>
      <w:r w:rsidRPr="006F0229">
        <w:rPr>
          <w:rFonts w:asciiTheme="minorHAnsi" w:hAnsiTheme="minorHAnsi" w:cstheme="minorHAnsi"/>
          <w:szCs w:val="24"/>
        </w:rPr>
        <w:t>stimulate</w:t>
      </w:r>
      <w:r>
        <w:rPr>
          <w:rFonts w:asciiTheme="minorHAnsi" w:hAnsiTheme="minorHAnsi" w:cstheme="minorHAnsi"/>
          <w:szCs w:val="24"/>
        </w:rPr>
        <w:t>d</w:t>
      </w:r>
      <w:r w:rsidRPr="006F0229">
        <w:rPr>
          <w:rFonts w:asciiTheme="minorHAnsi" w:hAnsiTheme="minorHAnsi" w:cstheme="minorHAnsi"/>
          <w:szCs w:val="24"/>
        </w:rPr>
        <w:t xml:space="preserve"> </w:t>
      </w:r>
      <w:r>
        <w:rPr>
          <w:rFonts w:asciiTheme="minorHAnsi" w:hAnsiTheme="minorHAnsi" w:cstheme="minorHAnsi"/>
          <w:szCs w:val="24"/>
        </w:rPr>
        <w:t>sponsors</w:t>
      </w:r>
      <w:r w:rsidRPr="006F0229">
        <w:rPr>
          <w:rFonts w:asciiTheme="minorHAnsi" w:hAnsiTheme="minorHAnsi" w:cstheme="minorHAnsi"/>
          <w:szCs w:val="24"/>
        </w:rPr>
        <w:t xml:space="preserve"> to come back</w:t>
      </w:r>
      <w:r>
        <w:rPr>
          <w:rFonts w:asciiTheme="minorHAnsi" w:hAnsiTheme="minorHAnsi" w:cstheme="minorHAnsi"/>
          <w:szCs w:val="24"/>
        </w:rPr>
        <w:t xml:space="preserve">. </w:t>
      </w:r>
    </w:p>
    <w:p w14:paraId="652E127E" w14:textId="7DCFBE2F" w:rsidR="00B43627" w:rsidRPr="00302F13" w:rsidRDefault="00B43627" w:rsidP="00B43627">
      <w:pPr>
        <w:pStyle w:val="ListParagraph"/>
        <w:numPr>
          <w:ilvl w:val="1"/>
          <w:numId w:val="7"/>
        </w:numPr>
        <w:adjustRightInd w:val="0"/>
        <w:snapToGrid w:val="0"/>
        <w:spacing w:after="160"/>
        <w:ind w:left="0" w:firstLine="0"/>
        <w:contextualSpacing w:val="0"/>
        <w:jc w:val="both"/>
        <w:rPr>
          <w:rFonts w:asciiTheme="minorHAnsi" w:hAnsiTheme="minorHAnsi" w:cstheme="minorHAnsi"/>
          <w:szCs w:val="24"/>
        </w:rPr>
      </w:pPr>
      <w:r>
        <w:rPr>
          <w:rFonts w:asciiTheme="minorHAnsi" w:hAnsiTheme="minorHAnsi" w:cstheme="minorHAnsi"/>
          <w:szCs w:val="24"/>
        </w:rPr>
        <w:t xml:space="preserve">Taking into consideration the above-mentioned, </w:t>
      </w:r>
      <w:r w:rsidR="00B84A98">
        <w:rPr>
          <w:rFonts w:asciiTheme="minorHAnsi" w:hAnsiTheme="minorHAnsi" w:cstheme="minorHAnsi"/>
          <w:szCs w:val="24"/>
        </w:rPr>
        <w:t xml:space="preserve">the following </w:t>
      </w:r>
      <w:r>
        <w:rPr>
          <w:rFonts w:asciiTheme="minorHAnsi" w:hAnsiTheme="minorHAnsi" w:cstheme="minorHAnsi"/>
          <w:szCs w:val="24"/>
        </w:rPr>
        <w:t xml:space="preserve">points </w:t>
      </w:r>
      <w:r w:rsidR="00595689">
        <w:rPr>
          <w:rFonts w:asciiTheme="minorHAnsi" w:hAnsiTheme="minorHAnsi" w:cstheme="minorHAnsi"/>
          <w:szCs w:val="24"/>
        </w:rPr>
        <w:t>are</w:t>
      </w:r>
      <w:r>
        <w:rPr>
          <w:rFonts w:asciiTheme="minorHAnsi" w:hAnsiTheme="minorHAnsi" w:cstheme="minorHAnsi"/>
          <w:szCs w:val="24"/>
        </w:rPr>
        <w:t xml:space="preserve"> proposed to be considered by the Council:  </w:t>
      </w:r>
    </w:p>
    <w:p w14:paraId="33884A42" w14:textId="31B0A49F" w:rsidR="00B43627" w:rsidRPr="006F0229" w:rsidRDefault="00B43627" w:rsidP="00B43627">
      <w:pPr>
        <w:pStyle w:val="ListParagraph"/>
        <w:numPr>
          <w:ilvl w:val="0"/>
          <w:numId w:val="5"/>
        </w:numPr>
        <w:adjustRightInd w:val="0"/>
        <w:snapToGrid w:val="0"/>
        <w:spacing w:after="160"/>
        <w:contextualSpacing w:val="0"/>
        <w:jc w:val="both"/>
        <w:rPr>
          <w:rFonts w:asciiTheme="minorHAnsi" w:hAnsiTheme="minorHAnsi" w:cstheme="minorHAnsi"/>
          <w:szCs w:val="24"/>
        </w:rPr>
      </w:pPr>
      <w:r>
        <w:rPr>
          <w:color w:val="000000"/>
          <w:szCs w:val="24"/>
          <w:lang w:eastAsia="zh-CN"/>
        </w:rPr>
        <w:t xml:space="preserve">The financial support for the projects or </w:t>
      </w:r>
      <w:proofErr w:type="spellStart"/>
      <w:r>
        <w:rPr>
          <w:color w:val="000000"/>
          <w:szCs w:val="24"/>
          <w:lang w:eastAsia="zh-CN"/>
        </w:rPr>
        <w:t>programmes</w:t>
      </w:r>
      <w:proofErr w:type="spellEnd"/>
      <w:r>
        <w:rPr>
          <w:color w:val="000000"/>
          <w:szCs w:val="24"/>
          <w:lang w:eastAsia="zh-CN"/>
        </w:rPr>
        <w:t xml:space="preserve"> that facilitate the communication with the existing and potential members of the Union, such as </w:t>
      </w:r>
      <w:r w:rsidR="00850244">
        <w:rPr>
          <w:color w:val="000000"/>
          <w:szCs w:val="24"/>
          <w:lang w:eastAsia="zh-CN"/>
        </w:rPr>
        <w:t>M</w:t>
      </w:r>
      <w:r>
        <w:rPr>
          <w:color w:val="000000"/>
          <w:szCs w:val="24"/>
          <w:lang w:eastAsia="zh-CN"/>
        </w:rPr>
        <w:t xml:space="preserve">y ITU, ITU website, unified platform for meetings, and dedicated platform for approval of decisions by correspondence. </w:t>
      </w:r>
    </w:p>
    <w:p w14:paraId="0E95A1B1" w14:textId="1206B8B7" w:rsidR="00B43627" w:rsidRPr="00613C97" w:rsidRDefault="00B43627" w:rsidP="00B43627">
      <w:pPr>
        <w:pStyle w:val="ListParagraph"/>
        <w:numPr>
          <w:ilvl w:val="0"/>
          <w:numId w:val="1"/>
        </w:numPr>
        <w:adjustRightInd w:val="0"/>
        <w:snapToGrid w:val="0"/>
        <w:spacing w:after="160"/>
        <w:contextualSpacing w:val="0"/>
        <w:jc w:val="both"/>
        <w:rPr>
          <w:rFonts w:asciiTheme="minorHAnsi" w:hAnsiTheme="minorHAnsi" w:cstheme="minorHAnsi"/>
          <w:szCs w:val="24"/>
        </w:rPr>
      </w:pPr>
      <w:r w:rsidRPr="00613C97">
        <w:rPr>
          <w:rFonts w:asciiTheme="minorHAnsi" w:hAnsiTheme="minorHAnsi" w:cstheme="minorHAnsi"/>
          <w:szCs w:val="24"/>
        </w:rPr>
        <w:t>The financial support for making ITU meetings and events more accessible</w:t>
      </w:r>
      <w:r>
        <w:rPr>
          <w:rFonts w:asciiTheme="minorHAnsi" w:hAnsiTheme="minorHAnsi" w:cstheme="minorHAnsi"/>
          <w:szCs w:val="24"/>
        </w:rPr>
        <w:t xml:space="preserve">, </w:t>
      </w:r>
      <w:r w:rsidRPr="00613C97">
        <w:rPr>
          <w:rFonts w:asciiTheme="minorHAnsi" w:hAnsiTheme="minorHAnsi" w:cstheme="minorHAnsi"/>
          <w:szCs w:val="24"/>
        </w:rPr>
        <w:t xml:space="preserve">making ITU a </w:t>
      </w:r>
      <w:r w:rsidR="00605CDD">
        <w:rPr>
          <w:rFonts w:asciiTheme="minorHAnsi" w:hAnsiTheme="minorHAnsi" w:cstheme="minorHAnsi"/>
          <w:szCs w:val="24"/>
        </w:rPr>
        <w:t>c</w:t>
      </w:r>
      <w:r w:rsidR="00605CDD" w:rsidRPr="00613C97">
        <w:rPr>
          <w:rFonts w:asciiTheme="minorHAnsi" w:hAnsiTheme="minorHAnsi" w:cstheme="minorHAnsi"/>
          <w:szCs w:val="24"/>
        </w:rPr>
        <w:t xml:space="preserve">hampion </w:t>
      </w:r>
      <w:r w:rsidRPr="00613C97">
        <w:rPr>
          <w:rFonts w:asciiTheme="minorHAnsi" w:hAnsiTheme="minorHAnsi" w:cstheme="minorHAnsi"/>
          <w:szCs w:val="24"/>
        </w:rPr>
        <w:t xml:space="preserve">on accessibility. </w:t>
      </w:r>
    </w:p>
    <w:p w14:paraId="1D68C35E" w14:textId="77777777" w:rsidR="00B43627" w:rsidRPr="00AA4C5F" w:rsidRDefault="00B43627" w:rsidP="00B43627">
      <w:pPr>
        <w:pStyle w:val="ListParagraph"/>
        <w:numPr>
          <w:ilvl w:val="0"/>
          <w:numId w:val="7"/>
        </w:numPr>
        <w:tabs>
          <w:tab w:val="left" w:pos="720"/>
        </w:tabs>
        <w:adjustRightInd w:val="0"/>
        <w:snapToGrid w:val="0"/>
        <w:spacing w:after="160"/>
        <w:ind w:left="720" w:hanging="720"/>
        <w:contextualSpacing w:val="0"/>
        <w:jc w:val="both"/>
        <w:rPr>
          <w:b/>
          <w:bCs/>
        </w:rPr>
      </w:pPr>
      <w:r w:rsidRPr="00AA4C5F">
        <w:rPr>
          <w:b/>
          <w:bCs/>
        </w:rPr>
        <w:t xml:space="preserve">ITU’s </w:t>
      </w:r>
      <w:r>
        <w:rPr>
          <w:b/>
          <w:bCs/>
        </w:rPr>
        <w:t>S</w:t>
      </w:r>
      <w:r w:rsidRPr="00AA4C5F">
        <w:rPr>
          <w:b/>
          <w:bCs/>
        </w:rPr>
        <w:t>trategic role in the new normal</w:t>
      </w:r>
    </w:p>
    <w:p w14:paraId="571BAC3D" w14:textId="2F54605D" w:rsidR="00B43627" w:rsidRPr="00AA4C5F" w:rsidRDefault="00B43627" w:rsidP="00B43627">
      <w:pPr>
        <w:pStyle w:val="ListParagraph"/>
        <w:numPr>
          <w:ilvl w:val="1"/>
          <w:numId w:val="7"/>
        </w:numPr>
        <w:tabs>
          <w:tab w:val="left" w:pos="720"/>
        </w:tabs>
        <w:adjustRightInd w:val="0"/>
        <w:snapToGrid w:val="0"/>
        <w:spacing w:after="160"/>
        <w:ind w:left="0" w:firstLine="0"/>
        <w:contextualSpacing w:val="0"/>
        <w:jc w:val="both"/>
        <w:rPr>
          <w:rFonts w:asciiTheme="minorHAnsi" w:hAnsiTheme="minorHAnsi" w:cstheme="minorHAnsi"/>
          <w:szCs w:val="24"/>
        </w:rPr>
      </w:pPr>
      <w:r w:rsidRPr="00AA4C5F">
        <w:rPr>
          <w:rFonts w:asciiTheme="minorHAnsi" w:hAnsiTheme="minorHAnsi" w:cstheme="minorHAnsi"/>
          <w:szCs w:val="24"/>
        </w:rPr>
        <w:t>The COVID-19 crisis has highlighted the critical role of ICTs for continued functioning of societies but has also brought to the fore</w:t>
      </w:r>
      <w:r>
        <w:rPr>
          <w:rFonts w:asciiTheme="minorHAnsi" w:hAnsiTheme="minorHAnsi" w:cstheme="minorHAnsi"/>
          <w:szCs w:val="24"/>
        </w:rPr>
        <w:t>front</w:t>
      </w:r>
      <w:r w:rsidRPr="00AA4C5F">
        <w:rPr>
          <w:rFonts w:asciiTheme="minorHAnsi" w:hAnsiTheme="minorHAnsi" w:cstheme="minorHAnsi"/>
          <w:szCs w:val="24"/>
        </w:rPr>
        <w:t xml:space="preserve"> the startling digital inequalities between and within countries.</w:t>
      </w:r>
      <w:r>
        <w:rPr>
          <w:rFonts w:asciiTheme="minorHAnsi" w:hAnsiTheme="minorHAnsi" w:cstheme="minorHAnsi"/>
          <w:szCs w:val="24"/>
        </w:rPr>
        <w:t xml:space="preserve"> </w:t>
      </w:r>
      <w:r w:rsidRPr="00AA4C5F">
        <w:rPr>
          <w:rFonts w:asciiTheme="minorHAnsi" w:hAnsiTheme="minorHAnsi" w:cstheme="minorHAnsi"/>
          <w:szCs w:val="24"/>
        </w:rPr>
        <w:t xml:space="preserve">Bound by the powerful belief that technology can be a source of good for everyone, ITU Members have stepped up and engaged in activities that have proven essential in saving lives and keeping economies going. </w:t>
      </w:r>
    </w:p>
    <w:p w14:paraId="5BAB77C0" w14:textId="77777777" w:rsidR="00B43627" w:rsidRPr="00AA4C5F" w:rsidRDefault="00B43627" w:rsidP="00B43627">
      <w:pPr>
        <w:pStyle w:val="ListParagraph"/>
        <w:numPr>
          <w:ilvl w:val="1"/>
          <w:numId w:val="7"/>
        </w:numPr>
        <w:tabs>
          <w:tab w:val="left" w:pos="720"/>
        </w:tabs>
        <w:adjustRightInd w:val="0"/>
        <w:snapToGrid w:val="0"/>
        <w:spacing w:after="160"/>
        <w:ind w:left="0" w:firstLine="0"/>
        <w:contextualSpacing w:val="0"/>
        <w:jc w:val="both"/>
        <w:rPr>
          <w:rFonts w:asciiTheme="minorHAnsi" w:hAnsiTheme="minorHAnsi" w:cstheme="minorHAnsi"/>
          <w:szCs w:val="24"/>
        </w:rPr>
      </w:pPr>
      <w:r w:rsidRPr="00AA4C5F">
        <w:rPr>
          <w:rFonts w:asciiTheme="minorHAnsi" w:hAnsiTheme="minorHAnsi" w:cstheme="minorHAnsi"/>
          <w:szCs w:val="24"/>
        </w:rPr>
        <w:t>ITU has been helping countries to fully utilize digital technologies to respond to and recover from COVID-19, and to build preparedness for similar future global emergencies. Now more than ever, the world needs to be able to rely on ICTs and ITU's leadership in promoting universal, secure, reliable</w:t>
      </w:r>
      <w:r>
        <w:rPr>
          <w:rFonts w:asciiTheme="minorHAnsi" w:hAnsiTheme="minorHAnsi" w:cstheme="minorHAnsi"/>
          <w:szCs w:val="24"/>
        </w:rPr>
        <w:t>,</w:t>
      </w:r>
      <w:r w:rsidRPr="00AA4C5F">
        <w:rPr>
          <w:rFonts w:asciiTheme="minorHAnsi" w:hAnsiTheme="minorHAnsi" w:cstheme="minorHAnsi"/>
          <w:szCs w:val="24"/>
        </w:rPr>
        <w:t xml:space="preserve"> and affordable connectivity.</w:t>
      </w:r>
      <w:r>
        <w:rPr>
          <w:rFonts w:asciiTheme="minorHAnsi" w:hAnsiTheme="minorHAnsi" w:cstheme="minorHAnsi"/>
          <w:szCs w:val="24"/>
        </w:rPr>
        <w:t xml:space="preserve"> </w:t>
      </w:r>
    </w:p>
    <w:p w14:paraId="5C1DE78D" w14:textId="7558FF04" w:rsidR="00B43627" w:rsidRPr="00466ED8" w:rsidRDefault="00B43627" w:rsidP="00B43627">
      <w:pPr>
        <w:pStyle w:val="ListParagraph"/>
        <w:numPr>
          <w:ilvl w:val="1"/>
          <w:numId w:val="7"/>
        </w:numPr>
        <w:tabs>
          <w:tab w:val="left" w:pos="720"/>
        </w:tabs>
        <w:adjustRightInd w:val="0"/>
        <w:snapToGrid w:val="0"/>
        <w:spacing w:after="160"/>
        <w:ind w:left="0" w:firstLine="0"/>
        <w:contextualSpacing w:val="0"/>
        <w:jc w:val="both"/>
        <w:rPr>
          <w:rFonts w:asciiTheme="minorHAnsi" w:hAnsiTheme="minorHAnsi" w:cstheme="minorHAnsi"/>
          <w:szCs w:val="24"/>
        </w:rPr>
      </w:pPr>
      <w:r w:rsidRPr="00AA4C5F">
        <w:rPr>
          <w:rFonts w:asciiTheme="minorHAnsi" w:hAnsiTheme="minorHAnsi" w:cstheme="minorHAnsi"/>
          <w:szCs w:val="24"/>
        </w:rPr>
        <w:lastRenderedPageBreak/>
        <w:t>Many international organizations also learned about the importance of ICT</w:t>
      </w:r>
      <w:r>
        <w:rPr>
          <w:rFonts w:asciiTheme="minorHAnsi" w:hAnsiTheme="minorHAnsi" w:cstheme="minorHAnsi"/>
          <w:szCs w:val="24"/>
        </w:rPr>
        <w:t>s</w:t>
      </w:r>
      <w:r w:rsidRPr="00AA4C5F">
        <w:rPr>
          <w:rFonts w:asciiTheme="minorHAnsi" w:hAnsiTheme="minorHAnsi" w:cstheme="minorHAnsi"/>
          <w:szCs w:val="24"/>
        </w:rPr>
        <w:t xml:space="preserve"> in a situation of cris</w:t>
      </w:r>
      <w:r>
        <w:rPr>
          <w:rFonts w:asciiTheme="minorHAnsi" w:hAnsiTheme="minorHAnsi" w:cstheme="minorHAnsi"/>
          <w:szCs w:val="24"/>
        </w:rPr>
        <w:t>i</w:t>
      </w:r>
      <w:r w:rsidRPr="00AA4C5F">
        <w:rPr>
          <w:rFonts w:asciiTheme="minorHAnsi" w:hAnsiTheme="minorHAnsi" w:cstheme="minorHAnsi"/>
          <w:szCs w:val="24"/>
        </w:rPr>
        <w:t xml:space="preserve">s and tried to get mandate for ICT coordination related with their area of responsibility. The crisis </w:t>
      </w:r>
      <w:r w:rsidR="00E43F80">
        <w:rPr>
          <w:rFonts w:asciiTheme="minorHAnsi" w:hAnsiTheme="minorHAnsi" w:cstheme="minorHAnsi"/>
          <w:szCs w:val="24"/>
        </w:rPr>
        <w:t xml:space="preserve">helped the </w:t>
      </w:r>
      <w:r w:rsidRPr="00AA4C5F">
        <w:rPr>
          <w:rFonts w:asciiTheme="minorHAnsi" w:hAnsiTheme="minorHAnsi" w:cstheme="minorHAnsi"/>
          <w:szCs w:val="24"/>
        </w:rPr>
        <w:t>competition</w:t>
      </w:r>
      <w:r w:rsidR="00E43F80">
        <w:rPr>
          <w:rFonts w:asciiTheme="minorHAnsi" w:hAnsiTheme="minorHAnsi" w:cstheme="minorHAnsi"/>
          <w:szCs w:val="24"/>
        </w:rPr>
        <w:t xml:space="preserve"> to grow</w:t>
      </w:r>
      <w:r w:rsidRPr="00AA4C5F">
        <w:rPr>
          <w:rFonts w:asciiTheme="minorHAnsi" w:hAnsiTheme="minorHAnsi" w:cstheme="minorHAnsi"/>
          <w:szCs w:val="24"/>
        </w:rPr>
        <w:t xml:space="preserve"> in the international environment regarding the coordination of different project</w:t>
      </w:r>
      <w:r>
        <w:rPr>
          <w:rFonts w:asciiTheme="minorHAnsi" w:hAnsiTheme="minorHAnsi" w:cstheme="minorHAnsi"/>
          <w:szCs w:val="24"/>
        </w:rPr>
        <w:t>s</w:t>
      </w:r>
      <w:r w:rsidRPr="00AA4C5F">
        <w:rPr>
          <w:rFonts w:asciiTheme="minorHAnsi" w:hAnsiTheme="minorHAnsi" w:cstheme="minorHAnsi"/>
          <w:szCs w:val="24"/>
        </w:rPr>
        <w:t xml:space="preserve"> on connectivity or financing the connectivity. There are initiatives within the ecosystem that create parallel tracks with ITU</w:t>
      </w:r>
      <w:r>
        <w:rPr>
          <w:rFonts w:asciiTheme="minorHAnsi" w:hAnsiTheme="minorHAnsi" w:cstheme="minorHAnsi"/>
          <w:szCs w:val="24"/>
        </w:rPr>
        <w:t>’s</w:t>
      </w:r>
      <w:r w:rsidRPr="00AA4C5F">
        <w:rPr>
          <w:rFonts w:asciiTheme="minorHAnsi" w:hAnsiTheme="minorHAnsi" w:cstheme="minorHAnsi"/>
          <w:szCs w:val="24"/>
        </w:rPr>
        <w:t xml:space="preserve"> mandate on connectivity and digital services delivery</w:t>
      </w:r>
      <w:r w:rsidR="00752D6B">
        <w:rPr>
          <w:rFonts w:asciiTheme="minorHAnsi" w:hAnsiTheme="minorHAnsi" w:cstheme="minorHAnsi"/>
          <w:szCs w:val="24"/>
        </w:rPr>
        <w:t xml:space="preserve"> at the same time creating opportunities to </w:t>
      </w:r>
      <w:r w:rsidR="00D11325">
        <w:rPr>
          <w:rFonts w:asciiTheme="minorHAnsi" w:hAnsiTheme="minorHAnsi" w:cstheme="minorHAnsi"/>
          <w:szCs w:val="24"/>
        </w:rPr>
        <w:t xml:space="preserve">strengthen </w:t>
      </w:r>
      <w:r w:rsidR="001671E1">
        <w:rPr>
          <w:rFonts w:asciiTheme="minorHAnsi" w:hAnsiTheme="minorHAnsi" w:cstheme="minorHAnsi"/>
          <w:szCs w:val="24"/>
        </w:rPr>
        <w:t>ITU’s</w:t>
      </w:r>
      <w:r w:rsidR="00D11325">
        <w:rPr>
          <w:rFonts w:asciiTheme="minorHAnsi" w:hAnsiTheme="minorHAnsi" w:cstheme="minorHAnsi"/>
          <w:szCs w:val="24"/>
        </w:rPr>
        <w:t xml:space="preserve"> role in the ICT environment</w:t>
      </w:r>
      <w:r w:rsidRPr="00AA4C5F">
        <w:rPr>
          <w:rFonts w:asciiTheme="minorHAnsi" w:hAnsiTheme="minorHAnsi" w:cstheme="minorHAnsi"/>
          <w:szCs w:val="24"/>
        </w:rPr>
        <w:t>.</w:t>
      </w:r>
    </w:p>
    <w:p w14:paraId="0248EE28" w14:textId="53019DEF" w:rsidR="00B43627" w:rsidRDefault="00B43627" w:rsidP="00B43627">
      <w:pPr>
        <w:pStyle w:val="ListParagraph"/>
        <w:numPr>
          <w:ilvl w:val="1"/>
          <w:numId w:val="7"/>
        </w:numPr>
        <w:tabs>
          <w:tab w:val="left" w:pos="720"/>
        </w:tabs>
        <w:adjustRightInd w:val="0"/>
        <w:snapToGrid w:val="0"/>
        <w:spacing w:after="160"/>
        <w:ind w:left="0" w:firstLine="0"/>
        <w:contextualSpacing w:val="0"/>
        <w:jc w:val="both"/>
        <w:rPr>
          <w:rFonts w:asciiTheme="minorHAnsi" w:hAnsiTheme="minorHAnsi" w:cstheme="minorHAnsi"/>
          <w:szCs w:val="24"/>
        </w:rPr>
      </w:pPr>
      <w:r>
        <w:rPr>
          <w:rFonts w:asciiTheme="minorHAnsi" w:hAnsiTheme="minorHAnsi" w:cstheme="minorHAnsi"/>
          <w:szCs w:val="24"/>
        </w:rPr>
        <w:t xml:space="preserve">Based on the strengths of ITU with technical expertise and experience in ICTs, the Union needs to clarify its critical roles towards enhancing ICTs to achieve the sustainable development. </w:t>
      </w:r>
      <w:r>
        <w:rPr>
          <w:rFonts w:asciiTheme="minorHAnsi" w:hAnsiTheme="minorHAnsi" w:cstheme="minorHAnsi"/>
          <w:b/>
          <w:bCs/>
          <w:szCs w:val="24"/>
        </w:rPr>
        <w:t xml:space="preserve">The lessons learned </w:t>
      </w:r>
      <w:r>
        <w:rPr>
          <w:rFonts w:asciiTheme="minorHAnsi" w:hAnsiTheme="minorHAnsi" w:cstheme="minorHAnsi"/>
          <w:szCs w:val="24"/>
        </w:rPr>
        <w:t xml:space="preserve">include </w:t>
      </w:r>
      <w:r w:rsidR="00850244">
        <w:rPr>
          <w:rFonts w:asciiTheme="minorHAnsi" w:hAnsiTheme="minorHAnsi" w:cstheme="minorHAnsi"/>
          <w:szCs w:val="24"/>
        </w:rPr>
        <w:t xml:space="preserve">that </w:t>
      </w:r>
      <w:r>
        <w:rPr>
          <w:rFonts w:asciiTheme="minorHAnsi" w:hAnsiTheme="minorHAnsi" w:cstheme="minorHAnsi"/>
          <w:szCs w:val="24"/>
        </w:rPr>
        <w:t xml:space="preserve">it is very important to communicate very well about the services, products, and initiatives that ITU can provide, their importance, and the added value that ITU brings with these services. </w:t>
      </w:r>
      <w:r w:rsidR="00DD4065">
        <w:rPr>
          <w:rFonts w:asciiTheme="minorHAnsi" w:hAnsiTheme="minorHAnsi" w:cstheme="minorHAnsi"/>
          <w:szCs w:val="24"/>
        </w:rPr>
        <w:t xml:space="preserve">Improving existing </w:t>
      </w:r>
      <w:r w:rsidR="005D077B">
        <w:rPr>
          <w:rFonts w:asciiTheme="minorHAnsi" w:hAnsiTheme="minorHAnsi" w:cstheme="minorHAnsi"/>
          <w:szCs w:val="24"/>
        </w:rPr>
        <w:t>capabilities/skills in ITU and t</w:t>
      </w:r>
      <w:r w:rsidR="006755EE">
        <w:rPr>
          <w:rFonts w:asciiTheme="minorHAnsi" w:hAnsiTheme="minorHAnsi" w:cstheme="minorHAnsi"/>
          <w:szCs w:val="24"/>
        </w:rPr>
        <w:t xml:space="preserve">he acquisitions of the skills and expertise needed to </w:t>
      </w:r>
      <w:r w:rsidR="00EC75DB">
        <w:rPr>
          <w:rFonts w:asciiTheme="minorHAnsi" w:hAnsiTheme="minorHAnsi" w:cstheme="minorHAnsi"/>
          <w:szCs w:val="24"/>
        </w:rPr>
        <w:t xml:space="preserve">operate and </w:t>
      </w:r>
      <w:r w:rsidR="00F020B4">
        <w:rPr>
          <w:rFonts w:asciiTheme="minorHAnsi" w:hAnsiTheme="minorHAnsi" w:cstheme="minorHAnsi"/>
          <w:szCs w:val="24"/>
        </w:rPr>
        <w:t xml:space="preserve">face the challenges </w:t>
      </w:r>
      <w:r w:rsidR="006755EE">
        <w:rPr>
          <w:rFonts w:asciiTheme="minorHAnsi" w:hAnsiTheme="minorHAnsi" w:cstheme="minorHAnsi"/>
          <w:szCs w:val="24"/>
        </w:rPr>
        <w:t xml:space="preserve">in the new </w:t>
      </w:r>
      <w:r w:rsidR="00850244">
        <w:rPr>
          <w:rFonts w:asciiTheme="minorHAnsi" w:hAnsiTheme="minorHAnsi" w:cstheme="minorHAnsi"/>
          <w:szCs w:val="24"/>
        </w:rPr>
        <w:t xml:space="preserve">normal </w:t>
      </w:r>
      <w:r w:rsidR="006755EE">
        <w:rPr>
          <w:rFonts w:asciiTheme="minorHAnsi" w:hAnsiTheme="minorHAnsi" w:cstheme="minorHAnsi"/>
          <w:szCs w:val="24"/>
        </w:rPr>
        <w:t xml:space="preserve">will be essential, especially </w:t>
      </w:r>
      <w:r w:rsidR="00546402">
        <w:rPr>
          <w:rFonts w:asciiTheme="minorHAnsi" w:hAnsiTheme="minorHAnsi" w:cstheme="minorHAnsi"/>
          <w:szCs w:val="24"/>
        </w:rPr>
        <w:t>in</w:t>
      </w:r>
      <w:r w:rsidR="006755EE">
        <w:rPr>
          <w:rFonts w:asciiTheme="minorHAnsi" w:hAnsiTheme="minorHAnsi" w:cstheme="minorHAnsi"/>
          <w:szCs w:val="24"/>
        </w:rPr>
        <w:t xml:space="preserve"> the interna</w:t>
      </w:r>
      <w:r w:rsidR="00546402">
        <w:rPr>
          <w:rFonts w:asciiTheme="minorHAnsi" w:hAnsiTheme="minorHAnsi" w:cstheme="minorHAnsi"/>
          <w:szCs w:val="24"/>
        </w:rPr>
        <w:t xml:space="preserve">tional </w:t>
      </w:r>
      <w:r w:rsidR="00F020B4">
        <w:rPr>
          <w:rFonts w:asciiTheme="minorHAnsi" w:hAnsiTheme="minorHAnsi" w:cstheme="minorHAnsi"/>
          <w:szCs w:val="24"/>
        </w:rPr>
        <w:t xml:space="preserve">coordination </w:t>
      </w:r>
      <w:r w:rsidR="00442503">
        <w:rPr>
          <w:rFonts w:asciiTheme="minorHAnsi" w:hAnsiTheme="minorHAnsi" w:cstheme="minorHAnsi"/>
          <w:szCs w:val="24"/>
        </w:rPr>
        <w:t>environment</w:t>
      </w:r>
      <w:r w:rsidR="006755EE">
        <w:rPr>
          <w:rFonts w:asciiTheme="minorHAnsi" w:hAnsiTheme="minorHAnsi" w:cstheme="minorHAnsi"/>
          <w:szCs w:val="24"/>
        </w:rPr>
        <w:t>.</w:t>
      </w:r>
      <w:r>
        <w:rPr>
          <w:rFonts w:asciiTheme="minorHAnsi" w:hAnsiTheme="minorHAnsi" w:cstheme="minorHAnsi"/>
          <w:szCs w:val="24"/>
        </w:rPr>
        <w:t xml:space="preserve"> </w:t>
      </w:r>
      <w:r w:rsidRPr="00143C40">
        <w:rPr>
          <w:rFonts w:asciiTheme="minorHAnsi" w:hAnsiTheme="minorHAnsi" w:cstheme="minorHAnsi"/>
          <w:szCs w:val="24"/>
        </w:rPr>
        <w:t>Having a “One ITU” approach when addressing the new challenges, providing services to the membership and communicating is fundamental to continue to position the organization and its</w:t>
      </w:r>
      <w:r>
        <w:rPr>
          <w:rFonts w:asciiTheme="minorHAnsi" w:hAnsiTheme="minorHAnsi" w:cstheme="minorHAnsi"/>
          <w:szCs w:val="24"/>
        </w:rPr>
        <w:t xml:space="preserve"> mandate. </w:t>
      </w:r>
    </w:p>
    <w:p w14:paraId="42E53784" w14:textId="25C01E64" w:rsidR="00B43627" w:rsidRDefault="00B43627" w:rsidP="00B43627">
      <w:pPr>
        <w:pStyle w:val="ListParagraph"/>
        <w:numPr>
          <w:ilvl w:val="1"/>
          <w:numId w:val="7"/>
        </w:numPr>
        <w:adjustRightInd w:val="0"/>
        <w:snapToGrid w:val="0"/>
        <w:spacing w:after="160"/>
        <w:ind w:left="0" w:firstLine="0"/>
        <w:contextualSpacing w:val="0"/>
        <w:jc w:val="both"/>
        <w:rPr>
          <w:rFonts w:asciiTheme="minorHAnsi" w:hAnsiTheme="minorHAnsi" w:cstheme="minorHAnsi"/>
          <w:szCs w:val="24"/>
        </w:rPr>
      </w:pPr>
      <w:r>
        <w:rPr>
          <w:rFonts w:asciiTheme="minorHAnsi" w:hAnsiTheme="minorHAnsi" w:cstheme="minorHAnsi"/>
          <w:szCs w:val="24"/>
        </w:rPr>
        <w:t xml:space="preserve">Taking into consideration the above-mentioned, the points below </w:t>
      </w:r>
      <w:r w:rsidR="00595689">
        <w:rPr>
          <w:rFonts w:asciiTheme="minorHAnsi" w:hAnsiTheme="minorHAnsi" w:cstheme="minorHAnsi"/>
          <w:szCs w:val="24"/>
        </w:rPr>
        <w:t>are</w:t>
      </w:r>
      <w:r>
        <w:rPr>
          <w:rFonts w:asciiTheme="minorHAnsi" w:hAnsiTheme="minorHAnsi" w:cstheme="minorHAnsi"/>
          <w:szCs w:val="24"/>
        </w:rPr>
        <w:t xml:space="preserve"> proposed to be considered by the Council:  </w:t>
      </w:r>
    </w:p>
    <w:p w14:paraId="6E8FABA1" w14:textId="310E2DEF" w:rsidR="00B43627" w:rsidRDefault="00B43627" w:rsidP="00B43627">
      <w:pPr>
        <w:pStyle w:val="ListParagraph"/>
        <w:numPr>
          <w:ilvl w:val="0"/>
          <w:numId w:val="2"/>
        </w:numPr>
        <w:adjustRightInd w:val="0"/>
        <w:snapToGrid w:val="0"/>
        <w:spacing w:after="160"/>
        <w:contextualSpacing w:val="0"/>
        <w:jc w:val="both"/>
        <w:rPr>
          <w:rFonts w:asciiTheme="minorHAnsi" w:hAnsiTheme="minorHAnsi" w:cstheme="minorHAnsi"/>
          <w:szCs w:val="24"/>
        </w:rPr>
      </w:pPr>
      <w:r>
        <w:rPr>
          <w:rFonts w:asciiTheme="minorHAnsi" w:hAnsiTheme="minorHAnsi" w:cstheme="minorHAnsi"/>
          <w:szCs w:val="24"/>
        </w:rPr>
        <w:t>Invit</w:t>
      </w:r>
      <w:r w:rsidR="00850244">
        <w:rPr>
          <w:rFonts w:asciiTheme="minorHAnsi" w:hAnsiTheme="minorHAnsi" w:cstheme="minorHAnsi"/>
          <w:szCs w:val="24"/>
        </w:rPr>
        <w:t>e</w:t>
      </w:r>
      <w:r>
        <w:rPr>
          <w:rFonts w:asciiTheme="minorHAnsi" w:hAnsiTheme="minorHAnsi" w:cstheme="minorHAnsi"/>
          <w:szCs w:val="24"/>
        </w:rPr>
        <w:t xml:space="preserve"> Member States to share </w:t>
      </w:r>
      <w:r w:rsidRPr="00466ED8">
        <w:rPr>
          <w:rFonts w:asciiTheme="minorHAnsi" w:hAnsiTheme="minorHAnsi" w:cstheme="minorHAnsi"/>
          <w:szCs w:val="24"/>
        </w:rPr>
        <w:t>the expectations in the post-COVID world and how ITU can best deliver against those</w:t>
      </w:r>
      <w:r>
        <w:rPr>
          <w:rFonts w:asciiTheme="minorHAnsi" w:hAnsiTheme="minorHAnsi" w:cstheme="minorHAnsi"/>
          <w:szCs w:val="24"/>
        </w:rPr>
        <w:t xml:space="preserve"> expectations. </w:t>
      </w:r>
    </w:p>
    <w:p w14:paraId="18B826D1" w14:textId="17916F43" w:rsidR="00B43627" w:rsidRPr="00C66C17" w:rsidRDefault="00B43627" w:rsidP="00B43627">
      <w:pPr>
        <w:pStyle w:val="ListParagraph"/>
        <w:numPr>
          <w:ilvl w:val="0"/>
          <w:numId w:val="2"/>
        </w:numPr>
        <w:adjustRightInd w:val="0"/>
        <w:snapToGrid w:val="0"/>
        <w:spacing w:after="160"/>
        <w:contextualSpacing w:val="0"/>
        <w:jc w:val="both"/>
        <w:rPr>
          <w:rFonts w:asciiTheme="minorHAnsi" w:hAnsiTheme="minorHAnsi" w:cstheme="minorHAnsi"/>
          <w:szCs w:val="24"/>
        </w:rPr>
      </w:pPr>
      <w:r w:rsidRPr="00C66C17">
        <w:rPr>
          <w:rFonts w:asciiTheme="minorHAnsi" w:hAnsiTheme="minorHAnsi" w:cstheme="minorHAnsi"/>
          <w:szCs w:val="24"/>
        </w:rPr>
        <w:t xml:space="preserve">Developing a long-term vision about the role of ITU in </w:t>
      </w:r>
      <w:r w:rsidR="00595689">
        <w:rPr>
          <w:rFonts w:asciiTheme="minorHAnsi" w:hAnsiTheme="minorHAnsi" w:cstheme="minorHAnsi"/>
          <w:szCs w:val="24"/>
        </w:rPr>
        <w:t xml:space="preserve">the </w:t>
      </w:r>
      <w:r w:rsidRPr="00C66C17">
        <w:rPr>
          <w:rFonts w:asciiTheme="minorHAnsi" w:hAnsiTheme="minorHAnsi" w:cstheme="minorHAnsi"/>
          <w:szCs w:val="24"/>
        </w:rPr>
        <w:t>post</w:t>
      </w:r>
      <w:r>
        <w:rPr>
          <w:rFonts w:asciiTheme="minorHAnsi" w:hAnsiTheme="minorHAnsi" w:cstheme="minorHAnsi"/>
          <w:szCs w:val="24"/>
        </w:rPr>
        <w:t>-</w:t>
      </w:r>
      <w:r w:rsidRPr="00C66C17">
        <w:rPr>
          <w:rFonts w:asciiTheme="minorHAnsi" w:hAnsiTheme="minorHAnsi" w:cstheme="minorHAnsi"/>
          <w:szCs w:val="24"/>
        </w:rPr>
        <w:t>C</w:t>
      </w:r>
      <w:r>
        <w:rPr>
          <w:rFonts w:asciiTheme="minorHAnsi" w:hAnsiTheme="minorHAnsi" w:cstheme="minorHAnsi"/>
          <w:szCs w:val="24"/>
        </w:rPr>
        <w:t>OVID</w:t>
      </w:r>
      <w:r w:rsidRPr="00C66C17">
        <w:rPr>
          <w:rFonts w:asciiTheme="minorHAnsi" w:hAnsiTheme="minorHAnsi" w:cstheme="minorHAnsi"/>
          <w:szCs w:val="24"/>
        </w:rPr>
        <w:t xml:space="preserve"> world </w:t>
      </w:r>
      <w:r w:rsidR="00605CDD">
        <w:rPr>
          <w:rFonts w:asciiTheme="minorHAnsi" w:hAnsiTheme="minorHAnsi" w:cstheme="minorHAnsi"/>
          <w:szCs w:val="24"/>
        </w:rPr>
        <w:t>and</w:t>
      </w:r>
      <w:r>
        <w:rPr>
          <w:rFonts w:asciiTheme="minorHAnsi" w:hAnsiTheme="minorHAnsi" w:cstheme="minorHAnsi"/>
          <w:szCs w:val="24"/>
        </w:rPr>
        <w:t xml:space="preserve"> given the framework of the development of the new ITU strategic plan for 2024 – 2027, inviting ITU membership to actively participate in the open process to co-create the new strategies for the Union. </w:t>
      </w:r>
    </w:p>
    <w:p w14:paraId="39CBB4E9" w14:textId="5BB30B51" w:rsidR="003B3EB9" w:rsidRDefault="003B3EB9">
      <w:r>
        <w:br w:type="page"/>
      </w:r>
    </w:p>
    <w:p w14:paraId="7EC60AB9" w14:textId="35A44A6D" w:rsidR="00290129" w:rsidRDefault="00B7407E">
      <w:r>
        <w:lastRenderedPageBreak/>
        <w:t>Annex</w:t>
      </w:r>
      <w:r w:rsidR="0037703F">
        <w:t xml:space="preserve"> 1</w:t>
      </w:r>
    </w:p>
    <w:p w14:paraId="542E5733" w14:textId="10D42236" w:rsidR="00B7407E" w:rsidRDefault="00B7407E"/>
    <w:tbl>
      <w:tblPr>
        <w:tblW w:w="6398" w:type="dxa"/>
        <w:tblLook w:val="04A0" w:firstRow="1" w:lastRow="0" w:firstColumn="1" w:lastColumn="0" w:noHBand="0" w:noVBand="1"/>
      </w:tblPr>
      <w:tblGrid>
        <w:gridCol w:w="4762"/>
        <w:gridCol w:w="1636"/>
      </w:tblGrid>
      <w:tr w:rsidR="00B7407E" w:rsidRPr="003A5F45" w14:paraId="33CA225D" w14:textId="77777777" w:rsidTr="003A5F45">
        <w:trPr>
          <w:trHeight w:val="256"/>
        </w:trPr>
        <w:tc>
          <w:tcPr>
            <w:tcW w:w="6398" w:type="dxa"/>
            <w:gridSpan w:val="2"/>
            <w:tcBorders>
              <w:top w:val="nil"/>
              <w:left w:val="nil"/>
              <w:bottom w:val="nil"/>
              <w:right w:val="nil"/>
            </w:tcBorders>
            <w:shd w:val="clear" w:color="auto" w:fill="auto"/>
            <w:noWrap/>
            <w:vAlign w:val="center"/>
            <w:hideMark/>
          </w:tcPr>
          <w:p w14:paraId="3AADACC7" w14:textId="77777777" w:rsidR="00B7407E" w:rsidRPr="003A5F45" w:rsidRDefault="00B7407E" w:rsidP="003A5F45">
            <w:pPr>
              <w:adjustRightInd w:val="0"/>
              <w:snapToGrid w:val="0"/>
              <w:spacing w:after="160"/>
              <w:jc w:val="both"/>
              <w:rPr>
                <w:rFonts w:asciiTheme="minorHAnsi" w:hAnsiTheme="minorHAnsi" w:cstheme="minorHAnsi"/>
                <w:b/>
                <w:bCs/>
                <w:color w:val="002060"/>
                <w:sz w:val="28"/>
                <w:szCs w:val="28"/>
              </w:rPr>
            </w:pPr>
            <w:r w:rsidRPr="00842B29">
              <w:rPr>
                <w:rFonts w:asciiTheme="minorHAnsi" w:hAnsiTheme="minorHAnsi" w:cstheme="minorHAnsi"/>
                <w:b/>
                <w:bCs/>
                <w:color w:val="002060"/>
                <w:sz w:val="28"/>
                <w:szCs w:val="28"/>
              </w:rPr>
              <w:t>COVID</w:t>
            </w:r>
            <w:r w:rsidRPr="003A5F45">
              <w:rPr>
                <w:rFonts w:asciiTheme="minorHAnsi" w:hAnsiTheme="minorHAnsi" w:cstheme="minorHAnsi"/>
                <w:b/>
                <w:bCs/>
                <w:color w:val="002060"/>
                <w:sz w:val="28"/>
                <w:szCs w:val="28"/>
              </w:rPr>
              <w:t>-19 2020 related expenses</w:t>
            </w:r>
          </w:p>
        </w:tc>
      </w:tr>
      <w:tr w:rsidR="00B7407E" w:rsidRPr="003A5F45" w14:paraId="768C74A6" w14:textId="77777777" w:rsidTr="003A5F45">
        <w:trPr>
          <w:trHeight w:val="465"/>
        </w:trPr>
        <w:tc>
          <w:tcPr>
            <w:tcW w:w="4762" w:type="dxa"/>
            <w:tcBorders>
              <w:top w:val="nil"/>
              <w:left w:val="nil"/>
              <w:bottom w:val="nil"/>
              <w:right w:val="nil"/>
            </w:tcBorders>
            <w:shd w:val="clear" w:color="auto" w:fill="auto"/>
            <w:noWrap/>
            <w:vAlign w:val="center"/>
            <w:hideMark/>
          </w:tcPr>
          <w:p w14:paraId="6C951BFB" w14:textId="77777777" w:rsidR="00B7407E" w:rsidRPr="003A5F45" w:rsidRDefault="00B7407E" w:rsidP="003A5F45">
            <w:pPr>
              <w:adjustRightInd w:val="0"/>
              <w:snapToGrid w:val="0"/>
              <w:spacing w:after="160"/>
              <w:jc w:val="both"/>
              <w:rPr>
                <w:rFonts w:asciiTheme="minorHAnsi" w:hAnsiTheme="minorHAnsi" w:cstheme="minorHAnsi"/>
                <w:b/>
                <w:bCs/>
                <w:color w:val="002060"/>
                <w:sz w:val="36"/>
                <w:szCs w:val="36"/>
              </w:rPr>
            </w:pPr>
          </w:p>
        </w:tc>
        <w:tc>
          <w:tcPr>
            <w:tcW w:w="1636" w:type="dxa"/>
            <w:tcBorders>
              <w:top w:val="nil"/>
              <w:left w:val="nil"/>
              <w:bottom w:val="nil"/>
              <w:right w:val="nil"/>
            </w:tcBorders>
            <w:shd w:val="clear" w:color="auto" w:fill="auto"/>
            <w:noWrap/>
            <w:vAlign w:val="center"/>
            <w:hideMark/>
          </w:tcPr>
          <w:p w14:paraId="2F5F4FFD" w14:textId="77777777" w:rsidR="00B7407E" w:rsidRPr="003A5F45" w:rsidRDefault="00B7407E" w:rsidP="003A5F45">
            <w:pPr>
              <w:adjustRightInd w:val="0"/>
              <w:snapToGrid w:val="0"/>
              <w:spacing w:after="160"/>
              <w:jc w:val="both"/>
              <w:rPr>
                <w:rFonts w:asciiTheme="minorHAnsi" w:hAnsiTheme="minorHAnsi" w:cstheme="minorHAnsi"/>
                <w:sz w:val="20"/>
              </w:rPr>
            </w:pPr>
          </w:p>
        </w:tc>
      </w:tr>
      <w:tr w:rsidR="00B7407E" w:rsidRPr="003A5F45" w14:paraId="28C34B69" w14:textId="77777777" w:rsidTr="003A5F45">
        <w:trPr>
          <w:trHeight w:val="405"/>
        </w:trPr>
        <w:tc>
          <w:tcPr>
            <w:tcW w:w="4762" w:type="dxa"/>
            <w:tcBorders>
              <w:top w:val="nil"/>
              <w:left w:val="nil"/>
              <w:bottom w:val="nil"/>
              <w:right w:val="nil"/>
            </w:tcBorders>
            <w:shd w:val="clear" w:color="auto" w:fill="auto"/>
            <w:noWrap/>
            <w:vAlign w:val="center"/>
            <w:hideMark/>
          </w:tcPr>
          <w:p w14:paraId="0563F90C" w14:textId="77777777" w:rsidR="00B7407E" w:rsidRPr="003A5F45" w:rsidRDefault="00B7407E" w:rsidP="003A5F45">
            <w:pPr>
              <w:adjustRightInd w:val="0"/>
              <w:snapToGrid w:val="0"/>
              <w:spacing w:after="160"/>
              <w:jc w:val="both"/>
              <w:rPr>
                <w:rFonts w:asciiTheme="minorHAnsi" w:hAnsiTheme="minorHAnsi" w:cstheme="minorHAnsi"/>
                <w:sz w:val="20"/>
              </w:rPr>
            </w:pPr>
          </w:p>
        </w:tc>
        <w:tc>
          <w:tcPr>
            <w:tcW w:w="1636" w:type="dxa"/>
            <w:tcBorders>
              <w:top w:val="nil"/>
              <w:left w:val="nil"/>
              <w:bottom w:val="nil"/>
              <w:right w:val="nil"/>
            </w:tcBorders>
            <w:shd w:val="clear" w:color="auto" w:fill="auto"/>
            <w:noWrap/>
            <w:vAlign w:val="bottom"/>
            <w:hideMark/>
          </w:tcPr>
          <w:p w14:paraId="6755F4D5" w14:textId="77777777" w:rsidR="00B7407E" w:rsidRPr="003A5F45" w:rsidRDefault="00B7407E" w:rsidP="003A5F45">
            <w:pPr>
              <w:adjustRightInd w:val="0"/>
              <w:snapToGrid w:val="0"/>
              <w:spacing w:after="160"/>
              <w:jc w:val="both"/>
              <w:rPr>
                <w:rFonts w:asciiTheme="minorHAnsi" w:hAnsiTheme="minorHAnsi" w:cstheme="minorHAnsi"/>
                <w:sz w:val="20"/>
              </w:rPr>
            </w:pPr>
          </w:p>
          <w:tbl>
            <w:tblPr>
              <w:tblW w:w="0" w:type="auto"/>
              <w:tblCellSpacing w:w="0" w:type="dxa"/>
              <w:tblCellMar>
                <w:left w:w="0" w:type="dxa"/>
                <w:right w:w="0" w:type="dxa"/>
              </w:tblCellMar>
              <w:tblLook w:val="04A0" w:firstRow="1" w:lastRow="0" w:firstColumn="1" w:lastColumn="0" w:noHBand="0" w:noVBand="1"/>
            </w:tblPr>
            <w:tblGrid>
              <w:gridCol w:w="1420"/>
            </w:tblGrid>
            <w:tr w:rsidR="00B7407E" w:rsidRPr="003A5F45" w14:paraId="47BDC6E6" w14:textId="77777777" w:rsidTr="003A5F45">
              <w:trPr>
                <w:trHeight w:val="405"/>
                <w:tblCellSpacing w:w="0" w:type="dxa"/>
              </w:trPr>
              <w:tc>
                <w:tcPr>
                  <w:tcW w:w="1420" w:type="dxa"/>
                  <w:tcBorders>
                    <w:top w:val="nil"/>
                    <w:left w:val="nil"/>
                    <w:bottom w:val="nil"/>
                    <w:right w:val="nil"/>
                  </w:tcBorders>
                  <w:shd w:val="clear" w:color="auto" w:fill="auto"/>
                  <w:noWrap/>
                  <w:vAlign w:val="center"/>
                  <w:hideMark/>
                </w:tcPr>
                <w:p w14:paraId="679E8769" w14:textId="77777777" w:rsidR="00B7407E" w:rsidRPr="003A5F45" w:rsidRDefault="00B7407E" w:rsidP="003A5F45">
                  <w:pPr>
                    <w:adjustRightInd w:val="0"/>
                    <w:snapToGrid w:val="0"/>
                    <w:spacing w:after="160"/>
                    <w:jc w:val="both"/>
                    <w:rPr>
                      <w:rFonts w:asciiTheme="minorHAnsi" w:hAnsiTheme="minorHAnsi" w:cstheme="minorHAnsi"/>
                      <w:b/>
                      <w:bCs/>
                      <w:i/>
                      <w:iCs/>
                      <w:color w:val="0070C0"/>
                      <w:sz w:val="20"/>
                    </w:rPr>
                  </w:pPr>
                  <w:r w:rsidRPr="003A5F45">
                    <w:rPr>
                      <w:rFonts w:asciiTheme="minorHAnsi" w:hAnsiTheme="minorHAnsi" w:cstheme="minorHAnsi"/>
                      <w:b/>
                      <w:bCs/>
                      <w:i/>
                      <w:iCs/>
                      <w:color w:val="0070C0"/>
                      <w:sz w:val="20"/>
                    </w:rPr>
                    <w:t>000CHF</w:t>
                  </w:r>
                </w:p>
              </w:tc>
            </w:tr>
          </w:tbl>
          <w:p w14:paraId="568433C7" w14:textId="77777777" w:rsidR="00B7407E" w:rsidRPr="003A5F45" w:rsidRDefault="00B7407E" w:rsidP="003A5F45">
            <w:pPr>
              <w:adjustRightInd w:val="0"/>
              <w:snapToGrid w:val="0"/>
              <w:spacing w:after="160"/>
              <w:jc w:val="both"/>
              <w:rPr>
                <w:rFonts w:asciiTheme="minorHAnsi" w:hAnsiTheme="minorHAnsi" w:cstheme="minorHAnsi"/>
                <w:sz w:val="20"/>
              </w:rPr>
            </w:pPr>
          </w:p>
        </w:tc>
      </w:tr>
      <w:tr w:rsidR="00B7407E" w:rsidRPr="003A5F45" w14:paraId="0B8B4CF7" w14:textId="77777777" w:rsidTr="003A5F45">
        <w:trPr>
          <w:trHeight w:val="240"/>
        </w:trPr>
        <w:tc>
          <w:tcPr>
            <w:tcW w:w="4762" w:type="dxa"/>
            <w:tcBorders>
              <w:top w:val="nil"/>
              <w:left w:val="nil"/>
              <w:bottom w:val="nil"/>
              <w:right w:val="nil"/>
            </w:tcBorders>
            <w:shd w:val="clear" w:color="auto" w:fill="auto"/>
            <w:noWrap/>
            <w:vAlign w:val="center"/>
            <w:hideMark/>
          </w:tcPr>
          <w:p w14:paraId="6730C71F" w14:textId="77777777" w:rsidR="00B7407E" w:rsidRPr="003A5F45" w:rsidRDefault="00B7407E" w:rsidP="003A5F45">
            <w:pPr>
              <w:adjustRightInd w:val="0"/>
              <w:snapToGrid w:val="0"/>
              <w:spacing w:after="160"/>
              <w:jc w:val="both"/>
              <w:rPr>
                <w:rFonts w:asciiTheme="minorHAnsi" w:hAnsiTheme="minorHAnsi" w:cstheme="minorHAnsi"/>
                <w:sz w:val="20"/>
              </w:rPr>
            </w:pPr>
          </w:p>
        </w:tc>
        <w:tc>
          <w:tcPr>
            <w:tcW w:w="1636" w:type="dxa"/>
            <w:tcBorders>
              <w:top w:val="nil"/>
              <w:left w:val="nil"/>
              <w:bottom w:val="nil"/>
              <w:right w:val="nil"/>
            </w:tcBorders>
            <w:shd w:val="clear" w:color="auto" w:fill="auto"/>
            <w:noWrap/>
            <w:vAlign w:val="center"/>
            <w:hideMark/>
          </w:tcPr>
          <w:p w14:paraId="5553D125" w14:textId="77777777" w:rsidR="00B7407E" w:rsidRPr="003A5F45" w:rsidRDefault="00B7407E" w:rsidP="003A5F45">
            <w:pPr>
              <w:adjustRightInd w:val="0"/>
              <w:snapToGrid w:val="0"/>
              <w:spacing w:after="160"/>
              <w:jc w:val="both"/>
              <w:rPr>
                <w:rFonts w:asciiTheme="minorHAnsi" w:hAnsiTheme="minorHAnsi" w:cstheme="minorHAnsi"/>
                <w:sz w:val="20"/>
              </w:rPr>
            </w:pPr>
          </w:p>
        </w:tc>
      </w:tr>
      <w:tr w:rsidR="00B7407E" w:rsidRPr="003A5F45" w14:paraId="2F5BD8C3" w14:textId="77777777" w:rsidTr="003A5F45">
        <w:trPr>
          <w:trHeight w:val="263"/>
        </w:trPr>
        <w:tc>
          <w:tcPr>
            <w:tcW w:w="4762" w:type="dxa"/>
            <w:tcBorders>
              <w:top w:val="nil"/>
              <w:left w:val="nil"/>
              <w:bottom w:val="nil"/>
              <w:right w:val="nil"/>
            </w:tcBorders>
            <w:shd w:val="clear" w:color="auto" w:fill="auto"/>
            <w:noWrap/>
            <w:vAlign w:val="center"/>
            <w:hideMark/>
          </w:tcPr>
          <w:p w14:paraId="7A144F02" w14:textId="77777777" w:rsidR="00B7407E" w:rsidRPr="003A5F45" w:rsidRDefault="00B7407E" w:rsidP="003A5F45">
            <w:pPr>
              <w:adjustRightInd w:val="0"/>
              <w:snapToGrid w:val="0"/>
              <w:spacing w:after="160"/>
              <w:jc w:val="both"/>
              <w:rPr>
                <w:rFonts w:asciiTheme="minorHAnsi" w:hAnsiTheme="minorHAnsi" w:cstheme="minorHAnsi"/>
                <w:sz w:val="20"/>
              </w:rPr>
            </w:pPr>
          </w:p>
        </w:tc>
        <w:tc>
          <w:tcPr>
            <w:tcW w:w="1636" w:type="dxa"/>
            <w:tcBorders>
              <w:top w:val="nil"/>
              <w:left w:val="nil"/>
              <w:bottom w:val="nil"/>
              <w:right w:val="nil"/>
            </w:tcBorders>
            <w:shd w:val="clear" w:color="auto" w:fill="auto"/>
            <w:noWrap/>
            <w:vAlign w:val="center"/>
            <w:hideMark/>
          </w:tcPr>
          <w:p w14:paraId="7827F12A" w14:textId="77777777" w:rsidR="00B7407E" w:rsidRPr="003A5F45" w:rsidRDefault="00B7407E" w:rsidP="003A5F45">
            <w:pPr>
              <w:adjustRightInd w:val="0"/>
              <w:snapToGrid w:val="0"/>
              <w:spacing w:after="160"/>
              <w:jc w:val="both"/>
              <w:rPr>
                <w:rFonts w:asciiTheme="minorHAnsi" w:hAnsiTheme="minorHAnsi" w:cstheme="minorHAnsi"/>
                <w:b/>
                <w:bCs/>
                <w:color w:val="002060"/>
                <w:sz w:val="20"/>
              </w:rPr>
            </w:pPr>
            <w:r w:rsidRPr="003A5F45">
              <w:rPr>
                <w:rFonts w:asciiTheme="minorHAnsi" w:hAnsiTheme="minorHAnsi" w:cstheme="minorHAnsi"/>
                <w:b/>
                <w:bCs/>
                <w:color w:val="002060"/>
                <w:sz w:val="20"/>
              </w:rPr>
              <w:t>Actual 2020</w:t>
            </w:r>
          </w:p>
        </w:tc>
      </w:tr>
      <w:tr w:rsidR="00B7407E" w:rsidRPr="003A5F45" w14:paraId="70CE50C1" w14:textId="77777777" w:rsidTr="003A5F45">
        <w:trPr>
          <w:trHeight w:val="263"/>
        </w:trPr>
        <w:tc>
          <w:tcPr>
            <w:tcW w:w="4762" w:type="dxa"/>
            <w:tcBorders>
              <w:top w:val="nil"/>
              <w:left w:val="nil"/>
              <w:bottom w:val="single" w:sz="4" w:space="0" w:color="auto"/>
              <w:right w:val="nil"/>
            </w:tcBorders>
            <w:shd w:val="clear" w:color="auto" w:fill="auto"/>
            <w:noWrap/>
            <w:vAlign w:val="center"/>
            <w:hideMark/>
          </w:tcPr>
          <w:p w14:paraId="71977818" w14:textId="77777777" w:rsidR="00B7407E" w:rsidRPr="003A5F45" w:rsidRDefault="00B7407E" w:rsidP="003A5F45">
            <w:pPr>
              <w:adjustRightInd w:val="0"/>
              <w:snapToGrid w:val="0"/>
              <w:spacing w:after="160"/>
              <w:jc w:val="both"/>
              <w:rPr>
                <w:rFonts w:asciiTheme="minorHAnsi" w:hAnsiTheme="minorHAnsi" w:cstheme="minorHAnsi"/>
                <w:b/>
                <w:bCs/>
                <w:color w:val="0033CC"/>
                <w:sz w:val="20"/>
              </w:rPr>
            </w:pPr>
            <w:r w:rsidRPr="003A5F45">
              <w:rPr>
                <w:rFonts w:asciiTheme="minorHAnsi" w:hAnsiTheme="minorHAnsi" w:cstheme="minorHAnsi"/>
                <w:b/>
                <w:bCs/>
                <w:color w:val="0033CC"/>
                <w:sz w:val="20"/>
              </w:rPr>
              <w:t> </w:t>
            </w:r>
          </w:p>
        </w:tc>
        <w:tc>
          <w:tcPr>
            <w:tcW w:w="1636" w:type="dxa"/>
            <w:tcBorders>
              <w:top w:val="nil"/>
              <w:left w:val="nil"/>
              <w:bottom w:val="single" w:sz="4" w:space="0" w:color="auto"/>
              <w:right w:val="nil"/>
            </w:tcBorders>
            <w:shd w:val="clear" w:color="auto" w:fill="auto"/>
            <w:vAlign w:val="center"/>
            <w:hideMark/>
          </w:tcPr>
          <w:p w14:paraId="5AE726F4" w14:textId="77777777" w:rsidR="00B7407E" w:rsidRPr="003A5F45" w:rsidRDefault="00B7407E" w:rsidP="003A5F45">
            <w:pPr>
              <w:adjustRightInd w:val="0"/>
              <w:snapToGrid w:val="0"/>
              <w:spacing w:after="160"/>
              <w:jc w:val="both"/>
              <w:rPr>
                <w:rFonts w:asciiTheme="minorHAnsi" w:hAnsiTheme="minorHAnsi" w:cstheme="minorHAnsi"/>
                <w:b/>
                <w:bCs/>
                <w:color w:val="002060"/>
                <w:sz w:val="20"/>
              </w:rPr>
            </w:pPr>
            <w:r w:rsidRPr="003A5F45">
              <w:rPr>
                <w:rFonts w:asciiTheme="minorHAnsi" w:hAnsiTheme="minorHAnsi" w:cstheme="minorHAnsi"/>
                <w:b/>
                <w:bCs/>
                <w:color w:val="002060"/>
                <w:sz w:val="20"/>
              </w:rPr>
              <w:t> </w:t>
            </w:r>
          </w:p>
        </w:tc>
      </w:tr>
      <w:tr w:rsidR="00B7407E" w:rsidRPr="003A5F45" w14:paraId="2450AF71" w14:textId="77777777" w:rsidTr="003A5F45">
        <w:trPr>
          <w:trHeight w:val="280"/>
        </w:trPr>
        <w:tc>
          <w:tcPr>
            <w:tcW w:w="4762" w:type="dxa"/>
            <w:tcBorders>
              <w:top w:val="nil"/>
              <w:left w:val="nil"/>
              <w:bottom w:val="nil"/>
              <w:right w:val="nil"/>
            </w:tcBorders>
            <w:shd w:val="clear" w:color="auto" w:fill="auto"/>
            <w:vAlign w:val="center"/>
            <w:hideMark/>
          </w:tcPr>
          <w:p w14:paraId="35FCEE74" w14:textId="77777777" w:rsidR="00B7407E" w:rsidRPr="003A5F45" w:rsidRDefault="00B7407E" w:rsidP="003A5F45">
            <w:pPr>
              <w:adjustRightInd w:val="0"/>
              <w:snapToGrid w:val="0"/>
              <w:spacing w:after="160"/>
              <w:jc w:val="both"/>
              <w:rPr>
                <w:rFonts w:asciiTheme="minorHAnsi" w:hAnsiTheme="minorHAnsi" w:cstheme="minorHAnsi"/>
                <w:sz w:val="20"/>
              </w:rPr>
            </w:pPr>
            <w:r w:rsidRPr="003A5F45">
              <w:rPr>
                <w:rFonts w:asciiTheme="minorHAnsi" w:hAnsiTheme="minorHAnsi" w:cstheme="minorHAnsi"/>
                <w:sz w:val="20"/>
              </w:rPr>
              <w:t>Medical advisor full time + psychologist</w:t>
            </w:r>
          </w:p>
        </w:tc>
        <w:tc>
          <w:tcPr>
            <w:tcW w:w="1636" w:type="dxa"/>
            <w:tcBorders>
              <w:top w:val="nil"/>
              <w:left w:val="nil"/>
              <w:bottom w:val="nil"/>
              <w:right w:val="nil"/>
            </w:tcBorders>
            <w:shd w:val="clear" w:color="auto" w:fill="auto"/>
            <w:noWrap/>
            <w:vAlign w:val="center"/>
            <w:hideMark/>
          </w:tcPr>
          <w:p w14:paraId="4354B92C" w14:textId="77777777" w:rsidR="00B7407E" w:rsidRPr="003A5F45" w:rsidRDefault="00B7407E" w:rsidP="003A5F45">
            <w:pPr>
              <w:adjustRightInd w:val="0"/>
              <w:snapToGrid w:val="0"/>
              <w:spacing w:after="160"/>
              <w:jc w:val="both"/>
              <w:rPr>
                <w:rFonts w:asciiTheme="minorHAnsi" w:hAnsiTheme="minorHAnsi" w:cstheme="minorHAnsi"/>
                <w:color w:val="002060"/>
                <w:sz w:val="20"/>
              </w:rPr>
            </w:pPr>
            <w:r w:rsidRPr="003A5F45">
              <w:rPr>
                <w:rFonts w:asciiTheme="minorHAnsi" w:hAnsiTheme="minorHAnsi" w:cstheme="minorHAnsi"/>
                <w:color w:val="002060"/>
                <w:sz w:val="20"/>
              </w:rPr>
              <w:t>169</w:t>
            </w:r>
          </w:p>
        </w:tc>
      </w:tr>
      <w:tr w:rsidR="00B7407E" w:rsidRPr="003A5F45" w14:paraId="6D465D09" w14:textId="77777777" w:rsidTr="003A5F45">
        <w:trPr>
          <w:trHeight w:val="280"/>
        </w:trPr>
        <w:tc>
          <w:tcPr>
            <w:tcW w:w="4762" w:type="dxa"/>
            <w:tcBorders>
              <w:top w:val="nil"/>
              <w:left w:val="nil"/>
              <w:bottom w:val="nil"/>
              <w:right w:val="nil"/>
            </w:tcBorders>
            <w:shd w:val="clear" w:color="auto" w:fill="auto"/>
            <w:vAlign w:val="center"/>
            <w:hideMark/>
          </w:tcPr>
          <w:p w14:paraId="46674F74" w14:textId="77777777" w:rsidR="00B7407E" w:rsidRPr="003A5F45" w:rsidRDefault="00B7407E" w:rsidP="003A5F45">
            <w:pPr>
              <w:adjustRightInd w:val="0"/>
              <w:snapToGrid w:val="0"/>
              <w:spacing w:after="160"/>
              <w:jc w:val="both"/>
              <w:rPr>
                <w:rFonts w:asciiTheme="minorHAnsi" w:hAnsiTheme="minorHAnsi" w:cstheme="minorHAnsi"/>
                <w:sz w:val="20"/>
              </w:rPr>
            </w:pPr>
            <w:r w:rsidRPr="003A5F45">
              <w:rPr>
                <w:rFonts w:asciiTheme="minorHAnsi" w:hAnsiTheme="minorHAnsi" w:cstheme="minorHAnsi"/>
                <w:sz w:val="20"/>
              </w:rPr>
              <w:t>Infrared cameras and other equipment</w:t>
            </w:r>
          </w:p>
        </w:tc>
        <w:tc>
          <w:tcPr>
            <w:tcW w:w="1636" w:type="dxa"/>
            <w:tcBorders>
              <w:top w:val="nil"/>
              <w:left w:val="nil"/>
              <w:bottom w:val="nil"/>
              <w:right w:val="nil"/>
            </w:tcBorders>
            <w:shd w:val="clear" w:color="auto" w:fill="auto"/>
            <w:noWrap/>
            <w:vAlign w:val="center"/>
            <w:hideMark/>
          </w:tcPr>
          <w:p w14:paraId="045FE0F9" w14:textId="77777777" w:rsidR="00B7407E" w:rsidRPr="003A5F45" w:rsidRDefault="00B7407E" w:rsidP="003A5F45">
            <w:pPr>
              <w:adjustRightInd w:val="0"/>
              <w:snapToGrid w:val="0"/>
              <w:spacing w:after="160"/>
              <w:jc w:val="both"/>
              <w:rPr>
                <w:rFonts w:asciiTheme="minorHAnsi" w:hAnsiTheme="minorHAnsi" w:cstheme="minorHAnsi"/>
                <w:color w:val="002060"/>
                <w:sz w:val="20"/>
              </w:rPr>
            </w:pPr>
            <w:r w:rsidRPr="003A5F45">
              <w:rPr>
                <w:rFonts w:asciiTheme="minorHAnsi" w:hAnsiTheme="minorHAnsi" w:cstheme="minorHAnsi"/>
                <w:color w:val="002060"/>
                <w:sz w:val="20"/>
              </w:rPr>
              <w:t>130</w:t>
            </w:r>
          </w:p>
        </w:tc>
      </w:tr>
      <w:tr w:rsidR="00B7407E" w:rsidRPr="003A5F45" w14:paraId="5935D45B" w14:textId="77777777" w:rsidTr="003A5F45">
        <w:trPr>
          <w:trHeight w:val="280"/>
        </w:trPr>
        <w:tc>
          <w:tcPr>
            <w:tcW w:w="4762" w:type="dxa"/>
            <w:tcBorders>
              <w:top w:val="nil"/>
              <w:left w:val="nil"/>
              <w:bottom w:val="nil"/>
              <w:right w:val="nil"/>
            </w:tcBorders>
            <w:shd w:val="clear" w:color="auto" w:fill="auto"/>
            <w:vAlign w:val="center"/>
            <w:hideMark/>
          </w:tcPr>
          <w:p w14:paraId="3F6C2565" w14:textId="77777777" w:rsidR="00B7407E" w:rsidRPr="003A5F45" w:rsidRDefault="00B7407E" w:rsidP="003A5F45">
            <w:pPr>
              <w:adjustRightInd w:val="0"/>
              <w:snapToGrid w:val="0"/>
              <w:spacing w:after="160"/>
              <w:jc w:val="both"/>
              <w:rPr>
                <w:rFonts w:asciiTheme="minorHAnsi" w:hAnsiTheme="minorHAnsi" w:cstheme="minorHAnsi"/>
                <w:sz w:val="20"/>
              </w:rPr>
            </w:pPr>
            <w:r w:rsidRPr="003A5F45">
              <w:rPr>
                <w:rFonts w:asciiTheme="minorHAnsi" w:hAnsiTheme="minorHAnsi" w:cstheme="minorHAnsi"/>
                <w:sz w:val="20"/>
              </w:rPr>
              <w:t>Supplies (Masks, hydroalcoholic gel, …)</w:t>
            </w:r>
          </w:p>
        </w:tc>
        <w:tc>
          <w:tcPr>
            <w:tcW w:w="1636" w:type="dxa"/>
            <w:tcBorders>
              <w:top w:val="nil"/>
              <w:left w:val="nil"/>
              <w:bottom w:val="nil"/>
              <w:right w:val="nil"/>
            </w:tcBorders>
            <w:shd w:val="clear" w:color="auto" w:fill="auto"/>
            <w:noWrap/>
            <w:vAlign w:val="center"/>
            <w:hideMark/>
          </w:tcPr>
          <w:p w14:paraId="32E368BC" w14:textId="77777777" w:rsidR="00B7407E" w:rsidRPr="003A5F45" w:rsidRDefault="00B7407E" w:rsidP="003A5F45">
            <w:pPr>
              <w:adjustRightInd w:val="0"/>
              <w:snapToGrid w:val="0"/>
              <w:spacing w:after="160"/>
              <w:jc w:val="both"/>
              <w:rPr>
                <w:rFonts w:asciiTheme="minorHAnsi" w:hAnsiTheme="minorHAnsi" w:cstheme="minorHAnsi"/>
                <w:color w:val="002060"/>
                <w:sz w:val="20"/>
              </w:rPr>
            </w:pPr>
            <w:r w:rsidRPr="003A5F45">
              <w:rPr>
                <w:rFonts w:asciiTheme="minorHAnsi" w:hAnsiTheme="minorHAnsi" w:cstheme="minorHAnsi"/>
                <w:color w:val="002060"/>
                <w:sz w:val="20"/>
              </w:rPr>
              <w:t>108</w:t>
            </w:r>
          </w:p>
        </w:tc>
      </w:tr>
      <w:tr w:rsidR="00B7407E" w:rsidRPr="003A5F45" w14:paraId="39DC9B1D" w14:textId="77777777" w:rsidTr="003A5F45">
        <w:trPr>
          <w:trHeight w:val="280"/>
        </w:trPr>
        <w:tc>
          <w:tcPr>
            <w:tcW w:w="4762" w:type="dxa"/>
            <w:tcBorders>
              <w:top w:val="nil"/>
              <w:left w:val="nil"/>
              <w:bottom w:val="nil"/>
              <w:right w:val="nil"/>
            </w:tcBorders>
            <w:shd w:val="clear" w:color="auto" w:fill="auto"/>
            <w:vAlign w:val="center"/>
            <w:hideMark/>
          </w:tcPr>
          <w:p w14:paraId="01207BA8" w14:textId="77777777" w:rsidR="00B7407E" w:rsidRPr="003A5F45" w:rsidRDefault="00B7407E" w:rsidP="003A5F45">
            <w:pPr>
              <w:adjustRightInd w:val="0"/>
              <w:snapToGrid w:val="0"/>
              <w:spacing w:after="160"/>
              <w:jc w:val="both"/>
              <w:rPr>
                <w:rFonts w:asciiTheme="minorHAnsi" w:hAnsiTheme="minorHAnsi" w:cstheme="minorHAnsi"/>
                <w:sz w:val="20"/>
              </w:rPr>
            </w:pPr>
            <w:r w:rsidRPr="003A5F45">
              <w:rPr>
                <w:rFonts w:asciiTheme="minorHAnsi" w:hAnsiTheme="minorHAnsi" w:cstheme="minorHAnsi"/>
                <w:sz w:val="20"/>
              </w:rPr>
              <w:t>Software (security)</w:t>
            </w:r>
          </w:p>
        </w:tc>
        <w:tc>
          <w:tcPr>
            <w:tcW w:w="1636" w:type="dxa"/>
            <w:tcBorders>
              <w:top w:val="nil"/>
              <w:left w:val="nil"/>
              <w:bottom w:val="nil"/>
              <w:right w:val="nil"/>
            </w:tcBorders>
            <w:shd w:val="clear" w:color="auto" w:fill="auto"/>
            <w:noWrap/>
            <w:vAlign w:val="center"/>
            <w:hideMark/>
          </w:tcPr>
          <w:p w14:paraId="56349247" w14:textId="77777777" w:rsidR="00B7407E" w:rsidRPr="003A5F45" w:rsidRDefault="00B7407E" w:rsidP="003A5F45">
            <w:pPr>
              <w:adjustRightInd w:val="0"/>
              <w:snapToGrid w:val="0"/>
              <w:spacing w:after="160"/>
              <w:jc w:val="both"/>
              <w:rPr>
                <w:rFonts w:asciiTheme="minorHAnsi" w:hAnsiTheme="minorHAnsi" w:cstheme="minorHAnsi"/>
                <w:color w:val="002060"/>
                <w:sz w:val="20"/>
              </w:rPr>
            </w:pPr>
            <w:r w:rsidRPr="003A5F45">
              <w:rPr>
                <w:rFonts w:asciiTheme="minorHAnsi" w:hAnsiTheme="minorHAnsi" w:cstheme="minorHAnsi"/>
                <w:color w:val="002060"/>
                <w:sz w:val="20"/>
              </w:rPr>
              <w:t>21</w:t>
            </w:r>
          </w:p>
        </w:tc>
      </w:tr>
      <w:tr w:rsidR="00B7407E" w:rsidRPr="003A5F45" w14:paraId="658F2FC1" w14:textId="77777777" w:rsidTr="003A5F45">
        <w:trPr>
          <w:trHeight w:val="280"/>
        </w:trPr>
        <w:tc>
          <w:tcPr>
            <w:tcW w:w="4762" w:type="dxa"/>
            <w:tcBorders>
              <w:top w:val="nil"/>
              <w:left w:val="nil"/>
              <w:bottom w:val="nil"/>
              <w:right w:val="nil"/>
            </w:tcBorders>
            <w:shd w:val="clear" w:color="auto" w:fill="auto"/>
            <w:vAlign w:val="center"/>
            <w:hideMark/>
          </w:tcPr>
          <w:p w14:paraId="5F378D5C" w14:textId="77777777" w:rsidR="00B7407E" w:rsidRPr="003A5F45" w:rsidRDefault="00B7407E" w:rsidP="003A5F45">
            <w:pPr>
              <w:adjustRightInd w:val="0"/>
              <w:snapToGrid w:val="0"/>
              <w:spacing w:after="160"/>
              <w:jc w:val="both"/>
              <w:rPr>
                <w:rFonts w:asciiTheme="minorHAnsi" w:hAnsiTheme="minorHAnsi" w:cstheme="minorHAnsi"/>
                <w:sz w:val="20"/>
              </w:rPr>
            </w:pPr>
            <w:r w:rsidRPr="003A5F45">
              <w:rPr>
                <w:rFonts w:asciiTheme="minorHAnsi" w:hAnsiTheme="minorHAnsi" w:cstheme="minorHAnsi"/>
                <w:sz w:val="20"/>
              </w:rPr>
              <w:t>Mobile phones (purchase)</w:t>
            </w:r>
          </w:p>
        </w:tc>
        <w:tc>
          <w:tcPr>
            <w:tcW w:w="1636" w:type="dxa"/>
            <w:tcBorders>
              <w:top w:val="nil"/>
              <w:left w:val="nil"/>
              <w:bottom w:val="nil"/>
              <w:right w:val="nil"/>
            </w:tcBorders>
            <w:shd w:val="clear" w:color="auto" w:fill="auto"/>
            <w:noWrap/>
            <w:vAlign w:val="center"/>
            <w:hideMark/>
          </w:tcPr>
          <w:p w14:paraId="7136FCDA" w14:textId="77777777" w:rsidR="00B7407E" w:rsidRPr="003A5F45" w:rsidRDefault="00B7407E" w:rsidP="003A5F45">
            <w:pPr>
              <w:adjustRightInd w:val="0"/>
              <w:snapToGrid w:val="0"/>
              <w:spacing w:after="160"/>
              <w:jc w:val="both"/>
              <w:rPr>
                <w:rFonts w:asciiTheme="minorHAnsi" w:hAnsiTheme="minorHAnsi" w:cstheme="minorHAnsi"/>
                <w:color w:val="002060"/>
                <w:sz w:val="20"/>
              </w:rPr>
            </w:pPr>
            <w:r w:rsidRPr="003A5F45">
              <w:rPr>
                <w:rFonts w:asciiTheme="minorHAnsi" w:hAnsiTheme="minorHAnsi" w:cstheme="minorHAnsi"/>
                <w:color w:val="002060"/>
                <w:sz w:val="20"/>
              </w:rPr>
              <w:t>125</w:t>
            </w:r>
          </w:p>
        </w:tc>
      </w:tr>
      <w:tr w:rsidR="00B7407E" w:rsidRPr="003A5F45" w14:paraId="443175CD" w14:textId="77777777" w:rsidTr="003A5F45">
        <w:trPr>
          <w:trHeight w:val="280"/>
        </w:trPr>
        <w:tc>
          <w:tcPr>
            <w:tcW w:w="4762" w:type="dxa"/>
            <w:tcBorders>
              <w:top w:val="nil"/>
              <w:left w:val="nil"/>
              <w:bottom w:val="nil"/>
              <w:right w:val="nil"/>
            </w:tcBorders>
            <w:shd w:val="clear" w:color="auto" w:fill="auto"/>
            <w:vAlign w:val="center"/>
            <w:hideMark/>
          </w:tcPr>
          <w:p w14:paraId="4127E2FE" w14:textId="77777777" w:rsidR="00B7407E" w:rsidRPr="003A5F45" w:rsidRDefault="00B7407E" w:rsidP="003A5F45">
            <w:pPr>
              <w:adjustRightInd w:val="0"/>
              <w:snapToGrid w:val="0"/>
              <w:spacing w:after="160"/>
              <w:jc w:val="both"/>
              <w:rPr>
                <w:rFonts w:asciiTheme="minorHAnsi" w:hAnsiTheme="minorHAnsi" w:cstheme="minorHAnsi"/>
                <w:sz w:val="20"/>
              </w:rPr>
            </w:pPr>
            <w:r w:rsidRPr="003A5F45">
              <w:rPr>
                <w:rFonts w:asciiTheme="minorHAnsi" w:hAnsiTheme="minorHAnsi" w:cstheme="minorHAnsi"/>
                <w:sz w:val="20"/>
              </w:rPr>
              <w:t>Mobile phones (subscriptions)</w:t>
            </w:r>
          </w:p>
        </w:tc>
        <w:tc>
          <w:tcPr>
            <w:tcW w:w="1636" w:type="dxa"/>
            <w:tcBorders>
              <w:top w:val="nil"/>
              <w:left w:val="nil"/>
              <w:bottom w:val="nil"/>
              <w:right w:val="nil"/>
            </w:tcBorders>
            <w:shd w:val="clear" w:color="auto" w:fill="auto"/>
            <w:noWrap/>
            <w:vAlign w:val="center"/>
            <w:hideMark/>
          </w:tcPr>
          <w:p w14:paraId="323C08FC" w14:textId="77777777" w:rsidR="00B7407E" w:rsidRPr="003A5F45" w:rsidRDefault="00B7407E" w:rsidP="003A5F45">
            <w:pPr>
              <w:adjustRightInd w:val="0"/>
              <w:snapToGrid w:val="0"/>
              <w:spacing w:after="160"/>
              <w:jc w:val="both"/>
              <w:rPr>
                <w:rFonts w:asciiTheme="minorHAnsi" w:hAnsiTheme="minorHAnsi" w:cstheme="minorHAnsi"/>
                <w:color w:val="002060"/>
                <w:sz w:val="20"/>
              </w:rPr>
            </w:pPr>
            <w:r w:rsidRPr="00842B29">
              <w:rPr>
                <w:rFonts w:asciiTheme="minorHAnsi" w:hAnsiTheme="minorHAnsi" w:cstheme="minorHAnsi"/>
                <w:noProof/>
                <w:sz w:val="20"/>
              </w:rPr>
              <mc:AlternateContent>
                <mc:Choice Requires="wps">
                  <w:drawing>
                    <wp:anchor distT="0" distB="0" distL="114300" distR="114300" simplePos="0" relativeHeight="251659264" behindDoc="0" locked="0" layoutInCell="1" allowOverlap="1" wp14:anchorId="42B8DE0F" wp14:editId="492BB972">
                      <wp:simplePos x="0" y="0"/>
                      <wp:positionH relativeFrom="column">
                        <wp:posOffset>-198755</wp:posOffset>
                      </wp:positionH>
                      <wp:positionV relativeFrom="paragraph">
                        <wp:posOffset>-2270125</wp:posOffset>
                      </wp:positionV>
                      <wp:extent cx="895350" cy="3835400"/>
                      <wp:effectExtent l="0" t="0" r="19050" b="1270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835400"/>
                              </a:xfrm>
                              <a:prstGeom prst="roundRect">
                                <a:avLst>
                                  <a:gd name="adj" fmla="val 48980"/>
                                </a:avLst>
                              </a:prstGeom>
                              <a:noFill/>
                              <a:ln w="12700">
                                <a:solidFill>
                                  <a:schemeClr val="accent1">
                                    <a:lumMod val="75000"/>
                                  </a:schemeClr>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41A7D625" id="Rectangle: Rounded Corners 3" o:spid="_x0000_s1026" style="position:absolute;margin-left:-15.65pt;margin-top:-178.75pt;width:70.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1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" filled="f" strokecolor="#2f5496 [2404]" strokeweight="1pt"/>
                  </w:pict>
                </mc:Fallback>
              </mc:AlternateContent>
            </w:r>
            <w:r w:rsidRPr="00842B29">
              <w:rPr>
                <w:rFonts w:asciiTheme="minorHAnsi" w:hAnsiTheme="minorHAnsi" w:cstheme="minorHAnsi"/>
                <w:color w:val="002060"/>
                <w:sz w:val="20"/>
              </w:rPr>
              <w:t>190</w:t>
            </w:r>
          </w:p>
        </w:tc>
      </w:tr>
      <w:tr w:rsidR="00B7407E" w:rsidRPr="003A5F45" w14:paraId="41F2045C" w14:textId="77777777" w:rsidTr="003A5F45">
        <w:trPr>
          <w:trHeight w:val="280"/>
        </w:trPr>
        <w:tc>
          <w:tcPr>
            <w:tcW w:w="4762" w:type="dxa"/>
            <w:tcBorders>
              <w:top w:val="nil"/>
              <w:left w:val="nil"/>
              <w:bottom w:val="nil"/>
              <w:right w:val="nil"/>
            </w:tcBorders>
            <w:shd w:val="clear" w:color="auto" w:fill="auto"/>
            <w:noWrap/>
            <w:vAlign w:val="center"/>
            <w:hideMark/>
          </w:tcPr>
          <w:p w14:paraId="3881138A" w14:textId="77777777" w:rsidR="00B7407E" w:rsidRPr="003A5F45" w:rsidRDefault="00B7407E" w:rsidP="003A5F45">
            <w:pPr>
              <w:adjustRightInd w:val="0"/>
              <w:snapToGrid w:val="0"/>
              <w:spacing w:after="160"/>
              <w:jc w:val="both"/>
              <w:rPr>
                <w:rFonts w:asciiTheme="minorHAnsi" w:hAnsiTheme="minorHAnsi" w:cstheme="minorHAnsi"/>
                <w:sz w:val="20"/>
              </w:rPr>
            </w:pPr>
            <w:r w:rsidRPr="003A5F45">
              <w:rPr>
                <w:rFonts w:asciiTheme="minorHAnsi" w:hAnsiTheme="minorHAnsi" w:cstheme="minorHAnsi"/>
                <w:sz w:val="20"/>
              </w:rPr>
              <w:t>IT peripherals (laptops, screens, etc.)</w:t>
            </w:r>
          </w:p>
        </w:tc>
        <w:tc>
          <w:tcPr>
            <w:tcW w:w="1636" w:type="dxa"/>
            <w:tcBorders>
              <w:top w:val="nil"/>
              <w:left w:val="nil"/>
              <w:bottom w:val="nil"/>
              <w:right w:val="nil"/>
            </w:tcBorders>
            <w:shd w:val="clear" w:color="auto" w:fill="auto"/>
            <w:noWrap/>
            <w:vAlign w:val="center"/>
            <w:hideMark/>
          </w:tcPr>
          <w:p w14:paraId="4AD75559" w14:textId="77777777" w:rsidR="00B7407E" w:rsidRPr="003A5F45" w:rsidRDefault="00B7407E" w:rsidP="003A5F45">
            <w:pPr>
              <w:adjustRightInd w:val="0"/>
              <w:snapToGrid w:val="0"/>
              <w:spacing w:after="160"/>
              <w:jc w:val="both"/>
              <w:rPr>
                <w:rFonts w:asciiTheme="minorHAnsi" w:hAnsiTheme="minorHAnsi" w:cstheme="minorHAnsi"/>
                <w:color w:val="002060"/>
                <w:sz w:val="20"/>
              </w:rPr>
            </w:pPr>
            <w:r w:rsidRPr="003A5F45">
              <w:rPr>
                <w:rFonts w:asciiTheme="minorHAnsi" w:hAnsiTheme="minorHAnsi" w:cstheme="minorHAnsi"/>
                <w:color w:val="002060"/>
                <w:sz w:val="20"/>
              </w:rPr>
              <w:t>317</w:t>
            </w:r>
          </w:p>
        </w:tc>
      </w:tr>
      <w:tr w:rsidR="00B7407E" w:rsidRPr="003A5F45" w14:paraId="409C5EF0" w14:textId="77777777" w:rsidTr="003A5F45">
        <w:trPr>
          <w:trHeight w:val="280"/>
        </w:trPr>
        <w:tc>
          <w:tcPr>
            <w:tcW w:w="4762" w:type="dxa"/>
            <w:tcBorders>
              <w:top w:val="nil"/>
              <w:left w:val="nil"/>
              <w:bottom w:val="nil"/>
              <w:right w:val="nil"/>
            </w:tcBorders>
            <w:shd w:val="clear" w:color="auto" w:fill="auto"/>
            <w:noWrap/>
            <w:vAlign w:val="center"/>
            <w:hideMark/>
          </w:tcPr>
          <w:p w14:paraId="7C9E0CC4" w14:textId="77777777" w:rsidR="00B7407E" w:rsidRPr="003A5F45" w:rsidRDefault="00B7407E" w:rsidP="003A5F45">
            <w:pPr>
              <w:adjustRightInd w:val="0"/>
              <w:snapToGrid w:val="0"/>
              <w:spacing w:after="160"/>
              <w:jc w:val="both"/>
              <w:rPr>
                <w:rFonts w:asciiTheme="minorHAnsi" w:hAnsiTheme="minorHAnsi" w:cstheme="minorHAnsi"/>
                <w:sz w:val="20"/>
              </w:rPr>
            </w:pPr>
            <w:r w:rsidRPr="003A5F45">
              <w:rPr>
                <w:rFonts w:asciiTheme="minorHAnsi" w:hAnsiTheme="minorHAnsi" w:cstheme="minorHAnsi"/>
                <w:sz w:val="20"/>
              </w:rPr>
              <w:t>Additional support for teleworking</w:t>
            </w:r>
          </w:p>
        </w:tc>
        <w:tc>
          <w:tcPr>
            <w:tcW w:w="1636" w:type="dxa"/>
            <w:tcBorders>
              <w:top w:val="nil"/>
              <w:left w:val="nil"/>
              <w:bottom w:val="nil"/>
              <w:right w:val="nil"/>
            </w:tcBorders>
            <w:shd w:val="clear" w:color="auto" w:fill="auto"/>
            <w:noWrap/>
            <w:vAlign w:val="center"/>
            <w:hideMark/>
          </w:tcPr>
          <w:p w14:paraId="565CC91E" w14:textId="77777777" w:rsidR="00B7407E" w:rsidRPr="003A5F45" w:rsidRDefault="00B7407E" w:rsidP="003A5F45">
            <w:pPr>
              <w:adjustRightInd w:val="0"/>
              <w:snapToGrid w:val="0"/>
              <w:spacing w:after="160"/>
              <w:jc w:val="both"/>
              <w:rPr>
                <w:rFonts w:asciiTheme="minorHAnsi" w:hAnsiTheme="minorHAnsi" w:cstheme="minorHAnsi"/>
                <w:color w:val="002060"/>
                <w:sz w:val="20"/>
              </w:rPr>
            </w:pPr>
            <w:r w:rsidRPr="003A5F45">
              <w:rPr>
                <w:rFonts w:asciiTheme="minorHAnsi" w:hAnsiTheme="minorHAnsi" w:cstheme="minorHAnsi"/>
                <w:color w:val="002060"/>
                <w:sz w:val="20"/>
              </w:rPr>
              <w:t>111</w:t>
            </w:r>
          </w:p>
        </w:tc>
      </w:tr>
      <w:tr w:rsidR="00B7407E" w:rsidRPr="003A5F45" w14:paraId="1602BB8A" w14:textId="77777777" w:rsidTr="003A5F45">
        <w:trPr>
          <w:trHeight w:val="280"/>
        </w:trPr>
        <w:tc>
          <w:tcPr>
            <w:tcW w:w="4762" w:type="dxa"/>
            <w:tcBorders>
              <w:top w:val="nil"/>
              <w:left w:val="nil"/>
              <w:bottom w:val="nil"/>
              <w:right w:val="nil"/>
            </w:tcBorders>
            <w:shd w:val="clear" w:color="auto" w:fill="auto"/>
            <w:noWrap/>
            <w:vAlign w:val="center"/>
            <w:hideMark/>
          </w:tcPr>
          <w:p w14:paraId="49F2EB43" w14:textId="77777777" w:rsidR="00B7407E" w:rsidRPr="003A5F45" w:rsidRDefault="00B7407E" w:rsidP="003A5F45">
            <w:pPr>
              <w:adjustRightInd w:val="0"/>
              <w:snapToGrid w:val="0"/>
              <w:spacing w:after="160"/>
              <w:jc w:val="both"/>
              <w:rPr>
                <w:rFonts w:asciiTheme="minorHAnsi" w:hAnsiTheme="minorHAnsi" w:cstheme="minorHAnsi"/>
                <w:sz w:val="20"/>
              </w:rPr>
            </w:pPr>
            <w:r w:rsidRPr="003A5F45">
              <w:rPr>
                <w:rFonts w:asciiTheme="minorHAnsi" w:hAnsiTheme="minorHAnsi" w:cstheme="minorHAnsi"/>
                <w:sz w:val="20"/>
              </w:rPr>
              <w:t>Licenses for virtual conferences, meetings, etc.</w:t>
            </w:r>
          </w:p>
        </w:tc>
        <w:tc>
          <w:tcPr>
            <w:tcW w:w="1636" w:type="dxa"/>
            <w:tcBorders>
              <w:top w:val="nil"/>
              <w:left w:val="nil"/>
              <w:bottom w:val="nil"/>
              <w:right w:val="nil"/>
            </w:tcBorders>
            <w:shd w:val="clear" w:color="auto" w:fill="auto"/>
            <w:noWrap/>
            <w:vAlign w:val="center"/>
            <w:hideMark/>
          </w:tcPr>
          <w:p w14:paraId="07384D86" w14:textId="77777777" w:rsidR="00B7407E" w:rsidRPr="003A5F45" w:rsidRDefault="00B7407E" w:rsidP="003A5F45">
            <w:pPr>
              <w:adjustRightInd w:val="0"/>
              <w:snapToGrid w:val="0"/>
              <w:spacing w:after="160"/>
              <w:jc w:val="both"/>
              <w:rPr>
                <w:rFonts w:asciiTheme="minorHAnsi" w:hAnsiTheme="minorHAnsi" w:cstheme="minorHAnsi"/>
                <w:color w:val="002060"/>
                <w:sz w:val="20"/>
              </w:rPr>
            </w:pPr>
            <w:r w:rsidRPr="003A5F45">
              <w:rPr>
                <w:rFonts w:asciiTheme="minorHAnsi" w:hAnsiTheme="minorHAnsi" w:cstheme="minorHAnsi"/>
                <w:color w:val="002060"/>
                <w:sz w:val="20"/>
              </w:rPr>
              <w:t>117</w:t>
            </w:r>
          </w:p>
        </w:tc>
      </w:tr>
      <w:tr w:rsidR="00B7407E" w:rsidRPr="003A5F45" w14:paraId="07BEC22E" w14:textId="77777777" w:rsidTr="003A5F45">
        <w:trPr>
          <w:trHeight w:val="280"/>
        </w:trPr>
        <w:tc>
          <w:tcPr>
            <w:tcW w:w="4762" w:type="dxa"/>
            <w:tcBorders>
              <w:top w:val="nil"/>
              <w:left w:val="nil"/>
              <w:bottom w:val="nil"/>
              <w:right w:val="nil"/>
            </w:tcBorders>
            <w:shd w:val="clear" w:color="auto" w:fill="auto"/>
            <w:noWrap/>
            <w:vAlign w:val="center"/>
            <w:hideMark/>
          </w:tcPr>
          <w:p w14:paraId="01E156E8" w14:textId="77777777" w:rsidR="00B7407E" w:rsidRPr="003A5F45" w:rsidRDefault="00B7407E" w:rsidP="003A5F45">
            <w:pPr>
              <w:adjustRightInd w:val="0"/>
              <w:snapToGrid w:val="0"/>
              <w:spacing w:after="160"/>
              <w:jc w:val="both"/>
              <w:rPr>
                <w:rFonts w:asciiTheme="minorHAnsi" w:hAnsiTheme="minorHAnsi" w:cstheme="minorHAnsi"/>
                <w:sz w:val="20"/>
              </w:rPr>
            </w:pPr>
            <w:r w:rsidRPr="003A5F45">
              <w:rPr>
                <w:rFonts w:asciiTheme="minorHAnsi" w:hAnsiTheme="minorHAnsi" w:cstheme="minorHAnsi"/>
                <w:sz w:val="20"/>
              </w:rPr>
              <w:t>Support (moderators and other support) for meetings</w:t>
            </w:r>
          </w:p>
        </w:tc>
        <w:tc>
          <w:tcPr>
            <w:tcW w:w="1636" w:type="dxa"/>
            <w:tcBorders>
              <w:top w:val="nil"/>
              <w:left w:val="nil"/>
              <w:bottom w:val="nil"/>
              <w:right w:val="nil"/>
            </w:tcBorders>
            <w:shd w:val="clear" w:color="auto" w:fill="auto"/>
            <w:noWrap/>
            <w:vAlign w:val="center"/>
            <w:hideMark/>
          </w:tcPr>
          <w:p w14:paraId="3CCFB77B" w14:textId="77777777" w:rsidR="00B7407E" w:rsidRPr="003A5F45" w:rsidRDefault="00B7407E" w:rsidP="003A5F45">
            <w:pPr>
              <w:adjustRightInd w:val="0"/>
              <w:snapToGrid w:val="0"/>
              <w:spacing w:after="160"/>
              <w:jc w:val="both"/>
              <w:rPr>
                <w:rFonts w:asciiTheme="minorHAnsi" w:hAnsiTheme="minorHAnsi" w:cstheme="minorHAnsi"/>
                <w:color w:val="002060"/>
                <w:sz w:val="20"/>
              </w:rPr>
            </w:pPr>
            <w:r w:rsidRPr="003A5F45">
              <w:rPr>
                <w:rFonts w:asciiTheme="minorHAnsi" w:hAnsiTheme="minorHAnsi" w:cstheme="minorHAnsi"/>
                <w:color w:val="002060"/>
                <w:sz w:val="20"/>
              </w:rPr>
              <w:t>199</w:t>
            </w:r>
          </w:p>
        </w:tc>
      </w:tr>
      <w:tr w:rsidR="00B7407E" w:rsidRPr="003A5F45" w14:paraId="782D15FF" w14:textId="77777777" w:rsidTr="003A5F45">
        <w:trPr>
          <w:trHeight w:val="280"/>
        </w:trPr>
        <w:tc>
          <w:tcPr>
            <w:tcW w:w="4762" w:type="dxa"/>
            <w:tcBorders>
              <w:top w:val="nil"/>
              <w:left w:val="nil"/>
              <w:bottom w:val="nil"/>
              <w:right w:val="nil"/>
            </w:tcBorders>
            <w:shd w:val="clear" w:color="auto" w:fill="auto"/>
            <w:vAlign w:val="center"/>
            <w:hideMark/>
          </w:tcPr>
          <w:p w14:paraId="3C2C16AF" w14:textId="77777777" w:rsidR="00B7407E" w:rsidRPr="003A5F45" w:rsidRDefault="00B7407E" w:rsidP="003A5F45">
            <w:pPr>
              <w:adjustRightInd w:val="0"/>
              <w:snapToGrid w:val="0"/>
              <w:spacing w:after="160"/>
              <w:jc w:val="both"/>
              <w:rPr>
                <w:rFonts w:asciiTheme="minorHAnsi" w:hAnsiTheme="minorHAnsi" w:cstheme="minorHAnsi"/>
                <w:sz w:val="20"/>
              </w:rPr>
            </w:pPr>
            <w:r w:rsidRPr="003A5F45">
              <w:rPr>
                <w:rFonts w:asciiTheme="minorHAnsi" w:hAnsiTheme="minorHAnsi" w:cstheme="minorHAnsi"/>
                <w:sz w:val="20"/>
              </w:rPr>
              <w:t>Others</w:t>
            </w:r>
          </w:p>
        </w:tc>
        <w:tc>
          <w:tcPr>
            <w:tcW w:w="1636" w:type="dxa"/>
            <w:tcBorders>
              <w:top w:val="nil"/>
              <w:left w:val="nil"/>
              <w:bottom w:val="nil"/>
              <w:right w:val="nil"/>
            </w:tcBorders>
            <w:shd w:val="clear" w:color="auto" w:fill="auto"/>
            <w:noWrap/>
            <w:vAlign w:val="center"/>
            <w:hideMark/>
          </w:tcPr>
          <w:p w14:paraId="026F055B" w14:textId="77777777" w:rsidR="00B7407E" w:rsidRPr="003A5F45" w:rsidRDefault="00B7407E" w:rsidP="003A5F45">
            <w:pPr>
              <w:adjustRightInd w:val="0"/>
              <w:snapToGrid w:val="0"/>
              <w:spacing w:after="160"/>
              <w:jc w:val="both"/>
              <w:rPr>
                <w:rFonts w:asciiTheme="minorHAnsi" w:hAnsiTheme="minorHAnsi" w:cstheme="minorHAnsi"/>
                <w:color w:val="002060"/>
                <w:sz w:val="20"/>
              </w:rPr>
            </w:pPr>
            <w:r w:rsidRPr="003A5F45">
              <w:rPr>
                <w:rFonts w:asciiTheme="minorHAnsi" w:hAnsiTheme="minorHAnsi" w:cstheme="minorHAnsi"/>
                <w:color w:val="002060"/>
                <w:sz w:val="20"/>
              </w:rPr>
              <w:t>45</w:t>
            </w:r>
          </w:p>
        </w:tc>
      </w:tr>
      <w:tr w:rsidR="00B7407E" w:rsidRPr="003A5F45" w14:paraId="77911211" w14:textId="77777777" w:rsidTr="003A5F45">
        <w:trPr>
          <w:trHeight w:val="280"/>
        </w:trPr>
        <w:tc>
          <w:tcPr>
            <w:tcW w:w="4762" w:type="dxa"/>
            <w:tcBorders>
              <w:top w:val="nil"/>
              <w:left w:val="nil"/>
              <w:bottom w:val="single" w:sz="4" w:space="0" w:color="002060"/>
              <w:right w:val="nil"/>
            </w:tcBorders>
            <w:shd w:val="clear" w:color="auto" w:fill="auto"/>
            <w:vAlign w:val="center"/>
            <w:hideMark/>
          </w:tcPr>
          <w:p w14:paraId="74B1E2B4" w14:textId="77777777" w:rsidR="00B7407E" w:rsidRPr="003A5F45" w:rsidRDefault="00B7407E" w:rsidP="003A5F45">
            <w:pPr>
              <w:adjustRightInd w:val="0"/>
              <w:snapToGrid w:val="0"/>
              <w:spacing w:after="160"/>
              <w:jc w:val="both"/>
              <w:rPr>
                <w:rFonts w:asciiTheme="minorHAnsi" w:hAnsiTheme="minorHAnsi" w:cstheme="minorHAnsi"/>
                <w:sz w:val="20"/>
              </w:rPr>
            </w:pPr>
            <w:r w:rsidRPr="003A5F45">
              <w:rPr>
                <w:rFonts w:asciiTheme="minorHAnsi" w:hAnsiTheme="minorHAnsi" w:cstheme="minorHAnsi"/>
                <w:sz w:val="20"/>
              </w:rPr>
              <w:t> </w:t>
            </w:r>
          </w:p>
        </w:tc>
        <w:tc>
          <w:tcPr>
            <w:tcW w:w="1636" w:type="dxa"/>
            <w:tcBorders>
              <w:top w:val="nil"/>
              <w:left w:val="nil"/>
              <w:bottom w:val="single" w:sz="4" w:space="0" w:color="002060"/>
              <w:right w:val="nil"/>
            </w:tcBorders>
            <w:shd w:val="clear" w:color="auto" w:fill="auto"/>
            <w:noWrap/>
            <w:vAlign w:val="center"/>
            <w:hideMark/>
          </w:tcPr>
          <w:p w14:paraId="6753091A" w14:textId="77777777" w:rsidR="00B7407E" w:rsidRPr="003A5F45" w:rsidRDefault="00B7407E" w:rsidP="003A5F45">
            <w:pPr>
              <w:adjustRightInd w:val="0"/>
              <w:snapToGrid w:val="0"/>
              <w:spacing w:after="160"/>
              <w:jc w:val="both"/>
              <w:rPr>
                <w:rFonts w:asciiTheme="minorHAnsi" w:hAnsiTheme="minorHAnsi" w:cstheme="minorHAnsi"/>
                <w:color w:val="002060"/>
                <w:sz w:val="20"/>
              </w:rPr>
            </w:pPr>
            <w:r w:rsidRPr="003A5F45">
              <w:rPr>
                <w:rFonts w:asciiTheme="minorHAnsi" w:hAnsiTheme="minorHAnsi" w:cstheme="minorHAnsi"/>
                <w:color w:val="002060"/>
                <w:sz w:val="20"/>
              </w:rPr>
              <w:t> </w:t>
            </w:r>
          </w:p>
        </w:tc>
      </w:tr>
      <w:tr w:rsidR="00B7407E" w:rsidRPr="003A5F45" w14:paraId="4A65BE13" w14:textId="77777777" w:rsidTr="003A5F45">
        <w:trPr>
          <w:trHeight w:val="280"/>
        </w:trPr>
        <w:tc>
          <w:tcPr>
            <w:tcW w:w="4762" w:type="dxa"/>
            <w:tcBorders>
              <w:top w:val="nil"/>
              <w:left w:val="nil"/>
              <w:bottom w:val="nil"/>
              <w:right w:val="nil"/>
            </w:tcBorders>
            <w:shd w:val="clear" w:color="auto" w:fill="auto"/>
            <w:noWrap/>
            <w:vAlign w:val="center"/>
            <w:hideMark/>
          </w:tcPr>
          <w:p w14:paraId="136F1E66" w14:textId="77777777" w:rsidR="00B7407E" w:rsidRPr="003A5F45" w:rsidRDefault="00B7407E" w:rsidP="003A5F45">
            <w:pPr>
              <w:adjustRightInd w:val="0"/>
              <w:snapToGrid w:val="0"/>
              <w:spacing w:after="160"/>
              <w:jc w:val="both"/>
              <w:rPr>
                <w:rFonts w:asciiTheme="minorHAnsi" w:hAnsiTheme="minorHAnsi" w:cstheme="minorHAnsi"/>
                <w:color w:val="002060"/>
                <w:sz w:val="20"/>
              </w:rPr>
            </w:pPr>
          </w:p>
        </w:tc>
        <w:tc>
          <w:tcPr>
            <w:tcW w:w="1636" w:type="dxa"/>
            <w:tcBorders>
              <w:top w:val="nil"/>
              <w:left w:val="nil"/>
              <w:bottom w:val="nil"/>
              <w:right w:val="nil"/>
            </w:tcBorders>
            <w:shd w:val="clear" w:color="auto" w:fill="auto"/>
            <w:noWrap/>
            <w:vAlign w:val="center"/>
            <w:hideMark/>
          </w:tcPr>
          <w:p w14:paraId="28EDEB39" w14:textId="77777777" w:rsidR="00B7407E" w:rsidRPr="003A5F45" w:rsidRDefault="00B7407E" w:rsidP="003A5F45">
            <w:pPr>
              <w:adjustRightInd w:val="0"/>
              <w:snapToGrid w:val="0"/>
              <w:spacing w:after="160"/>
              <w:jc w:val="both"/>
              <w:rPr>
                <w:rFonts w:asciiTheme="minorHAnsi" w:hAnsiTheme="minorHAnsi" w:cstheme="minorHAnsi"/>
                <w:sz w:val="20"/>
              </w:rPr>
            </w:pPr>
          </w:p>
        </w:tc>
      </w:tr>
      <w:tr w:rsidR="00B7407E" w:rsidRPr="00091451" w14:paraId="16908E89" w14:textId="77777777" w:rsidTr="003A5F45">
        <w:trPr>
          <w:trHeight w:val="280"/>
        </w:trPr>
        <w:tc>
          <w:tcPr>
            <w:tcW w:w="4762" w:type="dxa"/>
            <w:tcBorders>
              <w:top w:val="nil"/>
              <w:left w:val="nil"/>
              <w:bottom w:val="nil"/>
              <w:right w:val="nil"/>
            </w:tcBorders>
            <w:shd w:val="clear" w:color="auto" w:fill="auto"/>
            <w:noWrap/>
            <w:vAlign w:val="center"/>
            <w:hideMark/>
          </w:tcPr>
          <w:p w14:paraId="3C39CCF9" w14:textId="77777777" w:rsidR="00B7407E" w:rsidRPr="003A5F45" w:rsidRDefault="00B7407E" w:rsidP="003A5F45">
            <w:pPr>
              <w:adjustRightInd w:val="0"/>
              <w:snapToGrid w:val="0"/>
              <w:spacing w:after="160"/>
              <w:jc w:val="both"/>
              <w:rPr>
                <w:rFonts w:asciiTheme="minorHAnsi" w:hAnsiTheme="minorHAnsi" w:cstheme="minorHAnsi"/>
                <w:b/>
                <w:bCs/>
                <w:color w:val="C00000"/>
                <w:szCs w:val="24"/>
              </w:rPr>
            </w:pPr>
            <w:r w:rsidRPr="003A5F45">
              <w:rPr>
                <w:rFonts w:asciiTheme="minorHAnsi" w:hAnsiTheme="minorHAnsi" w:cstheme="minorHAnsi"/>
                <w:b/>
                <w:bCs/>
                <w:color w:val="C00000"/>
                <w:szCs w:val="24"/>
              </w:rPr>
              <w:t>TOTAL</w:t>
            </w:r>
          </w:p>
        </w:tc>
        <w:tc>
          <w:tcPr>
            <w:tcW w:w="1636" w:type="dxa"/>
            <w:tcBorders>
              <w:top w:val="nil"/>
              <w:left w:val="nil"/>
              <w:bottom w:val="nil"/>
              <w:right w:val="nil"/>
            </w:tcBorders>
            <w:shd w:val="clear" w:color="auto" w:fill="auto"/>
            <w:noWrap/>
            <w:vAlign w:val="center"/>
            <w:hideMark/>
          </w:tcPr>
          <w:p w14:paraId="10793FC8" w14:textId="77777777" w:rsidR="00B7407E" w:rsidRPr="00091451" w:rsidRDefault="00B7407E" w:rsidP="003A5F45">
            <w:pPr>
              <w:adjustRightInd w:val="0"/>
              <w:snapToGrid w:val="0"/>
              <w:spacing w:after="160"/>
              <w:jc w:val="both"/>
              <w:rPr>
                <w:rFonts w:asciiTheme="minorHAnsi" w:hAnsiTheme="minorHAnsi" w:cstheme="minorHAnsi"/>
                <w:b/>
                <w:bCs/>
                <w:color w:val="C00000"/>
                <w:szCs w:val="24"/>
              </w:rPr>
            </w:pPr>
            <w:r w:rsidRPr="003A5F45">
              <w:rPr>
                <w:rFonts w:asciiTheme="minorHAnsi" w:hAnsiTheme="minorHAnsi" w:cstheme="minorHAnsi"/>
                <w:b/>
                <w:bCs/>
                <w:color w:val="C00000"/>
                <w:szCs w:val="24"/>
              </w:rPr>
              <w:t>1.532</w:t>
            </w:r>
          </w:p>
        </w:tc>
      </w:tr>
    </w:tbl>
    <w:p w14:paraId="35312D90" w14:textId="77777777" w:rsidR="00B7407E" w:rsidRDefault="00B7407E"/>
    <w:sectPr w:rsidR="00B7407E" w:rsidSect="000726C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F83"/>
    <w:multiLevelType w:val="multilevel"/>
    <w:tmpl w:val="993E8220"/>
    <w:lvl w:ilvl="0">
      <w:start w:val="2"/>
      <w:numFmt w:val="decimal"/>
      <w:lvlText w:val="%1."/>
      <w:lvlJc w:val="left"/>
      <w:pPr>
        <w:ind w:left="144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1" w15:restartNumberingAfterBreak="0">
    <w:nsid w:val="04253187"/>
    <w:multiLevelType w:val="hybridMultilevel"/>
    <w:tmpl w:val="901E5220"/>
    <w:lvl w:ilvl="0" w:tplc="08090001">
      <w:start w:val="1"/>
      <w:numFmt w:val="bullet"/>
      <w:lvlText w:val=""/>
      <w:lvlJc w:val="left"/>
      <w:pPr>
        <w:ind w:left="927" w:hanging="360"/>
      </w:pPr>
      <w:rPr>
        <w:rFonts w:ascii="Symbol" w:hAnsi="Symbol" w:hint="default"/>
      </w:rPr>
    </w:lvl>
    <w:lvl w:ilvl="1" w:tplc="08090001">
      <w:start w:val="1"/>
      <w:numFmt w:val="bullet"/>
      <w:lvlText w:val=""/>
      <w:lvlJc w:val="left"/>
      <w:pPr>
        <w:ind w:left="1992" w:hanging="705"/>
      </w:pPr>
      <w:rPr>
        <w:rFonts w:ascii="Symbol" w:hAnsi="Symbol"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43D4C6A"/>
    <w:multiLevelType w:val="hybridMultilevel"/>
    <w:tmpl w:val="4F806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B3C62"/>
    <w:multiLevelType w:val="hybridMultilevel"/>
    <w:tmpl w:val="64243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5A003E"/>
    <w:multiLevelType w:val="multilevel"/>
    <w:tmpl w:val="EE0E33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396F6E"/>
    <w:multiLevelType w:val="hybridMultilevel"/>
    <w:tmpl w:val="64B26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EE6968"/>
    <w:multiLevelType w:val="hybridMultilevel"/>
    <w:tmpl w:val="EC12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F32107"/>
    <w:multiLevelType w:val="hybridMultilevel"/>
    <w:tmpl w:val="DD242BBA"/>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27"/>
    <w:rsid w:val="000419A9"/>
    <w:rsid w:val="000726C0"/>
    <w:rsid w:val="00153CA4"/>
    <w:rsid w:val="00160227"/>
    <w:rsid w:val="001671E1"/>
    <w:rsid w:val="001C4F57"/>
    <w:rsid w:val="001D2660"/>
    <w:rsid w:val="001E38B6"/>
    <w:rsid w:val="00214A00"/>
    <w:rsid w:val="00290129"/>
    <w:rsid w:val="002F1461"/>
    <w:rsid w:val="00307A67"/>
    <w:rsid w:val="00363E58"/>
    <w:rsid w:val="0037703F"/>
    <w:rsid w:val="00382574"/>
    <w:rsid w:val="0039369E"/>
    <w:rsid w:val="003B3EB9"/>
    <w:rsid w:val="003E7D25"/>
    <w:rsid w:val="003F57CA"/>
    <w:rsid w:val="00442503"/>
    <w:rsid w:val="004C3A63"/>
    <w:rsid w:val="004E5A77"/>
    <w:rsid w:val="004F5915"/>
    <w:rsid w:val="00515278"/>
    <w:rsid w:val="00546402"/>
    <w:rsid w:val="00547AB9"/>
    <w:rsid w:val="00551FEE"/>
    <w:rsid w:val="00565645"/>
    <w:rsid w:val="005839D5"/>
    <w:rsid w:val="00595689"/>
    <w:rsid w:val="005A7993"/>
    <w:rsid w:val="005D077B"/>
    <w:rsid w:val="00602DB6"/>
    <w:rsid w:val="00605CDD"/>
    <w:rsid w:val="00661D26"/>
    <w:rsid w:val="006755EE"/>
    <w:rsid w:val="006B3A3C"/>
    <w:rsid w:val="006D754E"/>
    <w:rsid w:val="00752D6B"/>
    <w:rsid w:val="007B52DD"/>
    <w:rsid w:val="007C4255"/>
    <w:rsid w:val="007E0CA2"/>
    <w:rsid w:val="007E57FD"/>
    <w:rsid w:val="00813C8D"/>
    <w:rsid w:val="00850244"/>
    <w:rsid w:val="008A2848"/>
    <w:rsid w:val="008D5D0C"/>
    <w:rsid w:val="00905B2B"/>
    <w:rsid w:val="00930DEC"/>
    <w:rsid w:val="009548C4"/>
    <w:rsid w:val="009D3DBA"/>
    <w:rsid w:val="00A03141"/>
    <w:rsid w:val="00AC02E9"/>
    <w:rsid w:val="00B31F57"/>
    <w:rsid w:val="00B43627"/>
    <w:rsid w:val="00B7407E"/>
    <w:rsid w:val="00B84A98"/>
    <w:rsid w:val="00BB05E2"/>
    <w:rsid w:val="00BB0F92"/>
    <w:rsid w:val="00D10EBE"/>
    <w:rsid w:val="00D11325"/>
    <w:rsid w:val="00D11473"/>
    <w:rsid w:val="00D42531"/>
    <w:rsid w:val="00DC6CF3"/>
    <w:rsid w:val="00DD4065"/>
    <w:rsid w:val="00E43F80"/>
    <w:rsid w:val="00E45CD0"/>
    <w:rsid w:val="00E6567E"/>
    <w:rsid w:val="00EC75DB"/>
    <w:rsid w:val="00EE773E"/>
    <w:rsid w:val="00F020B4"/>
    <w:rsid w:val="00F55B82"/>
    <w:rsid w:val="00F83899"/>
    <w:rsid w:val="00FF327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EDB0"/>
  <w15:chartTrackingRefBased/>
  <w15:docId w15:val="{6469F3C7-668A-FB4E-BF8F-A3CCA507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627"/>
    <w:rPr>
      <w:rFonts w:ascii="Calibri" w:eastAsia="Times New Roman" w:hAnsi="Calibri" w:cs="Times New Roman"/>
      <w:szCs w:val="20"/>
      <w:lang w:val="en-US"/>
    </w:rPr>
  </w:style>
  <w:style w:type="paragraph" w:styleId="Heading1">
    <w:name w:val="heading 1"/>
    <w:basedOn w:val="Normal"/>
    <w:next w:val="Normal"/>
    <w:link w:val="Heading1Char"/>
    <w:uiPriority w:val="9"/>
    <w:qFormat/>
    <w:rsid w:val="00B43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B43627"/>
    <w:pPr>
      <w:spacing w:before="320"/>
      <w:ind w:left="567" w:hanging="567"/>
      <w:outlineLvl w:val="1"/>
    </w:pPr>
    <w:rPr>
      <w:rFonts w:ascii="Calibri" w:eastAsia="Times New Roman" w:hAnsi="Calibri" w:cs="Times New Roman"/>
      <w:b/>
      <w:color w:val="auto"/>
      <w:sz w:val="24"/>
      <w:szCs w:val="20"/>
    </w:rPr>
  </w:style>
  <w:style w:type="paragraph" w:styleId="Heading3">
    <w:name w:val="heading 3"/>
    <w:basedOn w:val="Normal"/>
    <w:next w:val="Normal"/>
    <w:link w:val="Heading3Char"/>
    <w:uiPriority w:val="9"/>
    <w:semiHidden/>
    <w:unhideWhenUsed/>
    <w:qFormat/>
    <w:rsid w:val="00B4362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3627"/>
    <w:rPr>
      <w:rFonts w:ascii="Calibri" w:eastAsia="Times New Roman" w:hAnsi="Calibri" w:cs="Times New Roman"/>
      <w:b/>
      <w:szCs w:val="20"/>
      <w:lang w:val="en-US"/>
    </w:rPr>
  </w:style>
  <w:style w:type="paragraph" w:customStyle="1" w:styleId="Source">
    <w:name w:val="Source"/>
    <w:basedOn w:val="Normal"/>
    <w:next w:val="Title1"/>
    <w:autoRedefine/>
    <w:rsid w:val="00B43627"/>
    <w:pPr>
      <w:spacing w:before="840"/>
      <w:jc w:val="center"/>
    </w:pPr>
    <w:rPr>
      <w:b/>
      <w:sz w:val="28"/>
    </w:rPr>
  </w:style>
  <w:style w:type="character" w:styleId="Hyperlink">
    <w:name w:val="Hyperlink"/>
    <w:aliases w:val="CEO_Hyperlink"/>
    <w:basedOn w:val="DefaultParagraphFont"/>
    <w:rsid w:val="00B43627"/>
    <w:rPr>
      <w:color w:val="0000FF"/>
      <w:u w:val="single"/>
    </w:rPr>
  </w:style>
  <w:style w:type="paragraph" w:customStyle="1" w:styleId="Headingb">
    <w:name w:val="Heading_b"/>
    <w:basedOn w:val="Heading3"/>
    <w:next w:val="Normal"/>
    <w:rsid w:val="00B43627"/>
    <w:pPr>
      <w:spacing w:before="160"/>
      <w:ind w:left="567" w:hanging="567"/>
      <w:outlineLvl w:val="0"/>
    </w:pPr>
    <w:rPr>
      <w:rFonts w:ascii="Calibri" w:eastAsia="Times New Roman" w:hAnsi="Calibri" w:cs="Times New Roman"/>
      <w:b/>
      <w:color w:val="auto"/>
      <w:szCs w:val="20"/>
    </w:rPr>
  </w:style>
  <w:style w:type="paragraph" w:customStyle="1" w:styleId="Title1">
    <w:name w:val="Title 1"/>
    <w:basedOn w:val="Source"/>
    <w:next w:val="Normal"/>
    <w:rsid w:val="00B43627"/>
    <w:pPr>
      <w:spacing w:before="240"/>
    </w:pPr>
    <w:rPr>
      <w:b w:val="0"/>
      <w:caps/>
    </w:rPr>
  </w:style>
  <w:style w:type="paragraph" w:customStyle="1" w:styleId="Table">
    <w:name w:val="Table_#"/>
    <w:basedOn w:val="Normal"/>
    <w:next w:val="Normal"/>
    <w:rsid w:val="00B43627"/>
    <w:pPr>
      <w:keepNext/>
      <w:tabs>
        <w:tab w:val="left" w:pos="794"/>
        <w:tab w:val="left" w:pos="1191"/>
        <w:tab w:val="left" w:pos="1588"/>
        <w:tab w:val="left" w:pos="1985"/>
      </w:tabs>
      <w:spacing w:before="560" w:after="120"/>
      <w:jc w:val="center"/>
    </w:pPr>
    <w:rPr>
      <w:rFonts w:ascii="Times New Roman" w:hAnsi="Times New Roman"/>
      <w:caps/>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B43627"/>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locked/>
    <w:rsid w:val="00B43627"/>
    <w:rPr>
      <w:rFonts w:ascii="Calibri" w:eastAsia="Times New Roman" w:hAnsi="Calibri" w:cs="Times New Roman"/>
      <w:szCs w:val="20"/>
      <w:lang w:val="en-US"/>
    </w:rPr>
  </w:style>
  <w:style w:type="character" w:styleId="CommentReference">
    <w:name w:val="annotation reference"/>
    <w:basedOn w:val="DefaultParagraphFont"/>
    <w:uiPriority w:val="99"/>
    <w:semiHidden/>
    <w:unhideWhenUsed/>
    <w:rsid w:val="00B43627"/>
    <w:rPr>
      <w:sz w:val="16"/>
      <w:szCs w:val="16"/>
    </w:rPr>
  </w:style>
  <w:style w:type="paragraph" w:styleId="CommentText">
    <w:name w:val="annotation text"/>
    <w:basedOn w:val="Normal"/>
    <w:link w:val="CommentTextChar"/>
    <w:uiPriority w:val="99"/>
    <w:unhideWhenUsed/>
    <w:rsid w:val="00B43627"/>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43627"/>
    <w:rPr>
      <w:sz w:val="20"/>
      <w:szCs w:val="20"/>
      <w:lang w:val="en-US"/>
    </w:rPr>
  </w:style>
  <w:style w:type="character" w:customStyle="1" w:styleId="Heading1Char">
    <w:name w:val="Heading 1 Char"/>
    <w:basedOn w:val="DefaultParagraphFont"/>
    <w:link w:val="Heading1"/>
    <w:uiPriority w:val="9"/>
    <w:rsid w:val="00B43627"/>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B43627"/>
    <w:rPr>
      <w:rFonts w:asciiTheme="majorHAnsi" w:eastAsiaTheme="majorEastAsia" w:hAnsiTheme="majorHAnsi" w:cstheme="majorBidi"/>
      <w:color w:val="1F3763" w:themeColor="accent1" w:themeShade="7F"/>
      <w:lang w:val="en-US"/>
    </w:rPr>
  </w:style>
  <w:style w:type="paragraph" w:styleId="CommentSubject">
    <w:name w:val="annotation subject"/>
    <w:basedOn w:val="CommentText"/>
    <w:next w:val="CommentText"/>
    <w:link w:val="CommentSubjectChar"/>
    <w:uiPriority w:val="99"/>
    <w:semiHidden/>
    <w:unhideWhenUsed/>
    <w:rsid w:val="00B43627"/>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B43627"/>
    <w:rPr>
      <w:rFonts w:ascii="Calibri" w:eastAsia="Times New Roman" w:hAnsi="Calibri" w:cs="Times New Roman"/>
      <w:b/>
      <w:bCs/>
      <w:sz w:val="20"/>
      <w:szCs w:val="20"/>
      <w:lang w:val="en-US"/>
    </w:rPr>
  </w:style>
  <w:style w:type="character" w:styleId="FollowedHyperlink">
    <w:name w:val="FollowedHyperlink"/>
    <w:basedOn w:val="DefaultParagraphFont"/>
    <w:uiPriority w:val="99"/>
    <w:semiHidden/>
    <w:unhideWhenUsed/>
    <w:rsid w:val="004F5915"/>
    <w:rPr>
      <w:color w:val="954F72" w:themeColor="followedHyperlink"/>
      <w:u w:val="single"/>
    </w:rPr>
  </w:style>
  <w:style w:type="paragraph" w:styleId="Revision">
    <w:name w:val="Revision"/>
    <w:hidden/>
    <w:uiPriority w:val="99"/>
    <w:semiHidden/>
    <w:rsid w:val="00BB0F92"/>
    <w:rPr>
      <w:rFonts w:ascii="Calibri" w:eastAsia="Times New Roman" w:hAnsi="Calibri" w:cs="Times New Roman"/>
      <w:szCs w:val="20"/>
      <w:lang w:val="en-US"/>
    </w:rPr>
  </w:style>
  <w:style w:type="character" w:styleId="UnresolvedMention">
    <w:name w:val="Unresolved Mention"/>
    <w:basedOn w:val="DefaultParagraphFont"/>
    <w:uiPriority w:val="99"/>
    <w:semiHidden/>
    <w:unhideWhenUsed/>
    <w:rsid w:val="00551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29">
      <w:bodyDiv w:val="1"/>
      <w:marLeft w:val="0"/>
      <w:marRight w:val="0"/>
      <w:marTop w:val="0"/>
      <w:marBottom w:val="0"/>
      <w:divBdr>
        <w:top w:val="none" w:sz="0" w:space="0" w:color="auto"/>
        <w:left w:val="none" w:sz="0" w:space="0" w:color="auto"/>
        <w:bottom w:val="none" w:sz="0" w:space="0" w:color="auto"/>
        <w:right w:val="none" w:sz="0" w:space="0" w:color="auto"/>
      </w:divBdr>
      <w:divsChild>
        <w:div w:id="2067413406">
          <w:marLeft w:val="0"/>
          <w:marRight w:val="0"/>
          <w:marTop w:val="0"/>
          <w:marBottom w:val="0"/>
          <w:divBdr>
            <w:top w:val="none" w:sz="0" w:space="0" w:color="auto"/>
            <w:left w:val="none" w:sz="0" w:space="0" w:color="auto"/>
            <w:bottom w:val="none" w:sz="0" w:space="0" w:color="auto"/>
            <w:right w:val="none" w:sz="0" w:space="0" w:color="auto"/>
          </w:divBdr>
        </w:div>
      </w:divsChild>
    </w:div>
    <w:div w:id="498234656">
      <w:bodyDiv w:val="1"/>
      <w:marLeft w:val="0"/>
      <w:marRight w:val="0"/>
      <w:marTop w:val="0"/>
      <w:marBottom w:val="0"/>
      <w:divBdr>
        <w:top w:val="none" w:sz="0" w:space="0" w:color="auto"/>
        <w:left w:val="none" w:sz="0" w:space="0" w:color="auto"/>
        <w:bottom w:val="none" w:sz="0" w:space="0" w:color="auto"/>
        <w:right w:val="none" w:sz="0" w:space="0" w:color="auto"/>
      </w:divBdr>
      <w:divsChild>
        <w:div w:id="884023766">
          <w:marLeft w:val="0"/>
          <w:marRight w:val="0"/>
          <w:marTop w:val="0"/>
          <w:marBottom w:val="0"/>
          <w:divBdr>
            <w:top w:val="none" w:sz="0" w:space="0" w:color="auto"/>
            <w:left w:val="none" w:sz="0" w:space="0" w:color="auto"/>
            <w:bottom w:val="none" w:sz="0" w:space="0" w:color="auto"/>
            <w:right w:val="none" w:sz="0" w:space="0" w:color="auto"/>
          </w:divBdr>
        </w:div>
      </w:divsChild>
    </w:div>
    <w:div w:id="584537830">
      <w:bodyDiv w:val="1"/>
      <w:marLeft w:val="0"/>
      <w:marRight w:val="0"/>
      <w:marTop w:val="0"/>
      <w:marBottom w:val="0"/>
      <w:divBdr>
        <w:top w:val="none" w:sz="0" w:space="0" w:color="auto"/>
        <w:left w:val="none" w:sz="0" w:space="0" w:color="auto"/>
        <w:bottom w:val="none" w:sz="0" w:space="0" w:color="auto"/>
        <w:right w:val="none" w:sz="0" w:space="0" w:color="auto"/>
      </w:divBdr>
      <w:divsChild>
        <w:div w:id="2046296802">
          <w:marLeft w:val="0"/>
          <w:marRight w:val="0"/>
          <w:marTop w:val="0"/>
          <w:marBottom w:val="0"/>
          <w:divBdr>
            <w:top w:val="none" w:sz="0" w:space="0" w:color="auto"/>
            <w:left w:val="none" w:sz="0" w:space="0" w:color="auto"/>
            <w:bottom w:val="none" w:sz="0" w:space="0" w:color="auto"/>
            <w:right w:val="none" w:sz="0" w:space="0" w:color="auto"/>
          </w:divBdr>
        </w:div>
      </w:divsChild>
    </w:div>
    <w:div w:id="2032996135">
      <w:bodyDiv w:val="1"/>
      <w:marLeft w:val="0"/>
      <w:marRight w:val="0"/>
      <w:marTop w:val="0"/>
      <w:marBottom w:val="0"/>
      <w:divBdr>
        <w:top w:val="none" w:sz="0" w:space="0" w:color="auto"/>
        <w:left w:val="none" w:sz="0" w:space="0" w:color="auto"/>
        <w:bottom w:val="none" w:sz="0" w:space="0" w:color="auto"/>
        <w:right w:val="none" w:sz="0" w:space="0" w:color="auto"/>
      </w:divBdr>
      <w:divsChild>
        <w:div w:id="1762675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L-C-0070/en" TargetMode="External"/><Relationship Id="rId13" Type="http://schemas.openxmlformats.org/officeDocument/2006/relationships/hyperlink" Target="https://www.itu.int/md/S21-CL-C-0050/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S20-CLVC-C-0013/en" TargetMode="External"/><Relationship Id="rId12" Type="http://schemas.openxmlformats.org/officeDocument/2006/relationships/hyperlink" Target="https://www.itu.int/md/S21-CL-C-0007/en" TargetMode="External"/><Relationship Id="rId17" Type="http://schemas.openxmlformats.org/officeDocument/2006/relationships/hyperlink" Target="https://www.itu.int/md/S21-CL-C-0029/en" TargetMode="External"/><Relationship Id="rId2" Type="http://schemas.openxmlformats.org/officeDocument/2006/relationships/styles" Target="styles.xml"/><Relationship Id="rId16" Type="http://schemas.openxmlformats.org/officeDocument/2006/relationships/hyperlink" Target="https://unsceb.org/topics/future-work" TargetMode="External"/><Relationship Id="rId1" Type="http://schemas.openxmlformats.org/officeDocument/2006/relationships/numbering" Target="numbering.xml"/><Relationship Id="rId6" Type="http://schemas.openxmlformats.org/officeDocument/2006/relationships/hyperlink" Target="https://www.itu.int/md/S20-CLVC-C-0013/en" TargetMode="External"/><Relationship Id="rId11" Type="http://schemas.openxmlformats.org/officeDocument/2006/relationships/hyperlink" Target="https://www.itu.int/md/S20-CL-C-0053/en" TargetMode="External"/><Relationship Id="rId5" Type="http://schemas.openxmlformats.org/officeDocument/2006/relationships/image" Target="media/image1.jpeg"/><Relationship Id="rId15" Type="http://schemas.openxmlformats.org/officeDocument/2006/relationships/hyperlink" Target="https://www.itu.int/md/S21-CL-C-0029/en" TargetMode="External"/><Relationship Id="rId10" Type="http://schemas.openxmlformats.org/officeDocument/2006/relationships/hyperlink" Target="https://www.itu.int/md/S21-CL-C-0029/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21-CL-C-0068/en" TargetMode="External"/><Relationship Id="rId14" Type="http://schemas.openxmlformats.org/officeDocument/2006/relationships/hyperlink" Target="https://itu-office-presence-covid19.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3156</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the Covid-19 pandemic on the functioning and activities of ITU</dc:title>
  <dc:subject>Council 2021, Virtual consultation of councillors</dc:subject>
  <dc:creator>Marinescu, Catalin</dc:creator>
  <cp:keywords>C2021, C21, VCC, C21-VCC-1</cp:keywords>
  <dc:description/>
  <cp:lastModifiedBy>Brouard, Ricarda</cp:lastModifiedBy>
  <cp:revision>3</cp:revision>
  <dcterms:created xsi:type="dcterms:W3CDTF">2021-05-06T18:03:00Z</dcterms:created>
  <dcterms:modified xsi:type="dcterms:W3CDTF">2021-05-06T18:07:00Z</dcterms:modified>
</cp:coreProperties>
</file>