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603F18" w14:paraId="6D6A4771" w14:textId="77777777" w:rsidTr="009F66A3">
        <w:trPr>
          <w:cantSplit/>
          <w:trHeight w:val="1276"/>
        </w:trPr>
        <w:tc>
          <w:tcPr>
            <w:tcW w:w="6911" w:type="dxa"/>
          </w:tcPr>
          <w:p w14:paraId="7BC30B78" w14:textId="31AB1AE8" w:rsidR="002A2188" w:rsidRPr="00603F18" w:rsidRDefault="002A2188" w:rsidP="00B13B27">
            <w:pPr>
              <w:spacing w:before="360" w:after="48" w:line="240" w:lineRule="atLeast"/>
              <w:rPr>
                <w:position w:val="6"/>
              </w:rPr>
            </w:pPr>
            <w:bookmarkStart w:id="0" w:name="dc06"/>
            <w:bookmarkEnd w:id="0"/>
            <w:r w:rsidRPr="00603F18">
              <w:rPr>
                <w:b/>
                <w:bCs/>
                <w:position w:val="6"/>
                <w:sz w:val="30"/>
                <w:szCs w:val="30"/>
              </w:rPr>
              <w:t>C</w:t>
            </w:r>
            <w:r w:rsidR="00B13B27" w:rsidRPr="00603F18">
              <w:rPr>
                <w:b/>
                <w:bCs/>
                <w:position w:val="6"/>
                <w:sz w:val="30"/>
                <w:szCs w:val="30"/>
              </w:rPr>
              <w:t>onsei</w:t>
            </w:r>
            <w:r w:rsidR="009F66A3" w:rsidRPr="00603F18">
              <w:rPr>
                <w:b/>
                <w:bCs/>
                <w:position w:val="6"/>
                <w:sz w:val="30"/>
                <w:szCs w:val="30"/>
              </w:rPr>
              <w:t>l 202</w:t>
            </w:r>
            <w:r w:rsidR="00F56668" w:rsidRPr="00603F18">
              <w:rPr>
                <w:b/>
                <w:bCs/>
                <w:position w:val="6"/>
                <w:sz w:val="30"/>
                <w:szCs w:val="30"/>
              </w:rPr>
              <w:t>1</w:t>
            </w:r>
            <w:r w:rsidR="00F56668" w:rsidRPr="00603F18">
              <w:rPr>
                <w:b/>
                <w:bCs/>
                <w:position w:val="6"/>
                <w:sz w:val="30"/>
                <w:szCs w:val="30"/>
              </w:rPr>
              <w:br/>
            </w:r>
            <w:r w:rsidR="00B13B27" w:rsidRPr="00603F18">
              <w:rPr>
                <w:b/>
                <w:bCs/>
                <w:position w:val="6"/>
                <w:sz w:val="28"/>
                <w:szCs w:val="28"/>
              </w:rPr>
              <w:t>Consultation virtuelle des Conseillers</w:t>
            </w:r>
            <w:r w:rsidR="00F56668" w:rsidRPr="00603F18">
              <w:rPr>
                <w:b/>
                <w:bCs/>
                <w:position w:val="6"/>
                <w:sz w:val="28"/>
                <w:szCs w:val="28"/>
              </w:rPr>
              <w:t xml:space="preserve">, </w:t>
            </w:r>
            <w:r w:rsidR="00B13B27" w:rsidRPr="00603F18">
              <w:rPr>
                <w:b/>
                <w:bCs/>
                <w:position w:val="6"/>
                <w:sz w:val="28"/>
                <w:szCs w:val="28"/>
              </w:rPr>
              <w:t>8-18 juin</w:t>
            </w:r>
            <w:r w:rsidR="00F56668" w:rsidRPr="00603F18">
              <w:rPr>
                <w:b/>
                <w:bCs/>
                <w:position w:val="6"/>
                <w:sz w:val="28"/>
                <w:szCs w:val="28"/>
              </w:rPr>
              <w:t xml:space="preserve"> 2021</w:t>
            </w:r>
          </w:p>
        </w:tc>
        <w:tc>
          <w:tcPr>
            <w:tcW w:w="3120" w:type="dxa"/>
            <w:vAlign w:val="center"/>
          </w:tcPr>
          <w:p w14:paraId="049BF09C" w14:textId="77777777" w:rsidR="002A2188" w:rsidRPr="00603F18" w:rsidRDefault="009F66A3" w:rsidP="009F66A3">
            <w:pPr>
              <w:spacing w:before="0" w:line="240" w:lineRule="atLeast"/>
            </w:pPr>
            <w:bookmarkStart w:id="1" w:name="ditulogo"/>
            <w:bookmarkEnd w:id="1"/>
            <w:r w:rsidRPr="00603F18">
              <w:rPr>
                <w:noProof/>
                <w:lang w:val="en-US"/>
              </w:rPr>
              <w:drawing>
                <wp:inline distT="0" distB="0" distL="0" distR="0" wp14:anchorId="10F84D5C" wp14:editId="20BC88C8">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A2188" w:rsidRPr="00603F18" w14:paraId="02F3C902" w14:textId="77777777" w:rsidTr="00464B6C">
        <w:trPr>
          <w:cantSplit/>
        </w:trPr>
        <w:tc>
          <w:tcPr>
            <w:tcW w:w="6911" w:type="dxa"/>
            <w:tcBorders>
              <w:bottom w:val="single" w:sz="12" w:space="0" w:color="auto"/>
            </w:tcBorders>
          </w:tcPr>
          <w:p w14:paraId="2143B1CA" w14:textId="77777777" w:rsidR="002A2188" w:rsidRPr="00603F18" w:rsidRDefault="002A2188" w:rsidP="00DE4373">
            <w:pPr>
              <w:spacing w:before="0" w:line="240" w:lineRule="atLeast"/>
              <w:rPr>
                <w:b/>
                <w:smallCaps/>
                <w:szCs w:val="24"/>
              </w:rPr>
            </w:pPr>
          </w:p>
        </w:tc>
        <w:tc>
          <w:tcPr>
            <w:tcW w:w="3120" w:type="dxa"/>
            <w:tcBorders>
              <w:bottom w:val="single" w:sz="12" w:space="0" w:color="auto"/>
            </w:tcBorders>
          </w:tcPr>
          <w:p w14:paraId="3D08500D" w14:textId="77777777" w:rsidR="002A2188" w:rsidRPr="00603F18" w:rsidRDefault="002A2188" w:rsidP="00DE4373">
            <w:pPr>
              <w:spacing w:before="0" w:line="240" w:lineRule="atLeast"/>
              <w:rPr>
                <w:szCs w:val="24"/>
              </w:rPr>
            </w:pPr>
          </w:p>
        </w:tc>
      </w:tr>
      <w:tr w:rsidR="002A2188" w:rsidRPr="00603F18" w14:paraId="17235C7F" w14:textId="77777777" w:rsidTr="00464B6C">
        <w:trPr>
          <w:cantSplit/>
        </w:trPr>
        <w:tc>
          <w:tcPr>
            <w:tcW w:w="6911" w:type="dxa"/>
            <w:tcBorders>
              <w:top w:val="single" w:sz="12" w:space="0" w:color="auto"/>
            </w:tcBorders>
          </w:tcPr>
          <w:p w14:paraId="5D7313BD" w14:textId="77777777" w:rsidR="002A2188" w:rsidRPr="00603F18" w:rsidRDefault="002A2188" w:rsidP="00DE4373">
            <w:pPr>
              <w:spacing w:before="0" w:line="240" w:lineRule="atLeast"/>
              <w:rPr>
                <w:b/>
                <w:smallCaps/>
                <w:szCs w:val="24"/>
              </w:rPr>
            </w:pPr>
          </w:p>
        </w:tc>
        <w:tc>
          <w:tcPr>
            <w:tcW w:w="3120" w:type="dxa"/>
            <w:tcBorders>
              <w:top w:val="single" w:sz="12" w:space="0" w:color="auto"/>
            </w:tcBorders>
          </w:tcPr>
          <w:p w14:paraId="22C9147A" w14:textId="77777777" w:rsidR="002A2188" w:rsidRPr="00603F18" w:rsidRDefault="002A2188" w:rsidP="00DE4373">
            <w:pPr>
              <w:spacing w:before="0" w:line="240" w:lineRule="atLeast"/>
              <w:rPr>
                <w:szCs w:val="24"/>
              </w:rPr>
            </w:pPr>
          </w:p>
        </w:tc>
      </w:tr>
      <w:tr w:rsidR="002A2188" w:rsidRPr="00603F18" w14:paraId="6804D83E" w14:textId="77777777" w:rsidTr="00464B6C">
        <w:trPr>
          <w:cantSplit/>
          <w:trHeight w:val="23"/>
        </w:trPr>
        <w:tc>
          <w:tcPr>
            <w:tcW w:w="6911" w:type="dxa"/>
            <w:vMerge w:val="restart"/>
          </w:tcPr>
          <w:p w14:paraId="42A03540" w14:textId="48F3B55E" w:rsidR="002A2188" w:rsidRPr="00603F18" w:rsidRDefault="00B13B27" w:rsidP="00DE4373">
            <w:pPr>
              <w:tabs>
                <w:tab w:val="left" w:pos="851"/>
              </w:tabs>
              <w:spacing w:before="0" w:line="240" w:lineRule="atLeast"/>
              <w:rPr>
                <w:b/>
              </w:rPr>
            </w:pPr>
            <w:bookmarkStart w:id="2" w:name="dmeeting" w:colFirst="0" w:colLast="0"/>
            <w:bookmarkStart w:id="3" w:name="dnum" w:colFirst="1" w:colLast="1"/>
            <w:r w:rsidRPr="00603F18">
              <w:rPr>
                <w:b/>
              </w:rPr>
              <w:t>Point de l'ordre du jour</w:t>
            </w:r>
            <w:r w:rsidR="00DE4373" w:rsidRPr="00603F18">
              <w:rPr>
                <w:b/>
              </w:rPr>
              <w:t xml:space="preserve"> </w:t>
            </w:r>
            <w:r w:rsidR="00737A8C" w:rsidRPr="00603F18">
              <w:rPr>
                <w:b/>
              </w:rPr>
              <w:t>PL 2.11</w:t>
            </w:r>
          </w:p>
        </w:tc>
        <w:tc>
          <w:tcPr>
            <w:tcW w:w="3120" w:type="dxa"/>
          </w:tcPr>
          <w:p w14:paraId="1727AC2C" w14:textId="34ABF060" w:rsidR="002A2188" w:rsidRPr="00603F18" w:rsidRDefault="009F66A3" w:rsidP="00DE4373">
            <w:pPr>
              <w:tabs>
                <w:tab w:val="left" w:pos="851"/>
              </w:tabs>
              <w:spacing w:before="0" w:line="240" w:lineRule="atLeast"/>
              <w:rPr>
                <w:b/>
              </w:rPr>
            </w:pPr>
            <w:r w:rsidRPr="00603F18">
              <w:rPr>
                <w:b/>
              </w:rPr>
              <w:t>Document C2</w:t>
            </w:r>
            <w:r w:rsidR="00F56668" w:rsidRPr="00603F18">
              <w:rPr>
                <w:b/>
              </w:rPr>
              <w:t>1</w:t>
            </w:r>
            <w:r w:rsidR="002A2188" w:rsidRPr="00603F18">
              <w:rPr>
                <w:b/>
              </w:rPr>
              <w:t>/</w:t>
            </w:r>
            <w:r w:rsidR="00737A8C" w:rsidRPr="00603F18">
              <w:rPr>
                <w:b/>
              </w:rPr>
              <w:t>7</w:t>
            </w:r>
            <w:r w:rsidR="00DB3F97" w:rsidRPr="00603F18">
              <w:rPr>
                <w:b/>
              </w:rPr>
              <w:t>3</w:t>
            </w:r>
            <w:r w:rsidR="002A2188" w:rsidRPr="00603F18">
              <w:rPr>
                <w:b/>
              </w:rPr>
              <w:t>-</w:t>
            </w:r>
            <w:r w:rsidR="00B13B27" w:rsidRPr="00603F18">
              <w:rPr>
                <w:b/>
              </w:rPr>
              <w:t>F</w:t>
            </w:r>
          </w:p>
        </w:tc>
      </w:tr>
      <w:tr w:rsidR="002A2188" w:rsidRPr="00603F18" w14:paraId="6B217E52" w14:textId="77777777" w:rsidTr="00464B6C">
        <w:trPr>
          <w:cantSplit/>
          <w:trHeight w:val="23"/>
        </w:trPr>
        <w:tc>
          <w:tcPr>
            <w:tcW w:w="6911" w:type="dxa"/>
            <w:vMerge/>
          </w:tcPr>
          <w:p w14:paraId="1CE8AE93" w14:textId="77777777" w:rsidR="002A2188" w:rsidRPr="00603F18" w:rsidRDefault="002A2188" w:rsidP="00464B6C">
            <w:pPr>
              <w:tabs>
                <w:tab w:val="left" w:pos="851"/>
              </w:tabs>
              <w:spacing w:line="240" w:lineRule="atLeast"/>
              <w:rPr>
                <w:b/>
              </w:rPr>
            </w:pPr>
            <w:bookmarkStart w:id="4" w:name="ddate" w:colFirst="1" w:colLast="1"/>
            <w:bookmarkEnd w:id="2"/>
            <w:bookmarkEnd w:id="3"/>
          </w:p>
        </w:tc>
        <w:tc>
          <w:tcPr>
            <w:tcW w:w="3120" w:type="dxa"/>
          </w:tcPr>
          <w:p w14:paraId="257DEE08" w14:textId="5B1B67FC" w:rsidR="002A2188" w:rsidRPr="00603F18" w:rsidRDefault="00737A8C" w:rsidP="00B13B27">
            <w:pPr>
              <w:tabs>
                <w:tab w:val="left" w:pos="993"/>
              </w:tabs>
              <w:spacing w:before="0"/>
              <w:rPr>
                <w:b/>
              </w:rPr>
            </w:pPr>
            <w:r w:rsidRPr="00603F18">
              <w:rPr>
                <w:b/>
              </w:rPr>
              <w:t xml:space="preserve">22 </w:t>
            </w:r>
            <w:r w:rsidR="00B13B27" w:rsidRPr="00603F18">
              <w:rPr>
                <w:b/>
              </w:rPr>
              <w:t>avril</w:t>
            </w:r>
            <w:r w:rsidR="002A2188" w:rsidRPr="00603F18">
              <w:rPr>
                <w:b/>
              </w:rPr>
              <w:t xml:space="preserve"> 20</w:t>
            </w:r>
            <w:r w:rsidR="009F66A3" w:rsidRPr="00603F18">
              <w:rPr>
                <w:b/>
              </w:rPr>
              <w:t>2</w:t>
            </w:r>
            <w:r w:rsidR="00F56668" w:rsidRPr="00603F18">
              <w:rPr>
                <w:b/>
              </w:rPr>
              <w:t>1</w:t>
            </w:r>
          </w:p>
        </w:tc>
      </w:tr>
      <w:tr w:rsidR="002A2188" w:rsidRPr="00603F18" w14:paraId="10D36551" w14:textId="77777777" w:rsidTr="00464B6C">
        <w:trPr>
          <w:cantSplit/>
          <w:trHeight w:val="23"/>
        </w:trPr>
        <w:tc>
          <w:tcPr>
            <w:tcW w:w="6911" w:type="dxa"/>
            <w:vMerge/>
          </w:tcPr>
          <w:p w14:paraId="7EF812AF" w14:textId="77777777" w:rsidR="002A2188" w:rsidRPr="00603F18" w:rsidRDefault="002A2188" w:rsidP="00464B6C">
            <w:pPr>
              <w:tabs>
                <w:tab w:val="left" w:pos="851"/>
              </w:tabs>
              <w:spacing w:line="240" w:lineRule="atLeast"/>
              <w:rPr>
                <w:b/>
              </w:rPr>
            </w:pPr>
            <w:bookmarkStart w:id="5" w:name="dorlang" w:colFirst="1" w:colLast="1"/>
            <w:bookmarkEnd w:id="4"/>
          </w:p>
        </w:tc>
        <w:tc>
          <w:tcPr>
            <w:tcW w:w="3120" w:type="dxa"/>
          </w:tcPr>
          <w:p w14:paraId="0DF1D05E" w14:textId="27EF26D9" w:rsidR="002A2188" w:rsidRPr="00603F18" w:rsidRDefault="002A2188" w:rsidP="00B13B27">
            <w:pPr>
              <w:tabs>
                <w:tab w:val="left" w:pos="993"/>
              </w:tabs>
              <w:spacing w:before="0"/>
              <w:rPr>
                <w:b/>
              </w:rPr>
            </w:pPr>
            <w:r w:rsidRPr="00603F18">
              <w:rPr>
                <w:b/>
              </w:rPr>
              <w:t xml:space="preserve">Original: </w:t>
            </w:r>
            <w:r w:rsidR="00B13B27" w:rsidRPr="00603F18">
              <w:rPr>
                <w:b/>
              </w:rPr>
              <w:t>anglais</w:t>
            </w:r>
          </w:p>
        </w:tc>
      </w:tr>
      <w:tr w:rsidR="002A2188" w:rsidRPr="00603F18" w14:paraId="46399271" w14:textId="77777777" w:rsidTr="00464B6C">
        <w:trPr>
          <w:cantSplit/>
        </w:trPr>
        <w:tc>
          <w:tcPr>
            <w:tcW w:w="10031" w:type="dxa"/>
            <w:gridSpan w:val="2"/>
          </w:tcPr>
          <w:p w14:paraId="18E28CA0" w14:textId="4D52D0E3" w:rsidR="00EA2120" w:rsidRPr="00603F18" w:rsidRDefault="00B13B27" w:rsidP="009C4CC0">
            <w:pPr>
              <w:pStyle w:val="Source"/>
            </w:pPr>
            <w:bookmarkStart w:id="6" w:name="dsource" w:colFirst="0" w:colLast="0"/>
            <w:bookmarkEnd w:id="5"/>
            <w:r w:rsidRPr="00603F18">
              <w:t>Rapport du Secrétaire général</w:t>
            </w:r>
          </w:p>
        </w:tc>
      </w:tr>
      <w:tr w:rsidR="002A2188" w:rsidRPr="001C73EA" w14:paraId="73F317E2" w14:textId="77777777" w:rsidTr="00464B6C">
        <w:trPr>
          <w:cantSplit/>
        </w:trPr>
        <w:tc>
          <w:tcPr>
            <w:tcW w:w="10031" w:type="dxa"/>
            <w:gridSpan w:val="2"/>
          </w:tcPr>
          <w:p w14:paraId="29B3DB5C" w14:textId="09BE5E61" w:rsidR="002A2188" w:rsidRPr="00603F18" w:rsidRDefault="00B13B27" w:rsidP="009C4CC0">
            <w:pPr>
              <w:pStyle w:val="Title1"/>
            </w:pPr>
            <w:bookmarkStart w:id="7" w:name="dtitle1" w:colFirst="0" w:colLast="0"/>
            <w:bookmarkEnd w:id="6"/>
            <w:r w:rsidRPr="00603F18">
              <w:t xml:space="preserve">Travaux prÉparatoires en vue DE LA CONFÉRENCE </w:t>
            </w:r>
            <w:r w:rsidRPr="00603F18">
              <w:br/>
              <w:t>DE PLÉNIPOTENTIAIRES DE 2022</w:t>
            </w:r>
          </w:p>
        </w:tc>
      </w:tr>
      <w:bookmarkEnd w:id="7"/>
    </w:tbl>
    <w:p w14:paraId="4FE83389" w14:textId="77777777" w:rsidR="002A2188" w:rsidRPr="00603F18" w:rsidRDefault="002A2188" w:rsidP="002A2188"/>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2A2188" w:rsidRPr="001C73EA" w14:paraId="4E4C3AF4" w14:textId="77777777" w:rsidTr="00464B6C">
        <w:trPr>
          <w:trHeight w:val="3372"/>
        </w:trPr>
        <w:tc>
          <w:tcPr>
            <w:tcW w:w="8080" w:type="dxa"/>
            <w:tcBorders>
              <w:top w:val="single" w:sz="12" w:space="0" w:color="auto"/>
              <w:left w:val="single" w:sz="12" w:space="0" w:color="auto"/>
              <w:bottom w:val="single" w:sz="12" w:space="0" w:color="auto"/>
              <w:right w:val="single" w:sz="12" w:space="0" w:color="auto"/>
            </w:tcBorders>
          </w:tcPr>
          <w:p w14:paraId="1A0DE11E" w14:textId="4467488D" w:rsidR="002A2188" w:rsidRPr="00603F18" w:rsidRDefault="00B13B27" w:rsidP="002E7605">
            <w:pPr>
              <w:pStyle w:val="Headingb"/>
            </w:pPr>
            <w:r w:rsidRPr="002E7605">
              <w:t>Résumé</w:t>
            </w:r>
          </w:p>
          <w:p w14:paraId="06DDC656" w14:textId="0F11DFBF" w:rsidR="00B13B27" w:rsidRPr="00603F18" w:rsidRDefault="00B13B27" w:rsidP="002E7605">
            <w:r w:rsidRPr="00603F18">
              <w:t xml:space="preserve">Le Conseil de l'UIT, à sa session de 2019, a arrêté le lieu et les dates de la prochaine Conférence de </w:t>
            </w:r>
            <w:r w:rsidR="00152D65" w:rsidRPr="00603F18">
              <w:t>plénipotentiaires.</w:t>
            </w:r>
          </w:p>
          <w:p w14:paraId="06C7BCB5" w14:textId="050E743D" w:rsidR="00CF5A9F" w:rsidRPr="00603F18" w:rsidRDefault="00B13B27" w:rsidP="002E7605">
            <w:r w:rsidRPr="00603F18">
              <w:t xml:space="preserve">Le présent document a pour objet de présenter au Conseil un point sur l'état d'avancement des travaux préparatoires en vue de la Conférence de plénipotentiaires </w:t>
            </w:r>
            <w:r w:rsidR="00A02945" w:rsidRPr="00603F18">
              <w:t>(PP-</w:t>
            </w:r>
            <w:r w:rsidR="001A77FC" w:rsidRPr="00603F18">
              <w:t>22</w:t>
            </w:r>
            <w:r w:rsidR="00A02945" w:rsidRPr="00603F18">
              <w:t>).</w:t>
            </w:r>
          </w:p>
          <w:p w14:paraId="145DFE4B" w14:textId="2E7C413B" w:rsidR="002A2188" w:rsidRPr="00603F18" w:rsidRDefault="00B13B27" w:rsidP="002E7605">
            <w:pPr>
              <w:pStyle w:val="Headingb"/>
            </w:pPr>
            <w:r w:rsidRPr="002E7605">
              <w:t>Suite</w:t>
            </w:r>
            <w:r w:rsidRPr="00603F18">
              <w:t xml:space="preserve"> à donner</w:t>
            </w:r>
          </w:p>
          <w:p w14:paraId="74F1525E" w14:textId="22716A18" w:rsidR="002A2188" w:rsidRPr="00603F18" w:rsidRDefault="00B13B27" w:rsidP="002E7605">
            <w:pPr>
              <w:rPr>
                <w:szCs w:val="24"/>
              </w:rPr>
            </w:pPr>
            <w:r w:rsidRPr="00603F18">
              <w:t>Le Conseil est invité à</w:t>
            </w:r>
            <w:r w:rsidR="00A02945" w:rsidRPr="00603F18">
              <w:t xml:space="preserve"> </w:t>
            </w:r>
            <w:r w:rsidRPr="00603F18">
              <w:rPr>
                <w:b/>
                <w:bCs/>
              </w:rPr>
              <w:t>prendre note</w:t>
            </w:r>
            <w:r w:rsidR="00A02945" w:rsidRPr="00603F18">
              <w:rPr>
                <w:b/>
                <w:bCs/>
              </w:rPr>
              <w:t xml:space="preserve"> </w:t>
            </w:r>
            <w:r w:rsidRPr="00603F18">
              <w:t>de l'état d'avancement actuel des travaux préparatoires en vue de la</w:t>
            </w:r>
            <w:r w:rsidR="00A02945" w:rsidRPr="00603F18">
              <w:t xml:space="preserve"> PP-22</w:t>
            </w:r>
            <w:r w:rsidR="00645E41" w:rsidRPr="00603F18">
              <w:t xml:space="preserve"> </w:t>
            </w:r>
            <w:r w:rsidRPr="00603F18">
              <w:t>et à</w:t>
            </w:r>
            <w:r w:rsidR="00645E41" w:rsidRPr="00603F18">
              <w:t xml:space="preserve"> </w:t>
            </w:r>
            <w:r w:rsidRPr="00603F18">
              <w:rPr>
                <w:b/>
              </w:rPr>
              <w:t>approuver</w:t>
            </w:r>
            <w:r w:rsidR="00645E41" w:rsidRPr="00603F18">
              <w:t xml:space="preserve"> </w:t>
            </w:r>
            <w:r w:rsidRPr="00603F18">
              <w:t xml:space="preserve">le </w:t>
            </w:r>
            <w:r w:rsidR="00F25642">
              <w:t>calendrier proposé</w:t>
            </w:r>
            <w:r w:rsidR="00645E41" w:rsidRPr="00603F18">
              <w:t xml:space="preserve"> </w:t>
            </w:r>
            <w:r w:rsidR="00F25642">
              <w:t>pour les</w:t>
            </w:r>
            <w:r w:rsidRPr="00603F18">
              <w:t xml:space="preserve"> réunions interrégionales</w:t>
            </w:r>
            <w:r w:rsidR="00A02945" w:rsidRPr="00603F18">
              <w:t>.</w:t>
            </w:r>
          </w:p>
          <w:p w14:paraId="68F1D928" w14:textId="77777777" w:rsidR="002A2188" w:rsidRPr="00603F18" w:rsidRDefault="002A2188" w:rsidP="00E62EB1">
            <w:pPr>
              <w:jc w:val="center"/>
              <w:rPr>
                <w:caps/>
              </w:rPr>
            </w:pPr>
            <w:r w:rsidRPr="00603F18">
              <w:t>____________</w:t>
            </w:r>
          </w:p>
          <w:p w14:paraId="2124BADC" w14:textId="3F300F2B" w:rsidR="002A2188" w:rsidRPr="00603F18" w:rsidRDefault="00B13B27" w:rsidP="002E7605">
            <w:pPr>
              <w:pStyle w:val="Headingb"/>
            </w:pPr>
            <w:r w:rsidRPr="002E7605">
              <w:t>Réfé</w:t>
            </w:r>
            <w:r w:rsidR="002A2188" w:rsidRPr="002E7605">
              <w:t>rences</w:t>
            </w:r>
          </w:p>
          <w:p w14:paraId="2E0343C9" w14:textId="2E4CFD96" w:rsidR="00DE4373" w:rsidRPr="00E62EB1" w:rsidRDefault="005464D5" w:rsidP="00E62EB1">
            <w:pPr>
              <w:pStyle w:val="NoSpacing"/>
              <w:spacing w:before="120" w:after="120"/>
              <w:rPr>
                <w:rStyle w:val="Hyperlink"/>
                <w:lang w:val="fr-FR"/>
              </w:rPr>
            </w:pPr>
            <w:hyperlink r:id="rId9" w:history="1">
              <w:r w:rsidR="00E62EB1" w:rsidRPr="00E62EB1">
                <w:rPr>
                  <w:rStyle w:val="Hyperlink"/>
                  <w:lang w:val="fr-FR"/>
                </w:rPr>
                <w:t>CV 2</w:t>
              </w:r>
            </w:hyperlink>
            <w:r w:rsidR="00E62EB1" w:rsidRPr="00E62EB1">
              <w:rPr>
                <w:lang w:val="fr-FR"/>
              </w:rPr>
              <w:t xml:space="preserve">, </w:t>
            </w:r>
            <w:hyperlink r:id="rId10" w:history="1">
              <w:r w:rsidR="00E62EB1" w:rsidRPr="00E62EB1">
                <w:rPr>
                  <w:rStyle w:val="Hyperlink"/>
                  <w:lang w:val="fr-FR"/>
                </w:rPr>
                <w:t>C19/55(Rév.1)</w:t>
              </w:r>
            </w:hyperlink>
            <w:r w:rsidR="00E62EB1" w:rsidRPr="00E62EB1">
              <w:rPr>
                <w:lang w:val="fr-FR"/>
              </w:rPr>
              <w:t xml:space="preserve">, </w:t>
            </w:r>
            <w:hyperlink r:id="rId11" w:history="1">
              <w:r w:rsidR="00E62EB1" w:rsidRPr="00E62EB1">
                <w:rPr>
                  <w:rStyle w:val="Hyperlink"/>
                  <w:lang w:val="fr-FR"/>
                </w:rPr>
                <w:t>C19/127</w:t>
              </w:r>
            </w:hyperlink>
            <w:r w:rsidR="00E62EB1" w:rsidRPr="00E62EB1">
              <w:rPr>
                <w:lang w:val="fr-FR"/>
              </w:rPr>
              <w:t xml:space="preserve">, </w:t>
            </w:r>
            <w:hyperlink r:id="rId12" w:history="1">
              <w:r w:rsidR="00E62EB1" w:rsidRPr="00E62EB1">
                <w:rPr>
                  <w:rStyle w:val="Hyperlink"/>
                  <w:lang w:val="fr-FR"/>
                </w:rPr>
                <w:t>CL-19/33</w:t>
              </w:r>
            </w:hyperlink>
            <w:r w:rsidR="00E62EB1" w:rsidRPr="00E62EB1">
              <w:rPr>
                <w:lang w:val="fr-FR"/>
              </w:rPr>
              <w:t xml:space="preserve">, </w:t>
            </w:r>
            <w:hyperlink r:id="rId13" w:history="1">
              <w:r w:rsidR="00E62EB1" w:rsidRPr="00E62EB1">
                <w:rPr>
                  <w:rStyle w:val="Hyperlink"/>
                  <w:lang w:val="fr-FR"/>
                </w:rPr>
                <w:t>CL-19/45</w:t>
              </w:r>
            </w:hyperlink>
          </w:p>
        </w:tc>
      </w:tr>
    </w:tbl>
    <w:p w14:paraId="1B3810FE" w14:textId="7FD068A4" w:rsidR="001A77FC" w:rsidRPr="002E7605" w:rsidRDefault="00E62EB1" w:rsidP="002E7605">
      <w:pPr>
        <w:pStyle w:val="Heading1"/>
      </w:pPr>
      <w:bookmarkStart w:id="8" w:name="dstart"/>
      <w:bookmarkStart w:id="9" w:name="dbreak"/>
      <w:bookmarkEnd w:id="8"/>
      <w:bookmarkEnd w:id="9"/>
      <w:r>
        <w:t>1</w:t>
      </w:r>
      <w:r w:rsidR="001A77FC" w:rsidRPr="00603F18">
        <w:tab/>
        <w:t>Introduction</w:t>
      </w:r>
    </w:p>
    <w:p w14:paraId="50F0A6C8" w14:textId="65DFBCDD" w:rsidR="001A77FC" w:rsidRPr="00603F18" w:rsidRDefault="001A77FC" w:rsidP="00AB45ED">
      <w:r w:rsidRPr="00603F18">
        <w:rPr>
          <w:rFonts w:eastAsia="SimSun"/>
          <w:lang w:eastAsia="zh-CN"/>
        </w:rPr>
        <w:t>1.1</w:t>
      </w:r>
      <w:r w:rsidRPr="00603F18">
        <w:rPr>
          <w:rFonts w:eastAsia="SimSun"/>
          <w:lang w:eastAsia="zh-CN"/>
        </w:rPr>
        <w:tab/>
      </w:r>
      <w:r w:rsidR="007E5B5B" w:rsidRPr="00603F18">
        <w:t xml:space="preserve">Le présent document fait le point sur l'état d'avancement des travaux préparatoires en vue de la Conférence de plénipotentiaires de 2022 </w:t>
      </w:r>
      <w:r w:rsidRPr="00603F18">
        <w:t>(PP-22).</w:t>
      </w:r>
    </w:p>
    <w:p w14:paraId="540980C0" w14:textId="31712E7C" w:rsidR="002C752A" w:rsidRPr="00603F18" w:rsidRDefault="001A77FC" w:rsidP="00AB45ED">
      <w:r w:rsidRPr="00603F18">
        <w:t>1.</w:t>
      </w:r>
      <w:r w:rsidR="003007E6" w:rsidRPr="00603F18">
        <w:t>2</w:t>
      </w:r>
      <w:r w:rsidRPr="00603F18">
        <w:tab/>
      </w:r>
      <w:r w:rsidR="007E5B5B" w:rsidRPr="00603F18">
        <w:t>En vertu du numéro 2 de la Convention, dans le cas où le lieu précis et les dates exactes d'une PP n'ont pas pu être fixés par la PP précédente, ce lieu et ces dates sont déterminés par le Conseil, avec l'accord de la majorité des États Membres</w:t>
      </w:r>
      <w:r w:rsidRPr="00603F18">
        <w:t>.</w:t>
      </w:r>
    </w:p>
    <w:p w14:paraId="2CB5A2FA" w14:textId="77777777" w:rsidR="00E62EB1" w:rsidRDefault="00E62EB1" w:rsidP="002E7605">
      <w:pPr>
        <w:pStyle w:val="Heading1"/>
      </w:pPr>
      <w:r>
        <w:br w:type="page"/>
      </w:r>
    </w:p>
    <w:p w14:paraId="6BC4DE2C" w14:textId="2D623C72" w:rsidR="001A77FC" w:rsidRPr="00603F18" w:rsidRDefault="00E62EB1" w:rsidP="002E7605">
      <w:pPr>
        <w:pStyle w:val="Heading1"/>
      </w:pPr>
      <w:r>
        <w:lastRenderedPageBreak/>
        <w:t>2</w:t>
      </w:r>
      <w:r w:rsidR="001A77FC" w:rsidRPr="00603F18">
        <w:tab/>
      </w:r>
      <w:r w:rsidR="007E5B5B" w:rsidRPr="00603F18">
        <w:t>Dé</w:t>
      </w:r>
      <w:r w:rsidR="00F452A5" w:rsidRPr="00603F18">
        <w:t xml:space="preserve">cision </w:t>
      </w:r>
      <w:r w:rsidR="007E5B5B" w:rsidRPr="00603F18">
        <w:t>et</w:t>
      </w:r>
      <w:r w:rsidR="00F452A5" w:rsidRPr="00603F18">
        <w:t xml:space="preserve"> c</w:t>
      </w:r>
      <w:r w:rsidR="001A77FC" w:rsidRPr="00603F18">
        <w:t>onsultation</w:t>
      </w:r>
    </w:p>
    <w:p w14:paraId="7A8C2010" w14:textId="3DE93E2C" w:rsidR="001A77FC" w:rsidRPr="00603F18" w:rsidRDefault="001A77FC" w:rsidP="00392CC0">
      <w:r w:rsidRPr="00603F18">
        <w:t>2.1</w:t>
      </w:r>
      <w:r w:rsidRPr="00603F18">
        <w:tab/>
      </w:r>
      <w:r w:rsidR="00C505BD" w:rsidRPr="00603F18">
        <w:t>Le</w:t>
      </w:r>
      <w:r w:rsidRPr="00603F18">
        <w:t xml:space="preserve"> </w:t>
      </w:r>
      <w:r w:rsidR="002C752A" w:rsidRPr="00603F18">
        <w:t xml:space="preserve">8 </w:t>
      </w:r>
      <w:r w:rsidR="00C505BD" w:rsidRPr="00603F18">
        <w:t>avril</w:t>
      </w:r>
      <w:r w:rsidR="002C752A" w:rsidRPr="00603F18">
        <w:t xml:space="preserve"> 2019, </w:t>
      </w:r>
      <w:r w:rsidR="00C505BD" w:rsidRPr="00603F18">
        <w:t>le Secrétaire général de l'UIT a reçu de la part du Gouvernement de la Roumanie une invitation officielle en vue de tenir la PP-22 à Bucarest</w:t>
      </w:r>
      <w:r w:rsidR="00D0157F">
        <w:t xml:space="preserve"> pendant l'une des</w:t>
      </w:r>
      <w:r w:rsidR="00C505BD" w:rsidRPr="00603F18">
        <w:t xml:space="preserve"> </w:t>
      </w:r>
      <w:r w:rsidR="00D0157F">
        <w:t>t</w:t>
      </w:r>
      <w:r w:rsidR="00C505BD" w:rsidRPr="00603F18">
        <w:t xml:space="preserve">rois </w:t>
      </w:r>
      <w:r w:rsidR="00D0157F">
        <w:t>périodes</w:t>
      </w:r>
      <w:r w:rsidR="00C505BD" w:rsidRPr="00603F18">
        <w:t xml:space="preserve"> différentes </w:t>
      </w:r>
      <w:r w:rsidR="000500A4">
        <w:t xml:space="preserve">possibles qui ont été </w:t>
      </w:r>
      <w:r w:rsidR="00C505BD" w:rsidRPr="00603F18">
        <w:t>proposées</w:t>
      </w:r>
      <w:r w:rsidR="002C752A" w:rsidRPr="00603F18">
        <w:t xml:space="preserve">. </w:t>
      </w:r>
      <w:r w:rsidR="00001A4F">
        <w:t>Cette</w:t>
      </w:r>
      <w:r w:rsidR="003670FA">
        <w:t xml:space="preserve"> proposition</w:t>
      </w:r>
      <w:r w:rsidR="00937399">
        <w:t xml:space="preserve"> a été soumise au Conseil à sa session de 2019 </w:t>
      </w:r>
      <w:r w:rsidR="00D7583D">
        <w:t>(</w:t>
      </w:r>
      <w:r w:rsidR="00C505BD" w:rsidRPr="00603F18">
        <w:t>D</w:t>
      </w:r>
      <w:r w:rsidR="002C752A" w:rsidRPr="00603F18">
        <w:t xml:space="preserve">ocument </w:t>
      </w:r>
      <w:hyperlink r:id="rId14" w:history="1">
        <w:r w:rsidR="00C505BD" w:rsidRPr="00392CC0">
          <w:rPr>
            <w:rStyle w:val="Hyperlink"/>
          </w:rPr>
          <w:t>C19/55(Ré</w:t>
        </w:r>
        <w:r w:rsidR="002C752A" w:rsidRPr="00392CC0">
          <w:rPr>
            <w:rStyle w:val="Hyperlink"/>
          </w:rPr>
          <w:t>v.1)</w:t>
        </w:r>
      </w:hyperlink>
      <w:r w:rsidR="00D7583D">
        <w:t>).</w:t>
      </w:r>
      <w:r w:rsidR="002C752A" w:rsidRPr="00603F18">
        <w:t xml:space="preserve"> </w:t>
      </w:r>
    </w:p>
    <w:p w14:paraId="6CB6FD2C" w14:textId="34B7E5E5" w:rsidR="001A77FC" w:rsidRPr="00603F18" w:rsidRDefault="001A77FC" w:rsidP="00392CC0">
      <w:r w:rsidRPr="00603F18">
        <w:t>2.2</w:t>
      </w:r>
      <w:r w:rsidRPr="00603F18">
        <w:tab/>
      </w:r>
      <w:r w:rsidR="000548FE" w:rsidRPr="00603F18">
        <w:t xml:space="preserve">Suite aux discussions </w:t>
      </w:r>
      <w:r w:rsidR="00F07403">
        <w:t>tenues</w:t>
      </w:r>
      <w:r w:rsidR="000548FE" w:rsidRPr="00603F18">
        <w:t xml:space="preserve"> lors de la session de 2019 du Conseil, les Conseillers ont donné leur accord en ce qui concerne la tenue de la PP-22</w:t>
      </w:r>
      <w:r w:rsidR="002C752A" w:rsidRPr="00603F18">
        <w:t xml:space="preserve"> </w:t>
      </w:r>
      <w:r w:rsidR="000548FE" w:rsidRPr="00603F18">
        <w:t>au lieu proposé du</w:t>
      </w:r>
      <w:r w:rsidR="002C752A" w:rsidRPr="00603F18">
        <w:t xml:space="preserve"> 26 </w:t>
      </w:r>
      <w:r w:rsidR="000548FE" w:rsidRPr="00603F18">
        <w:t>septembre</w:t>
      </w:r>
      <w:r w:rsidR="002C752A" w:rsidRPr="00603F18">
        <w:t xml:space="preserve"> </w:t>
      </w:r>
      <w:r w:rsidR="00E62EB1">
        <w:t>au 14 </w:t>
      </w:r>
      <w:r w:rsidR="000548FE" w:rsidRPr="00603F18">
        <w:t>octobre 2022.</w:t>
      </w:r>
      <w:r w:rsidR="002C752A" w:rsidRPr="00603F18">
        <w:t xml:space="preserve"> </w:t>
      </w:r>
      <w:r w:rsidR="000548FE" w:rsidRPr="00603F18">
        <w:t>La Dé</w:t>
      </w:r>
      <w:r w:rsidR="002C752A" w:rsidRPr="00603F18">
        <w:t>cision 610 (</w:t>
      </w:r>
      <w:hyperlink r:id="rId15" w:history="1">
        <w:r w:rsidR="002C752A" w:rsidRPr="00392CC0">
          <w:rPr>
            <w:rStyle w:val="Hyperlink"/>
          </w:rPr>
          <w:t>C19/127</w:t>
        </w:r>
      </w:hyperlink>
      <w:r w:rsidR="000548FE" w:rsidRPr="00603F18">
        <w:t>) a donc été approuvée.</w:t>
      </w:r>
    </w:p>
    <w:p w14:paraId="431B6876" w14:textId="233BEC9A" w:rsidR="001A77FC" w:rsidRPr="00603F18" w:rsidRDefault="001A77FC" w:rsidP="00392CC0">
      <w:r w:rsidRPr="00603F18">
        <w:t>2.3</w:t>
      </w:r>
      <w:r w:rsidRPr="00603F18">
        <w:tab/>
      </w:r>
      <w:r w:rsidR="006F6CE8" w:rsidRPr="00603F18">
        <w:t xml:space="preserve">Suite à </w:t>
      </w:r>
      <w:r w:rsidR="001C73EA">
        <w:t xml:space="preserve">cette </w:t>
      </w:r>
      <w:r w:rsidR="001C73EA" w:rsidRPr="00603F18">
        <w:t xml:space="preserve">approbation </w:t>
      </w:r>
      <w:r w:rsidR="006F6CE8" w:rsidRPr="00603F18">
        <w:t>par les États Membres du Conseil et conformément au numéro 2 de la Convention</w:t>
      </w:r>
      <w:r w:rsidRPr="00603F18">
        <w:t xml:space="preserve">, </w:t>
      </w:r>
      <w:r w:rsidR="006F6CE8" w:rsidRPr="00603F18">
        <w:t xml:space="preserve">le Secrétaire général a lancé, le 22 juillet 2019, une consultation </w:t>
      </w:r>
      <w:r w:rsidRPr="00603F18">
        <w:rPr>
          <w:szCs w:val="24"/>
        </w:rPr>
        <w:t>(</w:t>
      </w:r>
      <w:hyperlink r:id="rId16" w:history="1">
        <w:r w:rsidR="002C752A" w:rsidRPr="00545E09">
          <w:rPr>
            <w:rStyle w:val="Hyperlink"/>
          </w:rPr>
          <w:t>CL-19/33</w:t>
        </w:r>
      </w:hyperlink>
      <w:r w:rsidRPr="00603F18">
        <w:rPr>
          <w:szCs w:val="24"/>
        </w:rPr>
        <w:t xml:space="preserve">) </w:t>
      </w:r>
      <w:r w:rsidR="00F07403">
        <w:rPr>
          <w:szCs w:val="24"/>
        </w:rPr>
        <w:t>auprès des É</w:t>
      </w:r>
      <w:r w:rsidR="006F6CE8" w:rsidRPr="00603F18">
        <w:rPr>
          <w:szCs w:val="24"/>
        </w:rPr>
        <w:t xml:space="preserve">tats Membres de l'UIT pour leur demander s'ils approuvaient le lieu précis et les dates exactes de la </w:t>
      </w:r>
      <w:r w:rsidRPr="00603F18">
        <w:t>PP-</w:t>
      </w:r>
      <w:r w:rsidR="002C752A" w:rsidRPr="00603F18">
        <w:t>22</w:t>
      </w:r>
      <w:r w:rsidRPr="00603F18">
        <w:t>.</w:t>
      </w:r>
    </w:p>
    <w:p w14:paraId="0D834ADD" w14:textId="523A218A" w:rsidR="001A77FC" w:rsidRPr="00603F18" w:rsidRDefault="001A77FC" w:rsidP="00392CC0">
      <w:r w:rsidRPr="00603F18">
        <w:t>2.4</w:t>
      </w:r>
      <w:r w:rsidRPr="00603F18">
        <w:tab/>
      </w:r>
      <w:r w:rsidR="00EF5FD9" w:rsidRPr="00603F18">
        <w:t>Le 3 octobre</w:t>
      </w:r>
      <w:r w:rsidR="002C752A" w:rsidRPr="00603F18">
        <w:t xml:space="preserve"> 2019</w:t>
      </w:r>
      <w:r w:rsidRPr="00603F18">
        <w:t xml:space="preserve">, </w:t>
      </w:r>
      <w:r w:rsidR="00EF5FD9" w:rsidRPr="00603F18">
        <w:t>le Secrétaire général a annoncé que la consultation avait reçu l'accord de la majorité requise des États Membres, conformément au numéro 2 de la Convention</w:t>
      </w:r>
      <w:r w:rsidRPr="00603F18">
        <w:t xml:space="preserve"> (</w:t>
      </w:r>
      <w:hyperlink r:id="rId17" w:history="1">
        <w:r w:rsidR="002C752A" w:rsidRPr="00392CC0">
          <w:rPr>
            <w:rStyle w:val="Hyperlink"/>
          </w:rPr>
          <w:t>CL-19/45</w:t>
        </w:r>
      </w:hyperlink>
      <w:r w:rsidR="00E62EB1">
        <w:t>).</w:t>
      </w:r>
    </w:p>
    <w:p w14:paraId="00DBCB84" w14:textId="4A323C31" w:rsidR="001A77FC" w:rsidRPr="00603F18" w:rsidRDefault="00E62EB1" w:rsidP="002E7605">
      <w:pPr>
        <w:pStyle w:val="Heading1"/>
      </w:pPr>
      <w:r>
        <w:t>3</w:t>
      </w:r>
      <w:r w:rsidR="001A77FC" w:rsidRPr="00603F18">
        <w:tab/>
      </w:r>
      <w:r w:rsidR="00BC5EB7" w:rsidRPr="00603F18">
        <w:t>Avancement des travaux</w:t>
      </w:r>
    </w:p>
    <w:p w14:paraId="0B1B4885" w14:textId="5131649F" w:rsidR="001A77FC" w:rsidRPr="00603F18" w:rsidRDefault="001A77FC" w:rsidP="00392CC0">
      <w:r w:rsidRPr="00603F18">
        <w:t>3.1</w:t>
      </w:r>
      <w:r w:rsidRPr="00603F18">
        <w:tab/>
      </w:r>
      <w:r w:rsidR="003B2D9D" w:rsidRPr="00603F18">
        <w:t>Les discussions se poursuivent entre l'UIT et le Gouvernement de la Roumanie pour convenir des dispositions de l'Accord de pays hôte que signeront les deux parties. La négociation de l'Accord de pays hôte pour la PP-22 s'est faite sur la base du modèle d'accord de pays hôte approuvé par le Conseil à sa session de 2007 et en prenant pour ré</w:t>
      </w:r>
      <w:r w:rsidR="00E62EB1">
        <w:t>férence l'accord conclu pour la </w:t>
      </w:r>
      <w:r w:rsidRPr="00603F18">
        <w:t>PP-1</w:t>
      </w:r>
      <w:r w:rsidR="002C752A" w:rsidRPr="00603F18">
        <w:t>8</w:t>
      </w:r>
      <w:r w:rsidRPr="00603F18">
        <w:t>.</w:t>
      </w:r>
    </w:p>
    <w:p w14:paraId="30B9C752" w14:textId="3BECFAD5" w:rsidR="001A77FC" w:rsidRPr="00603F18" w:rsidRDefault="001A77FC" w:rsidP="00392CC0">
      <w:pPr>
        <w:rPr>
          <w:rFonts w:cstheme="minorHAnsi"/>
          <w:bCs/>
        </w:rPr>
      </w:pPr>
      <w:bookmarkStart w:id="10" w:name="_Hlk69915800"/>
      <w:r w:rsidRPr="00603F18">
        <w:rPr>
          <w:rFonts w:cstheme="minorHAnsi"/>
          <w:bCs/>
        </w:rPr>
        <w:t>3.2</w:t>
      </w:r>
      <w:r w:rsidRPr="00603F18">
        <w:rPr>
          <w:rFonts w:cstheme="minorHAnsi"/>
          <w:bCs/>
        </w:rPr>
        <w:tab/>
      </w:r>
      <w:r w:rsidR="00631CEA">
        <w:rPr>
          <w:rFonts w:cstheme="minorHAnsi"/>
          <w:bCs/>
        </w:rPr>
        <w:t>Malgré l'impossibilité pour le secrétariat</w:t>
      </w:r>
      <w:r w:rsidR="003B2D9D" w:rsidRPr="00603F18">
        <w:rPr>
          <w:rFonts w:cstheme="minorHAnsi"/>
          <w:bCs/>
        </w:rPr>
        <w:t xml:space="preserve"> </w:t>
      </w:r>
      <w:r w:rsidR="001C73EA">
        <w:rPr>
          <w:rFonts w:cstheme="minorHAnsi"/>
          <w:bCs/>
        </w:rPr>
        <w:t xml:space="preserve">de l'UIT </w:t>
      </w:r>
      <w:r w:rsidR="003B2D9D" w:rsidRPr="00603F18">
        <w:rPr>
          <w:rFonts w:cstheme="minorHAnsi"/>
          <w:bCs/>
        </w:rPr>
        <w:t>d'effectuer</w:t>
      </w:r>
      <w:r w:rsidRPr="00603F18">
        <w:t xml:space="preserve"> </w:t>
      </w:r>
      <w:r w:rsidR="003B2D9D" w:rsidRPr="00603F18">
        <w:t>une visite sur place en raison de la situation sanitaire</w:t>
      </w:r>
      <w:r w:rsidR="00F452A5" w:rsidRPr="00603F18">
        <w:t xml:space="preserve">, </w:t>
      </w:r>
      <w:r w:rsidR="00111889">
        <w:t xml:space="preserve">celui-ci </w:t>
      </w:r>
      <w:r w:rsidR="003B2D9D" w:rsidRPr="00603F18">
        <w:t>se réunit régulièrement avec les</w:t>
      </w:r>
      <w:r w:rsidR="00F452A5" w:rsidRPr="00603F18">
        <w:t xml:space="preserve"> </w:t>
      </w:r>
      <w:r w:rsidR="003B2D9D" w:rsidRPr="00603F18">
        <w:t>interlocuteurs du pays hôte</w:t>
      </w:r>
      <w:r w:rsidRPr="00603F18">
        <w:t xml:space="preserve"> </w:t>
      </w:r>
      <w:r w:rsidR="003B2D9D" w:rsidRPr="00603F18">
        <w:t xml:space="preserve">pour </w:t>
      </w:r>
      <w:r w:rsidR="008C2D41">
        <w:t>échanger</w:t>
      </w:r>
      <w:r w:rsidR="003B2D9D" w:rsidRPr="00603F18">
        <w:t xml:space="preserve"> sur</w:t>
      </w:r>
      <w:r w:rsidR="00F452A5" w:rsidRPr="00603F18">
        <w:t xml:space="preserve"> </w:t>
      </w:r>
      <w:r w:rsidR="001C73EA">
        <w:t xml:space="preserve">l'infrastructure du </w:t>
      </w:r>
      <w:r w:rsidR="003B2D9D" w:rsidRPr="00603F18">
        <w:t>centre de conférences</w:t>
      </w:r>
      <w:r w:rsidR="007F5870" w:rsidRPr="00603F18">
        <w:t xml:space="preserve">, </w:t>
      </w:r>
      <w:r w:rsidR="003B2D9D" w:rsidRPr="00603F18">
        <w:t>l'ensemble de la logistique</w:t>
      </w:r>
      <w:r w:rsidR="007F5870" w:rsidRPr="00603F18">
        <w:t xml:space="preserve"> et </w:t>
      </w:r>
      <w:r w:rsidR="003B2D9D" w:rsidRPr="00603F18">
        <w:t>les hôtels qui accueilleront les délégués et les fonctionnaires de l'UIT</w:t>
      </w:r>
      <w:r w:rsidRPr="00603F18">
        <w:t xml:space="preserve">, </w:t>
      </w:r>
      <w:r w:rsidR="00F07403">
        <w:t xml:space="preserve">ainsi que </w:t>
      </w:r>
      <w:r w:rsidR="003B2D9D" w:rsidRPr="00603F18">
        <w:t xml:space="preserve">pour élaborer les </w:t>
      </w:r>
      <w:r w:rsidR="007F5870" w:rsidRPr="00603F18">
        <w:t>plans</w:t>
      </w:r>
      <w:r w:rsidR="00095B95" w:rsidRPr="00603F18">
        <w:t xml:space="preserve"> </w:t>
      </w:r>
      <w:r w:rsidR="00F07403">
        <w:t xml:space="preserve">concernant la sécurité, </w:t>
      </w:r>
      <w:r w:rsidR="008D68D9">
        <w:t xml:space="preserve">la sûreté, </w:t>
      </w:r>
      <w:r w:rsidR="00F07403">
        <w:t>la santé, le protocole et la</w:t>
      </w:r>
      <w:r w:rsidR="003B2D9D" w:rsidRPr="00603F18">
        <w:t xml:space="preserve"> communication</w:t>
      </w:r>
      <w:r w:rsidR="00A510F3" w:rsidRPr="00603F18">
        <w:t xml:space="preserve">, </w:t>
      </w:r>
      <w:r w:rsidR="007F5870" w:rsidRPr="00603F18">
        <w:t>et aborder les questions d'inscription</w:t>
      </w:r>
      <w:r w:rsidR="00A24194" w:rsidRPr="00603F18">
        <w:t>.</w:t>
      </w:r>
    </w:p>
    <w:bookmarkEnd w:id="10"/>
    <w:p w14:paraId="6220722F" w14:textId="424B1D4E" w:rsidR="001A77FC" w:rsidRPr="00603F18" w:rsidRDefault="001A77FC" w:rsidP="00392CC0">
      <w:r w:rsidRPr="00603F18">
        <w:t>3.3</w:t>
      </w:r>
      <w:r w:rsidRPr="00603F18">
        <w:tab/>
      </w:r>
      <w:bookmarkStart w:id="11" w:name="lt_pId050"/>
      <w:r w:rsidR="007F5870" w:rsidRPr="00603F18">
        <w:t>Le pays hôte s'est engagé à faire en sorte que cette manifestation soit aussi respectueuse que possible de l'environnement</w:t>
      </w:r>
      <w:bookmarkEnd w:id="11"/>
      <w:r w:rsidR="00C00956" w:rsidRPr="00603F18">
        <w:t xml:space="preserve">. </w:t>
      </w:r>
      <w:r w:rsidR="00DA7200">
        <w:t>En outre, i</w:t>
      </w:r>
      <w:r w:rsidR="007F5870" w:rsidRPr="00603F18">
        <w:t>l souhaite adopter de nouvelles mesures</w:t>
      </w:r>
      <w:r w:rsidR="00C00956" w:rsidRPr="00603F18">
        <w:t xml:space="preserve"> </w:t>
      </w:r>
      <w:r w:rsidR="007F5870" w:rsidRPr="00603F18">
        <w:t xml:space="preserve">pour faire en sorte que la </w:t>
      </w:r>
      <w:r w:rsidR="00750B6D">
        <w:t>C</w:t>
      </w:r>
      <w:r w:rsidR="007F5870" w:rsidRPr="00603F18">
        <w:t>onférence tienne pleinement compte des questions liées à l'égalité hommes-femmes et des travaux déjà menés par l'UIT</w:t>
      </w:r>
      <w:r w:rsidRPr="00603F18">
        <w:t xml:space="preserve">. </w:t>
      </w:r>
      <w:r w:rsidR="007F5870" w:rsidRPr="00603F18">
        <w:t>Enfin</w:t>
      </w:r>
      <w:r w:rsidR="004562F7" w:rsidRPr="00603F18">
        <w:t>,</w:t>
      </w:r>
      <w:r w:rsidR="00A24194" w:rsidRPr="00603F18">
        <w:t xml:space="preserve"> </w:t>
      </w:r>
      <w:r w:rsidR="008F1177" w:rsidRPr="00603F18">
        <w:t xml:space="preserve">le pays hôte </w:t>
      </w:r>
      <w:r w:rsidR="00DA7200">
        <w:t>voudrait</w:t>
      </w:r>
      <w:r w:rsidR="008F1177" w:rsidRPr="00603F18">
        <w:t xml:space="preserve"> continuer à renforcer la participation des jeunes</w:t>
      </w:r>
      <w:r w:rsidR="004562F7" w:rsidRPr="00603F18">
        <w:t xml:space="preserve"> </w:t>
      </w:r>
      <w:r w:rsidR="008F1177" w:rsidRPr="00603F18">
        <w:t>à la</w:t>
      </w:r>
      <w:r w:rsidR="004562F7" w:rsidRPr="00603F18">
        <w:t xml:space="preserve"> </w:t>
      </w:r>
      <w:r w:rsidR="004540E4">
        <w:t>C</w:t>
      </w:r>
      <w:r w:rsidR="008F1177" w:rsidRPr="00603F18">
        <w:t>onfé</w:t>
      </w:r>
      <w:r w:rsidR="00864A23" w:rsidRPr="00603F18">
        <w:t>rence</w:t>
      </w:r>
      <w:r w:rsidR="004562F7" w:rsidRPr="00603F18">
        <w:t>.</w:t>
      </w:r>
    </w:p>
    <w:p w14:paraId="11C97205" w14:textId="60C032A9" w:rsidR="001A77FC" w:rsidRPr="00603F18" w:rsidRDefault="00E62EB1" w:rsidP="002E7605">
      <w:pPr>
        <w:pStyle w:val="Heading1"/>
      </w:pPr>
      <w:r>
        <w:t>4</w:t>
      </w:r>
      <w:r w:rsidR="001A77FC" w:rsidRPr="00603F18">
        <w:tab/>
      </w:r>
      <w:r w:rsidR="00567F8A" w:rsidRPr="00603F18">
        <w:t>Sujets essentiels</w:t>
      </w:r>
    </w:p>
    <w:p w14:paraId="7827EC0D" w14:textId="0E2B3961" w:rsidR="001A77FC" w:rsidRPr="00603F18" w:rsidRDefault="00567F8A" w:rsidP="00C86B26">
      <w:r w:rsidRPr="00603F18">
        <w:t>Conformément à l'article 8 de la Constitution de l'UIT, la Conférence de plénipotentiaires, s</w:t>
      </w:r>
      <w:r w:rsidR="001C6FF7">
        <w:t>ur la base de propositions des É</w:t>
      </w:r>
      <w:r w:rsidRPr="00603F18">
        <w:t>tats Membres et compte tenu des rapports du Conseil</w:t>
      </w:r>
      <w:r w:rsidR="001A77FC" w:rsidRPr="00603F18">
        <w:t>:</w:t>
      </w:r>
    </w:p>
    <w:p w14:paraId="2E979E71" w14:textId="3D29EF46" w:rsidR="001A77FC" w:rsidRPr="00603F18" w:rsidRDefault="00C86B26" w:rsidP="00C86B26">
      <w:pPr>
        <w:pStyle w:val="enumlev1"/>
      </w:pPr>
      <w:r>
        <w:t>a)</w:t>
      </w:r>
      <w:r>
        <w:tab/>
      </w:r>
      <w:r w:rsidR="00567F8A" w:rsidRPr="00603F18">
        <w:t>détermine les principes généraux permettant de satisfaire l'objet de l'Union</w:t>
      </w:r>
      <w:r w:rsidR="001A77FC" w:rsidRPr="00603F18">
        <w:t>;</w:t>
      </w:r>
    </w:p>
    <w:p w14:paraId="09A6284D" w14:textId="2FD26F73" w:rsidR="001A77FC" w:rsidRPr="00603F18" w:rsidRDefault="00C86B26" w:rsidP="00C86B26">
      <w:pPr>
        <w:pStyle w:val="enumlev1"/>
      </w:pPr>
      <w:r>
        <w:t>b)</w:t>
      </w:r>
      <w:r>
        <w:tab/>
      </w:r>
      <w:r w:rsidR="00567F8A" w:rsidRPr="00603F18">
        <w:t>examine les rapports du Conseil sur l'activité de l'Union depuis la précédente Conférence de plénipotentiaires ainsi que sur la politique générale et la planification stratégique de l'Union</w:t>
      </w:r>
      <w:r w:rsidR="001A77FC" w:rsidRPr="00603F18">
        <w:t>;</w:t>
      </w:r>
    </w:p>
    <w:p w14:paraId="4664BDE1" w14:textId="4FA123E1" w:rsidR="001A77FC" w:rsidRPr="00603F18" w:rsidRDefault="00C86B26" w:rsidP="00C86B26">
      <w:pPr>
        <w:pStyle w:val="enumlev1"/>
      </w:pPr>
      <w:r>
        <w:t>c)</w:t>
      </w:r>
      <w:r>
        <w:tab/>
      </w:r>
      <w:r w:rsidR="00567F8A" w:rsidRPr="00603F18">
        <w:t>établit le plan stratégique pour l'Union ainsi que les bases du budget de l'Union et fixe les limites financières correspondantes</w:t>
      </w:r>
      <w:r w:rsidR="001A77FC" w:rsidRPr="00603F18">
        <w:t>;</w:t>
      </w:r>
    </w:p>
    <w:p w14:paraId="21D54B83" w14:textId="7545633C" w:rsidR="001A77FC" w:rsidRPr="00603F18" w:rsidRDefault="00C86B26" w:rsidP="00C86B26">
      <w:pPr>
        <w:pStyle w:val="enumlev1"/>
      </w:pPr>
      <w:r>
        <w:lastRenderedPageBreak/>
        <w:t>d)</w:t>
      </w:r>
      <w:r>
        <w:tab/>
      </w:r>
      <w:r w:rsidR="00567F8A" w:rsidRPr="00603F18">
        <w:t>établit le nombre total d'unités contributives pour la période allant jusqu'à la PP suivante</w:t>
      </w:r>
      <w:r w:rsidR="001A77FC" w:rsidRPr="00603F18">
        <w:t>;</w:t>
      </w:r>
    </w:p>
    <w:p w14:paraId="0EBEB437" w14:textId="04639E22" w:rsidR="001A77FC" w:rsidRPr="00603F18" w:rsidRDefault="00C86B26" w:rsidP="00C86B26">
      <w:pPr>
        <w:pStyle w:val="enumlev1"/>
      </w:pPr>
      <w:r>
        <w:t>e)</w:t>
      </w:r>
      <w:r>
        <w:tab/>
      </w:r>
      <w:r w:rsidR="00567F8A" w:rsidRPr="00603F18">
        <w:t>formule des directives générales concernant les effectifs de l'Union</w:t>
      </w:r>
      <w:r w:rsidR="001A77FC" w:rsidRPr="00603F18">
        <w:t>;</w:t>
      </w:r>
    </w:p>
    <w:p w14:paraId="45144A5E" w14:textId="7748C52A" w:rsidR="001A77FC" w:rsidRPr="00603F18" w:rsidRDefault="00C86B26" w:rsidP="00C86B26">
      <w:pPr>
        <w:pStyle w:val="enumlev1"/>
      </w:pPr>
      <w:r>
        <w:t>f)</w:t>
      </w:r>
      <w:r>
        <w:tab/>
      </w:r>
      <w:r w:rsidR="00567F8A" w:rsidRPr="00603F18">
        <w:t>examine les comptes de l'Union et les approuve définitivement</w:t>
      </w:r>
      <w:r w:rsidR="001A77FC" w:rsidRPr="00603F18">
        <w:t>;</w:t>
      </w:r>
    </w:p>
    <w:p w14:paraId="3675CE51" w14:textId="0114033B" w:rsidR="001A77FC" w:rsidRPr="00603F18" w:rsidRDefault="00C86B26" w:rsidP="00C86B26">
      <w:pPr>
        <w:pStyle w:val="enumlev1"/>
      </w:pPr>
      <w:r>
        <w:t>g)</w:t>
      </w:r>
      <w:r>
        <w:tab/>
      </w:r>
      <w:r w:rsidR="00167EF9" w:rsidRPr="00603F18">
        <w:t>élit les É</w:t>
      </w:r>
      <w:r w:rsidR="00567F8A" w:rsidRPr="00603F18">
        <w:t>tats Membres appelés à composer le Conseil</w:t>
      </w:r>
      <w:r w:rsidR="001A77FC" w:rsidRPr="00603F18">
        <w:t>;</w:t>
      </w:r>
    </w:p>
    <w:p w14:paraId="6078CEEB" w14:textId="03DC7E7E" w:rsidR="001A77FC" w:rsidRPr="00603F18" w:rsidRDefault="00C86B26" w:rsidP="00C86B26">
      <w:pPr>
        <w:pStyle w:val="enumlev1"/>
      </w:pPr>
      <w:r>
        <w:t>h)</w:t>
      </w:r>
      <w:r>
        <w:tab/>
      </w:r>
      <w:r w:rsidR="00567F8A" w:rsidRPr="00603F18">
        <w:t>élit le Secrétaire général, le Vice-Secrétaire général et les Directeurs des Bureaux des Secteurs</w:t>
      </w:r>
      <w:r w:rsidR="001A77FC" w:rsidRPr="00603F18">
        <w:t>;</w:t>
      </w:r>
    </w:p>
    <w:p w14:paraId="15A6F0E1" w14:textId="762376D4" w:rsidR="001A77FC" w:rsidRPr="00603F18" w:rsidRDefault="00C86B26" w:rsidP="00C86B26">
      <w:pPr>
        <w:pStyle w:val="enumlev1"/>
      </w:pPr>
      <w:r>
        <w:t>i)</w:t>
      </w:r>
      <w:r>
        <w:tab/>
      </w:r>
      <w:r w:rsidR="00567F8A" w:rsidRPr="00603F18">
        <w:t>élit les membres du Comité du Règlement des radiocommunications</w:t>
      </w:r>
      <w:r w:rsidR="001A77FC" w:rsidRPr="00603F18">
        <w:t>;</w:t>
      </w:r>
    </w:p>
    <w:p w14:paraId="4073A39B" w14:textId="179B238B" w:rsidR="001A77FC" w:rsidRPr="00603F18" w:rsidRDefault="00C86B26" w:rsidP="00C86B26">
      <w:pPr>
        <w:pStyle w:val="enumlev1"/>
      </w:pPr>
      <w:r>
        <w:t>j)</w:t>
      </w:r>
      <w:r>
        <w:tab/>
      </w:r>
      <w:r w:rsidR="00567F8A" w:rsidRPr="00603F18">
        <w:t>examine et adopte les modifications à la Constitution et à la Convention</w:t>
      </w:r>
      <w:r w:rsidR="001A77FC" w:rsidRPr="00603F18">
        <w:t>;</w:t>
      </w:r>
    </w:p>
    <w:p w14:paraId="2F58502B" w14:textId="1EB0CC66" w:rsidR="001A77FC" w:rsidRPr="00603F18" w:rsidRDefault="00C86B26" w:rsidP="00C86B26">
      <w:pPr>
        <w:pStyle w:val="enumlev1"/>
      </w:pPr>
      <w:r>
        <w:t>k)</w:t>
      </w:r>
      <w:r>
        <w:tab/>
      </w:r>
      <w:r w:rsidR="00567F8A" w:rsidRPr="00603F18">
        <w:t>conclut ou révise, le cas échéant, des accords avec d'autres organisations internationales</w:t>
      </w:r>
      <w:r w:rsidR="001A77FC" w:rsidRPr="00603F18">
        <w:t>;</w:t>
      </w:r>
    </w:p>
    <w:p w14:paraId="6A0859CF" w14:textId="73EA5D8E" w:rsidR="001A77FC" w:rsidRPr="00603F18" w:rsidRDefault="00C86B26" w:rsidP="00C86B26">
      <w:pPr>
        <w:pStyle w:val="enumlev1"/>
      </w:pPr>
      <w:r>
        <w:t>l)</w:t>
      </w:r>
      <w:r>
        <w:tab/>
      </w:r>
      <w:r w:rsidR="00567F8A" w:rsidRPr="00603F18">
        <w:t>adopte et amende les Règles générales régissant les conférences, assemblées et réunions de l'Union</w:t>
      </w:r>
      <w:r w:rsidR="001A77FC" w:rsidRPr="00603F18">
        <w:t>;</w:t>
      </w:r>
    </w:p>
    <w:p w14:paraId="5D6A5262" w14:textId="16929CCC" w:rsidR="001A77FC" w:rsidRPr="00603F18" w:rsidRDefault="00C86B26" w:rsidP="00C86B26">
      <w:pPr>
        <w:pStyle w:val="enumlev1"/>
      </w:pPr>
      <w:r>
        <w:t>m)</w:t>
      </w:r>
      <w:r>
        <w:tab/>
      </w:r>
      <w:r w:rsidR="00567F8A" w:rsidRPr="00603F18">
        <w:t>traite toutes les autres questions de télécommunication jugées nécessaires</w:t>
      </w:r>
      <w:r w:rsidR="001A77FC" w:rsidRPr="00603F18">
        <w:t>.</w:t>
      </w:r>
    </w:p>
    <w:p w14:paraId="52E760ED" w14:textId="2161B921" w:rsidR="001A77FC" w:rsidRPr="00603F18" w:rsidRDefault="00E62EB1" w:rsidP="002E7605">
      <w:pPr>
        <w:pStyle w:val="Heading1"/>
      </w:pPr>
      <w:r>
        <w:t>5</w:t>
      </w:r>
      <w:r w:rsidR="001A77FC" w:rsidRPr="00603F18">
        <w:tab/>
      </w:r>
      <w:r w:rsidR="006C7137" w:rsidRPr="00603F18">
        <w:t>Prochaines étapes</w:t>
      </w:r>
    </w:p>
    <w:p w14:paraId="117E5072" w14:textId="4718B576" w:rsidR="001A77FC" w:rsidRPr="00603F18" w:rsidRDefault="001A77FC" w:rsidP="00C86B26">
      <w:r w:rsidRPr="00603F18">
        <w:t>5.1</w:t>
      </w:r>
      <w:r w:rsidRPr="00603F18">
        <w:tab/>
      </w:r>
      <w:r w:rsidR="006C7137" w:rsidRPr="00603F18">
        <w:t>Au niveau interne, le Comité de coordination établira le Groupe de préparation de la Conférence de Bucarest (BPG), qui se composera de représentants de tous les Bureaux et du Secrétariat général</w:t>
      </w:r>
      <w:r w:rsidRPr="00603F18">
        <w:t>.</w:t>
      </w:r>
    </w:p>
    <w:p w14:paraId="35E0F1EB" w14:textId="57944E2F" w:rsidR="001A77FC" w:rsidRPr="00603F18" w:rsidRDefault="001A77FC" w:rsidP="00C86B26">
      <w:r w:rsidRPr="00603F18">
        <w:t>5.2</w:t>
      </w:r>
      <w:r w:rsidRPr="00603F18">
        <w:tab/>
      </w:r>
      <w:r w:rsidR="006C7137" w:rsidRPr="00603F18">
        <w:t xml:space="preserve">L'Accord de pays hôte doit être signé d'ici à la fin septembre </w:t>
      </w:r>
      <w:r w:rsidR="00EE5184" w:rsidRPr="00603F18">
        <w:t>2021</w:t>
      </w:r>
      <w:r w:rsidRPr="00603F18">
        <w:t>.</w:t>
      </w:r>
    </w:p>
    <w:p w14:paraId="1AEEC416" w14:textId="060F6B6A" w:rsidR="004562F7" w:rsidRPr="00603F18" w:rsidRDefault="004562F7" w:rsidP="00C86B26">
      <w:r w:rsidRPr="00794359">
        <w:rPr>
          <w:rFonts w:asciiTheme="minorHAnsi" w:hAnsiTheme="minorHAnsi" w:cstheme="minorHAnsi"/>
          <w:bCs/>
        </w:rPr>
        <w:t>5.3</w:t>
      </w:r>
      <w:r w:rsidR="00095B95" w:rsidRPr="00794359">
        <w:rPr>
          <w:rFonts w:asciiTheme="minorHAnsi" w:hAnsiTheme="minorHAnsi" w:cstheme="minorHAnsi"/>
          <w:bCs/>
        </w:rPr>
        <w:tab/>
      </w:r>
      <w:r w:rsidR="00A41092" w:rsidRPr="00794359">
        <w:t xml:space="preserve">Compte tenu des bons résultats obtenus </w:t>
      </w:r>
      <w:r w:rsidR="00DA411C" w:rsidRPr="00794359">
        <w:t xml:space="preserve">dans le cadre </w:t>
      </w:r>
      <w:r w:rsidR="00A41092" w:rsidRPr="00794359">
        <w:t xml:space="preserve">de la PP-18, </w:t>
      </w:r>
      <w:r w:rsidR="00794359" w:rsidRPr="00E812CD">
        <w:t xml:space="preserve">avec l'organisation de </w:t>
      </w:r>
      <w:r w:rsidR="00A41092" w:rsidRPr="00794359">
        <w:t xml:space="preserve">trois réunions interrégionales informelles </w:t>
      </w:r>
      <w:r w:rsidR="00F55CE2" w:rsidRPr="00794359">
        <w:t>avec le concours du s</w:t>
      </w:r>
      <w:r w:rsidR="00A41092" w:rsidRPr="00794359">
        <w:t xml:space="preserve">ecrétariat, </w:t>
      </w:r>
      <w:r w:rsidR="00A41092" w:rsidRPr="00794359">
        <w:rPr>
          <w:u w:val="single"/>
        </w:rPr>
        <w:t>il est proposé</w:t>
      </w:r>
      <w:r w:rsidRPr="00794359">
        <w:t xml:space="preserve"> </w:t>
      </w:r>
      <w:r w:rsidR="00A41092" w:rsidRPr="00794359">
        <w:t>d'améliorer la programmation des réunions préparatoires, tant au niveau régional qu'au niveau interrégional</w:t>
      </w:r>
      <w:r w:rsidR="009628CC" w:rsidRPr="00794359">
        <w:t xml:space="preserve">, </w:t>
      </w:r>
      <w:r w:rsidR="00DA411C" w:rsidRPr="00794359">
        <w:t xml:space="preserve">en vue de </w:t>
      </w:r>
      <w:r w:rsidR="00A41092" w:rsidRPr="00794359">
        <w:t>la</w:t>
      </w:r>
      <w:r w:rsidR="009628CC" w:rsidRPr="00794359">
        <w:t xml:space="preserve"> PP-22</w:t>
      </w:r>
      <w:r w:rsidR="0010254B" w:rsidRPr="00794359">
        <w:t>.</w:t>
      </w:r>
    </w:p>
    <w:p w14:paraId="4DB94399" w14:textId="325A2679" w:rsidR="004562F7" w:rsidRPr="00603F18" w:rsidRDefault="00095B95" w:rsidP="00C86B26">
      <w:r w:rsidRPr="00603F18">
        <w:t>5.4</w:t>
      </w:r>
      <w:r w:rsidRPr="00603F18">
        <w:tab/>
      </w:r>
      <w:r w:rsidR="008F7E7F" w:rsidRPr="00603F18">
        <w:t xml:space="preserve">Il est vivement recommandé aux organisations régionales de télécommunication d'envoyer au </w:t>
      </w:r>
      <w:r w:rsidR="00F55CE2">
        <w:t>s</w:t>
      </w:r>
      <w:r w:rsidR="008F7E7F" w:rsidRPr="00603F18">
        <w:t xml:space="preserve">ecrétariat </w:t>
      </w:r>
      <w:r w:rsidR="00B32230">
        <w:t>dès que possible les dates de leurs</w:t>
      </w:r>
      <w:r w:rsidR="008F7E7F" w:rsidRPr="00603F18">
        <w:t xml:space="preserve"> réunions préparatoires régionales</w:t>
      </w:r>
      <w:r w:rsidR="00B32230">
        <w:t>,</w:t>
      </w:r>
      <w:r w:rsidR="008F7E7F" w:rsidRPr="00603F18">
        <w:t xml:space="preserve"> si elles ne l'ont pas déjà fait</w:t>
      </w:r>
      <w:r w:rsidR="009628CC" w:rsidRPr="00603F18">
        <w:t xml:space="preserve">. </w:t>
      </w:r>
      <w:r w:rsidR="008F7E7F" w:rsidRPr="00603F18">
        <w:t>Le</w:t>
      </w:r>
      <w:r w:rsidR="004562F7" w:rsidRPr="00603F18">
        <w:t xml:space="preserve"> </w:t>
      </w:r>
      <w:r w:rsidR="00F55CE2">
        <w:t>s</w:t>
      </w:r>
      <w:r w:rsidR="008F7E7F" w:rsidRPr="00603F18">
        <w:t>ecré</w:t>
      </w:r>
      <w:r w:rsidR="009628CC" w:rsidRPr="00603F18">
        <w:t xml:space="preserve">tariat </w:t>
      </w:r>
      <w:r w:rsidR="008F7E7F" w:rsidRPr="00603F18">
        <w:t>va créer et actualiser régulièrement une page consacrée aux travaux préparatoires régionaux en vue de la PP sur le site web de la PP-22</w:t>
      </w:r>
      <w:r w:rsidR="009628CC" w:rsidRPr="00603F18">
        <w:t>.</w:t>
      </w:r>
      <w:r w:rsidR="004562F7" w:rsidRPr="00603F18">
        <w:t xml:space="preserve"> </w:t>
      </w:r>
      <w:r w:rsidR="008F7E7F" w:rsidRPr="00603F18">
        <w:t>Les organisations régionales de télécommunication sont également invitées à envoyer le nom de leur(s) coordonnateur(s)</w:t>
      </w:r>
      <w:r w:rsidR="00EB743B" w:rsidRPr="00603F18">
        <w:t xml:space="preserve"> </w:t>
      </w:r>
      <w:r w:rsidR="008F7E7F" w:rsidRPr="00603F18">
        <w:t>pour la</w:t>
      </w:r>
      <w:r w:rsidR="00532351">
        <w:t xml:space="preserve"> PP</w:t>
      </w:r>
      <w:r w:rsidR="00055F90" w:rsidRPr="00055F90">
        <w:t xml:space="preserve"> </w:t>
      </w:r>
      <w:r w:rsidR="00055F90" w:rsidRPr="00603F18">
        <w:t xml:space="preserve">au </w:t>
      </w:r>
      <w:r w:rsidR="00055F90">
        <w:t>s</w:t>
      </w:r>
      <w:r w:rsidR="00055F90" w:rsidRPr="00603F18">
        <w:t>ecrétariat</w:t>
      </w:r>
      <w:r w:rsidR="00532351">
        <w:t>, afin d'</w:t>
      </w:r>
      <w:r w:rsidR="008F7E7F" w:rsidRPr="00603F18">
        <w:t xml:space="preserve">établir une liaison avec </w:t>
      </w:r>
      <w:r w:rsidR="00532351">
        <w:t>celui-ci</w:t>
      </w:r>
      <w:r w:rsidR="00EB743B" w:rsidRPr="00603F18">
        <w:t>.</w:t>
      </w:r>
    </w:p>
    <w:p w14:paraId="0260C592" w14:textId="55732994" w:rsidR="00AC24BA" w:rsidRPr="00603F18" w:rsidRDefault="00AC24BA" w:rsidP="00C86B26">
      <w:r w:rsidRPr="00603F18">
        <w:t>5.</w:t>
      </w:r>
      <w:r w:rsidR="009628CC" w:rsidRPr="00603F18">
        <w:t>5</w:t>
      </w:r>
      <w:r w:rsidRPr="00603F18">
        <w:tab/>
      </w:r>
      <w:r w:rsidR="008F7E7F" w:rsidRPr="00603F18">
        <w:t>Comme pour la</w:t>
      </w:r>
      <w:r w:rsidR="00C5608F" w:rsidRPr="00603F18">
        <w:t xml:space="preserve"> PP-18, </w:t>
      </w:r>
      <w:r w:rsidR="008F7E7F" w:rsidRPr="00603F18">
        <w:t>il est proposé d'organiser des réunions interrégionales pour faciliter les discussions</w:t>
      </w:r>
      <w:r w:rsidR="00C5608F" w:rsidRPr="00603F18">
        <w:t xml:space="preserve"> </w:t>
      </w:r>
      <w:r w:rsidR="008F7E7F" w:rsidRPr="00603F18">
        <w:t>et</w:t>
      </w:r>
      <w:r w:rsidR="00C5608F" w:rsidRPr="00603F18">
        <w:t xml:space="preserve"> </w:t>
      </w:r>
      <w:r w:rsidR="00626B87">
        <w:t>parvenir plus facilement à un consensus</w:t>
      </w:r>
      <w:r w:rsidR="00C5608F" w:rsidRPr="00603F18">
        <w:t xml:space="preserve"> </w:t>
      </w:r>
      <w:r w:rsidR="008F7E7F" w:rsidRPr="00603F18">
        <w:t>d'ici à la tenue de la</w:t>
      </w:r>
      <w:r w:rsidR="00C5608F" w:rsidRPr="00603F18">
        <w:t xml:space="preserve"> PP-22. </w:t>
      </w:r>
      <w:r w:rsidR="008F7E7F" w:rsidRPr="00603F18">
        <w:t xml:space="preserve">Il est </w:t>
      </w:r>
      <w:r w:rsidR="00980C2D" w:rsidRPr="00603F18">
        <w:t>proposé</w:t>
      </w:r>
      <w:r w:rsidR="008F7E7F" w:rsidRPr="00603F18">
        <w:t xml:space="preserve"> d'organiser trois </w:t>
      </w:r>
      <w:r w:rsidR="00980C2D" w:rsidRPr="00603F18">
        <w:t>ré</w:t>
      </w:r>
      <w:r w:rsidR="008F7E7F" w:rsidRPr="00603F18">
        <w:t xml:space="preserve">unions </w:t>
      </w:r>
      <w:r w:rsidR="00774D94">
        <w:t>comme suit</w:t>
      </w:r>
      <w:r w:rsidR="00C5608F" w:rsidRPr="00603F18">
        <w:t>:</w:t>
      </w:r>
    </w:p>
    <w:p w14:paraId="1B35F226" w14:textId="3BA7DF6D" w:rsidR="00A007E8" w:rsidRPr="00603F18" w:rsidRDefault="00C45B51" w:rsidP="00C45B51">
      <w:pPr>
        <w:pStyle w:val="enumlev1"/>
      </w:pPr>
      <w:r>
        <w:t>–</w:t>
      </w:r>
      <w:r>
        <w:tab/>
      </w:r>
      <w:r w:rsidR="00774D94">
        <w:t>une première</w:t>
      </w:r>
      <w:r w:rsidR="00AC323C" w:rsidRPr="00603F18">
        <w:t xml:space="preserve"> </w:t>
      </w:r>
      <w:r w:rsidR="00980C2D" w:rsidRPr="00603F18">
        <w:t>réunion</w:t>
      </w:r>
      <w:r w:rsidR="00A007E8" w:rsidRPr="00603F18">
        <w:t xml:space="preserve"> </w:t>
      </w:r>
      <w:r w:rsidR="00693E56" w:rsidRPr="00603F18">
        <w:t>en parallèle de la session de 2022 du Conseil</w:t>
      </w:r>
      <w:r w:rsidR="00E62EB1">
        <w:t xml:space="preserve"> (22 mars – 1</w:t>
      </w:r>
      <w:r w:rsidR="00E62EB1" w:rsidRPr="00E62EB1">
        <w:t>er</w:t>
      </w:r>
      <w:r w:rsidR="00E62EB1">
        <w:t> </w:t>
      </w:r>
      <w:r w:rsidR="00980C2D" w:rsidRPr="00603F18">
        <w:t>avril</w:t>
      </w:r>
      <w:r w:rsidR="00E62EB1">
        <w:t> </w:t>
      </w:r>
      <w:r w:rsidR="00A007E8" w:rsidRPr="00603F18">
        <w:t>2022)</w:t>
      </w:r>
      <w:r w:rsidR="00095B95" w:rsidRPr="00603F18">
        <w:t>;</w:t>
      </w:r>
    </w:p>
    <w:p w14:paraId="08912662" w14:textId="6D62D04F" w:rsidR="00A007E8" w:rsidRPr="00603F18" w:rsidRDefault="00C45B51" w:rsidP="00C45B51">
      <w:pPr>
        <w:pStyle w:val="enumlev1"/>
      </w:pPr>
      <w:r>
        <w:t>–</w:t>
      </w:r>
      <w:r>
        <w:tab/>
      </w:r>
      <w:r w:rsidR="00774D94">
        <w:t>une deuxième</w:t>
      </w:r>
      <w:r w:rsidR="00980C2D" w:rsidRPr="00603F18">
        <w:t xml:space="preserve"> réunion après la date limite de so</w:t>
      </w:r>
      <w:r w:rsidR="00693E56" w:rsidRPr="00603F18">
        <w:t>umission des contributions des É</w:t>
      </w:r>
      <w:r w:rsidR="00980C2D" w:rsidRPr="00603F18">
        <w:t>tats Membres</w:t>
      </w:r>
      <w:r w:rsidR="00A007E8" w:rsidRPr="00603F18">
        <w:t xml:space="preserve"> (</w:t>
      </w:r>
      <w:r w:rsidR="00980C2D" w:rsidRPr="00603F18">
        <w:t>a</w:t>
      </w:r>
      <w:r w:rsidR="00693E56" w:rsidRPr="00603F18">
        <w:t xml:space="preserve">u moins 4 </w:t>
      </w:r>
      <w:r w:rsidR="00774D94">
        <w:t xml:space="preserve">mois </w:t>
      </w:r>
      <w:r w:rsidR="00693E56" w:rsidRPr="00603F18">
        <w:t>avant le début de la</w:t>
      </w:r>
      <w:r w:rsidR="00980C2D" w:rsidRPr="00603F18">
        <w:t xml:space="preserve"> Conférence</w:t>
      </w:r>
      <w:r w:rsidR="00A007E8" w:rsidRPr="00603F18">
        <w:t xml:space="preserve">, </w:t>
      </w:r>
      <w:r w:rsidR="00774D94" w:rsidRPr="00603F18">
        <w:t>conformément au numéro 40 des Règles générales</w:t>
      </w:r>
      <w:r w:rsidR="00774D94">
        <w:t xml:space="preserve">, </w:t>
      </w:r>
      <w:r w:rsidR="00693E56" w:rsidRPr="00603F18">
        <w:t>soit</w:t>
      </w:r>
      <w:r w:rsidR="00774D94">
        <w:t xml:space="preserve"> le 26 mai 2022</w:t>
      </w:r>
      <w:r w:rsidR="00A007E8" w:rsidRPr="00603F18">
        <w:t>)</w:t>
      </w:r>
      <w:r w:rsidR="00695B0B" w:rsidRPr="00603F18">
        <w:t xml:space="preserve"> </w:t>
      </w:r>
      <w:r w:rsidR="00980C2D" w:rsidRPr="00603F18">
        <w:t>pendant la deuxième quinzaine de juin</w:t>
      </w:r>
      <w:r w:rsidR="00695B0B" w:rsidRPr="00603F18">
        <w:t xml:space="preserve"> 2022</w:t>
      </w:r>
      <w:r w:rsidR="00095B95" w:rsidRPr="00603F18">
        <w:t>;</w:t>
      </w:r>
    </w:p>
    <w:p w14:paraId="1138A997" w14:textId="2FF3B326" w:rsidR="00A007E8" w:rsidRPr="00603F18" w:rsidRDefault="00C45B51" w:rsidP="00C45B51">
      <w:pPr>
        <w:pStyle w:val="enumlev1"/>
      </w:pPr>
      <w:r>
        <w:t>–</w:t>
      </w:r>
      <w:r>
        <w:tab/>
      </w:r>
      <w:r w:rsidR="004353FB">
        <w:t xml:space="preserve">une troisième </w:t>
      </w:r>
      <w:r w:rsidR="00980C2D" w:rsidRPr="00603F18">
        <w:t>réunion après la date limite de soumission d</w:t>
      </w:r>
      <w:r w:rsidR="00E62EB1">
        <w:t>es candidatures (au plus tard à </w:t>
      </w:r>
      <w:r w:rsidR="00980C2D" w:rsidRPr="00603F18">
        <w:t>23 h 59 le 28ème jour précédant le début de la Conférence</w:t>
      </w:r>
      <w:r w:rsidR="00625AA4" w:rsidRPr="00603F18">
        <w:t xml:space="preserve">, </w:t>
      </w:r>
      <w:r w:rsidR="004353FB" w:rsidRPr="00603F18">
        <w:t>conformément au numéro 170 des Règles générales</w:t>
      </w:r>
      <w:r w:rsidR="004353FB">
        <w:t xml:space="preserve">, </w:t>
      </w:r>
      <w:r w:rsidR="00240141" w:rsidRPr="00603F18">
        <w:t>soit le 29 ao</w:t>
      </w:r>
      <w:r w:rsidR="004353FB">
        <w:t>ût 2022 à 23 h 59</w:t>
      </w:r>
      <w:r w:rsidR="00625AA4" w:rsidRPr="00603F18">
        <w:t>)</w:t>
      </w:r>
      <w:r w:rsidR="00695B0B" w:rsidRPr="00603F18">
        <w:t xml:space="preserve"> </w:t>
      </w:r>
      <w:r w:rsidR="00980C2D" w:rsidRPr="00603F18">
        <w:t>pendant la première semaine de septembre</w:t>
      </w:r>
      <w:r w:rsidR="00695B0B" w:rsidRPr="00603F18">
        <w:t xml:space="preserve"> 2022</w:t>
      </w:r>
      <w:r w:rsidR="00095B95" w:rsidRPr="00603F18">
        <w:t xml:space="preserve">; </w:t>
      </w:r>
      <w:r w:rsidR="00980C2D" w:rsidRPr="00603F18">
        <w:t>et</w:t>
      </w:r>
    </w:p>
    <w:p w14:paraId="43AB3035" w14:textId="63E9BA03" w:rsidR="00695B0B" w:rsidRPr="00603F18" w:rsidRDefault="00C45B51" w:rsidP="00C45B51">
      <w:pPr>
        <w:pStyle w:val="enumlev1"/>
      </w:pPr>
      <w:r>
        <w:lastRenderedPageBreak/>
        <w:t>–</w:t>
      </w:r>
      <w:r>
        <w:tab/>
      </w:r>
      <w:r w:rsidR="00240141" w:rsidRPr="00603F18">
        <w:rPr>
          <w:szCs w:val="24"/>
        </w:rPr>
        <w:t>une dernière réunion pourrait s</w:t>
      </w:r>
      <w:r w:rsidR="004353FB">
        <w:rPr>
          <w:szCs w:val="24"/>
        </w:rPr>
        <w:t>e tenir virtuellement avant la C</w:t>
      </w:r>
      <w:r w:rsidR="00240141" w:rsidRPr="00603F18">
        <w:rPr>
          <w:szCs w:val="24"/>
        </w:rPr>
        <w:t>onférence, afin de progresser dans l'examen de certaines questions, le cas échéant</w:t>
      </w:r>
      <w:r w:rsidR="00695B0B" w:rsidRPr="00603F18">
        <w:rPr>
          <w:szCs w:val="24"/>
        </w:rPr>
        <w:t>.</w:t>
      </w:r>
    </w:p>
    <w:p w14:paraId="6D5E3771" w14:textId="1D547BD9" w:rsidR="00C5608F" w:rsidRPr="00603F18" w:rsidRDefault="00625AA4" w:rsidP="00E740BD">
      <w:r w:rsidRPr="00603F18">
        <w:t>5.</w:t>
      </w:r>
      <w:r w:rsidR="00095B95" w:rsidRPr="00603F18">
        <w:t>6</w:t>
      </w:r>
      <w:r w:rsidRPr="00603F18">
        <w:tab/>
      </w:r>
      <w:r w:rsidR="00240141" w:rsidRPr="00603F18">
        <w:t xml:space="preserve">Les réunions se tiendront de manière informelle </w:t>
      </w:r>
      <w:r w:rsidR="00B16028">
        <w:t>conformément aux</w:t>
      </w:r>
      <w:r w:rsidR="00240141" w:rsidRPr="00603F18">
        <w:t xml:space="preserve"> principes énoncés dans le Document</w:t>
      </w:r>
      <w:r w:rsidRPr="00603F18">
        <w:t xml:space="preserve"> </w:t>
      </w:r>
      <w:hyperlink r:id="rId18" w:history="1">
        <w:r w:rsidR="00F30555" w:rsidRPr="00E740BD">
          <w:rPr>
            <w:rStyle w:val="Hyperlink"/>
          </w:rPr>
          <w:t>C21/13</w:t>
        </w:r>
      </w:hyperlink>
      <w:r w:rsidR="00F30555" w:rsidRPr="00603F18">
        <w:t>.</w:t>
      </w:r>
    </w:p>
    <w:p w14:paraId="4A504242" w14:textId="77777777" w:rsidR="00E62EB1" w:rsidRDefault="00E62EB1" w:rsidP="00411C49">
      <w:pPr>
        <w:pStyle w:val="Reasons"/>
      </w:pPr>
    </w:p>
    <w:p w14:paraId="11AD894F" w14:textId="42560EEC" w:rsidR="001A77FC" w:rsidRPr="00603F18" w:rsidRDefault="00E62EB1" w:rsidP="00EC21A5">
      <w:pPr>
        <w:jc w:val="center"/>
      </w:pPr>
      <w:r>
        <w:t>______________</w:t>
      </w:r>
    </w:p>
    <w:sectPr w:rsidR="001A77FC" w:rsidRPr="00603F18" w:rsidSect="004D1851">
      <w:headerReference w:type="default" r:id="rId19"/>
      <w:footerReference w:type="default" r:id="rId20"/>
      <w:footerReference w:type="first" r:id="rId2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E493F" w14:textId="77777777" w:rsidR="00793188" w:rsidRDefault="00793188">
      <w:r>
        <w:separator/>
      </w:r>
    </w:p>
  </w:endnote>
  <w:endnote w:type="continuationSeparator" w:id="0">
    <w:p w14:paraId="64D9C322" w14:textId="77777777" w:rsidR="00793188" w:rsidRDefault="00793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A4C0A" w14:textId="60A1A236" w:rsidR="002E066A" w:rsidRDefault="00D9650A" w:rsidP="002E066A">
    <w:pPr>
      <w:pStyle w:val="Footer"/>
    </w:pPr>
    <w:r w:rsidRPr="005464D5">
      <w:rPr>
        <w:color w:val="F2F2F2" w:themeColor="background1" w:themeShade="F2"/>
      </w:rPr>
      <w:fldChar w:fldCharType="begin"/>
    </w:r>
    <w:r w:rsidRPr="005464D5">
      <w:rPr>
        <w:color w:val="F2F2F2" w:themeColor="background1" w:themeShade="F2"/>
      </w:rPr>
      <w:instrText xml:space="preserve"> FILENAME \p  \* MERGEFORMAT </w:instrText>
    </w:r>
    <w:r w:rsidRPr="005464D5">
      <w:rPr>
        <w:color w:val="F2F2F2" w:themeColor="background1" w:themeShade="F2"/>
      </w:rPr>
      <w:fldChar w:fldCharType="separate"/>
    </w:r>
    <w:r w:rsidRPr="005464D5">
      <w:rPr>
        <w:color w:val="F2F2F2" w:themeColor="background1" w:themeShade="F2"/>
      </w:rPr>
      <w:t>P:\FRA\SG\CONSEIL\C21\000\073F.docx</w:t>
    </w:r>
    <w:r w:rsidRPr="005464D5">
      <w:rPr>
        <w:color w:val="F2F2F2" w:themeColor="background1" w:themeShade="F2"/>
      </w:rPr>
      <w:fldChar w:fldCharType="end"/>
    </w:r>
    <w:r w:rsidR="002E066A" w:rsidRPr="005464D5">
      <w:rPr>
        <w:color w:val="F2F2F2" w:themeColor="background1" w:themeShade="F2"/>
      </w:rPr>
      <w:t xml:space="preserve"> (485458)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1CDDD" w14:textId="1F8C1E6F" w:rsidR="00322D0D" w:rsidRPr="00E62EB1" w:rsidRDefault="00D9650A" w:rsidP="002E066A">
    <w:pPr>
      <w:pStyle w:val="Footer"/>
      <w:rPr>
        <w:szCs w:val="16"/>
      </w:rPr>
    </w:pPr>
    <w:r w:rsidRPr="00E62EB1">
      <w:rPr>
        <w:szCs w:val="16"/>
      </w:rPr>
      <w:fldChar w:fldCharType="begin"/>
    </w:r>
    <w:r w:rsidRPr="00E62EB1">
      <w:rPr>
        <w:szCs w:val="16"/>
      </w:rPr>
      <w:instrText xml:space="preserve"> FILENAME \p  \* MERGEFORMAT </w:instrText>
    </w:r>
    <w:r w:rsidRPr="00E62EB1">
      <w:rPr>
        <w:szCs w:val="16"/>
      </w:rPr>
      <w:fldChar w:fldCharType="separate"/>
    </w:r>
    <w:r>
      <w:rPr>
        <w:szCs w:val="16"/>
      </w:rPr>
      <w:t>P:\FRA\SG\CONSEIL\C21\000\073F.docx</w:t>
    </w:r>
    <w:r w:rsidRPr="00E62EB1">
      <w:rPr>
        <w:szCs w:val="16"/>
      </w:rPr>
      <w:fldChar w:fldCharType="end"/>
    </w:r>
    <w:r w:rsidR="002E066A" w:rsidRPr="00E62EB1">
      <w:rPr>
        <w:szCs w:val="16"/>
      </w:rPr>
      <w:t xml:space="preserve"> (485458)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829A2" w14:textId="77777777" w:rsidR="00793188" w:rsidRDefault="00793188">
      <w:r>
        <w:t>____________________</w:t>
      </w:r>
    </w:p>
  </w:footnote>
  <w:footnote w:type="continuationSeparator" w:id="0">
    <w:p w14:paraId="69A82C43" w14:textId="77777777" w:rsidR="00793188" w:rsidRDefault="007931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3C43F" w14:textId="39D469F8" w:rsidR="00322D0D" w:rsidRDefault="006535F1" w:rsidP="00CE433C">
    <w:pPr>
      <w:pStyle w:val="Header"/>
    </w:pPr>
    <w:r>
      <w:fldChar w:fldCharType="begin"/>
    </w:r>
    <w:r>
      <w:instrText>PAGE</w:instrText>
    </w:r>
    <w:r>
      <w:fldChar w:fldCharType="separate"/>
    </w:r>
    <w:r w:rsidR="00D9650A">
      <w:rPr>
        <w:noProof/>
      </w:rPr>
      <w:t>4</w:t>
    </w:r>
    <w:r>
      <w:rPr>
        <w:noProof/>
      </w:rPr>
      <w:fldChar w:fldCharType="end"/>
    </w:r>
  </w:p>
  <w:p w14:paraId="34EC98F4" w14:textId="50E6ECA0" w:rsidR="00322D0D" w:rsidRPr="00623AE3" w:rsidRDefault="00D338E0" w:rsidP="00D338E0">
    <w:pPr>
      <w:pStyle w:val="Header"/>
      <w:rPr>
        <w:bCs/>
      </w:rPr>
    </w:pPr>
    <w:r w:rsidRPr="00F56668">
      <w:rPr>
        <w:bCs/>
      </w:rPr>
      <w:t>C2</w:t>
    </w:r>
    <w:r w:rsidR="00F56668" w:rsidRPr="00F56668">
      <w:rPr>
        <w:bCs/>
      </w:rPr>
      <w:t>1</w:t>
    </w:r>
    <w:r w:rsidR="00623AE3" w:rsidRPr="00F56668">
      <w:rPr>
        <w:bCs/>
      </w:rPr>
      <w:t>/</w:t>
    </w:r>
    <w:r w:rsidR="00737A8C">
      <w:rPr>
        <w:bCs/>
      </w:rPr>
      <w:t>7</w:t>
    </w:r>
    <w:r w:rsidR="00DB3F97">
      <w:rPr>
        <w:bCs/>
      </w:rPr>
      <w:t>3</w:t>
    </w:r>
    <w:r w:rsidR="000548FE">
      <w:rPr>
        <w:bCs/>
      </w:rPr>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82A7B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8F831B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44434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7E2DF5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A6081A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12C14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306E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0B0D5D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09E40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1C2F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3563B9"/>
    <w:multiLevelType w:val="hybridMultilevel"/>
    <w:tmpl w:val="F0F0C1B0"/>
    <w:lvl w:ilvl="0" w:tplc="0409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289A55F8"/>
    <w:multiLevelType w:val="hybridMultilevel"/>
    <w:tmpl w:val="C428D3E2"/>
    <w:lvl w:ilvl="0" w:tplc="20000001">
      <w:start w:val="1"/>
      <w:numFmt w:val="bullet"/>
      <w:lvlText w:val=""/>
      <w:lvlJc w:val="left"/>
      <w:pPr>
        <w:ind w:left="720" w:hanging="360"/>
      </w:pPr>
      <w:rPr>
        <w:rFonts w:ascii="Symbol" w:hAnsi="Symbol" w:hint="default"/>
      </w:rPr>
    </w:lvl>
    <w:lvl w:ilvl="1" w:tplc="31E808E2">
      <w:start w:val="1"/>
      <w:numFmt w:val="lowerLetter"/>
      <w:lvlText w:val="%2)"/>
      <w:lvlJc w:val="left"/>
      <w:pPr>
        <w:ind w:left="1650" w:hanging="570"/>
      </w:pPr>
      <w:rPr>
        <w:rFonts w:hint="default"/>
      </w:r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3FDB6BBC"/>
    <w:multiLevelType w:val="hybridMultilevel"/>
    <w:tmpl w:val="95DEF63C"/>
    <w:lvl w:ilvl="0" w:tplc="20000001">
      <w:start w:val="1"/>
      <w:numFmt w:val="bullet"/>
      <w:lvlText w:val=""/>
      <w:lvlJc w:val="left"/>
      <w:pPr>
        <w:ind w:left="720" w:hanging="360"/>
      </w:pPr>
      <w:rPr>
        <w:rFonts w:ascii="Symbol" w:hAnsi="Symbol" w:hint="default"/>
      </w:rPr>
    </w:lvl>
    <w:lvl w:ilvl="1" w:tplc="02BA070E">
      <w:start w:val="1"/>
      <w:numFmt w:val="lowerLetter"/>
      <w:lvlText w:val="%2."/>
      <w:lvlJc w:val="left"/>
      <w:pPr>
        <w:ind w:left="1650" w:hanging="570"/>
      </w:pPr>
      <w:rPr>
        <w:rFonts w:hint="default"/>
      </w:r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48BD3B3B"/>
    <w:multiLevelType w:val="hybridMultilevel"/>
    <w:tmpl w:val="8A7092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A36BC2"/>
    <w:multiLevelType w:val="hybridMultilevel"/>
    <w:tmpl w:val="F62A537C"/>
    <w:lvl w:ilvl="0" w:tplc="35F8DFBE">
      <w:numFmt w:val="bullet"/>
      <w:lvlText w:val="-"/>
      <w:lvlJc w:val="left"/>
      <w:pPr>
        <w:ind w:left="720" w:hanging="360"/>
      </w:pPr>
      <w:rPr>
        <w:rFonts w:ascii="Calibri" w:eastAsia="Times New Roman"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4C727C5D"/>
    <w:multiLevelType w:val="multilevel"/>
    <w:tmpl w:val="7B7CB072"/>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D205EFC"/>
    <w:multiLevelType w:val="hybridMultilevel"/>
    <w:tmpl w:val="70EA2BF2"/>
    <w:lvl w:ilvl="0" w:tplc="72B064D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6"/>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3"/>
  </w:num>
  <w:num w:numId="13">
    <w:abstractNumId w:val="10"/>
  </w:num>
  <w:num w:numId="14">
    <w:abstractNumId w:val="14"/>
  </w:num>
  <w:num w:numId="15">
    <w:abstractNumId w:val="11"/>
  </w:num>
  <w:num w:numId="16">
    <w:abstractNumId w:val="15"/>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758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269"/>
    <w:rsid w:val="00001A4F"/>
    <w:rsid w:val="000036BD"/>
    <w:rsid w:val="000210D4"/>
    <w:rsid w:val="000500A4"/>
    <w:rsid w:val="000548FE"/>
    <w:rsid w:val="00055F90"/>
    <w:rsid w:val="00063016"/>
    <w:rsid w:val="00066795"/>
    <w:rsid w:val="00076AF6"/>
    <w:rsid w:val="00085CF2"/>
    <w:rsid w:val="0009170B"/>
    <w:rsid w:val="00095B95"/>
    <w:rsid w:val="000B1705"/>
    <w:rsid w:val="000B5E99"/>
    <w:rsid w:val="000C44CA"/>
    <w:rsid w:val="000D75B2"/>
    <w:rsid w:val="0010254B"/>
    <w:rsid w:val="0010770B"/>
    <w:rsid w:val="00111889"/>
    <w:rsid w:val="001121F5"/>
    <w:rsid w:val="001400DC"/>
    <w:rsid w:val="00140CE1"/>
    <w:rsid w:val="00152D65"/>
    <w:rsid w:val="00167EF9"/>
    <w:rsid w:val="0017539C"/>
    <w:rsid w:val="00175AC2"/>
    <w:rsid w:val="0017609F"/>
    <w:rsid w:val="001A77FC"/>
    <w:rsid w:val="001C2DE3"/>
    <w:rsid w:val="001C628E"/>
    <w:rsid w:val="001C6FF7"/>
    <w:rsid w:val="001C73EA"/>
    <w:rsid w:val="001E0F7B"/>
    <w:rsid w:val="001E1012"/>
    <w:rsid w:val="001E27E6"/>
    <w:rsid w:val="002119FD"/>
    <w:rsid w:val="002130E0"/>
    <w:rsid w:val="00230317"/>
    <w:rsid w:val="00240141"/>
    <w:rsid w:val="00264425"/>
    <w:rsid w:val="00265875"/>
    <w:rsid w:val="0027303B"/>
    <w:rsid w:val="0028109B"/>
    <w:rsid w:val="002A2188"/>
    <w:rsid w:val="002B1F58"/>
    <w:rsid w:val="002B4117"/>
    <w:rsid w:val="002C1C7A"/>
    <w:rsid w:val="002C752A"/>
    <w:rsid w:val="002E066A"/>
    <w:rsid w:val="002E7605"/>
    <w:rsid w:val="003007E6"/>
    <w:rsid w:val="0030160F"/>
    <w:rsid w:val="00313A22"/>
    <w:rsid w:val="00322D0D"/>
    <w:rsid w:val="00333C35"/>
    <w:rsid w:val="00336C84"/>
    <w:rsid w:val="003670FA"/>
    <w:rsid w:val="0037197A"/>
    <w:rsid w:val="00392CC0"/>
    <w:rsid w:val="003942D4"/>
    <w:rsid w:val="003958A8"/>
    <w:rsid w:val="003B2D9D"/>
    <w:rsid w:val="003C2533"/>
    <w:rsid w:val="003D2818"/>
    <w:rsid w:val="0040435A"/>
    <w:rsid w:val="00416A24"/>
    <w:rsid w:val="0042030D"/>
    <w:rsid w:val="00431128"/>
    <w:rsid w:val="00431D9E"/>
    <w:rsid w:val="00433CE8"/>
    <w:rsid w:val="00434A5C"/>
    <w:rsid w:val="004353FB"/>
    <w:rsid w:val="004540E4"/>
    <w:rsid w:val="004544D9"/>
    <w:rsid w:val="004562F7"/>
    <w:rsid w:val="00467BBE"/>
    <w:rsid w:val="0047265E"/>
    <w:rsid w:val="00490E72"/>
    <w:rsid w:val="00491157"/>
    <w:rsid w:val="004921C8"/>
    <w:rsid w:val="004D1851"/>
    <w:rsid w:val="004D599D"/>
    <w:rsid w:val="004D5A1E"/>
    <w:rsid w:val="004E2EA5"/>
    <w:rsid w:val="004E3AEB"/>
    <w:rsid w:val="00500AEE"/>
    <w:rsid w:val="0050223C"/>
    <w:rsid w:val="005243FF"/>
    <w:rsid w:val="00532351"/>
    <w:rsid w:val="00545E09"/>
    <w:rsid w:val="005464D5"/>
    <w:rsid w:val="00564FBC"/>
    <w:rsid w:val="00567F8A"/>
    <w:rsid w:val="00582111"/>
    <w:rsid w:val="00582442"/>
    <w:rsid w:val="005B6151"/>
    <w:rsid w:val="005B6CA9"/>
    <w:rsid w:val="005F3269"/>
    <w:rsid w:val="00603F18"/>
    <w:rsid w:val="00623AE3"/>
    <w:rsid w:val="00625AA4"/>
    <w:rsid w:val="00626B87"/>
    <w:rsid w:val="00631CEA"/>
    <w:rsid w:val="00645E41"/>
    <w:rsid w:val="0064737F"/>
    <w:rsid w:val="006535F1"/>
    <w:rsid w:val="0065557D"/>
    <w:rsid w:val="00662984"/>
    <w:rsid w:val="006716BB"/>
    <w:rsid w:val="006848DD"/>
    <w:rsid w:val="00693E56"/>
    <w:rsid w:val="006940D1"/>
    <w:rsid w:val="00695B0B"/>
    <w:rsid w:val="006B6680"/>
    <w:rsid w:val="006B6DCC"/>
    <w:rsid w:val="006C7137"/>
    <w:rsid w:val="006D0AC1"/>
    <w:rsid w:val="006F6CE8"/>
    <w:rsid w:val="00702DEF"/>
    <w:rsid w:val="00706861"/>
    <w:rsid w:val="00722181"/>
    <w:rsid w:val="00737A8C"/>
    <w:rsid w:val="00740FE3"/>
    <w:rsid w:val="0075051B"/>
    <w:rsid w:val="00750B6D"/>
    <w:rsid w:val="00774D94"/>
    <w:rsid w:val="00793188"/>
    <w:rsid w:val="00794359"/>
    <w:rsid w:val="00794D34"/>
    <w:rsid w:val="007A519C"/>
    <w:rsid w:val="007E5B5B"/>
    <w:rsid w:val="007F5870"/>
    <w:rsid w:val="00813E5E"/>
    <w:rsid w:val="0083581B"/>
    <w:rsid w:val="00864A23"/>
    <w:rsid w:val="00864AFF"/>
    <w:rsid w:val="008B4A6A"/>
    <w:rsid w:val="008C2D41"/>
    <w:rsid w:val="008C7E27"/>
    <w:rsid w:val="008D68D9"/>
    <w:rsid w:val="008E31B9"/>
    <w:rsid w:val="008F1177"/>
    <w:rsid w:val="008F7E7F"/>
    <w:rsid w:val="009173EF"/>
    <w:rsid w:val="00932906"/>
    <w:rsid w:val="00937399"/>
    <w:rsid w:val="00961B0B"/>
    <w:rsid w:val="009628CC"/>
    <w:rsid w:val="00973695"/>
    <w:rsid w:val="00980C2D"/>
    <w:rsid w:val="009B38C3"/>
    <w:rsid w:val="009C4CC0"/>
    <w:rsid w:val="009D35F3"/>
    <w:rsid w:val="009E17BD"/>
    <w:rsid w:val="009E1910"/>
    <w:rsid w:val="009E485A"/>
    <w:rsid w:val="009F66A3"/>
    <w:rsid w:val="00A007E8"/>
    <w:rsid w:val="00A02945"/>
    <w:rsid w:val="00A04CEC"/>
    <w:rsid w:val="00A24194"/>
    <w:rsid w:val="00A27F92"/>
    <w:rsid w:val="00A32257"/>
    <w:rsid w:val="00A36D20"/>
    <w:rsid w:val="00A41092"/>
    <w:rsid w:val="00A510F3"/>
    <w:rsid w:val="00A55622"/>
    <w:rsid w:val="00A7096F"/>
    <w:rsid w:val="00A83502"/>
    <w:rsid w:val="00A8382F"/>
    <w:rsid w:val="00A93619"/>
    <w:rsid w:val="00AB45ED"/>
    <w:rsid w:val="00AC24BA"/>
    <w:rsid w:val="00AC323C"/>
    <w:rsid w:val="00AC47C8"/>
    <w:rsid w:val="00AD15B3"/>
    <w:rsid w:val="00AD39A0"/>
    <w:rsid w:val="00AF6E49"/>
    <w:rsid w:val="00AF7FC7"/>
    <w:rsid w:val="00B04A67"/>
    <w:rsid w:val="00B0583C"/>
    <w:rsid w:val="00B13B27"/>
    <w:rsid w:val="00B16028"/>
    <w:rsid w:val="00B31458"/>
    <w:rsid w:val="00B32230"/>
    <w:rsid w:val="00B40A81"/>
    <w:rsid w:val="00B44910"/>
    <w:rsid w:val="00B44AB1"/>
    <w:rsid w:val="00B72267"/>
    <w:rsid w:val="00B76EB6"/>
    <w:rsid w:val="00B7737B"/>
    <w:rsid w:val="00B824C8"/>
    <w:rsid w:val="00B849DD"/>
    <w:rsid w:val="00BC251A"/>
    <w:rsid w:val="00BC5EB7"/>
    <w:rsid w:val="00BD032B"/>
    <w:rsid w:val="00BE2640"/>
    <w:rsid w:val="00BF10D3"/>
    <w:rsid w:val="00C00956"/>
    <w:rsid w:val="00C01189"/>
    <w:rsid w:val="00C15D8C"/>
    <w:rsid w:val="00C35B5D"/>
    <w:rsid w:val="00C374DE"/>
    <w:rsid w:val="00C45B51"/>
    <w:rsid w:val="00C47AD4"/>
    <w:rsid w:val="00C505BD"/>
    <w:rsid w:val="00C52D81"/>
    <w:rsid w:val="00C55198"/>
    <w:rsid w:val="00C5608F"/>
    <w:rsid w:val="00C60B3F"/>
    <w:rsid w:val="00C86B26"/>
    <w:rsid w:val="00CA6393"/>
    <w:rsid w:val="00CB18FF"/>
    <w:rsid w:val="00CD0C08"/>
    <w:rsid w:val="00CE03FB"/>
    <w:rsid w:val="00CE433C"/>
    <w:rsid w:val="00CF134B"/>
    <w:rsid w:val="00CF33F3"/>
    <w:rsid w:val="00CF5A9F"/>
    <w:rsid w:val="00D0157F"/>
    <w:rsid w:val="00D06183"/>
    <w:rsid w:val="00D130A5"/>
    <w:rsid w:val="00D216EE"/>
    <w:rsid w:val="00D22C42"/>
    <w:rsid w:val="00D338E0"/>
    <w:rsid w:val="00D45AD3"/>
    <w:rsid w:val="00D65041"/>
    <w:rsid w:val="00D7583D"/>
    <w:rsid w:val="00D8774A"/>
    <w:rsid w:val="00D9650A"/>
    <w:rsid w:val="00DA411C"/>
    <w:rsid w:val="00DA7200"/>
    <w:rsid w:val="00DB384B"/>
    <w:rsid w:val="00DB3F97"/>
    <w:rsid w:val="00DE4373"/>
    <w:rsid w:val="00DF72AC"/>
    <w:rsid w:val="00E04341"/>
    <w:rsid w:val="00E10E80"/>
    <w:rsid w:val="00E124F0"/>
    <w:rsid w:val="00E60F04"/>
    <w:rsid w:val="00E62EB1"/>
    <w:rsid w:val="00E740BD"/>
    <w:rsid w:val="00E812CD"/>
    <w:rsid w:val="00E854E4"/>
    <w:rsid w:val="00E87807"/>
    <w:rsid w:val="00EA2120"/>
    <w:rsid w:val="00EB0D6F"/>
    <w:rsid w:val="00EB2232"/>
    <w:rsid w:val="00EB743B"/>
    <w:rsid w:val="00EC21A5"/>
    <w:rsid w:val="00EC5337"/>
    <w:rsid w:val="00EE1F95"/>
    <w:rsid w:val="00EE5184"/>
    <w:rsid w:val="00EE6396"/>
    <w:rsid w:val="00EF5FD9"/>
    <w:rsid w:val="00F07403"/>
    <w:rsid w:val="00F11480"/>
    <w:rsid w:val="00F12326"/>
    <w:rsid w:val="00F2150A"/>
    <w:rsid w:val="00F231D8"/>
    <w:rsid w:val="00F25642"/>
    <w:rsid w:val="00F30555"/>
    <w:rsid w:val="00F452A5"/>
    <w:rsid w:val="00F46C5F"/>
    <w:rsid w:val="00F55CE2"/>
    <w:rsid w:val="00F56668"/>
    <w:rsid w:val="00F94A63"/>
    <w:rsid w:val="00FA1C28"/>
    <w:rsid w:val="00FB1279"/>
    <w:rsid w:val="00FB5DE3"/>
    <w:rsid w:val="00FB7596"/>
    <w:rsid w:val="00FC501E"/>
    <w:rsid w:val="00FD2E7F"/>
    <w:rsid w:val="00FE3BBF"/>
    <w:rsid w:val="00FE4077"/>
    <w:rsid w:val="00FE567F"/>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4:docId w14:val="4E04E449"/>
  <w15:docId w15:val="{A767549E-D165-4988-9E2E-E5CFDB3A7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2EB1"/>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E62EB1"/>
    <w:pPr>
      <w:keepNext/>
      <w:keepLines/>
      <w:spacing w:before="480"/>
      <w:ind w:left="567" w:hanging="567"/>
      <w:outlineLvl w:val="0"/>
    </w:pPr>
    <w:rPr>
      <w:b/>
      <w:sz w:val="28"/>
    </w:rPr>
  </w:style>
  <w:style w:type="paragraph" w:styleId="Heading2">
    <w:name w:val="heading 2"/>
    <w:basedOn w:val="Heading1"/>
    <w:next w:val="Normal"/>
    <w:qFormat/>
    <w:rsid w:val="00E62EB1"/>
    <w:pPr>
      <w:spacing w:before="320"/>
      <w:outlineLvl w:val="1"/>
    </w:pPr>
    <w:rPr>
      <w:sz w:val="24"/>
    </w:rPr>
  </w:style>
  <w:style w:type="paragraph" w:styleId="Heading3">
    <w:name w:val="heading 3"/>
    <w:basedOn w:val="Heading1"/>
    <w:next w:val="Normal"/>
    <w:qFormat/>
    <w:rsid w:val="00E62EB1"/>
    <w:pPr>
      <w:spacing w:before="200"/>
      <w:outlineLvl w:val="2"/>
    </w:pPr>
    <w:rPr>
      <w:sz w:val="24"/>
    </w:rPr>
  </w:style>
  <w:style w:type="paragraph" w:styleId="Heading4">
    <w:name w:val="heading 4"/>
    <w:basedOn w:val="Heading3"/>
    <w:next w:val="Normal"/>
    <w:qFormat/>
    <w:rsid w:val="00E62EB1"/>
    <w:pPr>
      <w:ind w:left="1134" w:hanging="1134"/>
      <w:outlineLvl w:val="3"/>
    </w:pPr>
  </w:style>
  <w:style w:type="paragraph" w:styleId="Heading5">
    <w:name w:val="heading 5"/>
    <w:basedOn w:val="Heading4"/>
    <w:next w:val="Normal"/>
    <w:qFormat/>
    <w:rsid w:val="00E62EB1"/>
    <w:pPr>
      <w:outlineLvl w:val="4"/>
    </w:pPr>
  </w:style>
  <w:style w:type="paragraph" w:styleId="Heading6">
    <w:name w:val="heading 6"/>
    <w:basedOn w:val="Heading4"/>
    <w:next w:val="Normal"/>
    <w:qFormat/>
    <w:rsid w:val="00E62EB1"/>
    <w:pPr>
      <w:outlineLvl w:val="5"/>
    </w:pPr>
  </w:style>
  <w:style w:type="paragraph" w:styleId="Heading7">
    <w:name w:val="heading 7"/>
    <w:basedOn w:val="Heading4"/>
    <w:next w:val="Normal"/>
    <w:qFormat/>
    <w:rsid w:val="00E62EB1"/>
    <w:pPr>
      <w:ind w:left="1701" w:hanging="1701"/>
      <w:outlineLvl w:val="6"/>
    </w:pPr>
  </w:style>
  <w:style w:type="paragraph" w:styleId="Heading8">
    <w:name w:val="heading 8"/>
    <w:basedOn w:val="Heading4"/>
    <w:next w:val="Normal"/>
    <w:qFormat/>
    <w:rsid w:val="00E62EB1"/>
    <w:pPr>
      <w:ind w:left="1701" w:hanging="1701"/>
      <w:outlineLvl w:val="7"/>
    </w:pPr>
  </w:style>
  <w:style w:type="paragraph" w:styleId="Heading9">
    <w:name w:val="heading 9"/>
    <w:basedOn w:val="Heading4"/>
    <w:next w:val="Normal"/>
    <w:qFormat/>
    <w:rsid w:val="00E62EB1"/>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E62EB1"/>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E62EB1"/>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E62EB1"/>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E62EB1"/>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E62EB1"/>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E62EB1"/>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E62EB1"/>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E62EB1"/>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E62EB1"/>
    <w:pPr>
      <w:ind w:left="1698"/>
    </w:pPr>
  </w:style>
  <w:style w:type="paragraph" w:styleId="Index6">
    <w:name w:val="index 6"/>
    <w:basedOn w:val="Normal"/>
    <w:next w:val="Normal"/>
    <w:rsid w:val="00E62EB1"/>
    <w:pPr>
      <w:ind w:left="1415"/>
    </w:pPr>
  </w:style>
  <w:style w:type="paragraph" w:styleId="Index5">
    <w:name w:val="index 5"/>
    <w:basedOn w:val="Normal"/>
    <w:next w:val="Normal"/>
    <w:rsid w:val="00E62EB1"/>
    <w:pPr>
      <w:ind w:left="1132"/>
    </w:pPr>
  </w:style>
  <w:style w:type="paragraph" w:styleId="Index4">
    <w:name w:val="index 4"/>
    <w:basedOn w:val="Normal"/>
    <w:next w:val="Normal"/>
    <w:rsid w:val="00E62EB1"/>
    <w:pPr>
      <w:ind w:left="849"/>
    </w:pPr>
  </w:style>
  <w:style w:type="paragraph" w:styleId="Index3">
    <w:name w:val="index 3"/>
    <w:basedOn w:val="Normal"/>
    <w:next w:val="Normal"/>
    <w:rsid w:val="00E62EB1"/>
    <w:pPr>
      <w:ind w:left="566"/>
    </w:pPr>
  </w:style>
  <w:style w:type="paragraph" w:styleId="Index2">
    <w:name w:val="index 2"/>
    <w:basedOn w:val="Normal"/>
    <w:next w:val="Normal"/>
    <w:rsid w:val="00E62EB1"/>
    <w:pPr>
      <w:ind w:left="283"/>
    </w:pPr>
  </w:style>
  <w:style w:type="paragraph" w:styleId="Index1">
    <w:name w:val="index 1"/>
    <w:basedOn w:val="Normal"/>
    <w:next w:val="Normal"/>
    <w:rsid w:val="00E62EB1"/>
  </w:style>
  <w:style w:type="character" w:styleId="LineNumber">
    <w:name w:val="line number"/>
    <w:basedOn w:val="DefaultParagraphFont"/>
    <w:rsid w:val="00E62EB1"/>
  </w:style>
  <w:style w:type="paragraph" w:styleId="IndexHeading">
    <w:name w:val="index heading"/>
    <w:basedOn w:val="Normal"/>
    <w:next w:val="Index1"/>
    <w:rsid w:val="00E62EB1"/>
  </w:style>
  <w:style w:type="paragraph" w:styleId="Footer">
    <w:name w:val="footer"/>
    <w:basedOn w:val="Normal"/>
    <w:rsid w:val="00E62EB1"/>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E62EB1"/>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E62EB1"/>
    <w:rPr>
      <w:rFonts w:ascii="Calibri" w:hAnsi="Calibri"/>
      <w:position w:val="6"/>
      <w:sz w:val="16"/>
    </w:rPr>
  </w:style>
  <w:style w:type="paragraph" w:styleId="FootnoteText">
    <w:name w:val="footnote text"/>
    <w:basedOn w:val="Normal"/>
    <w:link w:val="FootnoteTextChar"/>
    <w:rsid w:val="00E62EB1"/>
    <w:pPr>
      <w:keepLines/>
      <w:tabs>
        <w:tab w:val="left" w:pos="256"/>
      </w:tabs>
      <w:ind w:left="256" w:hanging="256"/>
    </w:pPr>
  </w:style>
  <w:style w:type="paragraph" w:styleId="NormalIndent">
    <w:name w:val="Normal Indent"/>
    <w:basedOn w:val="Normal"/>
    <w:rsid w:val="00E62EB1"/>
    <w:pPr>
      <w:ind w:left="567"/>
    </w:pPr>
  </w:style>
  <w:style w:type="paragraph" w:customStyle="1" w:styleId="enumlev1">
    <w:name w:val="enumlev1"/>
    <w:basedOn w:val="Normal"/>
    <w:rsid w:val="00E62EB1"/>
    <w:pPr>
      <w:spacing w:before="86"/>
      <w:ind w:left="567" w:hanging="567"/>
    </w:pPr>
  </w:style>
  <w:style w:type="paragraph" w:customStyle="1" w:styleId="enumlev2">
    <w:name w:val="enumlev2"/>
    <w:basedOn w:val="enumlev1"/>
    <w:rsid w:val="00E62EB1"/>
    <w:pPr>
      <w:ind w:left="1134"/>
    </w:pPr>
  </w:style>
  <w:style w:type="paragraph" w:customStyle="1" w:styleId="enumlev3">
    <w:name w:val="enumlev3"/>
    <w:basedOn w:val="enumlev2"/>
    <w:rsid w:val="00E62EB1"/>
    <w:pPr>
      <w:ind w:left="1701"/>
    </w:pPr>
  </w:style>
  <w:style w:type="paragraph" w:customStyle="1" w:styleId="Normalaftertitle">
    <w:name w:val="Normal after title"/>
    <w:basedOn w:val="Normal"/>
    <w:next w:val="Normal"/>
    <w:rsid w:val="00E62EB1"/>
    <w:pPr>
      <w:spacing w:before="240"/>
    </w:pPr>
  </w:style>
  <w:style w:type="paragraph" w:customStyle="1" w:styleId="Equation">
    <w:name w:val="Equation"/>
    <w:basedOn w:val="Normal"/>
    <w:rsid w:val="00E62EB1"/>
    <w:pPr>
      <w:tabs>
        <w:tab w:val="center" w:pos="4820"/>
        <w:tab w:val="right" w:pos="9639"/>
      </w:tabs>
    </w:pPr>
  </w:style>
  <w:style w:type="paragraph" w:customStyle="1" w:styleId="Head">
    <w:name w:val="Head"/>
    <w:basedOn w:val="Normal"/>
    <w:rsid w:val="00E62EB1"/>
    <w:pPr>
      <w:tabs>
        <w:tab w:val="left" w:pos="6663"/>
      </w:tabs>
      <w:overflowPunct/>
      <w:autoSpaceDE/>
      <w:autoSpaceDN/>
      <w:adjustRightInd/>
      <w:spacing w:before="0"/>
      <w:textAlignment w:val="auto"/>
    </w:pPr>
  </w:style>
  <w:style w:type="paragraph" w:customStyle="1" w:styleId="toc0">
    <w:name w:val="toc 0"/>
    <w:basedOn w:val="Normal"/>
    <w:next w:val="TOC1"/>
    <w:rsid w:val="00E62EB1"/>
    <w:pPr>
      <w:tabs>
        <w:tab w:val="clear" w:pos="567"/>
        <w:tab w:val="clear" w:pos="1134"/>
        <w:tab w:val="clear" w:pos="1701"/>
        <w:tab w:val="clear" w:pos="2268"/>
        <w:tab w:val="clear" w:pos="2835"/>
        <w:tab w:val="right" w:pos="9781"/>
      </w:tabs>
    </w:pPr>
    <w:rPr>
      <w:b/>
    </w:rPr>
  </w:style>
  <w:style w:type="paragraph" w:styleId="List">
    <w:name w:val="List"/>
    <w:basedOn w:val="Normal"/>
    <w:rsid w:val="00E62EB1"/>
    <w:pPr>
      <w:tabs>
        <w:tab w:val="left" w:pos="2127"/>
      </w:tabs>
      <w:ind w:left="2127" w:hanging="2127"/>
    </w:pPr>
  </w:style>
  <w:style w:type="paragraph" w:customStyle="1" w:styleId="Part">
    <w:name w:val="Part"/>
    <w:basedOn w:val="Normal"/>
    <w:rsid w:val="00E62EB1"/>
    <w:pPr>
      <w:tabs>
        <w:tab w:val="left" w:pos="1276"/>
      </w:tabs>
      <w:spacing w:before="199"/>
      <w:ind w:left="1701" w:hanging="1701"/>
    </w:pPr>
    <w:rPr>
      <w:caps/>
    </w:rPr>
  </w:style>
  <w:style w:type="paragraph" w:customStyle="1" w:styleId="Source">
    <w:name w:val="Source"/>
    <w:basedOn w:val="Normal"/>
    <w:next w:val="Title1"/>
    <w:rsid w:val="00E62EB1"/>
    <w:pPr>
      <w:spacing w:before="840"/>
      <w:jc w:val="center"/>
    </w:pPr>
    <w:rPr>
      <w:b/>
      <w:sz w:val="28"/>
    </w:rPr>
  </w:style>
  <w:style w:type="paragraph" w:customStyle="1" w:styleId="meeting">
    <w:name w:val="meeting"/>
    <w:basedOn w:val="Head"/>
    <w:next w:val="Head"/>
    <w:rsid w:val="00E62EB1"/>
    <w:pPr>
      <w:tabs>
        <w:tab w:val="left" w:pos="7371"/>
      </w:tabs>
      <w:spacing w:after="567"/>
    </w:pPr>
  </w:style>
  <w:style w:type="paragraph" w:customStyle="1" w:styleId="Subject">
    <w:name w:val="Subject"/>
    <w:basedOn w:val="Normal"/>
    <w:next w:val="Source"/>
    <w:rsid w:val="00E62EB1"/>
    <w:pPr>
      <w:tabs>
        <w:tab w:val="left" w:pos="709"/>
      </w:tabs>
      <w:spacing w:before="0"/>
      <w:ind w:left="709" w:hanging="709"/>
    </w:pPr>
  </w:style>
  <w:style w:type="paragraph" w:customStyle="1" w:styleId="Object">
    <w:name w:val="Object"/>
    <w:basedOn w:val="Subject"/>
    <w:next w:val="Subject"/>
    <w:rsid w:val="00E62EB1"/>
  </w:style>
  <w:style w:type="paragraph" w:customStyle="1" w:styleId="Data">
    <w:name w:val="Data"/>
    <w:basedOn w:val="Subject"/>
    <w:next w:val="Subject"/>
    <w:rsid w:val="00E62EB1"/>
  </w:style>
  <w:style w:type="paragraph" w:customStyle="1" w:styleId="Reasons">
    <w:name w:val="Reasons"/>
    <w:basedOn w:val="Normal"/>
    <w:qFormat/>
    <w:rsid w:val="00E62EB1"/>
  </w:style>
  <w:style w:type="character" w:styleId="Hyperlink">
    <w:name w:val="Hyperlink"/>
    <w:basedOn w:val="DefaultParagraphFont"/>
    <w:rsid w:val="00E62EB1"/>
    <w:rPr>
      <w:color w:val="0000FF"/>
      <w:u w:val="single"/>
    </w:rPr>
  </w:style>
  <w:style w:type="paragraph" w:customStyle="1" w:styleId="FirstFooter">
    <w:name w:val="FirstFooter"/>
    <w:basedOn w:val="Footer"/>
    <w:rsid w:val="00E62EB1"/>
    <w:rPr>
      <w:caps w:val="0"/>
    </w:rPr>
  </w:style>
  <w:style w:type="paragraph" w:customStyle="1" w:styleId="Note">
    <w:name w:val="Note"/>
    <w:basedOn w:val="Normal"/>
    <w:rsid w:val="00E62EB1"/>
    <w:pPr>
      <w:spacing w:before="80"/>
    </w:pPr>
  </w:style>
  <w:style w:type="paragraph" w:styleId="TOC9">
    <w:name w:val="toc 9"/>
    <w:basedOn w:val="Normal"/>
    <w:next w:val="Normal"/>
    <w:rsid w:val="00E62EB1"/>
    <w:pPr>
      <w:tabs>
        <w:tab w:val="clear" w:pos="567"/>
        <w:tab w:val="clear" w:pos="1134"/>
        <w:tab w:val="clear" w:pos="1701"/>
        <w:tab w:val="clear" w:pos="2268"/>
        <w:tab w:val="clear" w:pos="2835"/>
        <w:tab w:val="right" w:leader="dot" w:pos="9645"/>
      </w:tabs>
      <w:ind w:left="1920"/>
    </w:pPr>
  </w:style>
  <w:style w:type="paragraph" w:customStyle="1" w:styleId="Headingb">
    <w:name w:val="Heading_b"/>
    <w:basedOn w:val="Heading3"/>
    <w:next w:val="Normal"/>
    <w:rsid w:val="00E62EB1"/>
    <w:pPr>
      <w:spacing w:before="160"/>
      <w:outlineLvl w:val="0"/>
    </w:pPr>
  </w:style>
  <w:style w:type="character" w:styleId="FollowedHyperlink">
    <w:name w:val="FollowedHyperlink"/>
    <w:basedOn w:val="DefaultParagraphFont"/>
    <w:rsid w:val="00E62EB1"/>
    <w:rPr>
      <w:color w:val="800080"/>
      <w:u w:val="single"/>
    </w:rPr>
  </w:style>
  <w:style w:type="paragraph" w:customStyle="1" w:styleId="Title1">
    <w:name w:val="Title 1"/>
    <w:basedOn w:val="Source"/>
    <w:next w:val="Title2"/>
    <w:rsid w:val="00E62EB1"/>
    <w:pPr>
      <w:spacing w:before="240"/>
    </w:pPr>
    <w:rPr>
      <w:b w:val="0"/>
      <w:caps/>
    </w:rPr>
  </w:style>
  <w:style w:type="paragraph" w:customStyle="1" w:styleId="Title2">
    <w:name w:val="Title 2"/>
    <w:basedOn w:val="Source"/>
    <w:next w:val="Title3"/>
    <w:rsid w:val="00E62EB1"/>
    <w:pPr>
      <w:spacing w:before="240"/>
    </w:pPr>
    <w:rPr>
      <w:b w:val="0"/>
      <w:caps/>
    </w:rPr>
  </w:style>
  <w:style w:type="paragraph" w:customStyle="1" w:styleId="Title3">
    <w:name w:val="Title 3"/>
    <w:basedOn w:val="Title2"/>
    <w:next w:val="Normalaftertitle"/>
    <w:rsid w:val="00E62EB1"/>
    <w:rPr>
      <w:caps w:val="0"/>
    </w:rPr>
  </w:style>
  <w:style w:type="paragraph" w:customStyle="1" w:styleId="Title4">
    <w:name w:val="Title 4"/>
    <w:basedOn w:val="Title3"/>
    <w:next w:val="Heading1"/>
    <w:rsid w:val="00E62EB1"/>
    <w:rPr>
      <w:b/>
    </w:rPr>
  </w:style>
  <w:style w:type="paragraph" w:customStyle="1" w:styleId="dnum">
    <w:name w:val="dnum"/>
    <w:basedOn w:val="Normal"/>
    <w:rsid w:val="00E62EB1"/>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E62EB1"/>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E62EB1"/>
    <w:pPr>
      <w:framePr w:hSpace="181" w:wrap="notBeside" w:vAnchor="page" w:hAnchor="margin" w:x="1" w:y="852"/>
      <w:shd w:val="solid" w:color="FFFFFF" w:fill="FFFFFF"/>
      <w:tabs>
        <w:tab w:val="left" w:pos="1871"/>
      </w:tabs>
      <w:spacing w:before="0"/>
    </w:pPr>
    <w:rPr>
      <w:b/>
      <w:bCs/>
    </w:rPr>
  </w:style>
  <w:style w:type="paragraph" w:customStyle="1" w:styleId="AnnexNo">
    <w:name w:val="Annex_No"/>
    <w:basedOn w:val="Normal"/>
    <w:next w:val="Annexref"/>
    <w:rsid w:val="00E62EB1"/>
    <w:pPr>
      <w:spacing w:before="720"/>
      <w:jc w:val="center"/>
    </w:pPr>
    <w:rPr>
      <w:caps/>
      <w:sz w:val="28"/>
    </w:rPr>
  </w:style>
  <w:style w:type="paragraph" w:customStyle="1" w:styleId="Annextitle">
    <w:name w:val="Annex_title"/>
    <w:basedOn w:val="Normal"/>
    <w:next w:val="Normal"/>
    <w:rsid w:val="00E62EB1"/>
    <w:pPr>
      <w:spacing w:before="240" w:after="240"/>
      <w:jc w:val="center"/>
    </w:pPr>
    <w:rPr>
      <w:b/>
      <w:sz w:val="28"/>
    </w:rPr>
  </w:style>
  <w:style w:type="paragraph" w:customStyle="1" w:styleId="Annexref">
    <w:name w:val="Annex_ref"/>
    <w:basedOn w:val="Normal"/>
    <w:next w:val="Annextitle"/>
    <w:rsid w:val="00E62EB1"/>
    <w:pPr>
      <w:jc w:val="center"/>
    </w:pPr>
    <w:rPr>
      <w:sz w:val="28"/>
    </w:rPr>
  </w:style>
  <w:style w:type="paragraph" w:customStyle="1" w:styleId="AppendixNo">
    <w:name w:val="Appendix_No"/>
    <w:basedOn w:val="AnnexNo"/>
    <w:next w:val="Appendixref"/>
    <w:rsid w:val="00E62EB1"/>
  </w:style>
  <w:style w:type="paragraph" w:customStyle="1" w:styleId="Appendixtitle">
    <w:name w:val="Appendix_title"/>
    <w:basedOn w:val="Annextitle"/>
    <w:next w:val="Normal"/>
    <w:rsid w:val="00E62EB1"/>
  </w:style>
  <w:style w:type="paragraph" w:customStyle="1" w:styleId="Appendixref">
    <w:name w:val="Appendix_ref"/>
    <w:basedOn w:val="Annexref"/>
    <w:next w:val="Appendixtitle"/>
    <w:rsid w:val="00E62EB1"/>
  </w:style>
  <w:style w:type="paragraph" w:customStyle="1" w:styleId="Call">
    <w:name w:val="Call"/>
    <w:basedOn w:val="Normal"/>
    <w:next w:val="Normal"/>
    <w:rsid w:val="00E62EB1"/>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Indent"/>
    <w:rsid w:val="00E62EB1"/>
    <w:pPr>
      <w:tabs>
        <w:tab w:val="right" w:pos="1531"/>
      </w:tabs>
      <w:spacing w:before="80"/>
      <w:ind w:left="1701" w:hanging="1701"/>
    </w:pPr>
  </w:style>
  <w:style w:type="paragraph" w:customStyle="1" w:styleId="Figure">
    <w:name w:val="Figure"/>
    <w:basedOn w:val="Normal"/>
    <w:next w:val="Figuretitle"/>
    <w:rsid w:val="00E62EB1"/>
    <w:pPr>
      <w:keepNext/>
      <w:keepLines/>
      <w:spacing w:after="120"/>
      <w:jc w:val="center"/>
    </w:pPr>
  </w:style>
  <w:style w:type="paragraph" w:customStyle="1" w:styleId="Figuretitle">
    <w:name w:val="Figure_title"/>
    <w:basedOn w:val="Tabletitle"/>
    <w:next w:val="Normalaftertitle"/>
    <w:rsid w:val="00E62EB1"/>
    <w:pPr>
      <w:spacing w:before="240" w:after="480"/>
    </w:pPr>
  </w:style>
  <w:style w:type="paragraph" w:customStyle="1" w:styleId="Tabletitle">
    <w:name w:val="Table_title"/>
    <w:basedOn w:val="TableNo"/>
    <w:next w:val="Tabletext"/>
    <w:rsid w:val="00E62EB1"/>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E62EB1"/>
    <w:pPr>
      <w:keepNext/>
      <w:spacing w:before="560" w:after="120"/>
      <w:jc w:val="center"/>
    </w:pPr>
    <w:rPr>
      <w:caps/>
    </w:rPr>
  </w:style>
  <w:style w:type="paragraph" w:customStyle="1" w:styleId="Tabletext">
    <w:name w:val="Table_text"/>
    <w:basedOn w:val="Normal"/>
    <w:rsid w:val="00E62EB1"/>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E62EB1"/>
    <w:pPr>
      <w:spacing w:before="20" w:after="20"/>
    </w:pPr>
    <w:rPr>
      <w:sz w:val="18"/>
    </w:rPr>
  </w:style>
  <w:style w:type="paragraph" w:customStyle="1" w:styleId="FigureNo">
    <w:name w:val="Figure_No"/>
    <w:basedOn w:val="Normal"/>
    <w:next w:val="Figuretitle"/>
    <w:rsid w:val="00E62EB1"/>
    <w:pPr>
      <w:keepNext/>
      <w:keepLines/>
      <w:spacing w:before="240" w:after="120"/>
      <w:jc w:val="center"/>
    </w:pPr>
    <w:rPr>
      <w:caps/>
    </w:rPr>
  </w:style>
  <w:style w:type="paragraph" w:customStyle="1" w:styleId="Figurewithouttitle">
    <w:name w:val="Figure_without_title"/>
    <w:basedOn w:val="Figure"/>
    <w:next w:val="Normalaftertitle"/>
    <w:rsid w:val="00E62EB1"/>
    <w:pPr>
      <w:keepNext w:val="0"/>
      <w:spacing w:after="240"/>
    </w:pPr>
  </w:style>
  <w:style w:type="paragraph" w:customStyle="1" w:styleId="Headingi">
    <w:name w:val="Heading_i"/>
    <w:basedOn w:val="Heading3"/>
    <w:next w:val="Normal"/>
    <w:rsid w:val="00E62EB1"/>
    <w:pPr>
      <w:spacing w:before="160"/>
      <w:outlineLvl w:val="0"/>
    </w:pPr>
    <w:rPr>
      <w:b w:val="0"/>
      <w:i/>
    </w:rPr>
  </w:style>
  <w:style w:type="character" w:styleId="PageNumber">
    <w:name w:val="page number"/>
    <w:basedOn w:val="DefaultParagraphFont"/>
    <w:rsid w:val="00E62EB1"/>
    <w:rPr>
      <w:rFonts w:ascii="Calibri" w:hAnsi="Calibri"/>
    </w:rPr>
  </w:style>
  <w:style w:type="paragraph" w:customStyle="1" w:styleId="PartNo">
    <w:name w:val="Part_No"/>
    <w:basedOn w:val="AnnexNo"/>
    <w:next w:val="Parttitle"/>
    <w:rsid w:val="00E62EB1"/>
  </w:style>
  <w:style w:type="paragraph" w:customStyle="1" w:styleId="Parttitle">
    <w:name w:val="Part_title"/>
    <w:basedOn w:val="Annextitle"/>
    <w:next w:val="Partref"/>
    <w:rsid w:val="00E62EB1"/>
  </w:style>
  <w:style w:type="paragraph" w:customStyle="1" w:styleId="Partref">
    <w:name w:val="Part_ref"/>
    <w:basedOn w:val="Annexref"/>
    <w:next w:val="Normalaftertitle"/>
    <w:rsid w:val="00E62EB1"/>
  </w:style>
  <w:style w:type="paragraph" w:customStyle="1" w:styleId="RecNo">
    <w:name w:val="Rec_No"/>
    <w:basedOn w:val="Normal"/>
    <w:next w:val="Rectitle"/>
    <w:rsid w:val="00E62EB1"/>
    <w:pPr>
      <w:spacing w:before="720"/>
      <w:jc w:val="center"/>
    </w:pPr>
    <w:rPr>
      <w:caps/>
      <w:sz w:val="28"/>
    </w:rPr>
  </w:style>
  <w:style w:type="paragraph" w:customStyle="1" w:styleId="Rectitle">
    <w:name w:val="Rec_title"/>
    <w:basedOn w:val="Normal"/>
    <w:next w:val="Heading1"/>
    <w:rsid w:val="00E62EB1"/>
    <w:pPr>
      <w:spacing w:before="240"/>
      <w:jc w:val="center"/>
    </w:pPr>
    <w:rPr>
      <w:b/>
      <w:sz w:val="28"/>
    </w:rPr>
  </w:style>
  <w:style w:type="paragraph" w:customStyle="1" w:styleId="Recref">
    <w:name w:val="Rec_ref"/>
    <w:basedOn w:val="Rectitle"/>
    <w:next w:val="Recdate"/>
    <w:rsid w:val="00E62EB1"/>
    <w:pPr>
      <w:spacing w:before="120"/>
    </w:pPr>
    <w:rPr>
      <w:rFonts w:ascii="Times New Roman" w:hAnsi="Times New Roman"/>
      <w:b w:val="0"/>
      <w:sz w:val="24"/>
    </w:rPr>
  </w:style>
  <w:style w:type="paragraph" w:customStyle="1" w:styleId="Recdate">
    <w:name w:val="Rec_date"/>
    <w:basedOn w:val="Recref"/>
    <w:next w:val="Normalaftertitle"/>
    <w:rsid w:val="00E62EB1"/>
    <w:pPr>
      <w:jc w:val="right"/>
    </w:pPr>
    <w:rPr>
      <w:sz w:val="22"/>
    </w:rPr>
  </w:style>
  <w:style w:type="paragraph" w:customStyle="1" w:styleId="Questiondate">
    <w:name w:val="Question_date"/>
    <w:basedOn w:val="Recdate"/>
    <w:next w:val="Normalaftertitle"/>
    <w:rsid w:val="00E62EB1"/>
  </w:style>
  <w:style w:type="paragraph" w:customStyle="1" w:styleId="QuestionNo">
    <w:name w:val="Question_No"/>
    <w:basedOn w:val="RecNo"/>
    <w:next w:val="Questiontitle"/>
    <w:rsid w:val="00E62EB1"/>
  </w:style>
  <w:style w:type="paragraph" w:customStyle="1" w:styleId="Questionref">
    <w:name w:val="Question_ref"/>
    <w:basedOn w:val="Recref"/>
    <w:next w:val="Questiondate"/>
    <w:rsid w:val="00E62EB1"/>
  </w:style>
  <w:style w:type="paragraph" w:customStyle="1" w:styleId="Questiontitle">
    <w:name w:val="Question_title"/>
    <w:basedOn w:val="Rectitle"/>
    <w:next w:val="Questionref"/>
    <w:rsid w:val="00E62EB1"/>
  </w:style>
  <w:style w:type="paragraph" w:customStyle="1" w:styleId="Reftext">
    <w:name w:val="Ref_text"/>
    <w:basedOn w:val="Normal"/>
    <w:rsid w:val="00E62EB1"/>
    <w:pPr>
      <w:ind w:left="567" w:hanging="567"/>
    </w:pPr>
  </w:style>
  <w:style w:type="paragraph" w:customStyle="1" w:styleId="Reftitle">
    <w:name w:val="Ref_title"/>
    <w:basedOn w:val="Normal"/>
    <w:next w:val="Reftext"/>
    <w:rsid w:val="00E62EB1"/>
    <w:pPr>
      <w:spacing w:before="480"/>
      <w:jc w:val="center"/>
    </w:pPr>
    <w:rPr>
      <w:caps/>
      <w:sz w:val="28"/>
    </w:rPr>
  </w:style>
  <w:style w:type="paragraph" w:customStyle="1" w:styleId="Repdate">
    <w:name w:val="Rep_date"/>
    <w:basedOn w:val="Recdate"/>
    <w:next w:val="Normalaftertitle"/>
    <w:rsid w:val="00E62EB1"/>
  </w:style>
  <w:style w:type="paragraph" w:customStyle="1" w:styleId="RepNo">
    <w:name w:val="Rep_No"/>
    <w:basedOn w:val="RecNo"/>
    <w:next w:val="Reptitle"/>
    <w:rsid w:val="00E62EB1"/>
  </w:style>
  <w:style w:type="paragraph" w:customStyle="1" w:styleId="Reptitle">
    <w:name w:val="Rep_title"/>
    <w:basedOn w:val="Rectitle"/>
    <w:next w:val="Repref"/>
    <w:rsid w:val="00E62EB1"/>
  </w:style>
  <w:style w:type="paragraph" w:customStyle="1" w:styleId="Repref">
    <w:name w:val="Rep_ref"/>
    <w:basedOn w:val="Recref"/>
    <w:next w:val="Repdate"/>
    <w:rsid w:val="00E62EB1"/>
  </w:style>
  <w:style w:type="paragraph" w:customStyle="1" w:styleId="Resdate">
    <w:name w:val="Res_date"/>
    <w:basedOn w:val="Recdate"/>
    <w:next w:val="Normalaftertitle"/>
    <w:rsid w:val="00E62EB1"/>
  </w:style>
  <w:style w:type="paragraph" w:customStyle="1" w:styleId="ResNo">
    <w:name w:val="Res_No"/>
    <w:basedOn w:val="AnnexNo"/>
    <w:next w:val="Restitle"/>
    <w:rsid w:val="00E62EB1"/>
  </w:style>
  <w:style w:type="paragraph" w:customStyle="1" w:styleId="Restitle">
    <w:name w:val="Res_title"/>
    <w:basedOn w:val="Annextitle"/>
    <w:next w:val="Normal"/>
    <w:rsid w:val="00E62EB1"/>
  </w:style>
  <w:style w:type="paragraph" w:customStyle="1" w:styleId="Resref">
    <w:name w:val="Res_ref"/>
    <w:basedOn w:val="Recref"/>
    <w:next w:val="Resdate"/>
    <w:rsid w:val="00E62EB1"/>
  </w:style>
  <w:style w:type="paragraph" w:customStyle="1" w:styleId="SectionNo">
    <w:name w:val="Section_No"/>
    <w:basedOn w:val="AnnexNo"/>
    <w:next w:val="Sectiontitle"/>
    <w:rsid w:val="00E62EB1"/>
  </w:style>
  <w:style w:type="paragraph" w:customStyle="1" w:styleId="Sectiontitle">
    <w:name w:val="Section_title"/>
    <w:basedOn w:val="Normal"/>
    <w:next w:val="Normalaftertitle"/>
    <w:rsid w:val="00E62EB1"/>
    <w:rPr>
      <w:sz w:val="28"/>
    </w:rPr>
  </w:style>
  <w:style w:type="paragraph" w:customStyle="1" w:styleId="SpecialFooter">
    <w:name w:val="Special Footer"/>
    <w:basedOn w:val="Footer"/>
    <w:rsid w:val="00E62EB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E62EB1"/>
    <w:pPr>
      <w:spacing w:before="120" w:after="120"/>
      <w:jc w:val="center"/>
    </w:pPr>
    <w:rPr>
      <w:b/>
    </w:rPr>
  </w:style>
  <w:style w:type="paragraph" w:customStyle="1" w:styleId="Tablelegend">
    <w:name w:val="Table_legend"/>
    <w:basedOn w:val="Tabletext"/>
    <w:rsid w:val="00E62EB1"/>
    <w:pPr>
      <w:spacing w:before="120"/>
    </w:pPr>
  </w:style>
  <w:style w:type="paragraph" w:customStyle="1" w:styleId="Tableref">
    <w:name w:val="Table_ref"/>
    <w:basedOn w:val="Normal"/>
    <w:next w:val="Tabletitle"/>
    <w:rsid w:val="00E62EB1"/>
    <w:pPr>
      <w:keepNext/>
      <w:spacing w:before="567"/>
      <w:jc w:val="center"/>
    </w:pPr>
  </w:style>
  <w:style w:type="paragraph" w:customStyle="1" w:styleId="Artheading">
    <w:name w:val="Art_heading"/>
    <w:basedOn w:val="Normal"/>
    <w:next w:val="Normalaftertitle"/>
    <w:rsid w:val="00E62EB1"/>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E62EB1"/>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E62EB1"/>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E62EB1"/>
  </w:style>
  <w:style w:type="paragraph" w:customStyle="1" w:styleId="Chaptitle">
    <w:name w:val="Chap_title"/>
    <w:basedOn w:val="Arttitle"/>
    <w:next w:val="Normal"/>
    <w:rsid w:val="00E62EB1"/>
  </w:style>
  <w:style w:type="paragraph" w:customStyle="1" w:styleId="Table">
    <w:name w:val="Table_#"/>
    <w:basedOn w:val="Normal"/>
    <w:next w:val="Normal"/>
    <w:rsid w:val="00E62EB1"/>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styleId="NoSpacing">
    <w:name w:val="No Spacing"/>
    <w:uiPriority w:val="1"/>
    <w:qFormat/>
    <w:rsid w:val="00CF5A9F"/>
    <w:rPr>
      <w:rFonts w:asciiTheme="minorHAnsi" w:eastAsiaTheme="minorHAnsi" w:hAnsiTheme="minorHAnsi" w:cstheme="minorBidi"/>
      <w:sz w:val="22"/>
      <w:szCs w:val="22"/>
      <w:lang w:eastAsia="en-US"/>
    </w:rPr>
  </w:style>
  <w:style w:type="paragraph" w:customStyle="1" w:styleId="Default">
    <w:name w:val="Default"/>
    <w:rsid w:val="00CF134B"/>
    <w:pPr>
      <w:autoSpaceDE w:val="0"/>
      <w:autoSpaceDN w:val="0"/>
      <w:adjustRightInd w:val="0"/>
    </w:pPr>
    <w:rPr>
      <w:rFonts w:ascii="Calibri" w:eastAsiaTheme="minorHAnsi" w:hAnsi="Calibri" w:cs="Calibri"/>
      <w:color w:val="000000"/>
      <w:sz w:val="24"/>
      <w:szCs w:val="24"/>
      <w:lang w:eastAsia="en-US"/>
    </w:rPr>
  </w:style>
  <w:style w:type="character" w:customStyle="1" w:styleId="FootnoteTextChar">
    <w:name w:val="Footnote Text Char"/>
    <w:basedOn w:val="DefaultParagraphFont"/>
    <w:link w:val="FootnoteText"/>
    <w:rsid w:val="00CF134B"/>
    <w:rPr>
      <w:rFonts w:ascii="Calibri" w:hAnsi="Calibri"/>
      <w:sz w:val="24"/>
      <w:lang w:val="fr-FR" w:eastAsia="en-US"/>
    </w:rPr>
  </w:style>
  <w:style w:type="character" w:customStyle="1" w:styleId="UnresolvedMention1">
    <w:name w:val="Unresolved Mention1"/>
    <w:basedOn w:val="DefaultParagraphFont"/>
    <w:uiPriority w:val="99"/>
    <w:semiHidden/>
    <w:unhideWhenUsed/>
    <w:rsid w:val="006848DD"/>
    <w:rPr>
      <w:color w:val="605E5C"/>
      <w:shd w:val="clear" w:color="auto" w:fill="E1DFDD"/>
    </w:rPr>
  </w:style>
  <w:style w:type="paragraph" w:styleId="ListParagraph">
    <w:name w:val="List Paragraph"/>
    <w:basedOn w:val="Normal"/>
    <w:uiPriority w:val="34"/>
    <w:qFormat/>
    <w:rsid w:val="001A77FC"/>
    <w:pPr>
      <w:ind w:left="720"/>
      <w:contextualSpacing/>
    </w:pPr>
  </w:style>
  <w:style w:type="paragraph" w:styleId="BodyText3">
    <w:name w:val="Body Text 3"/>
    <w:basedOn w:val="Normal"/>
    <w:link w:val="BodyText3Char"/>
    <w:rsid w:val="001A77FC"/>
    <w:pPr>
      <w:spacing w:after="120"/>
    </w:pPr>
    <w:rPr>
      <w:sz w:val="16"/>
      <w:szCs w:val="16"/>
    </w:rPr>
  </w:style>
  <w:style w:type="character" w:customStyle="1" w:styleId="BodyText3Char">
    <w:name w:val="Body Text 3 Char"/>
    <w:basedOn w:val="DefaultParagraphFont"/>
    <w:link w:val="BodyText3"/>
    <w:rsid w:val="001A77FC"/>
    <w:rPr>
      <w:rFonts w:ascii="Calibri" w:hAnsi="Calibri"/>
      <w:sz w:val="16"/>
      <w:szCs w:val="16"/>
      <w:lang w:val="en-GB" w:eastAsia="en-US"/>
    </w:rPr>
  </w:style>
  <w:style w:type="character" w:styleId="CommentReference">
    <w:name w:val="annotation reference"/>
    <w:basedOn w:val="DefaultParagraphFont"/>
    <w:semiHidden/>
    <w:unhideWhenUsed/>
    <w:rsid w:val="00625AA4"/>
    <w:rPr>
      <w:sz w:val="16"/>
      <w:szCs w:val="16"/>
    </w:rPr>
  </w:style>
  <w:style w:type="paragraph" w:styleId="CommentText">
    <w:name w:val="annotation text"/>
    <w:basedOn w:val="Normal"/>
    <w:link w:val="CommentTextChar"/>
    <w:semiHidden/>
    <w:unhideWhenUsed/>
    <w:rsid w:val="00625AA4"/>
    <w:rPr>
      <w:sz w:val="20"/>
    </w:rPr>
  </w:style>
  <w:style w:type="character" w:customStyle="1" w:styleId="CommentTextChar">
    <w:name w:val="Comment Text Char"/>
    <w:basedOn w:val="DefaultParagraphFont"/>
    <w:link w:val="CommentText"/>
    <w:semiHidden/>
    <w:rsid w:val="00625AA4"/>
    <w:rPr>
      <w:rFonts w:ascii="Calibri" w:hAnsi="Calibri"/>
      <w:lang w:val="en-GB" w:eastAsia="en-US"/>
    </w:rPr>
  </w:style>
  <w:style w:type="paragraph" w:styleId="CommentSubject">
    <w:name w:val="annotation subject"/>
    <w:basedOn w:val="CommentText"/>
    <w:next w:val="CommentText"/>
    <w:link w:val="CommentSubjectChar"/>
    <w:semiHidden/>
    <w:unhideWhenUsed/>
    <w:rsid w:val="00625AA4"/>
    <w:rPr>
      <w:b/>
      <w:bCs/>
    </w:rPr>
  </w:style>
  <w:style w:type="character" w:customStyle="1" w:styleId="CommentSubjectChar">
    <w:name w:val="Comment Subject Char"/>
    <w:basedOn w:val="CommentTextChar"/>
    <w:link w:val="CommentSubject"/>
    <w:semiHidden/>
    <w:rsid w:val="00625AA4"/>
    <w:rPr>
      <w:rFonts w:ascii="Calibri" w:hAnsi="Calibri"/>
      <w:b/>
      <w:bCs/>
      <w:lang w:val="en-GB" w:eastAsia="en-US"/>
    </w:rPr>
  </w:style>
  <w:style w:type="paragraph" w:customStyle="1" w:styleId="firstfooter0">
    <w:name w:val="firstfooter"/>
    <w:basedOn w:val="Normal"/>
    <w:rsid w:val="00E62EB1"/>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styleId="BalloonText">
    <w:name w:val="Balloon Text"/>
    <w:basedOn w:val="Normal"/>
    <w:link w:val="BalloonTextChar"/>
    <w:semiHidden/>
    <w:unhideWhenUsed/>
    <w:rsid w:val="00E812CD"/>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E812CD"/>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md/S19-SG-CIR-0045/en" TargetMode="External"/><Relationship Id="rId18" Type="http://schemas.openxmlformats.org/officeDocument/2006/relationships/hyperlink" Target="https://www.itu.int/md/S21-CL-C-0013/en"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itu.int/md/S19-SG-CIR-0033/en" TargetMode="External"/><Relationship Id="rId17" Type="http://schemas.openxmlformats.org/officeDocument/2006/relationships/hyperlink" Target="http://www.itu.int/md/S19-SG-CIR-0045/en" TargetMode="External"/><Relationship Id="rId2" Type="http://schemas.openxmlformats.org/officeDocument/2006/relationships/numbering" Target="numbering.xml"/><Relationship Id="rId16" Type="http://schemas.openxmlformats.org/officeDocument/2006/relationships/hyperlink" Target="https://www.itu.int/md/S19-SG-CIR-0033/e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19-CL-C-0127/en" TargetMode="External"/><Relationship Id="rId5" Type="http://schemas.openxmlformats.org/officeDocument/2006/relationships/webSettings" Target="webSettings.xml"/><Relationship Id="rId15" Type="http://schemas.openxmlformats.org/officeDocument/2006/relationships/hyperlink" Target="https://www.itu.int/md/S19-CL-C-0127/en" TargetMode="External"/><Relationship Id="rId23" Type="http://schemas.openxmlformats.org/officeDocument/2006/relationships/theme" Target="theme/theme1.xml"/><Relationship Id="rId10" Type="http://schemas.openxmlformats.org/officeDocument/2006/relationships/hyperlink" Target="https://www.itu.int/md/S19-CL-C-0055/e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pub/S-CONF-PLEN-2019/fr" TargetMode="External"/><Relationship Id="rId14" Type="http://schemas.openxmlformats.org/officeDocument/2006/relationships/hyperlink" Target="https://www.itu.int/md/S19-CL-C-0055/en"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yer\AppData\Roaming\Microsoft\Templates\POOL%20F%20-%20ITU\PF_C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22F07C-DA2E-436B-AA92-FFE22E4DC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PF_C21.dotx</Template>
  <TotalTime>1</TotalTime>
  <Pages>4</Pages>
  <Words>1179</Words>
  <Characters>6840</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Preparations for the 2022 Plenipotentiary Conference</vt:lpstr>
    </vt:vector>
  </TitlesOfParts>
  <Manager>General Secretariat - Pool</Manager>
  <Company>International Telecommunication Union (ITU)</Company>
  <LinksUpToDate>false</LinksUpToDate>
  <CharactersWithSpaces>8003</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Preparations for the 2022 Plenipotentiary Conference</dc:title>
  <dc:subject>Council 2021, Virtual consultation of councillors</dc:subject>
  <dc:creator>Brouard, Ricarda</dc:creator>
  <cp:keywords>C2021, C21, VCC, C21-VCC-1</cp:keywords>
  <dc:description/>
  <cp:lastModifiedBy>Xue, Kun</cp:lastModifiedBy>
  <cp:revision>2</cp:revision>
  <cp:lastPrinted>2000-07-18T13:30:00Z</cp:lastPrinted>
  <dcterms:created xsi:type="dcterms:W3CDTF">2021-05-06T09:49:00Z</dcterms:created>
  <dcterms:modified xsi:type="dcterms:W3CDTF">2021-05-06T09:49:00Z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