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76B06CF6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737A8C">
              <w:rPr>
                <w:b/>
              </w:rPr>
              <w:t>PL 2.11</w:t>
            </w:r>
          </w:p>
        </w:tc>
        <w:tc>
          <w:tcPr>
            <w:tcW w:w="3120" w:type="dxa"/>
          </w:tcPr>
          <w:p w14:paraId="1727AC2C" w14:textId="271BF49A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737A8C">
              <w:rPr>
                <w:b/>
              </w:rPr>
              <w:t>7</w:t>
            </w:r>
            <w:r w:rsidR="00DB3F97">
              <w:rPr>
                <w:b/>
              </w:rPr>
              <w:t>3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392719F9" w:rsidR="002A2188" w:rsidRPr="00E85629" w:rsidRDefault="00737A8C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4F66AD57" w:rsidR="00EA2120" w:rsidRPr="00DE4373" w:rsidRDefault="00A02945" w:rsidP="009C4CC0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1C482706" w:rsidR="002A2188" w:rsidRPr="00813E5E" w:rsidRDefault="00A02945" w:rsidP="009C4CC0">
            <w:pPr>
              <w:pStyle w:val="Title1"/>
              <w:framePr w:hSpace="0" w:wrap="auto" w:hAnchor="text" w:yAlign="inline"/>
            </w:pPr>
            <w:bookmarkStart w:id="7" w:name="_Hlk69494800"/>
            <w:bookmarkStart w:id="8" w:name="dtitle1" w:colFirst="0" w:colLast="0"/>
            <w:bookmarkEnd w:id="6"/>
            <w:r w:rsidRPr="00A02945">
              <w:t>PREPARATIONS FOR THE 20</w:t>
            </w:r>
            <w:r>
              <w:t>22</w:t>
            </w:r>
            <w:r w:rsidRPr="00A02945">
              <w:t xml:space="preserve"> PLENIPOTENTIARY CONFERENCE</w:t>
            </w:r>
            <w:bookmarkEnd w:id="7"/>
          </w:p>
        </w:tc>
      </w:tr>
      <w:bookmarkEnd w:id="8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E11E" w14:textId="77777777" w:rsidR="002A2188" w:rsidRPr="00CF5A9F" w:rsidRDefault="002A2188" w:rsidP="00464B6C">
            <w:pPr>
              <w:pStyle w:val="Headingb"/>
              <w:rPr>
                <w:szCs w:val="24"/>
              </w:rPr>
            </w:pPr>
            <w:r w:rsidRPr="00CF5A9F">
              <w:rPr>
                <w:szCs w:val="24"/>
              </w:rPr>
              <w:t>Summary</w:t>
            </w:r>
          </w:p>
          <w:p w14:paraId="25A4E9CF" w14:textId="13E2FFEA" w:rsidR="00A02945" w:rsidRPr="00A02945" w:rsidRDefault="00A02945" w:rsidP="00F452A5">
            <w:pPr>
              <w:spacing w:after="120"/>
              <w:jc w:val="both"/>
              <w:rPr>
                <w:szCs w:val="24"/>
              </w:rPr>
            </w:pPr>
            <w:r w:rsidRPr="00A02945">
              <w:rPr>
                <w:szCs w:val="24"/>
              </w:rPr>
              <w:t>The ITU Council, at its 201</w:t>
            </w:r>
            <w:r w:rsidR="001A77FC">
              <w:rPr>
                <w:szCs w:val="24"/>
              </w:rPr>
              <w:t>9</w:t>
            </w:r>
            <w:r w:rsidRPr="00A02945">
              <w:rPr>
                <w:szCs w:val="24"/>
              </w:rPr>
              <w:t xml:space="preserve"> session, decided on the venue </w:t>
            </w:r>
            <w:r w:rsidR="00F452A5">
              <w:rPr>
                <w:szCs w:val="24"/>
              </w:rPr>
              <w:t xml:space="preserve">and dates </w:t>
            </w:r>
            <w:r w:rsidRPr="00A02945">
              <w:rPr>
                <w:szCs w:val="24"/>
              </w:rPr>
              <w:t>for the holding of the next Plenipotentiary Conference.</w:t>
            </w:r>
          </w:p>
          <w:p w14:paraId="06C7BCB5" w14:textId="139D0387" w:rsidR="00CF5A9F" w:rsidRPr="00CF5A9F" w:rsidRDefault="00A02945" w:rsidP="00F452A5">
            <w:pPr>
              <w:spacing w:after="120"/>
              <w:jc w:val="both"/>
              <w:rPr>
                <w:szCs w:val="24"/>
              </w:rPr>
            </w:pPr>
            <w:r w:rsidRPr="00A02945">
              <w:rPr>
                <w:szCs w:val="24"/>
              </w:rPr>
              <w:t>The purpose of this document is to update the Council on the status of preparations for the Plenipotentiary Conference (PP-</w:t>
            </w:r>
            <w:r w:rsidR="001A77FC">
              <w:rPr>
                <w:szCs w:val="24"/>
              </w:rPr>
              <w:t>22</w:t>
            </w:r>
            <w:r w:rsidRPr="00A02945">
              <w:rPr>
                <w:szCs w:val="24"/>
              </w:rPr>
              <w:t>).</w:t>
            </w:r>
          </w:p>
          <w:p w14:paraId="145DFE4B" w14:textId="77777777" w:rsidR="002A2188" w:rsidRPr="00CF5A9F" w:rsidRDefault="002A2188" w:rsidP="00F452A5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CF5A9F">
              <w:rPr>
                <w:szCs w:val="24"/>
              </w:rPr>
              <w:t xml:space="preserve">Action </w:t>
            </w:r>
            <w:proofErr w:type="gramStart"/>
            <w:r w:rsidRPr="00CF5A9F">
              <w:rPr>
                <w:szCs w:val="24"/>
              </w:rPr>
              <w:t>required</w:t>
            </w:r>
            <w:proofErr w:type="gramEnd"/>
          </w:p>
          <w:p w14:paraId="74F1525E" w14:textId="447843B9" w:rsidR="002A2188" w:rsidRPr="00A02945" w:rsidRDefault="00A02945" w:rsidP="00F452A5">
            <w:pPr>
              <w:spacing w:before="1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Pr="009C50A5">
              <w:rPr>
                <w:rFonts w:asciiTheme="minorHAnsi" w:hAnsiTheme="minorHAnsi" w:cstheme="minorHAnsi"/>
              </w:rPr>
              <w:t xml:space="preserve">Council is invited </w:t>
            </w:r>
            <w:r w:rsidRPr="009C50A5">
              <w:rPr>
                <w:rFonts w:asciiTheme="minorHAnsi" w:hAnsiTheme="minorHAnsi" w:cstheme="minorHAnsi"/>
                <w:b/>
                <w:bCs/>
              </w:rPr>
              <w:t xml:space="preserve">to note </w:t>
            </w:r>
            <w:r w:rsidRPr="009C50A5">
              <w:rPr>
                <w:rFonts w:asciiTheme="minorHAnsi" w:hAnsiTheme="minorHAnsi" w:cstheme="minorHAnsi"/>
              </w:rPr>
              <w:t xml:space="preserve">the </w:t>
            </w:r>
            <w:proofErr w:type="gramStart"/>
            <w:r w:rsidRPr="009C50A5">
              <w:rPr>
                <w:rFonts w:asciiTheme="minorHAnsi" w:hAnsiTheme="minorHAnsi" w:cstheme="minorHAnsi"/>
              </w:rPr>
              <w:t>current status</w:t>
            </w:r>
            <w:proofErr w:type="gramEnd"/>
            <w:r w:rsidRPr="009C50A5">
              <w:rPr>
                <w:rFonts w:asciiTheme="minorHAnsi" w:hAnsiTheme="minorHAnsi" w:cstheme="minorHAnsi"/>
              </w:rPr>
              <w:t xml:space="preserve"> of the preparations for </w:t>
            </w:r>
            <w:r>
              <w:rPr>
                <w:rFonts w:asciiTheme="minorHAnsi" w:hAnsiTheme="minorHAnsi" w:cstheme="minorHAnsi"/>
              </w:rPr>
              <w:t>PP-22</w:t>
            </w:r>
            <w:r w:rsidR="00645E41">
              <w:rPr>
                <w:rFonts w:asciiTheme="minorHAnsi" w:hAnsiTheme="minorHAnsi" w:cstheme="minorHAnsi"/>
              </w:rPr>
              <w:t xml:space="preserve"> and </w:t>
            </w:r>
            <w:r w:rsidR="00645E41" w:rsidRPr="00DF72AC">
              <w:rPr>
                <w:rFonts w:asciiTheme="minorHAnsi" w:hAnsiTheme="minorHAnsi" w:cstheme="minorHAnsi"/>
                <w:b/>
              </w:rPr>
              <w:t>to endorse</w:t>
            </w:r>
            <w:r w:rsidR="00645E41">
              <w:rPr>
                <w:rFonts w:asciiTheme="minorHAnsi" w:hAnsiTheme="minorHAnsi" w:cstheme="minorHAnsi"/>
              </w:rPr>
              <w:t xml:space="preserve"> the proposed schedule </w:t>
            </w:r>
            <w:r w:rsidR="00FE3BBF">
              <w:rPr>
                <w:rFonts w:asciiTheme="minorHAnsi" w:hAnsiTheme="minorHAnsi" w:cstheme="minorHAnsi"/>
              </w:rPr>
              <w:t>of inter-regional meetings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8F1D928" w14:textId="77777777" w:rsidR="002A2188" w:rsidRPr="00CF5A9F" w:rsidRDefault="002A2188" w:rsidP="00CF134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CF5A9F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2124BADC" w14:textId="3E47A8F3" w:rsidR="002A2188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CF5A9F">
              <w:rPr>
                <w:szCs w:val="24"/>
              </w:rPr>
              <w:t>References</w:t>
            </w:r>
          </w:p>
          <w:p w14:paraId="2E0343C9" w14:textId="719EF0F7" w:rsidR="00DE4373" w:rsidRPr="00CF5A9F" w:rsidRDefault="006D0AC1" w:rsidP="00737A8C">
            <w:pPr>
              <w:pStyle w:val="NoSpacing"/>
              <w:spacing w:before="120" w:after="120"/>
              <w:rPr>
                <w:sz w:val="24"/>
                <w:szCs w:val="24"/>
              </w:rPr>
            </w:pPr>
            <w:hyperlink r:id="rId9" w:history="1">
              <w:r w:rsidR="001A77FC" w:rsidRPr="001A77FC">
                <w:rPr>
                  <w:rStyle w:val="Hyperlink"/>
                  <w:sz w:val="24"/>
                  <w:szCs w:val="24"/>
                </w:rPr>
                <w:t>CV 2</w:t>
              </w:r>
            </w:hyperlink>
            <w:r w:rsidR="001A77FC">
              <w:rPr>
                <w:sz w:val="24"/>
                <w:szCs w:val="24"/>
              </w:rPr>
              <w:t xml:space="preserve">, </w:t>
            </w:r>
            <w:hyperlink r:id="rId10" w:history="1">
              <w:r w:rsidR="002C752A" w:rsidRPr="00F452A5">
                <w:rPr>
                  <w:rStyle w:val="Hyperlink"/>
                  <w:sz w:val="24"/>
                  <w:szCs w:val="24"/>
                </w:rPr>
                <w:t>C19/55(Rev.1)</w:t>
              </w:r>
            </w:hyperlink>
            <w:r w:rsidR="002C752A">
              <w:rPr>
                <w:sz w:val="24"/>
                <w:szCs w:val="24"/>
              </w:rPr>
              <w:t xml:space="preserve">, </w:t>
            </w:r>
            <w:hyperlink r:id="rId11" w:history="1">
              <w:r w:rsidR="002C752A" w:rsidRPr="00F452A5">
                <w:rPr>
                  <w:rStyle w:val="Hyperlink"/>
                  <w:sz w:val="24"/>
                  <w:szCs w:val="24"/>
                </w:rPr>
                <w:t>C19/127</w:t>
              </w:r>
            </w:hyperlink>
            <w:r w:rsidR="002C752A">
              <w:rPr>
                <w:sz w:val="24"/>
                <w:szCs w:val="24"/>
              </w:rPr>
              <w:t xml:space="preserve">, </w:t>
            </w:r>
            <w:hyperlink r:id="rId12" w:history="1">
              <w:r w:rsidR="002C752A" w:rsidRPr="00F452A5">
                <w:rPr>
                  <w:rStyle w:val="Hyperlink"/>
                  <w:sz w:val="24"/>
                  <w:szCs w:val="24"/>
                </w:rPr>
                <w:t>CL-19/33</w:t>
              </w:r>
            </w:hyperlink>
            <w:r w:rsidR="002C752A">
              <w:rPr>
                <w:sz w:val="24"/>
                <w:szCs w:val="24"/>
              </w:rPr>
              <w:t xml:space="preserve">, </w:t>
            </w:r>
            <w:hyperlink r:id="rId13" w:history="1">
              <w:r w:rsidR="002C752A" w:rsidRPr="00F452A5">
                <w:rPr>
                  <w:rStyle w:val="Hyperlink"/>
                  <w:sz w:val="24"/>
                  <w:szCs w:val="24"/>
                </w:rPr>
                <w:t>CL-19/45</w:t>
              </w:r>
            </w:hyperlink>
          </w:p>
        </w:tc>
      </w:tr>
    </w:tbl>
    <w:p w14:paraId="1B3810FE" w14:textId="77777777" w:rsidR="001A77FC" w:rsidRPr="009C50A5" w:rsidRDefault="001A77FC" w:rsidP="001A77F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0" w:firstLine="0"/>
        <w:rPr>
          <w:rFonts w:asciiTheme="minorHAnsi" w:hAnsiTheme="minorHAnsi" w:cstheme="minorHAnsi"/>
          <w:szCs w:val="28"/>
        </w:rPr>
      </w:pPr>
      <w:bookmarkStart w:id="9" w:name="dstart"/>
      <w:bookmarkStart w:id="10" w:name="dbreak"/>
      <w:bookmarkEnd w:id="9"/>
      <w:bookmarkEnd w:id="10"/>
      <w:r>
        <w:rPr>
          <w:rFonts w:asciiTheme="minorHAnsi" w:hAnsiTheme="minorHAnsi" w:cstheme="minorHAnsi"/>
          <w:szCs w:val="28"/>
        </w:rPr>
        <w:t>1.</w:t>
      </w:r>
      <w:r>
        <w:rPr>
          <w:rFonts w:asciiTheme="minorHAnsi" w:hAnsiTheme="minorHAnsi" w:cstheme="minorHAnsi"/>
          <w:szCs w:val="28"/>
        </w:rPr>
        <w:tab/>
        <w:t>Introduction</w:t>
      </w:r>
    </w:p>
    <w:p w14:paraId="50F0A6C8" w14:textId="55B2959F" w:rsidR="001A77FC" w:rsidRPr="009C50A5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eastAsia="SimSun" w:hAnsiTheme="minorHAnsi" w:cstheme="minorHAnsi"/>
          <w:bCs/>
          <w:lang w:eastAsia="zh-CN"/>
        </w:rPr>
        <w:t>1.1</w:t>
      </w:r>
      <w:r w:rsidRPr="009C50A5">
        <w:rPr>
          <w:rFonts w:asciiTheme="minorHAnsi" w:eastAsia="SimSun" w:hAnsiTheme="minorHAnsi" w:cstheme="minorHAnsi"/>
          <w:bCs/>
          <w:lang w:eastAsia="zh-CN"/>
        </w:rPr>
        <w:tab/>
      </w:r>
      <w:r w:rsidRPr="009C50A5">
        <w:rPr>
          <w:rFonts w:asciiTheme="minorHAnsi" w:hAnsiTheme="minorHAnsi" w:cstheme="minorHAnsi"/>
          <w:bCs/>
        </w:rPr>
        <w:t>This document provides an update on the status of preparations for the 20</w:t>
      </w:r>
      <w:r>
        <w:rPr>
          <w:rFonts w:asciiTheme="minorHAnsi" w:hAnsiTheme="minorHAnsi" w:cstheme="minorHAnsi"/>
          <w:bCs/>
        </w:rPr>
        <w:t>22 Plenipotentiary Conference (PP-22).</w:t>
      </w:r>
    </w:p>
    <w:p w14:paraId="540980C0" w14:textId="77777777" w:rsidR="002C752A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hAnsiTheme="minorHAnsi" w:cstheme="minorHAnsi"/>
          <w:bCs/>
        </w:rPr>
        <w:t>1.</w:t>
      </w:r>
      <w:r w:rsidR="003007E6">
        <w:rPr>
          <w:rFonts w:asciiTheme="minorHAnsi" w:hAnsiTheme="minorHAnsi" w:cstheme="minorHAnsi"/>
          <w:bCs/>
        </w:rPr>
        <w:t>2</w:t>
      </w:r>
      <w:r w:rsidRPr="009C50A5">
        <w:rPr>
          <w:rFonts w:asciiTheme="minorHAnsi" w:hAnsiTheme="minorHAnsi" w:cstheme="minorHAnsi"/>
          <w:bCs/>
        </w:rPr>
        <w:tab/>
        <w:t xml:space="preserve">Pursuant to No. 2 of the Convention, </w:t>
      </w:r>
      <w:proofErr w:type="gramStart"/>
      <w:r w:rsidRPr="009C50A5">
        <w:rPr>
          <w:rFonts w:asciiTheme="minorHAnsi" w:hAnsiTheme="minorHAnsi" w:cstheme="minorHAnsi"/>
          <w:bCs/>
        </w:rPr>
        <w:t>in the event that</w:t>
      </w:r>
      <w:proofErr w:type="gramEnd"/>
      <w:r w:rsidRPr="009C50A5">
        <w:rPr>
          <w:rFonts w:asciiTheme="minorHAnsi" w:hAnsiTheme="minorHAnsi" w:cstheme="minorHAnsi"/>
          <w:bCs/>
        </w:rPr>
        <w:t xml:space="preserve"> the precise place and exact dates of a PP have not been set by the preceding PP, they shall be fixed by the Council with the concurrence of the majority of the Member States.</w:t>
      </w:r>
      <w:r>
        <w:rPr>
          <w:rFonts w:asciiTheme="minorHAnsi" w:hAnsiTheme="minorHAnsi" w:cstheme="minorHAnsi"/>
          <w:bCs/>
        </w:rPr>
        <w:t xml:space="preserve"> </w:t>
      </w:r>
    </w:p>
    <w:p w14:paraId="6BC4DE2C" w14:textId="71A48A65" w:rsidR="001A77FC" w:rsidRPr="00022739" w:rsidRDefault="001A77FC" w:rsidP="001A77F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</w:t>
      </w:r>
      <w:r w:rsidRPr="00022739">
        <w:rPr>
          <w:rFonts w:asciiTheme="minorHAnsi" w:hAnsiTheme="minorHAnsi" w:cstheme="minorHAnsi"/>
          <w:szCs w:val="28"/>
        </w:rPr>
        <w:tab/>
      </w:r>
      <w:r w:rsidR="00F452A5">
        <w:rPr>
          <w:rFonts w:asciiTheme="minorHAnsi" w:hAnsiTheme="minorHAnsi" w:cstheme="minorHAnsi"/>
          <w:szCs w:val="28"/>
        </w:rPr>
        <w:t>Decision and c</w:t>
      </w:r>
      <w:r w:rsidRPr="00022739">
        <w:rPr>
          <w:rFonts w:asciiTheme="minorHAnsi" w:hAnsiTheme="minorHAnsi" w:cstheme="minorHAnsi"/>
          <w:szCs w:val="28"/>
        </w:rPr>
        <w:t>onsultation</w:t>
      </w:r>
    </w:p>
    <w:p w14:paraId="7A8C2010" w14:textId="165B8C88" w:rsidR="001A77FC" w:rsidRPr="00803797" w:rsidRDefault="001A77FC" w:rsidP="001A77FC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9C50A5">
        <w:rPr>
          <w:rFonts w:asciiTheme="minorHAnsi" w:hAnsiTheme="minorHAnsi" w:cstheme="minorHAnsi"/>
          <w:bCs/>
          <w:sz w:val="24"/>
        </w:rPr>
        <w:t>2.1</w:t>
      </w:r>
      <w:r w:rsidRPr="009C50A5">
        <w:rPr>
          <w:rFonts w:asciiTheme="minorHAnsi" w:hAnsiTheme="minorHAnsi" w:cstheme="minorHAnsi"/>
          <w:bCs/>
          <w:sz w:val="24"/>
        </w:rPr>
        <w:tab/>
      </w:r>
      <w:r w:rsidRPr="00332ECA">
        <w:rPr>
          <w:rFonts w:asciiTheme="minorHAnsi" w:hAnsiTheme="minorHAnsi" w:cstheme="minorHAnsi"/>
          <w:bCs/>
          <w:spacing w:val="-4"/>
          <w:sz w:val="24"/>
        </w:rPr>
        <w:t xml:space="preserve">On </w:t>
      </w:r>
      <w:r w:rsidR="002C752A">
        <w:rPr>
          <w:rFonts w:asciiTheme="minorHAnsi" w:hAnsiTheme="minorHAnsi" w:cstheme="minorHAnsi"/>
          <w:bCs/>
          <w:spacing w:val="-4"/>
          <w:sz w:val="24"/>
        </w:rPr>
        <w:t xml:space="preserve">8 April 2019, </w:t>
      </w:r>
      <w:r>
        <w:rPr>
          <w:rFonts w:asciiTheme="minorHAnsi" w:hAnsiTheme="minorHAnsi" w:cstheme="minorHAnsi"/>
          <w:bCs/>
          <w:spacing w:val="-4"/>
          <w:sz w:val="24"/>
        </w:rPr>
        <w:t xml:space="preserve">the </w:t>
      </w:r>
      <w:r w:rsidRPr="00332ECA">
        <w:rPr>
          <w:rFonts w:asciiTheme="minorHAnsi" w:hAnsiTheme="minorHAnsi" w:cstheme="minorHAnsi"/>
          <w:bCs/>
          <w:spacing w:val="-4"/>
          <w:sz w:val="24"/>
        </w:rPr>
        <w:t>ITU Secretary-General received an official invitation from the Government</w:t>
      </w:r>
      <w:r w:rsidRPr="00803797">
        <w:rPr>
          <w:rFonts w:asciiTheme="minorHAnsi" w:hAnsiTheme="minorHAnsi" w:cstheme="minorHAnsi"/>
          <w:bCs/>
          <w:sz w:val="24"/>
        </w:rPr>
        <w:t xml:space="preserve"> of </w:t>
      </w:r>
      <w:r w:rsidR="002C752A">
        <w:rPr>
          <w:rFonts w:asciiTheme="minorHAnsi" w:hAnsiTheme="minorHAnsi" w:cstheme="minorHAnsi"/>
          <w:bCs/>
          <w:sz w:val="24"/>
        </w:rPr>
        <w:t>Romania</w:t>
      </w:r>
      <w:r w:rsidRPr="00803797">
        <w:rPr>
          <w:rFonts w:asciiTheme="minorHAnsi" w:hAnsiTheme="minorHAnsi" w:cstheme="minorHAnsi"/>
          <w:bCs/>
          <w:sz w:val="24"/>
        </w:rPr>
        <w:t xml:space="preserve"> to</w:t>
      </w:r>
      <w:r>
        <w:rPr>
          <w:rFonts w:asciiTheme="minorHAnsi" w:hAnsiTheme="minorHAnsi" w:cstheme="minorHAnsi"/>
          <w:bCs/>
          <w:sz w:val="24"/>
        </w:rPr>
        <w:t xml:space="preserve"> host </w:t>
      </w:r>
      <w:r w:rsidRPr="00803797">
        <w:rPr>
          <w:rFonts w:asciiTheme="minorHAnsi" w:hAnsiTheme="minorHAnsi" w:cstheme="minorHAnsi"/>
          <w:bCs/>
          <w:sz w:val="24"/>
        </w:rPr>
        <w:t>PP‐</w:t>
      </w:r>
      <w:r w:rsidR="002C752A">
        <w:rPr>
          <w:rFonts w:asciiTheme="minorHAnsi" w:hAnsiTheme="minorHAnsi" w:cstheme="minorHAnsi"/>
          <w:bCs/>
          <w:sz w:val="24"/>
        </w:rPr>
        <w:t xml:space="preserve">22 in Bucharest, which proposed three different possible dates. This proposal was submitted to the 2019 session of the Council in document </w:t>
      </w:r>
      <w:hyperlink r:id="rId14" w:history="1">
        <w:r w:rsidR="002C752A" w:rsidRPr="002C752A">
          <w:rPr>
            <w:rStyle w:val="Hyperlink"/>
            <w:rFonts w:asciiTheme="minorHAnsi" w:hAnsiTheme="minorHAnsi" w:cstheme="minorHAnsi"/>
            <w:bCs/>
            <w:sz w:val="24"/>
          </w:rPr>
          <w:t>C19/55(Rev.1)</w:t>
        </w:r>
      </w:hyperlink>
      <w:r w:rsidR="002C752A">
        <w:rPr>
          <w:rFonts w:asciiTheme="minorHAnsi" w:hAnsiTheme="minorHAnsi" w:cstheme="minorHAnsi"/>
          <w:bCs/>
          <w:sz w:val="24"/>
        </w:rPr>
        <w:t xml:space="preserve">. </w:t>
      </w:r>
    </w:p>
    <w:p w14:paraId="6CB6FD2C" w14:textId="61F85CEC" w:rsidR="001A77FC" w:rsidRDefault="001A77FC" w:rsidP="001A77FC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2.2</w:t>
      </w:r>
      <w:r>
        <w:rPr>
          <w:rFonts w:asciiTheme="minorHAnsi" w:hAnsiTheme="minorHAnsi" w:cstheme="minorHAnsi"/>
          <w:bCs/>
          <w:sz w:val="24"/>
        </w:rPr>
        <w:tab/>
      </w:r>
      <w:r w:rsidR="002C752A">
        <w:rPr>
          <w:rFonts w:asciiTheme="minorHAnsi" w:hAnsiTheme="minorHAnsi" w:cstheme="minorHAnsi"/>
          <w:bCs/>
          <w:sz w:val="24"/>
        </w:rPr>
        <w:t>After discussion at the 2019 session of the Council, councillors agreed with the proposed location of PP-22 with the dates of 26 September to 14 October 2022, resulting in the approval of Decision 610 (</w:t>
      </w:r>
      <w:hyperlink r:id="rId15" w:history="1">
        <w:r w:rsidR="002C752A" w:rsidRPr="002C752A">
          <w:rPr>
            <w:rStyle w:val="Hyperlink"/>
            <w:rFonts w:asciiTheme="minorHAnsi" w:hAnsiTheme="minorHAnsi" w:cstheme="minorHAnsi"/>
            <w:bCs/>
            <w:sz w:val="24"/>
          </w:rPr>
          <w:t>C19/127</w:t>
        </w:r>
      </w:hyperlink>
      <w:r w:rsidR="002C752A">
        <w:rPr>
          <w:rFonts w:asciiTheme="minorHAnsi" w:hAnsiTheme="minorHAnsi" w:cstheme="minorHAnsi"/>
          <w:bCs/>
          <w:sz w:val="24"/>
        </w:rPr>
        <w:t xml:space="preserve">). </w:t>
      </w:r>
    </w:p>
    <w:p w14:paraId="431B6876" w14:textId="505E2BCB" w:rsidR="001A77FC" w:rsidRPr="009C50A5" w:rsidRDefault="001A77FC" w:rsidP="001A77FC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lastRenderedPageBreak/>
        <w:t>2.3</w:t>
      </w:r>
      <w:r>
        <w:rPr>
          <w:rFonts w:asciiTheme="minorHAnsi" w:hAnsiTheme="minorHAnsi" w:cstheme="minorHAnsi"/>
          <w:bCs/>
          <w:sz w:val="24"/>
        </w:rPr>
        <w:tab/>
        <w:t>Following th</w:t>
      </w:r>
      <w:r w:rsidR="002C752A">
        <w:rPr>
          <w:rFonts w:asciiTheme="minorHAnsi" w:hAnsiTheme="minorHAnsi" w:cstheme="minorHAnsi"/>
          <w:bCs/>
          <w:sz w:val="24"/>
        </w:rPr>
        <w:t>is</w:t>
      </w:r>
      <w:r>
        <w:rPr>
          <w:rFonts w:asciiTheme="minorHAnsi" w:hAnsiTheme="minorHAnsi" w:cstheme="minorHAnsi"/>
          <w:bCs/>
          <w:sz w:val="24"/>
        </w:rPr>
        <w:t xml:space="preserve"> approval by the Member States of the Council and i</w:t>
      </w:r>
      <w:r w:rsidRPr="009C50A5">
        <w:rPr>
          <w:rFonts w:asciiTheme="minorHAnsi" w:hAnsiTheme="minorHAnsi" w:cstheme="minorHAnsi"/>
          <w:bCs/>
          <w:sz w:val="24"/>
        </w:rPr>
        <w:t xml:space="preserve">n accordance with No. 2 of the Convention, on </w:t>
      </w:r>
      <w:r w:rsidR="002C752A">
        <w:rPr>
          <w:rFonts w:asciiTheme="minorHAnsi" w:hAnsiTheme="minorHAnsi" w:cstheme="minorHAnsi"/>
          <w:bCs/>
          <w:sz w:val="24"/>
        </w:rPr>
        <w:t>22 July 2019</w:t>
      </w:r>
      <w:r w:rsidRPr="009C50A5">
        <w:rPr>
          <w:rFonts w:asciiTheme="minorHAnsi" w:hAnsiTheme="minorHAnsi" w:cstheme="minorHAnsi"/>
          <w:bCs/>
          <w:sz w:val="24"/>
        </w:rPr>
        <w:t xml:space="preserve"> the Secretary</w:t>
      </w:r>
      <w:r>
        <w:rPr>
          <w:rFonts w:asciiTheme="minorHAnsi" w:hAnsiTheme="minorHAnsi" w:cstheme="minorHAnsi"/>
          <w:bCs/>
          <w:sz w:val="24"/>
        </w:rPr>
        <w:t>-</w:t>
      </w:r>
      <w:r w:rsidRPr="009C50A5">
        <w:rPr>
          <w:rFonts w:asciiTheme="minorHAnsi" w:hAnsiTheme="minorHAnsi" w:cstheme="minorHAnsi"/>
          <w:bCs/>
          <w:sz w:val="24"/>
        </w:rPr>
        <w:t xml:space="preserve">General launched a </w:t>
      </w:r>
      <w:r w:rsidRPr="00BE3895">
        <w:rPr>
          <w:rFonts w:asciiTheme="minorHAnsi" w:hAnsiTheme="minorHAnsi" w:cstheme="minorHAnsi"/>
          <w:bCs/>
          <w:sz w:val="24"/>
          <w:szCs w:val="24"/>
        </w:rPr>
        <w:t>consultation (</w:t>
      </w:r>
      <w:hyperlink r:id="rId16" w:history="1">
        <w:r w:rsidR="002C752A">
          <w:rPr>
            <w:rFonts w:asciiTheme="minorHAnsi" w:hAnsiTheme="minorHAnsi"/>
            <w:color w:val="0000FF"/>
            <w:sz w:val="24"/>
            <w:szCs w:val="24"/>
            <w:u w:val="single"/>
            <w:lang w:eastAsia="zh-CN"/>
          </w:rPr>
          <w:t>CL-19/33</w:t>
        </w:r>
      </w:hyperlink>
      <w:r w:rsidRPr="00BE3895">
        <w:rPr>
          <w:rFonts w:asciiTheme="minorHAnsi" w:hAnsiTheme="minorHAnsi" w:cstheme="minorHAnsi"/>
          <w:bCs/>
          <w:sz w:val="24"/>
          <w:szCs w:val="24"/>
        </w:rPr>
        <w:t>) with</w:t>
      </w:r>
      <w:r w:rsidRPr="009C50A5">
        <w:rPr>
          <w:rFonts w:asciiTheme="minorHAnsi" w:hAnsiTheme="minorHAnsi" w:cstheme="minorHAnsi"/>
          <w:bCs/>
          <w:sz w:val="24"/>
        </w:rPr>
        <w:t xml:space="preserve"> the</w:t>
      </w:r>
      <w:r>
        <w:rPr>
          <w:rFonts w:asciiTheme="minorHAnsi" w:hAnsiTheme="minorHAnsi" w:cstheme="minorHAnsi"/>
          <w:bCs/>
          <w:sz w:val="24"/>
        </w:rPr>
        <w:t> </w:t>
      </w:r>
      <w:r w:rsidRPr="009C50A5">
        <w:rPr>
          <w:rFonts w:asciiTheme="minorHAnsi" w:hAnsiTheme="minorHAnsi" w:cstheme="minorHAnsi"/>
          <w:bCs/>
          <w:sz w:val="24"/>
        </w:rPr>
        <w:t>Member States of ITU requesting their concurrence with the precise place and exact dates</w:t>
      </w:r>
      <w:r>
        <w:rPr>
          <w:rFonts w:asciiTheme="minorHAnsi" w:hAnsiTheme="minorHAnsi" w:cstheme="minorHAnsi"/>
          <w:bCs/>
          <w:sz w:val="24"/>
        </w:rPr>
        <w:t xml:space="preserve"> for PP-</w:t>
      </w:r>
      <w:r w:rsidR="002C752A">
        <w:rPr>
          <w:rFonts w:asciiTheme="minorHAnsi" w:hAnsiTheme="minorHAnsi" w:cstheme="minorHAnsi"/>
          <w:bCs/>
          <w:sz w:val="24"/>
        </w:rPr>
        <w:t>22</w:t>
      </w:r>
      <w:r w:rsidRPr="009C50A5">
        <w:rPr>
          <w:rFonts w:asciiTheme="minorHAnsi" w:hAnsiTheme="minorHAnsi" w:cstheme="minorHAnsi"/>
          <w:bCs/>
          <w:sz w:val="24"/>
        </w:rPr>
        <w:t>.</w:t>
      </w:r>
    </w:p>
    <w:p w14:paraId="0D834ADD" w14:textId="45D4AE18" w:rsidR="001A77FC" w:rsidRPr="009C50A5" w:rsidRDefault="001A77FC" w:rsidP="001A77FC">
      <w:pPr>
        <w:pStyle w:val="BodyText3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9C50A5">
        <w:rPr>
          <w:rFonts w:asciiTheme="minorHAnsi" w:hAnsiTheme="minorHAnsi" w:cstheme="minorHAnsi"/>
          <w:bCs/>
          <w:sz w:val="24"/>
        </w:rPr>
        <w:t>2.</w:t>
      </w:r>
      <w:r>
        <w:rPr>
          <w:rFonts w:asciiTheme="minorHAnsi" w:hAnsiTheme="minorHAnsi" w:cstheme="minorHAnsi"/>
          <w:bCs/>
          <w:sz w:val="24"/>
        </w:rPr>
        <w:t>4</w:t>
      </w:r>
      <w:r w:rsidRPr="009C50A5">
        <w:rPr>
          <w:rFonts w:asciiTheme="minorHAnsi" w:hAnsiTheme="minorHAnsi" w:cstheme="minorHAnsi"/>
          <w:bCs/>
          <w:sz w:val="24"/>
        </w:rPr>
        <w:tab/>
      </w:r>
      <w:r w:rsidRPr="00040A27">
        <w:rPr>
          <w:rFonts w:asciiTheme="minorHAnsi" w:hAnsiTheme="minorHAnsi" w:cstheme="minorHAnsi"/>
          <w:bCs/>
          <w:sz w:val="24"/>
        </w:rPr>
        <w:t>On 3</w:t>
      </w:r>
      <w:r w:rsidR="002C752A">
        <w:rPr>
          <w:rFonts w:asciiTheme="minorHAnsi" w:hAnsiTheme="minorHAnsi" w:cstheme="minorHAnsi"/>
          <w:bCs/>
          <w:sz w:val="24"/>
        </w:rPr>
        <w:t xml:space="preserve"> October 2019</w:t>
      </w:r>
      <w:r w:rsidRPr="00040A27">
        <w:rPr>
          <w:rFonts w:asciiTheme="minorHAnsi" w:hAnsiTheme="minorHAnsi" w:cstheme="minorHAnsi"/>
          <w:bCs/>
          <w:sz w:val="24"/>
        </w:rPr>
        <w:t xml:space="preserve">, the Secretary-General announced that the consultation received the agreement of </w:t>
      </w:r>
      <w:proofErr w:type="gramStart"/>
      <w:r w:rsidRPr="00040A27">
        <w:rPr>
          <w:rFonts w:asciiTheme="minorHAnsi" w:hAnsiTheme="minorHAnsi" w:cstheme="minorHAnsi"/>
          <w:bCs/>
          <w:sz w:val="24"/>
        </w:rPr>
        <w:t>the required majority of</w:t>
      </w:r>
      <w:proofErr w:type="gramEnd"/>
      <w:r w:rsidRPr="00040A27">
        <w:rPr>
          <w:rFonts w:asciiTheme="minorHAnsi" w:hAnsiTheme="minorHAnsi" w:cstheme="minorHAnsi"/>
          <w:bCs/>
          <w:sz w:val="24"/>
        </w:rPr>
        <w:t xml:space="preserve"> the Member States in accordance with No. 2 of the Convention (</w:t>
      </w:r>
      <w:hyperlink r:id="rId17" w:history="1">
        <w:r w:rsidR="002C752A">
          <w:rPr>
            <w:rStyle w:val="Hyperlink"/>
            <w:rFonts w:asciiTheme="minorHAnsi" w:hAnsiTheme="minorHAnsi" w:cstheme="minorHAnsi"/>
            <w:bCs/>
            <w:sz w:val="24"/>
          </w:rPr>
          <w:t>CL-19/45</w:t>
        </w:r>
      </w:hyperlink>
      <w:r w:rsidRPr="00040A27">
        <w:rPr>
          <w:rFonts w:asciiTheme="minorHAnsi" w:hAnsiTheme="minorHAnsi" w:cstheme="minorHAnsi"/>
          <w:bCs/>
          <w:sz w:val="24"/>
        </w:rPr>
        <w:t>).</w:t>
      </w:r>
    </w:p>
    <w:p w14:paraId="00DBCB84" w14:textId="77777777" w:rsidR="001A77FC" w:rsidRPr="00022739" w:rsidRDefault="001A77FC" w:rsidP="001A77F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  <w:szCs w:val="28"/>
        </w:rPr>
      </w:pPr>
      <w:r w:rsidRPr="00022739">
        <w:rPr>
          <w:rFonts w:asciiTheme="minorHAnsi" w:hAnsiTheme="minorHAnsi" w:cstheme="minorHAnsi"/>
          <w:szCs w:val="28"/>
        </w:rPr>
        <w:t>3.</w:t>
      </w:r>
      <w:r w:rsidRPr="00022739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>Progress to date</w:t>
      </w:r>
    </w:p>
    <w:p w14:paraId="0B1B4885" w14:textId="18006A46" w:rsidR="001A77FC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9C50A5">
        <w:rPr>
          <w:rFonts w:asciiTheme="minorHAnsi" w:hAnsiTheme="minorHAnsi" w:cstheme="minorHAnsi"/>
          <w:bCs/>
        </w:rPr>
        <w:t>3.1</w:t>
      </w:r>
      <w:r w:rsidRPr="009C50A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Discussions are ongoing</w:t>
      </w:r>
      <w:r w:rsidRPr="009C50A5">
        <w:rPr>
          <w:rFonts w:asciiTheme="minorHAnsi" w:hAnsiTheme="minorHAnsi" w:cstheme="minorHAnsi"/>
          <w:bCs/>
        </w:rPr>
        <w:t xml:space="preserve"> between ITU and </w:t>
      </w:r>
      <w:r>
        <w:rPr>
          <w:rFonts w:asciiTheme="minorHAnsi" w:hAnsiTheme="minorHAnsi" w:cstheme="minorHAnsi"/>
          <w:bCs/>
        </w:rPr>
        <w:t xml:space="preserve">the Government of </w:t>
      </w:r>
      <w:r w:rsidR="002C752A">
        <w:rPr>
          <w:rFonts w:asciiTheme="minorHAnsi" w:hAnsiTheme="minorHAnsi" w:cstheme="minorHAnsi"/>
          <w:bCs/>
        </w:rPr>
        <w:t>Romania</w:t>
      </w:r>
      <w:r>
        <w:rPr>
          <w:rFonts w:asciiTheme="minorHAnsi" w:hAnsiTheme="minorHAnsi" w:cstheme="minorHAnsi"/>
          <w:bCs/>
        </w:rPr>
        <w:t xml:space="preserve"> </w:t>
      </w:r>
      <w:r w:rsidRPr="009C50A5">
        <w:rPr>
          <w:rFonts w:asciiTheme="minorHAnsi" w:hAnsiTheme="minorHAnsi" w:cstheme="minorHAnsi"/>
          <w:bCs/>
        </w:rPr>
        <w:t>to progress on the provisions of the Host</w:t>
      </w:r>
      <w:r>
        <w:rPr>
          <w:rFonts w:asciiTheme="minorHAnsi" w:hAnsiTheme="minorHAnsi" w:cstheme="minorHAnsi"/>
          <w:bCs/>
        </w:rPr>
        <w:t xml:space="preserve"> </w:t>
      </w:r>
      <w:r w:rsidRPr="009C50A5">
        <w:rPr>
          <w:rFonts w:asciiTheme="minorHAnsi" w:hAnsiTheme="minorHAnsi" w:cstheme="minorHAnsi"/>
          <w:bCs/>
        </w:rPr>
        <w:t xml:space="preserve">Country </w:t>
      </w:r>
      <w:r>
        <w:rPr>
          <w:rFonts w:asciiTheme="minorHAnsi" w:hAnsiTheme="minorHAnsi" w:cstheme="minorHAnsi"/>
          <w:bCs/>
        </w:rPr>
        <w:t>Agreement to be signed by both p</w:t>
      </w:r>
      <w:r w:rsidRPr="009C50A5">
        <w:rPr>
          <w:rFonts w:asciiTheme="minorHAnsi" w:hAnsiTheme="minorHAnsi" w:cstheme="minorHAnsi"/>
          <w:bCs/>
        </w:rPr>
        <w:t>arties</w:t>
      </w:r>
      <w:r>
        <w:rPr>
          <w:rFonts w:asciiTheme="minorHAnsi" w:hAnsiTheme="minorHAnsi" w:cstheme="minorHAnsi"/>
          <w:bCs/>
        </w:rPr>
        <w:t xml:space="preserve">. </w:t>
      </w:r>
      <w:r w:rsidRPr="009C50A5">
        <w:rPr>
          <w:rFonts w:asciiTheme="minorHAnsi" w:hAnsiTheme="minorHAnsi" w:cstheme="minorHAnsi"/>
          <w:bCs/>
        </w:rPr>
        <w:t>The negotiation</w:t>
      </w:r>
      <w:r>
        <w:rPr>
          <w:rFonts w:asciiTheme="minorHAnsi" w:hAnsiTheme="minorHAnsi" w:cstheme="minorHAnsi"/>
          <w:bCs/>
        </w:rPr>
        <w:t>s</w:t>
      </w:r>
      <w:r w:rsidRPr="009C50A5">
        <w:rPr>
          <w:rFonts w:asciiTheme="minorHAnsi" w:hAnsiTheme="minorHAnsi" w:cstheme="minorHAnsi"/>
          <w:bCs/>
        </w:rPr>
        <w:t xml:space="preserve"> of the </w:t>
      </w:r>
      <w:r>
        <w:rPr>
          <w:rFonts w:asciiTheme="minorHAnsi" w:hAnsiTheme="minorHAnsi" w:cstheme="minorHAnsi"/>
          <w:bCs/>
        </w:rPr>
        <w:t xml:space="preserve">Host </w:t>
      </w:r>
      <w:r w:rsidRPr="00737A8C">
        <w:rPr>
          <w:rFonts w:asciiTheme="minorHAnsi" w:hAnsiTheme="minorHAnsi" w:cstheme="minorHAnsi"/>
          <w:bCs/>
          <w:spacing w:val="-2"/>
        </w:rPr>
        <w:t>Country Agreement for PP-</w:t>
      </w:r>
      <w:r w:rsidR="002C752A" w:rsidRPr="00737A8C">
        <w:rPr>
          <w:rFonts w:asciiTheme="minorHAnsi" w:hAnsiTheme="minorHAnsi" w:cstheme="minorHAnsi"/>
          <w:bCs/>
          <w:spacing w:val="-2"/>
        </w:rPr>
        <w:t>22</w:t>
      </w:r>
      <w:r w:rsidRPr="00737A8C">
        <w:rPr>
          <w:rFonts w:asciiTheme="minorHAnsi" w:hAnsiTheme="minorHAnsi" w:cstheme="minorHAnsi"/>
          <w:bCs/>
          <w:spacing w:val="-2"/>
        </w:rPr>
        <w:t xml:space="preserve"> have been conducted </w:t>
      </w:r>
      <w:proofErr w:type="gramStart"/>
      <w:r w:rsidRPr="00737A8C">
        <w:rPr>
          <w:rFonts w:asciiTheme="minorHAnsi" w:hAnsiTheme="minorHAnsi" w:cstheme="minorHAnsi"/>
          <w:bCs/>
          <w:spacing w:val="-2"/>
        </w:rPr>
        <w:t>on the basis of</w:t>
      </w:r>
      <w:proofErr w:type="gramEnd"/>
      <w:r w:rsidRPr="00737A8C">
        <w:rPr>
          <w:rFonts w:asciiTheme="minorHAnsi" w:hAnsiTheme="minorHAnsi" w:cstheme="minorHAnsi"/>
          <w:bCs/>
          <w:spacing w:val="-2"/>
        </w:rPr>
        <w:t xml:space="preserve"> the model host country agreement</w:t>
      </w:r>
      <w:r w:rsidRPr="009C50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approved</w:t>
      </w:r>
      <w:r w:rsidRPr="009C50A5">
        <w:rPr>
          <w:rFonts w:asciiTheme="minorHAnsi" w:hAnsiTheme="minorHAnsi" w:cstheme="minorHAnsi"/>
          <w:bCs/>
        </w:rPr>
        <w:t xml:space="preserve"> by Council at its </w:t>
      </w:r>
      <w:r w:rsidRPr="002D66E0">
        <w:rPr>
          <w:rFonts w:asciiTheme="minorHAnsi" w:hAnsiTheme="minorHAnsi" w:cstheme="minorHAnsi"/>
          <w:bCs/>
        </w:rPr>
        <w:t>2007</w:t>
      </w:r>
      <w:r w:rsidRPr="009C50A5">
        <w:rPr>
          <w:rFonts w:asciiTheme="minorHAnsi" w:hAnsiTheme="minorHAnsi" w:cstheme="minorHAnsi"/>
          <w:bCs/>
        </w:rPr>
        <w:t xml:space="preserve"> session</w:t>
      </w:r>
      <w:r>
        <w:rPr>
          <w:rFonts w:asciiTheme="minorHAnsi" w:hAnsiTheme="minorHAnsi" w:cstheme="minorHAnsi"/>
          <w:bCs/>
        </w:rPr>
        <w:t xml:space="preserve"> and with reference to the agreement concluded for PP-1</w:t>
      </w:r>
      <w:r w:rsidR="002C752A"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>.</w:t>
      </w:r>
    </w:p>
    <w:p w14:paraId="30B9C752" w14:textId="62353AAF" w:rsidR="001A77FC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bookmarkStart w:id="11" w:name="_Hlk69915800"/>
      <w:r>
        <w:rPr>
          <w:rFonts w:asciiTheme="minorHAnsi" w:hAnsiTheme="minorHAnsi" w:cstheme="minorHAnsi"/>
          <w:bCs/>
        </w:rPr>
        <w:t>3.2</w:t>
      </w:r>
      <w:r>
        <w:rPr>
          <w:rFonts w:asciiTheme="minorHAnsi" w:hAnsiTheme="minorHAnsi" w:cstheme="minorHAnsi"/>
          <w:bCs/>
        </w:rPr>
        <w:tab/>
      </w:r>
      <w:r w:rsidR="00F452A5">
        <w:rPr>
          <w:rFonts w:asciiTheme="minorHAnsi" w:hAnsiTheme="minorHAnsi" w:cstheme="minorHAnsi"/>
          <w:bCs/>
        </w:rPr>
        <w:t>Although</w:t>
      </w:r>
      <w:r w:rsidR="002C752A">
        <w:rPr>
          <w:rFonts w:asciiTheme="minorHAnsi" w:hAnsiTheme="minorHAnsi" w:cstheme="minorHAnsi"/>
          <w:bCs/>
        </w:rPr>
        <w:t xml:space="preserve"> the</w:t>
      </w:r>
      <w:r>
        <w:rPr>
          <w:rFonts w:asciiTheme="minorHAnsi" w:hAnsiTheme="minorHAnsi"/>
        </w:rPr>
        <w:t xml:space="preserve"> ITU secretariat </w:t>
      </w:r>
      <w:r w:rsidR="00F452A5">
        <w:rPr>
          <w:rFonts w:asciiTheme="minorHAnsi" w:hAnsiTheme="minorHAnsi"/>
        </w:rPr>
        <w:t>has not yet been able to con</w:t>
      </w:r>
      <w:r>
        <w:rPr>
          <w:rFonts w:asciiTheme="minorHAnsi" w:hAnsiTheme="minorHAnsi"/>
        </w:rPr>
        <w:t xml:space="preserve">duct a site visit </w:t>
      </w:r>
      <w:r w:rsidR="00F452A5">
        <w:rPr>
          <w:rFonts w:asciiTheme="minorHAnsi" w:hAnsiTheme="minorHAnsi"/>
        </w:rPr>
        <w:t>due to the sanitary situation, it is having regular meetings with the</w:t>
      </w:r>
      <w:r>
        <w:rPr>
          <w:rFonts w:asciiTheme="minorHAnsi" w:hAnsiTheme="minorHAnsi"/>
        </w:rPr>
        <w:t xml:space="preserve"> host country counterparts</w:t>
      </w:r>
      <w:r w:rsidR="00F452A5">
        <w:rPr>
          <w:rFonts w:asciiTheme="minorHAnsi" w:hAnsiTheme="minorHAnsi"/>
        </w:rPr>
        <w:t xml:space="preserve"> to discuss</w:t>
      </w:r>
      <w:r>
        <w:rPr>
          <w:rFonts w:asciiTheme="minorHAnsi" w:hAnsiTheme="minorHAnsi"/>
        </w:rPr>
        <w:t xml:space="preserve"> the conference centre infrastructure</w:t>
      </w:r>
      <w:r w:rsidR="00A24194">
        <w:rPr>
          <w:rFonts w:asciiTheme="minorHAnsi" w:hAnsiTheme="minorHAnsi"/>
        </w:rPr>
        <w:t xml:space="preserve"> and overall logistics</w:t>
      </w:r>
      <w:r>
        <w:rPr>
          <w:rFonts w:asciiTheme="minorHAnsi" w:hAnsiTheme="minorHAnsi"/>
        </w:rPr>
        <w:t xml:space="preserve">, </w:t>
      </w:r>
      <w:r w:rsidR="00095B95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hotels</w:t>
      </w:r>
      <w:r w:rsidR="00C00956">
        <w:rPr>
          <w:rFonts w:asciiTheme="minorHAnsi" w:hAnsiTheme="minorHAnsi"/>
        </w:rPr>
        <w:t xml:space="preserve"> for delegates</w:t>
      </w:r>
      <w:r w:rsidR="00A24194">
        <w:rPr>
          <w:rFonts w:asciiTheme="minorHAnsi" w:hAnsiTheme="minorHAnsi"/>
        </w:rPr>
        <w:t xml:space="preserve"> and ITU staff</w:t>
      </w:r>
      <w:r>
        <w:rPr>
          <w:rFonts w:asciiTheme="minorHAnsi" w:hAnsiTheme="minorHAnsi"/>
        </w:rPr>
        <w:t xml:space="preserve">, </w:t>
      </w:r>
      <w:r w:rsidR="00095B95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prepare the security</w:t>
      </w:r>
      <w:r w:rsidR="00C00956">
        <w:rPr>
          <w:rFonts w:asciiTheme="minorHAnsi" w:hAnsiTheme="minorHAnsi"/>
        </w:rPr>
        <w:t>,</w:t>
      </w:r>
      <w:r w:rsidR="00A510F3">
        <w:rPr>
          <w:rFonts w:asciiTheme="minorHAnsi" w:hAnsiTheme="minorHAnsi"/>
        </w:rPr>
        <w:t xml:space="preserve"> </w:t>
      </w:r>
      <w:r w:rsidR="00D45AD3">
        <w:rPr>
          <w:rFonts w:asciiTheme="minorHAnsi" w:hAnsiTheme="minorHAnsi"/>
        </w:rPr>
        <w:t xml:space="preserve">health and </w:t>
      </w:r>
      <w:r w:rsidR="00A510F3">
        <w:rPr>
          <w:rFonts w:asciiTheme="minorHAnsi" w:hAnsiTheme="minorHAnsi"/>
        </w:rPr>
        <w:t xml:space="preserve">safety, </w:t>
      </w:r>
      <w:r w:rsidR="00C00956">
        <w:rPr>
          <w:rFonts w:asciiTheme="minorHAnsi" w:hAnsiTheme="minorHAnsi"/>
        </w:rPr>
        <w:t>protocol</w:t>
      </w:r>
      <w:r w:rsidR="00864A23">
        <w:rPr>
          <w:rFonts w:asciiTheme="minorHAnsi" w:hAnsiTheme="minorHAnsi"/>
        </w:rPr>
        <w:t>,</w:t>
      </w:r>
      <w:r w:rsidR="00C00956">
        <w:rPr>
          <w:rFonts w:asciiTheme="minorHAnsi" w:hAnsiTheme="minorHAnsi"/>
        </w:rPr>
        <w:t xml:space="preserve"> and </w:t>
      </w:r>
      <w:r w:rsidR="00095B95">
        <w:rPr>
          <w:rFonts w:asciiTheme="minorHAnsi" w:hAnsiTheme="minorHAnsi"/>
        </w:rPr>
        <w:t>communications plans,</w:t>
      </w:r>
      <w:r w:rsidR="00A24194">
        <w:rPr>
          <w:rFonts w:asciiTheme="minorHAnsi" w:hAnsiTheme="minorHAnsi"/>
        </w:rPr>
        <w:t xml:space="preserve"> as well as</w:t>
      </w:r>
      <w:r>
        <w:rPr>
          <w:rFonts w:asciiTheme="minorHAnsi" w:hAnsiTheme="minorHAnsi"/>
        </w:rPr>
        <w:t xml:space="preserve"> </w:t>
      </w:r>
      <w:r w:rsidR="00095B95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address </w:t>
      </w:r>
      <w:r w:rsidR="00C00956">
        <w:rPr>
          <w:rFonts w:asciiTheme="minorHAnsi" w:hAnsiTheme="minorHAnsi"/>
        </w:rPr>
        <w:t xml:space="preserve">registration </w:t>
      </w:r>
      <w:r>
        <w:rPr>
          <w:rFonts w:asciiTheme="minorHAnsi" w:hAnsiTheme="minorHAnsi"/>
        </w:rPr>
        <w:t>issues</w:t>
      </w:r>
      <w:r w:rsidR="00A24194">
        <w:rPr>
          <w:rFonts w:asciiTheme="minorHAnsi" w:hAnsiTheme="minorHAnsi"/>
        </w:rPr>
        <w:t xml:space="preserve">. </w:t>
      </w:r>
    </w:p>
    <w:bookmarkEnd w:id="11"/>
    <w:p w14:paraId="6220722F" w14:textId="6E3DB692" w:rsidR="001A77FC" w:rsidRPr="00095B95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</w:rPr>
        <w:t>3.3</w:t>
      </w:r>
      <w:r>
        <w:rPr>
          <w:rFonts w:asciiTheme="minorHAnsi" w:hAnsiTheme="minorHAnsi" w:cstheme="minorHAnsi"/>
          <w:bCs/>
        </w:rPr>
        <w:tab/>
        <w:t>The host country has expressed its commitment to make this event as green as possible</w:t>
      </w:r>
      <w:r w:rsidR="00C00956">
        <w:rPr>
          <w:rFonts w:asciiTheme="minorHAnsi" w:hAnsiTheme="minorHAnsi" w:cstheme="minorHAnsi"/>
          <w:bCs/>
        </w:rPr>
        <w:t>. It also showed its interest to t</w:t>
      </w:r>
      <w:r w:rsidR="00C00956" w:rsidRPr="00701F6E">
        <w:rPr>
          <w:szCs w:val="24"/>
        </w:rPr>
        <w:t xml:space="preserve">ake further steps to </w:t>
      </w:r>
      <w:r w:rsidR="00864A23" w:rsidRPr="00701F6E">
        <w:rPr>
          <w:szCs w:val="24"/>
        </w:rPr>
        <w:t>ensure a full</w:t>
      </w:r>
      <w:r w:rsidR="00864A23">
        <w:rPr>
          <w:szCs w:val="24"/>
        </w:rPr>
        <w:t>,</w:t>
      </w:r>
      <w:r w:rsidR="00864A23" w:rsidRPr="00701F6E">
        <w:rPr>
          <w:szCs w:val="24"/>
        </w:rPr>
        <w:t xml:space="preserve"> gender</w:t>
      </w:r>
      <w:r w:rsidR="00864A23">
        <w:rPr>
          <w:szCs w:val="24"/>
        </w:rPr>
        <w:t>-</w:t>
      </w:r>
      <w:r w:rsidR="00864A23" w:rsidRPr="00701F6E">
        <w:rPr>
          <w:szCs w:val="24"/>
        </w:rPr>
        <w:t xml:space="preserve">responsive conference </w:t>
      </w:r>
      <w:proofErr w:type="gramStart"/>
      <w:r w:rsidR="00C00956" w:rsidRPr="00701F6E">
        <w:rPr>
          <w:szCs w:val="24"/>
        </w:rPr>
        <w:t>taking into account</w:t>
      </w:r>
      <w:proofErr w:type="gramEnd"/>
      <w:r w:rsidR="00C00956" w:rsidRPr="00701F6E">
        <w:rPr>
          <w:szCs w:val="24"/>
        </w:rPr>
        <w:t xml:space="preserve"> the work already undertaken by ITU</w:t>
      </w:r>
      <w:r>
        <w:rPr>
          <w:rFonts w:asciiTheme="minorHAnsi" w:hAnsiTheme="minorHAnsi" w:cstheme="minorHAnsi"/>
          <w:bCs/>
        </w:rPr>
        <w:t xml:space="preserve">. </w:t>
      </w:r>
      <w:r w:rsidR="004562F7">
        <w:rPr>
          <w:rFonts w:asciiTheme="minorHAnsi" w:hAnsiTheme="minorHAnsi" w:cstheme="minorHAnsi"/>
          <w:bCs/>
        </w:rPr>
        <w:t>Finally,</w:t>
      </w:r>
      <w:r w:rsidR="00A24194">
        <w:rPr>
          <w:rFonts w:asciiTheme="minorHAnsi" w:hAnsiTheme="minorHAnsi" w:cstheme="minorHAnsi"/>
          <w:bCs/>
        </w:rPr>
        <w:t xml:space="preserve"> th</w:t>
      </w:r>
      <w:r w:rsidR="004562F7">
        <w:rPr>
          <w:rFonts w:asciiTheme="minorHAnsi" w:hAnsiTheme="minorHAnsi" w:cstheme="minorHAnsi"/>
          <w:bCs/>
        </w:rPr>
        <w:t>e host country would be interested to pursue</w:t>
      </w:r>
      <w:r w:rsidR="00864A23">
        <w:rPr>
          <w:rFonts w:asciiTheme="minorHAnsi" w:hAnsiTheme="minorHAnsi" w:cstheme="minorHAnsi"/>
          <w:bCs/>
        </w:rPr>
        <w:t xml:space="preserve"> </w:t>
      </w:r>
      <w:r w:rsidR="004562F7">
        <w:rPr>
          <w:rFonts w:asciiTheme="minorHAnsi" w:hAnsiTheme="minorHAnsi" w:cstheme="minorHAnsi"/>
          <w:bCs/>
        </w:rPr>
        <w:t xml:space="preserve">a better implication of youth in the </w:t>
      </w:r>
      <w:r w:rsidR="00864A23">
        <w:rPr>
          <w:rFonts w:asciiTheme="minorHAnsi" w:hAnsiTheme="minorHAnsi" w:cstheme="minorHAnsi"/>
          <w:bCs/>
        </w:rPr>
        <w:t>conference</w:t>
      </w:r>
      <w:r w:rsidR="004562F7">
        <w:rPr>
          <w:rFonts w:asciiTheme="minorHAnsi" w:hAnsiTheme="minorHAnsi" w:cstheme="minorHAnsi"/>
          <w:bCs/>
        </w:rPr>
        <w:t>.</w:t>
      </w:r>
    </w:p>
    <w:p w14:paraId="11C97205" w14:textId="6711BDA6" w:rsidR="001A77FC" w:rsidRPr="00D356B3" w:rsidRDefault="001A77FC" w:rsidP="001A77FC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0" w:firstLine="0"/>
        <w:jc w:val="both"/>
        <w:rPr>
          <w:rFonts w:asciiTheme="minorHAnsi" w:hAnsiTheme="minorHAnsi"/>
        </w:rPr>
      </w:pPr>
      <w:r w:rsidRPr="00D356B3"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Pr="00D356B3">
        <w:rPr>
          <w:rFonts w:asciiTheme="minorHAnsi" w:hAnsiTheme="minorHAnsi"/>
        </w:rPr>
        <w:t>Key issues</w:t>
      </w:r>
    </w:p>
    <w:p w14:paraId="7827EC0D" w14:textId="77777777" w:rsidR="001A77FC" w:rsidRDefault="001A77FC" w:rsidP="001A77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line with Article 8 of ITU Constitution, the Plenipotentiary Conference, </w:t>
      </w:r>
      <w:proofErr w:type="gramStart"/>
      <w:r>
        <w:rPr>
          <w:rFonts w:asciiTheme="minorHAnsi" w:hAnsiTheme="minorHAnsi" w:cstheme="minorHAnsi"/>
          <w:bCs/>
        </w:rPr>
        <w:t>on the basis of</w:t>
      </w:r>
      <w:proofErr w:type="gramEnd"/>
      <w:r>
        <w:rPr>
          <w:rFonts w:asciiTheme="minorHAnsi" w:hAnsiTheme="minorHAnsi" w:cstheme="minorHAnsi"/>
          <w:bCs/>
        </w:rPr>
        <w:t xml:space="preserve"> proposals by Member States and taking into account of reports by the Council, shall: </w:t>
      </w:r>
    </w:p>
    <w:p w14:paraId="2E979E71" w14:textId="77777777" w:rsidR="001A77FC" w:rsidRPr="00D356B3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Determine</w:t>
      </w:r>
      <w:r w:rsidRPr="00D356B3">
        <w:rPr>
          <w:rFonts w:asciiTheme="minorHAnsi" w:hAnsiTheme="minorHAnsi" w:cstheme="minorHAnsi"/>
          <w:bCs/>
        </w:rPr>
        <w:t xml:space="preserve"> general policies for fulfilling the purposes of the </w:t>
      </w:r>
      <w:proofErr w:type="gramStart"/>
      <w:r w:rsidRPr="00D356B3">
        <w:rPr>
          <w:rFonts w:asciiTheme="minorHAnsi" w:hAnsiTheme="minorHAnsi" w:cstheme="minorHAnsi"/>
          <w:bCs/>
        </w:rPr>
        <w:t>Union</w:t>
      </w:r>
      <w:r>
        <w:rPr>
          <w:rFonts w:asciiTheme="minorHAnsi" w:hAnsiTheme="minorHAnsi" w:cstheme="minorHAnsi"/>
          <w:bCs/>
        </w:rPr>
        <w:t>;</w:t>
      </w:r>
      <w:proofErr w:type="gramEnd"/>
    </w:p>
    <w:p w14:paraId="09A6284D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D356B3">
        <w:rPr>
          <w:rFonts w:asciiTheme="minorHAnsi" w:hAnsiTheme="minorHAnsi" w:cstheme="minorHAnsi"/>
          <w:bCs/>
        </w:rPr>
        <w:t xml:space="preserve">Consider reports </w:t>
      </w:r>
      <w:r>
        <w:rPr>
          <w:rFonts w:asciiTheme="minorHAnsi" w:hAnsiTheme="minorHAnsi" w:cstheme="minorHAnsi"/>
          <w:bCs/>
        </w:rPr>
        <w:t>by</w:t>
      </w:r>
      <w:r w:rsidRPr="00D356B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</w:t>
      </w:r>
      <w:r w:rsidRPr="00D356B3">
        <w:rPr>
          <w:rFonts w:asciiTheme="minorHAnsi" w:hAnsiTheme="minorHAnsi" w:cstheme="minorHAnsi"/>
          <w:bCs/>
        </w:rPr>
        <w:t>he Council</w:t>
      </w:r>
      <w:r>
        <w:rPr>
          <w:rFonts w:asciiTheme="minorHAnsi" w:hAnsiTheme="minorHAnsi" w:cstheme="minorHAnsi"/>
          <w:bCs/>
        </w:rPr>
        <w:t xml:space="preserve"> on the activities of the Union since the previous plenipotentiary conference and on the policy and strategic planning of the </w:t>
      </w:r>
      <w:proofErr w:type="gramStart"/>
      <w:r>
        <w:rPr>
          <w:rFonts w:asciiTheme="minorHAnsi" w:hAnsiTheme="minorHAnsi" w:cstheme="minorHAnsi"/>
          <w:bCs/>
        </w:rPr>
        <w:t>Union;</w:t>
      </w:r>
      <w:proofErr w:type="gramEnd"/>
    </w:p>
    <w:p w14:paraId="4664BDE1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1832F7">
        <w:rPr>
          <w:rFonts w:asciiTheme="minorHAnsi" w:hAnsiTheme="minorHAnsi" w:cstheme="minorHAnsi"/>
          <w:bCs/>
        </w:rPr>
        <w:t xml:space="preserve">Establish the strategic plan for the Union and the basis for the budget of the Union, and determines related financial </w:t>
      </w:r>
      <w:proofErr w:type="gramStart"/>
      <w:r w:rsidRPr="001832F7">
        <w:rPr>
          <w:rFonts w:asciiTheme="minorHAnsi" w:hAnsiTheme="minorHAnsi" w:cstheme="minorHAnsi"/>
          <w:bCs/>
        </w:rPr>
        <w:t>limits</w:t>
      </w:r>
      <w:r>
        <w:rPr>
          <w:rFonts w:asciiTheme="minorHAnsi" w:hAnsiTheme="minorHAnsi" w:cstheme="minorHAnsi"/>
          <w:bCs/>
        </w:rPr>
        <w:t>;</w:t>
      </w:r>
      <w:proofErr w:type="gramEnd"/>
      <w:r>
        <w:rPr>
          <w:rFonts w:asciiTheme="minorHAnsi" w:hAnsiTheme="minorHAnsi" w:cstheme="minorHAnsi"/>
          <w:bCs/>
        </w:rPr>
        <w:t xml:space="preserve"> </w:t>
      </w:r>
    </w:p>
    <w:p w14:paraId="21D54B83" w14:textId="77777777" w:rsidR="001A77FC" w:rsidRPr="006F4BD0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Establish</w:t>
      </w:r>
      <w:r w:rsidRPr="006F4BD0">
        <w:rPr>
          <w:rFonts w:asciiTheme="minorHAnsi" w:hAnsiTheme="minorHAnsi" w:cstheme="minorHAnsi"/>
          <w:bCs/>
        </w:rPr>
        <w:t xml:space="preserve"> the total number of contributory units for period up to next </w:t>
      </w:r>
      <w:proofErr w:type="gramStart"/>
      <w:r w:rsidRPr="006F4BD0">
        <w:rPr>
          <w:rFonts w:asciiTheme="minorHAnsi" w:hAnsiTheme="minorHAnsi" w:cstheme="minorHAnsi"/>
          <w:bCs/>
        </w:rPr>
        <w:t>PP;</w:t>
      </w:r>
      <w:proofErr w:type="gramEnd"/>
    </w:p>
    <w:p w14:paraId="0EBEB437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6F4BD0">
        <w:rPr>
          <w:rFonts w:asciiTheme="minorHAnsi" w:hAnsiTheme="minorHAnsi" w:cstheme="minorHAnsi"/>
          <w:bCs/>
        </w:rPr>
        <w:t xml:space="preserve">Provide general directives dealing with the staffing of the </w:t>
      </w:r>
      <w:proofErr w:type="gramStart"/>
      <w:r w:rsidRPr="006F4BD0">
        <w:rPr>
          <w:rFonts w:asciiTheme="minorHAnsi" w:hAnsiTheme="minorHAnsi" w:cstheme="minorHAnsi"/>
          <w:bCs/>
        </w:rPr>
        <w:t>Union</w:t>
      </w:r>
      <w:r>
        <w:rPr>
          <w:rFonts w:asciiTheme="minorHAnsi" w:hAnsiTheme="minorHAnsi" w:cstheme="minorHAnsi"/>
          <w:bCs/>
        </w:rPr>
        <w:t>;</w:t>
      </w:r>
      <w:proofErr w:type="gramEnd"/>
    </w:p>
    <w:p w14:paraId="45144A5E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1832F7">
        <w:rPr>
          <w:rFonts w:asciiTheme="minorHAnsi" w:hAnsiTheme="minorHAnsi" w:cstheme="minorHAnsi"/>
          <w:bCs/>
        </w:rPr>
        <w:t>Examine the accounts of the Union</w:t>
      </w:r>
      <w:r>
        <w:rPr>
          <w:rFonts w:asciiTheme="minorHAnsi" w:hAnsiTheme="minorHAnsi" w:cstheme="minorHAnsi"/>
          <w:bCs/>
        </w:rPr>
        <w:t xml:space="preserve"> and finally approve </w:t>
      </w:r>
      <w:proofErr w:type="gramStart"/>
      <w:r>
        <w:rPr>
          <w:rFonts w:asciiTheme="minorHAnsi" w:hAnsiTheme="minorHAnsi" w:cstheme="minorHAnsi"/>
          <w:bCs/>
        </w:rPr>
        <w:t>them;</w:t>
      </w:r>
      <w:proofErr w:type="gramEnd"/>
    </w:p>
    <w:p w14:paraId="3675CE51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Elect the Member States which are to serve on the </w:t>
      </w:r>
      <w:proofErr w:type="gramStart"/>
      <w:r>
        <w:rPr>
          <w:rFonts w:asciiTheme="minorHAnsi" w:hAnsiTheme="minorHAnsi" w:cstheme="minorHAnsi"/>
          <w:bCs/>
        </w:rPr>
        <w:t>Council;</w:t>
      </w:r>
      <w:proofErr w:type="gramEnd"/>
      <w:r>
        <w:rPr>
          <w:rFonts w:asciiTheme="minorHAnsi" w:hAnsiTheme="minorHAnsi" w:cstheme="minorHAnsi"/>
          <w:bCs/>
        </w:rPr>
        <w:t xml:space="preserve"> </w:t>
      </w:r>
    </w:p>
    <w:p w14:paraId="6078CEEB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6F4BD0">
        <w:rPr>
          <w:rFonts w:asciiTheme="minorHAnsi" w:hAnsiTheme="minorHAnsi" w:cstheme="minorHAnsi"/>
          <w:bCs/>
        </w:rPr>
        <w:t xml:space="preserve">Elect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ecretary-</w:t>
      </w:r>
      <w:r w:rsidRPr="006F4BD0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>eneral</w:t>
      </w:r>
      <w:r w:rsidRPr="006F4BD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eputy </w:t>
      </w:r>
      <w:r w:rsidRPr="006F4BD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ecretary-General and the </w:t>
      </w:r>
      <w:r w:rsidRPr="006F4BD0">
        <w:rPr>
          <w:rFonts w:asciiTheme="minorHAnsi" w:hAnsiTheme="minorHAnsi" w:cstheme="minorHAnsi"/>
          <w:bCs/>
        </w:rPr>
        <w:t xml:space="preserve">Directors of </w:t>
      </w:r>
      <w:r>
        <w:rPr>
          <w:rFonts w:asciiTheme="minorHAnsi" w:hAnsiTheme="minorHAnsi" w:cstheme="minorHAnsi"/>
          <w:bCs/>
        </w:rPr>
        <w:t xml:space="preserve">the </w:t>
      </w:r>
      <w:r w:rsidRPr="006F4BD0">
        <w:rPr>
          <w:rFonts w:asciiTheme="minorHAnsi" w:hAnsiTheme="minorHAnsi" w:cstheme="minorHAnsi"/>
          <w:bCs/>
        </w:rPr>
        <w:t xml:space="preserve">Bureaux of </w:t>
      </w:r>
      <w:r>
        <w:rPr>
          <w:rFonts w:asciiTheme="minorHAnsi" w:hAnsiTheme="minorHAnsi" w:cstheme="minorHAnsi"/>
          <w:bCs/>
        </w:rPr>
        <w:t xml:space="preserve">the </w:t>
      </w:r>
      <w:proofErr w:type="gramStart"/>
      <w:r w:rsidRPr="006F4BD0">
        <w:rPr>
          <w:rFonts w:asciiTheme="minorHAnsi" w:hAnsiTheme="minorHAnsi" w:cstheme="minorHAnsi"/>
          <w:bCs/>
        </w:rPr>
        <w:t>Sectors</w:t>
      </w:r>
      <w:r>
        <w:rPr>
          <w:rFonts w:asciiTheme="minorHAnsi" w:hAnsiTheme="minorHAnsi" w:cstheme="minorHAnsi"/>
          <w:bCs/>
        </w:rPr>
        <w:t>;</w:t>
      </w:r>
      <w:proofErr w:type="gramEnd"/>
    </w:p>
    <w:p w14:paraId="15A6F0E1" w14:textId="77777777" w:rsidR="001A77FC" w:rsidRPr="006F4BD0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Elect the members of the </w:t>
      </w:r>
      <w:r w:rsidRPr="006F4BD0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adio </w:t>
      </w:r>
      <w:r w:rsidRPr="006F4BD0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egulations </w:t>
      </w:r>
      <w:proofErr w:type="gramStart"/>
      <w:r>
        <w:rPr>
          <w:rFonts w:asciiTheme="minorHAnsi" w:hAnsiTheme="minorHAnsi" w:cstheme="minorHAnsi"/>
          <w:bCs/>
        </w:rPr>
        <w:t>Board</w:t>
      </w:r>
      <w:r w:rsidRPr="006F4BD0">
        <w:rPr>
          <w:rFonts w:asciiTheme="minorHAnsi" w:hAnsiTheme="minorHAnsi" w:cstheme="minorHAnsi"/>
          <w:bCs/>
        </w:rPr>
        <w:t>;</w:t>
      </w:r>
      <w:proofErr w:type="gramEnd"/>
    </w:p>
    <w:p w14:paraId="4073A39B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583CC0">
        <w:rPr>
          <w:rFonts w:asciiTheme="minorHAnsi" w:hAnsiTheme="minorHAnsi" w:cstheme="minorHAnsi"/>
          <w:bCs/>
        </w:rPr>
        <w:t xml:space="preserve">Consider and adopts modifications to the Constitution and </w:t>
      </w:r>
      <w:proofErr w:type="gramStart"/>
      <w:r w:rsidRPr="00583CC0">
        <w:rPr>
          <w:rFonts w:asciiTheme="minorHAnsi" w:hAnsiTheme="minorHAnsi" w:cstheme="minorHAnsi"/>
          <w:bCs/>
        </w:rPr>
        <w:t>Convention;</w:t>
      </w:r>
      <w:proofErr w:type="gramEnd"/>
    </w:p>
    <w:p w14:paraId="2F58502B" w14:textId="77777777" w:rsidR="001A77FC" w:rsidRPr="00583CC0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 w:rsidRPr="00583CC0">
        <w:rPr>
          <w:rFonts w:asciiTheme="minorHAnsi" w:hAnsiTheme="minorHAnsi" w:cstheme="minorHAnsi"/>
          <w:bCs/>
        </w:rPr>
        <w:t xml:space="preserve">Conclude </w:t>
      </w:r>
      <w:r>
        <w:rPr>
          <w:rFonts w:asciiTheme="minorHAnsi" w:hAnsiTheme="minorHAnsi" w:cstheme="minorHAnsi"/>
          <w:bCs/>
        </w:rPr>
        <w:t xml:space="preserve">or revise if </w:t>
      </w:r>
      <w:proofErr w:type="gramStart"/>
      <w:r>
        <w:rPr>
          <w:rFonts w:asciiTheme="minorHAnsi" w:hAnsiTheme="minorHAnsi" w:cstheme="minorHAnsi"/>
          <w:bCs/>
        </w:rPr>
        <w:t>necessary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583CC0">
        <w:rPr>
          <w:rFonts w:asciiTheme="minorHAnsi" w:hAnsiTheme="minorHAnsi" w:cstheme="minorHAnsi"/>
          <w:bCs/>
        </w:rPr>
        <w:t xml:space="preserve">agreements with </w:t>
      </w:r>
      <w:r>
        <w:rPr>
          <w:rFonts w:asciiTheme="minorHAnsi" w:hAnsiTheme="minorHAnsi" w:cstheme="minorHAnsi"/>
          <w:bCs/>
        </w:rPr>
        <w:t xml:space="preserve">other </w:t>
      </w:r>
      <w:r w:rsidRPr="00583CC0">
        <w:rPr>
          <w:rFonts w:asciiTheme="minorHAnsi" w:hAnsiTheme="minorHAnsi" w:cstheme="minorHAnsi"/>
          <w:bCs/>
        </w:rPr>
        <w:t>international organizations</w:t>
      </w:r>
      <w:r>
        <w:rPr>
          <w:rFonts w:asciiTheme="minorHAnsi" w:hAnsiTheme="minorHAnsi" w:cstheme="minorHAnsi"/>
          <w:bCs/>
        </w:rPr>
        <w:t>;</w:t>
      </w:r>
    </w:p>
    <w:p w14:paraId="6A0859CF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Adopt and amend the General Rules of conferences, assemblies and meetings of the </w:t>
      </w:r>
      <w:proofErr w:type="gramStart"/>
      <w:r>
        <w:rPr>
          <w:rFonts w:asciiTheme="minorHAnsi" w:hAnsiTheme="minorHAnsi" w:cstheme="minorHAnsi"/>
          <w:bCs/>
        </w:rPr>
        <w:t>Union;</w:t>
      </w:r>
      <w:proofErr w:type="gramEnd"/>
      <w:r>
        <w:rPr>
          <w:rFonts w:asciiTheme="minorHAnsi" w:hAnsiTheme="minorHAnsi" w:cstheme="minorHAnsi"/>
          <w:bCs/>
        </w:rPr>
        <w:t xml:space="preserve"> </w:t>
      </w:r>
    </w:p>
    <w:p w14:paraId="5D6A5262" w14:textId="77777777" w:rsidR="001A77FC" w:rsidRDefault="001A77FC" w:rsidP="001A77FC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/>
        <w:ind w:left="714" w:hanging="43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Deal with such other telecommunications questions as may be necessary.</w:t>
      </w:r>
    </w:p>
    <w:p w14:paraId="52E760ED" w14:textId="77777777" w:rsidR="001A77FC" w:rsidRPr="005F353E" w:rsidRDefault="001A77FC" w:rsidP="001A77F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</w:t>
      </w:r>
      <w:r w:rsidRPr="005F353E">
        <w:rPr>
          <w:rFonts w:asciiTheme="minorHAnsi" w:hAnsiTheme="minorHAnsi" w:cstheme="minorHAnsi"/>
        </w:rPr>
        <w:tab/>
        <w:t>Next steps</w:t>
      </w:r>
    </w:p>
    <w:p w14:paraId="117E5072" w14:textId="191FC761" w:rsidR="001A77FC" w:rsidRDefault="001A77FC" w:rsidP="001A77FC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</w:t>
      </w:r>
      <w:r w:rsidRPr="009C50A5">
        <w:rPr>
          <w:rFonts w:asciiTheme="minorHAnsi" w:hAnsiTheme="minorHAnsi" w:cstheme="minorHAnsi"/>
          <w:bCs/>
          <w:sz w:val="24"/>
        </w:rPr>
        <w:t>.</w:t>
      </w:r>
      <w:r>
        <w:rPr>
          <w:rFonts w:asciiTheme="minorHAnsi" w:hAnsiTheme="minorHAnsi" w:cstheme="minorHAnsi"/>
          <w:bCs/>
          <w:sz w:val="24"/>
        </w:rPr>
        <w:t>1</w:t>
      </w:r>
      <w:r w:rsidRPr="009C50A5">
        <w:rPr>
          <w:rFonts w:asciiTheme="minorHAnsi" w:hAnsiTheme="minorHAnsi" w:cstheme="minorHAnsi"/>
          <w:bCs/>
          <w:sz w:val="24"/>
        </w:rPr>
        <w:tab/>
        <w:t xml:space="preserve">Internally, the Coordination Committee </w:t>
      </w:r>
      <w:r>
        <w:rPr>
          <w:rFonts w:asciiTheme="minorHAnsi" w:hAnsiTheme="minorHAnsi" w:cstheme="minorHAnsi"/>
          <w:bCs/>
          <w:sz w:val="24"/>
        </w:rPr>
        <w:t>will establish</w:t>
      </w:r>
      <w:r w:rsidRPr="009C50A5">
        <w:rPr>
          <w:rFonts w:asciiTheme="minorHAnsi" w:hAnsiTheme="minorHAnsi" w:cstheme="minorHAnsi"/>
          <w:bCs/>
          <w:sz w:val="24"/>
        </w:rPr>
        <w:t xml:space="preserve"> the </w:t>
      </w:r>
      <w:r w:rsidR="00F452A5">
        <w:rPr>
          <w:rFonts w:asciiTheme="minorHAnsi" w:hAnsiTheme="minorHAnsi" w:cstheme="minorHAnsi"/>
          <w:bCs/>
          <w:sz w:val="24"/>
        </w:rPr>
        <w:t>Bucharest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9C50A5">
        <w:rPr>
          <w:rFonts w:asciiTheme="minorHAnsi" w:hAnsiTheme="minorHAnsi" w:cstheme="minorHAnsi"/>
          <w:bCs/>
          <w:sz w:val="24"/>
        </w:rPr>
        <w:t xml:space="preserve">Preparatory Group </w:t>
      </w:r>
      <w:r>
        <w:rPr>
          <w:rFonts w:asciiTheme="minorHAnsi" w:hAnsiTheme="minorHAnsi" w:cstheme="minorHAnsi"/>
          <w:bCs/>
          <w:sz w:val="24"/>
        </w:rPr>
        <w:t>(</w:t>
      </w:r>
      <w:r w:rsidR="00F452A5">
        <w:rPr>
          <w:rFonts w:asciiTheme="minorHAnsi" w:hAnsiTheme="minorHAnsi" w:cstheme="minorHAnsi"/>
          <w:bCs/>
          <w:sz w:val="24"/>
        </w:rPr>
        <w:t>B</w:t>
      </w:r>
      <w:r>
        <w:rPr>
          <w:rFonts w:asciiTheme="minorHAnsi" w:hAnsiTheme="minorHAnsi" w:cstheme="minorHAnsi"/>
          <w:bCs/>
          <w:sz w:val="24"/>
        </w:rPr>
        <w:t xml:space="preserve">PG) </w:t>
      </w:r>
      <w:r w:rsidRPr="009C50A5">
        <w:rPr>
          <w:rFonts w:asciiTheme="minorHAnsi" w:hAnsiTheme="minorHAnsi" w:cstheme="minorHAnsi"/>
          <w:bCs/>
          <w:sz w:val="24"/>
        </w:rPr>
        <w:t xml:space="preserve">with representatives from all </w:t>
      </w:r>
      <w:r>
        <w:rPr>
          <w:rFonts w:asciiTheme="minorHAnsi" w:hAnsiTheme="minorHAnsi" w:cstheme="minorHAnsi"/>
          <w:bCs/>
          <w:sz w:val="24"/>
        </w:rPr>
        <w:t>Bureaux</w:t>
      </w:r>
      <w:r w:rsidRPr="009C50A5">
        <w:rPr>
          <w:rFonts w:asciiTheme="minorHAnsi" w:hAnsiTheme="minorHAnsi" w:cstheme="minorHAnsi"/>
          <w:bCs/>
          <w:sz w:val="24"/>
        </w:rPr>
        <w:t xml:space="preserve"> and the General Secretariat.</w:t>
      </w:r>
    </w:p>
    <w:p w14:paraId="35E0F1EB" w14:textId="78E683C2" w:rsidR="001A77FC" w:rsidRDefault="001A77FC" w:rsidP="001A77FC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5.2</w:t>
      </w:r>
      <w:r>
        <w:rPr>
          <w:rFonts w:asciiTheme="minorHAnsi" w:hAnsiTheme="minorHAnsi" w:cstheme="minorHAnsi"/>
          <w:bCs/>
          <w:sz w:val="24"/>
        </w:rPr>
        <w:tab/>
        <w:t xml:space="preserve">The Host Country Agreement is due to be signed </w:t>
      </w:r>
      <w:r w:rsidR="00645E41">
        <w:rPr>
          <w:rFonts w:asciiTheme="minorHAnsi" w:hAnsiTheme="minorHAnsi" w:cstheme="minorHAnsi"/>
          <w:bCs/>
          <w:sz w:val="24"/>
        </w:rPr>
        <w:t xml:space="preserve">by the end of </w:t>
      </w:r>
      <w:r w:rsidR="00EE5184">
        <w:rPr>
          <w:rFonts w:asciiTheme="minorHAnsi" w:hAnsiTheme="minorHAnsi" w:cstheme="minorHAnsi"/>
          <w:bCs/>
          <w:sz w:val="24"/>
        </w:rPr>
        <w:t>September 202</w:t>
      </w:r>
      <w:r w:rsidR="00EE5184" w:rsidRPr="00DF72AC">
        <w:rPr>
          <w:rFonts w:asciiTheme="minorHAnsi" w:hAnsiTheme="minorHAnsi" w:cstheme="minorHAnsi"/>
          <w:bCs/>
          <w:sz w:val="24"/>
        </w:rPr>
        <w:t>1</w:t>
      </w:r>
      <w:r w:rsidRPr="00DF72AC">
        <w:rPr>
          <w:rFonts w:asciiTheme="minorHAnsi" w:hAnsiTheme="minorHAnsi" w:cstheme="minorHAnsi"/>
          <w:bCs/>
          <w:sz w:val="24"/>
        </w:rPr>
        <w:t>.</w:t>
      </w:r>
    </w:p>
    <w:p w14:paraId="1AEEC416" w14:textId="724C629E" w:rsidR="004562F7" w:rsidRPr="00095B95" w:rsidRDefault="004562F7" w:rsidP="00095B95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sz w:val="24"/>
          <w:szCs w:val="24"/>
          <w:lang w:val="en-US"/>
        </w:rPr>
      </w:pPr>
      <w:r w:rsidRPr="00095B95">
        <w:rPr>
          <w:rFonts w:asciiTheme="minorHAnsi" w:hAnsiTheme="minorHAnsi" w:cstheme="minorHAnsi"/>
          <w:bCs/>
          <w:sz w:val="24"/>
          <w:szCs w:val="24"/>
        </w:rPr>
        <w:t>5.3</w:t>
      </w:r>
      <w:r w:rsidR="00095B95" w:rsidRPr="00095B95">
        <w:rPr>
          <w:rFonts w:asciiTheme="minorHAnsi" w:hAnsiTheme="minorHAnsi" w:cstheme="minorHAnsi"/>
          <w:bCs/>
          <w:sz w:val="24"/>
          <w:szCs w:val="24"/>
        </w:rPr>
        <w:tab/>
      </w:r>
      <w:r w:rsidRPr="00095B95">
        <w:rPr>
          <w:sz w:val="24"/>
          <w:szCs w:val="24"/>
          <w:lang w:val="en-US"/>
        </w:rPr>
        <w:t xml:space="preserve">Building on the successful experience of PP-18 during which three informal inter-regional meetings were organized with the support of the secretariat, </w:t>
      </w:r>
      <w:r w:rsidRPr="00095B95">
        <w:rPr>
          <w:sz w:val="24"/>
          <w:szCs w:val="24"/>
          <w:u w:val="single"/>
          <w:lang w:val="en-US"/>
        </w:rPr>
        <w:t>it is proposed t</w:t>
      </w:r>
      <w:r w:rsidRPr="0047265E">
        <w:rPr>
          <w:sz w:val="24"/>
          <w:szCs w:val="24"/>
          <w:u w:val="single"/>
          <w:lang w:val="en-US"/>
        </w:rPr>
        <w:t>o</w:t>
      </w:r>
      <w:r w:rsidRPr="00095B95">
        <w:rPr>
          <w:sz w:val="24"/>
          <w:szCs w:val="24"/>
          <w:lang w:val="en-US"/>
        </w:rPr>
        <w:t xml:space="preserve"> improve the scheduling of the preparatory meetings</w:t>
      </w:r>
      <w:r w:rsidR="009628CC" w:rsidRPr="00095B95">
        <w:rPr>
          <w:sz w:val="24"/>
          <w:szCs w:val="24"/>
          <w:lang w:val="en-US"/>
        </w:rPr>
        <w:t xml:space="preserve">, </w:t>
      </w:r>
      <w:r w:rsidRPr="00095B95">
        <w:rPr>
          <w:sz w:val="24"/>
          <w:szCs w:val="24"/>
          <w:lang w:val="en-US"/>
        </w:rPr>
        <w:t>both regional and inter-regional</w:t>
      </w:r>
      <w:r w:rsidR="009628CC" w:rsidRPr="00095B95">
        <w:rPr>
          <w:sz w:val="24"/>
          <w:szCs w:val="24"/>
          <w:lang w:val="en-US"/>
        </w:rPr>
        <w:t>, for PP-22</w:t>
      </w:r>
      <w:r w:rsidR="0010254B" w:rsidRPr="00095B95">
        <w:rPr>
          <w:sz w:val="24"/>
          <w:szCs w:val="24"/>
          <w:lang w:val="en-US"/>
        </w:rPr>
        <w:t xml:space="preserve">. </w:t>
      </w:r>
    </w:p>
    <w:p w14:paraId="4DB94399" w14:textId="1B713D11" w:rsidR="004562F7" w:rsidRPr="00095B95" w:rsidRDefault="00095B95" w:rsidP="00095B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szCs w:val="24"/>
        </w:rPr>
      </w:pPr>
      <w:r w:rsidRPr="00095B95">
        <w:rPr>
          <w:szCs w:val="24"/>
        </w:rPr>
        <w:t>5.4</w:t>
      </w:r>
      <w:r w:rsidRPr="00095B95">
        <w:rPr>
          <w:szCs w:val="24"/>
        </w:rPr>
        <w:tab/>
      </w:r>
      <w:r w:rsidR="009628CC" w:rsidRPr="00095B95">
        <w:rPr>
          <w:szCs w:val="24"/>
        </w:rPr>
        <w:t>R</w:t>
      </w:r>
      <w:r w:rsidR="004562F7" w:rsidRPr="00095B95">
        <w:rPr>
          <w:szCs w:val="24"/>
        </w:rPr>
        <w:t xml:space="preserve">TOs </w:t>
      </w:r>
      <w:r w:rsidR="0010254B" w:rsidRPr="00095B95">
        <w:rPr>
          <w:szCs w:val="24"/>
        </w:rPr>
        <w:t xml:space="preserve">are strongly invited to send </w:t>
      </w:r>
      <w:r w:rsidR="000C44CA" w:rsidRPr="00095B95">
        <w:rPr>
          <w:szCs w:val="24"/>
        </w:rPr>
        <w:t xml:space="preserve">to the secretariat </w:t>
      </w:r>
      <w:r w:rsidR="004562F7" w:rsidRPr="00095B95">
        <w:rPr>
          <w:szCs w:val="24"/>
        </w:rPr>
        <w:t xml:space="preserve">as </w:t>
      </w:r>
      <w:r w:rsidR="000C44CA" w:rsidRPr="00095B95">
        <w:rPr>
          <w:szCs w:val="24"/>
        </w:rPr>
        <w:t xml:space="preserve">soon </w:t>
      </w:r>
      <w:r w:rsidR="004562F7" w:rsidRPr="00095B95">
        <w:rPr>
          <w:szCs w:val="24"/>
        </w:rPr>
        <w:t xml:space="preserve">as possible the </w:t>
      </w:r>
      <w:r w:rsidR="009628CC" w:rsidRPr="00095B95">
        <w:rPr>
          <w:szCs w:val="24"/>
        </w:rPr>
        <w:t xml:space="preserve">dates for their </w:t>
      </w:r>
      <w:r w:rsidR="004562F7" w:rsidRPr="00095B95">
        <w:rPr>
          <w:szCs w:val="24"/>
        </w:rPr>
        <w:t>regional preparatory meetings</w:t>
      </w:r>
      <w:r w:rsidR="009628CC" w:rsidRPr="00095B95">
        <w:rPr>
          <w:szCs w:val="24"/>
        </w:rPr>
        <w:t xml:space="preserve"> if they have not yet done so. </w:t>
      </w:r>
      <w:r w:rsidR="004562F7" w:rsidRPr="00095B95">
        <w:rPr>
          <w:szCs w:val="24"/>
        </w:rPr>
        <w:t xml:space="preserve">The </w:t>
      </w:r>
      <w:r w:rsidR="009628CC" w:rsidRPr="00095B95">
        <w:rPr>
          <w:szCs w:val="24"/>
        </w:rPr>
        <w:t>secretariat will c</w:t>
      </w:r>
      <w:r w:rsidR="004562F7" w:rsidRPr="00095B95">
        <w:rPr>
          <w:szCs w:val="24"/>
        </w:rPr>
        <w:t xml:space="preserve">reate and regularly update a dedicated </w:t>
      </w:r>
      <w:r w:rsidR="009628CC" w:rsidRPr="00095B95">
        <w:rPr>
          <w:szCs w:val="24"/>
        </w:rPr>
        <w:t xml:space="preserve">page on the PP-22 </w:t>
      </w:r>
      <w:r w:rsidR="004562F7" w:rsidRPr="00095B95">
        <w:rPr>
          <w:szCs w:val="24"/>
        </w:rPr>
        <w:t>website on regional preparations for the PP</w:t>
      </w:r>
      <w:r w:rsidR="009628CC" w:rsidRPr="00095B95">
        <w:rPr>
          <w:szCs w:val="24"/>
        </w:rPr>
        <w:t>.</w:t>
      </w:r>
      <w:r w:rsidR="004562F7" w:rsidRPr="00095B95">
        <w:rPr>
          <w:szCs w:val="24"/>
        </w:rPr>
        <w:t xml:space="preserve"> </w:t>
      </w:r>
      <w:r w:rsidR="00EB743B" w:rsidRPr="00095B95">
        <w:rPr>
          <w:szCs w:val="24"/>
        </w:rPr>
        <w:t xml:space="preserve">RTOs are also invited to send to the </w:t>
      </w:r>
      <w:r>
        <w:rPr>
          <w:szCs w:val="24"/>
        </w:rPr>
        <w:t>s</w:t>
      </w:r>
      <w:r w:rsidR="00EB743B" w:rsidRPr="00095B95">
        <w:rPr>
          <w:szCs w:val="24"/>
        </w:rPr>
        <w:t xml:space="preserve">ecretariat the names of their focal point(s) for PP to liaise with the </w:t>
      </w:r>
      <w:r>
        <w:rPr>
          <w:szCs w:val="24"/>
        </w:rPr>
        <w:t>s</w:t>
      </w:r>
      <w:r w:rsidR="00EB743B" w:rsidRPr="00095B95">
        <w:rPr>
          <w:szCs w:val="24"/>
        </w:rPr>
        <w:t>ecretariat.</w:t>
      </w:r>
    </w:p>
    <w:p w14:paraId="0260C592" w14:textId="5C0CDF90" w:rsidR="00AC24BA" w:rsidRPr="00095B95" w:rsidRDefault="00AC24BA" w:rsidP="001A77FC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5.</w:t>
      </w:r>
      <w:r w:rsidR="009628CC">
        <w:rPr>
          <w:rFonts w:asciiTheme="minorHAnsi" w:hAnsiTheme="minorHAnsi" w:cstheme="minorHAnsi"/>
          <w:bCs/>
          <w:sz w:val="24"/>
        </w:rPr>
        <w:t>5</w:t>
      </w:r>
      <w:r>
        <w:rPr>
          <w:rFonts w:asciiTheme="minorHAnsi" w:hAnsiTheme="minorHAnsi" w:cstheme="minorHAnsi"/>
          <w:bCs/>
          <w:sz w:val="24"/>
        </w:rPr>
        <w:tab/>
        <w:t xml:space="preserve">As </w:t>
      </w:r>
      <w:r w:rsidR="00C5608F">
        <w:rPr>
          <w:rFonts w:asciiTheme="minorHAnsi" w:hAnsiTheme="minorHAnsi" w:cstheme="minorHAnsi"/>
          <w:bCs/>
          <w:sz w:val="24"/>
        </w:rPr>
        <w:t xml:space="preserve">for PP-18, it is proposed to organize inter-regional meetings to facilitate discussions and </w:t>
      </w:r>
      <w:r w:rsidR="00C5608F" w:rsidRPr="00095B95">
        <w:rPr>
          <w:rFonts w:asciiTheme="minorHAnsi" w:hAnsiTheme="minorHAnsi" w:cstheme="minorHAnsi"/>
          <w:bCs/>
          <w:sz w:val="24"/>
        </w:rPr>
        <w:t xml:space="preserve">pathways to consensus in the run-up to PP-22. It is proposed to hold </w:t>
      </w:r>
      <w:r w:rsidR="00695B0B" w:rsidRPr="00095B95">
        <w:rPr>
          <w:rFonts w:asciiTheme="minorHAnsi" w:hAnsiTheme="minorHAnsi" w:cstheme="minorHAnsi"/>
          <w:bCs/>
          <w:sz w:val="24"/>
        </w:rPr>
        <w:t>three</w:t>
      </w:r>
      <w:r w:rsidR="00C5608F" w:rsidRPr="00095B95">
        <w:rPr>
          <w:rFonts w:asciiTheme="minorHAnsi" w:hAnsiTheme="minorHAnsi" w:cstheme="minorHAnsi"/>
          <w:bCs/>
          <w:sz w:val="24"/>
        </w:rPr>
        <w:t xml:space="preserve"> meetings as follows:</w:t>
      </w:r>
    </w:p>
    <w:p w14:paraId="1B35F226" w14:textId="0EFABEF7" w:rsidR="00A007E8" w:rsidRPr="00095B95" w:rsidRDefault="00AC323C" w:rsidP="00A007E8">
      <w:pPr>
        <w:pStyle w:val="BodyText3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095B95">
        <w:rPr>
          <w:rFonts w:asciiTheme="minorHAnsi" w:hAnsiTheme="minorHAnsi" w:cstheme="minorHAnsi"/>
          <w:bCs/>
          <w:sz w:val="24"/>
        </w:rPr>
        <w:t>1</w:t>
      </w:r>
      <w:r w:rsidR="00C15D8C" w:rsidRPr="00095B95">
        <w:rPr>
          <w:rFonts w:asciiTheme="minorHAnsi" w:hAnsiTheme="minorHAnsi" w:cstheme="minorHAnsi"/>
          <w:bCs/>
          <w:sz w:val="24"/>
        </w:rPr>
        <w:t>st</w:t>
      </w:r>
      <w:r w:rsidRPr="00095B95">
        <w:rPr>
          <w:rFonts w:asciiTheme="minorHAnsi" w:hAnsiTheme="minorHAnsi" w:cstheme="minorHAnsi"/>
          <w:bCs/>
          <w:sz w:val="24"/>
        </w:rPr>
        <w:t xml:space="preserve"> </w:t>
      </w:r>
      <w:r w:rsidR="00A007E8" w:rsidRPr="00095B95">
        <w:rPr>
          <w:rFonts w:asciiTheme="minorHAnsi" w:hAnsiTheme="minorHAnsi" w:cstheme="minorHAnsi"/>
          <w:bCs/>
          <w:sz w:val="24"/>
        </w:rPr>
        <w:t xml:space="preserve">meeting </w:t>
      </w:r>
      <w:r w:rsidRPr="00095B95">
        <w:rPr>
          <w:rFonts w:asciiTheme="minorHAnsi" w:hAnsiTheme="minorHAnsi" w:cstheme="minorHAnsi"/>
          <w:bCs/>
          <w:sz w:val="24"/>
        </w:rPr>
        <w:t xml:space="preserve">in conjunction with </w:t>
      </w:r>
      <w:r w:rsidR="00A007E8" w:rsidRPr="00095B95">
        <w:rPr>
          <w:rFonts w:asciiTheme="minorHAnsi" w:hAnsiTheme="minorHAnsi" w:cstheme="minorHAnsi"/>
          <w:bCs/>
          <w:sz w:val="24"/>
        </w:rPr>
        <w:t>C22 (22 March – 1 April 2022</w:t>
      </w:r>
      <w:proofErr w:type="gramStart"/>
      <w:r w:rsidR="00A007E8" w:rsidRPr="00095B95">
        <w:rPr>
          <w:rFonts w:asciiTheme="minorHAnsi" w:hAnsiTheme="minorHAnsi" w:cstheme="minorHAnsi"/>
          <w:bCs/>
          <w:sz w:val="24"/>
        </w:rPr>
        <w:t>)</w:t>
      </w:r>
      <w:r w:rsidR="00095B95">
        <w:rPr>
          <w:rFonts w:asciiTheme="minorHAnsi" w:hAnsiTheme="minorHAnsi" w:cstheme="minorHAnsi"/>
          <w:bCs/>
          <w:sz w:val="24"/>
        </w:rPr>
        <w:t>;</w:t>
      </w:r>
      <w:proofErr w:type="gramEnd"/>
      <w:r w:rsidR="00EB743B" w:rsidRPr="00095B95">
        <w:rPr>
          <w:rFonts w:asciiTheme="minorHAnsi" w:hAnsiTheme="minorHAnsi" w:cstheme="minorHAnsi"/>
          <w:bCs/>
          <w:sz w:val="24"/>
        </w:rPr>
        <w:t xml:space="preserve"> </w:t>
      </w:r>
    </w:p>
    <w:p w14:paraId="08912662" w14:textId="461109F1" w:rsidR="00A007E8" w:rsidRPr="00095B95" w:rsidRDefault="00AC323C" w:rsidP="00A007E8">
      <w:pPr>
        <w:pStyle w:val="BodyText3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095B95">
        <w:rPr>
          <w:rFonts w:asciiTheme="minorHAnsi" w:hAnsiTheme="minorHAnsi" w:cstheme="minorHAnsi"/>
          <w:bCs/>
          <w:sz w:val="24"/>
        </w:rPr>
        <w:t>2</w:t>
      </w:r>
      <w:r w:rsidR="00095B95">
        <w:rPr>
          <w:rFonts w:asciiTheme="minorHAnsi" w:hAnsiTheme="minorHAnsi" w:cstheme="minorHAnsi"/>
          <w:bCs/>
          <w:sz w:val="24"/>
        </w:rPr>
        <w:t>n</w:t>
      </w:r>
      <w:r w:rsidR="00A007E8" w:rsidRPr="00095B95">
        <w:rPr>
          <w:rFonts w:asciiTheme="minorHAnsi" w:hAnsiTheme="minorHAnsi" w:cstheme="minorHAnsi"/>
          <w:bCs/>
          <w:sz w:val="24"/>
        </w:rPr>
        <w:t>d meeting after</w:t>
      </w:r>
      <w:r w:rsidRPr="00095B95">
        <w:rPr>
          <w:rFonts w:asciiTheme="minorHAnsi" w:hAnsiTheme="minorHAnsi" w:cstheme="minorHAnsi"/>
          <w:bCs/>
          <w:sz w:val="24"/>
        </w:rPr>
        <w:t xml:space="preserve"> the</w:t>
      </w:r>
      <w:r w:rsidR="00A007E8" w:rsidRPr="00095B95">
        <w:rPr>
          <w:rFonts w:asciiTheme="minorHAnsi" w:hAnsiTheme="minorHAnsi" w:cstheme="minorHAnsi"/>
          <w:bCs/>
          <w:sz w:val="24"/>
        </w:rPr>
        <w:t xml:space="preserve"> deadline for M</w:t>
      </w:r>
      <w:r w:rsidR="00D130A5">
        <w:rPr>
          <w:rFonts w:asciiTheme="minorHAnsi" w:hAnsiTheme="minorHAnsi" w:cstheme="minorHAnsi"/>
          <w:bCs/>
          <w:sz w:val="24"/>
        </w:rPr>
        <w:t xml:space="preserve">ember </w:t>
      </w:r>
      <w:r w:rsidR="00A007E8" w:rsidRPr="00095B95">
        <w:rPr>
          <w:rFonts w:asciiTheme="minorHAnsi" w:hAnsiTheme="minorHAnsi" w:cstheme="minorHAnsi"/>
          <w:bCs/>
          <w:sz w:val="24"/>
        </w:rPr>
        <w:t>S</w:t>
      </w:r>
      <w:r w:rsidR="00D130A5">
        <w:rPr>
          <w:rFonts w:asciiTheme="minorHAnsi" w:hAnsiTheme="minorHAnsi" w:cstheme="minorHAnsi"/>
          <w:bCs/>
          <w:sz w:val="24"/>
        </w:rPr>
        <w:t>tates</w:t>
      </w:r>
      <w:r w:rsidR="00A007E8" w:rsidRPr="00095B95">
        <w:rPr>
          <w:rFonts w:asciiTheme="minorHAnsi" w:hAnsiTheme="minorHAnsi" w:cstheme="minorHAnsi"/>
          <w:bCs/>
          <w:sz w:val="24"/>
        </w:rPr>
        <w:t xml:space="preserve"> contributions (at least 4 months before, as per GR 40</w:t>
      </w:r>
      <w:r w:rsidR="00625AA4" w:rsidRPr="00095B95">
        <w:rPr>
          <w:rFonts w:asciiTheme="minorHAnsi" w:hAnsiTheme="minorHAnsi" w:cstheme="minorHAnsi"/>
          <w:bCs/>
          <w:sz w:val="24"/>
        </w:rPr>
        <w:t>: 26 May 2022</w:t>
      </w:r>
      <w:r w:rsidR="00A007E8" w:rsidRPr="00095B95">
        <w:rPr>
          <w:rFonts w:asciiTheme="minorHAnsi" w:hAnsiTheme="minorHAnsi" w:cstheme="minorHAnsi"/>
          <w:bCs/>
          <w:sz w:val="24"/>
        </w:rPr>
        <w:t>)</w:t>
      </w:r>
      <w:r w:rsidR="00695B0B" w:rsidRPr="00095B95">
        <w:rPr>
          <w:rFonts w:asciiTheme="minorHAnsi" w:hAnsiTheme="minorHAnsi" w:cstheme="minorHAnsi"/>
          <w:bCs/>
          <w:sz w:val="24"/>
        </w:rPr>
        <w:t xml:space="preserve"> during the second half of June </w:t>
      </w:r>
      <w:proofErr w:type="gramStart"/>
      <w:r w:rsidR="00695B0B" w:rsidRPr="00095B95">
        <w:rPr>
          <w:rFonts w:asciiTheme="minorHAnsi" w:hAnsiTheme="minorHAnsi" w:cstheme="minorHAnsi"/>
          <w:bCs/>
          <w:sz w:val="24"/>
        </w:rPr>
        <w:t>2022</w:t>
      </w:r>
      <w:r w:rsidR="00095B95">
        <w:rPr>
          <w:rFonts w:asciiTheme="minorHAnsi" w:hAnsiTheme="minorHAnsi" w:cstheme="minorHAnsi"/>
          <w:bCs/>
          <w:sz w:val="24"/>
        </w:rPr>
        <w:t>;</w:t>
      </w:r>
      <w:proofErr w:type="gramEnd"/>
    </w:p>
    <w:p w14:paraId="1138A997" w14:textId="5BA6FE9A" w:rsidR="00A007E8" w:rsidRPr="00095B95" w:rsidRDefault="00EB743B" w:rsidP="00A007E8">
      <w:pPr>
        <w:pStyle w:val="BodyText3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095B95">
        <w:rPr>
          <w:rFonts w:asciiTheme="minorHAnsi" w:hAnsiTheme="minorHAnsi" w:cstheme="minorHAnsi"/>
          <w:bCs/>
          <w:sz w:val="24"/>
        </w:rPr>
        <w:t>3rd</w:t>
      </w:r>
      <w:r w:rsidR="00A007E8" w:rsidRPr="00095B95">
        <w:rPr>
          <w:rFonts w:asciiTheme="minorHAnsi" w:hAnsiTheme="minorHAnsi" w:cstheme="minorHAnsi"/>
          <w:bCs/>
          <w:sz w:val="24"/>
        </w:rPr>
        <w:t xml:space="preserve"> meeting after the deadline for submission of candidatures</w:t>
      </w:r>
      <w:r w:rsidR="00625AA4" w:rsidRPr="00095B95">
        <w:rPr>
          <w:rFonts w:asciiTheme="minorHAnsi" w:hAnsiTheme="minorHAnsi" w:cstheme="minorHAnsi"/>
          <w:bCs/>
          <w:sz w:val="24"/>
        </w:rPr>
        <w:t xml:space="preserve"> (no later than 23.59 on the 28th day prior to the conference, as per GR 170: 23.59 on 29 August 2022)</w:t>
      </w:r>
      <w:r w:rsidR="00695B0B" w:rsidRPr="00095B95">
        <w:rPr>
          <w:rFonts w:asciiTheme="minorHAnsi" w:hAnsiTheme="minorHAnsi" w:cstheme="minorHAnsi"/>
          <w:bCs/>
          <w:sz w:val="24"/>
        </w:rPr>
        <w:t xml:space="preserve"> during the first week of September 2022</w:t>
      </w:r>
      <w:r w:rsidR="00095B95">
        <w:rPr>
          <w:rFonts w:asciiTheme="minorHAnsi" w:hAnsiTheme="minorHAnsi" w:cstheme="minorHAnsi"/>
          <w:bCs/>
          <w:sz w:val="24"/>
        </w:rPr>
        <w:t>; and</w:t>
      </w:r>
    </w:p>
    <w:p w14:paraId="43AB3035" w14:textId="01FA1A0D" w:rsidR="00695B0B" w:rsidRPr="00095B95" w:rsidRDefault="00695B0B" w:rsidP="00095B95">
      <w:pPr>
        <w:pStyle w:val="ListParagraph"/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napToGrid w:val="0"/>
        <w:spacing w:before="160" w:line="280" w:lineRule="exact"/>
        <w:jc w:val="both"/>
        <w:rPr>
          <w:rFonts w:asciiTheme="minorHAnsi" w:hAnsiTheme="minorHAnsi" w:cstheme="minorHAnsi"/>
          <w:bCs/>
        </w:rPr>
      </w:pPr>
      <w:r w:rsidRPr="00095B95">
        <w:rPr>
          <w:szCs w:val="24"/>
        </w:rPr>
        <w:t>a last meeting could be held virtually before the conference to advance some issues if necessary.</w:t>
      </w:r>
      <w:r w:rsidRPr="00095B95">
        <w:rPr>
          <w:rFonts w:asciiTheme="minorHAnsi" w:hAnsiTheme="minorHAnsi" w:cstheme="minorHAnsi"/>
          <w:bCs/>
        </w:rPr>
        <w:t xml:space="preserve"> </w:t>
      </w:r>
    </w:p>
    <w:p w14:paraId="6D5E3771" w14:textId="361C5CDF" w:rsidR="00C5608F" w:rsidRDefault="00625AA4" w:rsidP="001A77FC">
      <w:pPr>
        <w:pStyle w:val="BodyText3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 w:val="24"/>
        </w:rPr>
      </w:pPr>
      <w:r w:rsidRPr="00095B95">
        <w:rPr>
          <w:rFonts w:asciiTheme="minorHAnsi" w:hAnsiTheme="minorHAnsi" w:cstheme="minorHAnsi"/>
          <w:bCs/>
          <w:sz w:val="24"/>
        </w:rPr>
        <w:t>5.</w:t>
      </w:r>
      <w:r w:rsidR="00095B95">
        <w:rPr>
          <w:rFonts w:asciiTheme="minorHAnsi" w:hAnsiTheme="minorHAnsi" w:cstheme="minorHAnsi"/>
          <w:bCs/>
          <w:sz w:val="24"/>
        </w:rPr>
        <w:t>6</w:t>
      </w:r>
      <w:r w:rsidRPr="00095B95">
        <w:rPr>
          <w:rFonts w:asciiTheme="minorHAnsi" w:hAnsiTheme="minorHAnsi" w:cstheme="minorHAnsi"/>
          <w:bCs/>
          <w:sz w:val="24"/>
        </w:rPr>
        <w:tab/>
        <w:t>The meetings will be held informally</w:t>
      </w:r>
      <w:r>
        <w:rPr>
          <w:rFonts w:asciiTheme="minorHAnsi" w:hAnsiTheme="minorHAnsi" w:cstheme="minorHAnsi"/>
          <w:bCs/>
          <w:sz w:val="24"/>
        </w:rPr>
        <w:t xml:space="preserve"> following the principles </w:t>
      </w:r>
      <w:r w:rsidR="00F30555">
        <w:rPr>
          <w:rFonts w:asciiTheme="minorHAnsi" w:hAnsiTheme="minorHAnsi" w:cstheme="minorHAnsi"/>
          <w:bCs/>
          <w:sz w:val="24"/>
        </w:rPr>
        <w:t xml:space="preserve">laid out in document </w:t>
      </w:r>
      <w:hyperlink r:id="rId18" w:history="1">
        <w:r w:rsidR="00F30555" w:rsidRPr="00F30555">
          <w:rPr>
            <w:rStyle w:val="Hyperlink"/>
            <w:rFonts w:asciiTheme="minorHAnsi" w:hAnsiTheme="minorHAnsi" w:cstheme="minorHAnsi"/>
            <w:bCs/>
            <w:sz w:val="24"/>
          </w:rPr>
          <w:t>C21/13</w:t>
        </w:r>
      </w:hyperlink>
      <w:r w:rsidR="00F30555">
        <w:rPr>
          <w:rFonts w:asciiTheme="minorHAnsi" w:hAnsiTheme="minorHAnsi" w:cstheme="minorHAnsi"/>
          <w:bCs/>
          <w:sz w:val="24"/>
        </w:rPr>
        <w:t xml:space="preserve">. </w:t>
      </w:r>
    </w:p>
    <w:p w14:paraId="11AD894F" w14:textId="77777777" w:rsidR="001A77FC" w:rsidRPr="009C50A5" w:rsidRDefault="001A77FC" w:rsidP="001A77FC">
      <w:pPr>
        <w:tabs>
          <w:tab w:val="left" w:pos="851"/>
        </w:tabs>
        <w:spacing w:before="840"/>
        <w:jc w:val="center"/>
        <w:rPr>
          <w:rFonts w:asciiTheme="minorHAnsi" w:hAnsiTheme="minorHAnsi" w:cstheme="minorHAnsi"/>
          <w:bCs/>
          <w:lang w:val="en-US"/>
        </w:rPr>
      </w:pPr>
      <w:r w:rsidRPr="009C50A5">
        <w:rPr>
          <w:rFonts w:asciiTheme="minorHAnsi" w:eastAsia="SimSun" w:hAnsiTheme="minorHAnsi" w:cstheme="minorHAnsi"/>
          <w:bCs/>
          <w:lang w:val="en-US" w:eastAsia="zh-CN"/>
        </w:rPr>
        <w:t>__________________</w:t>
      </w:r>
    </w:p>
    <w:sectPr w:rsidR="001A77FC" w:rsidRPr="009C50A5" w:rsidSect="004D1851">
      <w:head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47DEC3C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E1F95">
      <w:rPr>
        <w:noProof/>
      </w:rPr>
      <w:t>2</w:t>
    </w:r>
    <w:r>
      <w:rPr>
        <w:noProof/>
      </w:rPr>
      <w:fldChar w:fldCharType="end"/>
    </w:r>
  </w:p>
  <w:p w14:paraId="34EC98F4" w14:textId="4BD35D57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737A8C">
      <w:rPr>
        <w:bCs/>
      </w:rPr>
      <w:t>7</w:t>
    </w:r>
    <w:r w:rsidR="00DB3F97">
      <w:rPr>
        <w:bCs/>
      </w:rPr>
      <w:t>3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5F8"/>
    <w:multiLevelType w:val="hybridMultilevel"/>
    <w:tmpl w:val="C428D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808E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D3B3B"/>
    <w:multiLevelType w:val="hybridMultilevel"/>
    <w:tmpl w:val="8A70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36BC2"/>
    <w:multiLevelType w:val="hybridMultilevel"/>
    <w:tmpl w:val="F62A537C"/>
    <w:lvl w:ilvl="0" w:tplc="35F8D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7C5D"/>
    <w:multiLevelType w:val="multilevel"/>
    <w:tmpl w:val="7B7CB0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95B95"/>
    <w:rsid w:val="000B1705"/>
    <w:rsid w:val="000B5E99"/>
    <w:rsid w:val="000C44CA"/>
    <w:rsid w:val="000D75B2"/>
    <w:rsid w:val="0010254B"/>
    <w:rsid w:val="001121F5"/>
    <w:rsid w:val="001400DC"/>
    <w:rsid w:val="00140CE1"/>
    <w:rsid w:val="0017539C"/>
    <w:rsid w:val="00175AC2"/>
    <w:rsid w:val="0017609F"/>
    <w:rsid w:val="001A77FC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752A"/>
    <w:rsid w:val="003007E6"/>
    <w:rsid w:val="0030160F"/>
    <w:rsid w:val="00322D0D"/>
    <w:rsid w:val="003942D4"/>
    <w:rsid w:val="003958A8"/>
    <w:rsid w:val="003C2533"/>
    <w:rsid w:val="0040435A"/>
    <w:rsid w:val="00416A24"/>
    <w:rsid w:val="0042030D"/>
    <w:rsid w:val="00431D9E"/>
    <w:rsid w:val="00433CE8"/>
    <w:rsid w:val="00434A5C"/>
    <w:rsid w:val="004544D9"/>
    <w:rsid w:val="004562F7"/>
    <w:rsid w:val="0047265E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111"/>
    <w:rsid w:val="00582442"/>
    <w:rsid w:val="005F3269"/>
    <w:rsid w:val="00623AE3"/>
    <w:rsid w:val="00625AA4"/>
    <w:rsid w:val="00645E41"/>
    <w:rsid w:val="0064737F"/>
    <w:rsid w:val="006535F1"/>
    <w:rsid w:val="0065557D"/>
    <w:rsid w:val="00662984"/>
    <w:rsid w:val="006716BB"/>
    <w:rsid w:val="006848DD"/>
    <w:rsid w:val="00695B0B"/>
    <w:rsid w:val="006B6680"/>
    <w:rsid w:val="006B6DCC"/>
    <w:rsid w:val="006D0AC1"/>
    <w:rsid w:val="00702DEF"/>
    <w:rsid w:val="00706861"/>
    <w:rsid w:val="00722181"/>
    <w:rsid w:val="00737A8C"/>
    <w:rsid w:val="00740FE3"/>
    <w:rsid w:val="0075051B"/>
    <w:rsid w:val="00793188"/>
    <w:rsid w:val="00794D34"/>
    <w:rsid w:val="007A519C"/>
    <w:rsid w:val="00813E5E"/>
    <w:rsid w:val="0083581B"/>
    <w:rsid w:val="00864A23"/>
    <w:rsid w:val="00864AFF"/>
    <w:rsid w:val="008B4A6A"/>
    <w:rsid w:val="008C7E27"/>
    <w:rsid w:val="009173EF"/>
    <w:rsid w:val="00932906"/>
    <w:rsid w:val="00961B0B"/>
    <w:rsid w:val="009628CC"/>
    <w:rsid w:val="009B38C3"/>
    <w:rsid w:val="009C4CC0"/>
    <w:rsid w:val="009E17BD"/>
    <w:rsid w:val="009E485A"/>
    <w:rsid w:val="009F66A3"/>
    <w:rsid w:val="00A007E8"/>
    <w:rsid w:val="00A02945"/>
    <w:rsid w:val="00A04CEC"/>
    <w:rsid w:val="00A24194"/>
    <w:rsid w:val="00A27F92"/>
    <w:rsid w:val="00A32257"/>
    <w:rsid w:val="00A36D20"/>
    <w:rsid w:val="00A510F3"/>
    <w:rsid w:val="00A55622"/>
    <w:rsid w:val="00A83502"/>
    <w:rsid w:val="00A8382F"/>
    <w:rsid w:val="00A93619"/>
    <w:rsid w:val="00AC24BA"/>
    <w:rsid w:val="00AC323C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0956"/>
    <w:rsid w:val="00C01189"/>
    <w:rsid w:val="00C15D8C"/>
    <w:rsid w:val="00C35B5D"/>
    <w:rsid w:val="00C374DE"/>
    <w:rsid w:val="00C47AD4"/>
    <w:rsid w:val="00C52D81"/>
    <w:rsid w:val="00C55198"/>
    <w:rsid w:val="00C5608F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30A5"/>
    <w:rsid w:val="00D22C42"/>
    <w:rsid w:val="00D338E0"/>
    <w:rsid w:val="00D45AD3"/>
    <w:rsid w:val="00D65041"/>
    <w:rsid w:val="00D8774A"/>
    <w:rsid w:val="00DB384B"/>
    <w:rsid w:val="00DB3F97"/>
    <w:rsid w:val="00DE4373"/>
    <w:rsid w:val="00DF72AC"/>
    <w:rsid w:val="00E10E80"/>
    <w:rsid w:val="00E124F0"/>
    <w:rsid w:val="00E60F04"/>
    <w:rsid w:val="00E854E4"/>
    <w:rsid w:val="00EA2120"/>
    <w:rsid w:val="00EB0D6F"/>
    <w:rsid w:val="00EB2232"/>
    <w:rsid w:val="00EB743B"/>
    <w:rsid w:val="00EC5337"/>
    <w:rsid w:val="00EE1F95"/>
    <w:rsid w:val="00EE5184"/>
    <w:rsid w:val="00F11480"/>
    <w:rsid w:val="00F2150A"/>
    <w:rsid w:val="00F231D8"/>
    <w:rsid w:val="00F30555"/>
    <w:rsid w:val="00F452A5"/>
    <w:rsid w:val="00F46C5F"/>
    <w:rsid w:val="00F56668"/>
    <w:rsid w:val="00F94A63"/>
    <w:rsid w:val="00FA1C28"/>
    <w:rsid w:val="00FB1279"/>
    <w:rsid w:val="00FB7596"/>
    <w:rsid w:val="00FE3BB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C4CC0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7FC"/>
    <w:pPr>
      <w:ind w:left="720"/>
      <w:contextualSpacing/>
    </w:pPr>
  </w:style>
  <w:style w:type="paragraph" w:styleId="BodyText3">
    <w:name w:val="Body Text 3"/>
    <w:basedOn w:val="Normal"/>
    <w:link w:val="BodyText3Char"/>
    <w:rsid w:val="001A7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77FC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25A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5A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AA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5AA4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9-SG-CIR-0045/en" TargetMode="External"/><Relationship Id="rId18" Type="http://schemas.openxmlformats.org/officeDocument/2006/relationships/hyperlink" Target="https://www.itu.int/md/S21-CL-C-0013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SG-CIR-0033/en" TargetMode="External"/><Relationship Id="rId17" Type="http://schemas.openxmlformats.org/officeDocument/2006/relationships/hyperlink" Target="http://www.itu.int/md/S19-SG-CIR-004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SG-CIR-003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2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7/en" TargetMode="External"/><Relationship Id="rId10" Type="http://schemas.openxmlformats.org/officeDocument/2006/relationships/hyperlink" Target="https://www.itu.int/md/S19-CL-C-0055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9" TargetMode="External"/><Relationship Id="rId14" Type="http://schemas.openxmlformats.org/officeDocument/2006/relationships/hyperlink" Target="https://www.itu.int/md/S19-CL-C-0055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7759-915F-4EC3-891F-BE524ED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5878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the 2022 Plenipotentiary Conference</vt:lpstr>
    </vt:vector>
  </TitlesOfParts>
  <Manager>General Secretariat - Pool</Manager>
  <Company>International Telecommunication Union (ITU)</Company>
  <LinksUpToDate>false</LinksUpToDate>
  <CharactersWithSpaces>6887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2022 Plenipotentiary Conference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2</cp:revision>
  <cp:lastPrinted>2000-07-18T13:30:00Z</cp:lastPrinted>
  <dcterms:created xsi:type="dcterms:W3CDTF">2021-04-21T16:45:00Z</dcterms:created>
  <dcterms:modified xsi:type="dcterms:W3CDTF">2021-04-21T16:45:00Z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