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E6489" w14:paraId="1520075D" w14:textId="77777777">
        <w:trPr>
          <w:cantSplit/>
        </w:trPr>
        <w:tc>
          <w:tcPr>
            <w:tcW w:w="6912" w:type="dxa"/>
          </w:tcPr>
          <w:p w14:paraId="794BAB5B" w14:textId="77777777" w:rsidR="00093EEB" w:rsidRPr="00BE6489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E6489">
              <w:rPr>
                <w:b/>
                <w:bCs/>
                <w:sz w:val="30"/>
                <w:szCs w:val="30"/>
              </w:rPr>
              <w:t>Consejo 20</w:t>
            </w:r>
            <w:r w:rsidR="007955DA" w:rsidRPr="00BE6489">
              <w:rPr>
                <w:b/>
                <w:bCs/>
                <w:sz w:val="30"/>
                <w:szCs w:val="30"/>
              </w:rPr>
              <w:t>2</w:t>
            </w:r>
            <w:r w:rsidR="000007D1" w:rsidRPr="00BE6489">
              <w:rPr>
                <w:b/>
                <w:bCs/>
                <w:sz w:val="30"/>
                <w:szCs w:val="30"/>
              </w:rPr>
              <w:t>1</w:t>
            </w:r>
            <w:r w:rsidRPr="00BE6489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BE6489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BE6489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BE6489">
              <w:rPr>
                <w:b/>
                <w:bCs/>
                <w:sz w:val="26"/>
                <w:szCs w:val="26"/>
              </w:rPr>
              <w:t>8</w:t>
            </w:r>
            <w:r w:rsidRPr="00BE6489">
              <w:rPr>
                <w:b/>
                <w:bCs/>
                <w:sz w:val="26"/>
                <w:szCs w:val="26"/>
              </w:rPr>
              <w:t>-</w:t>
            </w:r>
            <w:r w:rsidR="007955DA" w:rsidRPr="00BE6489">
              <w:rPr>
                <w:b/>
                <w:bCs/>
                <w:sz w:val="26"/>
                <w:szCs w:val="26"/>
              </w:rPr>
              <w:t>1</w:t>
            </w:r>
            <w:r w:rsidR="000007D1" w:rsidRPr="00BE6489">
              <w:rPr>
                <w:b/>
                <w:bCs/>
                <w:sz w:val="26"/>
                <w:szCs w:val="26"/>
              </w:rPr>
              <w:t>8</w:t>
            </w:r>
            <w:r w:rsidRPr="00BE6489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BE6489">
              <w:rPr>
                <w:b/>
                <w:bCs/>
                <w:sz w:val="26"/>
                <w:szCs w:val="26"/>
              </w:rPr>
              <w:t>junio</w:t>
            </w:r>
            <w:r w:rsidRPr="00BE6489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BE6489">
              <w:rPr>
                <w:b/>
                <w:bCs/>
                <w:sz w:val="26"/>
                <w:szCs w:val="26"/>
              </w:rPr>
              <w:t>2</w:t>
            </w:r>
            <w:r w:rsidR="000007D1" w:rsidRPr="00BE648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66F9B84B" w14:textId="77777777" w:rsidR="00093EEB" w:rsidRPr="00BE6489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 w:rsidRPr="00BE6489">
              <w:rPr>
                <w:noProof/>
              </w:rPr>
              <w:drawing>
                <wp:inline distT="0" distB="0" distL="0" distR="0" wp14:anchorId="0B7DCE58" wp14:editId="7461B70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E6489" w14:paraId="5FF287B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08C746C4" w14:textId="77777777" w:rsidR="00093EEB" w:rsidRPr="00BE648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E6489" w14:paraId="17E1222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64D98B9" w14:textId="77777777" w:rsidR="00093EEB" w:rsidRPr="00BE648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9E8ED37" w14:textId="77777777" w:rsidR="00093EEB" w:rsidRPr="00BE648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E6489" w14:paraId="4A5FD7F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2E7534F" w14:textId="2762CF69" w:rsidR="00093EEB" w:rsidRPr="00BE6489" w:rsidRDefault="002562C8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BE6489">
              <w:rPr>
                <w:rFonts w:cs="Times"/>
                <w:b/>
                <w:szCs w:val="24"/>
              </w:rPr>
              <w:t>Punto del orden del día: PL 1.11</w:t>
            </w:r>
          </w:p>
        </w:tc>
        <w:tc>
          <w:tcPr>
            <w:tcW w:w="3261" w:type="dxa"/>
          </w:tcPr>
          <w:p w14:paraId="6F73D92F" w14:textId="78A8EC43" w:rsidR="00093EEB" w:rsidRPr="00BE6489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BE6489">
              <w:rPr>
                <w:b/>
                <w:bCs/>
                <w:szCs w:val="24"/>
              </w:rPr>
              <w:t>Documento C</w:t>
            </w:r>
            <w:r w:rsidR="007955DA" w:rsidRPr="00BE6489">
              <w:rPr>
                <w:b/>
                <w:bCs/>
                <w:szCs w:val="24"/>
              </w:rPr>
              <w:t>2</w:t>
            </w:r>
            <w:r w:rsidR="000007D1" w:rsidRPr="00BE6489">
              <w:rPr>
                <w:b/>
                <w:bCs/>
                <w:szCs w:val="24"/>
              </w:rPr>
              <w:t>1</w:t>
            </w:r>
            <w:r w:rsidRPr="00BE6489">
              <w:rPr>
                <w:b/>
                <w:bCs/>
                <w:szCs w:val="24"/>
              </w:rPr>
              <w:t>/</w:t>
            </w:r>
            <w:r w:rsidR="002562C8" w:rsidRPr="00BE6489">
              <w:rPr>
                <w:b/>
                <w:bCs/>
                <w:szCs w:val="24"/>
              </w:rPr>
              <w:t>72</w:t>
            </w:r>
            <w:r w:rsidRPr="00BE6489">
              <w:rPr>
                <w:b/>
                <w:bCs/>
                <w:szCs w:val="24"/>
              </w:rPr>
              <w:t>-S</w:t>
            </w:r>
          </w:p>
        </w:tc>
      </w:tr>
      <w:tr w:rsidR="00093EEB" w:rsidRPr="00BE6489" w14:paraId="71B24E7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9ECC3D2" w14:textId="77777777" w:rsidR="00093EEB" w:rsidRPr="00BE648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6B2125C1" w14:textId="0DE0044F" w:rsidR="00093EEB" w:rsidRPr="00BE6489" w:rsidRDefault="002562C8" w:rsidP="00C2727F">
            <w:pPr>
              <w:spacing w:before="0"/>
              <w:rPr>
                <w:b/>
                <w:bCs/>
                <w:szCs w:val="24"/>
              </w:rPr>
            </w:pPr>
            <w:r w:rsidRPr="00BE6489">
              <w:rPr>
                <w:b/>
                <w:bCs/>
                <w:szCs w:val="24"/>
              </w:rPr>
              <w:t>22 de abril</w:t>
            </w:r>
            <w:r w:rsidR="00093EEB" w:rsidRPr="00BE6489">
              <w:rPr>
                <w:b/>
                <w:bCs/>
                <w:szCs w:val="24"/>
              </w:rPr>
              <w:t xml:space="preserve"> de 20</w:t>
            </w:r>
            <w:r w:rsidR="007955DA" w:rsidRPr="00BE6489">
              <w:rPr>
                <w:b/>
                <w:bCs/>
                <w:szCs w:val="24"/>
              </w:rPr>
              <w:t>2</w:t>
            </w:r>
            <w:r w:rsidR="000007D1" w:rsidRPr="00BE6489">
              <w:rPr>
                <w:b/>
                <w:bCs/>
                <w:szCs w:val="24"/>
              </w:rPr>
              <w:t>1</w:t>
            </w:r>
          </w:p>
        </w:tc>
      </w:tr>
      <w:tr w:rsidR="00093EEB" w:rsidRPr="00BE6489" w14:paraId="7E9697C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07997C7" w14:textId="77777777" w:rsidR="00093EEB" w:rsidRPr="00BE648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33C09811" w14:textId="77777777" w:rsidR="00093EEB" w:rsidRPr="00BE6489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BE6489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E6489" w14:paraId="24E73D2B" w14:textId="77777777">
        <w:trPr>
          <w:cantSplit/>
        </w:trPr>
        <w:tc>
          <w:tcPr>
            <w:tcW w:w="10173" w:type="dxa"/>
            <w:gridSpan w:val="2"/>
          </w:tcPr>
          <w:p w14:paraId="724A3BDB" w14:textId="1FEA1BA6" w:rsidR="00093EEB" w:rsidRPr="00BE6489" w:rsidRDefault="002562C8">
            <w:pPr>
              <w:pStyle w:val="Source"/>
            </w:pPr>
            <w:bookmarkStart w:id="8" w:name="dsource" w:colFirst="0" w:colLast="0"/>
            <w:bookmarkEnd w:id="1"/>
            <w:bookmarkEnd w:id="7"/>
            <w:r w:rsidRPr="00BE6489">
              <w:t>Informe del Secretario General</w:t>
            </w:r>
          </w:p>
        </w:tc>
      </w:tr>
      <w:tr w:rsidR="00093EEB" w:rsidRPr="00BE6489" w14:paraId="7D826218" w14:textId="77777777">
        <w:trPr>
          <w:cantSplit/>
        </w:trPr>
        <w:tc>
          <w:tcPr>
            <w:tcW w:w="10173" w:type="dxa"/>
            <w:gridSpan w:val="2"/>
          </w:tcPr>
          <w:p w14:paraId="562250CB" w14:textId="796D38A6" w:rsidR="00093EEB" w:rsidRPr="00BE6489" w:rsidRDefault="002562C8">
            <w:pPr>
              <w:pStyle w:val="Title1"/>
            </w:pPr>
            <w:bookmarkStart w:id="9" w:name="dtitle1" w:colFirst="0" w:colLast="0"/>
            <w:bookmarkStart w:id="10" w:name="_Hlk73003231"/>
            <w:bookmarkEnd w:id="8"/>
            <w:r w:rsidRPr="00BE6489">
              <w:t>PROYECTO DE POLÍTICA DE ACCESIBILIDAD PARA LAS PERSONAS</w:t>
            </w:r>
            <w:r w:rsidRPr="00BE6489">
              <w:br/>
              <w:t>CON DISCAPACIDAD DE LA UIT</w:t>
            </w:r>
            <w:bookmarkEnd w:id="10"/>
          </w:p>
        </w:tc>
      </w:tr>
      <w:bookmarkEnd w:id="9"/>
    </w:tbl>
    <w:p w14:paraId="0DFA3792" w14:textId="77777777" w:rsidR="00093EEB" w:rsidRPr="00BE6489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BE6489" w14:paraId="44449D0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29176" w14:textId="77777777" w:rsidR="00093EEB" w:rsidRPr="00BE6489" w:rsidRDefault="00093EEB">
            <w:pPr>
              <w:pStyle w:val="Headingb"/>
            </w:pPr>
            <w:r w:rsidRPr="00BE6489">
              <w:t>Resumen</w:t>
            </w:r>
          </w:p>
          <w:p w14:paraId="56034943" w14:textId="586FA89B" w:rsidR="00093EEB" w:rsidRPr="00BE6489" w:rsidRDefault="002562C8" w:rsidP="002562C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40" w:after="40"/>
              <w:rPr>
                <w:bCs/>
                <w:szCs w:val="24"/>
              </w:rPr>
            </w:pPr>
            <w:r w:rsidRPr="00BE6489">
              <w:rPr>
                <w:bCs/>
                <w:szCs w:val="24"/>
              </w:rPr>
              <w:t xml:space="preserve">En este documento se actualiza la política de accesibilidad de la UIT refrendada por el Consejo 2013 en el Anexo al Documento </w:t>
            </w:r>
            <w:hyperlink r:id="rId9">
              <w:r w:rsidRPr="00BE6489">
                <w:rPr>
                  <w:rStyle w:val="Hyperlink"/>
                  <w:szCs w:val="24"/>
                </w:rPr>
                <w:t>C13/42</w:t>
              </w:r>
            </w:hyperlink>
            <w:r w:rsidRPr="00BE6489">
              <w:rPr>
                <w:bCs/>
                <w:szCs w:val="24"/>
              </w:rPr>
              <w:t>.</w:t>
            </w:r>
          </w:p>
          <w:p w14:paraId="571E70AC" w14:textId="77777777" w:rsidR="00093EEB" w:rsidRPr="00BE6489" w:rsidRDefault="00093EEB">
            <w:pPr>
              <w:pStyle w:val="Headingb"/>
            </w:pPr>
            <w:r w:rsidRPr="00BE6489">
              <w:t>Acción solicitada</w:t>
            </w:r>
          </w:p>
          <w:p w14:paraId="45D54E73" w14:textId="4BF0D410" w:rsidR="00093EEB" w:rsidRPr="00BE6489" w:rsidRDefault="002562C8">
            <w:r w:rsidRPr="00BE6489">
              <w:t xml:space="preserve">Se invita al Consejo a </w:t>
            </w:r>
            <w:r w:rsidRPr="00BE6489">
              <w:rPr>
                <w:b/>
                <w:bCs/>
              </w:rPr>
              <w:t>refrendar</w:t>
            </w:r>
            <w:r w:rsidRPr="00BE6489">
              <w:t xml:space="preserve"> el proyecto de política de accesibilidad para personas con discapacidad de la UIT.</w:t>
            </w:r>
          </w:p>
          <w:p w14:paraId="232F750F" w14:textId="77777777" w:rsidR="00093EEB" w:rsidRPr="00BE6489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BE6489">
              <w:rPr>
                <w:caps w:val="0"/>
                <w:sz w:val="22"/>
                <w:lang w:val="es-ES_tradnl"/>
              </w:rPr>
              <w:t>____________</w:t>
            </w:r>
          </w:p>
          <w:p w14:paraId="6EAA8DC6" w14:textId="77777777" w:rsidR="00093EEB" w:rsidRPr="00BE6489" w:rsidRDefault="00093EEB">
            <w:pPr>
              <w:pStyle w:val="Headingb"/>
            </w:pPr>
            <w:r w:rsidRPr="00BE6489">
              <w:t>Referencia</w:t>
            </w:r>
          </w:p>
          <w:p w14:paraId="4CF73F4F" w14:textId="12ADCECA" w:rsidR="00093EEB" w:rsidRPr="00BE6489" w:rsidRDefault="007B7DA5">
            <w:pPr>
              <w:spacing w:after="120"/>
              <w:rPr>
                <w:i/>
                <w:iCs/>
              </w:rPr>
            </w:pPr>
            <w:hyperlink r:id="rId10" w:history="1">
              <w:r w:rsidR="002562C8" w:rsidRPr="00BE6489">
                <w:rPr>
                  <w:rStyle w:val="Hyperlink"/>
                  <w:bCs/>
                  <w:i/>
                  <w:iCs/>
                </w:rPr>
                <w:t>Resolución 175</w:t>
              </w:r>
            </w:hyperlink>
            <w:r w:rsidR="002562C8" w:rsidRPr="00BE6489">
              <w:rPr>
                <w:bCs/>
                <w:i/>
                <w:iCs/>
              </w:rPr>
              <w:t xml:space="preserve"> (Rev</w:t>
            </w:r>
            <w:r w:rsidR="004347B3" w:rsidRPr="00BE6489">
              <w:rPr>
                <w:bCs/>
                <w:i/>
                <w:iCs/>
              </w:rPr>
              <w:t>.</w:t>
            </w:r>
            <w:r w:rsidR="002562C8" w:rsidRPr="00BE6489">
              <w:rPr>
                <w:bCs/>
                <w:i/>
                <w:iCs/>
              </w:rPr>
              <w:t xml:space="preserve"> Dubái, 2018) de la PP, </w:t>
            </w:r>
            <w:hyperlink r:id="rId11" w:history="1">
              <w:r w:rsidR="002562C8" w:rsidRPr="00BE6489">
                <w:rPr>
                  <w:rStyle w:val="Hyperlink"/>
                  <w:bCs/>
                  <w:i/>
                  <w:iCs/>
                </w:rPr>
                <w:t>Resolución</w:t>
              </w:r>
              <w:r w:rsidR="002562C8" w:rsidRPr="00BE6489">
                <w:rPr>
                  <w:rStyle w:val="Hyperlink"/>
                  <w:i/>
                  <w:iCs/>
                </w:rPr>
                <w:t xml:space="preserve"> 58</w:t>
              </w:r>
            </w:hyperlink>
            <w:r w:rsidR="002562C8" w:rsidRPr="00BE6489">
              <w:rPr>
                <w:i/>
                <w:iCs/>
              </w:rPr>
              <w:t xml:space="preserve"> (Rev. Buenos Aires, 2017) de la CMDT, </w:t>
            </w:r>
            <w:hyperlink r:id="rId12" w:history="1">
              <w:r w:rsidR="002562C8" w:rsidRPr="00BE6489">
                <w:rPr>
                  <w:rStyle w:val="Hyperlink"/>
                  <w:i/>
                  <w:iCs/>
                </w:rPr>
                <w:t>Resolución</w:t>
              </w:r>
              <w:r w:rsidR="002562C8" w:rsidRPr="00BE6489">
                <w:rPr>
                  <w:rStyle w:val="Hyperlink"/>
                  <w:i/>
                  <w:iCs/>
                  <w:bdr w:val="none" w:sz="0" w:space="0" w:color="auto" w:frame="1"/>
                </w:rPr>
                <w:t xml:space="preserve"> 70 </w:t>
              </w:r>
            </w:hyperlink>
            <w:r w:rsidR="002562C8" w:rsidRPr="00BE6489">
              <w:rPr>
                <w:i/>
                <w:iCs/>
                <w:bdr w:val="none" w:sz="0" w:space="0" w:color="auto" w:frame="1"/>
              </w:rPr>
              <w:t xml:space="preserve">(Rev. Hammamet, 2016) de la AMNT y </w:t>
            </w:r>
            <w:hyperlink r:id="rId13" w:history="1">
              <w:r w:rsidR="002562C8" w:rsidRPr="00BE6489">
                <w:rPr>
                  <w:rStyle w:val="Hyperlink"/>
                  <w:i/>
                  <w:iCs/>
                  <w:bdr w:val="none" w:sz="0" w:space="0" w:color="auto" w:frame="1"/>
                </w:rPr>
                <w:t>Resolución 67</w:t>
              </w:r>
            </w:hyperlink>
            <w:r w:rsidR="002562C8" w:rsidRPr="00BE6489">
              <w:rPr>
                <w:i/>
                <w:iCs/>
                <w:color w:val="444444"/>
                <w:bdr w:val="none" w:sz="0" w:space="0" w:color="auto" w:frame="1"/>
              </w:rPr>
              <w:t xml:space="preserve"> </w:t>
            </w:r>
            <w:r w:rsidR="002562C8" w:rsidRPr="00BE6489">
              <w:rPr>
                <w:i/>
                <w:iCs/>
                <w:bdr w:val="none" w:sz="0" w:space="0" w:color="auto" w:frame="1"/>
              </w:rPr>
              <w:t xml:space="preserve">(2017) de la AR; Documento </w:t>
            </w:r>
            <w:hyperlink r:id="rId14" w:history="1">
              <w:r w:rsidR="002562C8" w:rsidRPr="00BE6489">
                <w:rPr>
                  <w:rStyle w:val="Hyperlink"/>
                  <w:bCs/>
                  <w:i/>
                  <w:iCs/>
                </w:rPr>
                <w:t>C13/42</w:t>
              </w:r>
            </w:hyperlink>
            <w:r w:rsidR="002562C8" w:rsidRPr="00BE6489">
              <w:rPr>
                <w:rStyle w:val="Hyperlink"/>
                <w:bCs/>
                <w:i/>
                <w:iCs/>
                <w:color w:val="auto"/>
                <w:u w:val="none"/>
              </w:rPr>
              <w:t xml:space="preserve"> del Consejo</w:t>
            </w:r>
          </w:p>
        </w:tc>
      </w:tr>
    </w:tbl>
    <w:p w14:paraId="3D96ADE4" w14:textId="77777777" w:rsidR="002562C8" w:rsidRPr="00BE6489" w:rsidRDefault="002562C8" w:rsidP="00053609">
      <w:pPr>
        <w:pStyle w:val="Headingb"/>
        <w:spacing w:before="240"/>
      </w:pPr>
      <w:r w:rsidRPr="00BE6489">
        <w:t>Introducción</w:t>
      </w:r>
    </w:p>
    <w:p w14:paraId="5899D307" w14:textId="751D6424" w:rsidR="002562C8" w:rsidRPr="00BE6489" w:rsidRDefault="002562C8" w:rsidP="00053609">
      <w:pPr>
        <w:rPr>
          <w:b/>
        </w:rPr>
      </w:pPr>
      <w:r w:rsidRPr="00BE6489">
        <w:t>El primer mandato para mejorar la accesibilidad en el sistema de las Naciones Unidas se encarnó en la adopción de la Convención sobre los Derechos de las Personas con Discapacidad (</w:t>
      </w:r>
      <w:hyperlink r:id="rId15" w:history="1">
        <w:r w:rsidRPr="00BE6489">
          <w:rPr>
            <w:rStyle w:val="Hyperlink"/>
            <w:rFonts w:asciiTheme="minorHAnsi" w:hAnsiTheme="minorHAnsi" w:cstheme="minorHAnsi"/>
            <w:szCs w:val="24"/>
          </w:rPr>
          <w:t>CDPD</w:t>
        </w:r>
      </w:hyperlink>
      <w:r w:rsidRPr="00BE6489">
        <w:t>) en</w:t>
      </w:r>
      <w:r w:rsidR="004347B3" w:rsidRPr="00BE6489">
        <w:t> </w:t>
      </w:r>
      <w:r w:rsidRPr="00BE6489">
        <w:t>2006, que contiene un artículo dedicado a la accesibilidad (Artículo</w:t>
      </w:r>
      <w:r w:rsidRPr="00BE6489">
        <w:rPr>
          <w:spacing w:val="-2"/>
        </w:rPr>
        <w:t xml:space="preserve"> 9). Así, la Conferencia de Plenipotenciarios de 2010 (PP-10) adoptó la </w:t>
      </w:r>
      <w:hyperlink r:id="rId16" w:history="1">
        <w:r w:rsidRPr="00BE6489">
          <w:rPr>
            <w:rStyle w:val="Hyperlink"/>
            <w:rFonts w:asciiTheme="minorHAnsi" w:hAnsiTheme="minorHAnsi" w:cstheme="minorHAnsi"/>
            <w:spacing w:val="-2"/>
            <w:szCs w:val="24"/>
          </w:rPr>
          <w:t>Resolución 175</w:t>
        </w:r>
      </w:hyperlink>
      <w:r w:rsidRPr="00BE6489">
        <w:rPr>
          <w:spacing w:val="-2"/>
        </w:rPr>
        <w:t xml:space="preserve"> (Rev. Dubái, 2018) (</w:t>
      </w:r>
      <w:r w:rsidR="004347B3" w:rsidRPr="00BE6489">
        <w:rPr>
          <w:spacing w:val="-2"/>
        </w:rPr>
        <w:t>"</w:t>
      </w:r>
      <w:r w:rsidRPr="00BE6489">
        <w:rPr>
          <w:spacing w:val="-2"/>
        </w:rPr>
        <w:t>Accesibilidad de las telecomunicaciones/tecnologías de la información y la comunicación para las personas con discapacidad y personas con necesidades especiales</w:t>
      </w:r>
      <w:r w:rsidR="004347B3" w:rsidRPr="00BE6489">
        <w:t>"</w:t>
      </w:r>
      <w:r w:rsidRPr="00BE6489">
        <w:t xml:space="preserve">). En el Informe de la DCI </w:t>
      </w:r>
      <w:hyperlink r:id="rId17" w:history="1">
        <w:r w:rsidRPr="00BE6489">
          <w:rPr>
            <w:rStyle w:val="Hyperlink"/>
            <w:rFonts w:asciiTheme="minorHAnsi" w:hAnsiTheme="minorHAnsi" w:cstheme="minorHAnsi"/>
            <w:szCs w:val="24"/>
          </w:rPr>
          <w:t>2018/6</w:t>
        </w:r>
      </w:hyperlink>
      <w:r w:rsidRPr="00BE6489">
        <w:t xml:space="preserve"> </w:t>
      </w:r>
      <w:r w:rsidR="004347B3" w:rsidRPr="00BE6489">
        <w:t>"</w:t>
      </w:r>
      <w:r w:rsidRPr="00BE6489">
        <w:t>Mejorar la accesibilidad de las conferencias y reuniones del sistema de las Naciones Unidas para las personas con discapacidad</w:t>
      </w:r>
      <w:r w:rsidR="004347B3" w:rsidRPr="00BE6489">
        <w:t>"</w:t>
      </w:r>
      <w:r w:rsidRPr="00BE6489">
        <w:t xml:space="preserve"> se señala que, de todos los organismos especializados de las Naciones Unidas, sólo la UIT ha recibido un mandato específico sobre accesibilidad de su órgano legislativo.</w:t>
      </w:r>
    </w:p>
    <w:p w14:paraId="20418D29" w14:textId="12911DD1" w:rsidR="002562C8" w:rsidRPr="00BE6489" w:rsidRDefault="002562C8" w:rsidP="00053609">
      <w:pPr>
        <w:rPr>
          <w:b/>
          <w:bCs/>
        </w:rPr>
      </w:pPr>
      <w:r w:rsidRPr="00BE6489">
        <w:t xml:space="preserve">Además de la ya mencionada </w:t>
      </w:r>
      <w:hyperlink r:id="rId18" w:history="1">
        <w:r w:rsidRPr="00BE6489">
          <w:rPr>
            <w:rStyle w:val="Hyperlink"/>
            <w:rFonts w:asciiTheme="minorHAnsi" w:hAnsiTheme="minorHAnsi" w:cstheme="minorHAnsi"/>
            <w:spacing w:val="-2"/>
            <w:szCs w:val="24"/>
          </w:rPr>
          <w:t>Resolución 175</w:t>
        </w:r>
      </w:hyperlink>
      <w:r w:rsidRPr="00BE6489">
        <w:rPr>
          <w:spacing w:val="-2"/>
        </w:rPr>
        <w:t xml:space="preserve"> (Rev. Dubái, 2018), en otras Resoluciones de las Conferencias/Asambleas Mundiales de los sectores, como la</w:t>
      </w:r>
      <w:r w:rsidRPr="00BE6489">
        <w:t xml:space="preserve"> </w:t>
      </w:r>
      <w:hyperlink r:id="rId19" w:history="1">
        <w:r w:rsidRPr="00BE6489">
          <w:rPr>
            <w:rStyle w:val="Hyperlink"/>
            <w:rFonts w:asciiTheme="minorHAnsi" w:hAnsiTheme="minorHAnsi" w:cstheme="minorHAnsi"/>
            <w:szCs w:val="24"/>
          </w:rPr>
          <w:t>Resolución 58</w:t>
        </w:r>
      </w:hyperlink>
      <w:r w:rsidRPr="00BE6489">
        <w:t xml:space="preserve"> (Rev. Buenos Aires, 2017) de la CMDT, la </w:t>
      </w:r>
      <w:hyperlink r:id="rId20" w:history="1">
        <w:r w:rsidRPr="00BE6489">
          <w:rPr>
            <w:rStyle w:val="Hyperlink"/>
            <w:rFonts w:asciiTheme="minorHAnsi" w:hAnsiTheme="minorHAnsi" w:cstheme="minorHAnsi"/>
            <w:szCs w:val="24"/>
          </w:rPr>
          <w:t>Resolución 70</w:t>
        </w:r>
      </w:hyperlink>
      <w:r w:rsidRPr="00BE6489">
        <w:t xml:space="preserve"> (Rev. Hammamet, 2016) de la AMNT y la </w:t>
      </w:r>
      <w:hyperlink r:id="rId21" w:history="1">
        <w:r w:rsidRPr="00BE6489">
          <w:rPr>
            <w:rStyle w:val="Hyperlink"/>
            <w:rFonts w:asciiTheme="minorHAnsi" w:hAnsiTheme="minorHAnsi" w:cstheme="minorHAnsi"/>
            <w:szCs w:val="24"/>
          </w:rPr>
          <w:t>Resolución 67</w:t>
        </w:r>
      </w:hyperlink>
      <w:r w:rsidRPr="00BE6489">
        <w:t xml:space="preserve"> (2019) de la AR, se da a la UIT un mandato claro a este respecto. Por otra parte, en el </w:t>
      </w:r>
      <w:hyperlink r:id="rId22" w:history="1">
        <w:r w:rsidRPr="00BE6489">
          <w:rPr>
            <w:rStyle w:val="Hyperlink"/>
            <w:rFonts w:asciiTheme="minorHAnsi" w:hAnsiTheme="minorHAnsi" w:cstheme="minorHAnsi"/>
            <w:szCs w:val="24"/>
          </w:rPr>
          <w:t>Plan Estratégico de la UIT para 2020-2023</w:t>
        </w:r>
      </w:hyperlink>
      <w:r w:rsidRPr="00BE6489">
        <w:t xml:space="preserve">, adoptado por los Estados Miembros en la PP-18 con el título </w:t>
      </w:r>
      <w:hyperlink r:id="rId23" w:history="1">
        <w:r w:rsidRPr="00BE6489">
          <w:rPr>
            <w:rStyle w:val="Hyperlink"/>
            <w:rFonts w:asciiTheme="minorHAnsi" w:hAnsiTheme="minorHAnsi" w:cstheme="minorHAnsi"/>
            <w:szCs w:val="24"/>
          </w:rPr>
          <w:t xml:space="preserve">Agenda </w:t>
        </w:r>
        <w:r w:rsidRPr="00BE6489">
          <w:rPr>
            <w:rStyle w:val="Hyperlink"/>
            <w:rFonts w:asciiTheme="minorHAnsi" w:hAnsiTheme="minorHAnsi" w:cstheme="minorHAnsi"/>
            <w:szCs w:val="24"/>
          </w:rPr>
          <w:lastRenderedPageBreak/>
          <w:t>Conectar 2030</w:t>
        </w:r>
      </w:hyperlink>
      <w:r w:rsidRPr="00BE6489">
        <w:t>, se contempla la accesibilidad en el marco de su Meta estratégica 2 (Integración: Reducir la brecha digital y proporcionar acceso a la banda ancha para todos</w:t>
      </w:r>
      <w:r w:rsidRPr="00BE6489">
        <w:rPr>
          <w:spacing w:val="-4"/>
        </w:rPr>
        <w:t>) y su correspondiente Finalidad estratégica 2.9</w:t>
      </w:r>
      <w:r w:rsidRPr="00BE6489">
        <w:t xml:space="preserve"> (</w:t>
      </w:r>
      <w:r w:rsidR="007E2BB8" w:rsidRPr="00BE6489">
        <w:t>"</w:t>
      </w:r>
      <w:r w:rsidRPr="00BE6489">
        <w:t>Que, en 2023, todos los países hayan creado entornos propicios que permitan a las personas con discapacidad acceder a las telecomunicaciones/TIC</w:t>
      </w:r>
      <w:r w:rsidR="007E2BB8" w:rsidRPr="00BE6489">
        <w:t>"</w:t>
      </w:r>
      <w:r w:rsidRPr="00BE6489">
        <w:t>).</w:t>
      </w:r>
    </w:p>
    <w:p w14:paraId="0DD11AAA" w14:textId="5E785CD6" w:rsidR="002562C8" w:rsidRPr="00BE6489" w:rsidRDefault="002562C8" w:rsidP="00053609">
      <w:r w:rsidRPr="00BE6489">
        <w:t>La UIT debe ajustarse a la Estrategia de las Naciones Unidas para la inclusión de la discapacidad (</w:t>
      </w:r>
      <w:hyperlink r:id="rId24" w:history="1">
        <w:r w:rsidRPr="00BE6489">
          <w:rPr>
            <w:rStyle w:val="Hyperlink"/>
            <w:rFonts w:asciiTheme="minorHAnsi" w:hAnsiTheme="minorHAnsi" w:cstheme="minorHAnsi"/>
            <w:szCs w:val="24"/>
          </w:rPr>
          <w:t>UNDIS</w:t>
        </w:r>
      </w:hyperlink>
      <w:r w:rsidRPr="00BE6489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)</w:t>
      </w:r>
      <w:r w:rsidRPr="00BE6489">
        <w:t xml:space="preserve"> y se ha comprometido a armonizar sus actividades para garantizar la plena integración de todos. De acuerdo con la UNDIS, la UIT también tiene previsto avanzar en las siguientes esferas: 1) enfoque doble: la discapacidad y la accesibilidad son temas transversales y necesitan una programación específica; 2) Interseccionalidad: factores como el género, la edad y la situación geográfica dan cuenta de la experiencia del usuario e influyen en las personas con discapacidad y su experiencia vital, y 3) para garantizar un enfoque coherente, la coordinación es un factor esencial para el progreso basado en el trabajo de todos y para lograr la inclusión.</w:t>
      </w:r>
    </w:p>
    <w:p w14:paraId="29F8AB26" w14:textId="3B88F451" w:rsidR="002562C8" w:rsidRPr="00BE6489" w:rsidRDefault="002562C8" w:rsidP="00053609">
      <w:r w:rsidRPr="00BE6489">
        <w:t>El Grupo de Coordinación Intersectorial (</w:t>
      </w:r>
      <w:hyperlink r:id="rId25" w:history="1">
        <w:r w:rsidRPr="00BE6489">
          <w:rPr>
            <w:rStyle w:val="Hyperlink"/>
          </w:rPr>
          <w:t>GCIS</w:t>
        </w:r>
      </w:hyperlink>
      <w:r w:rsidRPr="00BE6489">
        <w:t xml:space="preserve">) de los Miembros sobre temas de interés común, compuesto por representantes de los Grupos Asesores de los tres Sectores, acordó en su </w:t>
      </w:r>
      <w:hyperlink r:id="rId26">
        <w:r w:rsidRPr="00BE6489">
          <w:rPr>
            <w:rStyle w:val="Hyperlink"/>
            <w:rFonts w:asciiTheme="minorHAnsi" w:hAnsiTheme="minorHAnsi" w:cstheme="minorHAnsi"/>
            <w:szCs w:val="24"/>
          </w:rPr>
          <w:t>reunión de marzo de 2021</w:t>
        </w:r>
      </w:hyperlink>
      <w:r w:rsidRPr="00BE6489">
        <w:t xml:space="preserve"> que la accesibilidad debe ser uno de los temas considerados por el GCIS y solicitó al Grupo Especial de Coordinación Intersectorial (GE-CIS) de la Secretaría que presente un Informe al respecto en la próxima reunión</w:t>
      </w:r>
      <w:r w:rsidRPr="00BE6489">
        <w:rPr>
          <w:spacing w:val="-2"/>
        </w:rPr>
        <w:t>.</w:t>
      </w:r>
    </w:p>
    <w:p w14:paraId="43CA9DE8" w14:textId="6615371D" w:rsidR="002562C8" w:rsidRPr="00BE6489" w:rsidRDefault="002562C8" w:rsidP="00053609">
      <w:r w:rsidRPr="00BE6489">
        <w:t>Durante más de diez años la UIT ha realizado una labor importante para adaptar de forma razonable sus servicios (que incluyen, entre otros, instalaciones, eventos, documentos e instrumentos de comunicación institucionales) a las personas con discapacidad. Sobre la base de las lecciones extraídas de la experiencia y a fin de definir claramente las soluciones y procedimientos, el GE-CIS ha actualizado la política de accesibilidad que se presenta en anexo al presente documento en sustitución de la política refrendada por el Consejo en su reunión de</w:t>
      </w:r>
      <w:r w:rsidR="00053609" w:rsidRPr="00BE6489">
        <w:t> </w:t>
      </w:r>
      <w:r w:rsidRPr="00BE6489">
        <w:t>2013.</w:t>
      </w:r>
    </w:p>
    <w:p w14:paraId="4F18A399" w14:textId="70C5239C" w:rsidR="002562C8" w:rsidRPr="00BE6489" w:rsidRDefault="002562C8" w:rsidP="00053609">
      <w:pPr>
        <w:rPr>
          <w:b/>
        </w:rPr>
      </w:pPr>
      <w:bookmarkStart w:id="11" w:name="_Hlk68111920"/>
      <w:r w:rsidRPr="00BE6489">
        <w:t xml:space="preserve">Esta política actualizada tiene en cuenta los mandatos recibidos con posterioridad (por ejemplo, los </w:t>
      </w:r>
      <w:r w:rsidRPr="00BE6489">
        <w:rPr>
          <w:i/>
          <w:iCs/>
        </w:rPr>
        <w:t>resuelve</w:t>
      </w:r>
      <w:r w:rsidRPr="00BE6489">
        <w:t xml:space="preserve"> y </w:t>
      </w:r>
      <w:r w:rsidRPr="00BE6489">
        <w:rPr>
          <w:i/>
          <w:iCs/>
        </w:rPr>
        <w:t>encarga</w:t>
      </w:r>
      <w:r w:rsidRPr="00BE6489">
        <w:t xml:space="preserve"> de la Resolución 175 (Rev</w:t>
      </w:r>
      <w:r w:rsidR="00387D56" w:rsidRPr="00BE6489">
        <w:t>.</w:t>
      </w:r>
      <w:r w:rsidRPr="00BE6489">
        <w:t xml:space="preserve"> Dubái, 2018) y los resultados de la UNDIS) y supera el componente interno para abarcar las numerosas e importantes actividades que realiza la UIT para que las TIC sean más accesibles y fomentar el empoderamiento de las personas con discapacidad gracias a la utilización de las TIC en todo el mundo.</w:t>
      </w:r>
      <w:bookmarkEnd w:id="11"/>
    </w:p>
    <w:p w14:paraId="7F490802" w14:textId="77777777" w:rsidR="002562C8" w:rsidRPr="00BE6489" w:rsidRDefault="002562C8" w:rsidP="002562C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Cs/>
          <w:szCs w:val="24"/>
        </w:rPr>
      </w:pPr>
      <w:r w:rsidRPr="00BE6489">
        <w:rPr>
          <w:rFonts w:asciiTheme="minorHAnsi" w:hAnsiTheme="minorHAnsi" w:cstheme="minorHAnsi"/>
          <w:bCs/>
          <w:szCs w:val="24"/>
        </w:rPr>
        <w:br w:type="page"/>
      </w:r>
    </w:p>
    <w:p w14:paraId="2FC5365B" w14:textId="77777777" w:rsidR="002562C8" w:rsidRPr="00BE6489" w:rsidRDefault="002562C8" w:rsidP="002562C8">
      <w:pPr>
        <w:pStyle w:val="AnnexNo"/>
      </w:pPr>
      <w:r w:rsidRPr="00BE6489">
        <w:lastRenderedPageBreak/>
        <w:t>AnexO</w:t>
      </w:r>
    </w:p>
    <w:p w14:paraId="3BC2FDD3" w14:textId="113E8C48" w:rsidR="002562C8" w:rsidRPr="00BE6489" w:rsidRDefault="002562C8" w:rsidP="002562C8">
      <w:pPr>
        <w:pStyle w:val="Annextitle"/>
      </w:pPr>
      <w:r w:rsidRPr="00BE6489">
        <w:t>Proyecto de política de accesibilidad para las personas</w:t>
      </w:r>
      <w:r w:rsidR="00053609" w:rsidRPr="00BE6489">
        <w:br/>
      </w:r>
      <w:r w:rsidRPr="00BE6489">
        <w:t>con discapacidad de la UIT</w:t>
      </w:r>
    </w:p>
    <w:p w14:paraId="42906D68" w14:textId="77777777" w:rsidR="002562C8" w:rsidRPr="00BE6489" w:rsidRDefault="002562C8" w:rsidP="00053609">
      <w:pPr>
        <w:pStyle w:val="Headingb"/>
        <w:spacing w:before="480"/>
      </w:pPr>
      <w:bookmarkStart w:id="12" w:name="_Hlk68110982"/>
      <w:r w:rsidRPr="00BE6489">
        <w:t>Metas y objetivos</w:t>
      </w:r>
    </w:p>
    <w:p w14:paraId="39C1FBE2" w14:textId="77777777" w:rsidR="002562C8" w:rsidRPr="00BE6489" w:rsidRDefault="002562C8" w:rsidP="00053609">
      <w:pPr>
        <w:rPr>
          <w:b/>
        </w:rPr>
      </w:pPr>
      <w:r w:rsidRPr="00BE6489">
        <w:rPr>
          <w:u w:val="single"/>
        </w:rPr>
        <w:t>Las Metas</w:t>
      </w:r>
      <w:r w:rsidRPr="00BE6489">
        <w:t xml:space="preserve"> de la política de accesibilidad de la UIT son:</w:t>
      </w:r>
    </w:p>
    <w:p w14:paraId="61E8E36B" w14:textId="70A2F72C" w:rsidR="002562C8" w:rsidRPr="00BE6489" w:rsidRDefault="00053609" w:rsidP="00053609">
      <w:pPr>
        <w:pStyle w:val="enumlev1"/>
        <w:rPr>
          <w:b/>
        </w:rPr>
      </w:pPr>
      <w:r w:rsidRPr="00BE6489">
        <w:t>•</w:t>
      </w:r>
      <w:r w:rsidRPr="00BE6489">
        <w:tab/>
      </w:r>
      <w:r w:rsidR="002562C8" w:rsidRPr="00BE6489">
        <w:t>Meta 1: establecer el marco y los procesos necesarios para que la UIT sea una organización accesible para las personas con discapacidad y las personas con necesidades especiales, incluida la discapacidad debida a la edad, y lograr su plena participación en todas las actividades de la UIT, ya sea en calidad de funcionarios</w:t>
      </w:r>
      <w:r w:rsidR="00B6648A" w:rsidRPr="00BE6489">
        <w:rPr>
          <w:rStyle w:val="FootnoteReference"/>
        </w:rPr>
        <w:footnoteReference w:id="1"/>
      </w:r>
      <w:r w:rsidR="002562C8" w:rsidRPr="00BE6489">
        <w:t>, de colaboradores (consultores/expertos, pasantes, etc.), delegados/participantes en las reuniones o de público en general; y</w:t>
      </w:r>
    </w:p>
    <w:p w14:paraId="3E69634D" w14:textId="1B1704D8" w:rsidR="002562C8" w:rsidRPr="00BE6489" w:rsidRDefault="00053609" w:rsidP="00053609">
      <w:pPr>
        <w:pStyle w:val="enumlev1"/>
        <w:rPr>
          <w:b/>
        </w:rPr>
      </w:pPr>
      <w:r w:rsidRPr="00BE6489">
        <w:t>•</w:t>
      </w:r>
      <w:r w:rsidRPr="00BE6489">
        <w:tab/>
      </w:r>
      <w:r w:rsidR="002562C8" w:rsidRPr="00BE6489">
        <w:t>Meta 2: sobre la base de las actividades, productos y resultados de los Sectores de la UIT en materia de accesibilidad, detectar las sinergias que permitan fomentar y propiciar la accesibilidad de las TIC en todo el mundo y el acceso a las TIC por las personas con discapacidad y las personas con necesidades especiales.</w:t>
      </w:r>
    </w:p>
    <w:p w14:paraId="6C135C3C" w14:textId="77777777" w:rsidR="002562C8" w:rsidRPr="00BE6489" w:rsidRDefault="002562C8" w:rsidP="00053609">
      <w:pPr>
        <w:rPr>
          <w:b/>
        </w:rPr>
      </w:pPr>
      <w:r w:rsidRPr="00BE6489">
        <w:rPr>
          <w:u w:val="single"/>
        </w:rPr>
        <w:t>Los Objetivos</w:t>
      </w:r>
      <w:r w:rsidRPr="00BE6489">
        <w:t xml:space="preserve"> de la política de accesibilidad de la UIT son:</w:t>
      </w:r>
    </w:p>
    <w:p w14:paraId="3DC64CC7" w14:textId="449836AF" w:rsidR="002562C8" w:rsidRPr="00BE6489" w:rsidRDefault="00053609" w:rsidP="00053609">
      <w:pPr>
        <w:pStyle w:val="enumlev1"/>
      </w:pPr>
      <w:r w:rsidRPr="00BE6489">
        <w:t>1)</w:t>
      </w:r>
      <w:r w:rsidRPr="00BE6489">
        <w:tab/>
      </w:r>
      <w:r w:rsidR="002562C8" w:rsidRPr="00BE6489">
        <w:t>Hacer que las instalaciones de la UIT sean accesibles de acuerdo con las normas y prácticas idóneas reconocidas a nivel internacional.</w:t>
      </w:r>
    </w:p>
    <w:p w14:paraId="7B7C462E" w14:textId="59CB51BA" w:rsidR="002562C8" w:rsidRPr="00BE6489" w:rsidRDefault="00053609" w:rsidP="00053609">
      <w:pPr>
        <w:pStyle w:val="enumlev1"/>
      </w:pPr>
      <w:r w:rsidRPr="00BE6489">
        <w:t>2)</w:t>
      </w:r>
      <w:r w:rsidRPr="00BE6489">
        <w:tab/>
      </w:r>
      <w:r w:rsidR="002562C8" w:rsidRPr="00BE6489">
        <w:t xml:space="preserve">Aumentar los conocimientos del personal y la dirección sobre los problemas ligados a la accesibilidad y el reconocimiento de </w:t>
      </w:r>
      <w:proofErr w:type="gramStart"/>
      <w:r w:rsidR="002562C8" w:rsidRPr="00BE6489">
        <w:t>los mismos</w:t>
      </w:r>
      <w:proofErr w:type="gramEnd"/>
      <w:r w:rsidR="002562C8" w:rsidRPr="00BE6489">
        <w:t>.</w:t>
      </w:r>
    </w:p>
    <w:p w14:paraId="699D5562" w14:textId="12460A89" w:rsidR="002562C8" w:rsidRPr="00BE6489" w:rsidRDefault="00053609" w:rsidP="00053609">
      <w:pPr>
        <w:pStyle w:val="enumlev1"/>
      </w:pPr>
      <w:r w:rsidRPr="00BE6489">
        <w:t>3)</w:t>
      </w:r>
      <w:r w:rsidRPr="00BE6489">
        <w:tab/>
      </w:r>
      <w:r w:rsidR="002562C8" w:rsidRPr="00BE6489">
        <w:t>Concienciar a los delegados sobre los asuntos relacionados con la accesibilidad.</w:t>
      </w:r>
    </w:p>
    <w:p w14:paraId="53E18869" w14:textId="07B0624E" w:rsidR="002562C8" w:rsidRPr="00BE6489" w:rsidRDefault="00053609" w:rsidP="00053609">
      <w:pPr>
        <w:pStyle w:val="enumlev1"/>
      </w:pPr>
      <w:r w:rsidRPr="00BE6489">
        <w:t>4)</w:t>
      </w:r>
      <w:r w:rsidRPr="00BE6489">
        <w:tab/>
      </w:r>
      <w:r w:rsidR="002562C8" w:rsidRPr="00BE6489">
        <w:t>Tomar las medidas necesarias para que los eventos de la UIT sean accesibles. Entre estas medidas se cuentan las siguientes:</w:t>
      </w:r>
    </w:p>
    <w:p w14:paraId="0E3B0EFF" w14:textId="47308235" w:rsidR="002562C8" w:rsidRPr="00BE6489" w:rsidRDefault="00053609" w:rsidP="00053609">
      <w:pPr>
        <w:pStyle w:val="enumlev2"/>
      </w:pPr>
      <w:r w:rsidRPr="00BE6489">
        <w:t>a)</w:t>
      </w:r>
      <w:r w:rsidRPr="00BE6489">
        <w:tab/>
      </w:r>
      <w:r w:rsidR="002562C8" w:rsidRPr="00BE6489">
        <w:t>Ofrecer, cuando proceda y de ser necesario, servicios de accesibilidad (como el subtitulado en tiempo real y/o la interpretación en lengua de signos a distancia).</w:t>
      </w:r>
    </w:p>
    <w:p w14:paraId="0ABB00DE" w14:textId="6704D311" w:rsidR="002562C8" w:rsidRPr="00BE6489" w:rsidRDefault="00053609" w:rsidP="00053609">
      <w:pPr>
        <w:pStyle w:val="enumlev2"/>
      </w:pPr>
      <w:r w:rsidRPr="00BE6489">
        <w:t>b)</w:t>
      </w:r>
      <w:r w:rsidRPr="00BE6489">
        <w:tab/>
      </w:r>
      <w:r w:rsidR="002562C8" w:rsidRPr="00BE6489">
        <w:t>Ampliar el programa de becas</w:t>
      </w:r>
      <w:r w:rsidR="00B6648A" w:rsidRPr="00BE6489">
        <w:rPr>
          <w:rStyle w:val="FootnoteReference"/>
        </w:rPr>
        <w:footnoteReference w:id="2"/>
      </w:r>
      <w:r w:rsidR="002562C8" w:rsidRPr="00BE6489">
        <w:t xml:space="preserve"> </w:t>
      </w:r>
      <w:bookmarkStart w:id="13" w:name="_Hlk68187344"/>
      <w:r w:rsidR="002562C8" w:rsidRPr="00BE6489">
        <w:t>para que los delegados con discapacidad y los representantes de los Miembros de la UIT, en particular los procedentes de PMA y países con bajos ingresos, puedan participar en los trabajos de la UIT</w:t>
      </w:r>
      <w:bookmarkEnd w:id="13"/>
      <w:r w:rsidR="002562C8" w:rsidRPr="00BE6489">
        <w:t>.</w:t>
      </w:r>
    </w:p>
    <w:p w14:paraId="431CE8EA" w14:textId="6A6FAF28" w:rsidR="002562C8" w:rsidRPr="00BE6489" w:rsidRDefault="00053609" w:rsidP="00053609">
      <w:pPr>
        <w:pStyle w:val="enumlev1"/>
      </w:pPr>
      <w:r w:rsidRPr="00BE6489">
        <w:t>5)</w:t>
      </w:r>
      <w:r w:rsidRPr="00BE6489">
        <w:tab/>
      </w:r>
      <w:r w:rsidR="002562C8" w:rsidRPr="00BE6489">
        <w:t xml:space="preserve">Garantizar que la estructura y los contenidos de los sitios web, vídeos, publicaciones y demás informaciones y documentos digitales de la UIT son accesibles y acordes con los requisitos y normas de accesibilidad en vigor. Garantizar, además, que los creadores web, web </w:t>
      </w:r>
      <w:proofErr w:type="gramStart"/>
      <w:r w:rsidR="002562C8" w:rsidRPr="00BE6489">
        <w:t>master</w:t>
      </w:r>
      <w:proofErr w:type="gramEnd"/>
      <w:r w:rsidR="002562C8" w:rsidRPr="00BE6489">
        <w:t xml:space="preserve"> y funcionarios de comunicación, así como todo el personal pertinente, reciben la formación necesaria para ello.</w:t>
      </w:r>
    </w:p>
    <w:p w14:paraId="47202F8D" w14:textId="37113E8A" w:rsidR="002562C8" w:rsidRPr="00BE6489" w:rsidRDefault="00053609" w:rsidP="00053609">
      <w:pPr>
        <w:pStyle w:val="enumlev1"/>
      </w:pPr>
      <w:r w:rsidRPr="00BE6489">
        <w:lastRenderedPageBreak/>
        <w:t>6)</w:t>
      </w:r>
      <w:r w:rsidRPr="00BE6489">
        <w:tab/>
      </w:r>
      <w:r w:rsidR="002562C8" w:rsidRPr="00BE6489">
        <w:t>Mejorar las políticas en materia de adquisiciones para garantizar que los bienes y servicios adquiridos son accesibles o no suponen nuevos obstáculos, y garantizar, además, que el procedimiento de adquisición es accesible.</w:t>
      </w:r>
    </w:p>
    <w:p w14:paraId="38CD0632" w14:textId="30932AA6" w:rsidR="002562C8" w:rsidRPr="00BE6489" w:rsidRDefault="00053609" w:rsidP="00053609">
      <w:pPr>
        <w:pStyle w:val="enumlev1"/>
      </w:pPr>
      <w:r w:rsidRPr="00BE6489">
        <w:t>7)</w:t>
      </w:r>
      <w:r w:rsidRPr="00BE6489">
        <w:tab/>
      </w:r>
      <w:r w:rsidR="002562C8" w:rsidRPr="00BE6489">
        <w:t>Garantizar la integración de la accesibilidad en los procesos, por ejemplo, la contratación, de conformidad con la UNDIS.</w:t>
      </w:r>
    </w:p>
    <w:p w14:paraId="2C737B11" w14:textId="041C0334" w:rsidR="002562C8" w:rsidRPr="00BE6489" w:rsidRDefault="00053609" w:rsidP="00053609">
      <w:pPr>
        <w:pStyle w:val="enumlev1"/>
      </w:pPr>
      <w:r w:rsidRPr="00BE6489">
        <w:t>8)</w:t>
      </w:r>
      <w:r w:rsidRPr="00BE6489">
        <w:tab/>
      </w:r>
      <w:r w:rsidR="002562C8" w:rsidRPr="00BE6489">
        <w:t>Mejorar la colaboración intersectorial en materia de accesibilidad, aprovechando los conocimientos y experiencias internos.</w:t>
      </w:r>
    </w:p>
    <w:p w14:paraId="6544F8EA" w14:textId="77F38A07" w:rsidR="002562C8" w:rsidRPr="00BE6489" w:rsidRDefault="00053609" w:rsidP="00053609">
      <w:pPr>
        <w:pStyle w:val="enumlev1"/>
      </w:pPr>
      <w:r w:rsidRPr="00BE6489">
        <w:t>9)</w:t>
      </w:r>
      <w:r w:rsidRPr="00BE6489">
        <w:tab/>
      </w:r>
      <w:r w:rsidR="002562C8" w:rsidRPr="00BE6489">
        <w:t>Garantizar que la accesibilidad se integra en el Plan Estratégico de la UIT y en los planes específicos de cada Sector, y que se recaban los datos pertinentes para la evaluación y supervisión del rendimiento para lograr la accesibilidad de la UIT y la consecución de la(s) Finalidad(es) estratégica(s) relacionada(s) con la accesibilidad digital.</w:t>
      </w:r>
    </w:p>
    <w:p w14:paraId="220E1CA0" w14:textId="114C833F" w:rsidR="002562C8" w:rsidRPr="00BE6489" w:rsidRDefault="00053609" w:rsidP="00053609">
      <w:pPr>
        <w:pStyle w:val="enumlev1"/>
      </w:pPr>
      <w:r w:rsidRPr="00BE6489">
        <w:t>10)</w:t>
      </w:r>
      <w:r w:rsidRPr="00BE6489">
        <w:tab/>
      </w:r>
      <w:r w:rsidR="002562C8" w:rsidRPr="00BE6489">
        <w:t>Integrar la accesibilidad por las personas con discapacidad en las actividades programáticas de los tres Sectores y de la Secretaría General, garantizando la atribución de los recursos necesarios para la implementación, supervisión y evaluación de las actividades correspondientes</w:t>
      </w:r>
      <w:r w:rsidR="002562C8" w:rsidRPr="00BE6489">
        <w:rPr>
          <w:rFonts w:eastAsia="Calibri"/>
        </w:rPr>
        <w:t>.</w:t>
      </w:r>
    </w:p>
    <w:p w14:paraId="126CE405" w14:textId="48E36CCE" w:rsidR="002562C8" w:rsidRPr="00BE6489" w:rsidRDefault="00053609" w:rsidP="00053609">
      <w:pPr>
        <w:pStyle w:val="enumlev1"/>
      </w:pPr>
      <w:r w:rsidRPr="00BE6489">
        <w:t>11)</w:t>
      </w:r>
      <w:r w:rsidRPr="00BE6489">
        <w:tab/>
      </w:r>
      <w:r w:rsidR="002562C8" w:rsidRPr="00BE6489">
        <w:t>Intensificar la colaboración en materia de accesibilidad con el sistema común de las Naciones Unidas y con las organizaciones pertinentes de representación de las personas con discapacidad a fin de facilitar los trabajos sobre inclusión de la discapacidad de la UIT y con los Miembros de la UIT.</w:t>
      </w:r>
    </w:p>
    <w:p w14:paraId="767448A3" w14:textId="62693BF4" w:rsidR="002562C8" w:rsidRPr="00BE6489" w:rsidRDefault="00053609" w:rsidP="00053609">
      <w:pPr>
        <w:pStyle w:val="enumlev1"/>
      </w:pPr>
      <w:r w:rsidRPr="00BE6489">
        <w:t>12)</w:t>
      </w:r>
      <w:r w:rsidRPr="00BE6489">
        <w:tab/>
      </w:r>
      <w:r w:rsidR="002562C8" w:rsidRPr="00BE6489">
        <w:t>Reservar una partida presupuestaria para garantizar el logro de los objetivos enumerados en toda la UIT.</w:t>
      </w:r>
    </w:p>
    <w:p w14:paraId="66139797" w14:textId="77777777" w:rsidR="002562C8" w:rsidRPr="00BE6489" w:rsidRDefault="002562C8" w:rsidP="00053609">
      <w:pPr>
        <w:pStyle w:val="Headingb"/>
      </w:pPr>
      <w:r w:rsidRPr="00BE6489">
        <w:lastRenderedPageBreak/>
        <w:t>El marco</w:t>
      </w:r>
    </w:p>
    <w:p w14:paraId="18AB57CC" w14:textId="129CEA15" w:rsidR="002562C8" w:rsidRPr="00BE6489" w:rsidRDefault="00CB1568" w:rsidP="002562C8">
      <w:pPr>
        <w:jc w:val="center"/>
        <w:rPr>
          <w:rFonts w:asciiTheme="minorHAnsi" w:hAnsiTheme="minorHAnsi" w:cstheme="minorHAnsi"/>
          <w:szCs w:val="24"/>
        </w:rPr>
      </w:pPr>
      <w:r w:rsidRPr="00BE6489">
        <w:rPr>
          <w:noProof/>
        </w:rPr>
        <w:drawing>
          <wp:inline distT="0" distB="0" distL="0" distR="0" wp14:anchorId="3E9F1CE2" wp14:editId="65B730E3">
            <wp:extent cx="4254895" cy="434141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418" cy="43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DBB8" w14:textId="77777777" w:rsidR="002562C8" w:rsidRPr="00BE6489" w:rsidRDefault="002562C8" w:rsidP="00D448A8">
      <w:pPr>
        <w:pStyle w:val="Figuretitle"/>
      </w:pPr>
      <w:r w:rsidRPr="00BE6489">
        <w:t>Figura: Marco de accesibilidad de la UIT</w:t>
      </w:r>
    </w:p>
    <w:p w14:paraId="4CD5AC15" w14:textId="77777777" w:rsidR="002562C8" w:rsidRPr="00BE6489" w:rsidRDefault="002562C8" w:rsidP="00053609">
      <w:pPr>
        <w:pStyle w:val="Headingb"/>
      </w:pPr>
      <w:r w:rsidRPr="00BE6489">
        <w:t>Metodología e implementación</w:t>
      </w:r>
    </w:p>
    <w:p w14:paraId="3C377EFD" w14:textId="1A36410A" w:rsidR="002562C8" w:rsidRPr="00BE6489" w:rsidRDefault="002562C8" w:rsidP="00053609">
      <w:pPr>
        <w:rPr>
          <w:b/>
        </w:rPr>
      </w:pPr>
      <w:bookmarkStart w:id="14" w:name="_Toc344305556"/>
      <w:bookmarkStart w:id="15" w:name="_Toc344416539"/>
      <w:bookmarkStart w:id="16" w:name="_Toc344417166"/>
      <w:bookmarkStart w:id="17" w:name="_Toc344417301"/>
      <w:bookmarkStart w:id="18" w:name="_Toc346029824"/>
      <w:bookmarkStart w:id="19" w:name="_Toc346032646"/>
      <w:bookmarkStart w:id="20" w:name="_Toc346095676"/>
      <w:r w:rsidRPr="00BE6489">
        <w:t xml:space="preserve">Se debe definir una </w:t>
      </w:r>
      <w:r w:rsidRPr="00BE6489">
        <w:rPr>
          <w:b/>
        </w:rPr>
        <w:t>Estrategia de accesibilidad de la UIT</w:t>
      </w:r>
      <w:r w:rsidRPr="00BE6489">
        <w:rPr>
          <w:bCs/>
        </w:rPr>
        <w:t xml:space="preserve"> </w:t>
      </w:r>
      <w:r w:rsidRPr="00BE6489">
        <w:t>para lograr los objetivos enumerados que contemple la supervisión, evaluación y rendición de informes periódicas de los logros y la implementación conexa.</w:t>
      </w:r>
    </w:p>
    <w:p w14:paraId="380F9630" w14:textId="67899F9C" w:rsidR="002562C8" w:rsidRPr="00BE6489" w:rsidRDefault="002562C8" w:rsidP="00053609">
      <w:r w:rsidRPr="00BE6489">
        <w:t>Esta Estrategia debe contener indicadores fundamentales de rendimiento (IFR) para la implementación de cada objetivo, estimar los recursos necesarios, indicar los hitos y los plazos, definir los resultados previstos y alcanzados, además de evaluar los riesgos y proponer medidas para reducirlos.</w:t>
      </w:r>
    </w:p>
    <w:p w14:paraId="490186F4" w14:textId="77777777" w:rsidR="002562C8" w:rsidRPr="00BE6489" w:rsidRDefault="002562C8" w:rsidP="00053609">
      <w:r w:rsidRPr="00BE6489">
        <w:t>Se deberá presentar un informe detallado sobre la política de accesibilidad de la UIT y su marco de implementación a la reunión de 2022 del Consejo, además de informes periódicos con información actualizada a las reuniones del Consejo posteriores.</w:t>
      </w:r>
    </w:p>
    <w:p w14:paraId="5AA31E79" w14:textId="77777777" w:rsidR="002562C8" w:rsidRPr="00BE6489" w:rsidRDefault="002562C8" w:rsidP="00053609">
      <w:pPr>
        <w:pStyle w:val="Headingb"/>
      </w:pPr>
      <w:r w:rsidRPr="00BE6489">
        <w:t>Recursos</w:t>
      </w:r>
    </w:p>
    <w:p w14:paraId="3ED4EE02" w14:textId="5469F61E" w:rsidR="002562C8" w:rsidRPr="00BE6489" w:rsidRDefault="002562C8" w:rsidP="00053609">
      <w:r w:rsidRPr="00BE6489">
        <w:t xml:space="preserve">Para garantizar la implementación de esta política será fundamental contar con la financiación necesaria. En la actualidad no hay un presupuesto dedicado a los servicios de accesibilidad. Los servicios de subtitulado en tiempo real y de interpretación en lengua de signos llevan varios años ofreciéndose en los eventos de la UIT, pero están financiados con fondos </w:t>
      </w:r>
      <w:r w:rsidRPr="00BE6489">
        <w:rPr>
          <w:i/>
          <w:iCs/>
        </w:rPr>
        <w:t xml:space="preserve">ad hoc </w:t>
      </w:r>
      <w:r w:rsidRPr="00BE6489">
        <w:t>(por ejemplo, presupuesto del organizador del evento</w:t>
      </w:r>
      <w:bookmarkStart w:id="21" w:name="_Hlk68186586"/>
      <w:r w:rsidRPr="00BE6489">
        <w:t>).</w:t>
      </w:r>
      <w:bookmarkEnd w:id="21"/>
    </w:p>
    <w:p w14:paraId="09BBABB4" w14:textId="3B935CAB" w:rsidR="002562C8" w:rsidRPr="00BE6489" w:rsidRDefault="002562C8" w:rsidP="00053609">
      <w:r w:rsidRPr="00BE6489">
        <w:lastRenderedPageBreak/>
        <w:t>Se insta a los Miembros de la UIT a contribuir a la aplicación de la política de accesibilidad para las personas con discapacidad de la UIT a través del Fondo de Accesibilidad para la inclusión digital de personas con discapacidad creado por la UIT de conformidad con la Resolución 175 (Rev.</w:t>
      </w:r>
      <w:r w:rsidR="00BE6489" w:rsidRPr="00BE6489">
        <w:t> </w:t>
      </w:r>
      <w:r w:rsidRPr="00BE6489">
        <w:t>Dubái,</w:t>
      </w:r>
      <w:r w:rsidR="00BE6489" w:rsidRPr="00BE6489">
        <w:t> </w:t>
      </w:r>
      <w:r w:rsidRPr="00BE6489">
        <w:t>2018). Este Fondo no se ha alimentado desde 2018.</w:t>
      </w:r>
    </w:p>
    <w:p w14:paraId="7FB6DE38" w14:textId="0F64A1B0" w:rsidR="002562C8" w:rsidRPr="00BE6489" w:rsidRDefault="002562C8" w:rsidP="00053609">
      <w:pPr>
        <w:pStyle w:val="Headingb"/>
      </w:pPr>
      <w:r w:rsidRPr="00BE6489">
        <w:t>Examen</w:t>
      </w:r>
    </w:p>
    <w:p w14:paraId="257815A3" w14:textId="655ECD6A" w:rsidR="002562C8" w:rsidRPr="00BE6489" w:rsidRDefault="002562C8" w:rsidP="00053609">
      <w:r w:rsidRPr="00BE6489">
        <w:t>La política de accesibilidad para personas con discapacidad de la UIT se aplicará de acuerdo con los recursos atribuidos y entrará en vigor a partir de la fecha de su aprobación por el Consejo de la</w:t>
      </w:r>
      <w:r w:rsidR="00BE6489" w:rsidRPr="00BE6489">
        <w:t> </w:t>
      </w:r>
      <w:r w:rsidRPr="00BE6489">
        <w:t>UIT.</w:t>
      </w:r>
    </w:p>
    <w:p w14:paraId="0AE2DB78" w14:textId="77777777" w:rsidR="002562C8" w:rsidRPr="00BE6489" w:rsidRDefault="002562C8" w:rsidP="00053609">
      <w:r w:rsidRPr="00BE6489">
        <w:t>La política de accesibilidad para personas con discapacidad de la UIT se revisará y actualizará como mínimo cada cuatro años después de su creación a fin de integrar las prácticas idóneas y lecciones extraídas, además de la evolución tecnológica en materia de accesibilidad digital.</w:t>
      </w:r>
    </w:p>
    <w:bookmarkEnd w:id="12"/>
    <w:bookmarkEnd w:id="14"/>
    <w:bookmarkEnd w:id="15"/>
    <w:bookmarkEnd w:id="16"/>
    <w:bookmarkEnd w:id="17"/>
    <w:bookmarkEnd w:id="18"/>
    <w:bookmarkEnd w:id="19"/>
    <w:bookmarkEnd w:id="20"/>
    <w:p w14:paraId="25391900" w14:textId="08A1F30E" w:rsidR="00053609" w:rsidRPr="00BE6489" w:rsidRDefault="00053609" w:rsidP="0032202E">
      <w:pPr>
        <w:pStyle w:val="Reasons"/>
      </w:pPr>
    </w:p>
    <w:p w14:paraId="1A80DD4F" w14:textId="77777777" w:rsidR="00053609" w:rsidRPr="00BE6489" w:rsidRDefault="00053609">
      <w:pPr>
        <w:jc w:val="center"/>
      </w:pPr>
      <w:r w:rsidRPr="00BE6489">
        <w:t>______________</w:t>
      </w:r>
    </w:p>
    <w:sectPr w:rsidR="00053609" w:rsidRPr="00BE6489" w:rsidSect="006710F6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6E2C" w14:textId="77777777" w:rsidR="002562C8" w:rsidRDefault="002562C8">
      <w:r>
        <w:separator/>
      </w:r>
    </w:p>
  </w:endnote>
  <w:endnote w:type="continuationSeparator" w:id="0">
    <w:p w14:paraId="45275BE6" w14:textId="77777777" w:rsidR="002562C8" w:rsidRDefault="0025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0162" w14:textId="20843156" w:rsidR="00760F1C" w:rsidRPr="007B7DA5" w:rsidRDefault="007B7DA5">
    <w:pPr>
      <w:pStyle w:val="Footer"/>
      <w:rPr>
        <w:lang w:val="fr-CH"/>
      </w:rPr>
    </w:pPr>
    <w:r w:rsidRPr="007B7DA5">
      <w:rPr>
        <w:color w:val="F2F2F2" w:themeColor="background1" w:themeShade="F2"/>
      </w:rPr>
      <w:fldChar w:fldCharType="begin"/>
    </w:r>
    <w:r w:rsidRPr="007B7DA5">
      <w:rPr>
        <w:color w:val="F2F2F2" w:themeColor="background1" w:themeShade="F2"/>
      </w:rPr>
      <w:instrText xml:space="preserve"> FILENAME \p \* MERGEFORMAT </w:instrText>
    </w:r>
    <w:r w:rsidRPr="007B7DA5">
      <w:rPr>
        <w:color w:val="F2F2F2" w:themeColor="background1" w:themeShade="F2"/>
      </w:rPr>
      <w:fldChar w:fldCharType="separate"/>
    </w:r>
    <w:r w:rsidR="00053609" w:rsidRPr="007B7DA5">
      <w:rPr>
        <w:color w:val="F2F2F2" w:themeColor="background1" w:themeShade="F2"/>
        <w:lang w:val="fr-CH"/>
      </w:rPr>
      <w:t>P</w:t>
    </w:r>
    <w:r w:rsidR="00053609" w:rsidRPr="007B7DA5">
      <w:rPr>
        <w:color w:val="F2F2F2" w:themeColor="background1" w:themeShade="F2"/>
      </w:rPr>
      <w:t>:\ESP\SG\CONSEIL\C21\000\072S.docx</w:t>
    </w:r>
    <w:r w:rsidRPr="007B7DA5">
      <w:rPr>
        <w:color w:val="F2F2F2" w:themeColor="background1" w:themeShade="F2"/>
      </w:rPr>
      <w:fldChar w:fldCharType="end"/>
    </w:r>
    <w:r w:rsidR="00053609" w:rsidRPr="007B7DA5">
      <w:rPr>
        <w:color w:val="F2F2F2" w:themeColor="background1" w:themeShade="F2"/>
      </w:rPr>
      <w:t xml:space="preserve"> (485457)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1990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1508" w14:textId="77777777" w:rsidR="002562C8" w:rsidRDefault="002562C8">
      <w:r>
        <w:t>____________________</w:t>
      </w:r>
    </w:p>
  </w:footnote>
  <w:footnote w:type="continuationSeparator" w:id="0">
    <w:p w14:paraId="156B7ABF" w14:textId="77777777" w:rsidR="002562C8" w:rsidRDefault="002562C8">
      <w:r>
        <w:continuationSeparator/>
      </w:r>
    </w:p>
  </w:footnote>
  <w:footnote w:id="1">
    <w:p w14:paraId="36F146A3" w14:textId="0CFBACC6" w:rsidR="00B6648A" w:rsidRPr="00B6648A" w:rsidRDefault="00B6648A">
      <w:pPr>
        <w:pStyle w:val="FootnoteText"/>
      </w:pPr>
      <w:r>
        <w:rPr>
          <w:rStyle w:val="FootnoteReference"/>
        </w:rPr>
        <w:footnoteRef/>
      </w:r>
      <w:r>
        <w:tab/>
      </w:r>
      <w:r w:rsidRPr="00B6648A">
        <w:t>Dentro de los límites fijados por la Edad obligatoria de jubilación.</w:t>
      </w:r>
    </w:p>
  </w:footnote>
  <w:footnote w:id="2">
    <w:p w14:paraId="3F2220B9" w14:textId="2E1FD57D" w:rsidR="00B6648A" w:rsidRPr="00B6648A" w:rsidRDefault="00B6648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</w:r>
      <w:r w:rsidRPr="00B6648A">
        <w:rPr>
          <w:lang w:val="es-ES"/>
        </w:rPr>
        <w:t>De conformidad con la OS 21/02, Política relativa a la concesión de becas para eventos y actividades financiados con cargo al presupuesto ordinario de la UIT</w:t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BFE" w14:textId="2AC5B341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448A8">
      <w:rPr>
        <w:noProof/>
      </w:rPr>
      <w:t>6</w:t>
    </w:r>
    <w:r>
      <w:rPr>
        <w:noProof/>
      </w:rPr>
      <w:fldChar w:fldCharType="end"/>
    </w:r>
  </w:p>
  <w:p w14:paraId="001065A1" w14:textId="2BEB2DBB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2562C8">
      <w:t>72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372"/>
    <w:multiLevelType w:val="hybridMultilevel"/>
    <w:tmpl w:val="2858163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150585"/>
    <w:multiLevelType w:val="hybridMultilevel"/>
    <w:tmpl w:val="FC26F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0974"/>
    <w:multiLevelType w:val="hybridMultilevel"/>
    <w:tmpl w:val="C8A879B0"/>
    <w:lvl w:ilvl="0" w:tplc="9ACACFCE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8"/>
    <w:rsid w:val="000007D1"/>
    <w:rsid w:val="00053609"/>
    <w:rsid w:val="000915F3"/>
    <w:rsid w:val="00093EEB"/>
    <w:rsid w:val="000B0D00"/>
    <w:rsid w:val="000B7C15"/>
    <w:rsid w:val="000D1D0F"/>
    <w:rsid w:val="000E3973"/>
    <w:rsid w:val="000F5290"/>
    <w:rsid w:val="0010165C"/>
    <w:rsid w:val="00146BFB"/>
    <w:rsid w:val="001F14A2"/>
    <w:rsid w:val="002562C8"/>
    <w:rsid w:val="002801AA"/>
    <w:rsid w:val="002864D8"/>
    <w:rsid w:val="002C4676"/>
    <w:rsid w:val="002C70B0"/>
    <w:rsid w:val="002F3CC4"/>
    <w:rsid w:val="00387D56"/>
    <w:rsid w:val="004347B3"/>
    <w:rsid w:val="004D1945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2180B"/>
    <w:rsid w:val="006447EA"/>
    <w:rsid w:val="0064731F"/>
    <w:rsid w:val="00664572"/>
    <w:rsid w:val="006710F6"/>
    <w:rsid w:val="006A0B36"/>
    <w:rsid w:val="006C1B56"/>
    <w:rsid w:val="006D4761"/>
    <w:rsid w:val="00726872"/>
    <w:rsid w:val="00760F1C"/>
    <w:rsid w:val="007657F0"/>
    <w:rsid w:val="0077252D"/>
    <w:rsid w:val="007955DA"/>
    <w:rsid w:val="007A2C7F"/>
    <w:rsid w:val="007B7DA5"/>
    <w:rsid w:val="007E2BB8"/>
    <w:rsid w:val="007E5DD3"/>
    <w:rsid w:val="007F350B"/>
    <w:rsid w:val="00820BE4"/>
    <w:rsid w:val="008451E8"/>
    <w:rsid w:val="00913B9C"/>
    <w:rsid w:val="00956E77"/>
    <w:rsid w:val="009F4811"/>
    <w:rsid w:val="00AA2BD3"/>
    <w:rsid w:val="00AA390C"/>
    <w:rsid w:val="00B0200A"/>
    <w:rsid w:val="00B574DB"/>
    <w:rsid w:val="00B6648A"/>
    <w:rsid w:val="00B826C2"/>
    <w:rsid w:val="00B8298E"/>
    <w:rsid w:val="00BD0723"/>
    <w:rsid w:val="00BD2518"/>
    <w:rsid w:val="00BE6489"/>
    <w:rsid w:val="00BF1D1C"/>
    <w:rsid w:val="00C20C59"/>
    <w:rsid w:val="00C2727F"/>
    <w:rsid w:val="00C55B1F"/>
    <w:rsid w:val="00CB1568"/>
    <w:rsid w:val="00CF1A67"/>
    <w:rsid w:val="00D2750E"/>
    <w:rsid w:val="00D448A8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E52069B"/>
  <w15:docId w15:val="{5E838E89-9264-46BD-ABC9-5063CD63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62C8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562C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pub/R-RES-R.67/es" TargetMode="External"/><Relationship Id="rId18" Type="http://schemas.openxmlformats.org/officeDocument/2006/relationships/hyperlink" Target="https://www.itu.int/en/council/Documents/basic-texts/RES-175-S.pdf" TargetMode="External"/><Relationship Id="rId26" Type="http://schemas.openxmlformats.org/officeDocument/2006/relationships/hyperlink" Target="https://www.itu.int/en/general-secretariat/ties/ISCGDocumentLibrary/1st%20Meeting%202021/ISCG-21-1-07-E-1st%20Meeting%202021-Final%20Report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pub/R-RES-R.67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70-2016/es" TargetMode="External"/><Relationship Id="rId17" Type="http://schemas.openxmlformats.org/officeDocument/2006/relationships/hyperlink" Target="https://www.unjiu.org/sites/www.unjiu.org/files/jiu_rep_2018_6_spanish.pdf" TargetMode="External"/><Relationship Id="rId25" Type="http://schemas.openxmlformats.org/officeDocument/2006/relationships/hyperlink" Target="https://www.itu.int/en/general-secretariat/Pages/ISCG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/RES-175-S.pdf" TargetMode="External"/><Relationship Id="rId20" Type="http://schemas.openxmlformats.org/officeDocument/2006/relationships/hyperlink" Target="https://www.itu.int/pub/T-RES-T.70-2016/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WTDC/WTDC17/Documents/WTDC17_final_report_es.pdf" TargetMode="External"/><Relationship Id="rId24" Type="http://schemas.openxmlformats.org/officeDocument/2006/relationships/hyperlink" Target="https://www.un.org/es/content/disabilitystrateg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.org/development/desa/disabilities/convention-on-the-rights-of-persons-with-disabilities.html" TargetMode="External"/><Relationship Id="rId23" Type="http://schemas.openxmlformats.org/officeDocument/2006/relationships/hyperlink" Target="https://itu.foleon.com/itu/connect-2030-agenda/home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175-S.pdf" TargetMode="External"/><Relationship Id="rId19" Type="http://schemas.openxmlformats.org/officeDocument/2006/relationships/hyperlink" Target="https://www.itu.int/en/ITU-D/Conferences/WTDC/WTDC17/Documents/WTDC17_final_report_es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3-CL-C-0042/es" TargetMode="External"/><Relationship Id="rId14" Type="http://schemas.openxmlformats.org/officeDocument/2006/relationships/hyperlink" Target="https://www.itu.int/md/S13-CL-C-0042/es" TargetMode="External"/><Relationship Id="rId22" Type="http://schemas.openxmlformats.org/officeDocument/2006/relationships/hyperlink" Target="https://www.itu.int/en/council/planning/Documents/ITU_Strategic_plan_2020-2023.pdf" TargetMode="External"/><Relationship Id="rId27" Type="http://schemas.openxmlformats.org/officeDocument/2006/relationships/image" Target="media/image2.emf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41BF-8505-4DF6-AF70-94540460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6</Pages>
  <Words>1672</Words>
  <Characters>10452</Characters>
  <Application>Microsoft Office Word</Application>
  <DocSecurity>4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12100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2021, Virtual consultation of councillors</dc:subject>
  <dc:creator>Spanish</dc:creator>
  <cp:keywords>C2021, C21, VCC, C21-VCC-1</cp:keywords>
  <dc:description/>
  <cp:lastModifiedBy>Xue, Kun</cp:lastModifiedBy>
  <cp:revision>2</cp:revision>
  <cp:lastPrinted>2006-03-24T09:51:00Z</cp:lastPrinted>
  <dcterms:created xsi:type="dcterms:W3CDTF">2021-05-27T08:21:00Z</dcterms:created>
  <dcterms:modified xsi:type="dcterms:W3CDTF">2021-05-27T08:21:00Z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