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7D43D1EF"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D94835">
              <w:rPr>
                <w:b/>
              </w:rPr>
              <w:t>PL 1.11</w:t>
            </w:r>
          </w:p>
        </w:tc>
        <w:tc>
          <w:tcPr>
            <w:tcW w:w="3120" w:type="dxa"/>
          </w:tcPr>
          <w:p w14:paraId="1727AC2C" w14:textId="40B2ACB2"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D94835">
              <w:rPr>
                <w:b/>
              </w:rPr>
              <w:t>72</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469793E5" w:rsidR="002A2188" w:rsidRPr="00E85629" w:rsidRDefault="00D94835" w:rsidP="009F66A3">
            <w:pPr>
              <w:tabs>
                <w:tab w:val="left" w:pos="993"/>
              </w:tabs>
              <w:spacing w:before="0"/>
              <w:rPr>
                <w:b/>
              </w:rPr>
            </w:pPr>
            <w:r>
              <w:rPr>
                <w:b/>
              </w:rPr>
              <w:t>22 April</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7D367D02" w:rsidR="00EA2120" w:rsidRPr="00DE4373" w:rsidRDefault="00D94835" w:rsidP="00722181">
            <w:pPr>
              <w:pStyle w:val="Source"/>
            </w:pPr>
            <w:bookmarkStart w:id="6" w:name="dsource" w:colFirst="0" w:colLast="0"/>
            <w:bookmarkEnd w:id="5"/>
            <w:r w:rsidRPr="00D94835">
              <w:t>Report by the Secretary-General</w:t>
            </w:r>
          </w:p>
        </w:tc>
      </w:tr>
      <w:tr w:rsidR="002A2188" w:rsidRPr="00813E5E" w14:paraId="73F317E2" w14:textId="77777777" w:rsidTr="00464B6C">
        <w:trPr>
          <w:cantSplit/>
        </w:trPr>
        <w:tc>
          <w:tcPr>
            <w:tcW w:w="10031" w:type="dxa"/>
            <w:gridSpan w:val="2"/>
          </w:tcPr>
          <w:p w14:paraId="29B3DB5C" w14:textId="206F9B26" w:rsidR="002A2188" w:rsidRPr="00813E5E" w:rsidRDefault="00D94835" w:rsidP="00464B6C">
            <w:pPr>
              <w:pStyle w:val="Title1"/>
            </w:pPr>
            <w:bookmarkStart w:id="7" w:name="_Hlk68776477"/>
            <w:bookmarkStart w:id="8" w:name="dtitle1" w:colFirst="0" w:colLast="0"/>
            <w:bookmarkEnd w:id="6"/>
            <w:r w:rsidRPr="00D94835">
              <w:t>DRAFT ITU ACCESSIBILITY POLICY FOR PERSONS WITH DISABILITIES</w:t>
            </w:r>
            <w:bookmarkEnd w:id="7"/>
          </w:p>
        </w:tc>
      </w:tr>
      <w:bookmarkEnd w:id="8"/>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464B6C">
            <w:pPr>
              <w:pStyle w:val="Headingb"/>
              <w:rPr>
                <w:szCs w:val="24"/>
              </w:rPr>
            </w:pPr>
            <w:r w:rsidRPr="00CF5A9F">
              <w:rPr>
                <w:szCs w:val="24"/>
              </w:rPr>
              <w:t>Summary</w:t>
            </w:r>
          </w:p>
          <w:p w14:paraId="06C7BCB5" w14:textId="7C2742B0" w:rsidR="00CF5A9F" w:rsidRPr="00BD6CAC" w:rsidRDefault="00D94835" w:rsidP="00D94835">
            <w:pPr>
              <w:tabs>
                <w:tab w:val="left" w:pos="284"/>
                <w:tab w:val="left" w:pos="851"/>
                <w:tab w:val="left" w:pos="1418"/>
                <w:tab w:val="left" w:pos="2552"/>
                <w:tab w:val="left" w:pos="3119"/>
                <w:tab w:val="left" w:pos="3402"/>
                <w:tab w:val="left" w:pos="3686"/>
                <w:tab w:val="left" w:pos="3969"/>
              </w:tabs>
              <w:spacing w:before="240" w:after="40"/>
              <w:jc w:val="both"/>
              <w:rPr>
                <w:bCs/>
                <w:szCs w:val="24"/>
              </w:rPr>
            </w:pPr>
            <w:r w:rsidRPr="00BD6CAC">
              <w:rPr>
                <w:bCs/>
                <w:szCs w:val="24"/>
              </w:rPr>
              <w:t xml:space="preserve">This document updates the ITU Accessibility Policy endorsed by Council 2013 </w:t>
            </w:r>
            <w:r w:rsidR="00BD6CAC" w:rsidRPr="00BD6CAC">
              <w:rPr>
                <w:bCs/>
                <w:szCs w:val="24"/>
              </w:rPr>
              <w:t>in the</w:t>
            </w:r>
            <w:r w:rsidRPr="00BD6CAC">
              <w:rPr>
                <w:bCs/>
                <w:szCs w:val="24"/>
              </w:rPr>
              <w:t xml:space="preserve"> Annex to doc</w:t>
            </w:r>
            <w:r w:rsidR="007F0BF1">
              <w:rPr>
                <w:bCs/>
                <w:szCs w:val="24"/>
              </w:rPr>
              <w:t>ument</w:t>
            </w:r>
            <w:r w:rsidRPr="00BD6CAC">
              <w:rPr>
                <w:bCs/>
                <w:szCs w:val="24"/>
              </w:rPr>
              <w:t xml:space="preserve"> </w:t>
            </w:r>
            <w:hyperlink r:id="rId9">
              <w:r w:rsidRPr="00BD6CAC">
                <w:rPr>
                  <w:rStyle w:val="Hyperlink"/>
                  <w:szCs w:val="24"/>
                </w:rPr>
                <w:t>C13/42</w:t>
              </w:r>
            </w:hyperlink>
            <w:r w:rsidRPr="00BD6CAC">
              <w:rPr>
                <w:bCs/>
                <w:szCs w:val="24"/>
              </w:rPr>
              <w:t>.</w:t>
            </w:r>
          </w:p>
          <w:p w14:paraId="145DFE4B" w14:textId="77777777" w:rsidR="002A2188" w:rsidRPr="00BD6CAC" w:rsidRDefault="002A2188" w:rsidP="00CF134B">
            <w:pPr>
              <w:pStyle w:val="Headingb"/>
              <w:spacing w:before="120" w:after="120"/>
              <w:rPr>
                <w:szCs w:val="24"/>
              </w:rPr>
            </w:pPr>
            <w:r w:rsidRPr="00BD6CAC">
              <w:rPr>
                <w:szCs w:val="24"/>
              </w:rPr>
              <w:t xml:space="preserve">Action </w:t>
            </w:r>
            <w:proofErr w:type="gramStart"/>
            <w:r w:rsidRPr="00BD6CAC">
              <w:rPr>
                <w:szCs w:val="24"/>
              </w:rPr>
              <w:t>required</w:t>
            </w:r>
            <w:proofErr w:type="gramEnd"/>
          </w:p>
          <w:p w14:paraId="74F1525E" w14:textId="3C280108" w:rsidR="002A2188" w:rsidRPr="00BD6CAC" w:rsidRDefault="00D94835" w:rsidP="00CF134B">
            <w:pPr>
              <w:spacing w:after="120"/>
              <w:jc w:val="both"/>
              <w:rPr>
                <w:rFonts w:asciiTheme="minorHAnsi" w:hAnsiTheme="minorHAnsi"/>
                <w:szCs w:val="24"/>
                <w:lang w:val="en-US"/>
              </w:rPr>
            </w:pPr>
            <w:r w:rsidRPr="00BD6CAC">
              <w:rPr>
                <w:rFonts w:asciiTheme="minorHAnsi" w:hAnsiTheme="minorHAnsi"/>
                <w:szCs w:val="24"/>
                <w:lang w:val="en-US"/>
              </w:rPr>
              <w:t xml:space="preserve">The Council is invited to </w:t>
            </w:r>
            <w:r w:rsidRPr="00BD6CAC">
              <w:rPr>
                <w:rFonts w:asciiTheme="minorHAnsi" w:hAnsiTheme="minorHAnsi"/>
                <w:b/>
                <w:bCs/>
                <w:szCs w:val="24"/>
                <w:lang w:val="en-US"/>
              </w:rPr>
              <w:t>endorse</w:t>
            </w:r>
            <w:r w:rsidRPr="00BD6CAC">
              <w:rPr>
                <w:rFonts w:asciiTheme="minorHAnsi" w:hAnsiTheme="minorHAnsi"/>
                <w:szCs w:val="24"/>
                <w:lang w:val="en-US"/>
              </w:rPr>
              <w:t xml:space="preserve"> the draft ITU Accessibility Policy for persons with disabilities.</w:t>
            </w:r>
          </w:p>
          <w:p w14:paraId="68F1D928" w14:textId="77777777" w:rsidR="002A2188" w:rsidRPr="00BD6CAC" w:rsidRDefault="002A2188" w:rsidP="00CF134B">
            <w:pPr>
              <w:pStyle w:val="Table"/>
              <w:keepNext w:val="0"/>
              <w:spacing w:before="120"/>
              <w:rPr>
                <w:rFonts w:ascii="Calibri" w:hAnsi="Calibri"/>
                <w:caps w:val="0"/>
                <w:szCs w:val="24"/>
              </w:rPr>
            </w:pPr>
            <w:r w:rsidRPr="00BD6CAC">
              <w:rPr>
                <w:rFonts w:ascii="Calibri" w:hAnsi="Calibri"/>
                <w:caps w:val="0"/>
                <w:szCs w:val="24"/>
              </w:rPr>
              <w:t>____________</w:t>
            </w:r>
          </w:p>
          <w:p w14:paraId="2124BADC" w14:textId="3E47A8F3" w:rsidR="002A2188" w:rsidRPr="00BD6CAC" w:rsidRDefault="002A2188" w:rsidP="00CF134B">
            <w:pPr>
              <w:pStyle w:val="Headingb"/>
              <w:spacing w:before="120" w:after="120"/>
              <w:rPr>
                <w:szCs w:val="24"/>
              </w:rPr>
            </w:pPr>
            <w:r w:rsidRPr="00BD6CAC">
              <w:rPr>
                <w:szCs w:val="24"/>
              </w:rPr>
              <w:t>References</w:t>
            </w:r>
          </w:p>
          <w:p w14:paraId="2E0343C9" w14:textId="2F4E1D6C" w:rsidR="00DE4373" w:rsidRPr="00BD6CAC" w:rsidRDefault="00204ED2" w:rsidP="00D94835">
            <w:pPr>
              <w:pStyle w:val="NoSpacing"/>
              <w:spacing w:before="120" w:after="120"/>
            </w:pPr>
            <w:hyperlink r:id="rId10" w:history="1">
              <w:r w:rsidR="00D94835" w:rsidRPr="00C37412">
                <w:rPr>
                  <w:rStyle w:val="Hyperlink"/>
                  <w:bCs/>
                  <w:i/>
                  <w:iCs/>
                </w:rPr>
                <w:t>PP Resolution 175</w:t>
              </w:r>
            </w:hyperlink>
            <w:r w:rsidR="00D94835" w:rsidRPr="00BD6CAC">
              <w:rPr>
                <w:bCs/>
                <w:i/>
                <w:iCs/>
              </w:rPr>
              <w:t xml:space="preserve"> (</w:t>
            </w:r>
            <w:r w:rsidR="00C37412">
              <w:rPr>
                <w:bCs/>
                <w:i/>
                <w:iCs/>
              </w:rPr>
              <w:t>R</w:t>
            </w:r>
            <w:r w:rsidR="00D94835" w:rsidRPr="00BD6CAC">
              <w:rPr>
                <w:bCs/>
                <w:i/>
                <w:iCs/>
              </w:rPr>
              <w:t xml:space="preserve">ev Dubai, 2018), </w:t>
            </w:r>
            <w:hyperlink r:id="rId11" w:history="1">
              <w:r w:rsidR="00D94835" w:rsidRPr="00BD6CAC">
                <w:rPr>
                  <w:rStyle w:val="Hyperlink"/>
                  <w:bCs/>
                  <w:i/>
                  <w:iCs/>
                </w:rPr>
                <w:t xml:space="preserve">WTDC </w:t>
              </w:r>
              <w:r w:rsidR="00D94835" w:rsidRPr="00BD6CAC">
                <w:rPr>
                  <w:rStyle w:val="Hyperlink"/>
                  <w:i/>
                  <w:iCs/>
                </w:rPr>
                <w:t>Resolution 58</w:t>
              </w:r>
            </w:hyperlink>
            <w:r w:rsidR="00D94835" w:rsidRPr="00BD6CAC">
              <w:rPr>
                <w:i/>
                <w:iCs/>
              </w:rPr>
              <w:t xml:space="preserve"> (Rev</w:t>
            </w:r>
            <w:r w:rsidR="00C37412">
              <w:rPr>
                <w:i/>
                <w:iCs/>
              </w:rPr>
              <w:t>.</w:t>
            </w:r>
            <w:r w:rsidR="00D94835" w:rsidRPr="00BD6CAC">
              <w:rPr>
                <w:i/>
                <w:iCs/>
              </w:rPr>
              <w:t xml:space="preserve"> Buenos Aires, 2017), </w:t>
            </w:r>
            <w:hyperlink r:id="rId12" w:history="1">
              <w:r w:rsidR="00D94835" w:rsidRPr="00BD6CAC">
                <w:rPr>
                  <w:rStyle w:val="Hyperlink"/>
                  <w:i/>
                  <w:iCs/>
                </w:rPr>
                <w:t xml:space="preserve">WTSA </w:t>
              </w:r>
              <w:r w:rsidR="00D94835" w:rsidRPr="00BD6CAC">
                <w:rPr>
                  <w:rStyle w:val="Hyperlink"/>
                  <w:i/>
                  <w:iCs/>
                  <w:bdr w:val="none" w:sz="0" w:space="0" w:color="auto" w:frame="1"/>
                </w:rPr>
                <w:t>Resolution 70 </w:t>
              </w:r>
            </w:hyperlink>
            <w:r w:rsidR="00D94835" w:rsidRPr="00C37412">
              <w:rPr>
                <w:i/>
                <w:iCs/>
                <w:bdr w:val="none" w:sz="0" w:space="0" w:color="auto" w:frame="1"/>
              </w:rPr>
              <w:t xml:space="preserve">(Rev. </w:t>
            </w:r>
            <w:proofErr w:type="spellStart"/>
            <w:r w:rsidR="00D94835" w:rsidRPr="00C37412">
              <w:rPr>
                <w:i/>
                <w:iCs/>
                <w:bdr w:val="none" w:sz="0" w:space="0" w:color="auto" w:frame="1"/>
              </w:rPr>
              <w:t>Hammamet</w:t>
            </w:r>
            <w:proofErr w:type="spellEnd"/>
            <w:r w:rsidR="00D94835" w:rsidRPr="00C37412">
              <w:rPr>
                <w:i/>
                <w:iCs/>
                <w:bdr w:val="none" w:sz="0" w:space="0" w:color="auto" w:frame="1"/>
              </w:rPr>
              <w:t>, 2016)</w:t>
            </w:r>
            <w:r w:rsidR="00C37412">
              <w:rPr>
                <w:i/>
                <w:iCs/>
                <w:bdr w:val="none" w:sz="0" w:space="0" w:color="auto" w:frame="1"/>
              </w:rPr>
              <w:t xml:space="preserve"> </w:t>
            </w:r>
            <w:r w:rsidR="00D94835" w:rsidRPr="00C37412">
              <w:rPr>
                <w:i/>
                <w:iCs/>
                <w:bdr w:val="none" w:sz="0" w:space="0" w:color="auto" w:frame="1"/>
              </w:rPr>
              <w:t xml:space="preserve">and </w:t>
            </w:r>
            <w:hyperlink r:id="rId13" w:history="1">
              <w:r w:rsidR="00D94835" w:rsidRPr="00BD6CAC">
                <w:rPr>
                  <w:rStyle w:val="Hyperlink"/>
                  <w:i/>
                  <w:iCs/>
                  <w:bdr w:val="none" w:sz="0" w:space="0" w:color="auto" w:frame="1"/>
                </w:rPr>
                <w:t>RA Resolution 67</w:t>
              </w:r>
            </w:hyperlink>
            <w:r w:rsidR="00D94835" w:rsidRPr="00BD6CAC">
              <w:rPr>
                <w:i/>
                <w:iCs/>
                <w:color w:val="444444"/>
                <w:bdr w:val="none" w:sz="0" w:space="0" w:color="auto" w:frame="1"/>
              </w:rPr>
              <w:t xml:space="preserve"> </w:t>
            </w:r>
            <w:r w:rsidR="00D94835" w:rsidRPr="00C37412">
              <w:rPr>
                <w:i/>
                <w:iCs/>
                <w:bdr w:val="none" w:sz="0" w:space="0" w:color="auto" w:frame="1"/>
              </w:rPr>
              <w:t xml:space="preserve">(2017); </w:t>
            </w:r>
            <w:r w:rsidR="00C37412">
              <w:rPr>
                <w:i/>
                <w:iCs/>
                <w:bdr w:val="none" w:sz="0" w:space="0" w:color="auto" w:frame="1"/>
              </w:rPr>
              <w:t xml:space="preserve">Council document </w:t>
            </w:r>
            <w:hyperlink r:id="rId14" w:history="1">
              <w:r w:rsidR="00D94835" w:rsidRPr="00BD6CAC">
                <w:rPr>
                  <w:rStyle w:val="Hyperlink"/>
                  <w:bCs/>
                  <w:i/>
                  <w:iCs/>
                </w:rPr>
                <w:t>C13/42</w:t>
              </w:r>
            </w:hyperlink>
          </w:p>
        </w:tc>
      </w:tr>
    </w:tbl>
    <w:p w14:paraId="7B575AEF" w14:textId="77777777" w:rsidR="00D94835" w:rsidRPr="00D94835" w:rsidRDefault="00D94835" w:rsidP="00C37412">
      <w:pPr>
        <w:pStyle w:val="Headingb"/>
        <w:keepNext w:val="0"/>
        <w:keepLines w:val="0"/>
        <w:tabs>
          <w:tab w:val="left" w:pos="851"/>
        </w:tabs>
        <w:spacing w:before="720" w:after="180"/>
        <w:jc w:val="both"/>
        <w:rPr>
          <w:rFonts w:asciiTheme="minorHAnsi" w:hAnsiTheme="minorHAnsi" w:cstheme="minorHAnsi"/>
          <w:color w:val="000000"/>
          <w:szCs w:val="24"/>
        </w:rPr>
      </w:pPr>
      <w:bookmarkStart w:id="9" w:name="dstart"/>
      <w:bookmarkStart w:id="10" w:name="dbreak"/>
      <w:bookmarkEnd w:id="9"/>
      <w:bookmarkEnd w:id="10"/>
      <w:r w:rsidRPr="00D94835">
        <w:rPr>
          <w:rFonts w:asciiTheme="minorHAnsi" w:hAnsiTheme="minorHAnsi" w:cstheme="minorHAnsi"/>
          <w:color w:val="000000"/>
          <w:szCs w:val="24"/>
        </w:rPr>
        <w:t>Introduction</w:t>
      </w:r>
    </w:p>
    <w:p w14:paraId="61487397" w14:textId="65D3E66A" w:rsidR="00D94835" w:rsidRPr="00D94835" w:rsidRDefault="00D94835" w:rsidP="00BD6CAC">
      <w:pPr>
        <w:pStyle w:val="Headingb"/>
        <w:keepNext w:val="0"/>
        <w:keepLines w:val="0"/>
        <w:tabs>
          <w:tab w:val="clear" w:pos="567"/>
          <w:tab w:val="clear" w:pos="1134"/>
          <w:tab w:val="clear" w:pos="1701"/>
          <w:tab w:val="clear" w:pos="2268"/>
          <w:tab w:val="clear" w:pos="2835"/>
        </w:tabs>
        <w:spacing w:before="120" w:after="120"/>
        <w:ind w:left="0" w:firstLine="0"/>
        <w:jc w:val="both"/>
        <w:rPr>
          <w:rFonts w:asciiTheme="minorHAnsi" w:hAnsiTheme="minorHAnsi" w:cstheme="minorHAnsi"/>
          <w:b w:val="0"/>
          <w:szCs w:val="24"/>
        </w:rPr>
      </w:pPr>
      <w:r w:rsidRPr="00D94835">
        <w:rPr>
          <w:rFonts w:asciiTheme="minorHAnsi" w:hAnsiTheme="minorHAnsi" w:cstheme="minorHAnsi"/>
          <w:b w:val="0"/>
          <w:szCs w:val="24"/>
        </w:rPr>
        <w:t>A mandate to enhance accessibility in the UN system was first received with the adoption of the Convention on the Rights of Persons with Disabilities (</w:t>
      </w:r>
      <w:hyperlink r:id="rId15" w:history="1">
        <w:r w:rsidRPr="00D94835">
          <w:rPr>
            <w:rStyle w:val="Hyperlink"/>
            <w:rFonts w:asciiTheme="minorHAnsi" w:hAnsiTheme="minorHAnsi" w:cstheme="minorHAnsi"/>
            <w:b w:val="0"/>
            <w:szCs w:val="24"/>
          </w:rPr>
          <w:t>CRPD</w:t>
        </w:r>
      </w:hyperlink>
      <w:r w:rsidRPr="00D94835">
        <w:rPr>
          <w:rFonts w:asciiTheme="minorHAnsi" w:hAnsiTheme="minorHAnsi" w:cstheme="minorHAnsi"/>
          <w:b w:val="0"/>
          <w:szCs w:val="24"/>
        </w:rPr>
        <w:t xml:space="preserve">) in 2006, which has a dedicated section </w:t>
      </w:r>
      <w:r w:rsidRPr="00C37412">
        <w:rPr>
          <w:rFonts w:asciiTheme="minorHAnsi" w:hAnsiTheme="minorHAnsi" w:cstheme="minorHAnsi"/>
          <w:b w:val="0"/>
          <w:spacing w:val="-2"/>
          <w:szCs w:val="24"/>
        </w:rPr>
        <w:t xml:space="preserve">on accessibility (article 9). As a result, </w:t>
      </w:r>
      <w:r w:rsidR="00C37412" w:rsidRPr="00C37412">
        <w:rPr>
          <w:rFonts w:asciiTheme="minorHAnsi" w:hAnsiTheme="minorHAnsi" w:cstheme="minorHAnsi"/>
          <w:b w:val="0"/>
          <w:spacing w:val="-2"/>
          <w:szCs w:val="24"/>
        </w:rPr>
        <w:t>the 2010 Plenipotentiary Conference (</w:t>
      </w:r>
      <w:r w:rsidRPr="00C37412">
        <w:rPr>
          <w:rFonts w:asciiTheme="minorHAnsi" w:hAnsiTheme="minorHAnsi" w:cstheme="minorHAnsi"/>
          <w:b w:val="0"/>
          <w:spacing w:val="-2"/>
          <w:szCs w:val="24"/>
        </w:rPr>
        <w:t>PP-10</w:t>
      </w:r>
      <w:r w:rsidR="00C37412" w:rsidRPr="00C37412">
        <w:rPr>
          <w:rFonts w:asciiTheme="minorHAnsi" w:hAnsiTheme="minorHAnsi" w:cstheme="minorHAnsi"/>
          <w:b w:val="0"/>
          <w:spacing w:val="-2"/>
          <w:szCs w:val="24"/>
        </w:rPr>
        <w:t>)</w:t>
      </w:r>
      <w:r w:rsidRPr="00C37412">
        <w:rPr>
          <w:rFonts w:asciiTheme="minorHAnsi" w:hAnsiTheme="minorHAnsi" w:cstheme="minorHAnsi"/>
          <w:b w:val="0"/>
          <w:spacing w:val="-2"/>
          <w:szCs w:val="24"/>
        </w:rPr>
        <w:t xml:space="preserve"> adopted </w:t>
      </w:r>
      <w:hyperlink r:id="rId16" w:history="1">
        <w:r w:rsidRPr="00C37412">
          <w:rPr>
            <w:rStyle w:val="Hyperlink"/>
            <w:rFonts w:asciiTheme="minorHAnsi" w:hAnsiTheme="minorHAnsi" w:cstheme="minorHAnsi"/>
            <w:b w:val="0"/>
            <w:spacing w:val="-2"/>
            <w:szCs w:val="24"/>
          </w:rPr>
          <w:t>Resolution 175</w:t>
        </w:r>
      </w:hyperlink>
      <w:r w:rsidR="00C37412" w:rsidRPr="00C37412">
        <w:rPr>
          <w:rFonts w:asciiTheme="minorHAnsi" w:hAnsiTheme="minorHAnsi" w:cstheme="minorHAnsi"/>
          <w:b w:val="0"/>
          <w:spacing w:val="-2"/>
          <w:szCs w:val="24"/>
        </w:rPr>
        <w:t xml:space="preserve"> (Rev. Dubai, 2018)</w:t>
      </w:r>
      <w:r w:rsidRPr="00C37412">
        <w:rPr>
          <w:rFonts w:asciiTheme="minorHAnsi" w:hAnsiTheme="minorHAnsi" w:cstheme="minorHAnsi"/>
          <w:b w:val="0"/>
          <w:spacing w:val="-2"/>
          <w:szCs w:val="24"/>
        </w:rPr>
        <w:t xml:space="preserve"> (“Telecommunication/information and communication technology</w:t>
      </w:r>
      <w:r w:rsidRPr="00D94835">
        <w:rPr>
          <w:rFonts w:asciiTheme="minorHAnsi" w:hAnsiTheme="minorHAnsi" w:cstheme="minorHAnsi"/>
          <w:b w:val="0"/>
          <w:szCs w:val="24"/>
        </w:rPr>
        <w:t xml:space="preserve"> accessibility for persons with disabilities and persons with specific needs”). The JIU Report </w:t>
      </w:r>
      <w:hyperlink r:id="rId17" w:history="1">
        <w:r w:rsidRPr="00D94835">
          <w:rPr>
            <w:rStyle w:val="Hyperlink"/>
            <w:rFonts w:asciiTheme="minorHAnsi" w:hAnsiTheme="minorHAnsi" w:cstheme="minorHAnsi"/>
            <w:b w:val="0"/>
            <w:szCs w:val="24"/>
          </w:rPr>
          <w:t>2018/6</w:t>
        </w:r>
      </w:hyperlink>
      <w:r w:rsidRPr="00D94835">
        <w:rPr>
          <w:rFonts w:asciiTheme="minorHAnsi" w:hAnsiTheme="minorHAnsi" w:cstheme="minorHAnsi"/>
          <w:b w:val="0"/>
          <w:szCs w:val="24"/>
        </w:rPr>
        <w:t xml:space="preserve"> “Enhancing accessibility for persons with disabilities to conferences and meetings of the United Nations system” points out that among the UN specialized agencies, only the ITU has a specific mandate on accessibility from its legislative body. </w:t>
      </w:r>
    </w:p>
    <w:p w14:paraId="33874FEF" w14:textId="66A8A8D9" w:rsidR="00D94835" w:rsidRPr="00D94835" w:rsidRDefault="00D94835" w:rsidP="00BD6CAC">
      <w:pPr>
        <w:pStyle w:val="Headingb"/>
        <w:keepNext w:val="0"/>
        <w:keepLines w:val="0"/>
        <w:tabs>
          <w:tab w:val="clear" w:pos="567"/>
          <w:tab w:val="clear" w:pos="1134"/>
          <w:tab w:val="clear" w:pos="1701"/>
          <w:tab w:val="clear" w:pos="2268"/>
          <w:tab w:val="clear" w:pos="2835"/>
        </w:tabs>
        <w:spacing w:before="120" w:after="120"/>
        <w:ind w:left="0" w:firstLine="0"/>
        <w:jc w:val="both"/>
        <w:rPr>
          <w:rFonts w:asciiTheme="minorHAnsi" w:hAnsiTheme="minorHAnsi" w:cstheme="minorHAnsi"/>
          <w:b w:val="0"/>
          <w:bCs/>
          <w:szCs w:val="24"/>
        </w:rPr>
      </w:pPr>
      <w:r w:rsidRPr="00D94835">
        <w:rPr>
          <w:rFonts w:asciiTheme="minorHAnsi" w:hAnsiTheme="minorHAnsi" w:cstheme="minorHAnsi"/>
          <w:b w:val="0"/>
          <w:szCs w:val="24"/>
        </w:rPr>
        <w:t xml:space="preserve">Besides the above-mentioned </w:t>
      </w:r>
      <w:hyperlink r:id="rId18" w:history="1">
        <w:r w:rsidR="00C37412" w:rsidRPr="00C37412">
          <w:rPr>
            <w:rStyle w:val="Hyperlink"/>
            <w:rFonts w:asciiTheme="minorHAnsi" w:hAnsiTheme="minorHAnsi" w:cstheme="minorHAnsi"/>
            <w:b w:val="0"/>
            <w:spacing w:val="-2"/>
            <w:szCs w:val="24"/>
          </w:rPr>
          <w:t>Resolution 175</w:t>
        </w:r>
      </w:hyperlink>
      <w:r w:rsidR="00C37412" w:rsidRPr="00C37412">
        <w:rPr>
          <w:rFonts w:asciiTheme="minorHAnsi" w:hAnsiTheme="minorHAnsi" w:cstheme="minorHAnsi"/>
          <w:b w:val="0"/>
          <w:spacing w:val="-2"/>
          <w:szCs w:val="24"/>
        </w:rPr>
        <w:t xml:space="preserve"> (Rev. Dubai, 2018)</w:t>
      </w:r>
      <w:r w:rsidR="00C37412">
        <w:rPr>
          <w:rFonts w:asciiTheme="minorHAnsi" w:hAnsiTheme="minorHAnsi" w:cstheme="minorHAnsi"/>
          <w:b w:val="0"/>
          <w:spacing w:val="-2"/>
          <w:szCs w:val="24"/>
        </w:rPr>
        <w:t>,</w:t>
      </w:r>
      <w:r w:rsidR="00C37412" w:rsidRPr="00C37412">
        <w:rPr>
          <w:rFonts w:asciiTheme="minorHAnsi" w:hAnsiTheme="minorHAnsi" w:cstheme="minorHAnsi"/>
          <w:b w:val="0"/>
          <w:spacing w:val="-2"/>
          <w:szCs w:val="24"/>
        </w:rPr>
        <w:t xml:space="preserve"> </w:t>
      </w:r>
      <w:r w:rsidRPr="00D94835">
        <w:rPr>
          <w:rFonts w:asciiTheme="minorHAnsi" w:hAnsiTheme="minorHAnsi" w:cstheme="minorHAnsi"/>
          <w:b w:val="0"/>
          <w:szCs w:val="24"/>
        </w:rPr>
        <w:t xml:space="preserve">other outcomes from sectoral world conferences/assemblies, such as </w:t>
      </w:r>
      <w:hyperlink r:id="rId19" w:history="1">
        <w:r w:rsidRPr="00D94835">
          <w:rPr>
            <w:rStyle w:val="Hyperlink"/>
            <w:rFonts w:asciiTheme="minorHAnsi" w:hAnsiTheme="minorHAnsi" w:cstheme="minorHAnsi"/>
            <w:b w:val="0"/>
            <w:szCs w:val="24"/>
          </w:rPr>
          <w:t>WTDC Res</w:t>
        </w:r>
        <w:r w:rsidR="00C37412">
          <w:rPr>
            <w:rStyle w:val="Hyperlink"/>
            <w:rFonts w:asciiTheme="minorHAnsi" w:hAnsiTheme="minorHAnsi" w:cstheme="minorHAnsi"/>
            <w:b w:val="0"/>
            <w:szCs w:val="24"/>
          </w:rPr>
          <w:t>olution</w:t>
        </w:r>
        <w:r w:rsidRPr="00D94835">
          <w:rPr>
            <w:rStyle w:val="Hyperlink"/>
            <w:rFonts w:asciiTheme="minorHAnsi" w:hAnsiTheme="minorHAnsi" w:cstheme="minorHAnsi"/>
            <w:b w:val="0"/>
            <w:szCs w:val="24"/>
          </w:rPr>
          <w:t xml:space="preserve"> 58</w:t>
        </w:r>
      </w:hyperlink>
      <w:r w:rsidRPr="00D94835">
        <w:rPr>
          <w:rFonts w:asciiTheme="minorHAnsi" w:hAnsiTheme="minorHAnsi" w:cstheme="minorHAnsi"/>
          <w:b w:val="0"/>
          <w:szCs w:val="24"/>
        </w:rPr>
        <w:t xml:space="preserve"> (Rev</w:t>
      </w:r>
      <w:r w:rsidR="00C37412">
        <w:rPr>
          <w:rFonts w:asciiTheme="minorHAnsi" w:hAnsiTheme="minorHAnsi" w:cstheme="minorHAnsi"/>
          <w:b w:val="0"/>
          <w:szCs w:val="24"/>
        </w:rPr>
        <w:t>.</w:t>
      </w:r>
      <w:r w:rsidRPr="00D94835">
        <w:rPr>
          <w:rFonts w:asciiTheme="minorHAnsi" w:hAnsiTheme="minorHAnsi" w:cstheme="minorHAnsi"/>
          <w:b w:val="0"/>
          <w:szCs w:val="24"/>
        </w:rPr>
        <w:t xml:space="preserve"> Buenos Aires, 2017), </w:t>
      </w:r>
      <w:hyperlink r:id="rId20" w:history="1">
        <w:r w:rsidRPr="00D94835">
          <w:rPr>
            <w:rStyle w:val="Hyperlink"/>
            <w:rFonts w:asciiTheme="minorHAnsi" w:hAnsiTheme="minorHAnsi" w:cstheme="minorHAnsi"/>
            <w:b w:val="0"/>
            <w:szCs w:val="24"/>
          </w:rPr>
          <w:t>WTSA Res</w:t>
        </w:r>
        <w:r w:rsidR="00C37412">
          <w:rPr>
            <w:rStyle w:val="Hyperlink"/>
            <w:rFonts w:asciiTheme="minorHAnsi" w:hAnsiTheme="minorHAnsi" w:cstheme="minorHAnsi"/>
            <w:b w:val="0"/>
            <w:szCs w:val="24"/>
          </w:rPr>
          <w:t>olution</w:t>
        </w:r>
        <w:r w:rsidRPr="00D94835">
          <w:rPr>
            <w:rStyle w:val="Hyperlink"/>
            <w:rFonts w:asciiTheme="minorHAnsi" w:hAnsiTheme="minorHAnsi" w:cstheme="minorHAnsi"/>
            <w:b w:val="0"/>
            <w:szCs w:val="24"/>
          </w:rPr>
          <w:t xml:space="preserve"> 70</w:t>
        </w:r>
      </w:hyperlink>
      <w:r w:rsidRPr="00D94835">
        <w:rPr>
          <w:rFonts w:asciiTheme="minorHAnsi" w:hAnsiTheme="minorHAnsi" w:cstheme="minorHAnsi"/>
          <w:b w:val="0"/>
          <w:szCs w:val="24"/>
        </w:rPr>
        <w:t xml:space="preserve"> (Rev. </w:t>
      </w:r>
      <w:proofErr w:type="spellStart"/>
      <w:r w:rsidRPr="00D94835">
        <w:rPr>
          <w:rFonts w:asciiTheme="minorHAnsi" w:hAnsiTheme="minorHAnsi" w:cstheme="minorHAnsi"/>
          <w:b w:val="0"/>
          <w:szCs w:val="24"/>
        </w:rPr>
        <w:t>Hammamet</w:t>
      </w:r>
      <w:proofErr w:type="spellEnd"/>
      <w:r w:rsidRPr="00D94835">
        <w:rPr>
          <w:rFonts w:asciiTheme="minorHAnsi" w:hAnsiTheme="minorHAnsi" w:cstheme="minorHAnsi"/>
          <w:b w:val="0"/>
          <w:szCs w:val="24"/>
        </w:rPr>
        <w:t xml:space="preserve">, 2016) and </w:t>
      </w:r>
      <w:hyperlink r:id="rId21" w:history="1">
        <w:r w:rsidRPr="00D94835">
          <w:rPr>
            <w:rStyle w:val="Hyperlink"/>
            <w:rFonts w:asciiTheme="minorHAnsi" w:hAnsiTheme="minorHAnsi" w:cstheme="minorHAnsi"/>
            <w:b w:val="0"/>
            <w:szCs w:val="24"/>
          </w:rPr>
          <w:t>RA Resolution 67</w:t>
        </w:r>
      </w:hyperlink>
      <w:r w:rsidRPr="00D94835">
        <w:rPr>
          <w:rFonts w:asciiTheme="minorHAnsi" w:hAnsiTheme="minorHAnsi" w:cstheme="minorHAnsi"/>
          <w:b w:val="0"/>
          <w:szCs w:val="24"/>
        </w:rPr>
        <w:t xml:space="preserve"> (2019), give a clear mandate to ITU to work on this subject. Furthermore, the </w:t>
      </w:r>
      <w:hyperlink r:id="rId22" w:history="1">
        <w:r w:rsidRPr="00D94835">
          <w:rPr>
            <w:rStyle w:val="Hyperlink"/>
            <w:rFonts w:asciiTheme="minorHAnsi" w:hAnsiTheme="minorHAnsi" w:cstheme="minorHAnsi"/>
            <w:b w:val="0"/>
            <w:szCs w:val="24"/>
          </w:rPr>
          <w:t>ITU Strategic Plan 2020-2023</w:t>
        </w:r>
      </w:hyperlink>
      <w:r w:rsidRPr="00D94835">
        <w:rPr>
          <w:rFonts w:asciiTheme="minorHAnsi" w:hAnsiTheme="minorHAnsi" w:cstheme="minorHAnsi"/>
          <w:b w:val="0"/>
          <w:szCs w:val="24"/>
        </w:rPr>
        <w:t xml:space="preserve">, adopted by Member States at PP-18 as the </w:t>
      </w:r>
      <w:hyperlink r:id="rId23" w:history="1">
        <w:r w:rsidRPr="00D94835">
          <w:rPr>
            <w:rStyle w:val="Hyperlink"/>
            <w:rFonts w:asciiTheme="minorHAnsi" w:hAnsiTheme="minorHAnsi" w:cstheme="minorHAnsi"/>
            <w:b w:val="0"/>
            <w:szCs w:val="24"/>
          </w:rPr>
          <w:t>Connect 2030 Agenda</w:t>
        </w:r>
      </w:hyperlink>
      <w:r w:rsidRPr="00D94835">
        <w:rPr>
          <w:rFonts w:asciiTheme="minorHAnsi" w:hAnsiTheme="minorHAnsi" w:cstheme="minorHAnsi"/>
          <w:b w:val="0"/>
          <w:szCs w:val="24"/>
        </w:rPr>
        <w:t xml:space="preserve">, considers accessibility within its Strategic Goal 2 (Inclusiveness: </w:t>
      </w:r>
      <w:r w:rsidRPr="00C37412">
        <w:rPr>
          <w:rFonts w:asciiTheme="minorHAnsi" w:hAnsiTheme="minorHAnsi" w:cstheme="minorHAnsi"/>
          <w:b w:val="0"/>
          <w:spacing w:val="-4"/>
          <w:szCs w:val="24"/>
        </w:rPr>
        <w:lastRenderedPageBreak/>
        <w:t>Bridge the digital divide and provide broadband access for all) and its corresponding Strategic Target 2.9</w:t>
      </w:r>
      <w:r w:rsidRPr="00D94835">
        <w:rPr>
          <w:rFonts w:asciiTheme="minorHAnsi" w:hAnsiTheme="minorHAnsi" w:cstheme="minorHAnsi"/>
          <w:b w:val="0"/>
          <w:szCs w:val="24"/>
        </w:rPr>
        <w:t xml:space="preserve"> (“By 2023, enabling environments ensuring accessible telecommunications/ICTs for persons with disabilities should be established in all countries”).</w:t>
      </w:r>
    </w:p>
    <w:p w14:paraId="691242C3" w14:textId="3DE3AB80" w:rsidR="00D94835" w:rsidRPr="00D94835" w:rsidRDefault="00D94835" w:rsidP="00BD6CAC">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94835">
        <w:rPr>
          <w:rFonts w:asciiTheme="minorHAnsi" w:hAnsiTheme="minorHAnsi" w:cstheme="minorHAnsi"/>
          <w:szCs w:val="24"/>
        </w:rPr>
        <w:t xml:space="preserve">ITU is required to align with the </w:t>
      </w:r>
      <w:hyperlink r:id="rId24" w:history="1">
        <w:r w:rsidRPr="00D94835">
          <w:rPr>
            <w:rFonts w:asciiTheme="minorHAnsi" w:hAnsiTheme="minorHAnsi" w:cstheme="minorHAnsi"/>
            <w:szCs w:val="24"/>
          </w:rPr>
          <w:t>UN Disability Inclusion Strategy</w:t>
        </w:r>
      </w:hyperlink>
      <w:r w:rsidRPr="00D94835">
        <w:rPr>
          <w:rFonts w:asciiTheme="minorHAnsi" w:hAnsiTheme="minorHAnsi" w:cstheme="minorHAnsi"/>
          <w:szCs w:val="24"/>
        </w:rPr>
        <w:t xml:space="preserve"> (</w:t>
      </w:r>
      <w:hyperlink r:id="rId25" w:history="1">
        <w:r w:rsidRPr="00D94835">
          <w:rPr>
            <w:rStyle w:val="Hyperlink"/>
            <w:rFonts w:asciiTheme="minorHAnsi" w:hAnsiTheme="minorHAnsi" w:cstheme="minorHAnsi"/>
            <w:szCs w:val="24"/>
          </w:rPr>
          <w:t>UNDIS</w:t>
        </w:r>
      </w:hyperlink>
      <w:r w:rsidRPr="00D94835">
        <w:rPr>
          <w:rStyle w:val="Hyperlink"/>
          <w:rFonts w:asciiTheme="minorHAnsi" w:hAnsiTheme="minorHAnsi" w:cstheme="minorHAnsi"/>
          <w:szCs w:val="24"/>
        </w:rPr>
        <w:t>)</w:t>
      </w:r>
      <w:r w:rsidRPr="00D94835">
        <w:rPr>
          <w:rFonts w:asciiTheme="minorHAnsi" w:hAnsiTheme="minorHAnsi" w:cstheme="minorHAnsi"/>
          <w:szCs w:val="24"/>
        </w:rPr>
        <w:t xml:space="preserve"> and committed to align its work activities to ensure full inclusiveness of everyone. In line with UNDIS, ITU also considers advancing on the following: 1) Twin-track approach: the fact that disability and accessibility it is a cross-cutting issue and require targeted programming; 2) Intersectionality: factors such as gender, age and location inform on individual’s experience and also impact persons with disabilities and their life experiences; and 3) Coordination to ensure coherent approach as an essential factor to accelerate progress, build on each other’s work and achieve inclusion. </w:t>
      </w:r>
    </w:p>
    <w:p w14:paraId="7C9822DB" w14:textId="77777777" w:rsidR="00D94835" w:rsidRPr="00D94835" w:rsidRDefault="00D94835" w:rsidP="00BD6CAC">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94835">
        <w:rPr>
          <w:rFonts w:asciiTheme="minorHAnsi" w:hAnsiTheme="minorHAnsi" w:cstheme="minorHAnsi"/>
          <w:szCs w:val="24"/>
        </w:rPr>
        <w:t>The membership’s Inter-Sector Coordination Group (</w:t>
      </w:r>
      <w:hyperlink r:id="rId26">
        <w:r w:rsidRPr="00D94835">
          <w:rPr>
            <w:rStyle w:val="Hyperlink"/>
            <w:rFonts w:asciiTheme="minorHAnsi" w:hAnsiTheme="minorHAnsi" w:cstheme="minorHAnsi"/>
            <w:szCs w:val="24"/>
          </w:rPr>
          <w:t>ISCG</w:t>
        </w:r>
      </w:hyperlink>
      <w:r w:rsidRPr="00D94835">
        <w:rPr>
          <w:rFonts w:asciiTheme="minorHAnsi" w:hAnsiTheme="minorHAnsi" w:cstheme="minorHAnsi"/>
          <w:szCs w:val="24"/>
        </w:rPr>
        <w:t xml:space="preserve">) on issues of mutual interest, composed by representatives of all three Sector Advisory Groups, agreed during its </w:t>
      </w:r>
      <w:hyperlink r:id="rId27">
        <w:r w:rsidRPr="00D94835">
          <w:rPr>
            <w:rStyle w:val="Hyperlink"/>
            <w:rFonts w:asciiTheme="minorHAnsi" w:hAnsiTheme="minorHAnsi" w:cstheme="minorHAnsi"/>
            <w:szCs w:val="24"/>
          </w:rPr>
          <w:t>meeting in March 2021</w:t>
        </w:r>
      </w:hyperlink>
      <w:r w:rsidRPr="00D94835">
        <w:rPr>
          <w:rFonts w:asciiTheme="minorHAnsi" w:hAnsiTheme="minorHAnsi" w:cstheme="minorHAnsi"/>
          <w:szCs w:val="24"/>
        </w:rPr>
        <w:t xml:space="preserve"> that Accessibility should be a specific theme to be followed-up within the ISCG and requested the </w:t>
      </w:r>
      <w:r w:rsidRPr="00C37412">
        <w:rPr>
          <w:rFonts w:asciiTheme="minorHAnsi" w:hAnsiTheme="minorHAnsi" w:cstheme="minorHAnsi"/>
          <w:spacing w:val="-2"/>
          <w:szCs w:val="24"/>
        </w:rPr>
        <w:t>secretariat’s Intersectoral Coordination Task Force (ISC-TF) to present a report on it for next meeting.</w:t>
      </w:r>
    </w:p>
    <w:p w14:paraId="737E1A99" w14:textId="77777777" w:rsidR="00D94835" w:rsidRPr="00D94835" w:rsidRDefault="00D94835" w:rsidP="00BD6CAC">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94835">
        <w:rPr>
          <w:rFonts w:asciiTheme="minorHAnsi" w:hAnsiTheme="minorHAnsi" w:cstheme="minorHAnsi"/>
          <w:szCs w:val="24"/>
        </w:rPr>
        <w:t xml:space="preserve">For more than ten years, ITU has undertaken a significant amount of work to provide reasonable accommodation to ITU services (which include facilities, events, </w:t>
      </w:r>
      <w:proofErr w:type="gramStart"/>
      <w:r w:rsidRPr="00D94835">
        <w:rPr>
          <w:rFonts w:asciiTheme="minorHAnsi" w:hAnsiTheme="minorHAnsi" w:cstheme="minorHAnsi"/>
          <w:szCs w:val="24"/>
        </w:rPr>
        <w:t>documents</w:t>
      </w:r>
      <w:proofErr w:type="gramEnd"/>
      <w:r w:rsidRPr="00D94835">
        <w:rPr>
          <w:rFonts w:asciiTheme="minorHAnsi" w:hAnsiTheme="minorHAnsi" w:cstheme="minorHAnsi"/>
          <w:szCs w:val="24"/>
        </w:rPr>
        <w:t xml:space="preserve"> and corporate communication tools, among others) to persons with disabilities. To build upon the lessons learned from these experiences, and to establish well-defined solutions and procedures, the ISC-TF updated the accessibility policy as annex to this document to replace the policy endorsed by the 2013 Session of the Council.</w:t>
      </w:r>
    </w:p>
    <w:p w14:paraId="47CF6747" w14:textId="34B28A9B" w:rsidR="00D94835" w:rsidRPr="00D94835" w:rsidRDefault="00D94835" w:rsidP="00BD6CAC">
      <w:pPr>
        <w:pStyle w:val="Headingb"/>
        <w:keepNext w:val="0"/>
        <w:keepLines w:val="0"/>
        <w:tabs>
          <w:tab w:val="clear" w:pos="567"/>
          <w:tab w:val="clear" w:pos="1134"/>
          <w:tab w:val="clear" w:pos="1701"/>
          <w:tab w:val="clear" w:pos="2268"/>
          <w:tab w:val="clear" w:pos="2835"/>
        </w:tabs>
        <w:spacing w:before="120" w:after="120"/>
        <w:ind w:left="0" w:firstLine="0"/>
        <w:jc w:val="both"/>
        <w:rPr>
          <w:rFonts w:asciiTheme="minorHAnsi" w:hAnsiTheme="minorHAnsi" w:cstheme="minorHAnsi"/>
          <w:b w:val="0"/>
          <w:szCs w:val="24"/>
        </w:rPr>
      </w:pPr>
      <w:bookmarkStart w:id="11" w:name="_Hlk68111920"/>
      <w:r w:rsidRPr="00D94835">
        <w:rPr>
          <w:rFonts w:asciiTheme="minorHAnsi" w:hAnsiTheme="minorHAnsi" w:cstheme="minorHAnsi"/>
          <w:b w:val="0"/>
          <w:szCs w:val="24"/>
        </w:rPr>
        <w:t>This updated policy accounts for new developments (</w:t>
      </w:r>
      <w:proofErr w:type="gramStart"/>
      <w:r w:rsidRPr="00D94835">
        <w:rPr>
          <w:rFonts w:asciiTheme="minorHAnsi" w:hAnsiTheme="minorHAnsi" w:cstheme="minorHAnsi"/>
          <w:b w:val="0"/>
          <w:szCs w:val="24"/>
        </w:rPr>
        <w:t>e.g.</w:t>
      </w:r>
      <w:proofErr w:type="gramEnd"/>
      <w:r w:rsidRPr="00D94835">
        <w:rPr>
          <w:rFonts w:asciiTheme="minorHAnsi" w:hAnsiTheme="minorHAnsi" w:cstheme="minorHAnsi"/>
          <w:b w:val="0"/>
          <w:szCs w:val="24"/>
        </w:rPr>
        <w:t xml:space="preserve"> </w:t>
      </w:r>
      <w:r w:rsidRPr="00D94835">
        <w:rPr>
          <w:rFonts w:asciiTheme="minorHAnsi" w:hAnsiTheme="minorHAnsi" w:cstheme="minorHAnsi"/>
          <w:b w:val="0"/>
          <w:i/>
          <w:iCs/>
          <w:szCs w:val="24"/>
        </w:rPr>
        <w:t>resolves</w:t>
      </w:r>
      <w:r w:rsidRPr="00D94835">
        <w:rPr>
          <w:rFonts w:asciiTheme="minorHAnsi" w:hAnsiTheme="minorHAnsi" w:cstheme="minorHAnsi"/>
          <w:b w:val="0"/>
          <w:szCs w:val="24"/>
        </w:rPr>
        <w:t xml:space="preserve"> and </w:t>
      </w:r>
      <w:r w:rsidRPr="00D94835">
        <w:rPr>
          <w:rFonts w:asciiTheme="minorHAnsi" w:hAnsiTheme="minorHAnsi" w:cstheme="minorHAnsi"/>
          <w:b w:val="0"/>
          <w:i/>
          <w:iCs/>
          <w:szCs w:val="24"/>
        </w:rPr>
        <w:t>instructs</w:t>
      </w:r>
      <w:r w:rsidRPr="00D94835">
        <w:rPr>
          <w:rFonts w:asciiTheme="minorHAnsi" w:hAnsiTheme="minorHAnsi" w:cstheme="minorHAnsi"/>
          <w:b w:val="0"/>
          <w:szCs w:val="24"/>
        </w:rPr>
        <w:t xml:space="preserve"> from Res 175 (</w:t>
      </w:r>
      <w:r w:rsidR="00C37412">
        <w:rPr>
          <w:rFonts w:asciiTheme="minorHAnsi" w:hAnsiTheme="minorHAnsi" w:cstheme="minorHAnsi"/>
          <w:b w:val="0"/>
          <w:szCs w:val="24"/>
        </w:rPr>
        <w:t>R</w:t>
      </w:r>
      <w:r w:rsidRPr="00D94835">
        <w:rPr>
          <w:rFonts w:asciiTheme="minorHAnsi" w:hAnsiTheme="minorHAnsi" w:cstheme="minorHAnsi"/>
          <w:b w:val="0"/>
          <w:szCs w:val="24"/>
        </w:rPr>
        <w:t>ev Dubai, 2018) and the outcomes of the UNDIS) and goes beyond the internal component to also cover the numerous and important ITU activities aiming to make ICTs more accessible and promoting the empowerment of persons with disabilities through the use of ICTs worldwide.</w:t>
      </w:r>
      <w:bookmarkEnd w:id="11"/>
    </w:p>
    <w:p w14:paraId="7AB9E6D5" w14:textId="77777777" w:rsidR="00D94835" w:rsidRPr="00D94835" w:rsidRDefault="00D94835" w:rsidP="00D94835">
      <w:pPr>
        <w:overflowPunct/>
        <w:autoSpaceDE/>
        <w:autoSpaceDN/>
        <w:adjustRightInd/>
        <w:spacing w:before="0"/>
        <w:textAlignment w:val="auto"/>
        <w:rPr>
          <w:rFonts w:asciiTheme="minorHAnsi" w:hAnsiTheme="minorHAnsi" w:cstheme="minorHAnsi"/>
          <w:bCs/>
          <w:szCs w:val="24"/>
        </w:rPr>
      </w:pPr>
      <w:r w:rsidRPr="00D94835">
        <w:rPr>
          <w:rFonts w:asciiTheme="minorHAnsi" w:hAnsiTheme="minorHAnsi" w:cstheme="minorHAnsi"/>
          <w:bCs/>
          <w:szCs w:val="24"/>
        </w:rPr>
        <w:br w:type="page"/>
      </w:r>
    </w:p>
    <w:p w14:paraId="7A5D325A" w14:textId="77777777" w:rsidR="00BD6CAC" w:rsidRDefault="00D94835" w:rsidP="00BD6CAC">
      <w:pPr>
        <w:pStyle w:val="AnnexNo"/>
      </w:pPr>
      <w:r w:rsidRPr="00D94835">
        <w:lastRenderedPageBreak/>
        <w:t>Annex</w:t>
      </w:r>
    </w:p>
    <w:p w14:paraId="48D963A1" w14:textId="3EDB33C0" w:rsidR="00D94835" w:rsidRPr="00D94835" w:rsidRDefault="00D94835" w:rsidP="00BD6CAC">
      <w:pPr>
        <w:pStyle w:val="Annextitle"/>
      </w:pPr>
      <w:r w:rsidRPr="00D94835">
        <w:t>Draft ITU Accessibility Policy for persons with disabilities</w:t>
      </w:r>
    </w:p>
    <w:p w14:paraId="56CFE0D8" w14:textId="77777777" w:rsidR="00D94835" w:rsidRPr="00D94835" w:rsidRDefault="00D94835" w:rsidP="00BD6CAC">
      <w:pPr>
        <w:pStyle w:val="Headingb"/>
        <w:keepNext w:val="0"/>
        <w:keepLines w:val="0"/>
        <w:tabs>
          <w:tab w:val="left" w:pos="851"/>
        </w:tabs>
        <w:spacing w:before="360" w:after="120"/>
        <w:jc w:val="both"/>
        <w:rPr>
          <w:rFonts w:asciiTheme="minorHAnsi" w:hAnsiTheme="minorHAnsi" w:cstheme="minorHAnsi"/>
          <w:bCs/>
          <w:szCs w:val="24"/>
        </w:rPr>
      </w:pPr>
      <w:bookmarkStart w:id="12" w:name="_Hlk68110982"/>
      <w:r w:rsidRPr="00D94835">
        <w:rPr>
          <w:rFonts w:asciiTheme="minorHAnsi" w:hAnsiTheme="minorHAnsi" w:cstheme="minorHAnsi"/>
          <w:bCs/>
          <w:szCs w:val="24"/>
        </w:rPr>
        <w:t>Goals and objectives</w:t>
      </w:r>
    </w:p>
    <w:p w14:paraId="7FF191A3" w14:textId="77777777" w:rsidR="00D94835" w:rsidRPr="00D94835" w:rsidRDefault="00D94835" w:rsidP="00BD6CAC">
      <w:pPr>
        <w:pStyle w:val="Headingb"/>
        <w:keepNext w:val="0"/>
        <w:keepLines w:val="0"/>
        <w:tabs>
          <w:tab w:val="left" w:pos="851"/>
        </w:tabs>
        <w:spacing w:before="120" w:after="120"/>
        <w:jc w:val="both"/>
        <w:rPr>
          <w:rFonts w:asciiTheme="minorHAnsi" w:hAnsiTheme="minorHAnsi" w:cstheme="minorHAnsi"/>
          <w:b w:val="0"/>
          <w:szCs w:val="24"/>
        </w:rPr>
      </w:pPr>
      <w:r w:rsidRPr="00D94835">
        <w:rPr>
          <w:rFonts w:asciiTheme="minorHAnsi" w:hAnsiTheme="minorHAnsi" w:cstheme="minorHAnsi"/>
          <w:b w:val="0"/>
          <w:szCs w:val="24"/>
          <w:u w:val="single"/>
        </w:rPr>
        <w:t>The Goals</w:t>
      </w:r>
      <w:r w:rsidRPr="00D94835">
        <w:rPr>
          <w:rFonts w:asciiTheme="minorHAnsi" w:hAnsiTheme="minorHAnsi" w:cstheme="minorHAnsi"/>
          <w:b w:val="0"/>
          <w:szCs w:val="24"/>
        </w:rPr>
        <w:t xml:space="preserve"> of the </w:t>
      </w:r>
      <w:bookmarkStart w:id="13" w:name="_Hlk67590164"/>
      <w:r w:rsidRPr="00D94835">
        <w:rPr>
          <w:rFonts w:asciiTheme="minorHAnsi" w:hAnsiTheme="minorHAnsi" w:cstheme="minorHAnsi"/>
          <w:b w:val="0"/>
          <w:szCs w:val="24"/>
        </w:rPr>
        <w:t>ITU Accessibility Policy are</w:t>
      </w:r>
      <w:bookmarkEnd w:id="13"/>
      <w:r w:rsidRPr="00D94835">
        <w:rPr>
          <w:rFonts w:asciiTheme="minorHAnsi" w:hAnsiTheme="minorHAnsi" w:cstheme="minorHAnsi"/>
          <w:b w:val="0"/>
          <w:szCs w:val="24"/>
        </w:rPr>
        <w:t>:</w:t>
      </w:r>
    </w:p>
    <w:p w14:paraId="716D0BE1" w14:textId="4AFC88E1" w:rsidR="00D94835" w:rsidRPr="00D94835" w:rsidRDefault="00D94835" w:rsidP="00BD6CAC">
      <w:pPr>
        <w:pStyle w:val="Headingb"/>
        <w:keepNext w:val="0"/>
        <w:keepLines w:val="0"/>
        <w:numPr>
          <w:ilvl w:val="0"/>
          <w:numId w:val="12"/>
        </w:numPr>
        <w:tabs>
          <w:tab w:val="clear" w:pos="567"/>
          <w:tab w:val="clear" w:pos="1134"/>
          <w:tab w:val="clear" w:pos="1701"/>
          <w:tab w:val="clear" w:pos="2268"/>
          <w:tab w:val="clear" w:pos="2835"/>
          <w:tab w:val="left" w:pos="2410"/>
          <w:tab w:val="left" w:pos="2921"/>
          <w:tab w:val="left" w:pos="3261"/>
        </w:tabs>
        <w:overflowPunct/>
        <w:autoSpaceDE/>
        <w:autoSpaceDN/>
        <w:adjustRightInd/>
        <w:spacing w:before="120" w:after="120"/>
        <w:ind w:left="567" w:hanging="567"/>
        <w:jc w:val="both"/>
        <w:textAlignment w:val="auto"/>
        <w:outlineLvl w:val="9"/>
        <w:rPr>
          <w:rFonts w:asciiTheme="minorHAnsi" w:hAnsiTheme="minorHAnsi" w:cstheme="minorHAnsi"/>
          <w:b w:val="0"/>
          <w:szCs w:val="24"/>
        </w:rPr>
      </w:pPr>
      <w:r w:rsidRPr="00D94835">
        <w:rPr>
          <w:rFonts w:asciiTheme="minorHAnsi" w:hAnsiTheme="minorHAnsi" w:cstheme="minorHAnsi"/>
          <w:b w:val="0"/>
          <w:szCs w:val="24"/>
        </w:rPr>
        <w:t>Goal 1: to set up the framework and processes to make ITU an accessible organization for Persons with Disabilities and Persons with Specific Needs including age-related disabilities, by achieving their full participation in all ITU activities, either as staff members</w:t>
      </w:r>
      <w:r w:rsidRPr="00C37412">
        <w:rPr>
          <w:rStyle w:val="FootnoteReference"/>
          <w:rFonts w:asciiTheme="minorHAnsi" w:hAnsiTheme="minorHAnsi" w:cstheme="minorHAnsi"/>
          <w:b w:val="0"/>
          <w:sz w:val="20"/>
        </w:rPr>
        <w:footnoteReference w:id="1"/>
      </w:r>
      <w:r w:rsidRPr="00D94835">
        <w:rPr>
          <w:rFonts w:asciiTheme="minorHAnsi" w:hAnsiTheme="minorHAnsi" w:cstheme="minorHAnsi"/>
          <w:b w:val="0"/>
          <w:szCs w:val="24"/>
        </w:rPr>
        <w:t xml:space="preserve"> and other collaborators (consultants/experts, interns, etc.), delegates/meeting participants</w:t>
      </w:r>
      <w:r w:rsidR="00680CA7">
        <w:rPr>
          <w:rFonts w:asciiTheme="minorHAnsi" w:hAnsiTheme="minorHAnsi" w:cstheme="minorHAnsi"/>
          <w:b w:val="0"/>
          <w:szCs w:val="24"/>
        </w:rPr>
        <w:t>,</w:t>
      </w:r>
      <w:r w:rsidRPr="00D94835">
        <w:rPr>
          <w:rFonts w:asciiTheme="minorHAnsi" w:hAnsiTheme="minorHAnsi" w:cstheme="minorHAnsi"/>
          <w:b w:val="0"/>
          <w:szCs w:val="24"/>
        </w:rPr>
        <w:t xml:space="preserve"> or </w:t>
      </w:r>
      <w:proofErr w:type="gramStart"/>
      <w:r w:rsidRPr="00D94835">
        <w:rPr>
          <w:rFonts w:asciiTheme="minorHAnsi" w:hAnsiTheme="minorHAnsi" w:cstheme="minorHAnsi"/>
          <w:b w:val="0"/>
          <w:szCs w:val="24"/>
        </w:rPr>
        <w:t>general public</w:t>
      </w:r>
      <w:proofErr w:type="gramEnd"/>
      <w:r w:rsidRPr="00D94835">
        <w:rPr>
          <w:rFonts w:asciiTheme="minorHAnsi" w:hAnsiTheme="minorHAnsi" w:cstheme="minorHAnsi"/>
          <w:b w:val="0"/>
          <w:szCs w:val="24"/>
        </w:rPr>
        <w:t xml:space="preserve">; and </w:t>
      </w:r>
    </w:p>
    <w:p w14:paraId="7F6DA5B4" w14:textId="30AC506A" w:rsidR="00D94835" w:rsidRPr="00D94835" w:rsidRDefault="00D94835" w:rsidP="00BD6CAC">
      <w:pPr>
        <w:pStyle w:val="Headingb"/>
        <w:keepNext w:val="0"/>
        <w:keepLines w:val="0"/>
        <w:numPr>
          <w:ilvl w:val="0"/>
          <w:numId w:val="12"/>
        </w:numPr>
        <w:tabs>
          <w:tab w:val="clear" w:pos="567"/>
          <w:tab w:val="clear" w:pos="1134"/>
          <w:tab w:val="clear" w:pos="1701"/>
          <w:tab w:val="clear" w:pos="2268"/>
          <w:tab w:val="clear" w:pos="2835"/>
          <w:tab w:val="left" w:pos="2410"/>
          <w:tab w:val="left" w:pos="2921"/>
          <w:tab w:val="left" w:pos="3261"/>
        </w:tabs>
        <w:overflowPunct/>
        <w:autoSpaceDE/>
        <w:autoSpaceDN/>
        <w:adjustRightInd/>
        <w:spacing w:before="120" w:after="120"/>
        <w:ind w:left="567" w:hanging="567"/>
        <w:jc w:val="both"/>
        <w:textAlignment w:val="auto"/>
        <w:outlineLvl w:val="9"/>
        <w:rPr>
          <w:rFonts w:asciiTheme="minorHAnsi" w:hAnsiTheme="minorHAnsi" w:cstheme="minorHAnsi"/>
          <w:b w:val="0"/>
          <w:szCs w:val="24"/>
        </w:rPr>
      </w:pPr>
      <w:r w:rsidRPr="00D94835">
        <w:rPr>
          <w:rFonts w:asciiTheme="minorHAnsi" w:hAnsiTheme="minorHAnsi" w:cstheme="minorHAnsi"/>
          <w:b w:val="0"/>
          <w:szCs w:val="24"/>
        </w:rPr>
        <w:t>Goal 2: to build-up on the accessibility-related activities, outputs</w:t>
      </w:r>
      <w:r w:rsidR="00680CA7">
        <w:rPr>
          <w:rFonts w:asciiTheme="minorHAnsi" w:hAnsiTheme="minorHAnsi" w:cstheme="minorHAnsi"/>
          <w:b w:val="0"/>
          <w:szCs w:val="24"/>
        </w:rPr>
        <w:t>,</w:t>
      </w:r>
      <w:r w:rsidRPr="00D94835">
        <w:rPr>
          <w:rFonts w:asciiTheme="minorHAnsi" w:hAnsiTheme="minorHAnsi" w:cstheme="minorHAnsi"/>
          <w:b w:val="0"/>
          <w:szCs w:val="24"/>
        </w:rPr>
        <w:t xml:space="preserve"> and outcomes performed by the ITU Sectors, finding out synergies to better promote and enable worldwide ICT accessibility and access to ICTs for Persons with Disabilities and Persons with Specific Needs.</w:t>
      </w:r>
    </w:p>
    <w:p w14:paraId="2C7AEB0B" w14:textId="77777777" w:rsidR="00D94835" w:rsidRPr="00D94835" w:rsidRDefault="00D94835" w:rsidP="00BD6CAC">
      <w:pPr>
        <w:pStyle w:val="Headingb"/>
        <w:keepNext w:val="0"/>
        <w:keepLines w:val="0"/>
        <w:tabs>
          <w:tab w:val="left" w:pos="0"/>
          <w:tab w:val="left" w:pos="851"/>
        </w:tabs>
        <w:spacing w:before="120" w:after="120"/>
        <w:jc w:val="both"/>
        <w:rPr>
          <w:rFonts w:asciiTheme="minorHAnsi" w:hAnsiTheme="minorHAnsi" w:cstheme="minorHAnsi"/>
          <w:b w:val="0"/>
          <w:bCs/>
          <w:szCs w:val="24"/>
        </w:rPr>
      </w:pPr>
      <w:r w:rsidRPr="00D94835">
        <w:rPr>
          <w:rFonts w:asciiTheme="minorHAnsi" w:hAnsiTheme="minorHAnsi" w:cstheme="minorHAnsi"/>
          <w:b w:val="0"/>
          <w:bCs/>
          <w:szCs w:val="24"/>
          <w:u w:val="single"/>
        </w:rPr>
        <w:t>The Objectives</w:t>
      </w:r>
      <w:r w:rsidRPr="00D94835">
        <w:rPr>
          <w:rFonts w:asciiTheme="minorHAnsi" w:hAnsiTheme="minorHAnsi" w:cstheme="minorHAnsi"/>
          <w:b w:val="0"/>
          <w:bCs/>
          <w:szCs w:val="24"/>
        </w:rPr>
        <w:t xml:space="preserve"> of the ITU Accessibility </w:t>
      </w:r>
      <w:r w:rsidRPr="00D94835">
        <w:rPr>
          <w:rFonts w:asciiTheme="minorHAnsi" w:hAnsiTheme="minorHAnsi" w:cstheme="minorHAnsi"/>
          <w:b w:val="0"/>
          <w:szCs w:val="24"/>
        </w:rPr>
        <w:t xml:space="preserve">Policy </w:t>
      </w:r>
      <w:r w:rsidRPr="00D94835">
        <w:rPr>
          <w:rFonts w:asciiTheme="minorHAnsi" w:hAnsiTheme="minorHAnsi" w:cstheme="minorHAnsi"/>
          <w:b w:val="0"/>
          <w:bCs/>
          <w:szCs w:val="24"/>
        </w:rPr>
        <w:t>are:</w:t>
      </w:r>
    </w:p>
    <w:p w14:paraId="0297DA32" w14:textId="77777777"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t xml:space="preserve">To make ITU facilities accessible, as per recognized international standards and best practices. </w:t>
      </w:r>
    </w:p>
    <w:p w14:paraId="169A516F" w14:textId="77777777"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t>To enhance staff and management awareness and knowledge on accessibility-related issues.</w:t>
      </w:r>
    </w:p>
    <w:p w14:paraId="3932DBAE" w14:textId="77777777"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t>To raise awareness between delegates on accessibility-related matters.</w:t>
      </w:r>
    </w:p>
    <w:p w14:paraId="6F227035" w14:textId="77777777"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t xml:space="preserve">To undertake the necessary measures </w:t>
      </w:r>
      <w:proofErr w:type="gramStart"/>
      <w:r w:rsidRPr="00D94835">
        <w:rPr>
          <w:rFonts w:asciiTheme="minorHAnsi" w:hAnsiTheme="minorHAnsi" w:cstheme="minorHAnsi"/>
        </w:rPr>
        <w:t>in order to</w:t>
      </w:r>
      <w:proofErr w:type="gramEnd"/>
      <w:r w:rsidRPr="00D94835">
        <w:rPr>
          <w:rFonts w:asciiTheme="minorHAnsi" w:hAnsiTheme="minorHAnsi" w:cstheme="minorHAnsi"/>
        </w:rPr>
        <w:t xml:space="preserve"> provide accessible accommodations for ITU events. These measures include, but are not limited to:</w:t>
      </w:r>
    </w:p>
    <w:p w14:paraId="1737A4D5" w14:textId="77777777" w:rsidR="00D94835" w:rsidRPr="00D94835" w:rsidRDefault="00D94835" w:rsidP="00BD6CAC">
      <w:pPr>
        <w:pStyle w:val="ListParagraph"/>
        <w:numPr>
          <w:ilvl w:val="1"/>
          <w:numId w:val="13"/>
        </w:numPr>
        <w:tabs>
          <w:tab w:val="clear" w:pos="794"/>
          <w:tab w:val="clear" w:pos="1191"/>
          <w:tab w:val="clear" w:pos="1588"/>
          <w:tab w:val="clear" w:pos="1985"/>
        </w:tabs>
        <w:spacing w:after="120"/>
        <w:ind w:left="1134" w:hanging="567"/>
        <w:contextualSpacing w:val="0"/>
        <w:jc w:val="both"/>
        <w:rPr>
          <w:rFonts w:asciiTheme="minorHAnsi" w:hAnsiTheme="minorHAnsi" w:cstheme="minorHAnsi"/>
        </w:rPr>
      </w:pPr>
      <w:r w:rsidRPr="00D94835">
        <w:rPr>
          <w:rFonts w:asciiTheme="minorHAnsi" w:hAnsiTheme="minorHAnsi" w:cstheme="minorHAnsi"/>
        </w:rPr>
        <w:t>Providing, when and if required, accessibility facilities (such as real-time captioning and/or remote sign language interpretation).</w:t>
      </w:r>
    </w:p>
    <w:p w14:paraId="4CBB315B" w14:textId="77777777" w:rsidR="00D94835" w:rsidRPr="00D94835" w:rsidRDefault="00D94835" w:rsidP="00BD6CAC">
      <w:pPr>
        <w:pStyle w:val="ListParagraph"/>
        <w:numPr>
          <w:ilvl w:val="1"/>
          <w:numId w:val="13"/>
        </w:numPr>
        <w:tabs>
          <w:tab w:val="clear" w:pos="794"/>
          <w:tab w:val="clear" w:pos="1191"/>
          <w:tab w:val="clear" w:pos="1588"/>
          <w:tab w:val="clear" w:pos="1985"/>
        </w:tabs>
        <w:spacing w:after="120"/>
        <w:ind w:left="1134" w:hanging="567"/>
        <w:contextualSpacing w:val="0"/>
        <w:jc w:val="both"/>
        <w:rPr>
          <w:rFonts w:asciiTheme="minorHAnsi" w:hAnsiTheme="minorHAnsi" w:cstheme="minorHAnsi"/>
        </w:rPr>
      </w:pPr>
      <w:r w:rsidRPr="00D94835">
        <w:rPr>
          <w:rFonts w:asciiTheme="minorHAnsi" w:hAnsiTheme="minorHAnsi" w:cstheme="minorHAnsi"/>
        </w:rPr>
        <w:t>Expanding the fellowship programme</w:t>
      </w:r>
      <w:r w:rsidRPr="00C37412">
        <w:rPr>
          <w:rStyle w:val="FootnoteReference"/>
          <w:rFonts w:asciiTheme="minorHAnsi" w:hAnsiTheme="minorHAnsi" w:cstheme="minorHAnsi"/>
          <w:sz w:val="20"/>
          <w:szCs w:val="20"/>
        </w:rPr>
        <w:footnoteReference w:id="2"/>
      </w:r>
      <w:r w:rsidRPr="00D94835">
        <w:rPr>
          <w:rFonts w:asciiTheme="minorHAnsi" w:hAnsiTheme="minorHAnsi" w:cstheme="minorHAnsi"/>
        </w:rPr>
        <w:t xml:space="preserve"> </w:t>
      </w:r>
      <w:bookmarkStart w:id="14" w:name="_Hlk68187344"/>
      <w:r w:rsidRPr="00D94835">
        <w:rPr>
          <w:rFonts w:asciiTheme="minorHAnsi" w:hAnsiTheme="minorHAnsi" w:cstheme="minorHAnsi"/>
        </w:rPr>
        <w:t xml:space="preserve">to enable delegates with disabilities and ITU member’s representatives, </w:t>
      </w:r>
      <w:proofErr w:type="gramStart"/>
      <w:r w:rsidRPr="00D94835">
        <w:rPr>
          <w:rFonts w:asciiTheme="minorHAnsi" w:hAnsiTheme="minorHAnsi" w:cstheme="minorHAnsi"/>
        </w:rPr>
        <w:t>in particular those</w:t>
      </w:r>
      <w:proofErr w:type="gramEnd"/>
      <w:r w:rsidRPr="00D94835">
        <w:rPr>
          <w:rFonts w:asciiTheme="minorHAnsi" w:hAnsiTheme="minorHAnsi" w:cstheme="minorHAnsi"/>
        </w:rPr>
        <w:t xml:space="preserve"> coming from LDCs and low-income countries, to participate in the work of ITU</w:t>
      </w:r>
      <w:bookmarkEnd w:id="14"/>
      <w:r w:rsidRPr="00D94835">
        <w:rPr>
          <w:rFonts w:asciiTheme="minorHAnsi" w:hAnsiTheme="minorHAnsi" w:cstheme="minorHAnsi"/>
        </w:rPr>
        <w:t>.</w:t>
      </w:r>
    </w:p>
    <w:p w14:paraId="44614FD1" w14:textId="08EF9A3B"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t>To ensure that structure and contents of ITU websites, videos, publications</w:t>
      </w:r>
      <w:r w:rsidR="00680CA7">
        <w:rPr>
          <w:rFonts w:asciiTheme="minorHAnsi" w:hAnsiTheme="minorHAnsi" w:cstheme="minorHAnsi"/>
        </w:rPr>
        <w:t>,</w:t>
      </w:r>
      <w:r w:rsidRPr="00D94835">
        <w:rPr>
          <w:rFonts w:asciiTheme="minorHAnsi" w:hAnsiTheme="minorHAnsi" w:cstheme="minorHAnsi"/>
        </w:rPr>
        <w:t xml:space="preserve"> and whatever digital documents and digital information are digitally accessible and in line with the accessibility requirements and standards in force; including ensuring that web developers</w:t>
      </w:r>
      <w:r w:rsidR="00680CA7">
        <w:rPr>
          <w:rFonts w:asciiTheme="minorHAnsi" w:hAnsiTheme="minorHAnsi" w:cstheme="minorHAnsi"/>
        </w:rPr>
        <w:t>,</w:t>
      </w:r>
      <w:r w:rsidRPr="00D94835">
        <w:rPr>
          <w:rFonts w:asciiTheme="minorHAnsi" w:hAnsiTheme="minorHAnsi" w:cstheme="minorHAnsi"/>
        </w:rPr>
        <w:t xml:space="preserve"> web masters</w:t>
      </w:r>
      <w:r w:rsidR="00680CA7">
        <w:rPr>
          <w:rFonts w:asciiTheme="minorHAnsi" w:hAnsiTheme="minorHAnsi" w:cstheme="minorHAnsi"/>
        </w:rPr>
        <w:t>,</w:t>
      </w:r>
      <w:r w:rsidRPr="00D94835">
        <w:rPr>
          <w:rFonts w:asciiTheme="minorHAnsi" w:hAnsiTheme="minorHAnsi" w:cstheme="minorHAnsi"/>
        </w:rPr>
        <w:t xml:space="preserve"> and communication officers as well as all relevant staff receive appropriate training for this purpose.</w:t>
      </w:r>
    </w:p>
    <w:p w14:paraId="643FE402" w14:textId="77777777"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t xml:space="preserve">To enhance procurement policies </w:t>
      </w:r>
      <w:proofErr w:type="gramStart"/>
      <w:r w:rsidRPr="00D94835">
        <w:rPr>
          <w:rFonts w:asciiTheme="minorHAnsi" w:hAnsiTheme="minorHAnsi" w:cstheme="minorHAnsi"/>
        </w:rPr>
        <w:t>in order to</w:t>
      </w:r>
      <w:proofErr w:type="gramEnd"/>
      <w:r w:rsidRPr="00D94835">
        <w:rPr>
          <w:rFonts w:asciiTheme="minorHAnsi" w:hAnsiTheme="minorHAnsi" w:cstheme="minorHAnsi"/>
        </w:rPr>
        <w:t xml:space="preserve"> ensure that relevant goods and services acquired are accessible or do not create new barriers, as well as ensuring that the procurement process is accessible.</w:t>
      </w:r>
    </w:p>
    <w:p w14:paraId="021B0DD4" w14:textId="77777777"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t>To ensure that accessibility is mainstreamed in processes such as recruitment in line with UNDIS.</w:t>
      </w:r>
    </w:p>
    <w:p w14:paraId="62EE1D1C" w14:textId="77777777" w:rsidR="00D94835" w:rsidRPr="00D94835" w:rsidRDefault="00D94835" w:rsidP="00BD6CAC">
      <w:pPr>
        <w:pStyle w:val="ListParagraph"/>
        <w:numPr>
          <w:ilvl w:val="0"/>
          <w:numId w:val="13"/>
        </w:numPr>
        <w:tabs>
          <w:tab w:val="clear" w:pos="794"/>
          <w:tab w:val="clear" w:pos="1191"/>
          <w:tab w:val="clear" w:pos="1588"/>
          <w:tab w:val="clear" w:pos="1985"/>
        </w:tabs>
        <w:ind w:left="567" w:hanging="567"/>
        <w:contextualSpacing w:val="0"/>
        <w:jc w:val="both"/>
        <w:rPr>
          <w:rFonts w:asciiTheme="minorHAnsi" w:hAnsiTheme="minorHAnsi" w:cstheme="minorHAnsi"/>
        </w:rPr>
      </w:pPr>
      <w:r w:rsidRPr="00D94835">
        <w:rPr>
          <w:rFonts w:asciiTheme="minorHAnsi" w:hAnsiTheme="minorHAnsi" w:cstheme="minorHAnsi"/>
        </w:rPr>
        <w:t>To enhance intersectoral collaboration on accessibility-related issues, leveraging internal knowledge and expertise.</w:t>
      </w:r>
    </w:p>
    <w:p w14:paraId="63DFA39F" w14:textId="77777777"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lastRenderedPageBreak/>
        <w:t>To ensure that accessibility is reflected in ITU Strategic Plans and sector specific plans and that relevant data is gathered to assess and monitor performance advance towards ITU accessibility and digital accessibility-related Strategic Target(s).</w:t>
      </w:r>
    </w:p>
    <w:p w14:paraId="1595038D" w14:textId="1C18BC29"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t xml:space="preserve">To </w:t>
      </w:r>
      <w:r w:rsidRPr="00D94835">
        <w:rPr>
          <w:rFonts w:asciiTheme="minorHAnsi" w:eastAsia="Calibri" w:hAnsiTheme="minorHAnsi" w:cstheme="minorHAnsi"/>
          <w:lang w:val="en-US"/>
        </w:rPr>
        <w:t>mainstream accessibility for persons with disabilities in the programmatic activities of the three Sectors and the General Secretariat, by ensuring appropriate resources to support corresponding activities</w:t>
      </w:r>
      <w:r w:rsidR="00680CA7">
        <w:rPr>
          <w:rFonts w:asciiTheme="minorHAnsi" w:eastAsia="Calibri" w:hAnsiTheme="minorHAnsi" w:cstheme="minorHAnsi"/>
          <w:lang w:val="en-US"/>
        </w:rPr>
        <w:t>’</w:t>
      </w:r>
      <w:r w:rsidRPr="00D94835">
        <w:rPr>
          <w:rFonts w:asciiTheme="minorHAnsi" w:eastAsia="Calibri" w:hAnsiTheme="minorHAnsi" w:cstheme="minorHAnsi"/>
          <w:lang w:val="en-US"/>
        </w:rPr>
        <w:t xml:space="preserve"> implementation, monitoring</w:t>
      </w:r>
      <w:r w:rsidR="00680CA7">
        <w:rPr>
          <w:rFonts w:asciiTheme="minorHAnsi" w:eastAsia="Calibri" w:hAnsiTheme="minorHAnsi" w:cstheme="minorHAnsi"/>
          <w:lang w:val="en-US"/>
        </w:rPr>
        <w:t>,</w:t>
      </w:r>
      <w:r w:rsidRPr="00D94835">
        <w:rPr>
          <w:rFonts w:asciiTheme="minorHAnsi" w:eastAsia="Calibri" w:hAnsiTheme="minorHAnsi" w:cstheme="minorHAnsi"/>
          <w:lang w:val="en-US"/>
        </w:rPr>
        <w:t xml:space="preserve"> and evaluation.</w:t>
      </w:r>
    </w:p>
    <w:p w14:paraId="10B5E435" w14:textId="77777777"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t>To strengthen collaboration on accessibility-related matters within the UN Common System and with relevant organizations representing persons with disabilities, to facilitate related disability inclusion work of ITU and with ITU Membership.</w:t>
      </w:r>
    </w:p>
    <w:p w14:paraId="2D0090A2" w14:textId="77777777" w:rsidR="00D94835" w:rsidRPr="00D94835" w:rsidRDefault="00D94835" w:rsidP="00BD6CAC">
      <w:pPr>
        <w:pStyle w:val="ListParagraph"/>
        <w:numPr>
          <w:ilvl w:val="0"/>
          <w:numId w:val="13"/>
        </w:numPr>
        <w:tabs>
          <w:tab w:val="clear" w:pos="794"/>
          <w:tab w:val="clear" w:pos="1191"/>
          <w:tab w:val="clear" w:pos="1588"/>
          <w:tab w:val="clear" w:pos="1985"/>
        </w:tabs>
        <w:spacing w:after="120"/>
        <w:ind w:left="567" w:hanging="567"/>
        <w:contextualSpacing w:val="0"/>
        <w:jc w:val="both"/>
        <w:rPr>
          <w:rFonts w:asciiTheme="minorHAnsi" w:hAnsiTheme="minorHAnsi" w:cstheme="minorHAnsi"/>
        </w:rPr>
      </w:pPr>
      <w:r w:rsidRPr="00D94835">
        <w:rPr>
          <w:rFonts w:asciiTheme="minorHAnsi" w:hAnsiTheme="minorHAnsi" w:cstheme="minorHAnsi"/>
        </w:rPr>
        <w:t>To secure a budget line to ensure that the objectives above can be achieved on an ITU-wide basis.</w:t>
      </w:r>
    </w:p>
    <w:p w14:paraId="289859D2" w14:textId="77777777" w:rsidR="00D94835" w:rsidRPr="00D94835" w:rsidRDefault="00D94835" w:rsidP="00BD6CAC">
      <w:pPr>
        <w:pStyle w:val="Headingb"/>
        <w:keepNext w:val="0"/>
        <w:keepLines w:val="0"/>
        <w:tabs>
          <w:tab w:val="left" w:pos="851"/>
        </w:tabs>
        <w:spacing w:before="480" w:after="240"/>
        <w:jc w:val="both"/>
        <w:rPr>
          <w:rFonts w:asciiTheme="minorHAnsi" w:hAnsiTheme="minorHAnsi" w:cstheme="minorHAnsi"/>
          <w:szCs w:val="24"/>
        </w:rPr>
      </w:pPr>
      <w:r w:rsidRPr="00D94835">
        <w:rPr>
          <w:rFonts w:asciiTheme="minorHAnsi" w:hAnsiTheme="minorHAnsi" w:cstheme="minorHAnsi"/>
          <w:szCs w:val="24"/>
        </w:rPr>
        <w:t>The Framework</w:t>
      </w:r>
    </w:p>
    <w:p w14:paraId="77BA9FEF" w14:textId="77777777" w:rsidR="00D94835" w:rsidRPr="00D94835" w:rsidRDefault="00D94835" w:rsidP="00D94835">
      <w:pPr>
        <w:jc w:val="center"/>
        <w:rPr>
          <w:rFonts w:asciiTheme="minorHAnsi" w:hAnsiTheme="minorHAnsi" w:cstheme="minorHAnsi"/>
          <w:szCs w:val="24"/>
        </w:rPr>
      </w:pPr>
      <w:r w:rsidRPr="00D94835">
        <w:rPr>
          <w:rFonts w:asciiTheme="minorHAnsi" w:hAnsiTheme="minorHAnsi" w:cstheme="minorHAnsi"/>
          <w:noProof/>
          <w:szCs w:val="24"/>
          <w:lang w:val="en-US"/>
        </w:rPr>
        <w:drawing>
          <wp:inline distT="0" distB="0" distL="0" distR="0" wp14:anchorId="68840511" wp14:editId="2BC33B10">
            <wp:extent cx="3757070" cy="386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3770076" cy="3880538"/>
                    </a:xfrm>
                    <a:prstGeom prst="rect">
                      <a:avLst/>
                    </a:prstGeom>
                  </pic:spPr>
                </pic:pic>
              </a:graphicData>
            </a:graphic>
          </wp:inline>
        </w:drawing>
      </w:r>
    </w:p>
    <w:p w14:paraId="4D967B13" w14:textId="77777777" w:rsidR="00D94835" w:rsidRPr="00D94835" w:rsidRDefault="00D94835" w:rsidP="00D94835">
      <w:pPr>
        <w:jc w:val="center"/>
        <w:rPr>
          <w:rFonts w:asciiTheme="minorHAnsi" w:hAnsiTheme="minorHAnsi" w:cstheme="minorHAnsi"/>
          <w:szCs w:val="24"/>
        </w:rPr>
      </w:pPr>
      <w:r w:rsidRPr="00D94835">
        <w:rPr>
          <w:rFonts w:asciiTheme="minorHAnsi" w:hAnsiTheme="minorHAnsi" w:cstheme="minorHAnsi"/>
          <w:b/>
          <w:bCs/>
          <w:szCs w:val="24"/>
        </w:rPr>
        <w:t>Figure: The ITU Accessibility Framework</w:t>
      </w:r>
    </w:p>
    <w:p w14:paraId="20FC6D6F" w14:textId="77777777" w:rsidR="00D94835" w:rsidRPr="00D94835" w:rsidRDefault="00D94835" w:rsidP="00C261AF">
      <w:pPr>
        <w:pStyle w:val="Headingb"/>
        <w:keepNext w:val="0"/>
        <w:keepLines w:val="0"/>
        <w:tabs>
          <w:tab w:val="clear" w:pos="567"/>
          <w:tab w:val="clear" w:pos="1134"/>
          <w:tab w:val="clear" w:pos="1701"/>
          <w:tab w:val="clear" w:pos="2268"/>
          <w:tab w:val="clear" w:pos="2835"/>
        </w:tabs>
        <w:spacing w:before="480" w:after="120"/>
        <w:ind w:left="0" w:firstLine="0"/>
        <w:jc w:val="both"/>
        <w:rPr>
          <w:rFonts w:asciiTheme="minorHAnsi" w:hAnsiTheme="minorHAnsi" w:cstheme="minorHAnsi"/>
          <w:szCs w:val="24"/>
        </w:rPr>
      </w:pPr>
      <w:r w:rsidRPr="00D94835">
        <w:rPr>
          <w:rFonts w:asciiTheme="minorHAnsi" w:hAnsiTheme="minorHAnsi" w:cstheme="minorHAnsi"/>
          <w:bCs/>
          <w:szCs w:val="24"/>
        </w:rPr>
        <w:t xml:space="preserve">Methodology </w:t>
      </w:r>
      <w:r w:rsidRPr="00D94835">
        <w:rPr>
          <w:rFonts w:asciiTheme="minorHAnsi" w:hAnsiTheme="minorHAnsi" w:cstheme="minorHAnsi"/>
          <w:szCs w:val="24"/>
        </w:rPr>
        <w:t>and i</w:t>
      </w:r>
      <w:r w:rsidRPr="00D94835">
        <w:rPr>
          <w:rFonts w:asciiTheme="minorHAnsi" w:hAnsiTheme="minorHAnsi" w:cstheme="minorHAnsi"/>
          <w:bCs/>
          <w:szCs w:val="24"/>
        </w:rPr>
        <w:t>mplementation</w:t>
      </w:r>
    </w:p>
    <w:p w14:paraId="0EFEF386" w14:textId="178153CC" w:rsidR="00D94835" w:rsidRPr="00D94835" w:rsidRDefault="00D94835" w:rsidP="00BD6CAC">
      <w:pPr>
        <w:pStyle w:val="Headingb"/>
        <w:keepNext w:val="0"/>
        <w:keepLines w:val="0"/>
        <w:tabs>
          <w:tab w:val="clear" w:pos="567"/>
          <w:tab w:val="clear" w:pos="1134"/>
          <w:tab w:val="clear" w:pos="1701"/>
          <w:tab w:val="clear" w:pos="2268"/>
          <w:tab w:val="clear" w:pos="2835"/>
        </w:tabs>
        <w:spacing w:before="120" w:after="120"/>
        <w:ind w:left="0" w:firstLine="0"/>
        <w:jc w:val="both"/>
        <w:rPr>
          <w:rFonts w:asciiTheme="minorHAnsi" w:hAnsiTheme="minorHAnsi" w:cstheme="minorHAnsi"/>
          <w:b w:val="0"/>
          <w:szCs w:val="24"/>
        </w:rPr>
      </w:pPr>
      <w:bookmarkStart w:id="15" w:name="_Toc344305556"/>
      <w:bookmarkStart w:id="16" w:name="_Toc344416539"/>
      <w:bookmarkStart w:id="17" w:name="_Toc344417166"/>
      <w:bookmarkStart w:id="18" w:name="_Toc344417301"/>
      <w:bookmarkStart w:id="19" w:name="_Toc346029824"/>
      <w:bookmarkStart w:id="20" w:name="_Toc346032646"/>
      <w:bookmarkStart w:id="21" w:name="_Toc346095676"/>
      <w:r w:rsidRPr="00D94835">
        <w:rPr>
          <w:rFonts w:asciiTheme="minorHAnsi" w:hAnsiTheme="minorHAnsi" w:cstheme="minorHAnsi"/>
          <w:b w:val="0"/>
          <w:szCs w:val="24"/>
        </w:rPr>
        <w:t xml:space="preserve">An </w:t>
      </w:r>
      <w:r w:rsidRPr="00D94835">
        <w:rPr>
          <w:rFonts w:asciiTheme="minorHAnsi" w:hAnsiTheme="minorHAnsi" w:cstheme="minorHAnsi"/>
          <w:szCs w:val="24"/>
        </w:rPr>
        <w:t>ITU-wide Accessibility Strategy</w:t>
      </w:r>
      <w:r w:rsidRPr="00D94835">
        <w:rPr>
          <w:rFonts w:asciiTheme="minorHAnsi" w:hAnsiTheme="minorHAnsi" w:cstheme="minorHAnsi"/>
          <w:b w:val="0"/>
          <w:szCs w:val="24"/>
        </w:rPr>
        <w:t xml:space="preserve"> aiming to achieve the above-mentioned objectives, with regular monitoring, evaluation</w:t>
      </w:r>
      <w:r w:rsidR="00680CA7">
        <w:rPr>
          <w:rFonts w:asciiTheme="minorHAnsi" w:hAnsiTheme="minorHAnsi" w:cstheme="minorHAnsi"/>
          <w:b w:val="0"/>
          <w:szCs w:val="24"/>
        </w:rPr>
        <w:t>,</w:t>
      </w:r>
      <w:r w:rsidRPr="00D94835">
        <w:rPr>
          <w:rFonts w:asciiTheme="minorHAnsi" w:hAnsiTheme="minorHAnsi" w:cstheme="minorHAnsi"/>
          <w:b w:val="0"/>
          <w:szCs w:val="24"/>
        </w:rPr>
        <w:t xml:space="preserve"> and reporting on the achievements and related implementation, should be developed.</w:t>
      </w:r>
    </w:p>
    <w:p w14:paraId="65D117FF" w14:textId="6AFC7B55" w:rsidR="00D94835" w:rsidRPr="00D94835" w:rsidRDefault="00D94835" w:rsidP="00BD6CAC">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94835">
        <w:rPr>
          <w:rFonts w:asciiTheme="minorHAnsi" w:hAnsiTheme="minorHAnsi" w:cstheme="minorHAnsi"/>
          <w:szCs w:val="24"/>
        </w:rPr>
        <w:t xml:space="preserve">This Strategy should include key performance indicators (KPIs) for implementation of each objective, estimation of the necessary resources, indicate milestones and timelines, </w:t>
      </w:r>
      <w:proofErr w:type="gramStart"/>
      <w:r w:rsidRPr="00D94835">
        <w:rPr>
          <w:rFonts w:asciiTheme="minorHAnsi" w:hAnsiTheme="minorHAnsi" w:cstheme="minorHAnsi"/>
          <w:szCs w:val="24"/>
        </w:rPr>
        <w:t>expected</w:t>
      </w:r>
      <w:proofErr w:type="gramEnd"/>
      <w:r w:rsidRPr="00D94835">
        <w:rPr>
          <w:rFonts w:asciiTheme="minorHAnsi" w:hAnsiTheme="minorHAnsi" w:cstheme="minorHAnsi"/>
          <w:szCs w:val="24"/>
        </w:rPr>
        <w:t xml:space="preserve"> and achieved results, as well as evaluation of risks and proposed mitigation. </w:t>
      </w:r>
    </w:p>
    <w:p w14:paraId="219273F2" w14:textId="3740C36D" w:rsidR="00D94835" w:rsidRPr="00D94835" w:rsidRDefault="00D94835" w:rsidP="00BD6CAC">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94835">
        <w:rPr>
          <w:rFonts w:asciiTheme="minorHAnsi" w:hAnsiTheme="minorHAnsi" w:cstheme="minorHAnsi"/>
          <w:szCs w:val="24"/>
        </w:rPr>
        <w:lastRenderedPageBreak/>
        <w:t xml:space="preserve">A detailed report on the ITU accessibility policy and framework implementation should be presented to the 2022 Session of </w:t>
      </w:r>
      <w:r w:rsidR="00C261AF">
        <w:rPr>
          <w:rFonts w:asciiTheme="minorHAnsi" w:hAnsiTheme="minorHAnsi" w:cstheme="minorHAnsi"/>
          <w:szCs w:val="24"/>
        </w:rPr>
        <w:t xml:space="preserve">the </w:t>
      </w:r>
      <w:r w:rsidRPr="00D94835">
        <w:rPr>
          <w:rFonts w:asciiTheme="minorHAnsi" w:hAnsiTheme="minorHAnsi" w:cstheme="minorHAnsi"/>
          <w:szCs w:val="24"/>
        </w:rPr>
        <w:t>Council, and regular updates should be presented to further Council sessions.</w:t>
      </w:r>
    </w:p>
    <w:p w14:paraId="0A76CA62" w14:textId="77777777" w:rsidR="00D94835" w:rsidRPr="00D94835" w:rsidRDefault="00D94835" w:rsidP="00BD6CAC">
      <w:pPr>
        <w:pStyle w:val="Headingb"/>
        <w:keepNext w:val="0"/>
        <w:keepLines w:val="0"/>
        <w:tabs>
          <w:tab w:val="clear" w:pos="567"/>
          <w:tab w:val="clear" w:pos="1134"/>
          <w:tab w:val="clear" w:pos="1701"/>
          <w:tab w:val="clear" w:pos="2268"/>
          <w:tab w:val="clear" w:pos="2835"/>
        </w:tabs>
        <w:spacing w:before="240" w:after="120"/>
        <w:ind w:left="0" w:firstLine="0"/>
        <w:jc w:val="both"/>
        <w:rPr>
          <w:rFonts w:asciiTheme="minorHAnsi" w:hAnsiTheme="minorHAnsi" w:cstheme="minorHAnsi"/>
          <w:szCs w:val="24"/>
        </w:rPr>
      </w:pPr>
      <w:r w:rsidRPr="00D94835">
        <w:rPr>
          <w:rFonts w:asciiTheme="minorHAnsi" w:hAnsiTheme="minorHAnsi" w:cstheme="minorHAnsi"/>
          <w:szCs w:val="24"/>
        </w:rPr>
        <w:t>Resources</w:t>
      </w:r>
    </w:p>
    <w:p w14:paraId="0A3EBF50" w14:textId="77777777" w:rsidR="00D94835" w:rsidRPr="00D94835" w:rsidRDefault="00D94835" w:rsidP="00BD6CAC">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94835">
        <w:rPr>
          <w:rFonts w:asciiTheme="minorHAnsi" w:hAnsiTheme="minorHAnsi" w:cstheme="minorHAnsi"/>
          <w:szCs w:val="24"/>
        </w:rPr>
        <w:t xml:space="preserve">To ensure implementation of this policy, allocation of necessary funding is key. Currently there is no separate budget for accessibility services. Real-time captioning and sign-language interpretation have been offered in select ITU events for several years but </w:t>
      </w:r>
      <w:bookmarkStart w:id="22" w:name="_Hlk68186586"/>
      <w:r w:rsidRPr="00D94835">
        <w:rPr>
          <w:rFonts w:asciiTheme="minorHAnsi" w:hAnsiTheme="minorHAnsi" w:cstheme="minorHAnsi"/>
          <w:szCs w:val="24"/>
        </w:rPr>
        <w:t>covered by ad-hoc funds (</w:t>
      </w:r>
      <w:proofErr w:type="gramStart"/>
      <w:r w:rsidRPr="00D94835">
        <w:rPr>
          <w:rFonts w:asciiTheme="minorHAnsi" w:hAnsiTheme="minorHAnsi" w:cstheme="minorHAnsi"/>
          <w:szCs w:val="24"/>
        </w:rPr>
        <w:t>e.g.</w:t>
      </w:r>
      <w:proofErr w:type="gramEnd"/>
      <w:r w:rsidRPr="00D94835">
        <w:rPr>
          <w:rFonts w:asciiTheme="minorHAnsi" w:hAnsiTheme="minorHAnsi" w:cstheme="minorHAnsi"/>
          <w:szCs w:val="24"/>
        </w:rPr>
        <w:t xml:space="preserve"> an event organizers' budget). </w:t>
      </w:r>
      <w:bookmarkEnd w:id="22"/>
    </w:p>
    <w:p w14:paraId="243E0BE6" w14:textId="7562AC4F" w:rsidR="00D94835" w:rsidRPr="00D94835" w:rsidRDefault="00D94835" w:rsidP="00BD6CAC">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94835">
        <w:rPr>
          <w:rFonts w:asciiTheme="minorHAnsi" w:hAnsiTheme="minorHAnsi" w:cstheme="minorHAnsi"/>
          <w:szCs w:val="24"/>
        </w:rPr>
        <w:t>ITU membership is further encouraged to contribute to the implementation of the ITU accessibility policy for persons with disabilities through the ITU Accessibility Fund for the Digital Inclusion of Persons with Disabilities, set up by ITU as instructed in Resolution 175 (</w:t>
      </w:r>
      <w:r w:rsidR="00C261AF">
        <w:rPr>
          <w:rFonts w:asciiTheme="minorHAnsi" w:hAnsiTheme="minorHAnsi" w:cstheme="minorHAnsi"/>
          <w:szCs w:val="24"/>
        </w:rPr>
        <w:t>R</w:t>
      </w:r>
      <w:r w:rsidRPr="00D94835">
        <w:rPr>
          <w:rFonts w:asciiTheme="minorHAnsi" w:hAnsiTheme="minorHAnsi" w:cstheme="minorHAnsi"/>
          <w:szCs w:val="24"/>
        </w:rPr>
        <w:t xml:space="preserve">ev. Dubai, 2018). The Fund has not been replenished since 2018. </w:t>
      </w:r>
    </w:p>
    <w:p w14:paraId="7B5B33FE" w14:textId="77777777" w:rsidR="00D94835" w:rsidRPr="00D94835" w:rsidRDefault="00D94835" w:rsidP="00BD6CAC">
      <w:pPr>
        <w:pStyle w:val="Headingb"/>
        <w:keepNext w:val="0"/>
        <w:keepLines w:val="0"/>
        <w:tabs>
          <w:tab w:val="clear" w:pos="567"/>
          <w:tab w:val="clear" w:pos="1134"/>
          <w:tab w:val="clear" w:pos="1701"/>
          <w:tab w:val="clear" w:pos="2268"/>
          <w:tab w:val="clear" w:pos="2835"/>
        </w:tabs>
        <w:spacing w:before="240" w:after="120"/>
        <w:ind w:left="0" w:firstLine="0"/>
        <w:jc w:val="both"/>
        <w:rPr>
          <w:rFonts w:asciiTheme="minorHAnsi" w:hAnsiTheme="minorHAnsi" w:cstheme="minorHAnsi"/>
          <w:szCs w:val="24"/>
        </w:rPr>
      </w:pPr>
      <w:r w:rsidRPr="00D94835">
        <w:rPr>
          <w:rFonts w:asciiTheme="minorHAnsi" w:hAnsiTheme="minorHAnsi" w:cstheme="minorHAnsi"/>
          <w:szCs w:val="24"/>
        </w:rPr>
        <w:t xml:space="preserve">Review </w:t>
      </w:r>
    </w:p>
    <w:p w14:paraId="74E69560" w14:textId="77777777" w:rsidR="00D94835" w:rsidRPr="00D94835" w:rsidRDefault="00D94835" w:rsidP="00BD6CAC">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94835">
        <w:rPr>
          <w:rFonts w:asciiTheme="minorHAnsi" w:hAnsiTheme="minorHAnsi" w:cstheme="minorHAnsi"/>
          <w:szCs w:val="24"/>
        </w:rPr>
        <w:t xml:space="preserve">The revised ITU accessibility Policy </w:t>
      </w:r>
      <w:bookmarkStart w:id="23" w:name="_Hlk68186277"/>
      <w:r w:rsidRPr="00D94835">
        <w:rPr>
          <w:rFonts w:asciiTheme="minorHAnsi" w:hAnsiTheme="minorHAnsi" w:cstheme="minorHAnsi"/>
          <w:szCs w:val="24"/>
        </w:rPr>
        <w:t xml:space="preserve">for persons with disabilities </w:t>
      </w:r>
      <w:bookmarkEnd w:id="23"/>
      <w:r w:rsidRPr="00D94835">
        <w:rPr>
          <w:rFonts w:asciiTheme="minorHAnsi" w:hAnsiTheme="minorHAnsi" w:cstheme="minorHAnsi"/>
          <w:szCs w:val="24"/>
        </w:rPr>
        <w:t>shall be implemented within available allocated resources and shall come into effect as of the date of its endorsement by ITU Council.</w:t>
      </w:r>
    </w:p>
    <w:p w14:paraId="4CFD78B0" w14:textId="77777777" w:rsidR="00D94835" w:rsidRPr="00D94835" w:rsidRDefault="00D94835" w:rsidP="00BD6CAC">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94835">
        <w:rPr>
          <w:rFonts w:asciiTheme="minorHAnsi" w:hAnsiTheme="minorHAnsi" w:cstheme="minorHAnsi"/>
          <w:szCs w:val="24"/>
        </w:rPr>
        <w:t xml:space="preserve">The ITU accessibility Policy for persons with disabilities will be reviewed and updated at least every four years after its inception to draw from emerging best practices and lessons learned </w:t>
      </w:r>
      <w:proofErr w:type="gramStart"/>
      <w:r w:rsidRPr="00D94835">
        <w:rPr>
          <w:rFonts w:asciiTheme="minorHAnsi" w:hAnsiTheme="minorHAnsi" w:cstheme="minorHAnsi"/>
          <w:szCs w:val="24"/>
        </w:rPr>
        <w:t>and also</w:t>
      </w:r>
      <w:proofErr w:type="gramEnd"/>
      <w:r w:rsidRPr="00D94835">
        <w:rPr>
          <w:rFonts w:asciiTheme="minorHAnsi" w:hAnsiTheme="minorHAnsi" w:cstheme="minorHAnsi"/>
          <w:szCs w:val="24"/>
        </w:rPr>
        <w:t xml:space="preserve"> include technology progress in the topic of digital accessibility.</w:t>
      </w:r>
    </w:p>
    <w:p w14:paraId="40975FDC" w14:textId="18DA943E" w:rsidR="00CF134B" w:rsidRPr="00D94835" w:rsidRDefault="00CF134B" w:rsidP="006848DD">
      <w:pPr>
        <w:spacing w:before="840"/>
        <w:jc w:val="center"/>
        <w:rPr>
          <w:rFonts w:asciiTheme="minorHAnsi" w:hAnsiTheme="minorHAnsi" w:cstheme="minorHAnsi"/>
          <w:szCs w:val="24"/>
        </w:rPr>
      </w:pPr>
      <w:bookmarkStart w:id="24" w:name="_Toc339441640"/>
      <w:bookmarkEnd w:id="24"/>
      <w:bookmarkEnd w:id="12"/>
      <w:bookmarkEnd w:id="15"/>
      <w:bookmarkEnd w:id="16"/>
      <w:bookmarkEnd w:id="17"/>
      <w:bookmarkEnd w:id="18"/>
      <w:bookmarkEnd w:id="19"/>
      <w:bookmarkEnd w:id="20"/>
      <w:bookmarkEnd w:id="21"/>
      <w:r w:rsidRPr="00D94835">
        <w:rPr>
          <w:rFonts w:asciiTheme="minorHAnsi" w:hAnsiTheme="minorHAnsi" w:cstheme="minorHAnsi"/>
          <w:szCs w:val="24"/>
        </w:rPr>
        <w:t>_______________</w:t>
      </w:r>
    </w:p>
    <w:sectPr w:rsidR="00CF134B" w:rsidRPr="00D94835" w:rsidSect="004D1851">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FCCC" w14:textId="1B8C387A" w:rsidR="00CB18FF" w:rsidRPr="006848DD" w:rsidRDefault="00CB18FF">
    <w:pPr>
      <w:pStyle w:val="Footer"/>
      <w:rPr>
        <w:color w:val="D9D9D9" w:themeColor="background1" w:themeShade="D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7BBD9F23" w14:textId="05B440FF" w:rsidR="00D94835" w:rsidRPr="00602999" w:rsidRDefault="00D94835" w:rsidP="00D94835">
      <w:pPr>
        <w:pStyle w:val="FootnoteText"/>
        <w:rPr>
          <w:sz w:val="18"/>
          <w:szCs w:val="18"/>
        </w:rPr>
      </w:pPr>
      <w:r w:rsidRPr="00602999">
        <w:rPr>
          <w:sz w:val="18"/>
          <w:szCs w:val="12"/>
        </w:rPr>
        <w:footnoteRef/>
      </w:r>
      <w:r w:rsidRPr="00602999">
        <w:rPr>
          <w:sz w:val="18"/>
          <w:szCs w:val="18"/>
        </w:rPr>
        <w:t xml:space="preserve"> </w:t>
      </w:r>
      <w:r w:rsidR="00BD6CAC">
        <w:rPr>
          <w:sz w:val="18"/>
          <w:szCs w:val="18"/>
        </w:rPr>
        <w:tab/>
      </w:r>
      <w:r>
        <w:rPr>
          <w:sz w:val="18"/>
          <w:szCs w:val="18"/>
        </w:rPr>
        <w:t>Within the limits fixed by the</w:t>
      </w:r>
      <w:r w:rsidRPr="00602999">
        <w:rPr>
          <w:sz w:val="18"/>
          <w:szCs w:val="18"/>
        </w:rPr>
        <w:t xml:space="preserve"> Mandatory age for retirement.</w:t>
      </w:r>
    </w:p>
  </w:footnote>
  <w:footnote w:id="2">
    <w:p w14:paraId="348F091C" w14:textId="54E58F38" w:rsidR="00D94835" w:rsidRPr="00C316B9" w:rsidRDefault="00D94835" w:rsidP="00BD6CAC">
      <w:pPr>
        <w:pStyle w:val="FootnoteText"/>
        <w:spacing w:before="40"/>
        <w:rPr>
          <w:sz w:val="18"/>
          <w:szCs w:val="18"/>
          <w:lang w:val="en-US"/>
        </w:rPr>
      </w:pPr>
      <w:r>
        <w:rPr>
          <w:rStyle w:val="FootnoteReference"/>
        </w:rPr>
        <w:footnoteRef/>
      </w:r>
      <w:r>
        <w:t xml:space="preserve"> </w:t>
      </w:r>
      <w:r w:rsidR="00BD6CAC">
        <w:tab/>
      </w:r>
      <w:r w:rsidRPr="00C316B9">
        <w:rPr>
          <w:sz w:val="18"/>
          <w:szCs w:val="18"/>
          <w:lang w:val="en-US"/>
        </w:rPr>
        <w:t xml:space="preserve">As per </w:t>
      </w:r>
      <w:r>
        <w:rPr>
          <w:sz w:val="18"/>
          <w:szCs w:val="18"/>
          <w:lang w:val="en-US"/>
        </w:rPr>
        <w:t>SO</w:t>
      </w:r>
      <w:r w:rsidRPr="00C316B9">
        <w:rPr>
          <w:sz w:val="18"/>
          <w:szCs w:val="18"/>
          <w:lang w:val="en-US"/>
        </w:rPr>
        <w:t xml:space="preserve"> No. 21/02, Policy for awarding fellowships for events and activities funded through the ITU</w:t>
      </w:r>
      <w:r>
        <w:rPr>
          <w:sz w:val="18"/>
          <w:szCs w:val="18"/>
          <w:lang w:val="en-US"/>
        </w:rPr>
        <w:t xml:space="preserve"> </w:t>
      </w:r>
      <w:r w:rsidRPr="00C316B9">
        <w:rPr>
          <w:sz w:val="18"/>
          <w:szCs w:val="18"/>
          <w:lang w:val="en-US"/>
        </w:rPr>
        <w:t xml:space="preserve">regular </w:t>
      </w:r>
      <w:proofErr w:type="gramStart"/>
      <w:r w:rsidRPr="00C316B9">
        <w:rPr>
          <w:sz w:val="18"/>
          <w:szCs w:val="18"/>
          <w:lang w:val="en-US"/>
        </w:rPr>
        <w:t>budget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3C71F6B3" w:rsidR="00322D0D" w:rsidRDefault="006535F1" w:rsidP="00CE433C">
    <w:pPr>
      <w:pStyle w:val="Header"/>
    </w:pPr>
    <w:r>
      <w:fldChar w:fldCharType="begin"/>
    </w:r>
    <w:r>
      <w:instrText>PAGE</w:instrText>
    </w:r>
    <w:r>
      <w:fldChar w:fldCharType="separate"/>
    </w:r>
    <w:r w:rsidR="00680CA7">
      <w:rPr>
        <w:noProof/>
      </w:rPr>
      <w:t>2</w:t>
    </w:r>
    <w:r>
      <w:rPr>
        <w:noProof/>
      </w:rPr>
      <w:fldChar w:fldCharType="end"/>
    </w:r>
  </w:p>
  <w:p w14:paraId="34EC98F4" w14:textId="5E9A79BD"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680CA7">
      <w:rPr>
        <w:bCs/>
      </w:rPr>
      <w:t>72</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2372"/>
    <w:multiLevelType w:val="hybridMultilevel"/>
    <w:tmpl w:val="2858163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3150585"/>
    <w:multiLevelType w:val="hybridMultilevel"/>
    <w:tmpl w:val="FC26F4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04ED2"/>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0CA7"/>
    <w:rsid w:val="006848DD"/>
    <w:rsid w:val="006B6680"/>
    <w:rsid w:val="006B6DCC"/>
    <w:rsid w:val="00702DEF"/>
    <w:rsid w:val="00706861"/>
    <w:rsid w:val="00722181"/>
    <w:rsid w:val="00740FE3"/>
    <w:rsid w:val="0075051B"/>
    <w:rsid w:val="00793188"/>
    <w:rsid w:val="00794D34"/>
    <w:rsid w:val="007F0BF1"/>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D6CAC"/>
    <w:rsid w:val="00BE2640"/>
    <w:rsid w:val="00C01189"/>
    <w:rsid w:val="00C261AF"/>
    <w:rsid w:val="00C37412"/>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94835"/>
    <w:rsid w:val="00DB384B"/>
    <w:rsid w:val="00DE4373"/>
    <w:rsid w:val="00E10E80"/>
    <w:rsid w:val="00E124F0"/>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D94835"/>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67" TargetMode="External"/><Relationship Id="rId18" Type="http://schemas.openxmlformats.org/officeDocument/2006/relationships/hyperlink" Target="https://www.itu.int/en/council/Documents/basic-texts/RES-175-E.pdf" TargetMode="External"/><Relationship Id="rId26" Type="http://schemas.openxmlformats.org/officeDocument/2006/relationships/hyperlink" Target="https://www.itu.int/en/general-secretariat/Pages/ISCG/default.aspx" TargetMode="External"/><Relationship Id="rId3" Type="http://schemas.openxmlformats.org/officeDocument/2006/relationships/styles" Target="styles.xml"/><Relationship Id="rId21" Type="http://schemas.openxmlformats.org/officeDocument/2006/relationships/hyperlink" Target="https://www.itu.int/pub/R-RES-R.67" TargetMode="External"/><Relationship Id="rId7" Type="http://schemas.openxmlformats.org/officeDocument/2006/relationships/endnotes" Target="endnotes.xml"/><Relationship Id="rId12" Type="http://schemas.openxmlformats.org/officeDocument/2006/relationships/hyperlink" Target="https://www.itu.int/opb/publications.aspx?lang=en&amp;parent=T-RES-T.70-2016" TargetMode="External"/><Relationship Id="rId17" Type="http://schemas.openxmlformats.org/officeDocument/2006/relationships/hyperlink" Target="https://www.unjiu.org/sites/www.unjiu.org/files/jiu_rep_2018_6_english.pdf" TargetMode="External"/><Relationship Id="rId25" Type="http://schemas.openxmlformats.org/officeDocument/2006/relationships/hyperlink" Target="https://www.un.org/en/content/disabilitystrateg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council/Documents/basic-texts/RES-175-E.pdf" TargetMode="External"/><Relationship Id="rId20" Type="http://schemas.openxmlformats.org/officeDocument/2006/relationships/hyperlink" Target="https://www.itu.int/opb/publications.aspx?lang=en&amp;parent=T-RES-T.70-201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17/Documents/WTDC17_final_report_en.pdf" TargetMode="External"/><Relationship Id="rId24" Type="http://schemas.openxmlformats.org/officeDocument/2006/relationships/hyperlink" Target="https://www.un.org/en/content/disabilitystrateg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org/development/desa/disabilities/convention-on-the-rights-of-persons-with-disabilities.html" TargetMode="External"/><Relationship Id="rId23" Type="http://schemas.openxmlformats.org/officeDocument/2006/relationships/hyperlink" Target="https://itu.foleon.com/itu/connect-2030-agenda/home/" TargetMode="External"/><Relationship Id="rId28" Type="http://schemas.openxmlformats.org/officeDocument/2006/relationships/image" Target="media/image2.png"/><Relationship Id="rId10" Type="http://schemas.openxmlformats.org/officeDocument/2006/relationships/hyperlink" Target="https://www.itu.int/en/council/Documents/basic-texts/RES-175-E.pdf" TargetMode="External"/><Relationship Id="rId19" Type="http://schemas.openxmlformats.org/officeDocument/2006/relationships/hyperlink" Target="https://www.itu.int/en/ITU-D/Conferences/WTDC/WTDC17/Documents/WTDC17_final_report_en.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S13-CL-C-0042/en" TargetMode="External"/><Relationship Id="rId14" Type="http://schemas.openxmlformats.org/officeDocument/2006/relationships/hyperlink" Target="http://www.itu.int/md/S13-CL-C-0042/en" TargetMode="External"/><Relationship Id="rId22" Type="http://schemas.openxmlformats.org/officeDocument/2006/relationships/hyperlink" Target="https://www.itu.int/en/council/planning/Documents/ITU_Strategic_plan_2020-2023.pdf" TargetMode="External"/><Relationship Id="rId27" Type="http://schemas.openxmlformats.org/officeDocument/2006/relationships/hyperlink" Target="https://www.itu.int/en/general-secretariat/ties/ISCGDocumentLibrary/1st%20Meeting%202021/ISCG-21-1-07-E-1st%20Meeting%202021-Final%20Report.docx" TargetMode="External"/><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0D9F-C416-4917-A100-BAF62C27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1328</Words>
  <Characters>9541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Draft ITU accessibility policy for persons with disabilities</vt:lpstr>
    </vt:vector>
  </TitlesOfParts>
  <Manager>General Secretariat - Pool</Manager>
  <Company>International Telecommunication Union (ITU)</Company>
  <LinksUpToDate>false</LinksUpToDate>
  <CharactersWithSpaces>10848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 accessibility policy for persons with disabilities</dc:title>
  <dc:subject>Council 2021, Virtual consultation of councillors</dc:subject>
  <dc:creator>Brouard, Ricarda</dc:creator>
  <cp:keywords>C2021, C21, VCC, C21-VCC-1</cp:keywords>
  <dc:description/>
  <cp:lastModifiedBy>Brouard, Ricarda</cp:lastModifiedBy>
  <cp:revision>5</cp:revision>
  <cp:lastPrinted>2000-07-18T13:30:00Z</cp:lastPrinted>
  <dcterms:created xsi:type="dcterms:W3CDTF">2021-04-08T10:07:00Z</dcterms:created>
  <dcterms:modified xsi:type="dcterms:W3CDTF">2021-04-14T11:25:00Z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