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153A61" w14:paraId="2EF76A0A" w14:textId="77777777">
        <w:trPr>
          <w:cantSplit/>
        </w:trPr>
        <w:tc>
          <w:tcPr>
            <w:tcW w:w="6911" w:type="dxa"/>
          </w:tcPr>
          <w:p w14:paraId="59E8F92B" w14:textId="77777777" w:rsidR="00700D1F" w:rsidRPr="00153A61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153A61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153A61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153A61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911867" w:rsidRPr="00153A61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1</w:t>
            </w:r>
            <w:r w:rsidRPr="00153A61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153A61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20</w:t>
            </w:r>
            <w:r w:rsidR="008418F5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2</w:t>
            </w:r>
            <w:r w:rsidR="00911867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1</w:t>
            </w:r>
            <w:r w:rsidR="009625D8" w:rsidRPr="00153A61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年</w:t>
            </w:r>
            <w:r w:rsidR="00D453EE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6</w:t>
            </w:r>
            <w:r w:rsidR="009625D8" w:rsidRPr="00153A61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月</w:t>
            </w:r>
            <w:r w:rsidR="00911867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8</w:t>
            </w:r>
            <w:r w:rsidR="00A5354B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-</w:t>
            </w:r>
            <w:r w:rsidR="008418F5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1</w:t>
            </w:r>
            <w:r w:rsidR="00911867" w:rsidRPr="00153A61">
              <w:rPr>
                <w:b/>
                <w:bCs/>
                <w:color w:val="000000"/>
                <w:sz w:val="28"/>
                <w:szCs w:val="22"/>
                <w:lang w:eastAsia="zh-CN"/>
              </w:rPr>
              <w:t>8</w:t>
            </w:r>
            <w:r w:rsidR="009625D8" w:rsidRPr="00153A61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日</w:t>
            </w:r>
            <w:r w:rsidR="009625D8" w:rsidRPr="00153A61">
              <w:rPr>
                <w:rFonts w:ascii="SimSun" w:hAnsi="SimSun" w:cs="SimSun" w:hint="eastAsia"/>
                <w:b/>
                <w:bCs/>
                <w:smallCaps/>
                <w:sz w:val="28"/>
                <w:szCs w:val="28"/>
                <w:lang w:val="en-US" w:eastAsia="zh-CN"/>
              </w:rPr>
              <w:t>，</w:t>
            </w:r>
            <w:r w:rsidR="00911867" w:rsidRPr="00153A61">
              <w:rPr>
                <w:rFonts w:ascii="SimSun" w:hAnsi="SimSun" w:hint="eastAsia"/>
                <w:b/>
                <w:bCs/>
                <w:color w:val="000000"/>
                <w:sz w:val="28"/>
                <w:szCs w:val="22"/>
                <w:lang w:eastAsia="zh-CN"/>
              </w:rPr>
              <w:t>理事磋商会虚拟会议</w:t>
            </w:r>
          </w:p>
        </w:tc>
        <w:tc>
          <w:tcPr>
            <w:tcW w:w="3120" w:type="dxa"/>
          </w:tcPr>
          <w:p w14:paraId="59ABCD7F" w14:textId="77777777" w:rsidR="00700D1F" w:rsidRPr="00153A61" w:rsidRDefault="008418F5" w:rsidP="008418F5">
            <w:pPr>
              <w:spacing w:before="0"/>
            </w:pPr>
            <w:bookmarkStart w:id="0" w:name="ditulogo"/>
            <w:bookmarkEnd w:id="0"/>
            <w:r w:rsidRPr="00153A61">
              <w:rPr>
                <w:noProof/>
                <w:lang w:val="en-US" w:eastAsia="zh-CN"/>
              </w:rPr>
              <w:drawing>
                <wp:inline distT="0" distB="0" distL="0" distR="0" wp14:anchorId="7A4C7A53" wp14:editId="62FDAF3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153A61" w14:paraId="4B0E4B3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4ABC07F" w14:textId="77777777" w:rsidR="00700D1F" w:rsidRPr="00153A61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C04B130" w14:textId="77777777" w:rsidR="00700D1F" w:rsidRPr="00153A61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153A61" w14:paraId="5B12E9C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6943F7" w14:textId="77777777" w:rsidR="00700D1F" w:rsidRPr="00153A61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7614EA5" w14:textId="77777777" w:rsidR="00700D1F" w:rsidRPr="00153A61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153A61" w14:paraId="74080C9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F9F6F53" w14:textId="77777777" w:rsidR="00700D1F" w:rsidRPr="00153A61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153A61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153A61">
              <w:rPr>
                <w:b/>
                <w:szCs w:val="24"/>
                <w:lang w:eastAsia="zh-CN"/>
              </w:rPr>
              <w:t>：</w:t>
            </w:r>
            <w:r w:rsidR="00B40A53" w:rsidRPr="00153A61">
              <w:rPr>
                <w:b/>
              </w:rPr>
              <w:t xml:space="preserve">PL </w:t>
            </w:r>
            <w:r w:rsidR="009815ED" w:rsidRPr="00153A61">
              <w:rPr>
                <w:b/>
              </w:rPr>
              <w:t>1.11</w:t>
            </w:r>
          </w:p>
        </w:tc>
        <w:tc>
          <w:tcPr>
            <w:tcW w:w="3120" w:type="dxa"/>
          </w:tcPr>
          <w:p w14:paraId="227EC2E8" w14:textId="77777777" w:rsidR="00700D1F" w:rsidRPr="00153A61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153A61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153A61">
              <w:rPr>
                <w:b/>
                <w:bCs/>
                <w:sz w:val="20"/>
                <w:lang w:eastAsia="zh-CN"/>
              </w:rPr>
              <w:t xml:space="preserve"> </w:t>
            </w:r>
            <w:r w:rsidRPr="00153A61">
              <w:rPr>
                <w:b/>
                <w:bCs/>
                <w:szCs w:val="24"/>
                <w:lang w:eastAsia="zh-CN"/>
              </w:rPr>
              <w:t>C</w:t>
            </w:r>
            <w:r w:rsidR="008418F5" w:rsidRPr="00153A61">
              <w:rPr>
                <w:b/>
                <w:bCs/>
                <w:szCs w:val="24"/>
                <w:lang w:eastAsia="zh-CN"/>
              </w:rPr>
              <w:t>2</w:t>
            </w:r>
            <w:r w:rsidR="00911867" w:rsidRPr="00153A61">
              <w:rPr>
                <w:b/>
                <w:bCs/>
                <w:szCs w:val="24"/>
                <w:lang w:eastAsia="zh-CN"/>
              </w:rPr>
              <w:t>1</w:t>
            </w:r>
            <w:r w:rsidRPr="00153A61">
              <w:rPr>
                <w:b/>
                <w:bCs/>
                <w:szCs w:val="24"/>
                <w:lang w:eastAsia="zh-CN"/>
              </w:rPr>
              <w:t>/</w:t>
            </w:r>
            <w:r w:rsidR="009815ED" w:rsidRPr="00153A61">
              <w:rPr>
                <w:b/>
                <w:bCs/>
                <w:szCs w:val="24"/>
                <w:lang w:eastAsia="zh-CN"/>
              </w:rPr>
              <w:t>72</w:t>
            </w:r>
            <w:r w:rsidRPr="00153A61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153A61" w14:paraId="46D2AD0E" w14:textId="77777777">
        <w:trPr>
          <w:cantSplit/>
          <w:trHeight w:val="23"/>
        </w:trPr>
        <w:tc>
          <w:tcPr>
            <w:tcW w:w="6911" w:type="dxa"/>
            <w:vMerge/>
          </w:tcPr>
          <w:p w14:paraId="73D782D9" w14:textId="77777777" w:rsidR="00700D1F" w:rsidRPr="00153A61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2DC3AD0E" w14:textId="07097E54" w:rsidR="00700D1F" w:rsidRPr="00153A61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153A61">
              <w:rPr>
                <w:b/>
                <w:bCs/>
                <w:szCs w:val="24"/>
                <w:lang w:eastAsia="zh-CN"/>
              </w:rPr>
              <w:t>20</w:t>
            </w:r>
            <w:r w:rsidR="008418F5" w:rsidRPr="00153A61">
              <w:rPr>
                <w:b/>
                <w:bCs/>
                <w:szCs w:val="24"/>
                <w:lang w:eastAsia="zh-CN"/>
              </w:rPr>
              <w:t>2</w:t>
            </w:r>
            <w:r w:rsidR="00911867" w:rsidRPr="00153A61">
              <w:rPr>
                <w:b/>
                <w:bCs/>
                <w:szCs w:val="24"/>
                <w:lang w:eastAsia="zh-CN"/>
              </w:rPr>
              <w:t>1</w:t>
            </w:r>
            <w:r w:rsidRPr="00153A61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815ED" w:rsidRPr="00153A6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153A61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815ED" w:rsidRPr="00153A61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9815ED" w:rsidRPr="00153A61">
              <w:rPr>
                <w:b/>
                <w:bCs/>
                <w:szCs w:val="24"/>
                <w:lang w:eastAsia="zh-CN"/>
              </w:rPr>
              <w:t>2</w:t>
            </w:r>
            <w:r w:rsidRPr="00153A61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153A61" w14:paraId="49224BB0" w14:textId="77777777">
        <w:trPr>
          <w:cantSplit/>
          <w:trHeight w:val="23"/>
        </w:trPr>
        <w:tc>
          <w:tcPr>
            <w:tcW w:w="6911" w:type="dxa"/>
            <w:vMerge/>
          </w:tcPr>
          <w:p w14:paraId="1B45CA0E" w14:textId="77777777" w:rsidR="00700D1F" w:rsidRPr="00153A61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F653800" w14:textId="77777777" w:rsidR="00700D1F" w:rsidRPr="00153A61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153A61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153A61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153A61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153A61" w14:paraId="7FC71DF5" w14:textId="77777777">
        <w:trPr>
          <w:cantSplit/>
        </w:trPr>
        <w:tc>
          <w:tcPr>
            <w:tcW w:w="10031" w:type="dxa"/>
          </w:tcPr>
          <w:p w14:paraId="43BE8A29" w14:textId="60AE21EB" w:rsidR="0093362E" w:rsidRPr="00153A61" w:rsidRDefault="002C3FF6" w:rsidP="00001B77">
            <w:pPr>
              <w:pStyle w:val="Source"/>
              <w:rPr>
                <w:lang w:eastAsia="zh-CN"/>
              </w:rPr>
            </w:pPr>
            <w:r w:rsidRPr="00153A61"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E378D8" w:rsidRPr="00153A61"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:rsidRPr="00153A61" w14:paraId="546EBE9A" w14:textId="77777777">
        <w:trPr>
          <w:cantSplit/>
        </w:trPr>
        <w:tc>
          <w:tcPr>
            <w:tcW w:w="10031" w:type="dxa"/>
          </w:tcPr>
          <w:p w14:paraId="14D542C2" w14:textId="6FC65792" w:rsidR="0093362E" w:rsidRPr="00153A61" w:rsidRDefault="009815ED" w:rsidP="009815ED">
            <w:pPr>
              <w:pStyle w:val="Title1"/>
              <w:rPr>
                <w:bCs/>
                <w:lang w:eastAsia="zh-CN"/>
              </w:rPr>
            </w:pPr>
            <w:r w:rsidRPr="00153A61">
              <w:rPr>
                <w:rFonts w:hint="eastAsia"/>
                <w:bCs/>
                <w:lang w:eastAsia="zh-CN"/>
              </w:rPr>
              <w:t>国际电联残疾人无障碍获取</w:t>
            </w:r>
            <w:r w:rsidR="003F154D" w:rsidRPr="00153A61">
              <w:rPr>
                <w:rFonts w:hint="eastAsia"/>
                <w:bCs/>
                <w:lang w:eastAsia="zh-CN"/>
              </w:rPr>
              <w:t>政策草案</w:t>
            </w:r>
          </w:p>
        </w:tc>
      </w:tr>
    </w:tbl>
    <w:p w14:paraId="379307A4" w14:textId="77777777" w:rsidR="0093362E" w:rsidRPr="00153A61" w:rsidRDefault="0093362E" w:rsidP="00001B77">
      <w:pPr>
        <w:rPr>
          <w:lang w:eastAsia="zh-CN"/>
        </w:rPr>
      </w:pPr>
    </w:p>
    <w:p w14:paraId="1E98F56C" w14:textId="77777777" w:rsidR="00B40A53" w:rsidRPr="00153A61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153A61" w14:paraId="6B50F8B5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BF7B7" w14:textId="77777777" w:rsidR="00B40A53" w:rsidRPr="00153A61" w:rsidRDefault="00B40A53" w:rsidP="003C2E37">
            <w:pPr>
              <w:pStyle w:val="Headingb"/>
              <w:rPr>
                <w:lang w:eastAsia="zh-CN"/>
              </w:rPr>
            </w:pPr>
            <w:r w:rsidRPr="00153A61">
              <w:rPr>
                <w:rFonts w:hint="eastAsia"/>
                <w:lang w:val="fr-FR" w:eastAsia="zh-CN"/>
              </w:rPr>
              <w:t>概</w:t>
            </w:r>
            <w:r w:rsidRPr="00153A61">
              <w:rPr>
                <w:rFonts w:hint="eastAsia"/>
                <w:lang w:eastAsia="zh-CN"/>
              </w:rPr>
              <w:t>要</w:t>
            </w:r>
          </w:p>
          <w:p w14:paraId="19C34CA0" w14:textId="523A29A7" w:rsidR="009815ED" w:rsidRPr="00153A61" w:rsidRDefault="003F154D" w:rsidP="00153A61">
            <w:pPr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240" w:after="40"/>
              <w:ind w:firstLineChars="200" w:firstLine="480"/>
              <w:jc w:val="both"/>
              <w:rPr>
                <w:bCs/>
                <w:szCs w:val="24"/>
                <w:lang w:eastAsia="zh-CN"/>
              </w:rPr>
            </w:pPr>
            <w:bookmarkStart w:id="2" w:name="lt_pId013"/>
            <w:r w:rsidRPr="00153A61">
              <w:rPr>
                <w:rFonts w:hint="eastAsia"/>
                <w:bCs/>
                <w:szCs w:val="24"/>
                <w:lang w:eastAsia="zh-CN"/>
              </w:rPr>
              <w:t>本文件更新了理事会</w:t>
            </w:r>
            <w:r w:rsidRPr="00153A61">
              <w:rPr>
                <w:rFonts w:hint="eastAsia"/>
                <w:bCs/>
                <w:szCs w:val="24"/>
                <w:lang w:eastAsia="zh-CN"/>
              </w:rPr>
              <w:t>2013</w:t>
            </w:r>
            <w:r w:rsidRPr="00153A61">
              <w:rPr>
                <w:rFonts w:hint="eastAsia"/>
                <w:bCs/>
                <w:szCs w:val="24"/>
                <w:lang w:eastAsia="zh-CN"/>
              </w:rPr>
              <w:t>年</w:t>
            </w:r>
            <w:r w:rsidR="00F54BBF" w:rsidRPr="00153A61">
              <w:rPr>
                <w:rFonts w:hint="eastAsia"/>
                <w:bCs/>
                <w:szCs w:val="24"/>
                <w:lang w:eastAsia="zh-CN"/>
              </w:rPr>
              <w:t>会议</w:t>
            </w:r>
            <w:r w:rsidRPr="00153A61">
              <w:rPr>
                <w:rFonts w:hint="eastAsia"/>
                <w:bCs/>
                <w:szCs w:val="24"/>
                <w:lang w:eastAsia="zh-CN"/>
              </w:rPr>
              <w:t>批准的载于</w:t>
            </w:r>
            <w:hyperlink r:id="rId9" w:history="1">
              <w:r w:rsidR="009815ED" w:rsidRPr="00153A61">
                <w:rPr>
                  <w:rStyle w:val="Hyperlink"/>
                  <w:szCs w:val="24"/>
                  <w:lang w:eastAsia="zh-CN"/>
                </w:rPr>
                <w:t>C13/42</w:t>
              </w:r>
            </w:hyperlink>
            <w:bookmarkEnd w:id="2"/>
            <w:r w:rsidR="00F54BBF" w:rsidRPr="00153A61">
              <w:rPr>
                <w:rFonts w:hint="eastAsia"/>
                <w:bCs/>
                <w:szCs w:val="24"/>
                <w:lang w:eastAsia="zh-CN"/>
              </w:rPr>
              <w:t>号文件附件中的国际</w:t>
            </w:r>
            <w:proofErr w:type="gramStart"/>
            <w:r w:rsidR="00F54BBF" w:rsidRPr="00153A61">
              <w:rPr>
                <w:rFonts w:hint="eastAsia"/>
                <w:bCs/>
                <w:szCs w:val="24"/>
                <w:lang w:eastAsia="zh-CN"/>
              </w:rPr>
              <w:t>电联无障碍</w:t>
            </w:r>
            <w:proofErr w:type="gramEnd"/>
            <w:r w:rsidR="00F54BBF" w:rsidRPr="00153A61">
              <w:rPr>
                <w:rFonts w:hint="eastAsia"/>
                <w:bCs/>
                <w:szCs w:val="24"/>
                <w:lang w:eastAsia="zh-CN"/>
              </w:rPr>
              <w:t>获取政策。</w:t>
            </w:r>
          </w:p>
          <w:p w14:paraId="318225A8" w14:textId="77777777" w:rsidR="00B40A53" w:rsidRPr="00153A61" w:rsidRDefault="00B40A53" w:rsidP="003C2E37">
            <w:pPr>
              <w:pStyle w:val="Headingb"/>
              <w:rPr>
                <w:lang w:eastAsia="zh-CN"/>
              </w:rPr>
            </w:pPr>
            <w:r w:rsidRPr="00153A61">
              <w:rPr>
                <w:rFonts w:hint="eastAsia"/>
                <w:lang w:eastAsia="zh-CN"/>
              </w:rPr>
              <w:t>需采取的行动</w:t>
            </w:r>
          </w:p>
          <w:p w14:paraId="68EB643D" w14:textId="315C08A1" w:rsidR="00B40A53" w:rsidRPr="00153A61" w:rsidRDefault="003F154D" w:rsidP="00153A61">
            <w:pPr>
              <w:spacing w:after="120"/>
              <w:ind w:firstLineChars="200" w:firstLine="480"/>
              <w:jc w:val="both"/>
              <w:rPr>
                <w:szCs w:val="22"/>
                <w:lang w:eastAsia="zh-CN"/>
              </w:rPr>
            </w:pPr>
            <w:bookmarkStart w:id="3" w:name="lt_pId015"/>
            <w:r w:rsidRPr="00153A61">
              <w:rPr>
                <w:rFonts w:asciiTheme="minorHAnsi" w:hAnsiTheme="minorHAnsi" w:hint="eastAsia"/>
                <w:szCs w:val="24"/>
                <w:lang w:val="en-US" w:eastAsia="zh-CN"/>
              </w:rPr>
              <w:t>请理事会</w:t>
            </w:r>
            <w:r w:rsidR="00F54BBF" w:rsidRPr="00153A61">
              <w:rPr>
                <w:rFonts w:asciiTheme="minorHAnsi" w:hAnsiTheme="minorHAnsi" w:hint="eastAsia"/>
                <w:b/>
                <w:bCs/>
                <w:szCs w:val="24"/>
                <w:lang w:val="en-US" w:eastAsia="zh-CN"/>
              </w:rPr>
              <w:t>批准</w:t>
            </w:r>
            <w:r w:rsidRPr="00153A61">
              <w:rPr>
                <w:rFonts w:asciiTheme="minorHAnsi" w:hAnsiTheme="minorHAnsi" w:hint="eastAsia"/>
                <w:szCs w:val="24"/>
                <w:lang w:val="en-US" w:eastAsia="zh-CN"/>
              </w:rPr>
              <w:t>国际电联残疾人无障碍</w:t>
            </w:r>
            <w:r w:rsidR="00F54BBF" w:rsidRPr="00153A61">
              <w:rPr>
                <w:rFonts w:asciiTheme="minorHAnsi" w:hAnsiTheme="minorHAnsi" w:hint="eastAsia"/>
                <w:szCs w:val="24"/>
                <w:lang w:val="en-US" w:eastAsia="zh-CN"/>
              </w:rPr>
              <w:t>获取</w:t>
            </w:r>
            <w:r w:rsidRPr="00153A61">
              <w:rPr>
                <w:rFonts w:asciiTheme="minorHAnsi" w:hAnsiTheme="minorHAnsi" w:hint="eastAsia"/>
                <w:szCs w:val="24"/>
                <w:lang w:val="en-US" w:eastAsia="zh-CN"/>
              </w:rPr>
              <w:t>政策草案。</w:t>
            </w:r>
            <w:bookmarkEnd w:id="3"/>
          </w:p>
          <w:p w14:paraId="29715992" w14:textId="77777777" w:rsidR="00B40A53" w:rsidRPr="00153A61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 w:rsidRPr="00153A61">
              <w:rPr>
                <w:sz w:val="28"/>
                <w:szCs w:val="22"/>
                <w:lang w:eastAsia="zh-CN"/>
              </w:rPr>
              <w:t>______________</w:t>
            </w:r>
          </w:p>
          <w:p w14:paraId="7C85EE9B" w14:textId="77777777" w:rsidR="009164A9" w:rsidRPr="00153A61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eastAsia="zh-CN"/>
              </w:rPr>
            </w:pPr>
          </w:p>
          <w:p w14:paraId="391FB5D5" w14:textId="77777777" w:rsidR="009164A9" w:rsidRPr="00153A61" w:rsidRDefault="009164A9" w:rsidP="003C2E37">
            <w:pPr>
              <w:pStyle w:val="Headingb"/>
              <w:rPr>
                <w:lang w:eastAsia="zh-CN"/>
              </w:rPr>
            </w:pPr>
            <w:r w:rsidRPr="00153A61">
              <w:rPr>
                <w:rFonts w:hint="eastAsia"/>
                <w:lang w:eastAsia="zh-CN"/>
              </w:rPr>
              <w:t>参考文件</w:t>
            </w:r>
          </w:p>
          <w:bookmarkStart w:id="4" w:name="lt_pId018"/>
          <w:p w14:paraId="108F7A3C" w14:textId="1B5684D0" w:rsidR="00B40A53" w:rsidRPr="00153A61" w:rsidRDefault="009815ED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Theme="minorHAnsi" w:hAnsiTheme="minorHAnsi" w:cstheme="minorHAnsi"/>
                <w:caps/>
                <w:sz w:val="24"/>
                <w:szCs w:val="24"/>
                <w:lang w:eastAsia="zh-CN"/>
              </w:rPr>
            </w:pPr>
            <w:r w:rsidRPr="00153A61">
              <w:fldChar w:fldCharType="begin"/>
            </w:r>
            <w:r w:rsidR="00F54BBF" w:rsidRPr="00153A61">
              <w:rPr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instrText>HYPERLINK "https://www.itu.int/en/council/Documents/basic-texts/RES-175-E.pdf"</w:instrText>
            </w:r>
            <w:r w:rsidRPr="00153A61">
              <w:fldChar w:fldCharType="separate"/>
            </w:r>
            <w:r w:rsidR="00F54BBF" w:rsidRPr="00153A61">
              <w:rPr>
                <w:rStyle w:val="Hyperlink"/>
                <w:rFonts w:asciiTheme="minorHAnsi" w:eastAsia="STKaiti" w:hAnsiTheme="minorHAnsi" w:cstheme="minorHAnsi"/>
                <w:bCs/>
                <w:sz w:val="24"/>
                <w:szCs w:val="24"/>
                <w:lang w:eastAsia="zh-CN"/>
              </w:rPr>
              <w:t>全权代表大会第</w:t>
            </w:r>
            <w:r w:rsidR="00F54BBF" w:rsidRPr="00153A61">
              <w:rPr>
                <w:rStyle w:val="Hyperlink"/>
                <w:rFonts w:asciiTheme="minorHAnsi" w:eastAsia="STKaiti" w:hAnsiTheme="minorHAnsi" w:cstheme="minorHAnsi"/>
                <w:bCs/>
                <w:sz w:val="24"/>
                <w:szCs w:val="24"/>
                <w:lang w:eastAsia="zh-CN"/>
              </w:rPr>
              <w:t>175</w:t>
            </w:r>
            <w:r w:rsidR="00F54BBF" w:rsidRPr="00153A61">
              <w:rPr>
                <w:rStyle w:val="Hyperlink"/>
                <w:rFonts w:asciiTheme="minorHAnsi" w:eastAsia="STKaiti" w:hAnsiTheme="minorHAnsi" w:cstheme="minorHAnsi"/>
                <w:bCs/>
                <w:sz w:val="24"/>
                <w:szCs w:val="24"/>
                <w:lang w:eastAsia="zh-CN"/>
              </w:rPr>
              <w:t>号决议</w:t>
            </w:r>
            <w:r w:rsidRPr="00153A61">
              <w:rPr>
                <w:rStyle w:val="Hyperlink"/>
                <w:rFonts w:asciiTheme="minorHAnsi" w:eastAsia="STKaiti" w:hAnsiTheme="minorHAnsi" w:cstheme="minorHAnsi"/>
                <w:bCs/>
                <w:sz w:val="24"/>
                <w:szCs w:val="24"/>
              </w:rPr>
              <w:fldChar w:fldCharType="end"/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（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2018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年，迪拜，修订版），</w:t>
            </w:r>
            <w:r w:rsidR="00533F8D">
              <w:fldChar w:fldCharType="begin"/>
            </w:r>
            <w:r w:rsidR="00533F8D">
              <w:rPr>
                <w:lang w:eastAsia="zh-CN"/>
              </w:rPr>
              <w:instrText xml:space="preserve"> HYPERLINK "https://www.itu.int/en/ITU-D/Conferences/WTDC/WTDC17/Documents/WTDC17_final_report_en.pdf" </w:instrText>
            </w:r>
            <w:r w:rsidR="00533F8D">
              <w:fldChar w:fldCharType="separate"/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WTDC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第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58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t>号决议</w:t>
            </w:r>
            <w:r w:rsidR="00533F8D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lang w:eastAsia="zh-CN"/>
              </w:rPr>
              <w:fldChar w:fldCharType="end"/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（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2017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年，布宜诺斯艾利斯，修订版），</w:t>
            </w:r>
            <w:r w:rsidR="00533F8D">
              <w:fldChar w:fldCharType="begin"/>
            </w:r>
            <w:r w:rsidR="00533F8D">
              <w:rPr>
                <w:lang w:eastAsia="zh-CN"/>
              </w:rPr>
              <w:instrText xml:space="preserve"> HYPERLINK "https://www.itu.int/opb/publications.aspx?lang=en&amp;parent=T-RES-T.70-2016" </w:instrText>
            </w:r>
            <w:r w:rsidR="00533F8D">
              <w:fldChar w:fldCharType="separate"/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t>WTSA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t>第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t>70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t>号决议</w:t>
            </w:r>
            <w:r w:rsidR="00533F8D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fldChar w:fldCharType="end"/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（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2016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年，哈马马特，修订版）以及</w:t>
            </w:r>
            <w:r w:rsidR="00533F8D">
              <w:fldChar w:fldCharType="begin"/>
            </w:r>
            <w:r w:rsidR="00533F8D">
              <w:rPr>
                <w:lang w:eastAsia="zh-CN"/>
              </w:rPr>
              <w:instrText xml:space="preserve"> HY</w:instrText>
            </w:r>
            <w:r w:rsidR="00533F8D">
              <w:rPr>
                <w:lang w:eastAsia="zh-CN"/>
              </w:rPr>
              <w:instrText xml:space="preserve">PERLINK "https://www.itu.int/pub/R-RES-R.67" </w:instrText>
            </w:r>
            <w:r w:rsidR="00533F8D">
              <w:fldChar w:fldCharType="separate"/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t>无线电通信全会第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t>67</w:t>
            </w:r>
            <w:r w:rsidR="00AB6DE6" w:rsidRPr="00153A61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t>号决议</w:t>
            </w:r>
            <w:r w:rsidR="00533F8D">
              <w:rPr>
                <w:rStyle w:val="Hyperlink"/>
                <w:rFonts w:asciiTheme="minorHAnsi" w:eastAsia="STKaiti" w:hAnsiTheme="minorHAnsi" w:cstheme="minorHAnsi"/>
                <w:sz w:val="24"/>
                <w:szCs w:val="24"/>
                <w:bdr w:val="none" w:sz="0" w:space="0" w:color="auto" w:frame="1"/>
                <w:lang w:eastAsia="zh-CN"/>
              </w:rPr>
              <w:fldChar w:fldCharType="end"/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（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201</w:t>
            </w:r>
            <w:r w:rsidR="00EA4754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7</w:t>
            </w:r>
            <w:r w:rsidR="00AB6DE6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年）</w:t>
            </w:r>
            <w:r w:rsidR="00EA4754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；</w:t>
            </w:r>
            <w:r w:rsidR="00EA4754" w:rsidRPr="00153A61">
              <w:rPr>
                <w:rFonts w:asciiTheme="minorHAnsi" w:eastAsia="STKaiti" w:hAnsiTheme="minorHAnsi" w:cstheme="minorHAnsi"/>
                <w:bCs/>
                <w:sz w:val="24"/>
                <w:szCs w:val="24"/>
                <w:lang w:eastAsia="zh-CN"/>
              </w:rPr>
              <w:t>理事会</w:t>
            </w:r>
            <w:hyperlink r:id="rId10" w:history="1">
              <w:r w:rsidRPr="00153A6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  <w:lang w:eastAsia="zh-CN"/>
                </w:rPr>
                <w:t>C13/42</w:t>
              </w:r>
            </w:hyperlink>
            <w:bookmarkEnd w:id="4"/>
            <w:r w:rsidR="00EA4754" w:rsidRPr="00153A61">
              <w:rPr>
                <w:rFonts w:asciiTheme="minorHAnsi" w:eastAsia="NSimSun" w:hAnsiTheme="minorHAnsi" w:cstheme="minorHAnsi"/>
                <w:bCs/>
                <w:sz w:val="24"/>
                <w:szCs w:val="24"/>
                <w:lang w:eastAsia="zh-CN"/>
              </w:rPr>
              <w:t>号文件</w:t>
            </w:r>
          </w:p>
        </w:tc>
      </w:tr>
    </w:tbl>
    <w:p w14:paraId="6036B643" w14:textId="1DD28935" w:rsidR="009815ED" w:rsidRPr="00153A61" w:rsidRDefault="00EA4754" w:rsidP="00153A61">
      <w:pPr>
        <w:pStyle w:val="Headingb"/>
        <w:spacing w:before="360"/>
      </w:pPr>
      <w:proofErr w:type="spellStart"/>
      <w:r w:rsidRPr="00153A61">
        <w:rPr>
          <w:rFonts w:hint="eastAsia"/>
        </w:rPr>
        <w:t>引言</w:t>
      </w:r>
      <w:proofErr w:type="spellEnd"/>
    </w:p>
    <w:p w14:paraId="2DFB0DCB" w14:textId="79F03582" w:rsidR="009815ED" w:rsidRPr="00153A61" w:rsidRDefault="00F47AEF" w:rsidP="00424BE8">
      <w:pPr>
        <w:pStyle w:val="Headingb"/>
        <w:keepNext w:val="0"/>
        <w:keepLines w:val="0"/>
        <w:spacing w:before="120" w:after="120"/>
        <w:ind w:firstLineChars="200" w:firstLine="480"/>
        <w:jc w:val="both"/>
        <w:rPr>
          <w:rFonts w:asciiTheme="minorHAnsi" w:hAnsiTheme="minorHAnsi" w:cstheme="minorHAnsi"/>
          <w:b w:val="0"/>
          <w:szCs w:val="24"/>
          <w:lang w:eastAsia="zh-CN"/>
        </w:rPr>
      </w:pPr>
      <w:bookmarkStart w:id="5" w:name="lt_pId020"/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2006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年通过的《残疾人权利公约》</w:t>
      </w:r>
      <w:r w:rsidR="009815ED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（</w:t>
      </w:r>
      <w:hyperlink r:id="rId11" w:history="1">
        <w:r w:rsidR="009815ED"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CRPD</w:t>
        </w:r>
      </w:hyperlink>
      <w:r w:rsidR="009815ED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）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首次提出了在联合国系统内加强无障碍获取的</w:t>
      </w:r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授权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，该公约有一个关于无障碍获取</w:t>
      </w:r>
      <w:r w:rsidR="002C3FF6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的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专门章节（第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9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条）。</w:t>
      </w:r>
      <w:bookmarkStart w:id="6" w:name="lt_pId021"/>
      <w:bookmarkEnd w:id="5"/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据此，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2010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年的全权代表大会（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PP-10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）通过了</w:t>
      </w:r>
      <w:r w:rsidR="00533F8D" w:rsidRPr="00153A61">
        <w:fldChar w:fldCharType="begin"/>
      </w:r>
      <w:r w:rsidR="00533F8D" w:rsidRPr="00153A61">
        <w:rPr>
          <w:lang w:eastAsia="zh-CN"/>
        </w:rPr>
        <w:instrText xml:space="preserve"> HYPERLINK "https://www.itu.int/en/council/Documents/basi</w:instrText>
      </w:r>
      <w:r w:rsidR="00533F8D" w:rsidRPr="00153A61">
        <w:rPr>
          <w:lang w:eastAsia="zh-CN"/>
        </w:rPr>
        <w:instrText xml:space="preserve">c-texts/RES-175-E.pdf" </w:instrText>
      </w:r>
      <w:r w:rsidR="00533F8D" w:rsidRPr="00153A61">
        <w:fldChar w:fldCharType="separate"/>
      </w:r>
      <w:r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t>第</w:t>
      </w:r>
      <w:r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t>175</w:t>
      </w:r>
      <w:r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t>号决议</w:t>
      </w:r>
      <w:r w:rsidR="00533F8D"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fldChar w:fldCharType="end"/>
      </w:r>
      <w:r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（</w:t>
      </w:r>
      <w:r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2018</w:t>
      </w:r>
      <w:r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年，迪拜，修订版）</w:t>
      </w:r>
      <w:r w:rsidR="000134D4"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（“</w:t>
      </w:r>
      <w:r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残疾人和有具体需求人士无障碍地获取电信</w:t>
      </w:r>
      <w:r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/</w:t>
      </w:r>
      <w:r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信息通信技术</w:t>
      </w:r>
      <w:bookmarkStart w:id="7" w:name="lt_pId022"/>
      <w:bookmarkEnd w:id="6"/>
      <w:r w:rsidR="000134D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”）。联检组报告</w:t>
      </w:r>
      <w:r w:rsidR="00533F8D">
        <w:fldChar w:fldCharType="begin"/>
      </w:r>
      <w:r w:rsidR="00533F8D">
        <w:rPr>
          <w:lang w:eastAsia="zh-CN"/>
        </w:rPr>
        <w:instrText xml:space="preserve"> HYPERLINK "https://www.unjiu.org/sites/www.unjiu.org/files/jiu_rep_2018_6_english.pdf" </w:instrText>
      </w:r>
      <w:r w:rsidR="00533F8D">
        <w:fldChar w:fldCharType="separate"/>
      </w:r>
      <w:r w:rsidR="000134D4" w:rsidRPr="00153A61">
        <w:rPr>
          <w:rStyle w:val="Hyperlink"/>
          <w:rFonts w:asciiTheme="minorHAnsi" w:hAnsiTheme="minorHAnsi" w:cstheme="minorHAnsi"/>
          <w:b w:val="0"/>
          <w:szCs w:val="24"/>
          <w:lang w:eastAsia="zh-CN"/>
        </w:rPr>
        <w:t>2018/6</w:t>
      </w:r>
      <w:r w:rsidR="00533F8D">
        <w:rPr>
          <w:rStyle w:val="Hyperlink"/>
          <w:rFonts w:asciiTheme="minorHAnsi" w:hAnsiTheme="minorHAnsi" w:cstheme="minorHAnsi"/>
          <w:b w:val="0"/>
          <w:szCs w:val="24"/>
          <w:lang w:eastAsia="zh-CN"/>
        </w:rPr>
        <w:fldChar w:fldCharType="end"/>
      </w:r>
      <w:bookmarkEnd w:id="7"/>
      <w:r w:rsidR="000134D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“</w:t>
      </w:r>
      <w:r w:rsidR="00505E95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加强残疾人对联合国系统各种会议的无障碍</w:t>
      </w:r>
      <w:r w:rsidR="000134D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获取”</w:t>
      </w:r>
      <w:r w:rsidR="00505E95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指出，在联合国各专门机构中，只有国际电联的</w:t>
      </w:r>
      <w:r w:rsidR="000134D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立法机构</w:t>
      </w:r>
      <w:r w:rsidR="00505E95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有关于</w:t>
      </w:r>
      <w:r w:rsidR="00424BE8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无障碍获取</w:t>
      </w:r>
      <w:r w:rsidR="00505E95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的具体</w:t>
      </w:r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授权</w:t>
      </w:r>
      <w:r w:rsidR="00505E95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。</w:t>
      </w:r>
    </w:p>
    <w:p w14:paraId="134CFC57" w14:textId="4E793039" w:rsidR="009815ED" w:rsidRPr="00153A61" w:rsidRDefault="00424BE8" w:rsidP="00B34FBC">
      <w:pPr>
        <w:pStyle w:val="Headingb"/>
        <w:keepNext w:val="0"/>
        <w:keepLines w:val="0"/>
        <w:spacing w:before="120" w:after="120"/>
        <w:ind w:firstLineChars="200" w:firstLine="480"/>
        <w:jc w:val="both"/>
        <w:rPr>
          <w:rFonts w:cs="Calibri"/>
          <w:bCs/>
          <w:color w:val="800000"/>
          <w:sz w:val="22"/>
          <w:szCs w:val="24"/>
          <w:lang w:val="en-US" w:eastAsia="zh-CN"/>
        </w:rPr>
      </w:pPr>
      <w:bookmarkStart w:id="8" w:name="lt_pId023"/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除了上述</w:t>
      </w:r>
      <w:r w:rsidR="00533F8D" w:rsidRPr="00153A61">
        <w:fldChar w:fldCharType="begin"/>
      </w:r>
      <w:r w:rsidR="00533F8D" w:rsidRPr="00153A61">
        <w:rPr>
          <w:lang w:eastAsia="zh-CN"/>
        </w:rPr>
        <w:instrText xml:space="preserve"> HYPERLINK "https://www.itu.int/en/council/Documents/basic-texts/RES-175-E.pdf" </w:instrText>
      </w:r>
      <w:r w:rsidR="00533F8D" w:rsidRPr="00153A61">
        <w:fldChar w:fldCharType="separate"/>
      </w:r>
      <w:r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t>第</w:t>
      </w:r>
      <w:r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t>175</w:t>
      </w:r>
      <w:r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t>号决议</w:t>
      </w:r>
      <w:r w:rsidR="00533F8D" w:rsidRPr="00153A61">
        <w:rPr>
          <w:rStyle w:val="Hyperlink"/>
          <w:rFonts w:asciiTheme="minorHAnsi" w:hAnsiTheme="minorHAnsi" w:cstheme="minorHAnsi"/>
          <w:b w:val="0"/>
          <w:spacing w:val="-2"/>
          <w:szCs w:val="24"/>
          <w:lang w:eastAsia="zh-CN"/>
        </w:rPr>
        <w:fldChar w:fldCharType="end"/>
      </w:r>
      <w:r w:rsidRPr="00153A61">
        <w:rPr>
          <w:rFonts w:asciiTheme="minorHAnsi" w:hAnsiTheme="minorHAnsi" w:cstheme="minorHAnsi"/>
          <w:b w:val="0"/>
          <w:spacing w:val="-2"/>
          <w:szCs w:val="24"/>
          <w:lang w:eastAsia="zh-CN"/>
        </w:rPr>
        <w:t>（</w:t>
      </w:r>
      <w:r w:rsidRPr="00153A61">
        <w:rPr>
          <w:rFonts w:asciiTheme="minorHAnsi" w:hAnsiTheme="minorHAnsi" w:cstheme="minorHAnsi"/>
          <w:b w:val="0"/>
          <w:spacing w:val="-2"/>
          <w:szCs w:val="24"/>
          <w:lang w:eastAsia="zh-CN"/>
        </w:rPr>
        <w:t>2018</w:t>
      </w:r>
      <w:r w:rsidRPr="00153A61">
        <w:rPr>
          <w:rFonts w:asciiTheme="minorHAnsi" w:hAnsiTheme="minorHAnsi" w:cstheme="minorHAnsi"/>
          <w:b w:val="0"/>
          <w:spacing w:val="-2"/>
          <w:szCs w:val="24"/>
          <w:lang w:eastAsia="zh-CN"/>
        </w:rPr>
        <w:t>年，迪拜，修订版）</w:t>
      </w:r>
      <w:r w:rsidRPr="00153A61">
        <w:rPr>
          <w:rFonts w:asciiTheme="minorHAnsi" w:hAnsiTheme="minorHAnsi" w:cstheme="minorHAnsi" w:hint="eastAsia"/>
          <w:b w:val="0"/>
          <w:spacing w:val="-2"/>
          <w:szCs w:val="24"/>
          <w:lang w:eastAsia="zh-CN"/>
        </w:rPr>
        <w:t>，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其他部门世界大会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/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全会的成果，如</w:t>
      </w:r>
      <w:r w:rsidR="009815ED" w:rsidRPr="00153A61">
        <w:rPr>
          <w:rFonts w:asciiTheme="minorHAnsi" w:hAnsiTheme="minorHAnsi" w:cstheme="minorHAnsi"/>
          <w:b w:val="0"/>
          <w:szCs w:val="24"/>
          <w:lang w:eastAsia="zh-CN"/>
        </w:rPr>
        <w:t xml:space="preserve"> </w:t>
      </w:r>
      <w:hyperlink r:id="rId12" w:history="1"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WTDC</w:t>
        </w:r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第</w:t>
        </w:r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58</w:t>
        </w:r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号决议</w:t>
        </w:r>
      </w:hyperlink>
      <w:r w:rsidRPr="00153A61">
        <w:rPr>
          <w:rFonts w:asciiTheme="minorHAnsi" w:hAnsiTheme="minorHAnsi" w:cstheme="minorHAnsi"/>
          <w:b w:val="0"/>
          <w:szCs w:val="24"/>
          <w:lang w:eastAsia="zh-CN"/>
        </w:rPr>
        <w:t>（</w:t>
      </w:r>
      <w:r w:rsidRPr="00153A61">
        <w:rPr>
          <w:rFonts w:asciiTheme="minorHAnsi" w:hAnsiTheme="minorHAnsi" w:cstheme="minorHAnsi"/>
          <w:b w:val="0"/>
          <w:szCs w:val="24"/>
          <w:lang w:eastAsia="zh-CN"/>
        </w:rPr>
        <w:t>2017</w:t>
      </w:r>
      <w:r w:rsidRPr="00153A61">
        <w:rPr>
          <w:rFonts w:asciiTheme="minorHAnsi" w:hAnsiTheme="minorHAnsi" w:cstheme="minorHAnsi"/>
          <w:b w:val="0"/>
          <w:szCs w:val="24"/>
          <w:lang w:eastAsia="zh-CN"/>
        </w:rPr>
        <w:t>年，布宜诺斯艾利斯，修订版）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，</w:t>
      </w:r>
      <w:hyperlink r:id="rId13" w:history="1"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WTSA</w:t>
        </w:r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第</w:t>
        </w:r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70</w:t>
        </w:r>
        <w:r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号决议</w:t>
        </w:r>
      </w:hyperlink>
      <w:r w:rsidR="003E4774" w:rsidRPr="00153A61">
        <w:rPr>
          <w:rFonts w:asciiTheme="minorHAnsi" w:hAnsiTheme="minorHAnsi" w:cstheme="minorHAnsi"/>
          <w:b w:val="0"/>
          <w:szCs w:val="24"/>
          <w:lang w:eastAsia="zh-CN"/>
        </w:rPr>
        <w:t>（</w:t>
      </w:r>
      <w:r w:rsidR="003E4774" w:rsidRPr="00153A61">
        <w:rPr>
          <w:rFonts w:asciiTheme="minorHAnsi" w:hAnsiTheme="minorHAnsi" w:cstheme="minorHAnsi"/>
          <w:b w:val="0"/>
          <w:szCs w:val="24"/>
          <w:lang w:eastAsia="zh-CN"/>
        </w:rPr>
        <w:t>2016</w:t>
      </w:r>
      <w:r w:rsidR="003E4774" w:rsidRPr="00153A61">
        <w:rPr>
          <w:rFonts w:asciiTheme="minorHAnsi" w:hAnsiTheme="minorHAnsi" w:cstheme="minorHAnsi"/>
          <w:b w:val="0"/>
          <w:szCs w:val="24"/>
          <w:lang w:eastAsia="zh-CN"/>
        </w:rPr>
        <w:t>年，哈马马特，修订版）</w:t>
      </w:r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以及</w:t>
      </w:r>
      <w:hyperlink r:id="rId14" w:history="1">
        <w:r w:rsidR="003E4774"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无线电通信全会第</w:t>
        </w:r>
        <w:r w:rsidR="003E4774"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67</w:t>
        </w:r>
        <w:r w:rsidR="003E4774" w:rsidRPr="00153A61">
          <w:rPr>
            <w:rStyle w:val="Hyperlink"/>
            <w:rFonts w:asciiTheme="minorHAnsi" w:hAnsiTheme="minorHAnsi" w:cstheme="minorHAnsi"/>
            <w:b w:val="0"/>
            <w:szCs w:val="24"/>
            <w:lang w:eastAsia="zh-CN"/>
          </w:rPr>
          <w:t>号决议</w:t>
        </w:r>
      </w:hyperlink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（</w:t>
      </w:r>
      <w:r w:rsidR="009815ED" w:rsidRPr="00153A61">
        <w:rPr>
          <w:rFonts w:asciiTheme="minorHAnsi" w:hAnsiTheme="minorHAnsi" w:cstheme="minorHAnsi"/>
          <w:b w:val="0"/>
          <w:szCs w:val="24"/>
          <w:lang w:eastAsia="zh-CN"/>
        </w:rPr>
        <w:t>2019</w:t>
      </w:r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）都明确授权国际电联就这一议题开展工作。</w:t>
      </w:r>
      <w:bookmarkEnd w:id="8"/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此外，成员国在</w:t>
      </w:r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PP-18</w:t>
      </w:r>
      <w:r w:rsidR="003E4774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大会上通过的</w:t>
      </w:r>
      <w:bookmarkStart w:id="9" w:name="lt_pId024"/>
      <w:r w:rsidR="008F3A83" w:rsidRPr="00153A61">
        <w:fldChar w:fldCharType="begin"/>
      </w:r>
      <w:r w:rsidR="003E4774" w:rsidRPr="00153A61">
        <w:rPr>
          <w:lang w:eastAsia="zh-CN"/>
        </w:rPr>
        <w:instrText>HYPERLINK "https://www.itu.int/en/council/planning/Documents/ITU_Strategic_plan_2020-2023.pdf"</w:instrText>
      </w:r>
      <w:r w:rsidR="008F3A83" w:rsidRPr="00153A61">
        <w:fldChar w:fldCharType="separate"/>
      </w:r>
      <w:r w:rsidR="003E4774" w:rsidRPr="00153A61">
        <w:rPr>
          <w:rStyle w:val="Hyperlink"/>
          <w:rFonts w:asciiTheme="minorHAnsi" w:hAnsiTheme="minorHAnsi" w:cstheme="minorHAnsi"/>
          <w:b w:val="0"/>
          <w:szCs w:val="24"/>
          <w:lang w:eastAsia="zh-CN"/>
        </w:rPr>
        <w:t>国际电联</w:t>
      </w:r>
      <w:r w:rsidR="003E4774" w:rsidRPr="00153A61">
        <w:rPr>
          <w:rStyle w:val="Hyperlink"/>
          <w:rFonts w:asciiTheme="minorHAnsi" w:hAnsiTheme="minorHAnsi" w:cstheme="minorHAnsi"/>
          <w:b w:val="0"/>
          <w:szCs w:val="24"/>
          <w:lang w:eastAsia="zh-CN"/>
        </w:rPr>
        <w:t>2020-2023</w:t>
      </w:r>
      <w:r w:rsidR="003E4774" w:rsidRPr="00153A61">
        <w:rPr>
          <w:rStyle w:val="Hyperlink"/>
          <w:rFonts w:asciiTheme="minorHAnsi" w:hAnsiTheme="minorHAnsi" w:cstheme="minorHAnsi"/>
          <w:b w:val="0"/>
          <w:szCs w:val="24"/>
          <w:lang w:eastAsia="zh-CN"/>
        </w:rPr>
        <w:t>年战略规划</w:t>
      </w:r>
      <w:r w:rsidR="008F3A83" w:rsidRPr="00153A61">
        <w:rPr>
          <w:rStyle w:val="Hyperlink"/>
          <w:rFonts w:asciiTheme="minorHAnsi" w:hAnsiTheme="minorHAnsi" w:cstheme="minorHAnsi"/>
          <w:b w:val="0"/>
          <w:szCs w:val="24"/>
        </w:rPr>
        <w:fldChar w:fldCharType="end"/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作为</w:t>
      </w:r>
      <w:r w:rsidR="009815ED" w:rsidRPr="00153A61">
        <w:rPr>
          <w:rFonts w:asciiTheme="minorHAnsi" w:hAnsiTheme="minorHAnsi" w:cstheme="minorHAnsi"/>
          <w:b w:val="0"/>
          <w:szCs w:val="24"/>
          <w:lang w:eastAsia="zh-CN"/>
        </w:rPr>
        <w:t xml:space="preserve"> </w:t>
      </w:r>
      <w:hyperlink r:id="rId15" w:history="1">
        <w:r w:rsidR="00B34FBC" w:rsidRPr="00153A61">
          <w:rPr>
            <w:rStyle w:val="Hyperlink"/>
            <w:rFonts w:asciiTheme="minorHAnsi" w:hAnsiTheme="minorHAnsi" w:cstheme="minorHAnsi" w:hint="eastAsia"/>
            <w:b w:val="0"/>
            <w:szCs w:val="24"/>
            <w:lang w:eastAsia="zh-CN"/>
          </w:rPr>
          <w:t>《连通</w:t>
        </w:r>
        <w:r w:rsidR="00B34FBC" w:rsidRPr="00153A61">
          <w:rPr>
            <w:rStyle w:val="Hyperlink"/>
            <w:rFonts w:asciiTheme="minorHAnsi" w:hAnsiTheme="minorHAnsi" w:cstheme="minorHAnsi" w:hint="eastAsia"/>
            <w:b w:val="0"/>
            <w:szCs w:val="24"/>
            <w:lang w:eastAsia="zh-CN"/>
          </w:rPr>
          <w:t>2030</w:t>
        </w:r>
        <w:r w:rsidR="00B34FBC" w:rsidRPr="00153A61">
          <w:rPr>
            <w:rStyle w:val="Hyperlink"/>
            <w:rFonts w:asciiTheme="minorHAnsi" w:hAnsiTheme="minorHAnsi" w:cstheme="minorHAnsi" w:hint="eastAsia"/>
            <w:b w:val="0"/>
            <w:szCs w:val="24"/>
            <w:lang w:eastAsia="zh-CN"/>
          </w:rPr>
          <w:t>年议程》</w:t>
        </w:r>
      </w:hyperlink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，在其总体战略目标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2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（</w:t>
      </w:r>
      <w:r w:rsidR="00B34FBC" w:rsidRPr="00153A61">
        <w:rPr>
          <w:rFonts w:asciiTheme="minorHAnsi" w:hAnsiTheme="minorHAnsi" w:cstheme="minorHAnsi" w:hint="eastAsia"/>
          <w:b w:val="0"/>
          <w:spacing w:val="-4"/>
          <w:szCs w:val="24"/>
          <w:lang w:eastAsia="zh-CN"/>
        </w:rPr>
        <w:t>包容性：弥合数字鸿沟，为所有人提供宽带接</w:t>
      </w:r>
      <w:r w:rsidR="00B34FBC" w:rsidRPr="00153A61">
        <w:rPr>
          <w:rFonts w:asciiTheme="minorHAnsi" w:hAnsiTheme="minorHAnsi" w:cstheme="minorHAnsi" w:hint="eastAsia"/>
          <w:b w:val="0"/>
          <w:spacing w:val="-4"/>
          <w:szCs w:val="24"/>
          <w:lang w:eastAsia="zh-CN"/>
        </w:rPr>
        <w:lastRenderedPageBreak/>
        <w:t>入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）和相应的具体战略目标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2.9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（“到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2023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年，应在各国形成确保残疾人获取电信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/ICT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的有利环境</w:t>
      </w:r>
      <w:r w:rsidR="00B34FBC" w:rsidRPr="00153A61">
        <w:rPr>
          <w:rFonts w:hint="eastAsia"/>
          <w:b w:val="0"/>
          <w:bCs/>
          <w:lang w:eastAsia="zh-CN"/>
        </w:rPr>
        <w:t>）</w:t>
      </w:r>
      <w:r w:rsidR="00B34FBC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中考虑了无障碍获取。</w:t>
      </w:r>
      <w:bookmarkEnd w:id="9"/>
    </w:p>
    <w:p w14:paraId="0B79560C" w14:textId="0E722055" w:rsidR="009815ED" w:rsidRPr="00153A61" w:rsidRDefault="009D1DC5" w:rsidP="009D1DC5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bookmarkStart w:id="10" w:name="lt_pId025"/>
      <w:r w:rsidRPr="00153A61">
        <w:rPr>
          <w:rFonts w:asciiTheme="minorHAnsi" w:hAnsiTheme="minorHAnsi" w:cstheme="minorHAnsi" w:hint="eastAsia"/>
          <w:szCs w:val="24"/>
          <w:lang w:eastAsia="zh-CN"/>
        </w:rPr>
        <w:t>国际电联被要求与</w:t>
      </w:r>
      <w:r w:rsidR="00533F8D" w:rsidRPr="00153A61">
        <w:fldChar w:fldCharType="begin"/>
      </w:r>
      <w:r w:rsidR="00533F8D" w:rsidRPr="00153A61">
        <w:rPr>
          <w:lang w:eastAsia="zh-CN"/>
        </w:rPr>
        <w:instrText xml:space="preserve"> HYPERLINK "https://www.un.org/en/content/disabilitystrategy/" </w:instrText>
      </w:r>
      <w:r w:rsidR="00533F8D" w:rsidRPr="00153A61">
        <w:fldChar w:fldCharType="separate"/>
      </w:r>
      <w:r w:rsidR="00827A3C" w:rsidRPr="00153A61">
        <w:rPr>
          <w:rFonts w:asciiTheme="minorHAnsi" w:hAnsiTheme="minorHAnsi" w:cstheme="minorHAnsi"/>
          <w:szCs w:val="24"/>
          <w:lang w:eastAsia="zh-CN"/>
        </w:rPr>
        <w:t>联合国残疾包容战略</w:t>
      </w:r>
      <w:r w:rsidR="00533F8D" w:rsidRPr="00153A61">
        <w:rPr>
          <w:rFonts w:asciiTheme="minorHAnsi" w:hAnsiTheme="minorHAnsi" w:cstheme="minorHAnsi"/>
          <w:szCs w:val="24"/>
          <w:lang w:eastAsia="zh-CN"/>
        </w:rPr>
        <w:fldChar w:fldCharType="end"/>
      </w:r>
      <w:r w:rsidR="00827A3C" w:rsidRPr="00153A61">
        <w:rPr>
          <w:rFonts w:asciiTheme="minorHAnsi" w:hAnsiTheme="minorHAnsi" w:cstheme="minorHAnsi" w:hint="eastAsia"/>
          <w:szCs w:val="24"/>
          <w:lang w:eastAsia="zh-CN"/>
        </w:rPr>
        <w:t>（</w:t>
      </w:r>
      <w:hyperlink r:id="rId16" w:history="1">
        <w:r w:rsidR="009815ED" w:rsidRPr="00153A61">
          <w:rPr>
            <w:rStyle w:val="Hyperlink"/>
            <w:rFonts w:asciiTheme="minorHAnsi" w:hAnsiTheme="minorHAnsi" w:cstheme="minorHAnsi"/>
            <w:szCs w:val="24"/>
            <w:lang w:eastAsia="zh-CN"/>
          </w:rPr>
          <w:t>UNDIS</w:t>
        </w:r>
      </w:hyperlink>
      <w:r w:rsidR="00827A3C" w:rsidRPr="00153A61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保持一致，</w:t>
      </w:r>
      <w:r w:rsidR="00827A3C" w:rsidRPr="00153A61">
        <w:rPr>
          <w:rFonts w:asciiTheme="minorHAnsi" w:hAnsiTheme="minorHAnsi" w:cstheme="minorHAnsi" w:hint="eastAsia"/>
          <w:szCs w:val="24"/>
          <w:lang w:eastAsia="zh-CN"/>
        </w:rPr>
        <w:t>并承诺调整其工作活动，以确保对每个人的充分包容。</w:t>
      </w:r>
      <w:bookmarkEnd w:id="10"/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根据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UNDIS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，国际电联还考虑推进以下工作</w:t>
      </w:r>
      <w:r w:rsidR="00827A3C" w:rsidRPr="00153A61">
        <w:rPr>
          <w:rFonts w:asciiTheme="minorHAnsi" w:hAnsiTheme="minorHAnsi" w:cstheme="minorHAnsi" w:hint="eastAsia"/>
          <w:szCs w:val="24"/>
          <w:lang w:eastAsia="zh-CN"/>
        </w:rPr>
        <w:t>：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1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）双轨方法：残疾和无障碍</w:t>
      </w:r>
      <w:r w:rsidR="00827A3C" w:rsidRPr="00153A61">
        <w:rPr>
          <w:rFonts w:asciiTheme="minorHAnsi" w:hAnsiTheme="minorHAnsi" w:cstheme="minorHAnsi" w:hint="eastAsia"/>
          <w:szCs w:val="24"/>
          <w:lang w:eastAsia="zh-CN"/>
        </w:rPr>
        <w:t>获取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是一个跨领域的问题，需要有针对性的规划；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2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）交叉性</w:t>
      </w:r>
      <w:r w:rsidR="00827A3C" w:rsidRPr="00153A61">
        <w:rPr>
          <w:rFonts w:asciiTheme="minorHAnsi" w:hAnsiTheme="minorHAnsi" w:cstheme="minorHAnsi" w:hint="eastAsia"/>
          <w:szCs w:val="24"/>
          <w:lang w:eastAsia="zh-CN"/>
        </w:rPr>
        <w:t>问题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：性别、年龄和地点等因素影响着个人的经历，也影响着残疾人及其生活经历；</w:t>
      </w:r>
      <w:r w:rsidR="00827A3C" w:rsidRPr="00153A61">
        <w:rPr>
          <w:rFonts w:asciiTheme="minorHAnsi" w:hAnsiTheme="minorHAnsi" w:cstheme="minorHAnsi" w:hint="eastAsia"/>
          <w:szCs w:val="24"/>
          <w:lang w:eastAsia="zh-CN"/>
        </w:rPr>
        <w:t>以及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3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）协调以确保</w:t>
      </w:r>
      <w:r w:rsidR="009D6B4A" w:rsidRPr="00153A61">
        <w:rPr>
          <w:rFonts w:asciiTheme="minorHAnsi" w:hAnsiTheme="minorHAnsi" w:cstheme="minorHAnsi" w:hint="eastAsia"/>
          <w:szCs w:val="24"/>
          <w:lang w:eastAsia="zh-CN"/>
        </w:rPr>
        <w:t>统一</w:t>
      </w:r>
      <w:r w:rsidR="002C3FF6" w:rsidRPr="00153A61">
        <w:rPr>
          <w:rFonts w:asciiTheme="minorHAnsi" w:hAnsiTheme="minorHAnsi" w:cstheme="minorHAnsi" w:hint="eastAsia"/>
          <w:szCs w:val="24"/>
          <w:lang w:eastAsia="zh-CN"/>
        </w:rPr>
        <w:t>一致的方法，这是加快进展、相互借鉴和实现包容的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一个重要因素。</w:t>
      </w:r>
    </w:p>
    <w:p w14:paraId="48E6C5ED" w14:textId="6A285726" w:rsidR="009815ED" w:rsidRPr="00153A61" w:rsidRDefault="009D6B4A" w:rsidP="00DD74F5">
      <w:pPr>
        <w:spacing w:after="120"/>
        <w:ind w:firstLineChars="200" w:firstLine="472"/>
        <w:jc w:val="both"/>
        <w:rPr>
          <w:rFonts w:asciiTheme="minorHAnsi" w:hAnsiTheme="minorHAnsi" w:cstheme="minorHAnsi"/>
          <w:szCs w:val="24"/>
          <w:lang w:eastAsia="zh-CN"/>
        </w:rPr>
      </w:pPr>
      <w:bookmarkStart w:id="11" w:name="lt_pId027"/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由所有三个部门顾问组的代表组成了成员的跨部门协调组（</w:t>
      </w:r>
      <w:r w:rsidR="00533F8D">
        <w:fldChar w:fldCharType="begin"/>
      </w:r>
      <w:r w:rsidR="00533F8D">
        <w:rPr>
          <w:lang w:eastAsia="zh-CN"/>
        </w:rPr>
        <w:instrText xml:space="preserve"> HYPERLINK "https://www.itu.int/en/general-secretariat/Pages/ISCG/default.aspx" </w:instrText>
      </w:r>
      <w:r w:rsidR="00533F8D">
        <w:fldChar w:fldCharType="separate"/>
      </w:r>
      <w:r w:rsidR="009815ED" w:rsidRPr="00153A61">
        <w:rPr>
          <w:rStyle w:val="Hyperlink"/>
          <w:rFonts w:asciiTheme="minorHAnsi" w:hAnsiTheme="minorHAnsi" w:cstheme="minorHAnsi"/>
          <w:szCs w:val="24"/>
          <w:lang w:eastAsia="zh-CN"/>
        </w:rPr>
        <w:t>ISCG</w:t>
      </w:r>
      <w:r w:rsidR="00533F8D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Pr="00153A61">
        <w:rPr>
          <w:rFonts w:asciiTheme="minorHAnsi" w:hAnsiTheme="minorHAnsi" w:cstheme="minorHAnsi" w:hint="eastAsia"/>
          <w:szCs w:val="24"/>
          <w:lang w:eastAsia="zh-CN"/>
        </w:rPr>
        <w:t>）处理共同关心的问题，</w:t>
      </w:r>
      <w:r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在</w:t>
      </w:r>
      <w:r w:rsidR="00533F8D">
        <w:fldChar w:fldCharType="begin"/>
      </w:r>
      <w:r w:rsidR="00533F8D">
        <w:rPr>
          <w:lang w:eastAsia="zh-CN"/>
        </w:rPr>
        <w:instrText xml:space="preserve"> HYPERLINK "https://www.itu.int/en/general-secretariat/ties/ISCGDocumentLibrary/1st%20Meeting%202021/ISCG-21-1-07-E-1st%20Meeting%202021-Final%20Report.docx"</w:instrText>
      </w:r>
      <w:r w:rsidR="00533F8D">
        <w:rPr>
          <w:lang w:eastAsia="zh-CN"/>
        </w:rPr>
        <w:instrText xml:space="preserve"> </w:instrText>
      </w:r>
      <w:r w:rsidR="00533F8D">
        <w:fldChar w:fldCharType="separate"/>
      </w:r>
      <w:r w:rsidRPr="00153A61">
        <w:rPr>
          <w:rStyle w:val="Hyperlink"/>
          <w:rFonts w:asciiTheme="minorHAnsi" w:hAnsiTheme="minorHAnsi" w:cstheme="minorHAnsi"/>
          <w:szCs w:val="24"/>
          <w:lang w:eastAsia="zh-CN"/>
        </w:rPr>
        <w:t>2021</w:t>
      </w:r>
      <w:r w:rsidRPr="00153A61">
        <w:rPr>
          <w:rStyle w:val="Hyperlink"/>
          <w:rFonts w:asciiTheme="minorHAnsi" w:hAnsiTheme="minorHAnsi" w:cstheme="minorHAnsi"/>
          <w:szCs w:val="24"/>
          <w:lang w:eastAsia="zh-CN"/>
        </w:rPr>
        <w:t>年</w:t>
      </w:r>
      <w:r w:rsidRPr="00153A61">
        <w:rPr>
          <w:rStyle w:val="Hyperlink"/>
          <w:rFonts w:asciiTheme="minorHAnsi" w:hAnsiTheme="minorHAnsi" w:cstheme="minorHAnsi"/>
          <w:szCs w:val="24"/>
          <w:lang w:eastAsia="zh-CN"/>
        </w:rPr>
        <w:t>3</w:t>
      </w:r>
      <w:r w:rsidRPr="00153A61">
        <w:rPr>
          <w:rStyle w:val="Hyperlink"/>
          <w:rFonts w:asciiTheme="minorHAnsi" w:hAnsiTheme="minorHAnsi" w:cstheme="minorHAnsi"/>
          <w:szCs w:val="24"/>
          <w:lang w:eastAsia="zh-CN"/>
        </w:rPr>
        <w:t>月的会议</w:t>
      </w:r>
      <w:r w:rsidR="00533F8D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bookmarkEnd w:id="11"/>
      <w:r w:rsidR="004A6AE9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同意将</w:t>
      </w:r>
      <w:r w:rsidR="00424BE8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无障碍获取</w:t>
      </w:r>
      <w:r w:rsidR="004A6AE9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作为一个具体的主题在</w:t>
      </w:r>
      <w:r w:rsidR="00DD74F5" w:rsidRPr="00153A61">
        <w:rPr>
          <w:rFonts w:asciiTheme="minorHAnsi" w:hAnsiTheme="minorHAnsi" w:cstheme="minorHAnsi"/>
          <w:szCs w:val="24"/>
          <w:lang w:eastAsia="zh-CN"/>
        </w:rPr>
        <w:t>ISCG</w:t>
      </w:r>
      <w:r w:rsidR="004A6AE9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内进行跟进，并要求秘书处的</w:t>
      </w:r>
      <w:r w:rsidR="00DD74F5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跨部门协调任务组</w:t>
      </w:r>
      <w:r w:rsidR="004A6AE9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（</w:t>
      </w:r>
      <w:r w:rsidR="004A6AE9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ISC-TF</w:t>
      </w:r>
      <w:r w:rsidR="004A6AE9" w:rsidRPr="00153A61">
        <w:rPr>
          <w:rFonts w:asciiTheme="minorHAnsi" w:hAnsiTheme="minorHAnsi" w:cstheme="minorHAnsi" w:hint="eastAsia"/>
          <w:spacing w:val="-2"/>
          <w:szCs w:val="24"/>
          <w:lang w:eastAsia="zh-CN"/>
        </w:rPr>
        <w:t>）为下次会议提交一份有关报告。</w:t>
      </w:r>
    </w:p>
    <w:p w14:paraId="5843FE72" w14:textId="45917127" w:rsidR="009815ED" w:rsidRPr="00153A61" w:rsidRDefault="0030209B" w:rsidP="0030209B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szCs w:val="24"/>
          <w:lang w:eastAsia="zh-CN"/>
        </w:rPr>
        <w:t>十多年来，</w:t>
      </w:r>
      <w:r w:rsidR="00E83AB8" w:rsidRPr="00153A61">
        <w:rPr>
          <w:rFonts w:asciiTheme="minorHAnsi" w:hAnsiTheme="minorHAnsi" w:cstheme="minorHAnsi" w:hint="eastAsia"/>
          <w:szCs w:val="24"/>
          <w:lang w:eastAsia="zh-CN"/>
        </w:rPr>
        <w:t>国际电联开展了大量工作，以便使国际电联的服务（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其中</w:t>
      </w:r>
      <w:r w:rsidR="00E83AB8" w:rsidRPr="00153A61">
        <w:rPr>
          <w:rFonts w:asciiTheme="minorHAnsi" w:hAnsiTheme="minorHAnsi" w:cstheme="minorHAnsi" w:hint="eastAsia"/>
          <w:szCs w:val="24"/>
          <w:lang w:eastAsia="zh-CN"/>
        </w:rPr>
        <w:t>包括设施、活动、文件和机构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通信</w:t>
      </w:r>
      <w:r w:rsidR="00E83AB8" w:rsidRPr="00153A61">
        <w:rPr>
          <w:rFonts w:asciiTheme="minorHAnsi" w:hAnsiTheme="minorHAnsi" w:cstheme="minorHAnsi" w:hint="eastAsia"/>
          <w:szCs w:val="24"/>
          <w:lang w:eastAsia="zh-CN"/>
        </w:rPr>
        <w:t>工具等）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能更好地</w:t>
      </w:r>
      <w:r w:rsidR="00E83AB8" w:rsidRPr="00153A61">
        <w:rPr>
          <w:rFonts w:asciiTheme="minorHAnsi" w:hAnsiTheme="minorHAnsi" w:cstheme="minorHAnsi" w:hint="eastAsia"/>
          <w:szCs w:val="24"/>
          <w:lang w:eastAsia="zh-CN"/>
        </w:rPr>
        <w:t>适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应</w:t>
      </w:r>
      <w:r w:rsidR="00E83AB8" w:rsidRPr="00153A61">
        <w:rPr>
          <w:rFonts w:asciiTheme="minorHAnsi" w:hAnsiTheme="minorHAnsi" w:cstheme="minorHAnsi" w:hint="eastAsia"/>
          <w:szCs w:val="24"/>
          <w:lang w:eastAsia="zh-CN"/>
        </w:rPr>
        <w:t>残疾人。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为了借鉴这些经验</w:t>
      </w:r>
      <w:r w:rsidR="00F97DA1" w:rsidRPr="00153A61">
        <w:rPr>
          <w:rFonts w:asciiTheme="minorHAnsi" w:hAnsiTheme="minorHAnsi" w:cstheme="minorHAnsi" w:hint="eastAsia"/>
          <w:szCs w:val="24"/>
          <w:lang w:eastAsia="zh-CN"/>
        </w:rPr>
        <w:t>教训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，并制定明确的解决方案和程序，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ISC-TF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更新了本文件附件中的无障碍</w:t>
      </w:r>
      <w:r w:rsidR="00F97DA1" w:rsidRPr="00153A61">
        <w:rPr>
          <w:rFonts w:asciiTheme="minorHAnsi" w:hAnsiTheme="minorHAnsi" w:cstheme="minorHAnsi" w:hint="eastAsia"/>
          <w:szCs w:val="24"/>
          <w:lang w:eastAsia="zh-CN"/>
        </w:rPr>
        <w:t>获取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政策，以取代</w:t>
      </w:r>
      <w:r w:rsidR="00F97DA1" w:rsidRPr="00153A61">
        <w:rPr>
          <w:rFonts w:asciiTheme="minorHAnsi" w:hAnsiTheme="minorHAnsi" w:cstheme="minorHAnsi" w:hint="eastAsia"/>
          <w:szCs w:val="24"/>
          <w:lang w:eastAsia="zh-CN"/>
        </w:rPr>
        <w:t>理事会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2013</w:t>
      </w:r>
      <w:r w:rsidR="004A6AE9" w:rsidRPr="00153A61">
        <w:rPr>
          <w:rFonts w:asciiTheme="minorHAnsi" w:hAnsiTheme="minorHAnsi" w:cstheme="minorHAnsi" w:hint="eastAsia"/>
          <w:szCs w:val="24"/>
          <w:lang w:eastAsia="zh-CN"/>
        </w:rPr>
        <w:t>年会议批准的政策。</w:t>
      </w:r>
    </w:p>
    <w:p w14:paraId="43854417" w14:textId="59C948D8" w:rsidR="009815ED" w:rsidRPr="00153A61" w:rsidRDefault="004A6AE9" w:rsidP="006E072F">
      <w:pPr>
        <w:pStyle w:val="Headingb"/>
        <w:keepNext w:val="0"/>
        <w:keepLines w:val="0"/>
        <w:spacing w:before="120" w:after="120"/>
        <w:ind w:firstLineChars="200" w:firstLine="480"/>
        <w:jc w:val="both"/>
        <w:rPr>
          <w:rFonts w:asciiTheme="minorHAnsi" w:hAnsiTheme="minorHAnsi" w:cstheme="minorHAnsi"/>
          <w:b w:val="0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这项更新的政策考虑到了新的发展（例如，第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175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号决议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（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2018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年，迪拜，修订版）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的</w:t>
      </w:r>
      <w:r w:rsidR="00F97DA1" w:rsidRPr="00153A61">
        <w:rPr>
          <w:rFonts w:ascii="STKaiti" w:eastAsia="STKaiti" w:hAnsi="STKaiti" w:cstheme="minorHAnsi" w:hint="eastAsia"/>
          <w:b w:val="0"/>
          <w:szCs w:val="24"/>
          <w:lang w:eastAsia="zh-CN"/>
        </w:rPr>
        <w:t>做出决议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和</w:t>
      </w:r>
      <w:r w:rsidR="00F97DA1" w:rsidRPr="00153A61">
        <w:rPr>
          <w:rFonts w:ascii="STKaiti" w:eastAsia="STKaiti" w:hAnsi="STKaiti" w:cstheme="minorHAnsi" w:hint="eastAsia"/>
          <w:b w:val="0"/>
          <w:szCs w:val="24"/>
          <w:lang w:eastAsia="zh-CN"/>
        </w:rPr>
        <w:t>责成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，以及</w:t>
      </w:r>
      <w:r w:rsidR="00F97DA1" w:rsidRPr="00153A61">
        <w:rPr>
          <w:rFonts w:asciiTheme="minorHAnsi" w:hAnsiTheme="minorHAnsi" w:cstheme="minorHAnsi"/>
          <w:b w:val="0"/>
          <w:szCs w:val="24"/>
          <w:lang w:eastAsia="zh-CN"/>
        </w:rPr>
        <w:t>UNDIS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的成果），并超越了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国际电联的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内部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工作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，也涵盖了国际电</w:t>
      </w:r>
      <w:proofErr w:type="gramStart"/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联众多</w:t>
      </w:r>
      <w:proofErr w:type="gramEnd"/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重要的活动，这些活动旨在使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人们能更容易地获取</w:t>
      </w:r>
      <w:r w:rsidR="00F97DA1" w:rsidRPr="00153A61">
        <w:rPr>
          <w:rFonts w:asciiTheme="minorHAnsi" w:hAnsiTheme="minorHAnsi" w:cstheme="minorHAnsi"/>
          <w:b w:val="0"/>
          <w:szCs w:val="24"/>
          <w:lang w:eastAsia="zh-CN"/>
        </w:rPr>
        <w:t>ICT</w:t>
      </w:r>
      <w:r w:rsidR="00F97DA1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设施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，并通过在世界各地使用</w:t>
      </w:r>
      <w:r w:rsidR="00F97DA1" w:rsidRPr="00153A61">
        <w:rPr>
          <w:rFonts w:asciiTheme="minorHAnsi" w:hAnsiTheme="minorHAnsi" w:cstheme="minorHAnsi"/>
          <w:b w:val="0"/>
          <w:szCs w:val="24"/>
          <w:lang w:eastAsia="zh-CN"/>
        </w:rPr>
        <w:t>ICT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技术促进</w:t>
      </w:r>
      <w:r w:rsidR="006E072F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对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残疾人的</w:t>
      </w:r>
      <w:r w:rsidR="006E072F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赋权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。</w:t>
      </w:r>
    </w:p>
    <w:p w14:paraId="6A91F6AD" w14:textId="77777777" w:rsidR="009815ED" w:rsidRPr="00153A61" w:rsidRDefault="009815ED" w:rsidP="009815ED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Cs/>
          <w:szCs w:val="24"/>
          <w:lang w:eastAsia="zh-CN"/>
        </w:rPr>
      </w:pPr>
      <w:r w:rsidRPr="00153A61">
        <w:rPr>
          <w:rFonts w:asciiTheme="minorHAnsi" w:hAnsiTheme="minorHAnsi" w:cstheme="minorHAnsi"/>
          <w:bCs/>
          <w:szCs w:val="24"/>
          <w:lang w:eastAsia="zh-CN"/>
        </w:rPr>
        <w:br w:type="page"/>
      </w:r>
    </w:p>
    <w:p w14:paraId="7CB14042" w14:textId="7390B041" w:rsidR="009815ED" w:rsidRPr="00153A61" w:rsidRDefault="004A6AE9" w:rsidP="009815ED">
      <w:pPr>
        <w:pStyle w:val="AnnexNo"/>
        <w:rPr>
          <w:lang w:eastAsia="zh-CN"/>
        </w:rPr>
      </w:pPr>
      <w:r w:rsidRPr="00153A61">
        <w:rPr>
          <w:rFonts w:hint="eastAsia"/>
          <w:lang w:eastAsia="zh-CN"/>
        </w:rPr>
        <w:lastRenderedPageBreak/>
        <w:t>附件</w:t>
      </w:r>
    </w:p>
    <w:p w14:paraId="36FB1605" w14:textId="4CF4B885" w:rsidR="009815ED" w:rsidRPr="00153A61" w:rsidRDefault="004A6AE9" w:rsidP="009815ED">
      <w:pPr>
        <w:pStyle w:val="Annextitle"/>
        <w:rPr>
          <w:lang w:eastAsia="zh-CN"/>
        </w:rPr>
      </w:pPr>
      <w:r w:rsidRPr="00153A61">
        <w:rPr>
          <w:rFonts w:hint="eastAsia"/>
          <w:lang w:eastAsia="zh-CN"/>
        </w:rPr>
        <w:t>国际电联残疾人无障碍</w:t>
      </w:r>
      <w:r w:rsidR="001D78E9" w:rsidRPr="00153A61">
        <w:rPr>
          <w:rFonts w:hint="eastAsia"/>
          <w:lang w:eastAsia="zh-CN"/>
        </w:rPr>
        <w:t>获取</w:t>
      </w:r>
      <w:r w:rsidRPr="00153A61">
        <w:rPr>
          <w:rFonts w:hint="eastAsia"/>
          <w:lang w:eastAsia="zh-CN"/>
        </w:rPr>
        <w:t>政策草案</w:t>
      </w:r>
    </w:p>
    <w:p w14:paraId="598882F9" w14:textId="0B6B5241" w:rsidR="009815ED" w:rsidRPr="00153A61" w:rsidRDefault="001D78E9" w:rsidP="00153A61">
      <w:pPr>
        <w:pStyle w:val="Headingb"/>
      </w:pPr>
      <w:bookmarkStart w:id="12" w:name="_Hlk68110982"/>
      <w:r w:rsidRPr="00153A61">
        <w:rPr>
          <w:rFonts w:hint="eastAsia"/>
        </w:rPr>
        <w:t>总体</w:t>
      </w:r>
      <w:r w:rsidR="004A6AE9" w:rsidRPr="00153A61">
        <w:rPr>
          <w:rFonts w:hint="eastAsia"/>
        </w:rPr>
        <w:t>目标和</w:t>
      </w:r>
      <w:r w:rsidRPr="00153A61">
        <w:rPr>
          <w:rFonts w:hint="eastAsia"/>
        </w:rPr>
        <w:t>具体目标</w:t>
      </w:r>
    </w:p>
    <w:p w14:paraId="65157D65" w14:textId="5732A319" w:rsidR="009815ED" w:rsidRPr="00153A61" w:rsidRDefault="004A6AE9" w:rsidP="00153A61">
      <w:pPr>
        <w:pStyle w:val="Headingb"/>
        <w:keepNext w:val="0"/>
        <w:keepLines w:val="0"/>
        <w:tabs>
          <w:tab w:val="left" w:pos="851"/>
        </w:tabs>
        <w:spacing w:before="120" w:after="120"/>
        <w:ind w:firstLineChars="200" w:firstLine="480"/>
        <w:jc w:val="both"/>
        <w:rPr>
          <w:rFonts w:asciiTheme="minorHAnsi" w:hAnsiTheme="minorHAnsi" w:cstheme="minorHAnsi"/>
          <w:b w:val="0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国际</w:t>
      </w:r>
      <w:proofErr w:type="gramStart"/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电联无障碍</w:t>
      </w:r>
      <w:proofErr w:type="gramEnd"/>
      <w:r w:rsidR="001D78E9"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获取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政策的</w:t>
      </w:r>
      <w:r w:rsidR="001D78E9" w:rsidRPr="00153A61">
        <w:rPr>
          <w:rFonts w:asciiTheme="minorHAnsi" w:hAnsiTheme="minorHAnsi" w:cstheme="minorHAnsi" w:hint="eastAsia"/>
          <w:b w:val="0"/>
          <w:szCs w:val="24"/>
          <w:u w:val="single"/>
          <w:lang w:eastAsia="zh-CN"/>
        </w:rPr>
        <w:t>总体</w:t>
      </w:r>
      <w:r w:rsidRPr="00153A61">
        <w:rPr>
          <w:rFonts w:asciiTheme="minorHAnsi" w:hAnsiTheme="minorHAnsi" w:cstheme="minorHAnsi" w:hint="eastAsia"/>
          <w:b w:val="0"/>
          <w:szCs w:val="24"/>
          <w:u w:val="single"/>
          <w:lang w:eastAsia="zh-CN"/>
        </w:rPr>
        <w:t>目标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是：</w:t>
      </w:r>
    </w:p>
    <w:p w14:paraId="04787DF6" w14:textId="2F45E338" w:rsidR="009815ED" w:rsidRPr="00153A61" w:rsidRDefault="00153A61" w:rsidP="00153A61">
      <w:pPr>
        <w:pStyle w:val="enumlev1"/>
        <w:rPr>
          <w:b/>
          <w:lang w:eastAsia="zh-CN"/>
        </w:rPr>
      </w:pPr>
      <w:bookmarkStart w:id="13" w:name="lt_pId035"/>
      <w:r>
        <w:rPr>
          <w:lang w:eastAsia="zh-CN"/>
        </w:rPr>
        <w:t>•</w:t>
      </w:r>
      <w:r>
        <w:rPr>
          <w:lang w:eastAsia="zh-CN"/>
        </w:rPr>
        <w:tab/>
      </w:r>
      <w:r w:rsidR="00833D1F" w:rsidRPr="00153A61">
        <w:rPr>
          <w:rFonts w:hint="eastAsia"/>
          <w:lang w:eastAsia="zh-CN"/>
        </w:rPr>
        <w:t>目标</w:t>
      </w:r>
      <w:r w:rsidR="00833D1F" w:rsidRPr="00153A61">
        <w:rPr>
          <w:rFonts w:hint="eastAsia"/>
          <w:lang w:eastAsia="zh-CN"/>
        </w:rPr>
        <w:t>1</w:t>
      </w:r>
      <w:r w:rsidR="00833D1F" w:rsidRPr="00153A61">
        <w:rPr>
          <w:rFonts w:hint="eastAsia"/>
          <w:lang w:eastAsia="zh-CN"/>
        </w:rPr>
        <w:t>：建立框架和程序，使国际电联成为适应于残疾人和有特殊需</w:t>
      </w:r>
      <w:r w:rsidR="005B03D7" w:rsidRPr="00153A61">
        <w:rPr>
          <w:rFonts w:hint="eastAsia"/>
          <w:lang w:eastAsia="zh-CN"/>
        </w:rPr>
        <w:t>求</w:t>
      </w:r>
      <w:r w:rsidR="00833D1F" w:rsidRPr="00153A61">
        <w:rPr>
          <w:rFonts w:hint="eastAsia"/>
          <w:lang w:eastAsia="zh-CN"/>
        </w:rPr>
        <w:t>的人（包括与年龄有关的残疾）的无障碍获取组织，</w:t>
      </w:r>
      <w:r w:rsidR="00174F44" w:rsidRPr="00153A61">
        <w:rPr>
          <w:rFonts w:hint="eastAsia"/>
          <w:lang w:eastAsia="zh-CN"/>
        </w:rPr>
        <w:t>使</w:t>
      </w:r>
      <w:r w:rsidR="00833D1F" w:rsidRPr="00153A61">
        <w:rPr>
          <w:rFonts w:hint="eastAsia"/>
          <w:lang w:eastAsia="zh-CN"/>
        </w:rPr>
        <w:t>他们</w:t>
      </w:r>
      <w:r w:rsidR="00174F44" w:rsidRPr="00153A61">
        <w:rPr>
          <w:rFonts w:hint="eastAsia"/>
          <w:lang w:eastAsia="zh-CN"/>
        </w:rPr>
        <w:t>能充分参与国际电联的所有活动，既</w:t>
      </w:r>
      <w:r w:rsidR="005B03D7" w:rsidRPr="00153A61">
        <w:rPr>
          <w:rFonts w:hint="eastAsia"/>
          <w:lang w:eastAsia="zh-CN"/>
        </w:rPr>
        <w:t>可以</w:t>
      </w:r>
      <w:r w:rsidR="00833D1F" w:rsidRPr="00153A61">
        <w:rPr>
          <w:rFonts w:hint="eastAsia"/>
          <w:lang w:eastAsia="zh-CN"/>
        </w:rPr>
        <w:t>作为工作人员</w:t>
      </w:r>
      <w:r w:rsidR="009815ED" w:rsidRPr="00153A61">
        <w:rPr>
          <w:rStyle w:val="FootnoteReference"/>
          <w:rFonts w:asciiTheme="minorHAnsi" w:hAnsiTheme="minorHAnsi" w:cstheme="minorHAnsi"/>
          <w:sz w:val="20"/>
        </w:rPr>
        <w:footnoteReference w:id="1"/>
      </w:r>
      <w:bookmarkEnd w:id="13"/>
      <w:r w:rsidR="005B03D7" w:rsidRPr="00153A61">
        <w:rPr>
          <w:rFonts w:hint="eastAsia"/>
          <w:lang w:eastAsia="zh-CN"/>
        </w:rPr>
        <w:t>，也可以作为其他合作者（顾问</w:t>
      </w:r>
      <w:r w:rsidR="005B03D7" w:rsidRPr="00153A61">
        <w:rPr>
          <w:rFonts w:hint="eastAsia"/>
          <w:lang w:eastAsia="zh-CN"/>
        </w:rPr>
        <w:t>/</w:t>
      </w:r>
      <w:r w:rsidR="005B03D7" w:rsidRPr="00153A61">
        <w:rPr>
          <w:rFonts w:hint="eastAsia"/>
          <w:lang w:eastAsia="zh-CN"/>
        </w:rPr>
        <w:t>专家、实习生等）、</w:t>
      </w:r>
      <w:r w:rsidR="004A6AE9" w:rsidRPr="00153A61">
        <w:rPr>
          <w:rFonts w:hint="eastAsia"/>
          <w:lang w:eastAsia="zh-CN"/>
        </w:rPr>
        <w:t>代表</w:t>
      </w:r>
      <w:r w:rsidR="004A6AE9" w:rsidRPr="00153A61">
        <w:rPr>
          <w:rFonts w:hint="eastAsia"/>
          <w:lang w:eastAsia="zh-CN"/>
        </w:rPr>
        <w:t>/</w:t>
      </w:r>
      <w:r w:rsidR="005B03D7" w:rsidRPr="00153A61">
        <w:rPr>
          <w:rFonts w:hint="eastAsia"/>
          <w:lang w:eastAsia="zh-CN"/>
        </w:rPr>
        <w:t>参</w:t>
      </w:r>
      <w:r w:rsidR="004A6AE9" w:rsidRPr="00153A61">
        <w:rPr>
          <w:rFonts w:hint="eastAsia"/>
          <w:lang w:eastAsia="zh-CN"/>
        </w:rPr>
        <w:t>会者或普通公众；以及</w:t>
      </w:r>
      <w:r w:rsidR="004A6AE9" w:rsidRPr="00153A61">
        <w:rPr>
          <w:rFonts w:hint="eastAsia"/>
          <w:lang w:eastAsia="zh-CN"/>
        </w:rPr>
        <w:t xml:space="preserve"> </w:t>
      </w:r>
    </w:p>
    <w:p w14:paraId="1D84F9EC" w14:textId="2BD4A4FD" w:rsidR="009815ED" w:rsidRPr="00153A61" w:rsidRDefault="00153A61" w:rsidP="00153A61">
      <w:pPr>
        <w:pStyle w:val="enumlev1"/>
        <w:rPr>
          <w:b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4A6AE9" w:rsidRPr="00153A61">
        <w:rPr>
          <w:rFonts w:hint="eastAsia"/>
          <w:lang w:eastAsia="zh-CN"/>
        </w:rPr>
        <w:t>目标</w:t>
      </w:r>
      <w:r w:rsidR="004A6AE9" w:rsidRPr="00153A61">
        <w:rPr>
          <w:rFonts w:hint="eastAsia"/>
          <w:lang w:eastAsia="zh-CN"/>
        </w:rPr>
        <w:t>2</w:t>
      </w:r>
      <w:r w:rsidR="004A6AE9" w:rsidRPr="00153A61">
        <w:rPr>
          <w:rFonts w:hint="eastAsia"/>
          <w:lang w:eastAsia="zh-CN"/>
        </w:rPr>
        <w:t>：在国际电联各部门</w:t>
      </w:r>
      <w:r w:rsidR="00DE45B9" w:rsidRPr="00153A61">
        <w:rPr>
          <w:rFonts w:hint="eastAsia"/>
          <w:lang w:eastAsia="zh-CN"/>
        </w:rPr>
        <w:t>开展</w:t>
      </w:r>
      <w:r w:rsidR="004A6AE9" w:rsidRPr="00153A61">
        <w:rPr>
          <w:rFonts w:hint="eastAsia"/>
          <w:lang w:eastAsia="zh-CN"/>
        </w:rPr>
        <w:t>的与无障碍</w:t>
      </w:r>
      <w:r w:rsidR="00DE45B9" w:rsidRPr="00153A61">
        <w:rPr>
          <w:rFonts w:hint="eastAsia"/>
          <w:lang w:eastAsia="zh-CN"/>
        </w:rPr>
        <w:t>获取</w:t>
      </w:r>
      <w:r w:rsidR="004A6AE9" w:rsidRPr="00153A61">
        <w:rPr>
          <w:rFonts w:hint="eastAsia"/>
          <w:lang w:eastAsia="zh-CN"/>
        </w:rPr>
        <w:t>相关的活动、</w:t>
      </w:r>
      <w:r w:rsidR="001D6203" w:rsidRPr="00153A61">
        <w:rPr>
          <w:rFonts w:hint="eastAsia"/>
          <w:lang w:eastAsia="zh-CN"/>
        </w:rPr>
        <w:t>产生的成就</w:t>
      </w:r>
      <w:r w:rsidR="004A6AE9" w:rsidRPr="00153A61">
        <w:rPr>
          <w:rFonts w:hint="eastAsia"/>
          <w:lang w:eastAsia="zh-CN"/>
        </w:rPr>
        <w:t>和成果的基础上，找出协同作用，以更好地促进和实现全球</w:t>
      </w:r>
      <w:r w:rsidR="001D6203" w:rsidRPr="00153A61">
        <w:rPr>
          <w:lang w:eastAsia="zh-CN"/>
        </w:rPr>
        <w:t>ICT</w:t>
      </w:r>
      <w:r w:rsidR="004A6AE9" w:rsidRPr="00153A61">
        <w:rPr>
          <w:rFonts w:hint="eastAsia"/>
          <w:lang w:eastAsia="zh-CN"/>
        </w:rPr>
        <w:t>技术的无障碍</w:t>
      </w:r>
      <w:r w:rsidR="001D6203" w:rsidRPr="00153A61">
        <w:rPr>
          <w:rFonts w:hint="eastAsia"/>
          <w:lang w:eastAsia="zh-CN"/>
        </w:rPr>
        <w:t>获取</w:t>
      </w:r>
      <w:r w:rsidR="004A6AE9" w:rsidRPr="00153A61">
        <w:rPr>
          <w:rFonts w:hint="eastAsia"/>
          <w:lang w:eastAsia="zh-CN"/>
        </w:rPr>
        <w:t>，以及残疾人和有特殊需</w:t>
      </w:r>
      <w:r w:rsidR="001D6203" w:rsidRPr="00153A61">
        <w:rPr>
          <w:rFonts w:hint="eastAsia"/>
          <w:lang w:eastAsia="zh-CN"/>
        </w:rPr>
        <w:t>求</w:t>
      </w:r>
      <w:r w:rsidR="004A6AE9" w:rsidRPr="00153A61">
        <w:rPr>
          <w:rFonts w:hint="eastAsia"/>
          <w:lang w:eastAsia="zh-CN"/>
        </w:rPr>
        <w:t>的人对</w:t>
      </w:r>
      <w:r w:rsidR="001D6203" w:rsidRPr="00153A61">
        <w:rPr>
          <w:lang w:eastAsia="zh-CN"/>
        </w:rPr>
        <w:t>ICT</w:t>
      </w:r>
      <w:r w:rsidR="001D6203" w:rsidRPr="00153A61">
        <w:rPr>
          <w:rFonts w:hint="eastAsia"/>
          <w:lang w:eastAsia="zh-CN"/>
        </w:rPr>
        <w:t>设施</w:t>
      </w:r>
      <w:r w:rsidR="004A6AE9" w:rsidRPr="00153A61">
        <w:rPr>
          <w:rFonts w:hint="eastAsia"/>
          <w:lang w:eastAsia="zh-CN"/>
        </w:rPr>
        <w:t>的</w:t>
      </w:r>
      <w:r w:rsidR="001D6203" w:rsidRPr="00153A61">
        <w:rPr>
          <w:rFonts w:hint="eastAsia"/>
          <w:lang w:eastAsia="zh-CN"/>
        </w:rPr>
        <w:t>使</w:t>
      </w:r>
      <w:r w:rsidR="004A6AE9" w:rsidRPr="00153A61">
        <w:rPr>
          <w:rFonts w:hint="eastAsia"/>
          <w:lang w:eastAsia="zh-CN"/>
        </w:rPr>
        <w:t>用。</w:t>
      </w:r>
    </w:p>
    <w:p w14:paraId="11748504" w14:textId="53B62D3A" w:rsidR="009815ED" w:rsidRPr="00153A61" w:rsidRDefault="00D02FD6" w:rsidP="00153A61">
      <w:pPr>
        <w:pStyle w:val="Headingb"/>
        <w:keepNext w:val="0"/>
        <w:keepLines w:val="0"/>
        <w:tabs>
          <w:tab w:val="left" w:pos="0"/>
          <w:tab w:val="left" w:pos="851"/>
        </w:tabs>
        <w:spacing w:before="120" w:after="120"/>
        <w:ind w:firstLineChars="200" w:firstLine="480"/>
        <w:jc w:val="both"/>
        <w:rPr>
          <w:rFonts w:asciiTheme="minorHAnsi" w:hAnsiTheme="minorHAnsi" w:cstheme="minorHAnsi"/>
          <w:b w:val="0"/>
          <w:bCs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国际</w:t>
      </w:r>
      <w:proofErr w:type="gramStart"/>
      <w:r w:rsidRPr="00153A61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电联无障碍</w:t>
      </w:r>
      <w:proofErr w:type="gramEnd"/>
      <w:r w:rsidR="001D78E9" w:rsidRPr="00153A61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获取</w:t>
      </w:r>
      <w:r w:rsidRPr="00153A61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政策的</w:t>
      </w:r>
      <w:r w:rsidR="001D78E9" w:rsidRPr="00153A61">
        <w:rPr>
          <w:rFonts w:asciiTheme="minorHAnsi" w:hAnsiTheme="minorHAnsi" w:cstheme="minorHAnsi" w:hint="eastAsia"/>
          <w:b w:val="0"/>
          <w:bCs/>
          <w:szCs w:val="24"/>
          <w:u w:val="single"/>
          <w:lang w:eastAsia="zh-CN"/>
        </w:rPr>
        <w:t>具体</w:t>
      </w:r>
      <w:r w:rsidRPr="00153A61">
        <w:rPr>
          <w:rFonts w:asciiTheme="minorHAnsi" w:hAnsiTheme="minorHAnsi" w:cstheme="minorHAnsi" w:hint="eastAsia"/>
          <w:b w:val="0"/>
          <w:bCs/>
          <w:szCs w:val="24"/>
          <w:u w:val="single"/>
          <w:lang w:eastAsia="zh-CN"/>
        </w:rPr>
        <w:t>目标</w:t>
      </w:r>
      <w:r w:rsidRPr="00153A61">
        <w:rPr>
          <w:rFonts w:asciiTheme="minorHAnsi" w:hAnsiTheme="minorHAnsi" w:cstheme="minorHAnsi" w:hint="eastAsia"/>
          <w:b w:val="0"/>
          <w:bCs/>
          <w:szCs w:val="24"/>
          <w:lang w:eastAsia="zh-CN"/>
        </w:rPr>
        <w:t>是：</w:t>
      </w:r>
    </w:p>
    <w:p w14:paraId="3E1F995C" w14:textId="51C90B1C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1)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按照</w:t>
      </w:r>
      <w:r w:rsidR="001D6203" w:rsidRPr="00153A61">
        <w:rPr>
          <w:rFonts w:hint="eastAsia"/>
          <w:lang w:eastAsia="zh-CN"/>
        </w:rPr>
        <w:t>国际</w:t>
      </w:r>
      <w:r w:rsidR="00D02FD6" w:rsidRPr="00153A61">
        <w:rPr>
          <w:rFonts w:hint="eastAsia"/>
          <w:lang w:eastAsia="zh-CN"/>
        </w:rPr>
        <w:t>公认的标准和最佳做法，使国际电联的设施</w:t>
      </w:r>
      <w:r w:rsidR="001D6203" w:rsidRPr="00153A61">
        <w:rPr>
          <w:rFonts w:hint="eastAsia"/>
          <w:lang w:eastAsia="zh-CN"/>
        </w:rPr>
        <w:t>提供</w:t>
      </w:r>
      <w:r w:rsidR="00D02FD6" w:rsidRPr="00153A61">
        <w:rPr>
          <w:rFonts w:hint="eastAsia"/>
          <w:lang w:eastAsia="zh-CN"/>
        </w:rPr>
        <w:t>无障碍</w:t>
      </w:r>
      <w:r w:rsidR="001D6203" w:rsidRPr="00153A61">
        <w:rPr>
          <w:rFonts w:hint="eastAsia"/>
          <w:lang w:eastAsia="zh-CN"/>
        </w:rPr>
        <w:t>环境</w:t>
      </w:r>
      <w:r w:rsidR="00D02FD6" w:rsidRPr="00153A61">
        <w:rPr>
          <w:rFonts w:hint="eastAsia"/>
          <w:lang w:eastAsia="zh-CN"/>
        </w:rPr>
        <w:t>。</w:t>
      </w:r>
      <w:r w:rsidR="009815ED" w:rsidRPr="00153A61">
        <w:rPr>
          <w:rFonts w:asciiTheme="minorHAnsi" w:hAnsiTheme="minorHAnsi" w:cstheme="minorHAnsi"/>
          <w:lang w:eastAsia="zh-CN"/>
        </w:rPr>
        <w:t xml:space="preserve"> </w:t>
      </w:r>
    </w:p>
    <w:p w14:paraId="5D4B2D05" w14:textId="28BC15F4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提高工作人员和管理层对无障碍</w:t>
      </w:r>
      <w:r w:rsidR="001D6203" w:rsidRPr="00153A61">
        <w:rPr>
          <w:rFonts w:hint="eastAsia"/>
          <w:lang w:eastAsia="zh-CN"/>
        </w:rPr>
        <w:t>获取</w:t>
      </w:r>
      <w:r w:rsidR="00D02FD6" w:rsidRPr="00153A61">
        <w:rPr>
          <w:rFonts w:hint="eastAsia"/>
          <w:lang w:eastAsia="zh-CN"/>
        </w:rPr>
        <w:t>相关问题的认识和了解。</w:t>
      </w:r>
    </w:p>
    <w:p w14:paraId="280B076A" w14:textId="52A2F0E1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提高代表们对无障碍</w:t>
      </w:r>
      <w:r w:rsidR="001D6203" w:rsidRPr="00153A61">
        <w:rPr>
          <w:rFonts w:hint="eastAsia"/>
          <w:lang w:eastAsia="zh-CN"/>
        </w:rPr>
        <w:t>获取</w:t>
      </w:r>
      <w:r w:rsidR="00D02FD6" w:rsidRPr="00153A61">
        <w:rPr>
          <w:rFonts w:hint="eastAsia"/>
          <w:lang w:eastAsia="zh-CN"/>
        </w:rPr>
        <w:t>相关事项的认识。</w:t>
      </w:r>
    </w:p>
    <w:p w14:paraId="4A2824E1" w14:textId="4FFFCD44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采取必要措施，为国际电联的活动提供无障碍设施。这些措施包括但不限于：</w:t>
      </w:r>
      <w:r w:rsidR="00D02FD6" w:rsidRPr="00153A61">
        <w:rPr>
          <w:rFonts w:asciiTheme="minorHAnsi" w:hAnsiTheme="minorHAnsi" w:cstheme="minorHAnsi"/>
          <w:lang w:eastAsia="zh-CN"/>
        </w:rPr>
        <w:t xml:space="preserve"> </w:t>
      </w:r>
    </w:p>
    <w:p w14:paraId="011BAE7F" w14:textId="34E48320" w:rsidR="009815ED" w:rsidRPr="00153A61" w:rsidRDefault="00153A61" w:rsidP="00153A61">
      <w:pPr>
        <w:pStyle w:val="enumlev2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在需要时提供无障碍设施（如实时字幕和</w:t>
      </w:r>
      <w:r w:rsidR="00D02FD6" w:rsidRPr="00153A61">
        <w:rPr>
          <w:rFonts w:asciiTheme="minorHAnsi" w:hAnsiTheme="minorHAnsi" w:cstheme="minorHAnsi" w:hint="eastAsia"/>
          <w:lang w:eastAsia="zh-CN"/>
        </w:rPr>
        <w:t>/</w:t>
      </w:r>
      <w:r w:rsidR="00D02FD6" w:rsidRPr="00153A61">
        <w:rPr>
          <w:rFonts w:hint="eastAsia"/>
          <w:lang w:eastAsia="zh-CN"/>
        </w:rPr>
        <w:t>或远程手语翻译）。</w:t>
      </w:r>
    </w:p>
    <w:p w14:paraId="1E02010D" w14:textId="4B9E47CB" w:rsidR="009815ED" w:rsidRPr="00153A61" w:rsidRDefault="00153A61" w:rsidP="00153A61">
      <w:pPr>
        <w:pStyle w:val="enumlev2"/>
        <w:rPr>
          <w:rFonts w:asciiTheme="minorHAnsi" w:hAnsiTheme="minorHAnsi" w:cstheme="minorHAnsi"/>
          <w:lang w:eastAsia="zh-CN"/>
        </w:rPr>
      </w:pPr>
      <w:bookmarkStart w:id="14" w:name="lt_pId044"/>
      <w:r>
        <w:rPr>
          <w:rFonts w:hint="eastAsia"/>
          <w:lang w:eastAsia="zh-CN"/>
        </w:rPr>
        <w:t>b</w:t>
      </w:r>
      <w:r>
        <w:rPr>
          <w:lang w:eastAsia="zh-CN"/>
        </w:rPr>
        <w:t>)</w:t>
      </w:r>
      <w:r>
        <w:rPr>
          <w:lang w:eastAsia="zh-CN"/>
        </w:rPr>
        <w:tab/>
      </w:r>
      <w:r w:rsidR="001D6203" w:rsidRPr="00153A61">
        <w:rPr>
          <w:rFonts w:hint="eastAsia"/>
          <w:lang w:eastAsia="zh-CN"/>
        </w:rPr>
        <w:t>扩大与会补贴项目</w:t>
      </w:r>
      <w:r w:rsidR="009815ED" w:rsidRPr="00153A61">
        <w:rPr>
          <w:rStyle w:val="FootnoteReference"/>
          <w:rFonts w:asciiTheme="minorHAnsi" w:hAnsiTheme="minorHAnsi" w:cstheme="minorHAnsi"/>
          <w:sz w:val="20"/>
        </w:rPr>
        <w:footnoteReference w:id="2"/>
      </w:r>
      <w:bookmarkEnd w:id="14"/>
      <w:r w:rsidR="00D02FD6" w:rsidRPr="00153A61">
        <w:rPr>
          <w:rFonts w:hint="eastAsia"/>
          <w:lang w:eastAsia="zh-CN"/>
        </w:rPr>
        <w:t>，使</w:t>
      </w:r>
      <w:r w:rsidR="00296ADF" w:rsidRPr="00153A61">
        <w:rPr>
          <w:rFonts w:hint="eastAsia"/>
          <w:lang w:eastAsia="zh-CN"/>
        </w:rPr>
        <w:t>有</w:t>
      </w:r>
      <w:r w:rsidR="00D02FD6" w:rsidRPr="00153A61">
        <w:rPr>
          <w:rFonts w:hint="eastAsia"/>
          <w:lang w:eastAsia="zh-CN"/>
        </w:rPr>
        <w:t>残疾</w:t>
      </w:r>
      <w:r w:rsidR="00296ADF" w:rsidRPr="00153A61">
        <w:rPr>
          <w:rFonts w:hint="eastAsia"/>
          <w:lang w:eastAsia="zh-CN"/>
        </w:rPr>
        <w:t>的</w:t>
      </w:r>
      <w:r w:rsidR="00D02FD6" w:rsidRPr="00153A61">
        <w:rPr>
          <w:rFonts w:hint="eastAsia"/>
          <w:lang w:eastAsia="zh-CN"/>
        </w:rPr>
        <w:t>代表和国际电联成员代表，特别是来自最不发达国家和低收入国家的代表，能够参与国际电联的工作。</w:t>
      </w:r>
    </w:p>
    <w:p w14:paraId="4DEF0B11" w14:textId="36A3173C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5)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确保国际电联网站、视频、出版物以及任何数字文件和数字信息的结构和内容</w:t>
      </w:r>
      <w:r w:rsidR="000377B6" w:rsidRPr="00153A61">
        <w:rPr>
          <w:rFonts w:hint="eastAsia"/>
          <w:lang w:eastAsia="zh-CN"/>
        </w:rPr>
        <w:t>可以通过</w:t>
      </w:r>
      <w:r w:rsidR="00D02FD6" w:rsidRPr="00153A61">
        <w:rPr>
          <w:rFonts w:hint="eastAsia"/>
          <w:lang w:eastAsia="zh-CN"/>
        </w:rPr>
        <w:t>数字</w:t>
      </w:r>
      <w:r w:rsidR="000377B6" w:rsidRPr="00153A61">
        <w:rPr>
          <w:rFonts w:hint="eastAsia"/>
          <w:lang w:eastAsia="zh-CN"/>
        </w:rPr>
        <w:t>化</w:t>
      </w:r>
      <w:r w:rsidR="00D02FD6" w:rsidRPr="00153A61">
        <w:rPr>
          <w:rFonts w:hint="eastAsia"/>
          <w:lang w:eastAsia="zh-CN"/>
        </w:rPr>
        <w:t>无障碍</w:t>
      </w:r>
      <w:r w:rsidR="000377B6" w:rsidRPr="00153A61">
        <w:rPr>
          <w:rFonts w:hint="eastAsia"/>
          <w:lang w:eastAsia="zh-CN"/>
        </w:rPr>
        <w:t>获取</w:t>
      </w:r>
      <w:r w:rsidR="00D02FD6" w:rsidRPr="00153A61">
        <w:rPr>
          <w:rFonts w:hint="eastAsia"/>
          <w:lang w:eastAsia="zh-CN"/>
        </w:rPr>
        <w:t>，并符合现行的无障碍</w:t>
      </w:r>
      <w:r w:rsidR="000377B6" w:rsidRPr="00153A61">
        <w:rPr>
          <w:rFonts w:hint="eastAsia"/>
          <w:lang w:eastAsia="zh-CN"/>
        </w:rPr>
        <w:t>获取</w:t>
      </w:r>
      <w:r w:rsidR="00D02FD6" w:rsidRPr="00153A61">
        <w:rPr>
          <w:rFonts w:hint="eastAsia"/>
          <w:lang w:eastAsia="zh-CN"/>
        </w:rPr>
        <w:t>要求和标准；包括确保网站开发人员、网站管理员和</w:t>
      </w:r>
      <w:r w:rsidR="000377B6" w:rsidRPr="00153A61">
        <w:rPr>
          <w:rFonts w:hint="eastAsia"/>
          <w:lang w:eastAsia="zh-CN"/>
        </w:rPr>
        <w:t>宣传联络官</w:t>
      </w:r>
      <w:r w:rsidR="00D02FD6" w:rsidRPr="00153A61">
        <w:rPr>
          <w:rFonts w:hint="eastAsia"/>
          <w:lang w:eastAsia="zh-CN"/>
        </w:rPr>
        <w:t>以及所有相关工作人员为此接受适当培训。</w:t>
      </w:r>
    </w:p>
    <w:p w14:paraId="66886B1F" w14:textId="088DAA7D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>)</w:t>
      </w:r>
      <w:r>
        <w:rPr>
          <w:lang w:eastAsia="zh-CN"/>
        </w:rPr>
        <w:tab/>
      </w:r>
      <w:r w:rsidR="007830F8" w:rsidRPr="00153A61">
        <w:rPr>
          <w:rFonts w:hint="eastAsia"/>
          <w:lang w:eastAsia="zh-CN"/>
        </w:rPr>
        <w:t>改善</w:t>
      </w:r>
      <w:r w:rsidR="00D02FD6" w:rsidRPr="00153A61">
        <w:rPr>
          <w:rFonts w:hint="eastAsia"/>
          <w:lang w:eastAsia="zh-CN"/>
        </w:rPr>
        <w:t>采购政策，以确保</w:t>
      </w:r>
      <w:r w:rsidR="007830F8" w:rsidRPr="00153A61">
        <w:rPr>
          <w:rFonts w:hint="eastAsia"/>
          <w:lang w:eastAsia="zh-CN"/>
        </w:rPr>
        <w:t>所</w:t>
      </w:r>
      <w:r w:rsidR="00692C53" w:rsidRPr="00153A61">
        <w:rPr>
          <w:rFonts w:hint="eastAsia"/>
          <w:lang w:eastAsia="zh-CN"/>
        </w:rPr>
        <w:t>获得的</w:t>
      </w:r>
      <w:r w:rsidR="00D02FD6" w:rsidRPr="00153A61">
        <w:rPr>
          <w:rFonts w:hint="eastAsia"/>
          <w:lang w:eastAsia="zh-CN"/>
        </w:rPr>
        <w:t>相关货物和服务</w:t>
      </w:r>
      <w:r w:rsidR="007830F8" w:rsidRPr="00153A61">
        <w:rPr>
          <w:rFonts w:hint="eastAsia"/>
          <w:lang w:eastAsia="zh-CN"/>
        </w:rPr>
        <w:t>适用于</w:t>
      </w:r>
      <w:r w:rsidR="00D02FD6" w:rsidRPr="00153A61">
        <w:rPr>
          <w:rFonts w:hint="eastAsia"/>
          <w:lang w:eastAsia="zh-CN"/>
        </w:rPr>
        <w:t>无障碍</w:t>
      </w:r>
      <w:r w:rsidR="007830F8" w:rsidRPr="00153A61">
        <w:rPr>
          <w:rFonts w:hint="eastAsia"/>
          <w:lang w:eastAsia="zh-CN"/>
        </w:rPr>
        <w:t>获取环境</w:t>
      </w:r>
      <w:r w:rsidR="00D02FD6" w:rsidRPr="00153A61">
        <w:rPr>
          <w:rFonts w:hint="eastAsia"/>
          <w:lang w:eastAsia="zh-CN"/>
        </w:rPr>
        <w:t>，或不会造成新的障碍，并确保采购过程是无障碍的。</w:t>
      </w:r>
    </w:p>
    <w:p w14:paraId="1A8261A0" w14:textId="23E2B82E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>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确保</w:t>
      </w:r>
      <w:r w:rsidR="00424BE8" w:rsidRPr="00153A61">
        <w:rPr>
          <w:rFonts w:hint="eastAsia"/>
          <w:lang w:eastAsia="zh-CN"/>
        </w:rPr>
        <w:t>无障碍获取</w:t>
      </w:r>
      <w:r w:rsidR="00D02FD6" w:rsidRPr="00153A61">
        <w:rPr>
          <w:rFonts w:hint="eastAsia"/>
          <w:lang w:eastAsia="zh-CN"/>
        </w:rPr>
        <w:t>在招聘等过程中被纳入主流，</w:t>
      </w:r>
      <w:r w:rsidR="00E439B7" w:rsidRPr="00153A61">
        <w:rPr>
          <w:rFonts w:hint="eastAsia"/>
          <w:lang w:eastAsia="zh-CN"/>
        </w:rPr>
        <w:t>与</w:t>
      </w:r>
      <w:r w:rsidR="001E0E7F" w:rsidRPr="00153A61">
        <w:rPr>
          <w:rFonts w:asciiTheme="minorHAnsi" w:hAnsiTheme="minorHAnsi" w:cstheme="minorHAnsi"/>
          <w:lang w:eastAsia="zh-CN"/>
        </w:rPr>
        <w:t>UNDIS</w:t>
      </w:r>
      <w:r w:rsidR="00E439B7" w:rsidRPr="00153A61">
        <w:rPr>
          <w:rFonts w:hint="eastAsia"/>
          <w:lang w:eastAsia="zh-CN"/>
        </w:rPr>
        <w:t>的规定保持一致</w:t>
      </w:r>
      <w:r w:rsidR="00D02FD6" w:rsidRPr="00153A61">
        <w:rPr>
          <w:rFonts w:hint="eastAsia"/>
          <w:lang w:eastAsia="zh-CN"/>
        </w:rPr>
        <w:t>。</w:t>
      </w:r>
    </w:p>
    <w:p w14:paraId="16E7F70B" w14:textId="3F6B7FE9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8</w:t>
      </w:r>
      <w:r>
        <w:rPr>
          <w:lang w:eastAsia="zh-CN"/>
        </w:rPr>
        <w:t>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利用内部知识和专长，加强在无障碍</w:t>
      </w:r>
      <w:r w:rsidR="00782F2F" w:rsidRPr="00153A61">
        <w:rPr>
          <w:rFonts w:hint="eastAsia"/>
          <w:lang w:eastAsia="zh-CN"/>
        </w:rPr>
        <w:t>获取</w:t>
      </w:r>
      <w:r w:rsidR="00D02FD6" w:rsidRPr="00153A61">
        <w:rPr>
          <w:rFonts w:hint="eastAsia"/>
          <w:lang w:eastAsia="zh-CN"/>
        </w:rPr>
        <w:t>相关问题上的</w:t>
      </w:r>
      <w:r w:rsidR="00782F2F" w:rsidRPr="00153A61">
        <w:rPr>
          <w:rFonts w:hint="eastAsia"/>
          <w:lang w:eastAsia="zh-CN"/>
        </w:rPr>
        <w:t>跨</w:t>
      </w:r>
      <w:r w:rsidR="00D02FD6" w:rsidRPr="00153A61">
        <w:rPr>
          <w:rFonts w:hint="eastAsia"/>
          <w:lang w:eastAsia="zh-CN"/>
        </w:rPr>
        <w:t>部门合作。</w:t>
      </w:r>
    </w:p>
    <w:p w14:paraId="5BFD1226" w14:textId="270E16E8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>)</w:t>
      </w:r>
      <w:r>
        <w:rPr>
          <w:lang w:eastAsia="zh-CN"/>
        </w:rPr>
        <w:tab/>
      </w:r>
      <w:r w:rsidR="00D02FD6" w:rsidRPr="00153A61">
        <w:rPr>
          <w:rFonts w:hint="eastAsia"/>
          <w:lang w:eastAsia="zh-CN"/>
        </w:rPr>
        <w:t>确保</w:t>
      </w:r>
      <w:r w:rsidR="00424BE8" w:rsidRPr="00153A61">
        <w:rPr>
          <w:rFonts w:hint="eastAsia"/>
          <w:lang w:eastAsia="zh-CN"/>
        </w:rPr>
        <w:t>无障碍获取</w:t>
      </w:r>
      <w:r w:rsidR="00D02FD6" w:rsidRPr="00153A61">
        <w:rPr>
          <w:rFonts w:hint="eastAsia"/>
          <w:lang w:eastAsia="zh-CN"/>
        </w:rPr>
        <w:t>在国际电联战略</w:t>
      </w:r>
      <w:r w:rsidR="00782F2F" w:rsidRPr="00153A61">
        <w:rPr>
          <w:rFonts w:hint="eastAsia"/>
          <w:lang w:eastAsia="zh-CN"/>
        </w:rPr>
        <w:t>规划</w:t>
      </w:r>
      <w:r w:rsidR="00D02FD6" w:rsidRPr="00153A61">
        <w:rPr>
          <w:rFonts w:hint="eastAsia"/>
          <w:lang w:eastAsia="zh-CN"/>
        </w:rPr>
        <w:t>和具体部门计划中得到反映，并收集相关数据，以评估和监测在实现国际电联</w:t>
      </w:r>
      <w:r w:rsidR="00424BE8" w:rsidRPr="00153A61">
        <w:rPr>
          <w:rFonts w:hint="eastAsia"/>
          <w:lang w:eastAsia="zh-CN"/>
        </w:rPr>
        <w:t>无障碍获取</w:t>
      </w:r>
      <w:r w:rsidR="00D02FD6" w:rsidRPr="00153A61">
        <w:rPr>
          <w:rFonts w:hint="eastAsia"/>
          <w:lang w:eastAsia="zh-CN"/>
        </w:rPr>
        <w:t>和数字</w:t>
      </w:r>
      <w:r w:rsidR="00424BE8" w:rsidRPr="00153A61">
        <w:rPr>
          <w:rFonts w:hint="eastAsia"/>
          <w:lang w:eastAsia="zh-CN"/>
        </w:rPr>
        <w:t>无障碍获取</w:t>
      </w:r>
      <w:r w:rsidR="00D02FD6" w:rsidRPr="00153A61">
        <w:rPr>
          <w:rFonts w:hint="eastAsia"/>
          <w:lang w:eastAsia="zh-CN"/>
        </w:rPr>
        <w:t>相关</w:t>
      </w:r>
      <w:r w:rsidR="00782F2F" w:rsidRPr="00153A61">
        <w:rPr>
          <w:rFonts w:hint="eastAsia"/>
          <w:lang w:eastAsia="zh-CN"/>
        </w:rPr>
        <w:t>具体</w:t>
      </w:r>
      <w:r w:rsidR="00D02FD6" w:rsidRPr="00153A61">
        <w:rPr>
          <w:rFonts w:hint="eastAsia"/>
          <w:lang w:eastAsia="zh-CN"/>
        </w:rPr>
        <w:t>战略目标方面的绩效进展。</w:t>
      </w:r>
    </w:p>
    <w:p w14:paraId="16AE1BA4" w14:textId="58CEA3D1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0)</w:t>
      </w:r>
      <w:r>
        <w:rPr>
          <w:lang w:val="en-US" w:eastAsia="zh-CN"/>
        </w:rPr>
        <w:tab/>
      </w:r>
      <w:r w:rsidR="00D02FD6" w:rsidRPr="00153A61">
        <w:rPr>
          <w:rFonts w:hint="eastAsia"/>
          <w:lang w:val="en-US" w:eastAsia="zh-CN"/>
        </w:rPr>
        <w:t>将残疾人</w:t>
      </w:r>
      <w:r w:rsidR="00424BE8" w:rsidRPr="00153A61">
        <w:rPr>
          <w:rFonts w:hint="eastAsia"/>
          <w:lang w:val="en-US" w:eastAsia="zh-CN"/>
        </w:rPr>
        <w:t>无障碍获取</w:t>
      </w:r>
      <w:r w:rsidR="00D02FD6" w:rsidRPr="00153A61">
        <w:rPr>
          <w:rFonts w:hint="eastAsia"/>
          <w:lang w:val="en-US" w:eastAsia="zh-CN"/>
        </w:rPr>
        <w:t>纳入三个部门和总秘书处的</w:t>
      </w:r>
      <w:r w:rsidR="00A3640D" w:rsidRPr="00153A61">
        <w:rPr>
          <w:rFonts w:hint="eastAsia"/>
          <w:lang w:val="en-US" w:eastAsia="zh-CN"/>
        </w:rPr>
        <w:t>项目</w:t>
      </w:r>
      <w:r w:rsidR="00D02FD6" w:rsidRPr="00153A61">
        <w:rPr>
          <w:rFonts w:hint="eastAsia"/>
          <w:lang w:val="en-US" w:eastAsia="zh-CN"/>
        </w:rPr>
        <w:t>活动中，确保有适当的资源支持相应活动的实施、监测和评估。</w:t>
      </w:r>
    </w:p>
    <w:p w14:paraId="30672245" w14:textId="176DF827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1)</w:t>
      </w:r>
      <w:r>
        <w:rPr>
          <w:lang w:val="en-US" w:eastAsia="zh-CN"/>
        </w:rPr>
        <w:tab/>
      </w:r>
      <w:r w:rsidR="00D02FD6" w:rsidRPr="00153A61">
        <w:rPr>
          <w:rFonts w:hint="eastAsia"/>
          <w:lang w:val="en-US" w:eastAsia="zh-CN"/>
        </w:rPr>
        <w:t>在联合国共同制度内，加强与代表残疾人的相关组织在无障碍</w:t>
      </w:r>
      <w:r w:rsidR="00D00606" w:rsidRPr="00153A61">
        <w:rPr>
          <w:rFonts w:hint="eastAsia"/>
          <w:lang w:val="en-US" w:eastAsia="zh-CN"/>
        </w:rPr>
        <w:t>获取</w:t>
      </w:r>
      <w:r w:rsidR="00D02FD6" w:rsidRPr="00153A61">
        <w:rPr>
          <w:rFonts w:hint="eastAsia"/>
          <w:lang w:val="en-US" w:eastAsia="zh-CN"/>
        </w:rPr>
        <w:t>方面的合作，以促进国际电联和国际电联成员相关</w:t>
      </w:r>
      <w:r w:rsidR="00D00606" w:rsidRPr="00153A61">
        <w:rPr>
          <w:rFonts w:hint="eastAsia"/>
          <w:lang w:val="en-US" w:eastAsia="zh-CN"/>
        </w:rPr>
        <w:t>的</w:t>
      </w:r>
      <w:r w:rsidR="00D02FD6" w:rsidRPr="00153A61">
        <w:rPr>
          <w:rFonts w:hint="eastAsia"/>
          <w:lang w:val="en-US" w:eastAsia="zh-CN"/>
        </w:rPr>
        <w:t>残疾</w:t>
      </w:r>
      <w:r w:rsidR="00D00606" w:rsidRPr="00153A61">
        <w:rPr>
          <w:rFonts w:hint="eastAsia"/>
          <w:lang w:val="en-US" w:eastAsia="zh-CN"/>
        </w:rPr>
        <w:t>人</w:t>
      </w:r>
      <w:r w:rsidR="00D02FD6" w:rsidRPr="00153A61">
        <w:rPr>
          <w:rFonts w:hint="eastAsia"/>
          <w:lang w:val="en-US" w:eastAsia="zh-CN"/>
        </w:rPr>
        <w:t>包容工作。</w:t>
      </w:r>
      <w:r w:rsidR="00D02FD6" w:rsidRPr="00153A61">
        <w:rPr>
          <w:rFonts w:asciiTheme="minorHAnsi" w:eastAsia="Calibri" w:hAnsiTheme="minorHAnsi" w:cstheme="minorHAnsi" w:hint="eastAsia"/>
          <w:lang w:val="en-US" w:eastAsia="zh-CN"/>
        </w:rPr>
        <w:tab/>
      </w:r>
    </w:p>
    <w:p w14:paraId="7F9A73AD" w14:textId="2BA297B4" w:rsidR="009815ED" w:rsidRPr="00153A61" w:rsidRDefault="00153A61" w:rsidP="00153A61">
      <w:pPr>
        <w:pStyle w:val="enumlev1"/>
        <w:rPr>
          <w:rFonts w:asciiTheme="minorHAnsi" w:hAnsiTheme="minorHAnsi" w:cstheme="minorHAnsi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2)</w:t>
      </w:r>
      <w:r>
        <w:rPr>
          <w:lang w:val="en-US" w:eastAsia="zh-CN"/>
        </w:rPr>
        <w:tab/>
      </w:r>
      <w:r w:rsidR="00D00606" w:rsidRPr="00153A61">
        <w:rPr>
          <w:rFonts w:hint="eastAsia"/>
          <w:lang w:val="en-US" w:eastAsia="zh-CN"/>
        </w:rPr>
        <w:t>加强</w:t>
      </w:r>
      <w:r w:rsidR="00D02FD6" w:rsidRPr="00153A61">
        <w:rPr>
          <w:rFonts w:hint="eastAsia"/>
          <w:lang w:val="en-US" w:eastAsia="zh-CN"/>
        </w:rPr>
        <w:t>预算项目，以确保上述目标能够在整个国际电联范围内实现。</w:t>
      </w:r>
    </w:p>
    <w:p w14:paraId="6354A00B" w14:textId="40ABD67B" w:rsidR="009815ED" w:rsidRPr="00153A61" w:rsidRDefault="00D02FD6" w:rsidP="00153A61">
      <w:pPr>
        <w:pStyle w:val="Headingb"/>
      </w:pPr>
      <w:proofErr w:type="spellStart"/>
      <w:r w:rsidRPr="00153A61">
        <w:rPr>
          <w:rFonts w:hint="eastAsia"/>
        </w:rPr>
        <w:lastRenderedPageBreak/>
        <w:t>框架</w:t>
      </w:r>
      <w:proofErr w:type="spellEnd"/>
    </w:p>
    <w:p w14:paraId="1B500C85" w14:textId="16C0DA7D" w:rsidR="00153A61" w:rsidRPr="00153A61" w:rsidRDefault="00153A61" w:rsidP="00153A61">
      <w:pPr>
        <w:jc w:val="center"/>
      </w:pPr>
      <w:r w:rsidRPr="00153A61">
        <w:rPr>
          <w:noProof/>
        </w:rPr>
        <w:drawing>
          <wp:inline distT="0" distB="0" distL="0" distR="0" wp14:anchorId="100EAF71" wp14:editId="4F4C961F">
            <wp:extent cx="4603115" cy="46938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958" cy="46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B156" w14:textId="77777777" w:rsidR="00153A61" w:rsidRPr="00153A61" w:rsidRDefault="00153A61" w:rsidP="00153A61"/>
    <w:p w14:paraId="6F861345" w14:textId="2ACC2A7E" w:rsidR="009815ED" w:rsidRPr="00153A61" w:rsidRDefault="00D02FD6" w:rsidP="009815ED">
      <w:pPr>
        <w:jc w:val="center"/>
        <w:rPr>
          <w:rFonts w:asciiTheme="minorHAnsi" w:hAnsiTheme="minorHAnsi" w:cstheme="minorHAnsi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b/>
          <w:bCs/>
          <w:szCs w:val="24"/>
          <w:lang w:eastAsia="zh-CN"/>
        </w:rPr>
        <w:t>图</w:t>
      </w:r>
      <w:r w:rsidR="00153A61" w:rsidRPr="00153A61">
        <w:rPr>
          <w:rFonts w:asciiTheme="minorHAnsi" w:hAnsiTheme="minorHAnsi" w:cstheme="minorHAnsi" w:hint="eastAsia"/>
          <w:b/>
          <w:bCs/>
          <w:szCs w:val="24"/>
          <w:lang w:eastAsia="zh-CN"/>
        </w:rPr>
        <w:t>：</w:t>
      </w:r>
      <w:r w:rsidRPr="00153A61">
        <w:rPr>
          <w:rFonts w:asciiTheme="minorHAnsi" w:hAnsiTheme="minorHAnsi" w:cstheme="minorHAnsi" w:hint="eastAsia"/>
          <w:b/>
          <w:bCs/>
          <w:szCs w:val="24"/>
          <w:lang w:eastAsia="zh-CN"/>
        </w:rPr>
        <w:t>国际</w:t>
      </w:r>
      <w:proofErr w:type="gramStart"/>
      <w:r w:rsidRPr="00153A61">
        <w:rPr>
          <w:rFonts w:asciiTheme="minorHAnsi" w:hAnsiTheme="minorHAnsi" w:cstheme="minorHAnsi" w:hint="eastAsia"/>
          <w:b/>
          <w:bCs/>
          <w:szCs w:val="24"/>
          <w:lang w:eastAsia="zh-CN"/>
        </w:rPr>
        <w:t>电联无障碍</w:t>
      </w:r>
      <w:proofErr w:type="gramEnd"/>
      <w:r w:rsidRPr="00153A61">
        <w:rPr>
          <w:rFonts w:asciiTheme="minorHAnsi" w:hAnsiTheme="minorHAnsi" w:cstheme="minorHAnsi" w:hint="eastAsia"/>
          <w:b/>
          <w:bCs/>
          <w:szCs w:val="24"/>
          <w:lang w:eastAsia="zh-CN"/>
        </w:rPr>
        <w:t>获取框架</w:t>
      </w:r>
    </w:p>
    <w:p w14:paraId="059E41B8" w14:textId="475A6738" w:rsidR="009815ED" w:rsidRPr="00153A61" w:rsidRDefault="00D02FD6" w:rsidP="00153A61">
      <w:pPr>
        <w:pStyle w:val="Headingb"/>
      </w:pPr>
      <w:proofErr w:type="spellStart"/>
      <w:r w:rsidRPr="00153A61">
        <w:rPr>
          <w:rFonts w:hint="eastAsia"/>
        </w:rPr>
        <w:t>方法和实施</w:t>
      </w:r>
      <w:proofErr w:type="spellEnd"/>
    </w:p>
    <w:p w14:paraId="234BE8DE" w14:textId="68AD7B74" w:rsidR="009815ED" w:rsidRPr="00153A61" w:rsidRDefault="00D02FD6" w:rsidP="00085D68">
      <w:pPr>
        <w:pStyle w:val="Headingb"/>
        <w:keepNext w:val="0"/>
        <w:keepLines w:val="0"/>
        <w:spacing w:before="120" w:after="120"/>
        <w:ind w:firstLineChars="200" w:firstLine="480"/>
        <w:jc w:val="both"/>
        <w:rPr>
          <w:rFonts w:asciiTheme="minorHAnsi" w:hAnsiTheme="minorHAnsi" w:cstheme="minorHAnsi"/>
          <w:b w:val="0"/>
          <w:szCs w:val="24"/>
          <w:lang w:eastAsia="zh-CN"/>
        </w:rPr>
      </w:pPr>
      <w:bookmarkStart w:id="15" w:name="_Toc344305556"/>
      <w:bookmarkStart w:id="16" w:name="_Toc344416539"/>
      <w:bookmarkStart w:id="17" w:name="_Toc344417166"/>
      <w:bookmarkStart w:id="18" w:name="_Toc344417301"/>
      <w:bookmarkStart w:id="19" w:name="_Toc346029824"/>
      <w:bookmarkStart w:id="20" w:name="_Toc346032646"/>
      <w:bookmarkStart w:id="21" w:name="_Toc346095676"/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应制定一个旨在实现上述目标的</w:t>
      </w:r>
      <w:r w:rsidRPr="00153A61">
        <w:rPr>
          <w:rFonts w:asciiTheme="minorHAnsi" w:hAnsiTheme="minorHAnsi" w:cstheme="minorHAnsi" w:hint="eastAsia"/>
          <w:bCs/>
          <w:szCs w:val="24"/>
          <w:lang w:eastAsia="zh-CN"/>
        </w:rPr>
        <w:t>国际电</w:t>
      </w:r>
      <w:proofErr w:type="gramStart"/>
      <w:r w:rsidRPr="00153A61">
        <w:rPr>
          <w:rFonts w:asciiTheme="minorHAnsi" w:hAnsiTheme="minorHAnsi" w:cstheme="minorHAnsi" w:hint="eastAsia"/>
          <w:bCs/>
          <w:szCs w:val="24"/>
          <w:lang w:eastAsia="zh-CN"/>
        </w:rPr>
        <w:t>联</w:t>
      </w:r>
      <w:r w:rsidR="00D00606" w:rsidRPr="00153A61">
        <w:rPr>
          <w:rFonts w:asciiTheme="minorHAnsi" w:hAnsiTheme="minorHAnsi" w:cstheme="minorHAnsi" w:hint="eastAsia"/>
          <w:bCs/>
          <w:szCs w:val="24"/>
          <w:lang w:eastAsia="zh-CN"/>
        </w:rPr>
        <w:t>范围</w:t>
      </w:r>
      <w:proofErr w:type="gramEnd"/>
      <w:r w:rsidRPr="00153A61">
        <w:rPr>
          <w:rFonts w:asciiTheme="minorHAnsi" w:hAnsiTheme="minorHAnsi" w:cstheme="minorHAnsi" w:hint="eastAsia"/>
          <w:bCs/>
          <w:szCs w:val="24"/>
          <w:lang w:eastAsia="zh-CN"/>
        </w:rPr>
        <w:t>无障碍</w:t>
      </w:r>
      <w:r w:rsidR="00D00606" w:rsidRPr="00153A61">
        <w:rPr>
          <w:rFonts w:asciiTheme="minorHAnsi" w:hAnsiTheme="minorHAnsi" w:cstheme="minorHAnsi" w:hint="eastAsia"/>
          <w:bCs/>
          <w:szCs w:val="24"/>
          <w:lang w:eastAsia="zh-CN"/>
        </w:rPr>
        <w:t>获取</w:t>
      </w:r>
      <w:r w:rsidRPr="00153A61">
        <w:rPr>
          <w:rFonts w:asciiTheme="minorHAnsi" w:hAnsiTheme="minorHAnsi" w:cstheme="minorHAnsi" w:hint="eastAsia"/>
          <w:bCs/>
          <w:szCs w:val="24"/>
          <w:lang w:eastAsia="zh-CN"/>
        </w:rPr>
        <w:t>战略</w:t>
      </w:r>
      <w:r w:rsidRPr="00153A61">
        <w:rPr>
          <w:rFonts w:asciiTheme="minorHAnsi" w:hAnsiTheme="minorHAnsi" w:cstheme="minorHAnsi" w:hint="eastAsia"/>
          <w:b w:val="0"/>
          <w:szCs w:val="24"/>
          <w:lang w:eastAsia="zh-CN"/>
        </w:rPr>
        <w:t>，并定期监测、评估和报告所取得的成就和相关实施情况。</w:t>
      </w:r>
    </w:p>
    <w:p w14:paraId="323148E4" w14:textId="2DF0EAF3" w:rsidR="009815ED" w:rsidRPr="00153A61" w:rsidRDefault="00D02FD6" w:rsidP="006D7227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szCs w:val="24"/>
          <w:lang w:eastAsia="zh-CN"/>
        </w:rPr>
        <w:t>该战略应包括实施每个目标的关键绩效指标（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KPI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），对必要资源的估计，指出里程碑和时间表，预期和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达成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的成果，以及对风险的评估和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拟议的缓解措施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。</w:t>
      </w:r>
    </w:p>
    <w:p w14:paraId="27C62E2B" w14:textId="496B6806" w:rsidR="009815ED" w:rsidRPr="00153A61" w:rsidRDefault="00D02FD6" w:rsidP="006D7227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szCs w:val="24"/>
          <w:lang w:eastAsia="zh-CN"/>
        </w:rPr>
        <w:t>应向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理事会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2022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年会议提交一份关于国际</w:t>
      </w:r>
      <w:proofErr w:type="gramStart"/>
      <w:r w:rsidRPr="00153A61">
        <w:rPr>
          <w:rFonts w:asciiTheme="minorHAnsi" w:hAnsiTheme="minorHAnsi" w:cstheme="minorHAnsi" w:hint="eastAsia"/>
          <w:szCs w:val="24"/>
          <w:lang w:eastAsia="zh-CN"/>
        </w:rPr>
        <w:t>电联无障碍</w:t>
      </w:r>
      <w:proofErr w:type="gramEnd"/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获取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政策和框架实施情况的详细报告，并</w:t>
      </w:r>
      <w:proofErr w:type="gramStart"/>
      <w:r w:rsidRPr="00153A61">
        <w:rPr>
          <w:rFonts w:asciiTheme="minorHAnsi" w:hAnsiTheme="minorHAnsi" w:cstheme="minorHAnsi" w:hint="eastAsia"/>
          <w:szCs w:val="24"/>
          <w:lang w:eastAsia="zh-CN"/>
        </w:rPr>
        <w:t>向以后</w:t>
      </w:r>
      <w:proofErr w:type="gramEnd"/>
      <w:r w:rsidRPr="00153A61">
        <w:rPr>
          <w:rFonts w:asciiTheme="minorHAnsi" w:hAnsiTheme="minorHAnsi" w:cstheme="minorHAnsi" w:hint="eastAsia"/>
          <w:szCs w:val="24"/>
          <w:lang w:eastAsia="zh-CN"/>
        </w:rPr>
        <w:t>的理事会会议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定期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提交最新情况。</w:t>
      </w:r>
    </w:p>
    <w:p w14:paraId="78E5EB34" w14:textId="416DF2E2" w:rsidR="009815ED" w:rsidRPr="00153A61" w:rsidRDefault="00C14F8C" w:rsidP="00153A61">
      <w:pPr>
        <w:pStyle w:val="Headingb"/>
        <w:rPr>
          <w:lang w:eastAsia="zh-CN"/>
        </w:rPr>
      </w:pPr>
      <w:r w:rsidRPr="00153A61">
        <w:rPr>
          <w:rFonts w:hint="eastAsia"/>
          <w:lang w:eastAsia="zh-CN"/>
        </w:rPr>
        <w:t>资源</w:t>
      </w:r>
    </w:p>
    <w:p w14:paraId="277D23F3" w14:textId="4C51DDC0" w:rsidR="009815ED" w:rsidRPr="00153A61" w:rsidRDefault="00C14F8C" w:rsidP="003403D0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szCs w:val="24"/>
          <w:lang w:eastAsia="zh-CN"/>
        </w:rPr>
        <w:t>为确保这一政策的实施，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配备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必要的资金是关键。目前，没有单独的用于无障碍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获取服务的预算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。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近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几年来，国际电联</w:t>
      </w:r>
      <w:r w:rsidR="006D7227" w:rsidRPr="00153A61">
        <w:rPr>
          <w:rFonts w:asciiTheme="minorHAnsi" w:hAnsiTheme="minorHAnsi" w:cstheme="minorHAnsi" w:hint="eastAsia"/>
          <w:szCs w:val="24"/>
          <w:lang w:eastAsia="zh-CN"/>
        </w:rPr>
        <w:t>已经有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一些活动提供了实时字幕和手语翻译，但由临时资金（如活动组织者的预算）支付。</w:t>
      </w:r>
    </w:p>
    <w:p w14:paraId="06D8F713" w14:textId="7FDBA507" w:rsidR="009815ED" w:rsidRPr="00153A61" w:rsidRDefault="00C14F8C" w:rsidP="003403D0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szCs w:val="24"/>
          <w:lang w:eastAsia="zh-CN"/>
        </w:rPr>
        <w:t>国际电联进一步鼓励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成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员通过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根据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国际电联第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175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号决议（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2018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年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，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迪拜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，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修订版）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责成</w:t>
      </w:r>
      <w:r w:rsidR="00692C53" w:rsidRPr="00153A61">
        <w:rPr>
          <w:rFonts w:asciiTheme="minorHAnsi" w:hAnsiTheme="minorHAnsi" w:cstheme="minorHAnsi" w:hint="eastAsia"/>
          <w:szCs w:val="24"/>
          <w:lang w:eastAsia="zh-CN"/>
        </w:rPr>
        <w:t>设立的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国际电联残疾人数字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包容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无障碍基金，为实施国际电联残疾人无障碍政策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获取做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出贡献。自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2018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年以来，该基金一直没有得到补充。</w:t>
      </w:r>
    </w:p>
    <w:p w14:paraId="4C8B468E" w14:textId="39586242" w:rsidR="009815ED" w:rsidRPr="00153A61" w:rsidRDefault="00C14F8C" w:rsidP="00153A61">
      <w:pPr>
        <w:pStyle w:val="Headingb"/>
        <w:rPr>
          <w:lang w:eastAsia="zh-CN"/>
        </w:rPr>
      </w:pPr>
      <w:r w:rsidRPr="00153A61">
        <w:rPr>
          <w:rFonts w:hint="eastAsia"/>
          <w:lang w:eastAsia="zh-CN"/>
        </w:rPr>
        <w:lastRenderedPageBreak/>
        <w:t>审</w:t>
      </w:r>
      <w:r w:rsidR="00F52125" w:rsidRPr="00153A61">
        <w:rPr>
          <w:rFonts w:hint="eastAsia"/>
          <w:lang w:eastAsia="zh-CN"/>
        </w:rPr>
        <w:t>查</w:t>
      </w:r>
    </w:p>
    <w:p w14:paraId="161E8756" w14:textId="3AF20D1D" w:rsidR="009815ED" w:rsidRPr="00153A61" w:rsidRDefault="00C14F8C" w:rsidP="00F52125">
      <w:pPr>
        <w:spacing w:after="120"/>
        <w:ind w:firstLineChars="200" w:firstLine="480"/>
        <w:jc w:val="both"/>
        <w:rPr>
          <w:rFonts w:cs="Calibri"/>
          <w:b/>
          <w:color w:val="800000"/>
          <w:sz w:val="22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szCs w:val="24"/>
          <w:lang w:eastAsia="zh-CN"/>
        </w:rPr>
        <w:t>经修订的国际电联残疾人无障碍</w:t>
      </w:r>
      <w:r w:rsidR="003403D0" w:rsidRPr="00153A61">
        <w:rPr>
          <w:rFonts w:asciiTheme="minorHAnsi" w:hAnsiTheme="minorHAnsi" w:cstheme="minorHAnsi" w:hint="eastAsia"/>
          <w:szCs w:val="24"/>
          <w:lang w:eastAsia="zh-CN"/>
        </w:rPr>
        <w:t>获取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政策应在现有分配资源范围内实施，并应在国际电联理事会批准之日起生效。</w:t>
      </w:r>
    </w:p>
    <w:p w14:paraId="2C3AA83D" w14:textId="74EDACB4" w:rsidR="009815ED" w:rsidRPr="00153A61" w:rsidRDefault="00C14F8C" w:rsidP="00F52125">
      <w:pPr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 w:rsidRPr="00153A61">
        <w:rPr>
          <w:rFonts w:asciiTheme="minorHAnsi" w:hAnsiTheme="minorHAnsi" w:cstheme="minorHAnsi" w:hint="eastAsia"/>
          <w:szCs w:val="24"/>
          <w:lang w:eastAsia="zh-CN"/>
        </w:rPr>
        <w:t>国际电联残疾人无障碍</w:t>
      </w:r>
      <w:r w:rsidR="00F52125" w:rsidRPr="00153A61">
        <w:rPr>
          <w:rFonts w:asciiTheme="minorHAnsi" w:hAnsiTheme="minorHAnsi" w:cstheme="minorHAnsi" w:hint="eastAsia"/>
          <w:szCs w:val="24"/>
          <w:lang w:eastAsia="zh-CN"/>
        </w:rPr>
        <w:t>获取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政策成立后，将至少每四年审查和更新一次，以借鉴新出现的最佳做法和经验教训，并包括数字无障碍</w:t>
      </w:r>
      <w:r w:rsidR="00F52125" w:rsidRPr="00153A61">
        <w:rPr>
          <w:rFonts w:asciiTheme="minorHAnsi" w:hAnsiTheme="minorHAnsi" w:cstheme="minorHAnsi" w:hint="eastAsia"/>
          <w:szCs w:val="24"/>
          <w:lang w:eastAsia="zh-CN"/>
        </w:rPr>
        <w:t>获取议</w:t>
      </w:r>
      <w:r w:rsidRPr="00153A61">
        <w:rPr>
          <w:rFonts w:asciiTheme="minorHAnsi" w:hAnsiTheme="minorHAnsi" w:cstheme="minorHAnsi" w:hint="eastAsia"/>
          <w:szCs w:val="24"/>
          <w:lang w:eastAsia="zh-CN"/>
        </w:rPr>
        <w:t>题的技术进展。</w:t>
      </w:r>
    </w:p>
    <w:bookmarkEnd w:id="12"/>
    <w:bookmarkEnd w:id="15"/>
    <w:bookmarkEnd w:id="16"/>
    <w:bookmarkEnd w:id="17"/>
    <w:bookmarkEnd w:id="18"/>
    <w:bookmarkEnd w:id="19"/>
    <w:bookmarkEnd w:id="20"/>
    <w:bookmarkEnd w:id="21"/>
    <w:p w14:paraId="791FC99C" w14:textId="77777777" w:rsidR="009815ED" w:rsidRPr="00153A61" w:rsidRDefault="009815ED" w:rsidP="00411C49">
      <w:pPr>
        <w:pStyle w:val="Reasons"/>
        <w:rPr>
          <w:lang w:eastAsia="zh-CN"/>
        </w:rPr>
      </w:pPr>
    </w:p>
    <w:p w14:paraId="53865863" w14:textId="77777777" w:rsidR="009815ED" w:rsidRDefault="009815ED">
      <w:pPr>
        <w:jc w:val="center"/>
      </w:pPr>
      <w:r w:rsidRPr="00153A61">
        <w:t>______________</w:t>
      </w:r>
    </w:p>
    <w:p w14:paraId="1C621857" w14:textId="77777777" w:rsidR="00195FED" w:rsidRDefault="00195FED" w:rsidP="00911867">
      <w:pPr>
        <w:rPr>
          <w:lang w:eastAsia="zh-CN"/>
        </w:rPr>
      </w:pPr>
    </w:p>
    <w:sectPr w:rsidR="00195FED" w:rsidSect="006C36CD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950D" w14:textId="77777777" w:rsidR="00D93605" w:rsidRDefault="00D93605">
      <w:r>
        <w:separator/>
      </w:r>
    </w:p>
  </w:endnote>
  <w:endnote w:type="continuationSeparator" w:id="0">
    <w:p w14:paraId="11ED3C93" w14:textId="77777777" w:rsidR="00D93605" w:rsidRDefault="00D9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4B6B" w14:textId="1FFBDC1D" w:rsidR="00B40A53" w:rsidRPr="00826A81" w:rsidRDefault="00533F8D" w:rsidP="00826A81">
    <w:pPr>
      <w:pStyle w:val="Footer"/>
    </w:pPr>
    <w:r w:rsidRPr="00533F8D">
      <w:rPr>
        <w:color w:val="F2F2F2" w:themeColor="background1" w:themeShade="F2"/>
      </w:rPr>
      <w:fldChar w:fldCharType="begin"/>
    </w:r>
    <w:r w:rsidRPr="00533F8D">
      <w:rPr>
        <w:color w:val="F2F2F2" w:themeColor="background1" w:themeShade="F2"/>
      </w:rPr>
      <w:instrText xml:space="preserve"> FILENAME \p  \* MERGEFORMAT </w:instrText>
    </w:r>
    <w:r w:rsidRPr="00533F8D">
      <w:rPr>
        <w:color w:val="F2F2F2" w:themeColor="background1" w:themeShade="F2"/>
      </w:rPr>
      <w:fldChar w:fldCharType="separate"/>
    </w:r>
    <w:r w:rsidR="00A258DF" w:rsidRPr="00533F8D">
      <w:rPr>
        <w:color w:val="F2F2F2" w:themeColor="background1" w:themeShade="F2"/>
      </w:rPr>
      <w:t>P:\CHI\SG\CONSEIL\C21\000\072C.docx</w:t>
    </w:r>
    <w:r w:rsidRPr="00533F8D">
      <w:rPr>
        <w:color w:val="F2F2F2" w:themeColor="background1" w:themeShade="F2"/>
      </w:rPr>
      <w:fldChar w:fldCharType="end"/>
    </w:r>
    <w:r w:rsidR="00826A81" w:rsidRPr="00533F8D">
      <w:rPr>
        <w:color w:val="F2F2F2" w:themeColor="background1" w:themeShade="F2"/>
      </w:rPr>
      <w:t xml:space="preserve"> (485457)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751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5CD3" w14:textId="77777777" w:rsidR="00D93605" w:rsidRDefault="00D93605">
      <w:r>
        <w:t>____________________</w:t>
      </w:r>
    </w:p>
  </w:footnote>
  <w:footnote w:type="continuationSeparator" w:id="0">
    <w:p w14:paraId="006E6429" w14:textId="77777777" w:rsidR="00D93605" w:rsidRDefault="00D93605">
      <w:r>
        <w:continuationSeparator/>
      </w:r>
    </w:p>
  </w:footnote>
  <w:footnote w:id="1">
    <w:p w14:paraId="0B4165D7" w14:textId="4B6C6C9E" w:rsidR="009815ED" w:rsidRPr="00B8003C" w:rsidRDefault="009815ED" w:rsidP="009815ED">
      <w:pPr>
        <w:pStyle w:val="FootnoteText"/>
        <w:rPr>
          <w:sz w:val="18"/>
          <w:szCs w:val="18"/>
          <w:lang w:eastAsia="zh-CN"/>
        </w:rPr>
      </w:pPr>
      <w:r w:rsidRPr="00602999">
        <w:rPr>
          <w:sz w:val="18"/>
          <w:szCs w:val="12"/>
        </w:rPr>
        <w:footnoteRef/>
      </w:r>
      <w:r w:rsidRPr="00602999">
        <w:rPr>
          <w:sz w:val="18"/>
          <w:szCs w:val="18"/>
          <w:lang w:eastAsia="zh-CN"/>
        </w:rPr>
        <w:t xml:space="preserve"> </w:t>
      </w:r>
      <w:r w:rsidRPr="00602999">
        <w:rPr>
          <w:sz w:val="18"/>
          <w:szCs w:val="18"/>
          <w:lang w:eastAsia="zh-CN"/>
        </w:rPr>
        <w:tab/>
      </w:r>
      <w:r w:rsidR="001D78E9" w:rsidRPr="001D78E9">
        <w:rPr>
          <w:rFonts w:hint="eastAsia"/>
          <w:sz w:val="18"/>
          <w:szCs w:val="18"/>
          <w:lang w:eastAsia="zh-CN"/>
        </w:rPr>
        <w:t>在法定退休年龄规定的范围内。</w:t>
      </w:r>
    </w:p>
  </w:footnote>
  <w:footnote w:id="2">
    <w:p w14:paraId="66EC8F04" w14:textId="0686B812" w:rsidR="009815ED" w:rsidRPr="00C316B9" w:rsidRDefault="009815ED" w:rsidP="009815ED">
      <w:pPr>
        <w:pStyle w:val="FootnoteText"/>
        <w:spacing w:before="40"/>
        <w:rPr>
          <w:sz w:val="18"/>
          <w:szCs w:val="18"/>
          <w:lang w:val="en-US" w:eastAsia="zh-CN"/>
        </w:rPr>
      </w:pPr>
      <w:r w:rsidRPr="00B8003C">
        <w:rPr>
          <w:rStyle w:val="FootnoteReference"/>
        </w:rPr>
        <w:footnoteRef/>
      </w:r>
      <w:r w:rsidRPr="00B8003C">
        <w:rPr>
          <w:lang w:eastAsia="zh-CN"/>
        </w:rPr>
        <w:t xml:space="preserve"> </w:t>
      </w:r>
      <w:r w:rsidRPr="00B8003C">
        <w:rPr>
          <w:lang w:eastAsia="zh-CN"/>
        </w:rPr>
        <w:tab/>
      </w:r>
      <w:r w:rsidR="001D78E9" w:rsidRPr="001D78E9">
        <w:rPr>
          <w:rFonts w:hint="eastAsia"/>
          <w:sz w:val="18"/>
          <w:szCs w:val="18"/>
          <w:lang w:val="en-US" w:eastAsia="zh-CN"/>
        </w:rPr>
        <w:t>根据第</w:t>
      </w:r>
      <w:r w:rsidR="001D78E9" w:rsidRPr="001D78E9">
        <w:rPr>
          <w:rFonts w:hint="eastAsia"/>
          <w:sz w:val="18"/>
          <w:szCs w:val="18"/>
          <w:lang w:val="en-US" w:eastAsia="zh-CN"/>
        </w:rPr>
        <w:t>21/02</w:t>
      </w:r>
      <w:r w:rsidR="001D78E9" w:rsidRPr="001D78E9">
        <w:rPr>
          <w:rFonts w:hint="eastAsia"/>
          <w:sz w:val="18"/>
          <w:szCs w:val="18"/>
          <w:lang w:val="en-US" w:eastAsia="zh-CN"/>
        </w:rPr>
        <w:t>号</w:t>
      </w:r>
      <w:r w:rsidR="00296ADF" w:rsidRPr="00296ADF">
        <w:rPr>
          <w:rFonts w:hint="eastAsia"/>
          <w:sz w:val="18"/>
          <w:szCs w:val="18"/>
          <w:lang w:val="en-US" w:eastAsia="zh-CN"/>
        </w:rPr>
        <w:t>行政规定</w:t>
      </w:r>
      <w:r w:rsidR="001D78E9" w:rsidRPr="001D78E9">
        <w:rPr>
          <w:rFonts w:hint="eastAsia"/>
          <w:sz w:val="18"/>
          <w:szCs w:val="18"/>
          <w:lang w:val="en-US" w:eastAsia="zh-CN"/>
        </w:rPr>
        <w:t>，</w:t>
      </w:r>
      <w:r w:rsidR="00296ADF">
        <w:rPr>
          <w:rFonts w:hint="eastAsia"/>
          <w:sz w:val="18"/>
          <w:szCs w:val="18"/>
          <w:lang w:val="en-US" w:eastAsia="zh-CN"/>
        </w:rPr>
        <w:t>通过国际电联常规预算举行</w:t>
      </w:r>
      <w:r w:rsidR="001D78E9" w:rsidRPr="001D78E9">
        <w:rPr>
          <w:rFonts w:hint="eastAsia"/>
          <w:sz w:val="18"/>
          <w:szCs w:val="18"/>
          <w:lang w:val="en-US" w:eastAsia="zh-CN"/>
        </w:rPr>
        <w:t>的</w:t>
      </w:r>
      <w:r w:rsidR="00296ADF">
        <w:rPr>
          <w:rFonts w:hint="eastAsia"/>
          <w:sz w:val="18"/>
          <w:szCs w:val="18"/>
          <w:lang w:val="en-US" w:eastAsia="zh-CN"/>
        </w:rPr>
        <w:t>会议</w:t>
      </w:r>
      <w:r w:rsidR="001D78E9" w:rsidRPr="001D78E9">
        <w:rPr>
          <w:rFonts w:hint="eastAsia"/>
          <w:sz w:val="18"/>
          <w:szCs w:val="18"/>
          <w:lang w:val="en-US" w:eastAsia="zh-CN"/>
        </w:rPr>
        <w:t>和活动</w:t>
      </w:r>
      <w:r w:rsidR="00296ADF">
        <w:rPr>
          <w:rFonts w:hint="eastAsia"/>
          <w:sz w:val="18"/>
          <w:szCs w:val="18"/>
          <w:lang w:val="en-US" w:eastAsia="zh-CN"/>
        </w:rPr>
        <w:t>可以有发放与会补贴</w:t>
      </w:r>
      <w:r w:rsidR="001D78E9" w:rsidRPr="001D78E9">
        <w:rPr>
          <w:rFonts w:hint="eastAsia"/>
          <w:sz w:val="18"/>
          <w:szCs w:val="18"/>
          <w:lang w:val="en-US" w:eastAsia="zh-CN"/>
        </w:rPr>
        <w:t>的政策</w:t>
      </w:r>
      <w:r w:rsidR="00296ADF">
        <w:rPr>
          <w:rFonts w:hint="eastAsia"/>
          <w:sz w:val="18"/>
          <w:szCs w:val="18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E22B" w14:textId="223117F0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93153">
      <w:rPr>
        <w:noProof/>
      </w:rPr>
      <w:t>5</w:t>
    </w:r>
    <w:r>
      <w:rPr>
        <w:noProof/>
      </w:rPr>
      <w:fldChar w:fldCharType="end"/>
    </w:r>
  </w:p>
  <w:p w14:paraId="7B0855DF" w14:textId="35CB098A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911867">
      <w:t>1</w:t>
    </w:r>
    <w:r w:rsidR="004672E6">
      <w:t>/</w:t>
    </w:r>
    <w:r w:rsidR="00BF332E">
      <w:rPr>
        <w:rFonts w:hint="eastAsia"/>
        <w:lang w:eastAsia="zh-CN"/>
      </w:rPr>
      <w:t>72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92372"/>
    <w:multiLevelType w:val="hybridMultilevel"/>
    <w:tmpl w:val="28581636"/>
    <w:lvl w:ilvl="0" w:tplc="C0AAE4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4780A9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338E90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2AEE06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F4E318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3A4BF2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3267B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78E267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17A6DA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50585"/>
    <w:multiLevelType w:val="hybridMultilevel"/>
    <w:tmpl w:val="FC26F4C6"/>
    <w:lvl w:ilvl="0" w:tplc="CA0A782A">
      <w:start w:val="1"/>
      <w:numFmt w:val="decimal"/>
      <w:lvlText w:val="%1."/>
      <w:lvlJc w:val="left"/>
      <w:pPr>
        <w:ind w:left="720" w:hanging="360"/>
      </w:pPr>
    </w:lvl>
    <w:lvl w:ilvl="1" w:tplc="5A4A3DA8">
      <w:start w:val="1"/>
      <w:numFmt w:val="lowerLetter"/>
      <w:lvlText w:val="%2."/>
      <w:lvlJc w:val="left"/>
      <w:pPr>
        <w:ind w:left="1440" w:hanging="360"/>
      </w:pPr>
    </w:lvl>
    <w:lvl w:ilvl="2" w:tplc="E8A45C46" w:tentative="1">
      <w:start w:val="1"/>
      <w:numFmt w:val="lowerRoman"/>
      <w:lvlText w:val="%3."/>
      <w:lvlJc w:val="right"/>
      <w:pPr>
        <w:ind w:left="2160" w:hanging="180"/>
      </w:pPr>
    </w:lvl>
    <w:lvl w:ilvl="3" w:tplc="666E26E0" w:tentative="1">
      <w:start w:val="1"/>
      <w:numFmt w:val="decimal"/>
      <w:lvlText w:val="%4."/>
      <w:lvlJc w:val="left"/>
      <w:pPr>
        <w:ind w:left="2880" w:hanging="360"/>
      </w:pPr>
    </w:lvl>
    <w:lvl w:ilvl="4" w:tplc="D9F07CFC" w:tentative="1">
      <w:start w:val="1"/>
      <w:numFmt w:val="lowerLetter"/>
      <w:lvlText w:val="%5."/>
      <w:lvlJc w:val="left"/>
      <w:pPr>
        <w:ind w:left="3600" w:hanging="360"/>
      </w:pPr>
    </w:lvl>
    <w:lvl w:ilvl="5" w:tplc="3BCA383A" w:tentative="1">
      <w:start w:val="1"/>
      <w:numFmt w:val="lowerRoman"/>
      <w:lvlText w:val="%6."/>
      <w:lvlJc w:val="right"/>
      <w:pPr>
        <w:ind w:left="4320" w:hanging="180"/>
      </w:pPr>
    </w:lvl>
    <w:lvl w:ilvl="6" w:tplc="9C7CD7C0" w:tentative="1">
      <w:start w:val="1"/>
      <w:numFmt w:val="decimal"/>
      <w:lvlText w:val="%7."/>
      <w:lvlJc w:val="left"/>
      <w:pPr>
        <w:ind w:left="5040" w:hanging="360"/>
      </w:pPr>
    </w:lvl>
    <w:lvl w:ilvl="7" w:tplc="82602A32" w:tentative="1">
      <w:start w:val="1"/>
      <w:numFmt w:val="lowerLetter"/>
      <w:lvlText w:val="%8."/>
      <w:lvlJc w:val="left"/>
      <w:pPr>
        <w:ind w:left="5760" w:hanging="360"/>
      </w:pPr>
    </w:lvl>
    <w:lvl w:ilvl="8" w:tplc="31EA4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ED"/>
    <w:rsid w:val="00001B77"/>
    <w:rsid w:val="0000517A"/>
    <w:rsid w:val="000134D4"/>
    <w:rsid w:val="00031E72"/>
    <w:rsid w:val="000377B6"/>
    <w:rsid w:val="000404D2"/>
    <w:rsid w:val="000853C0"/>
    <w:rsid w:val="00085D68"/>
    <w:rsid w:val="0009409E"/>
    <w:rsid w:val="000A1C21"/>
    <w:rsid w:val="000D15EA"/>
    <w:rsid w:val="00100D84"/>
    <w:rsid w:val="00124C9D"/>
    <w:rsid w:val="00153A61"/>
    <w:rsid w:val="00157773"/>
    <w:rsid w:val="00174F44"/>
    <w:rsid w:val="0018251A"/>
    <w:rsid w:val="00190272"/>
    <w:rsid w:val="00193244"/>
    <w:rsid w:val="00195C6C"/>
    <w:rsid w:val="00195FED"/>
    <w:rsid w:val="001A4BD6"/>
    <w:rsid w:val="001D5A18"/>
    <w:rsid w:val="001D6203"/>
    <w:rsid w:val="001D78E9"/>
    <w:rsid w:val="001E0E7F"/>
    <w:rsid w:val="001F2DBB"/>
    <w:rsid w:val="00280EB8"/>
    <w:rsid w:val="00296ADF"/>
    <w:rsid w:val="002A6670"/>
    <w:rsid w:val="002C3FF6"/>
    <w:rsid w:val="0030209B"/>
    <w:rsid w:val="00303502"/>
    <w:rsid w:val="00325C25"/>
    <w:rsid w:val="003403D0"/>
    <w:rsid w:val="00372C8F"/>
    <w:rsid w:val="00380ECE"/>
    <w:rsid w:val="00393DDF"/>
    <w:rsid w:val="00397F55"/>
    <w:rsid w:val="003B4454"/>
    <w:rsid w:val="003C2E37"/>
    <w:rsid w:val="003E4774"/>
    <w:rsid w:val="003F1415"/>
    <w:rsid w:val="003F154D"/>
    <w:rsid w:val="0040144C"/>
    <w:rsid w:val="00403EB7"/>
    <w:rsid w:val="00424BE8"/>
    <w:rsid w:val="00430BF0"/>
    <w:rsid w:val="004672E6"/>
    <w:rsid w:val="00474ED1"/>
    <w:rsid w:val="00493085"/>
    <w:rsid w:val="004A36EC"/>
    <w:rsid w:val="004A6AE9"/>
    <w:rsid w:val="004D163F"/>
    <w:rsid w:val="004E4BFF"/>
    <w:rsid w:val="004F2598"/>
    <w:rsid w:val="00505E95"/>
    <w:rsid w:val="00533F8D"/>
    <w:rsid w:val="005403F7"/>
    <w:rsid w:val="00540632"/>
    <w:rsid w:val="00541CF4"/>
    <w:rsid w:val="005451E8"/>
    <w:rsid w:val="005507F2"/>
    <w:rsid w:val="005759CC"/>
    <w:rsid w:val="005A72E1"/>
    <w:rsid w:val="005B03D7"/>
    <w:rsid w:val="005C6632"/>
    <w:rsid w:val="005D1C9E"/>
    <w:rsid w:val="00654257"/>
    <w:rsid w:val="0065435A"/>
    <w:rsid w:val="00692C53"/>
    <w:rsid w:val="006A2DD3"/>
    <w:rsid w:val="006A5AF8"/>
    <w:rsid w:val="006C36CD"/>
    <w:rsid w:val="006D7227"/>
    <w:rsid w:val="006E072F"/>
    <w:rsid w:val="00700D1F"/>
    <w:rsid w:val="007205CB"/>
    <w:rsid w:val="00726073"/>
    <w:rsid w:val="00734FE8"/>
    <w:rsid w:val="007360CE"/>
    <w:rsid w:val="00772315"/>
    <w:rsid w:val="00775157"/>
    <w:rsid w:val="007813AE"/>
    <w:rsid w:val="00782F2F"/>
    <w:rsid w:val="007830F8"/>
    <w:rsid w:val="007A37DB"/>
    <w:rsid w:val="007E189D"/>
    <w:rsid w:val="00811259"/>
    <w:rsid w:val="00813AA2"/>
    <w:rsid w:val="008173A3"/>
    <w:rsid w:val="0082430A"/>
    <w:rsid w:val="00826A81"/>
    <w:rsid w:val="00827A3C"/>
    <w:rsid w:val="00833D1F"/>
    <w:rsid w:val="008418F5"/>
    <w:rsid w:val="0086059C"/>
    <w:rsid w:val="00864589"/>
    <w:rsid w:val="00890AFB"/>
    <w:rsid w:val="00890FC4"/>
    <w:rsid w:val="00895905"/>
    <w:rsid w:val="008F3A83"/>
    <w:rsid w:val="00911867"/>
    <w:rsid w:val="009164A9"/>
    <w:rsid w:val="00922140"/>
    <w:rsid w:val="009258CB"/>
    <w:rsid w:val="0093362E"/>
    <w:rsid w:val="00944563"/>
    <w:rsid w:val="00953160"/>
    <w:rsid w:val="009625D8"/>
    <w:rsid w:val="009815ED"/>
    <w:rsid w:val="0098459B"/>
    <w:rsid w:val="00997185"/>
    <w:rsid w:val="009C2458"/>
    <w:rsid w:val="009C4A7B"/>
    <w:rsid w:val="009C6123"/>
    <w:rsid w:val="009D1DC5"/>
    <w:rsid w:val="009D6B4A"/>
    <w:rsid w:val="009E2B7E"/>
    <w:rsid w:val="009F1E3E"/>
    <w:rsid w:val="00A1213C"/>
    <w:rsid w:val="00A258DF"/>
    <w:rsid w:val="00A272FF"/>
    <w:rsid w:val="00A3640D"/>
    <w:rsid w:val="00A5354B"/>
    <w:rsid w:val="00A71B57"/>
    <w:rsid w:val="00AB42C1"/>
    <w:rsid w:val="00AB6DE6"/>
    <w:rsid w:val="00AC516F"/>
    <w:rsid w:val="00AE2926"/>
    <w:rsid w:val="00B0184B"/>
    <w:rsid w:val="00B035CD"/>
    <w:rsid w:val="00B0769D"/>
    <w:rsid w:val="00B217F8"/>
    <w:rsid w:val="00B332EA"/>
    <w:rsid w:val="00B34FBC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332E"/>
    <w:rsid w:val="00BF416B"/>
    <w:rsid w:val="00C14F8C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0606"/>
    <w:rsid w:val="00D02B4E"/>
    <w:rsid w:val="00D02FD6"/>
    <w:rsid w:val="00D21F11"/>
    <w:rsid w:val="00D36817"/>
    <w:rsid w:val="00D453EE"/>
    <w:rsid w:val="00D5666C"/>
    <w:rsid w:val="00D666BC"/>
    <w:rsid w:val="00D83542"/>
    <w:rsid w:val="00D92F45"/>
    <w:rsid w:val="00D93605"/>
    <w:rsid w:val="00D94637"/>
    <w:rsid w:val="00D9725C"/>
    <w:rsid w:val="00DA7006"/>
    <w:rsid w:val="00DC6427"/>
    <w:rsid w:val="00DD66A1"/>
    <w:rsid w:val="00DD74F5"/>
    <w:rsid w:val="00DE196D"/>
    <w:rsid w:val="00DE45B9"/>
    <w:rsid w:val="00DF6B49"/>
    <w:rsid w:val="00E067C5"/>
    <w:rsid w:val="00E265BF"/>
    <w:rsid w:val="00E378D8"/>
    <w:rsid w:val="00E439B7"/>
    <w:rsid w:val="00E43A12"/>
    <w:rsid w:val="00E67C67"/>
    <w:rsid w:val="00E77476"/>
    <w:rsid w:val="00E8228B"/>
    <w:rsid w:val="00E83AB8"/>
    <w:rsid w:val="00E93153"/>
    <w:rsid w:val="00EA4754"/>
    <w:rsid w:val="00EE5706"/>
    <w:rsid w:val="00EF373D"/>
    <w:rsid w:val="00F11595"/>
    <w:rsid w:val="00F13BC9"/>
    <w:rsid w:val="00F357B2"/>
    <w:rsid w:val="00F36556"/>
    <w:rsid w:val="00F47AEF"/>
    <w:rsid w:val="00F52125"/>
    <w:rsid w:val="00F54BBF"/>
    <w:rsid w:val="00F705DF"/>
    <w:rsid w:val="00F70622"/>
    <w:rsid w:val="00F85624"/>
    <w:rsid w:val="00F87C05"/>
    <w:rsid w:val="00F93191"/>
    <w:rsid w:val="00F93A17"/>
    <w:rsid w:val="00F97DA1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EA2EE00"/>
  <w15:docId w15:val="{2D1E9843-02D8-41C2-ACF2-99F71AD2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opb/publications.aspx?lang=en&amp;parent=T-RES-T.70-20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Conferences/WTDC/WTDC17/Documents/WTDC17_final_report_en.pdf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www.un.org/en/content/disabilitystrateg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development/desa/disabilities/convention-on-the-rights-of-persons-with-disabiliti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u.foleon.com/itu/connect-2030-agenda/home/" TargetMode="External"/><Relationship Id="rId10" Type="http://schemas.openxmlformats.org/officeDocument/2006/relationships/hyperlink" Target="http://www.itu.int/md/S13-CL-C-004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3-CL-C-0042/en" TargetMode="External"/><Relationship Id="rId14" Type="http://schemas.openxmlformats.org/officeDocument/2006/relationships/hyperlink" Target="https://www.itu.int/pub/R-RES-R.67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8653-172A-4709-ABFD-77145D63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2623</Words>
  <Characters>1953</Characters>
  <Application>Microsoft Office Word</Application>
  <DocSecurity>4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ITU accessibility policy for persons with disabilities</dc:title>
  <dc:subject>Council 2021, Virtual consultation of councillors</dc:subject>
  <dc:creator>Zheng, Bingyue</dc:creator>
  <cp:keywords>C2021, C21, VCC, C21-VCC-1</cp:keywords>
  <dc:description/>
  <cp:lastModifiedBy>Xue, Kun</cp:lastModifiedBy>
  <cp:revision>2</cp:revision>
  <cp:lastPrinted>2015-02-24T13:23:00Z</cp:lastPrinted>
  <dcterms:created xsi:type="dcterms:W3CDTF">2021-05-12T09:36:00Z</dcterms:created>
  <dcterms:modified xsi:type="dcterms:W3CDTF">2021-05-12T09:36:00Z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