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7A38448" w14:textId="77777777" w:rsidTr="006C7CC0">
        <w:trPr>
          <w:cantSplit/>
          <w:trHeight w:val="20"/>
        </w:trPr>
        <w:tc>
          <w:tcPr>
            <w:tcW w:w="6620" w:type="dxa"/>
          </w:tcPr>
          <w:p w14:paraId="691F92AB"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7B4A9783"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7A4B2F7" wp14:editId="44728C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D46E199" w14:textId="77777777" w:rsidTr="009F66A8">
        <w:trPr>
          <w:cantSplit/>
          <w:trHeight w:val="20"/>
        </w:trPr>
        <w:tc>
          <w:tcPr>
            <w:tcW w:w="6620" w:type="dxa"/>
            <w:tcBorders>
              <w:bottom w:val="single" w:sz="12" w:space="0" w:color="auto"/>
            </w:tcBorders>
          </w:tcPr>
          <w:p w14:paraId="5716BC8F"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E4CA446" w14:textId="77777777" w:rsidR="00290728" w:rsidRPr="006A793B" w:rsidRDefault="00290728" w:rsidP="006A793B">
            <w:pPr>
              <w:spacing w:before="0" w:line="120" w:lineRule="auto"/>
              <w:rPr>
                <w:lang w:bidi="ar-EG"/>
              </w:rPr>
            </w:pPr>
          </w:p>
        </w:tc>
      </w:tr>
      <w:tr w:rsidR="00290728" w:rsidRPr="00290728" w14:paraId="2CCB31AA" w14:textId="77777777" w:rsidTr="009F66A8">
        <w:trPr>
          <w:cantSplit/>
          <w:trHeight w:val="20"/>
        </w:trPr>
        <w:tc>
          <w:tcPr>
            <w:tcW w:w="6620" w:type="dxa"/>
            <w:tcBorders>
              <w:top w:val="single" w:sz="12" w:space="0" w:color="auto"/>
            </w:tcBorders>
          </w:tcPr>
          <w:p w14:paraId="2349B86C"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5E34DB3A" w14:textId="77777777" w:rsidR="00290728" w:rsidRPr="00290728" w:rsidRDefault="00290728" w:rsidP="00290728">
            <w:pPr>
              <w:spacing w:before="60" w:after="60" w:line="260" w:lineRule="exact"/>
              <w:rPr>
                <w:b/>
                <w:bCs/>
                <w:lang w:bidi="ar-SY"/>
              </w:rPr>
            </w:pPr>
          </w:p>
        </w:tc>
      </w:tr>
      <w:tr w:rsidR="0015650C" w:rsidRPr="00290728" w14:paraId="285BE4E5" w14:textId="77777777" w:rsidTr="009F66A8">
        <w:trPr>
          <w:cantSplit/>
        </w:trPr>
        <w:tc>
          <w:tcPr>
            <w:tcW w:w="6620" w:type="dxa"/>
            <w:vMerge w:val="restart"/>
          </w:tcPr>
          <w:p w14:paraId="62750927" w14:textId="7E6CD4FB" w:rsidR="005805EA" w:rsidRPr="005805EA" w:rsidRDefault="005805EA" w:rsidP="003C6B4F">
            <w:pPr>
              <w:spacing w:before="20" w:after="20" w:line="300" w:lineRule="exact"/>
              <w:rPr>
                <w:b/>
                <w:bCs/>
                <w:highlight w:val="yellow"/>
                <w:rtl/>
                <w:lang w:bidi="ar-EG"/>
              </w:rPr>
            </w:pPr>
            <w:r w:rsidRPr="00C36240">
              <w:rPr>
                <w:rFonts w:hint="cs"/>
                <w:b/>
                <w:bCs/>
                <w:rtl/>
                <w:lang w:bidi="ar-EG"/>
              </w:rPr>
              <w:t xml:space="preserve">بند جدول الأعمال: </w:t>
            </w:r>
            <w:r w:rsidRPr="00C36240">
              <w:rPr>
                <w:b/>
                <w:bCs/>
                <w:lang w:bidi="ar-EG"/>
              </w:rPr>
              <w:t>PL </w:t>
            </w:r>
            <w:r w:rsidR="00C36240">
              <w:rPr>
                <w:b/>
                <w:bCs/>
                <w:lang w:bidi="ar-EG"/>
              </w:rPr>
              <w:t>1.11</w:t>
            </w:r>
          </w:p>
        </w:tc>
        <w:tc>
          <w:tcPr>
            <w:tcW w:w="3052" w:type="dxa"/>
            <w:vAlign w:val="center"/>
          </w:tcPr>
          <w:p w14:paraId="3EED156E" w14:textId="616B06D1"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C36240">
              <w:rPr>
                <w:b/>
                <w:bCs/>
                <w:lang w:bidi="ar-SY"/>
              </w:rPr>
              <w:t>72</w:t>
            </w:r>
            <w:r w:rsidRPr="002F71D8">
              <w:rPr>
                <w:b/>
                <w:bCs/>
                <w:lang w:bidi="ar-SY"/>
              </w:rPr>
              <w:t>-A</w:t>
            </w:r>
          </w:p>
        </w:tc>
      </w:tr>
      <w:tr w:rsidR="0015650C" w:rsidRPr="00290728" w14:paraId="6B815524" w14:textId="77777777" w:rsidTr="009F66A8">
        <w:trPr>
          <w:cantSplit/>
        </w:trPr>
        <w:tc>
          <w:tcPr>
            <w:tcW w:w="6620" w:type="dxa"/>
            <w:vMerge/>
          </w:tcPr>
          <w:p w14:paraId="6868E70D" w14:textId="77777777" w:rsidR="0015650C" w:rsidRPr="002F71D8" w:rsidRDefault="0015650C" w:rsidP="003C6B4F">
            <w:pPr>
              <w:spacing w:before="20" w:after="20" w:line="300" w:lineRule="exact"/>
              <w:rPr>
                <w:b/>
                <w:bCs/>
                <w:lang w:bidi="ar-SY"/>
              </w:rPr>
            </w:pPr>
          </w:p>
        </w:tc>
        <w:tc>
          <w:tcPr>
            <w:tcW w:w="3052" w:type="dxa"/>
            <w:vAlign w:val="center"/>
          </w:tcPr>
          <w:p w14:paraId="1B74D0F7" w14:textId="0646F92E" w:rsidR="0015650C" w:rsidRPr="002F71D8" w:rsidRDefault="00C36240" w:rsidP="003C6B4F">
            <w:pPr>
              <w:spacing w:before="20" w:after="20" w:line="300" w:lineRule="exact"/>
              <w:rPr>
                <w:b/>
                <w:bCs/>
                <w:rtl/>
                <w:lang w:bidi="ar-EG"/>
              </w:rPr>
            </w:pPr>
            <w:r>
              <w:rPr>
                <w:rFonts w:hint="cs"/>
                <w:b/>
                <w:bCs/>
                <w:rtl/>
                <w:lang w:bidi="ar-SY"/>
              </w:rPr>
              <w:t>22 أبريل 2021</w:t>
            </w:r>
          </w:p>
        </w:tc>
      </w:tr>
      <w:tr w:rsidR="0015650C" w:rsidRPr="00290728" w14:paraId="01764D5B" w14:textId="77777777" w:rsidTr="009F66A8">
        <w:trPr>
          <w:cantSplit/>
        </w:trPr>
        <w:tc>
          <w:tcPr>
            <w:tcW w:w="6620" w:type="dxa"/>
            <w:vMerge/>
          </w:tcPr>
          <w:p w14:paraId="5BAC35DF" w14:textId="77777777" w:rsidR="0015650C" w:rsidRPr="002F71D8" w:rsidRDefault="0015650C" w:rsidP="003C6B4F">
            <w:pPr>
              <w:spacing w:before="20" w:after="20" w:line="300" w:lineRule="exact"/>
              <w:rPr>
                <w:b/>
                <w:bCs/>
                <w:lang w:bidi="ar-EG"/>
              </w:rPr>
            </w:pPr>
          </w:p>
        </w:tc>
        <w:tc>
          <w:tcPr>
            <w:tcW w:w="3052" w:type="dxa"/>
            <w:vAlign w:val="center"/>
          </w:tcPr>
          <w:p w14:paraId="789B8626"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C36240">
              <w:rPr>
                <w:rFonts w:hint="cs"/>
                <w:b/>
                <w:bCs/>
                <w:rtl/>
                <w:lang w:bidi="ar-EG"/>
              </w:rPr>
              <w:t>بالإنكليزية</w:t>
            </w:r>
          </w:p>
        </w:tc>
      </w:tr>
      <w:tr w:rsidR="00290728" w:rsidRPr="00290728" w14:paraId="49AE2969" w14:textId="77777777" w:rsidTr="009F66A8">
        <w:trPr>
          <w:cantSplit/>
        </w:trPr>
        <w:tc>
          <w:tcPr>
            <w:tcW w:w="9672" w:type="dxa"/>
            <w:gridSpan w:val="2"/>
          </w:tcPr>
          <w:p w14:paraId="32823EC0" w14:textId="0B2D38D8" w:rsidR="00290728" w:rsidRPr="00290728" w:rsidRDefault="00C36240" w:rsidP="00290728">
            <w:pPr>
              <w:pStyle w:val="Source"/>
              <w:rPr>
                <w:rtl/>
                <w:lang w:bidi="ar-EG"/>
              </w:rPr>
            </w:pPr>
            <w:r>
              <w:rPr>
                <w:rFonts w:hint="cs"/>
                <w:rtl/>
                <w:lang w:bidi="ar-SY"/>
              </w:rPr>
              <w:t>تقرير من الأمين العام</w:t>
            </w:r>
          </w:p>
        </w:tc>
      </w:tr>
      <w:tr w:rsidR="00290728" w:rsidRPr="00290728" w14:paraId="39B9E00B" w14:textId="77777777" w:rsidTr="009F66A8">
        <w:trPr>
          <w:cantSplit/>
        </w:trPr>
        <w:tc>
          <w:tcPr>
            <w:tcW w:w="9672" w:type="dxa"/>
            <w:gridSpan w:val="2"/>
          </w:tcPr>
          <w:p w14:paraId="3977886F" w14:textId="30339300" w:rsidR="00290728" w:rsidRPr="00383829" w:rsidRDefault="003A3C59" w:rsidP="007C3BCD">
            <w:pPr>
              <w:pStyle w:val="Title1"/>
              <w:rPr>
                <w:rtl/>
              </w:rPr>
            </w:pPr>
            <w:r>
              <w:rPr>
                <w:rFonts w:hint="cs"/>
                <w:rtl/>
                <w:lang w:bidi="ar-EG"/>
              </w:rPr>
              <w:t>مشروع سياسة</w:t>
            </w:r>
            <w:r w:rsidR="00C36240">
              <w:rPr>
                <w:rFonts w:hint="cs"/>
                <w:rtl/>
              </w:rPr>
              <w:t xml:space="preserve"> الاتحاد </w:t>
            </w:r>
            <w:r>
              <w:rPr>
                <w:rFonts w:hint="cs"/>
                <w:rtl/>
              </w:rPr>
              <w:t>بشأن</w:t>
            </w:r>
            <w:r w:rsidR="00C36240">
              <w:rPr>
                <w:rFonts w:hint="cs"/>
                <w:rtl/>
              </w:rPr>
              <w:t xml:space="preserve"> </w:t>
            </w:r>
            <w:r>
              <w:rPr>
                <w:rFonts w:hint="cs"/>
                <w:rtl/>
              </w:rPr>
              <w:t xml:space="preserve">إمكانية </w:t>
            </w:r>
            <w:r w:rsidR="00C36240">
              <w:rPr>
                <w:rFonts w:hint="cs"/>
                <w:rtl/>
              </w:rPr>
              <w:t>نفاذ الأشخاص ذوي الإعاقة</w:t>
            </w:r>
          </w:p>
        </w:tc>
      </w:tr>
    </w:tbl>
    <w:p w14:paraId="02484546"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9C85D5F" w14:textId="77777777" w:rsidTr="00952F86">
        <w:trPr>
          <w:jc w:val="center"/>
        </w:trPr>
        <w:tc>
          <w:tcPr>
            <w:tcW w:w="8080" w:type="dxa"/>
          </w:tcPr>
          <w:p w14:paraId="299635B2" w14:textId="77777777" w:rsidR="00290728" w:rsidRPr="00290728" w:rsidRDefault="00290728" w:rsidP="00706D7A">
            <w:pPr>
              <w:rPr>
                <w:b/>
                <w:bCs/>
                <w:rtl/>
                <w:lang w:bidi="ar-SY"/>
              </w:rPr>
            </w:pPr>
            <w:r w:rsidRPr="00290728">
              <w:rPr>
                <w:rFonts w:hint="cs"/>
                <w:b/>
                <w:bCs/>
                <w:rtl/>
                <w:lang w:bidi="ar-SY"/>
              </w:rPr>
              <w:t>ملخص</w:t>
            </w:r>
          </w:p>
          <w:p w14:paraId="0296A80A" w14:textId="608F5EF4" w:rsidR="00290728" w:rsidRPr="003A3C59" w:rsidRDefault="003A3C59" w:rsidP="00706D7A">
            <w:pPr>
              <w:rPr>
                <w:rtl/>
                <w:lang w:bidi="ar-EG"/>
              </w:rPr>
            </w:pPr>
            <w:r>
              <w:rPr>
                <w:rFonts w:hint="cs"/>
                <w:rtl/>
                <w:lang w:bidi="ar-SY"/>
              </w:rPr>
              <w:t xml:space="preserve">تقدم هذه الوثيقة معلومات محدَّثة </w:t>
            </w:r>
            <w:r w:rsidR="00751700">
              <w:rPr>
                <w:rFonts w:hint="cs"/>
                <w:rtl/>
                <w:lang w:bidi="ar-SY"/>
              </w:rPr>
              <w:t>عن</w:t>
            </w:r>
            <w:r>
              <w:rPr>
                <w:rFonts w:hint="cs"/>
                <w:rtl/>
                <w:lang w:bidi="ar-SY"/>
              </w:rPr>
              <w:t xml:space="preserve"> سياسة الاتحاد بشأن إمكانية النفاذ التي أقرها المجلس في دورته لعام </w:t>
            </w:r>
            <w:r>
              <w:rPr>
                <w:lang w:bidi="ar-SY"/>
              </w:rPr>
              <w:t>2013</w:t>
            </w:r>
            <w:r>
              <w:rPr>
                <w:rFonts w:hint="cs"/>
                <w:rtl/>
                <w:lang w:bidi="ar-EG"/>
              </w:rPr>
              <w:t xml:space="preserve"> في ملحق الوثيقة </w:t>
            </w:r>
            <w:hyperlink r:id="rId9" w:history="1">
              <w:r w:rsidRPr="005C18F0">
                <w:rPr>
                  <w:rStyle w:val="Hyperlink"/>
                  <w:szCs w:val="24"/>
                </w:rPr>
                <w:t>C13/42</w:t>
              </w:r>
            </w:hyperlink>
            <w:r>
              <w:rPr>
                <w:rFonts w:hint="cs"/>
                <w:rtl/>
                <w:lang w:bidi="ar-EG"/>
              </w:rPr>
              <w:t>.</w:t>
            </w:r>
          </w:p>
          <w:p w14:paraId="68B93EDA" w14:textId="77777777" w:rsidR="00290728" w:rsidRPr="00290728" w:rsidRDefault="00290728" w:rsidP="00706D7A">
            <w:pPr>
              <w:rPr>
                <w:b/>
                <w:bCs/>
                <w:rtl/>
                <w:lang w:bidi="ar-SY"/>
              </w:rPr>
            </w:pPr>
            <w:r w:rsidRPr="00290728">
              <w:rPr>
                <w:rFonts w:hint="cs"/>
                <w:b/>
                <w:bCs/>
                <w:rtl/>
                <w:lang w:bidi="ar-SY"/>
              </w:rPr>
              <w:t>الإجراء المطلوب</w:t>
            </w:r>
          </w:p>
          <w:p w14:paraId="25AD2C62" w14:textId="77829B63" w:rsidR="00290728" w:rsidRDefault="003A3C59" w:rsidP="00706D7A">
            <w:pPr>
              <w:rPr>
                <w:rtl/>
                <w:lang w:bidi="ar-SY"/>
              </w:rPr>
            </w:pPr>
            <w:r>
              <w:rPr>
                <w:rFonts w:hint="cs"/>
                <w:rtl/>
                <w:lang w:bidi="ar-SY"/>
              </w:rPr>
              <w:t xml:space="preserve">يُدعى المجلس إلى </w:t>
            </w:r>
            <w:r w:rsidRPr="003A3C59">
              <w:rPr>
                <w:rFonts w:hint="cs"/>
                <w:b/>
                <w:bCs/>
                <w:rtl/>
                <w:lang w:bidi="ar-SY"/>
              </w:rPr>
              <w:t>إقرار</w:t>
            </w:r>
            <w:r>
              <w:rPr>
                <w:rFonts w:hint="cs"/>
                <w:rtl/>
                <w:lang w:bidi="ar-SY"/>
              </w:rPr>
              <w:t xml:space="preserve"> مشروع سياسة الاتحاد بشأن إمكانية نفاذ الأشخاص ذوي الإعاقة.</w:t>
            </w:r>
          </w:p>
          <w:p w14:paraId="7F8C6764" w14:textId="6889FEFC" w:rsidR="00290728" w:rsidRPr="00784695" w:rsidRDefault="00784695" w:rsidP="00290728">
            <w:pPr>
              <w:jc w:val="center"/>
              <w:rPr>
                <w:rtl/>
                <w:lang w:bidi="ar-SY"/>
              </w:rPr>
            </w:pPr>
            <w:r>
              <w:rPr>
                <w:rFonts w:hint="cs"/>
                <w:rtl/>
                <w:lang w:bidi="ar-SY"/>
              </w:rPr>
              <w:t>ــــــــــــــــــــــــــــــــــــــــــــــــــــــــــــــــــ</w:t>
            </w:r>
          </w:p>
          <w:p w14:paraId="48676595" w14:textId="77777777" w:rsidR="00290728" w:rsidRPr="00290728" w:rsidRDefault="00290728" w:rsidP="00290728">
            <w:pPr>
              <w:rPr>
                <w:b/>
                <w:bCs/>
                <w:rtl/>
                <w:lang w:bidi="ar-SY"/>
              </w:rPr>
            </w:pPr>
            <w:r w:rsidRPr="00290728">
              <w:rPr>
                <w:rFonts w:hint="cs"/>
                <w:b/>
                <w:bCs/>
                <w:rtl/>
                <w:lang w:bidi="ar-SY"/>
              </w:rPr>
              <w:t>المراجع</w:t>
            </w:r>
          </w:p>
          <w:p w14:paraId="41B0E184" w14:textId="6CCC679E" w:rsidR="00290728" w:rsidRPr="008877BB" w:rsidRDefault="00390F26" w:rsidP="00C36240">
            <w:pPr>
              <w:spacing w:after="120"/>
              <w:jc w:val="left"/>
              <w:rPr>
                <w:i/>
                <w:iCs/>
                <w:rtl/>
                <w:lang w:bidi="ar-EG"/>
              </w:rPr>
            </w:pPr>
            <w:hyperlink r:id="rId10" w:history="1">
              <w:r w:rsidR="00C36240" w:rsidRPr="008877BB">
                <w:rPr>
                  <w:rStyle w:val="Hyperlink"/>
                  <w:rFonts w:hint="cs"/>
                  <w:i/>
                  <w:iCs/>
                  <w:rtl/>
                  <w:lang w:bidi="ar-SY"/>
                </w:rPr>
                <w:t>القرار 175 (المراجَع في دبي، 2018) لمؤتمر المندوبين المفوضين</w:t>
              </w:r>
            </w:hyperlink>
            <w:r w:rsidR="00C36240" w:rsidRPr="008877BB">
              <w:rPr>
                <w:rFonts w:hint="cs"/>
                <w:i/>
                <w:iCs/>
                <w:rtl/>
                <w:lang w:bidi="ar-SY"/>
              </w:rPr>
              <w:t xml:space="preserve"> و</w:t>
            </w:r>
            <w:hyperlink r:id="rId11" w:history="1">
              <w:r w:rsidR="00C36240" w:rsidRPr="008877BB">
                <w:rPr>
                  <w:rStyle w:val="Hyperlink"/>
                  <w:rFonts w:hint="cs"/>
                  <w:i/>
                  <w:iCs/>
                  <w:rtl/>
                  <w:lang w:bidi="ar-SY"/>
                </w:rPr>
                <w:t>القرار 58 (المراجَع في بوينس آيرس، 2017) للمؤتمر العالمي لتنمية الاتصالات</w:t>
              </w:r>
            </w:hyperlink>
            <w:r w:rsidR="00C36240" w:rsidRPr="008877BB">
              <w:rPr>
                <w:rFonts w:hint="cs"/>
                <w:i/>
                <w:iCs/>
                <w:rtl/>
                <w:lang w:bidi="ar-SY"/>
              </w:rPr>
              <w:t xml:space="preserve"> و</w:t>
            </w:r>
            <w:hyperlink r:id="rId12" w:history="1">
              <w:r w:rsidR="00C36240" w:rsidRPr="008877BB">
                <w:rPr>
                  <w:rStyle w:val="Hyperlink"/>
                  <w:rFonts w:hint="cs"/>
                  <w:i/>
                  <w:iCs/>
                  <w:rtl/>
                  <w:lang w:bidi="ar-SY"/>
                </w:rPr>
                <w:t>القرار 70 (المراجَع في الحمامات، 2016) لل</w:t>
              </w:r>
              <w:r w:rsidR="003A3C59" w:rsidRPr="008877BB">
                <w:rPr>
                  <w:rStyle w:val="Hyperlink"/>
                  <w:rFonts w:hint="cs"/>
                  <w:i/>
                  <w:iCs/>
                  <w:rtl/>
                  <w:lang w:bidi="ar-SY"/>
                </w:rPr>
                <w:t>جمعية</w:t>
              </w:r>
              <w:r w:rsidR="00C36240" w:rsidRPr="008877BB">
                <w:rPr>
                  <w:rStyle w:val="Hyperlink"/>
                  <w:rFonts w:hint="cs"/>
                  <w:i/>
                  <w:iCs/>
                  <w:rtl/>
                  <w:lang w:bidi="ar-SY"/>
                </w:rPr>
                <w:t xml:space="preserve"> العالمي</w:t>
              </w:r>
              <w:r w:rsidR="003A3C59" w:rsidRPr="008877BB">
                <w:rPr>
                  <w:rStyle w:val="Hyperlink"/>
                  <w:rFonts w:hint="cs"/>
                  <w:i/>
                  <w:iCs/>
                  <w:rtl/>
                  <w:lang w:bidi="ar-SY"/>
                </w:rPr>
                <w:t>ة</w:t>
              </w:r>
              <w:r w:rsidR="00C36240" w:rsidRPr="008877BB">
                <w:rPr>
                  <w:rStyle w:val="Hyperlink"/>
                  <w:rFonts w:hint="cs"/>
                  <w:i/>
                  <w:iCs/>
                  <w:rtl/>
                  <w:lang w:bidi="ar-SY"/>
                </w:rPr>
                <w:t xml:space="preserve"> لتقييس الاتصالات</w:t>
              </w:r>
            </w:hyperlink>
            <w:r w:rsidR="00C36240" w:rsidRPr="008877BB">
              <w:rPr>
                <w:rFonts w:hint="cs"/>
                <w:i/>
                <w:iCs/>
                <w:rtl/>
                <w:lang w:bidi="ar-SY"/>
              </w:rPr>
              <w:t xml:space="preserve"> و</w:t>
            </w:r>
            <w:hyperlink r:id="rId13" w:history="1">
              <w:r w:rsidR="00C36240" w:rsidRPr="008877BB">
                <w:rPr>
                  <w:rStyle w:val="Hyperlink"/>
                  <w:rFonts w:hint="cs"/>
                  <w:i/>
                  <w:iCs/>
                  <w:rtl/>
                  <w:lang w:bidi="ar-SY"/>
                </w:rPr>
                <w:t>القرار 67 (</w:t>
              </w:r>
              <w:r w:rsidR="000F76C1" w:rsidRPr="008877BB">
                <w:rPr>
                  <w:rStyle w:val="Hyperlink"/>
                  <w:i/>
                  <w:iCs/>
                  <w:lang w:bidi="ar-SY"/>
                </w:rPr>
                <w:t>201</w:t>
              </w:r>
              <w:r w:rsidR="00143F79" w:rsidRPr="008877BB">
                <w:rPr>
                  <w:rStyle w:val="Hyperlink"/>
                  <w:i/>
                  <w:iCs/>
                  <w:lang w:bidi="ar-SY"/>
                </w:rPr>
                <w:t>7</w:t>
              </w:r>
              <w:r w:rsidR="00C36240" w:rsidRPr="008877BB">
                <w:rPr>
                  <w:rStyle w:val="Hyperlink"/>
                  <w:rFonts w:hint="cs"/>
                  <w:i/>
                  <w:iCs/>
                  <w:rtl/>
                  <w:lang w:bidi="ar-SY"/>
                </w:rPr>
                <w:t xml:space="preserve">) لجمعية </w:t>
              </w:r>
              <w:r w:rsidR="00C36240" w:rsidRPr="008877BB">
                <w:rPr>
                  <w:rStyle w:val="Hyperlink"/>
                  <w:rFonts w:hint="cs"/>
                  <w:i/>
                  <w:iCs/>
                  <w:rtl/>
                  <w:lang w:bidi="ar-EG"/>
                </w:rPr>
                <w:t>الاتصالات الراديوية</w:t>
              </w:r>
            </w:hyperlink>
            <w:r w:rsidR="00C36240" w:rsidRPr="008877BB">
              <w:rPr>
                <w:rFonts w:hint="cs"/>
                <w:i/>
                <w:iCs/>
                <w:rtl/>
                <w:lang w:bidi="ar-EG"/>
              </w:rPr>
              <w:t xml:space="preserve">؛ وثيقة المجلس </w:t>
            </w:r>
            <w:hyperlink r:id="rId14" w:history="1">
              <w:r w:rsidR="00C36240" w:rsidRPr="008877BB">
                <w:rPr>
                  <w:rStyle w:val="Hyperlink"/>
                  <w:bCs/>
                  <w:i/>
                  <w:iCs/>
                  <w:lang w:val="en-GB" w:bidi="ar-EG"/>
                </w:rPr>
                <w:t>C13/42</w:t>
              </w:r>
            </w:hyperlink>
          </w:p>
        </w:tc>
      </w:tr>
    </w:tbl>
    <w:p w14:paraId="56B2C5E0" w14:textId="460DCA10" w:rsidR="004E11DC" w:rsidRDefault="00C36240" w:rsidP="00C36240">
      <w:pPr>
        <w:pStyle w:val="Headingb"/>
        <w:rPr>
          <w:rtl/>
        </w:rPr>
      </w:pPr>
      <w:r>
        <w:rPr>
          <w:rFonts w:hint="cs"/>
          <w:rtl/>
        </w:rPr>
        <w:t>مقدمة</w:t>
      </w:r>
    </w:p>
    <w:p w14:paraId="1A0DA148" w14:textId="68F7934C" w:rsidR="00C36240" w:rsidRPr="00F974C5" w:rsidRDefault="004B1BAE" w:rsidP="00C36240">
      <w:pPr>
        <w:rPr>
          <w:rtl/>
        </w:rPr>
      </w:pPr>
      <w:r>
        <w:rPr>
          <w:rFonts w:hint="cs"/>
          <w:rtl/>
        </w:rPr>
        <w:t xml:space="preserve">أُسندت </w:t>
      </w:r>
      <w:r w:rsidR="00346700">
        <w:rPr>
          <w:rFonts w:hint="cs"/>
          <w:rtl/>
        </w:rPr>
        <w:t xml:space="preserve">لأول مرة </w:t>
      </w:r>
      <w:r>
        <w:rPr>
          <w:rFonts w:hint="cs"/>
          <w:rtl/>
        </w:rPr>
        <w:t xml:space="preserve">ولاية </w:t>
      </w:r>
      <w:r w:rsidR="00346700">
        <w:rPr>
          <w:rFonts w:hint="cs"/>
          <w:rtl/>
        </w:rPr>
        <w:t>ب</w:t>
      </w:r>
      <w:r>
        <w:rPr>
          <w:rFonts w:hint="cs"/>
          <w:rtl/>
        </w:rPr>
        <w:t xml:space="preserve">تعزيز إمكانية </w:t>
      </w:r>
      <w:r w:rsidR="00751700">
        <w:rPr>
          <w:rFonts w:hint="cs"/>
          <w:rtl/>
        </w:rPr>
        <w:t>النفاذ</w:t>
      </w:r>
      <w:r>
        <w:rPr>
          <w:rFonts w:hint="cs"/>
          <w:rtl/>
        </w:rPr>
        <w:t xml:space="preserve"> في منظومة الأمم المتحدة عند اعتماد اتفاقية</w:t>
      </w:r>
      <w:r w:rsidR="00C36240" w:rsidRPr="00C36240">
        <w:rPr>
          <w:rtl/>
        </w:rPr>
        <w:t xml:space="preserve"> حقوق الأشخاص ذوي الإعاقة</w:t>
      </w:r>
      <w:r w:rsidR="00C36240">
        <w:rPr>
          <w:rFonts w:hint="cs"/>
          <w:rtl/>
        </w:rPr>
        <w:t xml:space="preserve"> </w:t>
      </w:r>
      <w:r w:rsidR="00C36240" w:rsidRPr="00C36240">
        <w:t>(</w:t>
      </w:r>
      <w:hyperlink r:id="rId15" w:history="1">
        <w:r w:rsidRPr="00D94835">
          <w:rPr>
            <w:rStyle w:val="Hyperlink"/>
            <w:rFonts w:asciiTheme="minorHAnsi" w:hAnsiTheme="minorHAnsi" w:cstheme="minorHAnsi"/>
            <w:szCs w:val="24"/>
          </w:rPr>
          <w:t>CRPD</w:t>
        </w:r>
      </w:hyperlink>
      <w:r w:rsidR="00C36240" w:rsidRPr="00C36240">
        <w:t>)</w:t>
      </w:r>
      <w:r w:rsidR="00C36240">
        <w:rPr>
          <w:rFonts w:hint="cs"/>
          <w:rtl/>
        </w:rPr>
        <w:t xml:space="preserve"> </w:t>
      </w:r>
      <w:r>
        <w:rPr>
          <w:rFonts w:hint="cs"/>
          <w:rtl/>
        </w:rPr>
        <w:t xml:space="preserve">في عام </w:t>
      </w:r>
      <w:r>
        <w:t>2006</w:t>
      </w:r>
      <w:r>
        <w:rPr>
          <w:rFonts w:hint="cs"/>
          <w:rtl/>
          <w:lang w:bidi="ar-EG"/>
        </w:rPr>
        <w:t xml:space="preserve">، </w:t>
      </w:r>
      <w:r w:rsidR="0079226E">
        <w:rPr>
          <w:rFonts w:hint="cs"/>
          <w:rtl/>
          <w:lang w:bidi="ar-EG"/>
        </w:rPr>
        <w:t xml:space="preserve">التي تتضمن قسماً مخصصاً </w:t>
      </w:r>
      <w:r w:rsidR="005472AD">
        <w:rPr>
          <w:rFonts w:hint="cs"/>
          <w:rtl/>
        </w:rPr>
        <w:t>ل</w:t>
      </w:r>
      <w:r w:rsidR="0079226E">
        <w:rPr>
          <w:rFonts w:hint="cs"/>
          <w:rtl/>
          <w:lang w:bidi="ar-EG"/>
        </w:rPr>
        <w:t xml:space="preserve">إمكانية </w:t>
      </w:r>
      <w:r w:rsidR="00751700">
        <w:rPr>
          <w:rFonts w:hint="cs"/>
          <w:rtl/>
          <w:lang w:bidi="ar-EG"/>
        </w:rPr>
        <w:t>النفاذ</w:t>
      </w:r>
      <w:r w:rsidR="0079226E">
        <w:rPr>
          <w:rFonts w:hint="cs"/>
          <w:rtl/>
          <w:lang w:bidi="ar-EG"/>
        </w:rPr>
        <w:t xml:space="preserve"> (المادة </w:t>
      </w:r>
      <w:r w:rsidR="0079226E">
        <w:rPr>
          <w:lang w:bidi="ar-EG"/>
        </w:rPr>
        <w:t>9</w:t>
      </w:r>
      <w:r w:rsidR="0079226E">
        <w:rPr>
          <w:rFonts w:hint="cs"/>
          <w:rtl/>
          <w:lang w:bidi="ar-EG"/>
        </w:rPr>
        <w:t>). ونتيجة</w:t>
      </w:r>
      <w:r w:rsidR="00DF3299">
        <w:rPr>
          <w:rFonts w:hint="cs"/>
          <w:rtl/>
          <w:lang w:bidi="ar-EG"/>
        </w:rPr>
        <w:t>ً</w:t>
      </w:r>
      <w:r w:rsidR="0079226E">
        <w:rPr>
          <w:rFonts w:hint="cs"/>
          <w:rtl/>
          <w:lang w:bidi="ar-EG"/>
        </w:rPr>
        <w:t xml:space="preserve"> لذلك، اعتمد مؤتمر المندوبين المفوضين </w:t>
      </w:r>
      <w:r w:rsidR="00DC3116">
        <w:rPr>
          <w:rFonts w:hint="cs"/>
          <w:rtl/>
          <w:lang w:bidi="ar-EG"/>
        </w:rPr>
        <w:t>لعام</w:t>
      </w:r>
      <w:r w:rsidR="0048474B">
        <w:rPr>
          <w:rFonts w:hint="eastAsia"/>
          <w:rtl/>
          <w:lang w:bidi="ar-EG"/>
        </w:rPr>
        <w:t> </w:t>
      </w:r>
      <w:r w:rsidR="00DC3116">
        <w:rPr>
          <w:lang w:bidi="ar-EG"/>
        </w:rPr>
        <w:t>2010</w:t>
      </w:r>
      <w:r w:rsidR="00DC3116">
        <w:rPr>
          <w:rFonts w:hint="cs"/>
          <w:rtl/>
          <w:lang w:bidi="ar-EG"/>
        </w:rPr>
        <w:t xml:space="preserve"> </w:t>
      </w:r>
      <w:r w:rsidR="00DC3116">
        <w:rPr>
          <w:lang w:bidi="ar-EG"/>
        </w:rPr>
        <w:t>(PP-10)</w:t>
      </w:r>
      <w:r w:rsidR="00C36240">
        <w:rPr>
          <w:rFonts w:hint="cs"/>
          <w:rtl/>
        </w:rPr>
        <w:t xml:space="preserve"> </w:t>
      </w:r>
      <w:hyperlink r:id="rId16" w:history="1">
        <w:r w:rsidR="00C36240" w:rsidRPr="00C36240">
          <w:rPr>
            <w:rStyle w:val="Hyperlink"/>
            <w:rFonts w:hint="cs"/>
            <w:rtl/>
          </w:rPr>
          <w:t>القرار 175</w:t>
        </w:r>
      </w:hyperlink>
      <w:r w:rsidR="00C36240">
        <w:rPr>
          <w:rFonts w:hint="cs"/>
          <w:rtl/>
        </w:rPr>
        <w:t xml:space="preserve"> (المراجَع في</w:t>
      </w:r>
      <w:r w:rsidR="00C36240">
        <w:rPr>
          <w:rFonts w:hint="eastAsia"/>
          <w:rtl/>
        </w:rPr>
        <w:t> </w:t>
      </w:r>
      <w:r w:rsidR="00C36240">
        <w:rPr>
          <w:rFonts w:hint="cs"/>
          <w:rtl/>
        </w:rPr>
        <w:t>دبي، 2018) ("</w:t>
      </w:r>
      <w:r w:rsidR="00C36240" w:rsidRPr="00C36240">
        <w:rPr>
          <w:rtl/>
        </w:rPr>
        <w:t>إمكانية نفاذ الأشخاص ذوي الإعاقة والأشخاص ذوي الاحتياجات المحددة إلى الاتصالات/تكنولوجيا المعلومات والاتصالات</w:t>
      </w:r>
      <w:r w:rsidR="00C36240">
        <w:rPr>
          <w:rFonts w:hint="cs"/>
          <w:rtl/>
        </w:rPr>
        <w:t xml:space="preserve">"). </w:t>
      </w:r>
      <w:r w:rsidR="00DC3116">
        <w:rPr>
          <w:rFonts w:hint="cs"/>
          <w:rtl/>
        </w:rPr>
        <w:t xml:space="preserve">ويشير تقرير وحدة التفتيش المشتركة </w:t>
      </w:r>
      <w:hyperlink r:id="rId17" w:history="1">
        <w:r w:rsidR="00DC3116" w:rsidRPr="00D94835">
          <w:rPr>
            <w:rStyle w:val="Hyperlink"/>
            <w:rFonts w:asciiTheme="minorHAnsi" w:hAnsiTheme="minorHAnsi" w:cstheme="minorHAnsi"/>
            <w:szCs w:val="24"/>
          </w:rPr>
          <w:t>2018/6</w:t>
        </w:r>
      </w:hyperlink>
      <w:r w:rsidR="00DC3116" w:rsidRPr="00DC3116">
        <w:rPr>
          <w:rFonts w:hint="cs"/>
          <w:rtl/>
        </w:rPr>
        <w:t xml:space="preserve"> </w:t>
      </w:r>
      <w:r w:rsidR="00DC3116">
        <w:rPr>
          <w:rFonts w:hint="cs"/>
          <w:rtl/>
        </w:rPr>
        <w:t>"</w:t>
      </w:r>
      <w:r w:rsidR="00346700">
        <w:rPr>
          <w:rFonts w:hint="cs"/>
          <w:rtl/>
          <w:lang w:bidi="ar-EG"/>
        </w:rPr>
        <w:t>تعزيز إمكانية وصول الأشخاص ذوي الإعاقة إلى مؤتمرات منظومة الأمم المتحدة واجتماعاتها</w:t>
      </w:r>
      <w:r w:rsidR="00DC3116">
        <w:rPr>
          <w:rFonts w:hint="cs"/>
          <w:rtl/>
        </w:rPr>
        <w:t>"</w:t>
      </w:r>
      <w:r w:rsidR="00346700">
        <w:rPr>
          <w:rFonts w:hint="cs"/>
          <w:rtl/>
        </w:rPr>
        <w:t xml:space="preserve"> إلى أن الاتحاد الدولي للاتصالات هو </w:t>
      </w:r>
      <w:r w:rsidR="00B62312">
        <w:rPr>
          <w:rFonts w:hint="cs"/>
          <w:rtl/>
        </w:rPr>
        <w:t xml:space="preserve">الوكالة </w:t>
      </w:r>
      <w:r w:rsidR="00346700">
        <w:rPr>
          <w:rFonts w:hint="cs"/>
          <w:rtl/>
        </w:rPr>
        <w:t>الوح</w:t>
      </w:r>
      <w:r w:rsidR="00B62312">
        <w:rPr>
          <w:rFonts w:hint="cs"/>
          <w:rtl/>
        </w:rPr>
        <w:t>ي</w:t>
      </w:r>
      <w:r w:rsidR="00346700">
        <w:rPr>
          <w:rFonts w:hint="cs"/>
          <w:rtl/>
        </w:rPr>
        <w:t>د</w:t>
      </w:r>
      <w:r w:rsidR="00B62312">
        <w:rPr>
          <w:rFonts w:hint="cs"/>
          <w:rtl/>
        </w:rPr>
        <w:t>ة،</w:t>
      </w:r>
      <w:r w:rsidR="00346700">
        <w:rPr>
          <w:rFonts w:hint="cs"/>
          <w:rtl/>
        </w:rPr>
        <w:t xml:space="preserve"> من بين وكالات الأمم المتحدة المتخصصة</w:t>
      </w:r>
      <w:r w:rsidR="00B62312">
        <w:rPr>
          <w:rFonts w:hint="cs"/>
          <w:rtl/>
        </w:rPr>
        <w:t>، التي لديها ولاية محددة من جانب هيئتها التشريعية</w:t>
      </w:r>
      <w:r w:rsidR="00751700">
        <w:rPr>
          <w:rFonts w:hint="cs"/>
          <w:rtl/>
        </w:rPr>
        <w:t xml:space="preserve"> بشأن إمكانية </w:t>
      </w:r>
      <w:r w:rsidR="0098106F">
        <w:rPr>
          <w:rFonts w:hint="cs"/>
          <w:rtl/>
        </w:rPr>
        <w:t>النفاذ</w:t>
      </w:r>
      <w:r w:rsidR="00DC3116">
        <w:rPr>
          <w:rFonts w:hint="cs"/>
          <w:rtl/>
        </w:rPr>
        <w:t>.</w:t>
      </w:r>
    </w:p>
    <w:p w14:paraId="67CCB9B6" w14:textId="4A2F44E3" w:rsidR="00840B10" w:rsidRDefault="00B62312" w:rsidP="00B62312">
      <w:pPr>
        <w:rPr>
          <w:rtl/>
          <w:lang w:bidi="ar-EG"/>
        </w:rPr>
      </w:pPr>
      <w:r>
        <w:rPr>
          <w:rFonts w:hint="cs"/>
          <w:rtl/>
          <w:lang w:bidi="ar-SY"/>
        </w:rPr>
        <w:t xml:space="preserve">وإلى جانب </w:t>
      </w:r>
      <w:r w:rsidR="00C36240">
        <w:rPr>
          <w:rFonts w:hint="cs"/>
          <w:rtl/>
          <w:lang w:bidi="ar-SY"/>
        </w:rPr>
        <w:t xml:space="preserve"> </w:t>
      </w:r>
      <w:hyperlink r:id="rId18" w:history="1">
        <w:r w:rsidR="00C36240" w:rsidRPr="00C36240">
          <w:rPr>
            <w:rStyle w:val="Hyperlink"/>
            <w:rFonts w:hint="cs"/>
            <w:rtl/>
            <w:lang w:bidi="ar-SY"/>
          </w:rPr>
          <w:t>القرار 175</w:t>
        </w:r>
        <w:r w:rsidR="00C36240" w:rsidRPr="0048474B">
          <w:rPr>
            <w:rStyle w:val="Hyperlink"/>
            <w:rFonts w:hint="cs"/>
            <w:color w:val="auto"/>
            <w:u w:val="none"/>
            <w:rtl/>
            <w:lang w:bidi="ar-SY"/>
          </w:rPr>
          <w:t xml:space="preserve"> (المراجَع في دبي، 2018)</w:t>
        </w:r>
        <w:r w:rsidR="00C36240" w:rsidRPr="00B62312">
          <w:rPr>
            <w:rFonts w:hint="cs"/>
            <w:rtl/>
          </w:rPr>
          <w:t xml:space="preserve"> </w:t>
        </w:r>
        <w:r w:rsidR="00BF2126">
          <w:rPr>
            <w:rFonts w:hint="cs"/>
            <w:rtl/>
          </w:rPr>
          <w:t xml:space="preserve">المذكور أعلاه، </w:t>
        </w:r>
        <w:r w:rsidR="000F76C1">
          <w:rPr>
            <w:rFonts w:hint="cs"/>
            <w:rtl/>
          </w:rPr>
          <w:t>فإن</w:t>
        </w:r>
      </w:hyperlink>
      <w:r w:rsidR="000F76C1" w:rsidRPr="000F76C1">
        <w:rPr>
          <w:rStyle w:val="Hyperlink"/>
          <w:rFonts w:hint="cs"/>
          <w:u w:val="none"/>
          <w:rtl/>
          <w:lang w:bidi="ar-SY"/>
        </w:rPr>
        <w:t xml:space="preserve"> </w:t>
      </w:r>
      <w:r w:rsidR="000F76C1" w:rsidRPr="000F76C1">
        <w:rPr>
          <w:rFonts w:hint="cs"/>
          <w:rtl/>
        </w:rPr>
        <w:t xml:space="preserve">نواتج أخرى </w:t>
      </w:r>
      <w:r w:rsidR="00AD0E93">
        <w:rPr>
          <w:rFonts w:hint="cs"/>
          <w:rtl/>
        </w:rPr>
        <w:t>صادرة عن ا</w:t>
      </w:r>
      <w:r w:rsidR="000F76C1" w:rsidRPr="000F76C1">
        <w:rPr>
          <w:rFonts w:hint="cs"/>
          <w:rtl/>
        </w:rPr>
        <w:t>لمؤتمرات/الجمعيات العالمية</w:t>
      </w:r>
      <w:r w:rsidR="00AD0E93">
        <w:rPr>
          <w:rFonts w:hint="cs"/>
          <w:rtl/>
        </w:rPr>
        <w:t xml:space="preserve"> للقطاعات</w:t>
      </w:r>
      <w:r w:rsidR="000F76C1">
        <w:rPr>
          <w:rFonts w:hint="cs"/>
          <w:rtl/>
        </w:rPr>
        <w:t>، مثل</w:t>
      </w:r>
      <w:r w:rsidR="00C36240">
        <w:rPr>
          <w:rFonts w:hint="cs"/>
          <w:rtl/>
          <w:lang w:bidi="ar-SY"/>
        </w:rPr>
        <w:t xml:space="preserve"> </w:t>
      </w:r>
      <w:hyperlink r:id="rId19" w:history="1">
        <w:r w:rsidR="00C36240" w:rsidRPr="004A5C7F">
          <w:rPr>
            <w:rStyle w:val="Hyperlink"/>
            <w:rFonts w:hint="cs"/>
            <w:rtl/>
            <w:lang w:bidi="ar-SY"/>
          </w:rPr>
          <w:t>القرار 58</w:t>
        </w:r>
      </w:hyperlink>
      <w:r w:rsidR="00C36240" w:rsidRPr="004A5C7F">
        <w:rPr>
          <w:rFonts w:hint="cs"/>
          <w:rtl/>
          <w:lang w:bidi="ar-SY"/>
        </w:rPr>
        <w:t xml:space="preserve"> (المراجَع في بوينس آيرس، 2017) للمؤتمر العالمي لتنمية الاتصالات</w:t>
      </w:r>
      <w:r w:rsidR="00C36240" w:rsidRPr="00C36240">
        <w:rPr>
          <w:rFonts w:hint="cs"/>
          <w:rtl/>
          <w:lang w:bidi="ar-SY"/>
        </w:rPr>
        <w:t xml:space="preserve"> و</w:t>
      </w:r>
      <w:hyperlink r:id="rId20" w:history="1">
        <w:r w:rsidR="00C36240" w:rsidRPr="004A5C7F">
          <w:rPr>
            <w:rStyle w:val="Hyperlink"/>
            <w:rFonts w:hint="cs"/>
            <w:rtl/>
            <w:lang w:bidi="ar-SY"/>
          </w:rPr>
          <w:t>القرار 70</w:t>
        </w:r>
      </w:hyperlink>
      <w:r w:rsidR="00C36240" w:rsidRPr="004A5C7F">
        <w:rPr>
          <w:rFonts w:hint="cs"/>
          <w:rtl/>
          <w:lang w:bidi="ar-SY"/>
        </w:rPr>
        <w:t xml:space="preserve"> (المراجَع في</w:t>
      </w:r>
      <w:r w:rsidR="0048474B" w:rsidRPr="004A5C7F">
        <w:rPr>
          <w:rFonts w:hint="eastAsia"/>
          <w:rtl/>
          <w:lang w:bidi="ar-SY"/>
        </w:rPr>
        <w:t> </w:t>
      </w:r>
      <w:r w:rsidR="00C36240" w:rsidRPr="004A5C7F">
        <w:rPr>
          <w:rFonts w:hint="cs"/>
          <w:rtl/>
          <w:lang w:bidi="ar-SY"/>
        </w:rPr>
        <w:t>الحمامات، 2016) لل</w:t>
      </w:r>
      <w:r w:rsidR="000F76C1" w:rsidRPr="004A5C7F">
        <w:rPr>
          <w:rFonts w:hint="cs"/>
          <w:rtl/>
          <w:lang w:bidi="ar-SY"/>
        </w:rPr>
        <w:t>جمعية</w:t>
      </w:r>
      <w:r w:rsidR="00C36240" w:rsidRPr="004A5C7F">
        <w:rPr>
          <w:rFonts w:hint="cs"/>
          <w:rtl/>
          <w:lang w:bidi="ar-SY"/>
        </w:rPr>
        <w:t xml:space="preserve"> العالمي</w:t>
      </w:r>
      <w:r w:rsidR="000F76C1" w:rsidRPr="004A5C7F">
        <w:rPr>
          <w:rFonts w:hint="cs"/>
          <w:rtl/>
          <w:lang w:bidi="ar-SY"/>
        </w:rPr>
        <w:t>ة</w:t>
      </w:r>
      <w:r w:rsidR="00C36240" w:rsidRPr="004A5C7F">
        <w:rPr>
          <w:rFonts w:hint="cs"/>
          <w:rtl/>
          <w:lang w:bidi="ar-SY"/>
        </w:rPr>
        <w:t xml:space="preserve"> لتقييس الاتصالات</w:t>
      </w:r>
      <w:r w:rsidR="00C36240" w:rsidRPr="00C36240">
        <w:rPr>
          <w:rFonts w:hint="cs"/>
          <w:rtl/>
          <w:lang w:bidi="ar-SY"/>
        </w:rPr>
        <w:t xml:space="preserve"> و</w:t>
      </w:r>
      <w:hyperlink r:id="rId21" w:history="1">
        <w:r w:rsidR="00C36240" w:rsidRPr="002E23B5">
          <w:rPr>
            <w:rStyle w:val="Hyperlink"/>
            <w:rFonts w:hint="cs"/>
            <w:rtl/>
            <w:lang w:bidi="ar-SY"/>
          </w:rPr>
          <w:t>القرار 67</w:t>
        </w:r>
      </w:hyperlink>
      <w:r w:rsidR="00C36240" w:rsidRPr="002E23B5">
        <w:rPr>
          <w:rFonts w:hint="cs"/>
          <w:rtl/>
          <w:lang w:bidi="ar-SY"/>
        </w:rPr>
        <w:t xml:space="preserve"> (</w:t>
      </w:r>
      <w:r w:rsidR="000F76C1" w:rsidRPr="002E23B5">
        <w:rPr>
          <w:lang w:bidi="ar-SY"/>
        </w:rPr>
        <w:t>2019</w:t>
      </w:r>
      <w:r w:rsidR="00C36240" w:rsidRPr="002E23B5">
        <w:rPr>
          <w:rFonts w:hint="cs"/>
          <w:rtl/>
          <w:lang w:bidi="ar-SY"/>
        </w:rPr>
        <w:t xml:space="preserve">) لجمعية </w:t>
      </w:r>
      <w:r w:rsidR="00C36240" w:rsidRPr="002E23B5">
        <w:rPr>
          <w:rFonts w:hint="cs"/>
          <w:rtl/>
          <w:lang w:bidi="ar-EG"/>
        </w:rPr>
        <w:t>الاتصالات الراديوية</w:t>
      </w:r>
      <w:r w:rsidR="00751700">
        <w:rPr>
          <w:rFonts w:hint="cs"/>
          <w:rtl/>
          <w:lang w:bidi="ar-SY"/>
        </w:rPr>
        <w:t xml:space="preserve">، </w:t>
      </w:r>
      <w:r w:rsidR="000F76C1">
        <w:rPr>
          <w:rFonts w:hint="cs"/>
          <w:rtl/>
          <w:lang w:bidi="ar-SY"/>
        </w:rPr>
        <w:t>تُ</w:t>
      </w:r>
      <w:r w:rsidR="000F76C1" w:rsidRPr="000F76C1">
        <w:rPr>
          <w:rFonts w:hint="cs"/>
          <w:rtl/>
          <w:lang w:bidi="ar-SY"/>
        </w:rPr>
        <w:t>سنِد</w:t>
      </w:r>
      <w:r w:rsidR="000F76C1">
        <w:rPr>
          <w:rFonts w:hint="cs"/>
          <w:rtl/>
          <w:lang w:bidi="ar-SY"/>
        </w:rPr>
        <w:t xml:space="preserve"> إلى الاتحاد ولاية واضحة بالعمل على هذا الموضوع. وعلاوةً على ذلك، تعتبر </w:t>
      </w:r>
      <w:hyperlink r:id="rId22" w:history="1">
        <w:r w:rsidR="000F76C1" w:rsidRPr="0048474B">
          <w:rPr>
            <w:rStyle w:val="Hyperlink"/>
            <w:rFonts w:hint="cs"/>
            <w:rtl/>
            <w:lang w:bidi="ar-SY"/>
          </w:rPr>
          <w:t xml:space="preserve">الخطة الاستراتيجية للاتحاد للفترة </w:t>
        </w:r>
        <w:r w:rsidR="000F76C1" w:rsidRPr="0048474B">
          <w:rPr>
            <w:rStyle w:val="Hyperlink"/>
            <w:lang w:bidi="ar-SY"/>
          </w:rPr>
          <w:t>2023-2020</w:t>
        </w:r>
      </w:hyperlink>
      <w:r w:rsidR="000F76C1">
        <w:rPr>
          <w:rFonts w:hint="cs"/>
          <w:rtl/>
          <w:lang w:bidi="ar-EG"/>
        </w:rPr>
        <w:t xml:space="preserve">، التي اعتمدتها الدول الأعضاء في مؤتمر المندوبين المفوضين لعام </w:t>
      </w:r>
      <w:r w:rsidR="000F76C1">
        <w:rPr>
          <w:lang w:bidi="ar-EG"/>
        </w:rPr>
        <w:t>2018</w:t>
      </w:r>
      <w:r w:rsidR="000F76C1">
        <w:rPr>
          <w:rFonts w:hint="cs"/>
          <w:rtl/>
          <w:lang w:bidi="ar-EG"/>
        </w:rPr>
        <w:t xml:space="preserve"> </w:t>
      </w:r>
      <w:r w:rsidR="007F40A9">
        <w:rPr>
          <w:rFonts w:hint="cs"/>
          <w:rtl/>
          <w:lang w:bidi="ar-EG"/>
        </w:rPr>
        <w:t>ب</w:t>
      </w:r>
      <w:r w:rsidR="00AD0E93">
        <w:rPr>
          <w:rFonts w:hint="cs"/>
          <w:rtl/>
          <w:lang w:bidi="ar-EG"/>
        </w:rPr>
        <w:t>وصفها</w:t>
      </w:r>
      <w:r w:rsidR="00C36240">
        <w:rPr>
          <w:rFonts w:hint="cs"/>
          <w:rtl/>
          <w:lang w:bidi="ar-SY"/>
        </w:rPr>
        <w:t xml:space="preserve"> </w:t>
      </w:r>
      <w:hyperlink r:id="rId23" w:history="1">
        <w:r w:rsidR="00C36240" w:rsidRPr="00C36240">
          <w:rPr>
            <w:rStyle w:val="Hyperlink"/>
            <w:rtl/>
          </w:rPr>
          <w:t>برنامج التوصيل في 2030</w:t>
        </w:r>
      </w:hyperlink>
      <w:r w:rsidR="007F40A9">
        <w:rPr>
          <w:rFonts w:hint="cs"/>
          <w:rtl/>
        </w:rPr>
        <w:t xml:space="preserve">، إمكانية النفاذ جزءاً من </w:t>
      </w:r>
      <w:r w:rsidR="00C36240" w:rsidRPr="00C36240">
        <w:rPr>
          <w:rtl/>
        </w:rPr>
        <w:t>الغاية</w:t>
      </w:r>
      <w:r w:rsidR="00AD0E93">
        <w:rPr>
          <w:rFonts w:hint="cs"/>
          <w:rtl/>
        </w:rPr>
        <w:t xml:space="preserve"> الاستراتيجية</w:t>
      </w:r>
      <w:r w:rsidR="00674BD0">
        <w:rPr>
          <w:rFonts w:hint="cs"/>
          <w:rtl/>
        </w:rPr>
        <w:t> </w:t>
      </w:r>
      <w:r w:rsidR="00C36240" w:rsidRPr="00C36240">
        <w:rPr>
          <w:rtl/>
        </w:rPr>
        <w:t xml:space="preserve">2 </w:t>
      </w:r>
      <w:r w:rsidR="00C36240">
        <w:rPr>
          <w:rFonts w:hint="cs"/>
          <w:rtl/>
        </w:rPr>
        <w:t>(</w:t>
      </w:r>
      <w:r w:rsidR="00C36240" w:rsidRPr="00C36240">
        <w:rPr>
          <w:rtl/>
        </w:rPr>
        <w:t>الشمول</w:t>
      </w:r>
      <w:r w:rsidR="00C36240">
        <w:rPr>
          <w:rFonts w:hint="cs"/>
          <w:rtl/>
        </w:rPr>
        <w:t xml:space="preserve">: </w:t>
      </w:r>
      <w:r w:rsidR="00C36240" w:rsidRPr="00C36240">
        <w:rPr>
          <w:rtl/>
        </w:rPr>
        <w:t>سد الفجوة الرقمية وتوفير نفاذ الجميع إلى النطاق العريض)</w:t>
      </w:r>
      <w:r w:rsidR="00C36240">
        <w:rPr>
          <w:rFonts w:hint="cs"/>
          <w:rtl/>
        </w:rPr>
        <w:t xml:space="preserve"> </w:t>
      </w:r>
      <w:r w:rsidR="00AD0E93">
        <w:rPr>
          <w:rFonts w:hint="cs"/>
          <w:rtl/>
        </w:rPr>
        <w:t xml:space="preserve">والمقصد الاستراتيجي </w:t>
      </w:r>
      <w:r w:rsidR="00AD0E93">
        <w:t>9.2</w:t>
      </w:r>
      <w:r w:rsidR="00AD0E93">
        <w:rPr>
          <w:rFonts w:hint="cs"/>
          <w:rtl/>
          <w:lang w:bidi="ar-EG"/>
        </w:rPr>
        <w:t xml:space="preserve"> المقابل لها</w:t>
      </w:r>
      <w:r w:rsidR="00C36240">
        <w:rPr>
          <w:rFonts w:hint="cs"/>
          <w:rtl/>
        </w:rPr>
        <w:t xml:space="preserve"> ("</w:t>
      </w:r>
      <w:r w:rsidR="00C36240" w:rsidRPr="00C36240">
        <w:rPr>
          <w:rtl/>
        </w:rPr>
        <w:t>ينبغي تهيئة بيئات تمكينية لضمان إمكانية نفاذ ذوي الإعاقة إلى الاتصالات/تكنولوجيا المعلومات والاتصالات في جميع البلدان بحلول 2023</w:t>
      </w:r>
      <w:r w:rsidR="00C36240" w:rsidRPr="00C36240">
        <w:t>"</w:t>
      </w:r>
      <w:r w:rsidR="00C36240">
        <w:rPr>
          <w:rFonts w:hint="cs"/>
          <w:rtl/>
        </w:rPr>
        <w:t>)</w:t>
      </w:r>
      <w:r w:rsidR="00AD0E93">
        <w:rPr>
          <w:rFonts w:hint="cs"/>
          <w:rtl/>
        </w:rPr>
        <w:t>.</w:t>
      </w:r>
    </w:p>
    <w:p w14:paraId="644755B1" w14:textId="32D13AB4" w:rsidR="00C36240" w:rsidRPr="00A7097F" w:rsidRDefault="00AD0E93" w:rsidP="00C36240">
      <w:pPr>
        <w:rPr>
          <w:rtl/>
          <w:lang w:bidi="ar-EG"/>
        </w:rPr>
      </w:pPr>
      <w:r>
        <w:rPr>
          <w:rFonts w:hint="cs"/>
          <w:rtl/>
          <w:lang w:bidi="ar-EG"/>
        </w:rPr>
        <w:lastRenderedPageBreak/>
        <w:t>و</w:t>
      </w:r>
      <w:r w:rsidR="00F25239">
        <w:rPr>
          <w:rFonts w:hint="cs"/>
          <w:rtl/>
          <w:lang w:bidi="ar-EG"/>
        </w:rPr>
        <w:t xml:space="preserve">يتعين على </w:t>
      </w:r>
      <w:r>
        <w:rPr>
          <w:rFonts w:hint="cs"/>
          <w:rtl/>
          <w:lang w:bidi="ar-EG"/>
        </w:rPr>
        <w:t xml:space="preserve">الاتحاد </w:t>
      </w:r>
      <w:r w:rsidR="00F25239">
        <w:rPr>
          <w:rFonts w:hint="cs"/>
          <w:rtl/>
          <w:lang w:bidi="ar-EG"/>
        </w:rPr>
        <w:t>أن يتماشى</w:t>
      </w:r>
      <w:r w:rsidR="00451CE6">
        <w:rPr>
          <w:rFonts w:hint="cs"/>
          <w:rtl/>
          <w:lang w:bidi="ar-EG"/>
        </w:rPr>
        <w:t xml:space="preserve"> مع</w:t>
      </w:r>
      <w:r w:rsidR="00C36240">
        <w:rPr>
          <w:rFonts w:hint="cs"/>
          <w:rtl/>
          <w:lang w:bidi="ar-SY"/>
        </w:rPr>
        <w:t xml:space="preserve"> </w:t>
      </w:r>
      <w:r w:rsidR="00C36240" w:rsidRPr="00C36240">
        <w:rPr>
          <w:rtl/>
        </w:rPr>
        <w:t xml:space="preserve">استراتيجية الأمم المتحدة بشأن </w:t>
      </w:r>
      <w:r w:rsidR="00451CE6">
        <w:rPr>
          <w:rFonts w:hint="cs"/>
          <w:rtl/>
        </w:rPr>
        <w:t>إدماج منظور</w:t>
      </w:r>
      <w:r w:rsidR="00C36240" w:rsidRPr="00C36240">
        <w:rPr>
          <w:rtl/>
        </w:rPr>
        <w:t xml:space="preserve"> الإعاقة</w:t>
      </w:r>
      <w:r w:rsidR="00C36240">
        <w:rPr>
          <w:rFonts w:hint="cs"/>
          <w:rtl/>
        </w:rPr>
        <w:t xml:space="preserve"> </w:t>
      </w:r>
      <w:r w:rsidR="00C36240" w:rsidRPr="00D94835">
        <w:rPr>
          <w:rFonts w:asciiTheme="minorHAnsi" w:hAnsiTheme="minorHAnsi" w:cstheme="minorHAnsi"/>
          <w:szCs w:val="24"/>
        </w:rPr>
        <w:t>(</w:t>
      </w:r>
      <w:hyperlink r:id="rId24" w:history="1">
        <w:r w:rsidR="00C36240" w:rsidRPr="00D94835">
          <w:rPr>
            <w:rStyle w:val="Hyperlink"/>
            <w:rFonts w:asciiTheme="minorHAnsi" w:hAnsiTheme="minorHAnsi" w:cstheme="minorHAnsi"/>
            <w:szCs w:val="24"/>
          </w:rPr>
          <w:t>UNDIS</w:t>
        </w:r>
      </w:hyperlink>
      <w:r w:rsidR="00C36240" w:rsidRPr="00D94835">
        <w:rPr>
          <w:rStyle w:val="Hyperlink"/>
          <w:rFonts w:asciiTheme="minorHAnsi" w:hAnsiTheme="minorHAnsi" w:cstheme="minorHAnsi"/>
          <w:szCs w:val="24"/>
        </w:rPr>
        <w:t>)</w:t>
      </w:r>
      <w:r w:rsidR="00C36240">
        <w:rPr>
          <w:rFonts w:hint="cs"/>
          <w:rtl/>
        </w:rPr>
        <w:t xml:space="preserve"> </w:t>
      </w:r>
      <w:r w:rsidR="00F25239">
        <w:rPr>
          <w:rFonts w:hint="cs"/>
          <w:rtl/>
        </w:rPr>
        <w:t xml:space="preserve">ويلتزم بمواءمة أنشطته لضمان الشمول الكامل للجميع. وتماشياً مع استراتيجية الأمم المتحدة </w:t>
      </w:r>
      <w:r w:rsidR="00FA3255" w:rsidRPr="00C36240">
        <w:rPr>
          <w:rtl/>
        </w:rPr>
        <w:t xml:space="preserve">بشأن </w:t>
      </w:r>
      <w:r w:rsidR="00FA3255">
        <w:rPr>
          <w:rFonts w:hint="cs"/>
          <w:rtl/>
        </w:rPr>
        <w:t>إدماج منظور</w:t>
      </w:r>
      <w:r w:rsidR="00FA3255" w:rsidRPr="00C36240">
        <w:rPr>
          <w:rtl/>
        </w:rPr>
        <w:t xml:space="preserve"> الإعاقة</w:t>
      </w:r>
      <w:r w:rsidR="00FA3255">
        <w:rPr>
          <w:rFonts w:hint="cs"/>
          <w:rtl/>
        </w:rPr>
        <w:t xml:space="preserve">، ينظر الاتحاد أيضاً في المضي قدماً بما يلي: </w:t>
      </w:r>
      <w:r w:rsidR="00FA3255">
        <w:t>1</w:t>
      </w:r>
      <w:r w:rsidR="00FA3255">
        <w:rPr>
          <w:rFonts w:hint="cs"/>
          <w:rtl/>
          <w:lang w:bidi="ar-EG"/>
        </w:rPr>
        <w:t xml:space="preserve">) نهج ثنائي المسار: إذ إن الإعاقة وإمكانية النفاذ تمثلان قضية شاملة وتتطلبان برامج محددة الهدف؛ </w:t>
      </w:r>
      <w:r w:rsidR="00FA3255">
        <w:rPr>
          <w:lang w:bidi="ar-EG"/>
        </w:rPr>
        <w:t>2</w:t>
      </w:r>
      <w:r w:rsidR="00FA3255">
        <w:rPr>
          <w:rFonts w:hint="cs"/>
          <w:rtl/>
          <w:lang w:bidi="ar-EG"/>
        </w:rPr>
        <w:t>)</w:t>
      </w:r>
      <w:r w:rsidR="00926D5B">
        <w:rPr>
          <w:rFonts w:hint="eastAsia"/>
          <w:rtl/>
          <w:lang w:bidi="ar-EG"/>
        </w:rPr>
        <w:t> </w:t>
      </w:r>
      <w:r w:rsidR="00A7097F">
        <w:rPr>
          <w:rFonts w:hint="cs"/>
          <w:rtl/>
          <w:lang w:bidi="ar-EG"/>
        </w:rPr>
        <w:t>التداخل:</w:t>
      </w:r>
      <w:r w:rsidR="00926D5B">
        <w:rPr>
          <w:rFonts w:hint="eastAsia"/>
          <w:rtl/>
          <w:lang w:bidi="ar-EG"/>
        </w:rPr>
        <w:t> </w:t>
      </w:r>
      <w:r w:rsidR="00A7097F">
        <w:rPr>
          <w:rFonts w:hint="cs"/>
          <w:rtl/>
          <w:lang w:bidi="ar-EG"/>
        </w:rPr>
        <w:t xml:space="preserve">عوامل من قبيل الجنس والعمر والموقع تعطي معلومات عن تجربة الفرد وتؤثر أيضاً على الأشخاص ذوي الإعاقة وتجاربهم الحياتية؛ </w:t>
      </w:r>
      <w:r w:rsidR="00A7097F">
        <w:rPr>
          <w:lang w:bidi="ar-EG"/>
        </w:rPr>
        <w:t>3</w:t>
      </w:r>
      <w:r w:rsidR="00A7097F">
        <w:rPr>
          <w:rFonts w:hint="cs"/>
          <w:rtl/>
          <w:lang w:bidi="ar-EG"/>
        </w:rPr>
        <w:t xml:space="preserve">) التنسيق لضمان نهج متماسك كعامل أساسي لتسريع التقدم </w:t>
      </w:r>
      <w:r w:rsidR="00D56AB7">
        <w:rPr>
          <w:rFonts w:hint="cs"/>
          <w:rtl/>
          <w:lang w:bidi="ar-EG"/>
        </w:rPr>
        <w:t>واستفادة كلٍّ من عمل الآخر وتحقيق</w:t>
      </w:r>
      <w:r w:rsidR="00926D5B">
        <w:rPr>
          <w:rFonts w:hint="eastAsia"/>
          <w:rtl/>
          <w:lang w:bidi="ar-EG"/>
        </w:rPr>
        <w:t> </w:t>
      </w:r>
      <w:r w:rsidR="00D56AB7">
        <w:rPr>
          <w:rFonts w:hint="cs"/>
          <w:rtl/>
          <w:lang w:bidi="ar-EG"/>
        </w:rPr>
        <w:t>الشمول.</w:t>
      </w:r>
    </w:p>
    <w:p w14:paraId="33FD636B" w14:textId="3D59DC8F" w:rsidR="0074420E" w:rsidRPr="00201276" w:rsidRDefault="00D97B84" w:rsidP="0026373E">
      <w:pPr>
        <w:rPr>
          <w:rtl/>
          <w:lang w:bidi="ar-EG"/>
        </w:rPr>
      </w:pPr>
      <w:r>
        <w:rPr>
          <w:rFonts w:hint="cs"/>
          <w:rtl/>
          <w:lang w:bidi="ar-EG"/>
        </w:rPr>
        <w:t>واتفق</w:t>
      </w:r>
      <w:r w:rsidR="00201276">
        <w:rPr>
          <w:rFonts w:hint="cs"/>
          <w:rtl/>
          <w:lang w:bidi="ar-EG"/>
        </w:rPr>
        <w:t xml:space="preserve"> فريق التنسيق بين القطاعات </w:t>
      </w:r>
      <w:r w:rsidR="00201276">
        <w:rPr>
          <w:lang w:bidi="ar-EG"/>
        </w:rPr>
        <w:t>(</w:t>
      </w:r>
      <w:hyperlink r:id="rId25" w:history="1">
        <w:r w:rsidR="00201276" w:rsidRPr="00D94835">
          <w:rPr>
            <w:rStyle w:val="Hyperlink"/>
            <w:rFonts w:asciiTheme="minorHAnsi" w:hAnsiTheme="minorHAnsi" w:cstheme="minorHAnsi"/>
            <w:szCs w:val="24"/>
          </w:rPr>
          <w:t>ISCG</w:t>
        </w:r>
      </w:hyperlink>
      <w:r w:rsidR="00201276">
        <w:rPr>
          <w:lang w:bidi="ar-EG"/>
        </w:rPr>
        <w:t>)</w:t>
      </w:r>
      <w:r w:rsidR="00201276">
        <w:rPr>
          <w:rFonts w:hint="cs"/>
          <w:rtl/>
          <w:lang w:bidi="ar-EG"/>
        </w:rPr>
        <w:t xml:space="preserve"> التابع للأعضاء المعني بالمسائل ذات الاهتمام المشترك، الذي يتألف من ممثلي </w:t>
      </w:r>
      <w:r w:rsidR="0065018A">
        <w:rPr>
          <w:rFonts w:hint="cs"/>
          <w:rtl/>
          <w:lang w:bidi="ar-EG"/>
        </w:rPr>
        <w:t xml:space="preserve">جميع </w:t>
      </w:r>
      <w:r w:rsidR="00201276">
        <w:rPr>
          <w:rFonts w:hint="cs"/>
          <w:rtl/>
          <w:lang w:bidi="ar-EG"/>
        </w:rPr>
        <w:t xml:space="preserve">الأفرقة الاستشارية للقطاعات الثلاثة، خلال </w:t>
      </w:r>
      <w:hyperlink r:id="rId26" w:history="1">
        <w:r w:rsidR="00201276" w:rsidRPr="0048474B">
          <w:rPr>
            <w:rStyle w:val="Hyperlink"/>
            <w:rFonts w:hint="cs"/>
            <w:rtl/>
            <w:lang w:bidi="ar-EG"/>
          </w:rPr>
          <w:t xml:space="preserve">اجتماعه في مارس </w:t>
        </w:r>
        <w:r w:rsidR="00201276" w:rsidRPr="0048474B">
          <w:rPr>
            <w:rStyle w:val="Hyperlink"/>
            <w:lang w:bidi="ar-EG"/>
          </w:rPr>
          <w:t>2021</w:t>
        </w:r>
      </w:hyperlink>
      <w:r w:rsidR="00201276">
        <w:rPr>
          <w:rFonts w:hint="cs"/>
          <w:rtl/>
          <w:lang w:bidi="ar-EG"/>
        </w:rPr>
        <w:t xml:space="preserve"> على أن </w:t>
      </w:r>
      <w:r w:rsidR="0098106F">
        <w:rPr>
          <w:rFonts w:hint="cs"/>
          <w:rtl/>
          <w:lang w:bidi="ar-EG"/>
        </w:rPr>
        <w:t xml:space="preserve">موضوع </w:t>
      </w:r>
      <w:r w:rsidR="00201276">
        <w:rPr>
          <w:rFonts w:hint="cs"/>
          <w:rtl/>
          <w:lang w:bidi="ar-EG"/>
        </w:rPr>
        <w:t>إمكانية النفاذ ينبغي أن يكون موضوعاً محدداً تجري متابعته في إطار فريق التنسيق بين القطاعات، وطلب من فريق المهام المعني بالتنسيق</w:t>
      </w:r>
      <w:r w:rsidR="00C46A67">
        <w:rPr>
          <w:rFonts w:hint="cs"/>
          <w:rtl/>
          <w:lang w:bidi="ar-EG"/>
        </w:rPr>
        <w:t xml:space="preserve"> بين القطاعات</w:t>
      </w:r>
      <w:r w:rsidR="00F35E58">
        <w:rPr>
          <w:rFonts w:hint="eastAsia"/>
          <w:rtl/>
          <w:lang w:bidi="ar-EG"/>
        </w:rPr>
        <w:t> </w:t>
      </w:r>
      <w:r w:rsidR="00201276">
        <w:rPr>
          <w:lang w:bidi="ar-EG"/>
        </w:rPr>
        <w:t>(</w:t>
      </w:r>
      <w:r w:rsidR="00201276" w:rsidRPr="00C37412">
        <w:rPr>
          <w:rFonts w:asciiTheme="minorHAnsi" w:hAnsiTheme="minorHAnsi" w:cstheme="minorHAnsi"/>
          <w:spacing w:val="-2"/>
          <w:szCs w:val="24"/>
        </w:rPr>
        <w:t>ISC-TF</w:t>
      </w:r>
      <w:r w:rsidR="00201276">
        <w:rPr>
          <w:lang w:bidi="ar-EG"/>
        </w:rPr>
        <w:t>)</w:t>
      </w:r>
      <w:r w:rsidR="00201276">
        <w:rPr>
          <w:rFonts w:hint="cs"/>
          <w:rtl/>
          <w:lang w:bidi="ar-EG"/>
        </w:rPr>
        <w:t xml:space="preserve"> التابع للأمانة </w:t>
      </w:r>
      <w:r w:rsidR="00C46A67">
        <w:rPr>
          <w:rFonts w:hint="cs"/>
          <w:rtl/>
          <w:lang w:bidi="ar-EG"/>
        </w:rPr>
        <w:t>أن يقدم إليه تقريراً ب</w:t>
      </w:r>
      <w:r w:rsidR="0098106F">
        <w:rPr>
          <w:rFonts w:hint="cs"/>
          <w:rtl/>
          <w:lang w:bidi="ar-EG"/>
        </w:rPr>
        <w:t>هذا ال</w:t>
      </w:r>
      <w:r w:rsidR="00C46A67">
        <w:rPr>
          <w:rFonts w:hint="cs"/>
          <w:rtl/>
          <w:lang w:bidi="ar-EG"/>
        </w:rPr>
        <w:t>شأن في اجتماعه المقبل.</w:t>
      </w:r>
    </w:p>
    <w:p w14:paraId="1ADBD3B8" w14:textId="1055FC4A" w:rsidR="0026373E" w:rsidRDefault="00C46A67" w:rsidP="00C36240">
      <w:pPr>
        <w:rPr>
          <w:rtl/>
          <w:lang w:bidi="ar-SY"/>
        </w:rPr>
      </w:pPr>
      <w:r>
        <w:rPr>
          <w:rFonts w:hint="cs"/>
          <w:rtl/>
        </w:rPr>
        <w:t>و</w:t>
      </w:r>
      <w:r w:rsidR="00C36240" w:rsidRPr="00C36240">
        <w:rPr>
          <w:rtl/>
        </w:rPr>
        <w:t>اضطلع الاتحاد</w:t>
      </w:r>
      <w:r>
        <w:rPr>
          <w:rFonts w:hint="cs"/>
          <w:rtl/>
        </w:rPr>
        <w:t xml:space="preserve"> لأكثر من عشر سنوات</w:t>
      </w:r>
      <w:r w:rsidR="00C36240" w:rsidRPr="00C36240">
        <w:rPr>
          <w:rtl/>
        </w:rPr>
        <w:t xml:space="preserve"> بقدر كبير من العمل لتوفير ترتيبات </w:t>
      </w:r>
      <w:proofErr w:type="spellStart"/>
      <w:r w:rsidR="00C36240" w:rsidRPr="00C36240">
        <w:rPr>
          <w:rtl/>
        </w:rPr>
        <w:t>تيسيرية</w:t>
      </w:r>
      <w:proofErr w:type="spellEnd"/>
      <w:r w:rsidR="00C36240" w:rsidRPr="00C36240">
        <w:rPr>
          <w:rtl/>
        </w:rPr>
        <w:t xml:space="preserve"> للسماح للأشخاص ذوي الإعاقة بالاستفادة من خدمات الاتحاد (التي تشمل المرافق والأحداث والوثائق وأدوات التواصل التي يوفرها الاتحاد من بين جملة أمور)</w:t>
      </w:r>
      <w:r w:rsidR="00C36240" w:rsidRPr="00C36240">
        <w:rPr>
          <w:lang w:bidi="ar-SY"/>
        </w:rPr>
        <w:t>.</w:t>
      </w:r>
      <w:r w:rsidR="00C36240">
        <w:rPr>
          <w:rFonts w:hint="cs"/>
          <w:rtl/>
          <w:lang w:bidi="ar-SY"/>
        </w:rPr>
        <w:t xml:space="preserve"> </w:t>
      </w:r>
      <w:r>
        <w:rPr>
          <w:rFonts w:hint="cs"/>
          <w:rtl/>
          <w:lang w:bidi="ar-SY"/>
        </w:rPr>
        <w:t>وبناءً على الدروس المستفادة من هذه التجارب وسعياً إلى وضع حلول وإجراءات محددة تحديداً جيداً، قام فريق المهام المعني بالتنسيق بين القطاعات بت</w:t>
      </w:r>
      <w:r w:rsidR="0017657A">
        <w:rPr>
          <w:rFonts w:hint="cs"/>
          <w:rtl/>
          <w:lang w:bidi="ar-SY"/>
        </w:rPr>
        <w:t>حديث</w:t>
      </w:r>
      <w:r>
        <w:rPr>
          <w:rFonts w:hint="cs"/>
          <w:rtl/>
          <w:lang w:bidi="ar-SY"/>
        </w:rPr>
        <w:t xml:space="preserve"> سياسة إمكانية النفاذ على النحو الوارد في ملحق هذه الوثيقة استعاضةً عن السياسة التي أقرها المجلس في دورته لعام </w:t>
      </w:r>
      <w:r>
        <w:rPr>
          <w:lang w:bidi="ar-SY"/>
        </w:rPr>
        <w:t>2013</w:t>
      </w:r>
      <w:r w:rsidR="00C36240">
        <w:rPr>
          <w:rFonts w:hint="cs"/>
          <w:rtl/>
          <w:lang w:bidi="ar-SY"/>
        </w:rPr>
        <w:t>.</w:t>
      </w:r>
    </w:p>
    <w:p w14:paraId="3CA7ABF2" w14:textId="4E5AECCF" w:rsidR="00C36240" w:rsidRDefault="0017657A" w:rsidP="00C36240">
      <w:pPr>
        <w:rPr>
          <w:rtl/>
          <w:lang w:bidi="ar-EG"/>
        </w:rPr>
      </w:pPr>
      <w:r>
        <w:rPr>
          <w:rFonts w:hint="cs"/>
          <w:rtl/>
          <w:lang w:bidi="ar-SY"/>
        </w:rPr>
        <w:t xml:space="preserve">وتأخذ هذه الصيغة المحدَّثة للسياسة في الاعتبار التطورات الجديدة (مثل ما يرد في فقرتي </w:t>
      </w:r>
      <w:r w:rsidRPr="0017657A">
        <w:rPr>
          <w:rFonts w:hint="cs"/>
          <w:i/>
          <w:iCs/>
          <w:rtl/>
          <w:lang w:bidi="ar-SY"/>
        </w:rPr>
        <w:t>"يقرر"</w:t>
      </w:r>
      <w:r>
        <w:rPr>
          <w:rFonts w:hint="cs"/>
          <w:rtl/>
          <w:lang w:bidi="ar-SY"/>
        </w:rPr>
        <w:t xml:space="preserve"> و</w:t>
      </w:r>
      <w:r w:rsidRPr="0017657A">
        <w:rPr>
          <w:rFonts w:hint="cs"/>
          <w:i/>
          <w:iCs/>
          <w:rtl/>
          <w:lang w:bidi="ar-SY"/>
        </w:rPr>
        <w:t>"يكلف"</w:t>
      </w:r>
      <w:r>
        <w:rPr>
          <w:rFonts w:hint="cs"/>
          <w:rtl/>
          <w:lang w:bidi="ar-SY"/>
        </w:rPr>
        <w:t xml:space="preserve"> من القرار</w:t>
      </w:r>
      <w:r w:rsidR="0048474B">
        <w:rPr>
          <w:rFonts w:hint="eastAsia"/>
          <w:rtl/>
          <w:lang w:bidi="ar-SY"/>
        </w:rPr>
        <w:t> </w:t>
      </w:r>
      <w:r>
        <w:rPr>
          <w:lang w:bidi="ar-SY"/>
        </w:rPr>
        <w:t>175</w:t>
      </w:r>
      <w:r>
        <w:rPr>
          <w:rFonts w:hint="cs"/>
          <w:rtl/>
          <w:lang w:bidi="ar-EG"/>
        </w:rPr>
        <w:t xml:space="preserve"> (المراجَع في دبي، </w:t>
      </w:r>
      <w:r>
        <w:rPr>
          <w:lang w:bidi="ar-EG"/>
        </w:rPr>
        <w:t>2018</w:t>
      </w:r>
      <w:r>
        <w:rPr>
          <w:rFonts w:hint="cs"/>
          <w:rtl/>
          <w:lang w:bidi="ar-EG"/>
        </w:rPr>
        <w:t xml:space="preserve">) ونتائج </w:t>
      </w:r>
      <w:r w:rsidRPr="00C36240">
        <w:rPr>
          <w:rtl/>
        </w:rPr>
        <w:t xml:space="preserve">استراتيجية الأمم المتحدة بشأن </w:t>
      </w:r>
      <w:r>
        <w:rPr>
          <w:rFonts w:hint="cs"/>
          <w:rtl/>
        </w:rPr>
        <w:t>إدماج منظور</w:t>
      </w:r>
      <w:r w:rsidRPr="00C36240">
        <w:rPr>
          <w:rtl/>
        </w:rPr>
        <w:t xml:space="preserve"> الإعاقة</w:t>
      </w:r>
      <w:r>
        <w:rPr>
          <w:rFonts w:hint="cs"/>
          <w:rtl/>
          <w:lang w:bidi="ar-SY"/>
        </w:rPr>
        <w:t xml:space="preserve">) وتتجاوز </w:t>
      </w:r>
      <w:r w:rsidR="00D97B84">
        <w:rPr>
          <w:rFonts w:hint="cs"/>
          <w:rtl/>
          <w:lang w:bidi="ar-SY"/>
        </w:rPr>
        <w:t>العنصر</w:t>
      </w:r>
      <w:r>
        <w:rPr>
          <w:rFonts w:hint="cs"/>
          <w:rtl/>
          <w:lang w:bidi="ar-SY"/>
        </w:rPr>
        <w:t xml:space="preserve"> الداخلي لت</w:t>
      </w:r>
      <w:r w:rsidR="00784744">
        <w:rPr>
          <w:rFonts w:hint="cs"/>
          <w:rtl/>
          <w:lang w:bidi="ar-SY"/>
        </w:rPr>
        <w:t>شمل</w:t>
      </w:r>
      <w:r>
        <w:rPr>
          <w:rFonts w:hint="cs"/>
          <w:rtl/>
          <w:lang w:bidi="ar-SY"/>
        </w:rPr>
        <w:t xml:space="preserve"> أيضاً أنشطة الاتحاد ال</w:t>
      </w:r>
      <w:r w:rsidR="00784744">
        <w:rPr>
          <w:rFonts w:hint="cs"/>
          <w:rtl/>
          <w:lang w:bidi="ar-SY"/>
        </w:rPr>
        <w:t>عديدة والمهمة الرامية إلى زيادة إمكانية النفاذ إلى تكنولوجيا المعلومات والاتصالات وتعزيز تمكين الأشخاص ذوي الإعاقة من خلال استخدام تكنولوجيا المعلومات والاتصالات في جميع أنحاء العالم</w:t>
      </w:r>
      <w:r w:rsidR="00C36240">
        <w:rPr>
          <w:rFonts w:hint="cs"/>
          <w:rtl/>
          <w:lang w:bidi="ar-SY"/>
        </w:rPr>
        <w:t>.</w:t>
      </w:r>
    </w:p>
    <w:p w14:paraId="7E55F722" w14:textId="77777777" w:rsidR="0026373E" w:rsidRDefault="0026373E">
      <w:pPr>
        <w:tabs>
          <w:tab w:val="clear" w:pos="794"/>
        </w:tabs>
        <w:bidi w:val="0"/>
        <w:spacing w:before="0" w:after="160" w:line="259" w:lineRule="auto"/>
        <w:jc w:val="left"/>
        <w:rPr>
          <w:rtl/>
          <w:lang w:bidi="ar-EG"/>
        </w:rPr>
      </w:pPr>
      <w:r>
        <w:rPr>
          <w:rtl/>
          <w:lang w:bidi="ar-EG"/>
        </w:rPr>
        <w:br w:type="page"/>
      </w:r>
    </w:p>
    <w:p w14:paraId="42F6C385" w14:textId="08EAA221" w:rsidR="0026373E" w:rsidRDefault="00C36240" w:rsidP="00C36240">
      <w:pPr>
        <w:pStyle w:val="AnnexNo"/>
        <w:rPr>
          <w:rtl/>
        </w:rPr>
      </w:pPr>
      <w:r>
        <w:rPr>
          <w:rFonts w:hint="cs"/>
          <w:rtl/>
        </w:rPr>
        <w:lastRenderedPageBreak/>
        <w:t>الملحق</w:t>
      </w:r>
    </w:p>
    <w:p w14:paraId="2C5A7790" w14:textId="1FC8ADEF" w:rsidR="00C36240" w:rsidRDefault="0098106F" w:rsidP="00C36240">
      <w:pPr>
        <w:pStyle w:val="Annextitle"/>
        <w:rPr>
          <w:rtl/>
        </w:rPr>
      </w:pPr>
      <w:r>
        <w:rPr>
          <w:rFonts w:hint="cs"/>
          <w:rtl/>
        </w:rPr>
        <w:t>مشروع سياسة الاتحاد بشأن إمكانية نفاذ الأشخاص ذوي الإعاقة</w:t>
      </w:r>
    </w:p>
    <w:p w14:paraId="0FB79C03" w14:textId="3F4D06FC" w:rsidR="00BB7213" w:rsidRDefault="0098106F" w:rsidP="00C36240">
      <w:pPr>
        <w:pStyle w:val="Headingb"/>
        <w:rPr>
          <w:rtl/>
          <w:lang w:bidi="ar-EG"/>
        </w:rPr>
      </w:pPr>
      <w:r>
        <w:rPr>
          <w:rFonts w:hint="cs"/>
          <w:rtl/>
          <w:lang w:bidi="ar-EG"/>
        </w:rPr>
        <w:t>الغايات والأهداف</w:t>
      </w:r>
    </w:p>
    <w:p w14:paraId="0850E28F" w14:textId="5E94E919" w:rsidR="00C36240" w:rsidRDefault="0098106F" w:rsidP="0026373E">
      <w:pPr>
        <w:rPr>
          <w:rtl/>
          <w:lang w:bidi="ar-EG"/>
        </w:rPr>
      </w:pPr>
      <w:r w:rsidRPr="0098106F">
        <w:rPr>
          <w:rFonts w:hint="cs"/>
          <w:u w:val="single"/>
          <w:rtl/>
          <w:lang w:bidi="ar-EG"/>
        </w:rPr>
        <w:t>غايات</w:t>
      </w:r>
      <w:r>
        <w:rPr>
          <w:rFonts w:hint="cs"/>
          <w:rtl/>
          <w:lang w:bidi="ar-EG"/>
        </w:rPr>
        <w:t xml:space="preserve"> سياسة الاتحاد بشأن إمكانية النفاذ هي:</w:t>
      </w:r>
    </w:p>
    <w:p w14:paraId="11E8D8A3" w14:textId="729D1E52" w:rsidR="00BB7213" w:rsidRDefault="00C36240" w:rsidP="00C36240">
      <w:pPr>
        <w:pStyle w:val="enumlev1"/>
        <w:rPr>
          <w:rtl/>
        </w:rPr>
      </w:pPr>
      <w:r>
        <w:sym w:font="Symbol" w:char="F0B7"/>
      </w:r>
      <w:r>
        <w:rPr>
          <w:rtl/>
        </w:rPr>
        <w:tab/>
      </w:r>
      <w:r w:rsidR="0098106F">
        <w:rPr>
          <w:rFonts w:hint="cs"/>
          <w:rtl/>
        </w:rPr>
        <w:t xml:space="preserve">الغاية </w:t>
      </w:r>
      <w:r w:rsidR="0098106F">
        <w:t>1</w:t>
      </w:r>
      <w:r w:rsidR="0098106F">
        <w:rPr>
          <w:rFonts w:hint="cs"/>
          <w:rtl/>
          <w:lang w:bidi="ar-EG"/>
        </w:rPr>
        <w:t xml:space="preserve">: </w:t>
      </w:r>
      <w:r w:rsidR="0060488D">
        <w:rPr>
          <w:rFonts w:hint="cs"/>
          <w:rtl/>
          <w:lang w:bidi="ar-EG"/>
        </w:rPr>
        <w:t xml:space="preserve">وضع إطار وعمليات لجعل الاتحاد منظمة ميسورة النفاذ للأشخاص ذوي الإعاقة والأشخاص ذوي الاحتياجات المحددة بما يشمل الإعاقات المرتبطة بالسن، </w:t>
      </w:r>
      <w:r w:rsidR="002555CA">
        <w:rPr>
          <w:rFonts w:hint="cs"/>
          <w:rtl/>
          <w:lang w:bidi="ar-EG"/>
        </w:rPr>
        <w:t>من خلال تحقيق مشاركتهم الكاملة في جميع أنشطة الاتحاد، سواء كانوا موظفين</w:t>
      </w:r>
      <w:r w:rsidR="00D4474C">
        <w:rPr>
          <w:rStyle w:val="FootnoteReference"/>
          <w:rtl/>
        </w:rPr>
        <w:footnoteReference w:id="1"/>
      </w:r>
      <w:r w:rsidR="002555CA">
        <w:rPr>
          <w:rFonts w:hint="cs"/>
          <w:rtl/>
          <w:lang w:bidi="ar-EG"/>
        </w:rPr>
        <w:t xml:space="preserve"> أو متعاونين آخرين (استشاريون/خبراء، متدربون، إلخ.) أو مندوبين/مشاركين في الاجتماعات أو من الجمهور العام؛</w:t>
      </w:r>
    </w:p>
    <w:p w14:paraId="0A86E857" w14:textId="49B9D90D" w:rsidR="00C36240" w:rsidRPr="002555CA" w:rsidRDefault="00C36240" w:rsidP="00C36240">
      <w:pPr>
        <w:pStyle w:val="enumlev1"/>
        <w:rPr>
          <w:rtl/>
          <w:lang w:bidi="ar-EG"/>
        </w:rPr>
      </w:pPr>
      <w:r>
        <w:sym w:font="Symbol" w:char="F0B7"/>
      </w:r>
      <w:r>
        <w:rPr>
          <w:rtl/>
        </w:rPr>
        <w:tab/>
      </w:r>
      <w:r w:rsidR="002555CA">
        <w:rPr>
          <w:rFonts w:hint="cs"/>
          <w:rtl/>
        </w:rPr>
        <w:t xml:space="preserve">الغاية </w:t>
      </w:r>
      <w:r w:rsidR="002555CA">
        <w:t>2</w:t>
      </w:r>
      <w:r w:rsidR="002555CA">
        <w:rPr>
          <w:rFonts w:hint="cs"/>
          <w:rtl/>
          <w:lang w:bidi="ar-EG"/>
        </w:rPr>
        <w:t xml:space="preserve">: البناء على الأنشطة </w:t>
      </w:r>
      <w:r w:rsidR="00A2126B">
        <w:rPr>
          <w:rFonts w:hint="cs"/>
          <w:rtl/>
          <w:lang w:bidi="ar-EG"/>
        </w:rPr>
        <w:t xml:space="preserve">والنواتج </w:t>
      </w:r>
      <w:r w:rsidR="00FB635F">
        <w:rPr>
          <w:rFonts w:hint="cs"/>
          <w:rtl/>
          <w:lang w:bidi="ar-EG"/>
        </w:rPr>
        <w:t xml:space="preserve">والنتائج </w:t>
      </w:r>
      <w:r w:rsidR="00A2126B">
        <w:rPr>
          <w:rFonts w:hint="cs"/>
          <w:rtl/>
          <w:lang w:bidi="ar-EG"/>
        </w:rPr>
        <w:t>المنفذة في قطاعات الاتحاد، وإيجاد أوجه التآزر لتحسين تعزيز وتمكين قابلية النفاذ إلى تكنولوجيا المعلومات والاتصالات في جميع أنحاء العالم ونفاذ الأشخاص ذوي الإعاقة والأشخاص ذوي الاحتياجات المحددة إليها.</w:t>
      </w:r>
    </w:p>
    <w:p w14:paraId="39D1113D" w14:textId="19A9C6FE" w:rsidR="00C36240" w:rsidRDefault="00A2126B" w:rsidP="0026373E">
      <w:pPr>
        <w:rPr>
          <w:rtl/>
          <w:lang w:bidi="ar-EG"/>
        </w:rPr>
      </w:pPr>
      <w:r w:rsidRPr="00A2126B">
        <w:rPr>
          <w:rFonts w:hint="cs"/>
          <w:u w:val="single"/>
          <w:rtl/>
          <w:lang w:bidi="ar-EG"/>
        </w:rPr>
        <w:t>أهداف</w:t>
      </w:r>
      <w:r>
        <w:rPr>
          <w:rFonts w:hint="cs"/>
          <w:rtl/>
          <w:lang w:bidi="ar-EG"/>
        </w:rPr>
        <w:t xml:space="preserve"> سياسة الاتحاد بشأن إمكانية النفاذ هي:</w:t>
      </w:r>
    </w:p>
    <w:p w14:paraId="514A977E" w14:textId="39F83EF8" w:rsidR="00C36240" w:rsidRDefault="00C36240" w:rsidP="00C36240">
      <w:pPr>
        <w:pStyle w:val="enumlev1"/>
        <w:rPr>
          <w:rtl/>
        </w:rPr>
      </w:pPr>
      <w:r>
        <w:rPr>
          <w:rFonts w:hint="cs"/>
          <w:rtl/>
        </w:rPr>
        <w:t>1</w:t>
      </w:r>
      <w:r>
        <w:rPr>
          <w:rtl/>
        </w:rPr>
        <w:tab/>
      </w:r>
      <w:r w:rsidR="00A2126B">
        <w:rPr>
          <w:rFonts w:hint="cs"/>
          <w:rtl/>
        </w:rPr>
        <w:t>جعل مرافق الاتحاد ميسورة النفاذ، وفقاً للمعايير وأفضل الممارسات المعترف بها دولياً.</w:t>
      </w:r>
    </w:p>
    <w:p w14:paraId="516ADA66" w14:textId="2FD69D71" w:rsidR="00C36240" w:rsidRDefault="00C36240" w:rsidP="00C36240">
      <w:pPr>
        <w:pStyle w:val="enumlev1"/>
        <w:rPr>
          <w:rtl/>
        </w:rPr>
      </w:pPr>
      <w:r>
        <w:rPr>
          <w:rFonts w:hint="cs"/>
          <w:rtl/>
        </w:rPr>
        <w:t>2</w:t>
      </w:r>
      <w:r>
        <w:rPr>
          <w:rtl/>
        </w:rPr>
        <w:tab/>
      </w:r>
      <w:r w:rsidR="00F5747A">
        <w:rPr>
          <w:rFonts w:hint="cs"/>
          <w:rtl/>
        </w:rPr>
        <w:t>تعزيز</w:t>
      </w:r>
      <w:r w:rsidR="00A2126B">
        <w:rPr>
          <w:rFonts w:hint="cs"/>
          <w:rtl/>
        </w:rPr>
        <w:t xml:space="preserve"> مستوى الوعي والمعرفة لدى الموظفين والإدارة بالقضايا المتعلقة بإمكانية النفاذ</w:t>
      </w:r>
      <w:r>
        <w:rPr>
          <w:rFonts w:hint="cs"/>
          <w:rtl/>
        </w:rPr>
        <w:t>.</w:t>
      </w:r>
    </w:p>
    <w:p w14:paraId="137AFBE9" w14:textId="0CF8799A" w:rsidR="00C36240" w:rsidRDefault="00C36240" w:rsidP="00C36240">
      <w:pPr>
        <w:pStyle w:val="enumlev1"/>
        <w:rPr>
          <w:rtl/>
        </w:rPr>
      </w:pPr>
      <w:r>
        <w:rPr>
          <w:rFonts w:hint="cs"/>
          <w:rtl/>
        </w:rPr>
        <w:t>3</w:t>
      </w:r>
      <w:r>
        <w:rPr>
          <w:rtl/>
        </w:rPr>
        <w:tab/>
      </w:r>
      <w:r w:rsidR="00F5747A">
        <w:rPr>
          <w:rFonts w:hint="cs"/>
          <w:rtl/>
        </w:rPr>
        <w:t>إذكاء الوعي بين المندوبين بالمسائل المتعلقة بإمكانية النفاذ.</w:t>
      </w:r>
    </w:p>
    <w:p w14:paraId="1046BBFE" w14:textId="30E0EC93" w:rsidR="00C36240" w:rsidRDefault="00C36240" w:rsidP="00C36240">
      <w:pPr>
        <w:pStyle w:val="enumlev1"/>
        <w:rPr>
          <w:rtl/>
        </w:rPr>
      </w:pPr>
      <w:r>
        <w:rPr>
          <w:rFonts w:hint="cs"/>
          <w:rtl/>
        </w:rPr>
        <w:t>4</w:t>
      </w:r>
      <w:r>
        <w:rPr>
          <w:rtl/>
        </w:rPr>
        <w:tab/>
      </w:r>
      <w:r w:rsidR="00F5747A">
        <w:rPr>
          <w:rFonts w:hint="cs"/>
          <w:rtl/>
        </w:rPr>
        <w:t xml:space="preserve">اتخاذ التدابير اللازمة لتوفير </w:t>
      </w:r>
      <w:r w:rsidR="00022B5D">
        <w:rPr>
          <w:rFonts w:hint="cs"/>
          <w:rtl/>
        </w:rPr>
        <w:t>مرافق يمكن النفاذ إليها</w:t>
      </w:r>
      <w:r w:rsidR="00F5747A">
        <w:rPr>
          <w:rFonts w:hint="cs"/>
          <w:rtl/>
        </w:rPr>
        <w:t xml:space="preserve"> في أحداث الاتحاد</w:t>
      </w:r>
      <w:r>
        <w:rPr>
          <w:rFonts w:hint="cs"/>
          <w:rtl/>
        </w:rPr>
        <w:t>.</w:t>
      </w:r>
      <w:r w:rsidR="00F5747A">
        <w:rPr>
          <w:rFonts w:hint="cs"/>
          <w:rtl/>
        </w:rPr>
        <w:t xml:space="preserve"> وتشمل هذه التدابير</w:t>
      </w:r>
      <w:r w:rsidR="00022B5D">
        <w:rPr>
          <w:rFonts w:hint="cs"/>
          <w:rtl/>
        </w:rPr>
        <w:t xml:space="preserve">، </w:t>
      </w:r>
      <w:r w:rsidR="00F5747A">
        <w:rPr>
          <w:rFonts w:hint="cs"/>
          <w:rtl/>
        </w:rPr>
        <w:t>على سبيل المثال لا</w:t>
      </w:r>
      <w:r w:rsidR="0004109E">
        <w:rPr>
          <w:rFonts w:hint="eastAsia"/>
          <w:rtl/>
        </w:rPr>
        <w:t> </w:t>
      </w:r>
      <w:r w:rsidR="00F5747A">
        <w:rPr>
          <w:rFonts w:hint="cs"/>
          <w:rtl/>
        </w:rPr>
        <w:t>الحصر</w:t>
      </w:r>
      <w:r w:rsidR="00022B5D">
        <w:rPr>
          <w:rFonts w:hint="cs"/>
          <w:rtl/>
        </w:rPr>
        <w:t>، ما يلي</w:t>
      </w:r>
      <w:r w:rsidR="00F5747A">
        <w:rPr>
          <w:rFonts w:hint="cs"/>
          <w:rtl/>
        </w:rPr>
        <w:t>:</w:t>
      </w:r>
    </w:p>
    <w:p w14:paraId="052DC993" w14:textId="42E1F215" w:rsidR="00C36240" w:rsidRDefault="00C36240" w:rsidP="00C36240">
      <w:pPr>
        <w:pStyle w:val="enumlev2"/>
        <w:rPr>
          <w:rtl/>
          <w:lang w:bidi="ar-EG"/>
        </w:rPr>
      </w:pPr>
      <w:r>
        <w:rPr>
          <w:rFonts w:hint="cs"/>
          <w:rtl/>
          <w:lang w:bidi="ar-EG"/>
        </w:rPr>
        <w:t> </w:t>
      </w:r>
      <w:proofErr w:type="gramStart"/>
      <w:r>
        <w:rPr>
          <w:rFonts w:hint="cs"/>
          <w:rtl/>
          <w:lang w:bidi="ar-EG"/>
        </w:rPr>
        <w:t>أ )</w:t>
      </w:r>
      <w:proofErr w:type="gramEnd"/>
      <w:r>
        <w:rPr>
          <w:rtl/>
          <w:lang w:bidi="ar-EG"/>
        </w:rPr>
        <w:tab/>
      </w:r>
      <w:r w:rsidR="00022B5D">
        <w:rPr>
          <w:rFonts w:hint="cs"/>
          <w:rtl/>
          <w:lang w:bidi="ar-EG"/>
        </w:rPr>
        <w:t>توفير تسهيلات إمكانية النفاذ (من قبيل العرض النصي في الوقت الفعلي و/أو الترجمة إلى لغة الإشارة عن</w:t>
      </w:r>
      <w:r w:rsidR="00B36403">
        <w:rPr>
          <w:rFonts w:hint="eastAsia"/>
          <w:rtl/>
          <w:lang w:bidi="ar-EG"/>
        </w:rPr>
        <w:t> </w:t>
      </w:r>
      <w:r w:rsidR="00022B5D">
        <w:rPr>
          <w:rFonts w:hint="cs"/>
          <w:rtl/>
          <w:lang w:bidi="ar-EG"/>
        </w:rPr>
        <w:t xml:space="preserve">بُعد)، </w:t>
      </w:r>
      <w:r w:rsidR="0036697C">
        <w:rPr>
          <w:rFonts w:hint="cs"/>
          <w:rtl/>
          <w:lang w:bidi="ar-EG"/>
        </w:rPr>
        <w:t>حسب الاقتضاء.</w:t>
      </w:r>
    </w:p>
    <w:p w14:paraId="2606FC48" w14:textId="68D967B5" w:rsidR="00C36240" w:rsidRDefault="00C36240" w:rsidP="00C36240">
      <w:pPr>
        <w:pStyle w:val="enumlev2"/>
        <w:rPr>
          <w:rtl/>
          <w:lang w:bidi="ar-EG"/>
        </w:rPr>
      </w:pPr>
      <w:r>
        <w:rPr>
          <w:rFonts w:hint="cs"/>
          <w:rtl/>
          <w:lang w:bidi="ar-EG"/>
        </w:rPr>
        <w:t>ب)</w:t>
      </w:r>
      <w:r>
        <w:rPr>
          <w:rtl/>
          <w:lang w:bidi="ar-EG"/>
        </w:rPr>
        <w:tab/>
      </w:r>
      <w:r w:rsidR="0036697C">
        <w:rPr>
          <w:rFonts w:hint="cs"/>
          <w:rtl/>
          <w:lang w:bidi="ar-EG"/>
        </w:rPr>
        <w:t>توسيع نطاق برنامج المِنح</w:t>
      </w:r>
      <w:r w:rsidR="00D4474C">
        <w:rPr>
          <w:rStyle w:val="FootnoteReference"/>
          <w:rtl/>
          <w:lang w:bidi="ar-EG"/>
        </w:rPr>
        <w:footnoteReference w:id="2"/>
      </w:r>
      <w:r w:rsidR="0036697C">
        <w:rPr>
          <w:rFonts w:hint="cs"/>
          <w:rtl/>
          <w:lang w:bidi="ar-EG"/>
        </w:rPr>
        <w:t xml:space="preserve"> لتمكين المندوبين ذوي الإعاقة وممثلي أعضاء الاتحاد، لا سيما القادمين من أقل البلدان نمواً والبلدان ذات الدخل المنخفض، من المشاركة في أعمال الاتحاد.</w:t>
      </w:r>
    </w:p>
    <w:p w14:paraId="2701FA92" w14:textId="3FE0A256" w:rsidR="00C36240" w:rsidRDefault="00C36240" w:rsidP="00C36240">
      <w:pPr>
        <w:pStyle w:val="enumlev1"/>
        <w:rPr>
          <w:rtl/>
        </w:rPr>
      </w:pPr>
      <w:r>
        <w:rPr>
          <w:rFonts w:hint="cs"/>
          <w:rtl/>
        </w:rPr>
        <w:t>5</w:t>
      </w:r>
      <w:r>
        <w:rPr>
          <w:rtl/>
        </w:rPr>
        <w:tab/>
      </w:r>
      <w:r w:rsidR="008A4246">
        <w:rPr>
          <w:rFonts w:hint="cs"/>
          <w:rtl/>
        </w:rPr>
        <w:t xml:space="preserve">ضمان أن تكون بنية ومحتويات المواقع الإلكترونية والتسجيلات الفيديوية والمنشورات وأي وثائق رقمية ومعلومات رقمية للاتحاد ميسورة النفاذ رقمياً ومتوافقة مع </w:t>
      </w:r>
      <w:r w:rsidR="001C27C0">
        <w:rPr>
          <w:rFonts w:hint="cs"/>
          <w:rtl/>
        </w:rPr>
        <w:t>المتطلبات والمعايير المعمول بها في مجال إمكانية النفاذ؛ ويشمل ذلك ضمان تلقي مطوري المواقع الإلكترونية ومديري المواقع الإلكترونية ومسؤولي الاتصال وكذلك جميع الموظفين المعنيين التدريب المناسب لهذا الغرض.</w:t>
      </w:r>
    </w:p>
    <w:p w14:paraId="5B3D9AA6" w14:textId="78149CF8" w:rsidR="00C36240" w:rsidRDefault="00C36240" w:rsidP="00C36240">
      <w:pPr>
        <w:pStyle w:val="enumlev1"/>
        <w:rPr>
          <w:rtl/>
        </w:rPr>
      </w:pPr>
      <w:r>
        <w:rPr>
          <w:rFonts w:hint="cs"/>
          <w:rtl/>
        </w:rPr>
        <w:t>6</w:t>
      </w:r>
      <w:r>
        <w:rPr>
          <w:rtl/>
        </w:rPr>
        <w:tab/>
      </w:r>
      <w:r w:rsidR="001C27C0">
        <w:rPr>
          <w:rFonts w:hint="cs"/>
          <w:rtl/>
        </w:rPr>
        <w:t xml:space="preserve">تعزيز سياسات المشتريات لضمان </w:t>
      </w:r>
      <w:r w:rsidR="00A3693E">
        <w:rPr>
          <w:rFonts w:hint="cs"/>
          <w:rtl/>
        </w:rPr>
        <w:t xml:space="preserve">إمكانية الاستفادة من السلع والخدمات </w:t>
      </w:r>
      <w:proofErr w:type="spellStart"/>
      <w:r w:rsidR="00A3693E">
        <w:rPr>
          <w:rFonts w:hint="cs"/>
          <w:rtl/>
        </w:rPr>
        <w:t>المقتناة</w:t>
      </w:r>
      <w:proofErr w:type="spellEnd"/>
      <w:r w:rsidR="00A3693E">
        <w:rPr>
          <w:rFonts w:hint="cs"/>
          <w:rtl/>
        </w:rPr>
        <w:t xml:space="preserve"> وعدم إنشائها حواجز جديدة، فضلاً عن ضمان إمكانية النفاذ </w:t>
      </w:r>
      <w:r w:rsidR="00937E60">
        <w:rPr>
          <w:rFonts w:hint="cs"/>
          <w:rtl/>
        </w:rPr>
        <w:t>في</w:t>
      </w:r>
      <w:r w:rsidR="00A3693E">
        <w:rPr>
          <w:rFonts w:hint="cs"/>
          <w:rtl/>
        </w:rPr>
        <w:t xml:space="preserve"> عملية المشتريات</w:t>
      </w:r>
      <w:r>
        <w:rPr>
          <w:rFonts w:hint="cs"/>
          <w:rtl/>
        </w:rPr>
        <w:t>.</w:t>
      </w:r>
    </w:p>
    <w:p w14:paraId="3B7BBB7A" w14:textId="50CF3655" w:rsidR="00C36240" w:rsidRDefault="00C36240" w:rsidP="00C36240">
      <w:pPr>
        <w:pStyle w:val="enumlev1"/>
        <w:rPr>
          <w:rtl/>
        </w:rPr>
      </w:pPr>
      <w:r>
        <w:rPr>
          <w:rFonts w:hint="cs"/>
          <w:rtl/>
        </w:rPr>
        <w:t>7</w:t>
      </w:r>
      <w:r>
        <w:rPr>
          <w:rtl/>
        </w:rPr>
        <w:tab/>
      </w:r>
      <w:r w:rsidR="00A3693E">
        <w:rPr>
          <w:rFonts w:hint="cs"/>
          <w:rtl/>
        </w:rPr>
        <w:t xml:space="preserve">ضمان تعميم إمكانية النفاذ في عمليات من قبيل التوظيف </w:t>
      </w:r>
      <w:r w:rsidR="00A3693E">
        <w:rPr>
          <w:rFonts w:hint="cs"/>
          <w:rtl/>
          <w:lang w:bidi="ar-EG"/>
        </w:rPr>
        <w:t>تماشياً مع</w:t>
      </w:r>
      <w:r w:rsidR="00A3693E">
        <w:rPr>
          <w:rFonts w:hint="cs"/>
          <w:rtl/>
        </w:rPr>
        <w:t xml:space="preserve"> </w:t>
      </w:r>
      <w:r w:rsidR="00A3693E" w:rsidRPr="00C36240">
        <w:rPr>
          <w:rtl/>
        </w:rPr>
        <w:t xml:space="preserve">استراتيجية الأمم المتحدة بشأن </w:t>
      </w:r>
      <w:r w:rsidR="00A3693E">
        <w:rPr>
          <w:rFonts w:hint="cs"/>
          <w:rtl/>
        </w:rPr>
        <w:t>إدماج منظور</w:t>
      </w:r>
      <w:r w:rsidR="0004109E">
        <w:rPr>
          <w:rFonts w:hint="cs"/>
          <w:rtl/>
        </w:rPr>
        <w:t> </w:t>
      </w:r>
      <w:r w:rsidR="00A3693E" w:rsidRPr="00C36240">
        <w:rPr>
          <w:rtl/>
        </w:rPr>
        <w:t>الإعاقة</w:t>
      </w:r>
      <w:r>
        <w:rPr>
          <w:rFonts w:hint="cs"/>
          <w:rtl/>
        </w:rPr>
        <w:t>.</w:t>
      </w:r>
    </w:p>
    <w:p w14:paraId="3E05DE36" w14:textId="09486DA9" w:rsidR="00C36240" w:rsidRDefault="00C36240" w:rsidP="00C36240">
      <w:pPr>
        <w:pStyle w:val="enumlev1"/>
        <w:rPr>
          <w:rtl/>
        </w:rPr>
      </w:pPr>
      <w:r>
        <w:rPr>
          <w:rFonts w:hint="cs"/>
          <w:rtl/>
        </w:rPr>
        <w:t>8</w:t>
      </w:r>
      <w:r>
        <w:rPr>
          <w:rtl/>
        </w:rPr>
        <w:tab/>
      </w:r>
      <w:r w:rsidR="00A3693E">
        <w:rPr>
          <w:rFonts w:hint="cs"/>
          <w:rtl/>
        </w:rPr>
        <w:t>تعزيز التعاون بين القطاعات بشأن القضايا المتعلقة بإمكانية النفاذ</w:t>
      </w:r>
      <w:r w:rsidR="0054353C">
        <w:rPr>
          <w:rFonts w:hint="cs"/>
          <w:rtl/>
        </w:rPr>
        <w:t xml:space="preserve"> للاستفادة من المعارف والخبرات الداخلية</w:t>
      </w:r>
      <w:r>
        <w:rPr>
          <w:rFonts w:hint="cs"/>
          <w:rtl/>
        </w:rPr>
        <w:t>.</w:t>
      </w:r>
    </w:p>
    <w:p w14:paraId="2CCBABE0" w14:textId="1D5C0CBD" w:rsidR="00BB7213" w:rsidRDefault="00D4474C" w:rsidP="0004109E">
      <w:pPr>
        <w:pStyle w:val="enumlev1"/>
        <w:rPr>
          <w:rtl/>
          <w:lang w:bidi="ar-EG"/>
        </w:rPr>
      </w:pPr>
      <w:r>
        <w:rPr>
          <w:rFonts w:hint="cs"/>
          <w:rtl/>
          <w:lang w:bidi="ar-EG"/>
        </w:rPr>
        <w:t>9</w:t>
      </w:r>
      <w:r>
        <w:rPr>
          <w:rtl/>
          <w:lang w:bidi="ar-EG"/>
        </w:rPr>
        <w:tab/>
      </w:r>
      <w:r w:rsidR="0054353C">
        <w:rPr>
          <w:rFonts w:hint="cs"/>
          <w:rtl/>
        </w:rPr>
        <w:t>ضمان إدراج إمكانية النفاذ في الخطط الاستراتيجية للاتحاد والخطط الخاصة بكل قطاع وجمع البيانات ذات الصلة لتقييم ورصد تقدم الأداء لتحقيق إمكانية النفاذ في الاتحاد والمقصد الاستراتيجي ذي الصلة (المقاصد الاستراتيجية ذات الصلة) بإمكانية النفاذ الرقمي</w:t>
      </w:r>
      <w:r>
        <w:rPr>
          <w:rFonts w:hint="cs"/>
          <w:rtl/>
        </w:rPr>
        <w:t>.</w:t>
      </w:r>
    </w:p>
    <w:p w14:paraId="34336C19" w14:textId="0452E77A" w:rsidR="00D4474C" w:rsidRDefault="00D4474C" w:rsidP="0004109E">
      <w:pPr>
        <w:pStyle w:val="enumlev1"/>
        <w:rPr>
          <w:rtl/>
          <w:lang w:bidi="ar-EG"/>
        </w:rPr>
      </w:pPr>
      <w:r>
        <w:rPr>
          <w:rFonts w:hint="cs"/>
          <w:rtl/>
          <w:lang w:bidi="ar-EG"/>
        </w:rPr>
        <w:t>10</w:t>
      </w:r>
      <w:r>
        <w:rPr>
          <w:rtl/>
          <w:lang w:bidi="ar-EG"/>
        </w:rPr>
        <w:tab/>
      </w:r>
      <w:r w:rsidR="004F3908">
        <w:rPr>
          <w:rFonts w:hint="cs"/>
          <w:rtl/>
        </w:rPr>
        <w:t xml:space="preserve">تعميم إمكانية نفاذ الأشخاص ذوي الإعاقة في الأنشطة </w:t>
      </w:r>
      <w:proofErr w:type="spellStart"/>
      <w:r w:rsidR="004F3908">
        <w:rPr>
          <w:rFonts w:hint="cs"/>
          <w:rtl/>
        </w:rPr>
        <w:t>البرنامجية</w:t>
      </w:r>
      <w:proofErr w:type="spellEnd"/>
      <w:r w:rsidR="004F3908">
        <w:rPr>
          <w:rFonts w:hint="cs"/>
          <w:rtl/>
        </w:rPr>
        <w:t xml:space="preserve"> للقطاعات الثلاثة والأمانة العامة، من خلال ضمان الموارد المناسبة لدعم تنفيذ الأنشطة المقابلة ورصدها وتقييمها</w:t>
      </w:r>
      <w:r>
        <w:rPr>
          <w:rFonts w:hint="cs"/>
          <w:rtl/>
        </w:rPr>
        <w:t>.</w:t>
      </w:r>
    </w:p>
    <w:p w14:paraId="75EBB4EA" w14:textId="68CCE71F" w:rsidR="00D4474C" w:rsidRDefault="00D4474C" w:rsidP="0004109E">
      <w:pPr>
        <w:pStyle w:val="enumlev1"/>
        <w:rPr>
          <w:rtl/>
          <w:lang w:bidi="ar-EG"/>
        </w:rPr>
      </w:pPr>
      <w:r>
        <w:rPr>
          <w:rFonts w:hint="cs"/>
          <w:rtl/>
          <w:lang w:bidi="ar-EG"/>
        </w:rPr>
        <w:lastRenderedPageBreak/>
        <w:t>11</w:t>
      </w:r>
      <w:r>
        <w:rPr>
          <w:rtl/>
          <w:lang w:bidi="ar-EG"/>
        </w:rPr>
        <w:tab/>
      </w:r>
      <w:r w:rsidR="004F3908">
        <w:rPr>
          <w:rFonts w:hint="cs"/>
          <w:rtl/>
        </w:rPr>
        <w:t>تعزيز التعاون بشأن المسائل المتعلقة بإمكانية النفاذ</w:t>
      </w:r>
      <w:r w:rsidR="00BE72C6">
        <w:rPr>
          <w:rFonts w:hint="cs"/>
          <w:rtl/>
        </w:rPr>
        <w:t>،</w:t>
      </w:r>
      <w:r w:rsidR="004F3908">
        <w:rPr>
          <w:rFonts w:hint="cs"/>
          <w:rtl/>
        </w:rPr>
        <w:t xml:space="preserve"> داخل النظام الموحد للأمم المتحدة</w:t>
      </w:r>
      <w:r w:rsidR="00BE72C6">
        <w:rPr>
          <w:rFonts w:hint="cs"/>
          <w:rtl/>
        </w:rPr>
        <w:t>،</w:t>
      </w:r>
      <w:r w:rsidR="004F3908">
        <w:rPr>
          <w:rFonts w:hint="cs"/>
          <w:rtl/>
        </w:rPr>
        <w:t xml:space="preserve"> ومع المنظمات </w:t>
      </w:r>
      <w:r w:rsidR="00BE72C6">
        <w:rPr>
          <w:rFonts w:hint="cs"/>
          <w:rtl/>
        </w:rPr>
        <w:t>المعنية</w:t>
      </w:r>
      <w:r w:rsidR="004F3908">
        <w:rPr>
          <w:rFonts w:hint="cs"/>
          <w:rtl/>
        </w:rPr>
        <w:t xml:space="preserve"> التي تمثل الأشخاص ذوي الإعاقة، لتيسير عمل الاتحاد ذي الصلة بإدماج منظور الإعاقة، ومع أعضاء الاتحاد</w:t>
      </w:r>
      <w:r>
        <w:rPr>
          <w:rFonts w:hint="cs"/>
          <w:rtl/>
        </w:rPr>
        <w:t>.</w:t>
      </w:r>
    </w:p>
    <w:p w14:paraId="26DAD955" w14:textId="50EA4C3C" w:rsidR="00D4474C" w:rsidRDefault="00D4474C" w:rsidP="0004109E">
      <w:pPr>
        <w:pStyle w:val="enumlev1"/>
        <w:rPr>
          <w:rtl/>
        </w:rPr>
      </w:pPr>
      <w:r>
        <w:rPr>
          <w:rFonts w:hint="cs"/>
          <w:rtl/>
        </w:rPr>
        <w:t>12</w:t>
      </w:r>
      <w:r>
        <w:rPr>
          <w:rtl/>
        </w:rPr>
        <w:tab/>
      </w:r>
      <w:r w:rsidR="00BE72C6">
        <w:rPr>
          <w:rFonts w:hint="cs"/>
          <w:rtl/>
        </w:rPr>
        <w:t>تأمين بند ميزانية لضمان إمكانية تحقيق الأهداف المذكورة أعلاه على مستوى الاتحاد ككل</w:t>
      </w:r>
      <w:r>
        <w:rPr>
          <w:rFonts w:hint="cs"/>
          <w:rtl/>
        </w:rPr>
        <w:t>.</w:t>
      </w:r>
    </w:p>
    <w:p w14:paraId="1C8D6EDE" w14:textId="6CD00E01" w:rsidR="00BB7213" w:rsidRDefault="00BE72C6" w:rsidP="00D6131F">
      <w:pPr>
        <w:pStyle w:val="Headingb"/>
        <w:keepNext w:val="0"/>
        <w:rPr>
          <w:rtl/>
          <w:lang w:bidi="ar-EG"/>
        </w:rPr>
      </w:pPr>
      <w:r>
        <w:rPr>
          <w:rFonts w:hint="cs"/>
          <w:rtl/>
          <w:lang w:bidi="ar-EG"/>
        </w:rPr>
        <w:t>الإطار</w:t>
      </w:r>
      <w:bookmarkStart w:id="1" w:name="_Hlk73951073"/>
    </w:p>
    <w:bookmarkEnd w:id="1"/>
    <w:p w14:paraId="3DA581A3" w14:textId="660606A5" w:rsidR="0004109E" w:rsidRDefault="00765259" w:rsidP="00D6131F">
      <w:pPr>
        <w:pStyle w:val="Figuretitle"/>
        <w:keepNext w:val="0"/>
        <w:rPr>
          <w:lang w:bidi="ar-EG"/>
        </w:rPr>
      </w:pPr>
      <w:r>
        <w:rPr>
          <w:noProof/>
          <w:lang w:bidi="ar-EG"/>
        </w:rPr>
        <mc:AlternateContent>
          <mc:Choice Requires="wpg">
            <w:drawing>
              <wp:anchor distT="0" distB="0" distL="114300" distR="114300" simplePos="0" relativeHeight="251683840" behindDoc="0" locked="0" layoutInCell="1" allowOverlap="1" wp14:anchorId="1039D1F8" wp14:editId="349B1863">
                <wp:simplePos x="0" y="0"/>
                <wp:positionH relativeFrom="column">
                  <wp:posOffset>1347546</wp:posOffset>
                </wp:positionH>
                <wp:positionV relativeFrom="paragraph">
                  <wp:posOffset>169592</wp:posOffset>
                </wp:positionV>
                <wp:extent cx="3455035" cy="3705489"/>
                <wp:effectExtent l="0" t="0" r="0" b="0"/>
                <wp:wrapNone/>
                <wp:docPr id="51" name="Group 51"/>
                <wp:cNvGraphicFramePr/>
                <a:graphic xmlns:a="http://schemas.openxmlformats.org/drawingml/2006/main">
                  <a:graphicData uri="http://schemas.microsoft.com/office/word/2010/wordprocessingGroup">
                    <wpg:wgp>
                      <wpg:cNvGrpSpPr/>
                      <wpg:grpSpPr>
                        <a:xfrm>
                          <a:off x="0" y="0"/>
                          <a:ext cx="3455035" cy="3705489"/>
                          <a:chOff x="0" y="-68351"/>
                          <a:chExt cx="3455035" cy="3705489"/>
                        </a:xfrm>
                      </wpg:grpSpPr>
                      <wps:wsp>
                        <wps:cNvPr id="38" name="Text Box 38"/>
                        <wps:cNvSpPr txBox="1"/>
                        <wps:spPr>
                          <a:xfrm>
                            <a:off x="0" y="57151"/>
                            <a:ext cx="1028700" cy="409575"/>
                          </a:xfrm>
                          <a:prstGeom prst="rect">
                            <a:avLst/>
                          </a:prstGeom>
                          <a:noFill/>
                          <a:ln w="6350">
                            <a:noFill/>
                          </a:ln>
                        </wps:spPr>
                        <wps:txbx>
                          <w:txbxContent>
                            <w:p w14:paraId="4EE6CE6E" w14:textId="7FE6A47B"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جعل الاتحاد أكثر تيسراً من حيث النفاذ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400175" y="47626"/>
                            <a:ext cx="1028700" cy="495300"/>
                          </a:xfrm>
                          <a:prstGeom prst="rect">
                            <a:avLst/>
                          </a:prstGeom>
                          <a:noFill/>
                          <a:ln w="6350">
                            <a:noFill/>
                          </a:ln>
                        </wps:spPr>
                        <wps:txbx>
                          <w:txbxContent>
                            <w:p w14:paraId="4D522653" w14:textId="70FCA3C8"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جعل النفاذ إلى تكنولوجيا المعلومات والاتصالات أكثر تيسراً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9050" y="590551"/>
                            <a:ext cx="1028700" cy="238125"/>
                          </a:xfrm>
                          <a:prstGeom prst="rect">
                            <a:avLst/>
                          </a:prstGeom>
                          <a:noFill/>
                          <a:ln w="6350">
                            <a:noFill/>
                          </a:ln>
                        </wps:spPr>
                        <wps:txbx>
                          <w:txbxContent>
                            <w:p w14:paraId="2B8423B2" w14:textId="5978EA09" w:rsidR="00D6131F" w:rsidRPr="00D6131F" w:rsidRDefault="00D6131F" w:rsidP="00D6131F">
                              <w:pPr>
                                <w:spacing w:before="0"/>
                                <w:jc w:val="center"/>
                                <w:rPr>
                                  <w:color w:val="FFFFFF" w:themeColor="background1"/>
                                  <w:sz w:val="14"/>
                                  <w:szCs w:val="14"/>
                                </w:rPr>
                              </w:pPr>
                              <w:r>
                                <w:rPr>
                                  <w:color w:val="FFFFFF" w:themeColor="background1"/>
                                  <w:sz w:val="14"/>
                                  <w:szCs w:val="14"/>
                                  <w:lang w:bidi="ar-EG"/>
                                </w:rPr>
                                <w:t>1</w:t>
                              </w:r>
                              <w:r>
                                <w:rPr>
                                  <w:rFonts w:hint="cs"/>
                                  <w:color w:val="FFFFFF" w:themeColor="background1"/>
                                  <w:sz w:val="14"/>
                                  <w:szCs w:val="14"/>
                                  <w:rtl/>
                                  <w:lang w:bidi="ar-EG"/>
                                </w:rPr>
                                <w:t xml:space="preserve"> و</w:t>
                              </w:r>
                              <w:r>
                                <w:rPr>
                                  <w:color w:val="FFFFFF" w:themeColor="background1"/>
                                  <w:sz w:val="14"/>
                                  <w:szCs w:val="14"/>
                                  <w:lang w:bidi="ar-EG"/>
                                </w:rPr>
                                <w:t>2</w:t>
                              </w:r>
                              <w:r>
                                <w:rPr>
                                  <w:rFonts w:hint="cs"/>
                                  <w:color w:val="FFFFFF" w:themeColor="background1"/>
                                  <w:sz w:val="14"/>
                                  <w:szCs w:val="14"/>
                                  <w:rtl/>
                                  <w:lang w:bidi="ar-EG"/>
                                </w:rPr>
                                <w:t xml:space="preserve"> و</w:t>
                              </w:r>
                              <w:r>
                                <w:rPr>
                                  <w:color w:val="FFFFFF" w:themeColor="background1"/>
                                  <w:sz w:val="14"/>
                                  <w:szCs w:val="14"/>
                                  <w:lang w:bidi="ar-EG"/>
                                </w:rPr>
                                <w:t>3</w:t>
                              </w:r>
                              <w:r>
                                <w:rPr>
                                  <w:rFonts w:hint="cs"/>
                                  <w:color w:val="FFFFFF" w:themeColor="background1"/>
                                  <w:sz w:val="14"/>
                                  <w:szCs w:val="14"/>
                                  <w:rtl/>
                                  <w:lang w:bidi="ar-EG"/>
                                </w:rPr>
                                <w:t xml:space="preserve"> و</w:t>
                              </w:r>
                              <w:r>
                                <w:rPr>
                                  <w:color w:val="FFFFFF" w:themeColor="background1"/>
                                  <w:sz w:val="14"/>
                                  <w:szCs w:val="14"/>
                                  <w:lang w:bidi="ar-EG"/>
                                </w:rPr>
                                <w:t>4</w:t>
                              </w:r>
                              <w:r>
                                <w:rPr>
                                  <w:rFonts w:hint="cs"/>
                                  <w:color w:val="FFFFFF" w:themeColor="background1"/>
                                  <w:sz w:val="14"/>
                                  <w:szCs w:val="14"/>
                                  <w:rtl/>
                                  <w:lang w:bidi="ar-EG"/>
                                </w:rPr>
                                <w:t xml:space="preserve"> و</w:t>
                              </w:r>
                              <w:r>
                                <w:rPr>
                                  <w:color w:val="FFFFFF" w:themeColor="background1"/>
                                  <w:sz w:val="14"/>
                                  <w:szCs w:val="14"/>
                                  <w:lang w:bidi="ar-EG"/>
                                </w:rPr>
                                <w:t>5</w:t>
                              </w:r>
                              <w:r>
                                <w:rPr>
                                  <w:rFonts w:hint="cs"/>
                                  <w:color w:val="FFFFFF" w:themeColor="background1"/>
                                  <w:sz w:val="14"/>
                                  <w:szCs w:val="14"/>
                                  <w:rtl/>
                                  <w:lang w:bidi="ar-EG"/>
                                </w:rPr>
                                <w:t xml:space="preserve"> و</w:t>
                              </w:r>
                              <w:r>
                                <w:rPr>
                                  <w:color w:val="FFFFFF" w:themeColor="background1"/>
                                  <w:sz w:val="14"/>
                                  <w:szCs w:val="14"/>
                                  <w:lang w:bidi="ar-EG"/>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733425" y="914401"/>
                            <a:ext cx="1438275" cy="238125"/>
                          </a:xfrm>
                          <a:prstGeom prst="rect">
                            <a:avLst/>
                          </a:prstGeom>
                          <a:noFill/>
                          <a:ln w="6350">
                            <a:noFill/>
                          </a:ln>
                        </wps:spPr>
                        <wps:txbx>
                          <w:txbxContent>
                            <w:p w14:paraId="31D87283" w14:textId="73D7E7EC" w:rsidR="00D6131F" w:rsidRPr="00D6131F" w:rsidRDefault="00D6131F" w:rsidP="00D6131F">
                              <w:pPr>
                                <w:spacing w:before="0"/>
                                <w:jc w:val="center"/>
                                <w:rPr>
                                  <w:color w:val="FFFFFF" w:themeColor="background1"/>
                                  <w:sz w:val="14"/>
                                  <w:szCs w:val="14"/>
                                </w:rPr>
                              </w:pPr>
                              <w:r>
                                <w:rPr>
                                  <w:color w:val="FFFFFF" w:themeColor="background1"/>
                                  <w:sz w:val="14"/>
                                  <w:szCs w:val="14"/>
                                  <w:lang w:bidi="ar-EG"/>
                                </w:rPr>
                                <w:t>7</w:t>
                              </w:r>
                              <w:r>
                                <w:rPr>
                                  <w:rFonts w:hint="cs"/>
                                  <w:color w:val="FFFFFF" w:themeColor="background1"/>
                                  <w:sz w:val="14"/>
                                  <w:szCs w:val="14"/>
                                  <w:rtl/>
                                  <w:lang w:bidi="ar-EG"/>
                                </w:rPr>
                                <w:t xml:space="preserve"> و</w:t>
                              </w:r>
                              <w:r>
                                <w:rPr>
                                  <w:color w:val="FFFFFF" w:themeColor="background1"/>
                                  <w:sz w:val="14"/>
                                  <w:szCs w:val="14"/>
                                  <w:lang w:bidi="ar-EG"/>
                                </w:rPr>
                                <w:t>8</w:t>
                              </w:r>
                              <w:r>
                                <w:rPr>
                                  <w:rFonts w:hint="cs"/>
                                  <w:color w:val="FFFFFF" w:themeColor="background1"/>
                                  <w:sz w:val="14"/>
                                  <w:szCs w:val="14"/>
                                  <w:rtl/>
                                  <w:lang w:bidi="ar-EG"/>
                                </w:rPr>
                                <w:t xml:space="preserve"> و</w:t>
                              </w:r>
                              <w:r>
                                <w:rPr>
                                  <w:color w:val="FFFFFF" w:themeColor="background1"/>
                                  <w:sz w:val="14"/>
                                  <w:szCs w:val="14"/>
                                  <w:lang w:bidi="ar-EG"/>
                                </w:rPr>
                                <w:t>9</w:t>
                              </w:r>
                              <w:r>
                                <w:rPr>
                                  <w:rFonts w:hint="cs"/>
                                  <w:color w:val="FFFFFF" w:themeColor="background1"/>
                                  <w:sz w:val="14"/>
                                  <w:szCs w:val="14"/>
                                  <w:rtl/>
                                  <w:lang w:bidi="ar-EG"/>
                                </w:rPr>
                                <w:t xml:space="preserve"> و</w:t>
                              </w:r>
                              <w:r>
                                <w:rPr>
                                  <w:color w:val="FFFFFF" w:themeColor="background1"/>
                                  <w:sz w:val="14"/>
                                  <w:szCs w:val="14"/>
                                  <w:lang w:bidi="ar-EG"/>
                                </w:rPr>
                                <w:t>10</w:t>
                              </w:r>
                              <w:r>
                                <w:rPr>
                                  <w:rFonts w:hint="cs"/>
                                  <w:color w:val="FFFFFF" w:themeColor="background1"/>
                                  <w:sz w:val="14"/>
                                  <w:szCs w:val="14"/>
                                  <w:rtl/>
                                  <w:lang w:bidi="ar-EG"/>
                                </w:rPr>
                                <w:t xml:space="preserve"> و</w:t>
                              </w:r>
                              <w:r>
                                <w:rPr>
                                  <w:color w:val="FFFFFF" w:themeColor="background1"/>
                                  <w:sz w:val="14"/>
                                  <w:szCs w:val="14"/>
                                  <w:lang w:bidi="ar-EG"/>
                                </w:rPr>
                                <w:t>11</w:t>
                              </w:r>
                              <w:r>
                                <w:rPr>
                                  <w:rFonts w:hint="cs"/>
                                  <w:color w:val="FFFFFF" w:themeColor="background1"/>
                                  <w:sz w:val="14"/>
                                  <w:szCs w:val="14"/>
                                  <w:rtl/>
                                  <w:lang w:bidi="ar-EG"/>
                                </w:rPr>
                                <w:t xml:space="preserve"> و</w:t>
                              </w:r>
                              <w:r>
                                <w:rPr>
                                  <w:color w:val="FFFFFF" w:themeColor="background1"/>
                                  <w:sz w:val="14"/>
                                  <w:szCs w:val="14"/>
                                  <w:lang w:bidi="ar-EG"/>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81000" y="1809751"/>
                            <a:ext cx="1438275" cy="485775"/>
                          </a:xfrm>
                          <a:prstGeom prst="rect">
                            <a:avLst/>
                          </a:prstGeom>
                          <a:noFill/>
                          <a:ln w="6350">
                            <a:noFill/>
                          </a:ln>
                        </wps:spPr>
                        <wps:txbx>
                          <w:txbxContent>
                            <w:p w14:paraId="42BCE944" w14:textId="7D935399"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التنسيق بين القطاعات (فريق التنسيق بين القطاعات، فريق المهام المعني بالتنسيق بين القطاعات)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209675" y="3143251"/>
                            <a:ext cx="962025" cy="247650"/>
                          </a:xfrm>
                          <a:prstGeom prst="rect">
                            <a:avLst/>
                          </a:prstGeom>
                          <a:noFill/>
                          <a:ln w="6350">
                            <a:noFill/>
                          </a:ln>
                        </wps:spPr>
                        <wps:txbx>
                          <w:txbxContent>
                            <w:p w14:paraId="541A4B85" w14:textId="51DDF2F7"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قطاعات الاتحاد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09550" y="3143251"/>
                            <a:ext cx="647700" cy="247650"/>
                          </a:xfrm>
                          <a:prstGeom prst="rect">
                            <a:avLst/>
                          </a:prstGeom>
                          <a:noFill/>
                          <a:ln w="6350">
                            <a:noFill/>
                          </a:ln>
                        </wps:spPr>
                        <wps:txbx>
                          <w:txbxContent>
                            <w:p w14:paraId="1F979BA4" w14:textId="060ABAA5"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الأمانة العامة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rot="5400000">
                            <a:off x="2363295" y="3154303"/>
                            <a:ext cx="552964" cy="193186"/>
                          </a:xfrm>
                          <a:prstGeom prst="rect">
                            <a:avLst/>
                          </a:prstGeom>
                          <a:noFill/>
                          <a:ln w="6350">
                            <a:noFill/>
                          </a:ln>
                        </wps:spPr>
                        <wps:txbx>
                          <w:txbxContent>
                            <w:p w14:paraId="1BE8B770" w14:textId="73454D9B"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الأنشطة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rot="16200000">
                            <a:off x="1631315" y="1978661"/>
                            <a:ext cx="1228725" cy="247650"/>
                          </a:xfrm>
                          <a:prstGeom prst="rect">
                            <a:avLst/>
                          </a:prstGeom>
                          <a:noFill/>
                          <a:ln w="6350">
                            <a:noFill/>
                          </a:ln>
                        </wps:spPr>
                        <wps:txbx>
                          <w:txbxContent>
                            <w:p w14:paraId="2892E68B" w14:textId="57B348C2" w:rsidR="00D6131F" w:rsidRPr="00D6131F" w:rsidRDefault="00D6131F" w:rsidP="00D6131F">
                              <w:pPr>
                                <w:spacing w:before="0"/>
                                <w:jc w:val="center"/>
                                <w:rPr>
                                  <w:i/>
                                  <w:iCs/>
                                  <w:color w:val="FFFFFF" w:themeColor="background1"/>
                                  <w:sz w:val="14"/>
                                  <w:szCs w:val="14"/>
                                </w:rPr>
                              </w:pPr>
                              <w:r w:rsidRPr="00D6131F">
                                <w:rPr>
                                  <w:rFonts w:hint="cs"/>
                                  <w:i/>
                                  <w:iCs/>
                                  <w:color w:val="FFFFFF" w:themeColor="background1"/>
                                  <w:sz w:val="14"/>
                                  <w:szCs w:val="14"/>
                                  <w:rtl/>
                                  <w:lang w:bidi="ar-EG"/>
                                </w:rPr>
                                <w:t>النتائج المباشرة لقطاعات الاتحاد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rot="5400000">
                            <a:off x="2067808" y="1917286"/>
                            <a:ext cx="1098304" cy="238819"/>
                          </a:xfrm>
                          <a:prstGeom prst="rect">
                            <a:avLst/>
                          </a:prstGeom>
                          <a:noFill/>
                          <a:ln w="6350">
                            <a:noFill/>
                          </a:ln>
                        </wps:spPr>
                        <wps:txbx>
                          <w:txbxContent>
                            <w:p w14:paraId="53D26745" w14:textId="2AB9621D"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النتائج والنواتج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rot="5400000">
                            <a:off x="2399557" y="170815"/>
                            <a:ext cx="480432" cy="193185"/>
                          </a:xfrm>
                          <a:prstGeom prst="rect">
                            <a:avLst/>
                          </a:prstGeom>
                          <a:noFill/>
                          <a:ln w="6350">
                            <a:noFill/>
                          </a:ln>
                        </wps:spPr>
                        <wps:txbx>
                          <w:txbxContent>
                            <w:p w14:paraId="7E63D8E7" w14:textId="1B8404D8" w:rsidR="00765259" w:rsidRPr="00D6131F" w:rsidRDefault="00765259" w:rsidP="00765259">
                              <w:pPr>
                                <w:spacing w:before="0"/>
                                <w:jc w:val="center"/>
                                <w:rPr>
                                  <w:color w:val="FFFFFF" w:themeColor="background1"/>
                                  <w:sz w:val="14"/>
                                  <w:szCs w:val="14"/>
                                </w:rPr>
                              </w:pPr>
                              <w:r w:rsidRPr="00765259">
                                <w:rPr>
                                  <w:rFonts w:hint="cs"/>
                                  <w:color w:val="FFFFFF" w:themeColor="background1"/>
                                  <w:sz w:val="14"/>
                                  <w:szCs w:val="14"/>
                                  <w:rtl/>
                                  <w:lang w:bidi="ar-EG"/>
                                </w:rPr>
                                <w:t>الغايات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rot="5400000">
                            <a:off x="2335031" y="750981"/>
                            <a:ext cx="609500" cy="193191"/>
                          </a:xfrm>
                          <a:prstGeom prst="rect">
                            <a:avLst/>
                          </a:prstGeom>
                          <a:noFill/>
                          <a:ln w="6350">
                            <a:noFill/>
                          </a:ln>
                        </wps:spPr>
                        <wps:txbx>
                          <w:txbxContent>
                            <w:p w14:paraId="0A3C3F81" w14:textId="681D1A48" w:rsidR="00765259" w:rsidRPr="00D6131F" w:rsidRDefault="00765259" w:rsidP="00765259">
                              <w:pPr>
                                <w:spacing w:before="0"/>
                                <w:jc w:val="center"/>
                                <w:rPr>
                                  <w:color w:val="FFFFFF" w:themeColor="background1"/>
                                  <w:sz w:val="14"/>
                                  <w:szCs w:val="14"/>
                                </w:rPr>
                              </w:pPr>
                              <w:r w:rsidRPr="00765259">
                                <w:rPr>
                                  <w:rFonts w:hint="cs"/>
                                  <w:color w:val="FFFFFF" w:themeColor="background1"/>
                                  <w:sz w:val="14"/>
                                  <w:szCs w:val="14"/>
                                  <w:rtl/>
                                  <w:lang w:bidi="ar-EG"/>
                                </w:rPr>
                                <w:t>الأهداف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rot="5400000">
                            <a:off x="1478465" y="1660569"/>
                            <a:ext cx="3705489" cy="247650"/>
                          </a:xfrm>
                          <a:prstGeom prst="rect">
                            <a:avLst/>
                          </a:prstGeom>
                          <a:noFill/>
                          <a:ln w="6350">
                            <a:noFill/>
                          </a:ln>
                        </wps:spPr>
                        <wps:txbx>
                          <w:txbxContent>
                            <w:p w14:paraId="1ADBA4C4" w14:textId="63D3D53E" w:rsidR="00765259" w:rsidRPr="00765259" w:rsidRDefault="00765259" w:rsidP="00765259">
                              <w:pPr>
                                <w:spacing w:before="0"/>
                                <w:jc w:val="center"/>
                                <w:rPr>
                                  <w:b/>
                                  <w:bCs/>
                                  <w:color w:val="FFFFFF" w:themeColor="background1"/>
                                  <w:sz w:val="18"/>
                                  <w:szCs w:val="18"/>
                                </w:rPr>
                              </w:pPr>
                              <w:r w:rsidRPr="00765259">
                                <w:rPr>
                                  <w:rFonts w:hint="cs"/>
                                  <w:b/>
                                  <w:bCs/>
                                  <w:color w:val="FFFFFF" w:themeColor="background1"/>
                                  <w:sz w:val="18"/>
                                  <w:szCs w:val="18"/>
                                  <w:rtl/>
                                  <w:lang w:bidi="ar-EG"/>
                                </w:rPr>
                                <w:t>الإشراف: مجلس الاتحاد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039D1F8" id="Group 51" o:spid="_x0000_s1026" style="position:absolute;left:0;text-align:left;margin-left:106.1pt;margin-top:13.35pt;width:272.05pt;height:291.75pt;z-index:251683840;mso-height-relative:margin" coordorigin=",-683" coordsize="34550,3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">
                <v:shapetype id="_x0000_t202" coordsize="21600,21600" o:spt="202" path="m,l,21600r21600,l21600,xe">
                  <v:stroke joinstyle="miter"/>
                  <v:path gradientshapeok="t" o:connecttype="rect"/>
                </v:shapetype>
                <v:shape id="Text Box 38" o:spid="_x0000_s1027" type="#_x0000_t202" style="position:absolute;top:571;width:10287;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EE6CE6E" w14:textId="7FE6A47B"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جعل الاتحاد أكثر تيسراً من حيث النفاذ</w:t>
                        </w:r>
                      </w:p>
                    </w:txbxContent>
                  </v:textbox>
                </v:shape>
                <v:shape id="Text Box 39" o:spid="_x0000_s1028" type="#_x0000_t202" style="position:absolute;left:14001;top:476;width:1028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4D522653" w14:textId="70FCA3C8"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جعل النفاذ إلى تكنولوجيا المعلومات والاتصالات أكثر تيسراً</w:t>
                        </w:r>
                      </w:p>
                    </w:txbxContent>
                  </v:textbox>
                </v:shape>
                <v:shape id="Text Box 40" o:spid="_x0000_s1029" type="#_x0000_t202" style="position:absolute;left:190;top:5905;width:1028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2B8423B2" w14:textId="5978EA09" w:rsidR="00D6131F" w:rsidRPr="00D6131F" w:rsidRDefault="00D6131F" w:rsidP="00D6131F">
                        <w:pPr>
                          <w:spacing w:before="0"/>
                          <w:jc w:val="center"/>
                          <w:rPr>
                            <w:color w:val="FFFFFF" w:themeColor="background1"/>
                            <w:sz w:val="14"/>
                            <w:szCs w:val="14"/>
                          </w:rPr>
                        </w:pPr>
                        <w:r>
                          <w:rPr>
                            <w:color w:val="FFFFFF" w:themeColor="background1"/>
                            <w:sz w:val="14"/>
                            <w:szCs w:val="14"/>
                            <w:lang w:bidi="ar-EG"/>
                          </w:rPr>
                          <w:t>1</w:t>
                        </w:r>
                        <w:r>
                          <w:rPr>
                            <w:rFonts w:hint="cs"/>
                            <w:color w:val="FFFFFF" w:themeColor="background1"/>
                            <w:sz w:val="14"/>
                            <w:szCs w:val="14"/>
                            <w:rtl/>
                            <w:lang w:bidi="ar-EG"/>
                          </w:rPr>
                          <w:t xml:space="preserve"> و</w:t>
                        </w:r>
                        <w:r>
                          <w:rPr>
                            <w:color w:val="FFFFFF" w:themeColor="background1"/>
                            <w:sz w:val="14"/>
                            <w:szCs w:val="14"/>
                            <w:lang w:bidi="ar-EG"/>
                          </w:rPr>
                          <w:t>2</w:t>
                        </w:r>
                        <w:r>
                          <w:rPr>
                            <w:rFonts w:hint="cs"/>
                            <w:color w:val="FFFFFF" w:themeColor="background1"/>
                            <w:sz w:val="14"/>
                            <w:szCs w:val="14"/>
                            <w:rtl/>
                            <w:lang w:bidi="ar-EG"/>
                          </w:rPr>
                          <w:t xml:space="preserve"> و</w:t>
                        </w:r>
                        <w:r>
                          <w:rPr>
                            <w:color w:val="FFFFFF" w:themeColor="background1"/>
                            <w:sz w:val="14"/>
                            <w:szCs w:val="14"/>
                            <w:lang w:bidi="ar-EG"/>
                          </w:rPr>
                          <w:t>3</w:t>
                        </w:r>
                        <w:r>
                          <w:rPr>
                            <w:rFonts w:hint="cs"/>
                            <w:color w:val="FFFFFF" w:themeColor="background1"/>
                            <w:sz w:val="14"/>
                            <w:szCs w:val="14"/>
                            <w:rtl/>
                            <w:lang w:bidi="ar-EG"/>
                          </w:rPr>
                          <w:t xml:space="preserve"> و</w:t>
                        </w:r>
                        <w:r>
                          <w:rPr>
                            <w:color w:val="FFFFFF" w:themeColor="background1"/>
                            <w:sz w:val="14"/>
                            <w:szCs w:val="14"/>
                            <w:lang w:bidi="ar-EG"/>
                          </w:rPr>
                          <w:t>4</w:t>
                        </w:r>
                        <w:r>
                          <w:rPr>
                            <w:rFonts w:hint="cs"/>
                            <w:color w:val="FFFFFF" w:themeColor="background1"/>
                            <w:sz w:val="14"/>
                            <w:szCs w:val="14"/>
                            <w:rtl/>
                            <w:lang w:bidi="ar-EG"/>
                          </w:rPr>
                          <w:t xml:space="preserve"> و</w:t>
                        </w:r>
                        <w:r>
                          <w:rPr>
                            <w:color w:val="FFFFFF" w:themeColor="background1"/>
                            <w:sz w:val="14"/>
                            <w:szCs w:val="14"/>
                            <w:lang w:bidi="ar-EG"/>
                          </w:rPr>
                          <w:t>5</w:t>
                        </w:r>
                        <w:r>
                          <w:rPr>
                            <w:rFonts w:hint="cs"/>
                            <w:color w:val="FFFFFF" w:themeColor="background1"/>
                            <w:sz w:val="14"/>
                            <w:szCs w:val="14"/>
                            <w:rtl/>
                            <w:lang w:bidi="ar-EG"/>
                          </w:rPr>
                          <w:t xml:space="preserve"> و</w:t>
                        </w:r>
                        <w:r>
                          <w:rPr>
                            <w:color w:val="FFFFFF" w:themeColor="background1"/>
                            <w:sz w:val="14"/>
                            <w:szCs w:val="14"/>
                            <w:lang w:bidi="ar-EG"/>
                          </w:rPr>
                          <w:t>6</w:t>
                        </w:r>
                      </w:p>
                    </w:txbxContent>
                  </v:textbox>
                </v:shape>
                <v:shape id="Text Box 41" o:spid="_x0000_s1030" type="#_x0000_t202" style="position:absolute;left:7334;top:9144;width:143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1D87283" w14:textId="73D7E7EC" w:rsidR="00D6131F" w:rsidRPr="00D6131F" w:rsidRDefault="00D6131F" w:rsidP="00D6131F">
                        <w:pPr>
                          <w:spacing w:before="0"/>
                          <w:jc w:val="center"/>
                          <w:rPr>
                            <w:color w:val="FFFFFF" w:themeColor="background1"/>
                            <w:sz w:val="14"/>
                            <w:szCs w:val="14"/>
                          </w:rPr>
                        </w:pPr>
                        <w:r>
                          <w:rPr>
                            <w:color w:val="FFFFFF" w:themeColor="background1"/>
                            <w:sz w:val="14"/>
                            <w:szCs w:val="14"/>
                            <w:lang w:bidi="ar-EG"/>
                          </w:rPr>
                          <w:t>7</w:t>
                        </w:r>
                        <w:r>
                          <w:rPr>
                            <w:rFonts w:hint="cs"/>
                            <w:color w:val="FFFFFF" w:themeColor="background1"/>
                            <w:sz w:val="14"/>
                            <w:szCs w:val="14"/>
                            <w:rtl/>
                            <w:lang w:bidi="ar-EG"/>
                          </w:rPr>
                          <w:t xml:space="preserve"> و</w:t>
                        </w:r>
                        <w:r>
                          <w:rPr>
                            <w:color w:val="FFFFFF" w:themeColor="background1"/>
                            <w:sz w:val="14"/>
                            <w:szCs w:val="14"/>
                            <w:lang w:bidi="ar-EG"/>
                          </w:rPr>
                          <w:t>8</w:t>
                        </w:r>
                        <w:r>
                          <w:rPr>
                            <w:rFonts w:hint="cs"/>
                            <w:color w:val="FFFFFF" w:themeColor="background1"/>
                            <w:sz w:val="14"/>
                            <w:szCs w:val="14"/>
                            <w:rtl/>
                            <w:lang w:bidi="ar-EG"/>
                          </w:rPr>
                          <w:t xml:space="preserve"> و</w:t>
                        </w:r>
                        <w:r>
                          <w:rPr>
                            <w:color w:val="FFFFFF" w:themeColor="background1"/>
                            <w:sz w:val="14"/>
                            <w:szCs w:val="14"/>
                            <w:lang w:bidi="ar-EG"/>
                          </w:rPr>
                          <w:t>9</w:t>
                        </w:r>
                        <w:r>
                          <w:rPr>
                            <w:rFonts w:hint="cs"/>
                            <w:color w:val="FFFFFF" w:themeColor="background1"/>
                            <w:sz w:val="14"/>
                            <w:szCs w:val="14"/>
                            <w:rtl/>
                            <w:lang w:bidi="ar-EG"/>
                          </w:rPr>
                          <w:t xml:space="preserve"> و</w:t>
                        </w:r>
                        <w:r>
                          <w:rPr>
                            <w:color w:val="FFFFFF" w:themeColor="background1"/>
                            <w:sz w:val="14"/>
                            <w:szCs w:val="14"/>
                            <w:lang w:bidi="ar-EG"/>
                          </w:rPr>
                          <w:t>10</w:t>
                        </w:r>
                        <w:r>
                          <w:rPr>
                            <w:rFonts w:hint="cs"/>
                            <w:color w:val="FFFFFF" w:themeColor="background1"/>
                            <w:sz w:val="14"/>
                            <w:szCs w:val="14"/>
                            <w:rtl/>
                            <w:lang w:bidi="ar-EG"/>
                          </w:rPr>
                          <w:t xml:space="preserve"> و</w:t>
                        </w:r>
                        <w:r>
                          <w:rPr>
                            <w:color w:val="FFFFFF" w:themeColor="background1"/>
                            <w:sz w:val="14"/>
                            <w:szCs w:val="14"/>
                            <w:lang w:bidi="ar-EG"/>
                          </w:rPr>
                          <w:t>11</w:t>
                        </w:r>
                        <w:r>
                          <w:rPr>
                            <w:rFonts w:hint="cs"/>
                            <w:color w:val="FFFFFF" w:themeColor="background1"/>
                            <w:sz w:val="14"/>
                            <w:szCs w:val="14"/>
                            <w:rtl/>
                            <w:lang w:bidi="ar-EG"/>
                          </w:rPr>
                          <w:t xml:space="preserve"> و</w:t>
                        </w:r>
                        <w:r>
                          <w:rPr>
                            <w:color w:val="FFFFFF" w:themeColor="background1"/>
                            <w:sz w:val="14"/>
                            <w:szCs w:val="14"/>
                            <w:lang w:bidi="ar-EG"/>
                          </w:rPr>
                          <w:t>12</w:t>
                        </w:r>
                      </w:p>
                    </w:txbxContent>
                  </v:textbox>
                </v:shape>
                <v:shape id="Text Box 42" o:spid="_x0000_s1031" type="#_x0000_t202" style="position:absolute;left:3810;top:18097;width:1438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42BCE944" w14:textId="7D935399"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التنسيق بين القطاعات (فريق التنسيق بين القطاعات، فريق المهام المعني بالتنسيق بين القطاعات)</w:t>
                        </w:r>
                      </w:p>
                    </w:txbxContent>
                  </v:textbox>
                </v:shape>
                <v:shape id="Text Box 43" o:spid="_x0000_s1032" type="#_x0000_t202" style="position:absolute;left:12096;top:31432;width:962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541A4B85" w14:textId="51DDF2F7"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قطاعات الاتحاد</w:t>
                        </w:r>
                      </w:p>
                    </w:txbxContent>
                  </v:textbox>
                </v:shape>
                <v:shape id="Text Box 44" o:spid="_x0000_s1033" type="#_x0000_t202" style="position:absolute;left:2095;top:31432;width:647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F979BA4" w14:textId="060ABAA5"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الأمانة العامة</w:t>
                        </w:r>
                      </w:p>
                    </w:txbxContent>
                  </v:textbox>
                </v:shape>
                <v:shape id="Text Box 45" o:spid="_x0000_s1034" type="#_x0000_t202" style="position:absolute;left:23632;top:31543;width:5529;height:19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" filled="f" stroked="f" strokeweight=".5pt">
                  <v:textbox>
                    <w:txbxContent>
                      <w:p w14:paraId="1BE8B770" w14:textId="73454D9B"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الأنشطة</w:t>
                        </w:r>
                      </w:p>
                    </w:txbxContent>
                  </v:textbox>
                </v:shape>
                <v:shape id="Text Box 46" o:spid="_x0000_s1035" type="#_x0000_t202" style="position:absolute;left:16313;top:19786;width:12287;height:24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" filled="f" stroked="f" strokeweight=".5pt">
                  <v:textbox>
                    <w:txbxContent>
                      <w:p w14:paraId="2892E68B" w14:textId="57B348C2" w:rsidR="00D6131F" w:rsidRPr="00D6131F" w:rsidRDefault="00D6131F" w:rsidP="00D6131F">
                        <w:pPr>
                          <w:spacing w:before="0"/>
                          <w:jc w:val="center"/>
                          <w:rPr>
                            <w:i/>
                            <w:iCs/>
                            <w:color w:val="FFFFFF" w:themeColor="background1"/>
                            <w:sz w:val="14"/>
                            <w:szCs w:val="14"/>
                          </w:rPr>
                        </w:pPr>
                        <w:r w:rsidRPr="00D6131F">
                          <w:rPr>
                            <w:rFonts w:hint="cs"/>
                            <w:i/>
                            <w:iCs/>
                            <w:color w:val="FFFFFF" w:themeColor="background1"/>
                            <w:sz w:val="14"/>
                            <w:szCs w:val="14"/>
                            <w:rtl/>
                            <w:lang w:bidi="ar-EG"/>
                          </w:rPr>
                          <w:t>النتائج المباشرة لقطاعات الاتحاد</w:t>
                        </w:r>
                      </w:p>
                    </w:txbxContent>
                  </v:textbox>
                </v:shape>
                <v:shape id="Text Box 47" o:spid="_x0000_s1036" type="#_x0000_t202" style="position:absolute;left:20677;top:19173;width:10983;height:23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" filled="f" stroked="f" strokeweight=".5pt">
                  <v:textbox>
                    <w:txbxContent>
                      <w:p w14:paraId="53D26745" w14:textId="2AB9621D" w:rsidR="00D6131F" w:rsidRPr="00D6131F" w:rsidRDefault="00D6131F" w:rsidP="00D6131F">
                        <w:pPr>
                          <w:spacing w:before="0"/>
                          <w:jc w:val="center"/>
                          <w:rPr>
                            <w:color w:val="FFFFFF" w:themeColor="background1"/>
                            <w:sz w:val="14"/>
                            <w:szCs w:val="14"/>
                          </w:rPr>
                        </w:pPr>
                        <w:r w:rsidRPr="00D6131F">
                          <w:rPr>
                            <w:rFonts w:hint="cs"/>
                            <w:color w:val="FFFFFF" w:themeColor="background1"/>
                            <w:sz w:val="14"/>
                            <w:szCs w:val="14"/>
                            <w:rtl/>
                            <w:lang w:bidi="ar-EG"/>
                          </w:rPr>
                          <w:t>النتائج والنواتج</w:t>
                        </w:r>
                      </w:p>
                    </w:txbxContent>
                  </v:textbox>
                </v:shape>
                <v:shape id="Text Box 48" o:spid="_x0000_s1037" type="#_x0000_t202" style="position:absolute;left:23994;top:1708;width:4805;height:19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" filled="f" stroked="f" strokeweight=".5pt">
                  <v:textbox>
                    <w:txbxContent>
                      <w:p w14:paraId="7E63D8E7" w14:textId="1B8404D8" w:rsidR="00765259" w:rsidRPr="00D6131F" w:rsidRDefault="00765259" w:rsidP="00765259">
                        <w:pPr>
                          <w:spacing w:before="0"/>
                          <w:jc w:val="center"/>
                          <w:rPr>
                            <w:color w:val="FFFFFF" w:themeColor="background1"/>
                            <w:sz w:val="14"/>
                            <w:szCs w:val="14"/>
                          </w:rPr>
                        </w:pPr>
                        <w:r w:rsidRPr="00765259">
                          <w:rPr>
                            <w:rFonts w:hint="cs"/>
                            <w:color w:val="FFFFFF" w:themeColor="background1"/>
                            <w:sz w:val="14"/>
                            <w:szCs w:val="14"/>
                            <w:rtl/>
                            <w:lang w:bidi="ar-EG"/>
                          </w:rPr>
                          <w:t>الغايات</w:t>
                        </w:r>
                      </w:p>
                    </w:txbxContent>
                  </v:textbox>
                </v:shape>
                <v:shape id="Text Box 49" o:spid="_x0000_s1038" type="#_x0000_t202" style="position:absolute;left:23349;top:7510;width:6095;height:19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" filled="f" stroked="f" strokeweight=".5pt">
                  <v:textbox>
                    <w:txbxContent>
                      <w:p w14:paraId="0A3C3F81" w14:textId="681D1A48" w:rsidR="00765259" w:rsidRPr="00D6131F" w:rsidRDefault="00765259" w:rsidP="00765259">
                        <w:pPr>
                          <w:spacing w:before="0"/>
                          <w:jc w:val="center"/>
                          <w:rPr>
                            <w:color w:val="FFFFFF" w:themeColor="background1"/>
                            <w:sz w:val="14"/>
                            <w:szCs w:val="14"/>
                          </w:rPr>
                        </w:pPr>
                        <w:r w:rsidRPr="00765259">
                          <w:rPr>
                            <w:rFonts w:hint="cs"/>
                            <w:color w:val="FFFFFF" w:themeColor="background1"/>
                            <w:sz w:val="14"/>
                            <w:szCs w:val="14"/>
                            <w:rtl/>
                            <w:lang w:bidi="ar-EG"/>
                          </w:rPr>
                          <w:t>الأهداف</w:t>
                        </w:r>
                      </w:p>
                    </w:txbxContent>
                  </v:textbox>
                </v:shape>
                <v:shape id="Text Box 50" o:spid="_x0000_s1039" type="#_x0000_t202" style="position:absolute;left:14785;top:16605;width:37054;height:24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" filled="f" stroked="f" strokeweight=".5pt">
                  <v:textbox>
                    <w:txbxContent>
                      <w:p w14:paraId="1ADBA4C4" w14:textId="63D3D53E" w:rsidR="00765259" w:rsidRPr="00765259" w:rsidRDefault="00765259" w:rsidP="00765259">
                        <w:pPr>
                          <w:spacing w:before="0"/>
                          <w:jc w:val="center"/>
                          <w:rPr>
                            <w:b/>
                            <w:bCs/>
                            <w:color w:val="FFFFFF" w:themeColor="background1"/>
                            <w:sz w:val="18"/>
                            <w:szCs w:val="18"/>
                          </w:rPr>
                        </w:pPr>
                        <w:r w:rsidRPr="00765259">
                          <w:rPr>
                            <w:rFonts w:hint="cs"/>
                            <w:b/>
                            <w:bCs/>
                            <w:color w:val="FFFFFF" w:themeColor="background1"/>
                            <w:sz w:val="18"/>
                            <w:szCs w:val="18"/>
                            <w:rtl/>
                            <w:lang w:bidi="ar-EG"/>
                          </w:rPr>
                          <w:t>الإشراف: مجلس الاتحاد</w:t>
                        </w:r>
                      </w:p>
                    </w:txbxContent>
                  </v:textbox>
                </v:shape>
              </v:group>
            </w:pict>
          </mc:Fallback>
        </mc:AlternateContent>
      </w:r>
      <w:r w:rsidR="00D6131F">
        <w:rPr>
          <w:noProof/>
          <w:lang w:bidi="ar-EG"/>
        </w:rPr>
        <w:drawing>
          <wp:inline distT="0" distB="0" distL="0" distR="0" wp14:anchorId="13A856A6" wp14:editId="615BAEF3">
            <wp:extent cx="3792220" cy="401764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92220" cy="4017645"/>
                    </a:xfrm>
                    <a:prstGeom prst="rect">
                      <a:avLst/>
                    </a:prstGeom>
                    <a:noFill/>
                  </pic:spPr>
                </pic:pic>
              </a:graphicData>
            </a:graphic>
          </wp:inline>
        </w:drawing>
      </w:r>
    </w:p>
    <w:p w14:paraId="2FFDF75C" w14:textId="2C0A1E30" w:rsidR="00D4474C" w:rsidRDefault="00D4474C" w:rsidP="00D4474C">
      <w:pPr>
        <w:pStyle w:val="Figuretitle"/>
        <w:rPr>
          <w:rtl/>
          <w:lang w:bidi="ar-EG"/>
        </w:rPr>
      </w:pPr>
      <w:r>
        <w:rPr>
          <w:rFonts w:hint="cs"/>
          <w:rtl/>
          <w:lang w:bidi="ar-EG"/>
        </w:rPr>
        <w:t xml:space="preserve">الشكل: </w:t>
      </w:r>
      <w:r w:rsidR="00FB635F">
        <w:rPr>
          <w:rFonts w:hint="cs"/>
          <w:rtl/>
          <w:lang w:bidi="ar-EG"/>
        </w:rPr>
        <w:t>إطار</w:t>
      </w:r>
      <w:r w:rsidR="00E05B0F">
        <w:rPr>
          <w:rFonts w:hint="cs"/>
          <w:rtl/>
          <w:lang w:bidi="ar-EG"/>
        </w:rPr>
        <w:t xml:space="preserve"> الاتحاد بشأن</w:t>
      </w:r>
      <w:r w:rsidR="00FB635F">
        <w:rPr>
          <w:rFonts w:hint="cs"/>
          <w:rtl/>
          <w:lang w:bidi="ar-EG"/>
        </w:rPr>
        <w:t xml:space="preserve"> إمكانية النفاذ</w:t>
      </w:r>
    </w:p>
    <w:p w14:paraId="1FC4ABA4" w14:textId="560DBE73" w:rsidR="00D4474C" w:rsidRDefault="000E67B1" w:rsidP="00D4474C">
      <w:pPr>
        <w:pStyle w:val="Headingb"/>
        <w:rPr>
          <w:rtl/>
          <w:lang w:bidi="ar-EG"/>
        </w:rPr>
      </w:pPr>
      <w:r>
        <w:rPr>
          <w:rFonts w:hint="cs"/>
          <w:rtl/>
          <w:lang w:bidi="ar-EG"/>
        </w:rPr>
        <w:t>المنهجية والتنفيذ</w:t>
      </w:r>
    </w:p>
    <w:p w14:paraId="707244D2" w14:textId="77777777" w:rsidR="00460A8D" w:rsidRDefault="000E67B1" w:rsidP="00460A8D">
      <w:pPr>
        <w:rPr>
          <w:rtl/>
          <w:lang w:bidi="ar-EG"/>
        </w:rPr>
      </w:pPr>
      <w:r>
        <w:rPr>
          <w:rFonts w:hint="cs"/>
          <w:rtl/>
          <w:lang w:bidi="ar-EG"/>
        </w:rPr>
        <w:t xml:space="preserve">ينبغي وضع </w:t>
      </w:r>
      <w:r w:rsidRPr="00460A8D">
        <w:rPr>
          <w:rFonts w:hint="cs"/>
          <w:b/>
          <w:bCs/>
          <w:rtl/>
          <w:lang w:bidi="ar-EG"/>
        </w:rPr>
        <w:t>استراتيجية بشأن إمكانية النفاذ على مستوى الاتحاد ككل</w:t>
      </w:r>
      <w:r>
        <w:rPr>
          <w:rFonts w:hint="cs"/>
          <w:rtl/>
          <w:lang w:bidi="ar-EG"/>
        </w:rPr>
        <w:t xml:space="preserve"> ترمي إلى تحقيق الأهداف المذكورة أعلاه، مع المواظبة على رصد الإنجازات و</w:t>
      </w:r>
      <w:r w:rsidR="00460A8D">
        <w:rPr>
          <w:rFonts w:hint="cs"/>
          <w:rtl/>
          <w:lang w:bidi="ar-EG"/>
        </w:rPr>
        <w:t>عمليات التنفيذ ذات الصلة وتقييمها وتقديم تقرير بشأنها.</w:t>
      </w:r>
    </w:p>
    <w:p w14:paraId="0272F824" w14:textId="7470972B" w:rsidR="00D4474C" w:rsidRDefault="00460A8D" w:rsidP="00460A8D">
      <w:pPr>
        <w:rPr>
          <w:rtl/>
          <w:lang w:bidi="ar-EG"/>
        </w:rPr>
      </w:pPr>
      <w:r>
        <w:rPr>
          <w:rFonts w:hint="cs"/>
          <w:rtl/>
          <w:lang w:bidi="ar-EG"/>
        </w:rPr>
        <w:t xml:space="preserve">وينبغي أن تشمل هذه الاستراتيجية مؤشرات أداء رئيسية </w:t>
      </w:r>
      <w:r>
        <w:rPr>
          <w:lang w:bidi="ar-EG"/>
        </w:rPr>
        <w:t>(KPI)</w:t>
      </w:r>
      <w:r>
        <w:rPr>
          <w:rFonts w:hint="cs"/>
          <w:rtl/>
          <w:lang w:bidi="ar-EG"/>
        </w:rPr>
        <w:t xml:space="preserve"> بشأن تنفيذ كل هدف</w:t>
      </w:r>
      <w:r w:rsidR="003B75CD">
        <w:rPr>
          <w:rFonts w:hint="cs"/>
          <w:rtl/>
          <w:lang w:bidi="ar-EG"/>
        </w:rPr>
        <w:t xml:space="preserve"> وتقديرات للموارد اللازمة، وأن تشير إلى المراحل والجداول الزمنية والنتائج المتوقعة والمحققة، فضلاً عن تقييم المخاطر والتدابير المقترحة للتخفيف منها</w:t>
      </w:r>
      <w:r w:rsidR="00D4474C">
        <w:rPr>
          <w:rFonts w:hint="cs"/>
          <w:rtl/>
          <w:lang w:bidi="ar-EG"/>
        </w:rPr>
        <w:t>.</w:t>
      </w:r>
    </w:p>
    <w:p w14:paraId="3BD27559" w14:textId="1E916F59" w:rsidR="00D4474C" w:rsidRDefault="003B75CD" w:rsidP="00D4474C">
      <w:pPr>
        <w:rPr>
          <w:rtl/>
          <w:lang w:bidi="ar-EG"/>
        </w:rPr>
      </w:pPr>
      <w:r>
        <w:rPr>
          <w:rFonts w:hint="cs"/>
          <w:rtl/>
          <w:lang w:bidi="ar-EG"/>
        </w:rPr>
        <w:t xml:space="preserve">وينبغي تقديم تقرير مفصل عن </w:t>
      </w:r>
      <w:r w:rsidR="00E05B0F">
        <w:rPr>
          <w:rFonts w:hint="cs"/>
          <w:rtl/>
          <w:lang w:bidi="ar-EG"/>
        </w:rPr>
        <w:t xml:space="preserve">تنفيذ </w:t>
      </w:r>
      <w:r>
        <w:rPr>
          <w:rFonts w:hint="cs"/>
          <w:rtl/>
          <w:lang w:bidi="ar-EG"/>
        </w:rPr>
        <w:t xml:space="preserve">سياسة </w:t>
      </w:r>
      <w:r w:rsidR="00E05B0F">
        <w:rPr>
          <w:rFonts w:hint="cs"/>
          <w:rtl/>
          <w:lang w:bidi="ar-EG"/>
        </w:rPr>
        <w:t xml:space="preserve">وإطار </w:t>
      </w:r>
      <w:r>
        <w:rPr>
          <w:rFonts w:hint="cs"/>
          <w:rtl/>
          <w:lang w:bidi="ar-EG"/>
        </w:rPr>
        <w:t>الاتحاد بشأن إمكانية النفاذ</w:t>
      </w:r>
      <w:r w:rsidR="00E05B0F">
        <w:rPr>
          <w:rFonts w:hint="cs"/>
          <w:rtl/>
          <w:lang w:bidi="ar-EG"/>
        </w:rPr>
        <w:t xml:space="preserve"> إلى دورة المجلس لعام </w:t>
      </w:r>
      <w:r w:rsidR="00E05B0F">
        <w:rPr>
          <w:lang w:bidi="ar-EG"/>
        </w:rPr>
        <w:t>2022</w:t>
      </w:r>
      <w:r w:rsidR="00E05B0F">
        <w:rPr>
          <w:rFonts w:hint="cs"/>
          <w:rtl/>
          <w:lang w:bidi="ar-EG"/>
        </w:rPr>
        <w:t xml:space="preserve">، </w:t>
      </w:r>
      <w:r w:rsidR="000F1ED7">
        <w:rPr>
          <w:rFonts w:hint="cs"/>
          <w:rtl/>
        </w:rPr>
        <w:t xml:space="preserve">والمواظبة على </w:t>
      </w:r>
      <w:r w:rsidR="00E05B0F">
        <w:rPr>
          <w:rFonts w:hint="cs"/>
          <w:rtl/>
          <w:lang w:bidi="ar-EG"/>
        </w:rPr>
        <w:t xml:space="preserve">تقديم </w:t>
      </w:r>
      <w:r w:rsidR="000F1ED7">
        <w:rPr>
          <w:rFonts w:hint="cs"/>
          <w:rtl/>
          <w:lang w:bidi="ar-EG"/>
        </w:rPr>
        <w:t>معلومات</w:t>
      </w:r>
      <w:r w:rsidR="00E05B0F">
        <w:rPr>
          <w:rFonts w:hint="cs"/>
          <w:rtl/>
          <w:lang w:bidi="ar-EG"/>
        </w:rPr>
        <w:t xml:space="preserve"> </w:t>
      </w:r>
      <w:r w:rsidR="000F1ED7">
        <w:rPr>
          <w:rFonts w:hint="cs"/>
          <w:rtl/>
          <w:lang w:bidi="ar-EG"/>
        </w:rPr>
        <w:t>محدَّثة</w:t>
      </w:r>
      <w:r w:rsidR="00E05B0F">
        <w:rPr>
          <w:rFonts w:hint="cs"/>
          <w:rtl/>
          <w:lang w:bidi="ar-EG"/>
        </w:rPr>
        <w:t xml:space="preserve"> إلى دورات المجلس اللاحقة</w:t>
      </w:r>
      <w:r w:rsidR="00D4474C">
        <w:rPr>
          <w:rFonts w:hint="cs"/>
          <w:rtl/>
          <w:lang w:bidi="ar-EG"/>
        </w:rPr>
        <w:t>.</w:t>
      </w:r>
    </w:p>
    <w:p w14:paraId="118DEF2B" w14:textId="421F63DA" w:rsidR="00D4474C" w:rsidRDefault="00E05B0F" w:rsidP="00D4474C">
      <w:pPr>
        <w:pStyle w:val="Headingb"/>
        <w:rPr>
          <w:rtl/>
          <w:lang w:bidi="ar-EG"/>
        </w:rPr>
      </w:pPr>
      <w:r>
        <w:rPr>
          <w:rFonts w:hint="cs"/>
          <w:rtl/>
          <w:lang w:bidi="ar-EG"/>
        </w:rPr>
        <w:t>الموارد</w:t>
      </w:r>
    </w:p>
    <w:p w14:paraId="0D1CEF55" w14:textId="2AAFB89D" w:rsidR="00D4474C" w:rsidRDefault="00E05B0F" w:rsidP="00D4474C">
      <w:pPr>
        <w:rPr>
          <w:rtl/>
          <w:lang w:bidi="ar-EG"/>
        </w:rPr>
      </w:pPr>
      <w:r>
        <w:rPr>
          <w:rFonts w:hint="cs"/>
          <w:rtl/>
          <w:lang w:bidi="ar-EG"/>
        </w:rPr>
        <w:t xml:space="preserve">يكتسي تخصيص التمويل اللازم أهمية رئيسية لضمان تنفيذ هذه السياسة. ولا توجد حالياً ميزانية منفصلة مخصصة للخدمات المتعلقة بإمكانية النفاذ. وقد أتيحت </w:t>
      </w:r>
      <w:r w:rsidR="00712E44">
        <w:rPr>
          <w:rFonts w:hint="cs"/>
          <w:rtl/>
          <w:lang w:bidi="ar-EG"/>
        </w:rPr>
        <w:t>لعدة سنوات خدمات العرض النصي في الوقت الفعلي والترجمة إلى لغة الإشارة في أحداث مختارة للاتحاد، ولكنها كانت تموَّل من اعتمادات مخصصة (مثلاً، من ميزانية منظِّمي الحدث).</w:t>
      </w:r>
    </w:p>
    <w:p w14:paraId="2A1657E3" w14:textId="76051818" w:rsidR="00D4474C" w:rsidRPr="0073534A" w:rsidRDefault="00712E44" w:rsidP="00D4474C">
      <w:pPr>
        <w:rPr>
          <w:rtl/>
          <w:lang w:bidi="ar-EG"/>
        </w:rPr>
      </w:pPr>
      <w:r w:rsidRPr="00591BA8">
        <w:rPr>
          <w:rFonts w:hint="cs"/>
          <w:spacing w:val="-2"/>
          <w:rtl/>
          <w:lang w:bidi="ar-EG"/>
        </w:rPr>
        <w:t>و</w:t>
      </w:r>
      <w:r w:rsidR="00D4474C" w:rsidRPr="00591BA8">
        <w:rPr>
          <w:spacing w:val="-2"/>
          <w:rtl/>
        </w:rPr>
        <w:t>ي</w:t>
      </w:r>
      <w:r w:rsidRPr="00591BA8">
        <w:rPr>
          <w:rFonts w:hint="cs"/>
          <w:spacing w:val="-2"/>
          <w:rtl/>
        </w:rPr>
        <w:t>شجَّع</w:t>
      </w:r>
      <w:r w:rsidR="00D4474C" w:rsidRPr="00591BA8">
        <w:rPr>
          <w:spacing w:val="-2"/>
          <w:rtl/>
        </w:rPr>
        <w:t xml:space="preserve"> أعضاء الاتحاد </w:t>
      </w:r>
      <w:r w:rsidRPr="00591BA8">
        <w:rPr>
          <w:rFonts w:hint="cs"/>
          <w:spacing w:val="-2"/>
          <w:rtl/>
        </w:rPr>
        <w:t>أيضاً ع</w:t>
      </w:r>
      <w:r w:rsidR="00D4474C" w:rsidRPr="00591BA8">
        <w:rPr>
          <w:spacing w:val="-2"/>
          <w:rtl/>
        </w:rPr>
        <w:t xml:space="preserve">لى المساهمة في تنفيذ سياسة </w:t>
      </w:r>
      <w:r w:rsidRPr="00591BA8">
        <w:rPr>
          <w:rFonts w:hint="cs"/>
          <w:spacing w:val="-2"/>
          <w:rtl/>
        </w:rPr>
        <w:t xml:space="preserve">الاتحاد بشأن إمكانية نفاذ الأشخاص ذوي الإعاقة </w:t>
      </w:r>
      <w:r w:rsidR="00D4474C" w:rsidRPr="00591BA8">
        <w:rPr>
          <w:spacing w:val="-2"/>
          <w:rtl/>
        </w:rPr>
        <w:t xml:space="preserve">من خلال صندوق إمكانية النفاذ من أجل الشمول الرقمي للأشخاص ذوي الإعاقة الذي أنشأه الاتحاد </w:t>
      </w:r>
      <w:r w:rsidRPr="00591BA8">
        <w:rPr>
          <w:rFonts w:hint="cs"/>
          <w:spacing w:val="-2"/>
          <w:rtl/>
        </w:rPr>
        <w:t>ب</w:t>
      </w:r>
      <w:r w:rsidR="00D4474C" w:rsidRPr="00591BA8">
        <w:rPr>
          <w:spacing w:val="-2"/>
          <w:rtl/>
        </w:rPr>
        <w:t>تكليف من القرار 175 (</w:t>
      </w:r>
      <w:r w:rsidRPr="00591BA8">
        <w:rPr>
          <w:rFonts w:hint="cs"/>
          <w:spacing w:val="-2"/>
          <w:rtl/>
        </w:rPr>
        <w:t>المراجَع في دبي</w:t>
      </w:r>
      <w:r w:rsidR="00D4474C" w:rsidRPr="00591BA8">
        <w:rPr>
          <w:spacing w:val="-2"/>
          <w:rtl/>
        </w:rPr>
        <w:t xml:space="preserve">، </w:t>
      </w:r>
      <w:r w:rsidRPr="00591BA8">
        <w:rPr>
          <w:spacing w:val="-2"/>
        </w:rPr>
        <w:t>2018</w:t>
      </w:r>
      <w:r w:rsidR="00D4474C" w:rsidRPr="00591BA8">
        <w:rPr>
          <w:spacing w:val="-2"/>
          <w:rtl/>
        </w:rPr>
        <w:t>)</w:t>
      </w:r>
      <w:r w:rsidR="00D4474C" w:rsidRPr="00591BA8">
        <w:rPr>
          <w:spacing w:val="-2"/>
          <w:lang w:bidi="ar-EG"/>
        </w:rPr>
        <w:t>.</w:t>
      </w:r>
      <w:r w:rsidR="00D4474C">
        <w:rPr>
          <w:rFonts w:hint="cs"/>
          <w:rtl/>
          <w:lang w:bidi="ar-EG"/>
        </w:rPr>
        <w:t xml:space="preserve"> </w:t>
      </w:r>
      <w:r w:rsidR="0073534A">
        <w:rPr>
          <w:rFonts w:hint="cs"/>
          <w:rtl/>
          <w:lang w:bidi="ar-EG"/>
        </w:rPr>
        <w:t xml:space="preserve">ولم </w:t>
      </w:r>
      <w:r w:rsidR="000F1ED7">
        <w:rPr>
          <w:rFonts w:hint="cs"/>
          <w:rtl/>
          <w:lang w:bidi="ar-EG"/>
        </w:rPr>
        <w:t>يزوَّد</w:t>
      </w:r>
      <w:r w:rsidR="0073534A">
        <w:rPr>
          <w:rFonts w:hint="cs"/>
          <w:rtl/>
          <w:lang w:bidi="ar-EG"/>
        </w:rPr>
        <w:t xml:space="preserve"> الصندوق بأي موارد جديدة منذ عام </w:t>
      </w:r>
      <w:r w:rsidR="0073534A">
        <w:rPr>
          <w:lang w:bidi="ar-EG"/>
        </w:rPr>
        <w:t>2018</w:t>
      </w:r>
      <w:r w:rsidR="0073534A">
        <w:rPr>
          <w:rFonts w:hint="cs"/>
          <w:rtl/>
          <w:lang w:bidi="ar-EG"/>
        </w:rPr>
        <w:t>.</w:t>
      </w:r>
    </w:p>
    <w:p w14:paraId="3636684C" w14:textId="0E65C781" w:rsidR="00D4474C" w:rsidRDefault="0073534A" w:rsidP="00D4474C">
      <w:pPr>
        <w:pStyle w:val="Headingb"/>
        <w:rPr>
          <w:rtl/>
          <w:lang w:bidi="ar-EG"/>
        </w:rPr>
      </w:pPr>
      <w:r>
        <w:rPr>
          <w:rFonts w:hint="cs"/>
          <w:rtl/>
          <w:lang w:bidi="ar-EG"/>
        </w:rPr>
        <w:lastRenderedPageBreak/>
        <w:t>الاستعراض</w:t>
      </w:r>
    </w:p>
    <w:p w14:paraId="604BF45D" w14:textId="4ADCE0DF" w:rsidR="00D4474C" w:rsidRDefault="00D4474C" w:rsidP="00D4474C">
      <w:pPr>
        <w:rPr>
          <w:rtl/>
          <w:lang w:bidi="ar-EG"/>
        </w:rPr>
      </w:pPr>
      <w:r w:rsidRPr="00D4474C">
        <w:rPr>
          <w:rtl/>
        </w:rPr>
        <w:t>تنف</w:t>
      </w:r>
      <w:r w:rsidR="0073534A">
        <w:rPr>
          <w:rFonts w:hint="cs"/>
          <w:rtl/>
        </w:rPr>
        <w:t>َّ</w:t>
      </w:r>
      <w:r w:rsidRPr="00D4474C">
        <w:rPr>
          <w:rtl/>
        </w:rPr>
        <w:t>ذ</w:t>
      </w:r>
      <w:r w:rsidR="0073534A">
        <w:rPr>
          <w:rFonts w:hint="cs"/>
          <w:rtl/>
        </w:rPr>
        <w:t xml:space="preserve"> الصيغة المراجَعة لسياسة الاتحاد بشأن إمكانية نفاذ الأشخاص ذوي الإعاقة </w:t>
      </w:r>
      <w:r w:rsidRPr="00D4474C">
        <w:rPr>
          <w:rtl/>
        </w:rPr>
        <w:t xml:space="preserve">في حدود الموارد </w:t>
      </w:r>
      <w:r w:rsidR="0073534A">
        <w:rPr>
          <w:rFonts w:hint="cs"/>
          <w:rtl/>
        </w:rPr>
        <w:t xml:space="preserve">المخصصة </w:t>
      </w:r>
      <w:r w:rsidRPr="00D4474C">
        <w:rPr>
          <w:rtl/>
        </w:rPr>
        <w:t xml:space="preserve">المتاحة وتدخل حيز </w:t>
      </w:r>
      <w:r w:rsidR="0073534A">
        <w:rPr>
          <w:rFonts w:hint="cs"/>
          <w:rtl/>
        </w:rPr>
        <w:t>النفاذ</w:t>
      </w:r>
      <w:r w:rsidRPr="00D4474C">
        <w:rPr>
          <w:rtl/>
        </w:rPr>
        <w:t xml:space="preserve"> اعتباراً من تاريخ </w:t>
      </w:r>
      <w:r w:rsidR="0073534A">
        <w:rPr>
          <w:rFonts w:hint="cs"/>
          <w:rtl/>
        </w:rPr>
        <w:t xml:space="preserve">إقرارها </w:t>
      </w:r>
      <w:r w:rsidR="0073534A">
        <w:rPr>
          <w:rFonts w:hint="cs"/>
          <w:rtl/>
          <w:lang w:bidi="ar-EG"/>
        </w:rPr>
        <w:t>في مجلس الاتحاد.</w:t>
      </w:r>
    </w:p>
    <w:p w14:paraId="5CEA7BEF" w14:textId="4B9B4AFA" w:rsidR="00D4474C" w:rsidRDefault="0073534A" w:rsidP="00D4474C">
      <w:pPr>
        <w:rPr>
          <w:rtl/>
          <w:lang w:bidi="ar-EG"/>
        </w:rPr>
      </w:pPr>
      <w:r>
        <w:rPr>
          <w:rFonts w:hint="cs"/>
          <w:rtl/>
          <w:lang w:bidi="ar-EG"/>
        </w:rPr>
        <w:t xml:space="preserve">وستُستعرض </w:t>
      </w:r>
      <w:r w:rsidRPr="00D4474C">
        <w:rPr>
          <w:rtl/>
        </w:rPr>
        <w:t xml:space="preserve">سياسة </w:t>
      </w:r>
      <w:r>
        <w:rPr>
          <w:rFonts w:hint="cs"/>
          <w:rtl/>
        </w:rPr>
        <w:t>الاتحاد بشأن إمكانية نفاذ الأشخاص ذوي الإعاقة وتُحدَّث على الأقل</w:t>
      </w:r>
      <w:r w:rsidR="000F1ED7">
        <w:rPr>
          <w:rFonts w:hint="cs"/>
          <w:rtl/>
        </w:rPr>
        <w:t xml:space="preserve"> مرة</w:t>
      </w:r>
      <w:r>
        <w:rPr>
          <w:rFonts w:hint="cs"/>
          <w:rtl/>
        </w:rPr>
        <w:t xml:space="preserve"> كل أربع سنوات بعد </w:t>
      </w:r>
      <w:r w:rsidR="002E6435">
        <w:rPr>
          <w:rFonts w:hint="cs"/>
          <w:rtl/>
          <w:lang w:bidi="ar-EG"/>
        </w:rPr>
        <w:t xml:space="preserve">وضعها </w:t>
      </w:r>
      <w:r w:rsidR="000F1ED7">
        <w:rPr>
          <w:rFonts w:hint="cs"/>
          <w:rtl/>
          <w:lang w:bidi="ar-EG"/>
        </w:rPr>
        <w:t>للاستفادة</w:t>
      </w:r>
      <w:r w:rsidR="002E6435">
        <w:rPr>
          <w:rFonts w:hint="cs"/>
          <w:rtl/>
          <w:lang w:bidi="ar-EG"/>
        </w:rPr>
        <w:t xml:space="preserve"> من أفضل الممارسات</w:t>
      </w:r>
      <w:r w:rsidR="000F1ED7">
        <w:rPr>
          <w:rFonts w:hint="cs"/>
          <w:rtl/>
          <w:lang w:bidi="ar-EG"/>
        </w:rPr>
        <w:t xml:space="preserve"> المستجدة</w:t>
      </w:r>
      <w:r w:rsidR="002E6435">
        <w:rPr>
          <w:rFonts w:hint="cs"/>
          <w:rtl/>
          <w:lang w:bidi="ar-EG"/>
        </w:rPr>
        <w:t xml:space="preserve"> والدروس المستفادة </w:t>
      </w:r>
      <w:r w:rsidR="00914094">
        <w:rPr>
          <w:rFonts w:hint="cs"/>
          <w:rtl/>
          <w:lang w:bidi="ar-EG"/>
        </w:rPr>
        <w:t>ولمراعاة</w:t>
      </w:r>
      <w:r w:rsidR="002E6435">
        <w:rPr>
          <w:rFonts w:hint="cs"/>
          <w:rtl/>
          <w:lang w:bidi="ar-EG"/>
        </w:rPr>
        <w:t xml:space="preserve"> التقدم التكنولوجي </w:t>
      </w:r>
      <w:r w:rsidR="00BF36B2">
        <w:rPr>
          <w:rFonts w:hint="cs"/>
          <w:rtl/>
          <w:lang w:bidi="ar-EG"/>
        </w:rPr>
        <w:t>المحرز في مجال إمكانية النفاذ</w:t>
      </w:r>
      <w:r w:rsidR="00591BA8">
        <w:rPr>
          <w:rFonts w:hint="eastAsia"/>
          <w:rtl/>
          <w:lang w:bidi="ar-EG"/>
        </w:rPr>
        <w:t> </w:t>
      </w:r>
      <w:r w:rsidR="00BF36B2">
        <w:rPr>
          <w:rFonts w:hint="cs"/>
          <w:rtl/>
          <w:lang w:bidi="ar-EG"/>
        </w:rPr>
        <w:t>الرقمي</w:t>
      </w:r>
      <w:r w:rsidR="00D4474C">
        <w:rPr>
          <w:rFonts w:hint="cs"/>
          <w:rtl/>
          <w:lang w:bidi="ar-EG"/>
        </w:rPr>
        <w:t>.</w:t>
      </w:r>
    </w:p>
    <w:p w14:paraId="78E300DA" w14:textId="3CB5510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w:t>
      </w:r>
    </w:p>
    <w:sectPr w:rsidR="00BB7213" w:rsidSect="006C3242">
      <w:headerReference w:type="default" r:id="rId28"/>
      <w:foot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BE92" w14:textId="77777777" w:rsidR="00C36240" w:rsidRDefault="00C36240" w:rsidP="006C3242">
      <w:pPr>
        <w:spacing w:before="0" w:line="240" w:lineRule="auto"/>
      </w:pPr>
      <w:r>
        <w:separator/>
      </w:r>
    </w:p>
  </w:endnote>
  <w:endnote w:type="continuationSeparator" w:id="0">
    <w:p w14:paraId="744270B9" w14:textId="77777777" w:rsidR="00C36240" w:rsidRDefault="00C3624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B7A4" w14:textId="516B7F54"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390F26">
      <w:rPr>
        <w:color w:val="F2F2F2" w:themeColor="background1" w:themeShade="F2"/>
        <w:sz w:val="16"/>
        <w:szCs w:val="16"/>
        <w:lang w:val="fr-FR"/>
      </w:rPr>
      <w:fldChar w:fldCharType="begin"/>
    </w:r>
    <w:r w:rsidRPr="00390F26">
      <w:rPr>
        <w:color w:val="F2F2F2" w:themeColor="background1" w:themeShade="F2"/>
        <w:sz w:val="16"/>
        <w:szCs w:val="16"/>
        <w:lang w:val="fr-FR"/>
      </w:rPr>
      <w:instrText xml:space="preserve"> FILENAME \p \* MERGEFORMAT </w:instrText>
    </w:r>
    <w:r w:rsidRPr="00390F26">
      <w:rPr>
        <w:color w:val="F2F2F2" w:themeColor="background1" w:themeShade="F2"/>
        <w:sz w:val="16"/>
        <w:szCs w:val="16"/>
        <w:lang w:val="fr-FR"/>
      </w:rPr>
      <w:fldChar w:fldCharType="separate"/>
    </w:r>
    <w:r w:rsidR="0047026B" w:rsidRPr="00390F26">
      <w:rPr>
        <w:noProof/>
        <w:color w:val="F2F2F2" w:themeColor="background1" w:themeShade="F2"/>
        <w:sz w:val="16"/>
        <w:szCs w:val="16"/>
        <w:lang w:val="fr-FR"/>
      </w:rPr>
      <w:t>P:\ARA\SG\CONSEIL\C21\000\072A.docx</w:t>
    </w:r>
    <w:r w:rsidRPr="00390F26">
      <w:rPr>
        <w:color w:val="F2F2F2" w:themeColor="background1" w:themeShade="F2"/>
        <w:sz w:val="16"/>
        <w:szCs w:val="16"/>
      </w:rPr>
      <w:fldChar w:fldCharType="end"/>
    </w:r>
    <w:r w:rsidRPr="00390F26">
      <w:rPr>
        <w:color w:val="F2F2F2" w:themeColor="background1" w:themeShade="F2"/>
        <w:sz w:val="16"/>
        <w:szCs w:val="16"/>
        <w:lang w:val="fr-CH"/>
      </w:rPr>
      <w:t xml:space="preserve">  </w:t>
    </w:r>
    <w:r w:rsidRPr="00390F26">
      <w:rPr>
        <w:color w:val="F2F2F2" w:themeColor="background1" w:themeShade="F2"/>
        <w:sz w:val="16"/>
        <w:szCs w:val="16"/>
        <w:lang w:val="fr-FR"/>
      </w:rPr>
      <w:t xml:space="preserve"> (</w:t>
    </w:r>
    <w:r w:rsidR="00EA31B4" w:rsidRPr="00390F26">
      <w:rPr>
        <w:color w:val="F2F2F2" w:themeColor="background1" w:themeShade="F2"/>
        <w:sz w:val="16"/>
        <w:szCs w:val="16"/>
        <w:lang w:val="fr-FR"/>
      </w:rPr>
      <w:t>485457</w:t>
    </w:r>
    <w:r w:rsidRPr="00390F26">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ED9C"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34EA" w14:textId="77777777" w:rsidR="00C36240" w:rsidRDefault="00C36240" w:rsidP="006C3242">
      <w:pPr>
        <w:spacing w:before="0" w:line="240" w:lineRule="auto"/>
      </w:pPr>
      <w:r>
        <w:separator/>
      </w:r>
    </w:p>
  </w:footnote>
  <w:footnote w:type="continuationSeparator" w:id="0">
    <w:p w14:paraId="1BEF3F51" w14:textId="77777777" w:rsidR="00C36240" w:rsidRDefault="00C36240" w:rsidP="006C3242">
      <w:pPr>
        <w:spacing w:before="0" w:line="240" w:lineRule="auto"/>
      </w:pPr>
      <w:r>
        <w:continuationSeparator/>
      </w:r>
    </w:p>
  </w:footnote>
  <w:footnote w:id="1">
    <w:p w14:paraId="0F0A1B73" w14:textId="2C369EDB" w:rsidR="00D4474C" w:rsidRDefault="00D4474C" w:rsidP="0004109E">
      <w:pPr>
        <w:pStyle w:val="FootnoteText"/>
        <w:tabs>
          <w:tab w:val="clear" w:pos="794"/>
          <w:tab w:val="left" w:pos="425"/>
        </w:tabs>
        <w:rPr>
          <w:lang w:bidi="ar-EG"/>
        </w:rPr>
      </w:pPr>
      <w:r>
        <w:rPr>
          <w:rStyle w:val="FootnoteReference"/>
        </w:rPr>
        <w:footnoteRef/>
      </w:r>
      <w:r w:rsidR="0004109E">
        <w:rPr>
          <w:rtl/>
        </w:rPr>
        <w:tab/>
      </w:r>
      <w:r w:rsidR="002555CA">
        <w:rPr>
          <w:rFonts w:hint="cs"/>
          <w:rtl/>
        </w:rPr>
        <w:t>ضمن الحدود التي تمليها السن الإلزامية للتقاعد.</w:t>
      </w:r>
    </w:p>
  </w:footnote>
  <w:footnote w:id="2">
    <w:p w14:paraId="24C32696" w14:textId="65151028" w:rsidR="00D4474C" w:rsidRDefault="00D4474C" w:rsidP="0004109E">
      <w:pPr>
        <w:pStyle w:val="FootnoteText"/>
        <w:tabs>
          <w:tab w:val="clear" w:pos="794"/>
          <w:tab w:val="left" w:pos="425"/>
        </w:tabs>
        <w:rPr>
          <w:lang w:bidi="ar-EG"/>
        </w:rPr>
      </w:pPr>
      <w:r>
        <w:rPr>
          <w:rStyle w:val="FootnoteReference"/>
        </w:rPr>
        <w:footnoteRef/>
      </w:r>
      <w:r w:rsidR="0004109E">
        <w:rPr>
          <w:rtl/>
        </w:rPr>
        <w:tab/>
      </w:r>
      <w:r w:rsidR="0036697C">
        <w:rPr>
          <w:rFonts w:hint="cs"/>
          <w:rtl/>
        </w:rPr>
        <w:t>سياسة تقديم الم</w:t>
      </w:r>
      <w:r w:rsidR="00B7600B">
        <w:rPr>
          <w:rFonts w:hint="cs"/>
          <w:rtl/>
        </w:rPr>
        <w:t>ِ</w:t>
      </w:r>
      <w:r w:rsidR="0036697C">
        <w:rPr>
          <w:rFonts w:hint="cs"/>
          <w:rtl/>
        </w:rPr>
        <w:t>نح للمشاركة في الأحداث والأنشطة الممولة من الميزانية العادية للاتحاد</w:t>
      </w:r>
      <w:r w:rsidR="008A4246">
        <w:rPr>
          <w:rFonts w:hint="cs"/>
          <w:rtl/>
        </w:rPr>
        <w:t xml:space="preserve">، وفقاً للأمر الإداري رقم </w:t>
      </w:r>
      <w:r w:rsidR="0004109E">
        <w:t>02</w:t>
      </w:r>
      <w:r w:rsidR="008A4246" w:rsidRPr="00B8003C">
        <w:t>/</w:t>
      </w:r>
      <w:r w:rsidR="0004109E">
        <w:t>21</w:t>
      </w:r>
      <w:r w:rsidR="008A4246">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8A6D" w14:textId="52329109" w:rsidR="00447F32" w:rsidRPr="00447F32" w:rsidRDefault="00390F2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C36240">
          <w:rPr>
            <w:rFonts w:cs="Calibri"/>
            <w:noProof/>
            <w:sz w:val="20"/>
            <w:szCs w:val="20"/>
          </w:rPr>
          <w:t>72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40"/>
    <w:rsid w:val="00022B5D"/>
    <w:rsid w:val="0004109E"/>
    <w:rsid w:val="00090574"/>
    <w:rsid w:val="000C1C0E"/>
    <w:rsid w:val="000C548A"/>
    <w:rsid w:val="000E67B1"/>
    <w:rsid w:val="000F1ED7"/>
    <w:rsid w:val="000F76C1"/>
    <w:rsid w:val="00143F79"/>
    <w:rsid w:val="0015650C"/>
    <w:rsid w:val="0017657A"/>
    <w:rsid w:val="00181D90"/>
    <w:rsid w:val="001C0169"/>
    <w:rsid w:val="001C27C0"/>
    <w:rsid w:val="001D1D50"/>
    <w:rsid w:val="001D6745"/>
    <w:rsid w:val="001E446E"/>
    <w:rsid w:val="001E68C8"/>
    <w:rsid w:val="001E711E"/>
    <w:rsid w:val="00201276"/>
    <w:rsid w:val="002131DF"/>
    <w:rsid w:val="002154EE"/>
    <w:rsid w:val="002276D2"/>
    <w:rsid w:val="0023283D"/>
    <w:rsid w:val="002555CA"/>
    <w:rsid w:val="0026373E"/>
    <w:rsid w:val="00271C43"/>
    <w:rsid w:val="00290728"/>
    <w:rsid w:val="002978F4"/>
    <w:rsid w:val="002B028D"/>
    <w:rsid w:val="002E23B5"/>
    <w:rsid w:val="002E6435"/>
    <w:rsid w:val="002E6541"/>
    <w:rsid w:val="002F71D8"/>
    <w:rsid w:val="00334924"/>
    <w:rsid w:val="003409BC"/>
    <w:rsid w:val="00346700"/>
    <w:rsid w:val="00357185"/>
    <w:rsid w:val="0036697C"/>
    <w:rsid w:val="00383829"/>
    <w:rsid w:val="00390F26"/>
    <w:rsid w:val="003A3C59"/>
    <w:rsid w:val="003B75CD"/>
    <w:rsid w:val="003C6B4F"/>
    <w:rsid w:val="003F4B29"/>
    <w:rsid w:val="0042686F"/>
    <w:rsid w:val="004317D8"/>
    <w:rsid w:val="00434183"/>
    <w:rsid w:val="00443869"/>
    <w:rsid w:val="00447F32"/>
    <w:rsid w:val="00451CE6"/>
    <w:rsid w:val="00460A8D"/>
    <w:rsid w:val="0047026B"/>
    <w:rsid w:val="0048474B"/>
    <w:rsid w:val="0048540C"/>
    <w:rsid w:val="004A5C7F"/>
    <w:rsid w:val="004B1BAE"/>
    <w:rsid w:val="004E11DC"/>
    <w:rsid w:val="004F3908"/>
    <w:rsid w:val="0051394C"/>
    <w:rsid w:val="005409AC"/>
    <w:rsid w:val="0054353C"/>
    <w:rsid w:val="005472AD"/>
    <w:rsid w:val="0055516A"/>
    <w:rsid w:val="005805EA"/>
    <w:rsid w:val="0058491B"/>
    <w:rsid w:val="00591BA8"/>
    <w:rsid w:val="00592EA5"/>
    <w:rsid w:val="005A3170"/>
    <w:rsid w:val="005B1652"/>
    <w:rsid w:val="0060488D"/>
    <w:rsid w:val="00614855"/>
    <w:rsid w:val="0065018A"/>
    <w:rsid w:val="00674BD0"/>
    <w:rsid w:val="00677396"/>
    <w:rsid w:val="0069200F"/>
    <w:rsid w:val="006A65CB"/>
    <w:rsid w:val="006A793B"/>
    <w:rsid w:val="006C3242"/>
    <w:rsid w:val="006C7CC0"/>
    <w:rsid w:val="006F63F7"/>
    <w:rsid w:val="007025C7"/>
    <w:rsid w:val="00706D7A"/>
    <w:rsid w:val="00712E44"/>
    <w:rsid w:val="00721B25"/>
    <w:rsid w:val="00722F0D"/>
    <w:rsid w:val="0073534A"/>
    <w:rsid w:val="0074420E"/>
    <w:rsid w:val="00751700"/>
    <w:rsid w:val="00765259"/>
    <w:rsid w:val="0078046F"/>
    <w:rsid w:val="00783E26"/>
    <w:rsid w:val="00784695"/>
    <w:rsid w:val="00784744"/>
    <w:rsid w:val="0079226E"/>
    <w:rsid w:val="007C3BC7"/>
    <w:rsid w:val="007C3BCD"/>
    <w:rsid w:val="007D4ACF"/>
    <w:rsid w:val="007F0787"/>
    <w:rsid w:val="007F40A9"/>
    <w:rsid w:val="00810B7B"/>
    <w:rsid w:val="008142D7"/>
    <w:rsid w:val="0082358A"/>
    <w:rsid w:val="008235CD"/>
    <w:rsid w:val="008247DE"/>
    <w:rsid w:val="00840B10"/>
    <w:rsid w:val="008513CB"/>
    <w:rsid w:val="008877BB"/>
    <w:rsid w:val="008A4246"/>
    <w:rsid w:val="008A7F84"/>
    <w:rsid w:val="00914094"/>
    <w:rsid w:val="0091702E"/>
    <w:rsid w:val="00923B0C"/>
    <w:rsid w:val="00926D5B"/>
    <w:rsid w:val="00937E60"/>
    <w:rsid w:val="0094021C"/>
    <w:rsid w:val="00952F86"/>
    <w:rsid w:val="0098106F"/>
    <w:rsid w:val="00982B28"/>
    <w:rsid w:val="009D313F"/>
    <w:rsid w:val="00A2126B"/>
    <w:rsid w:val="00A3693E"/>
    <w:rsid w:val="00A47A5A"/>
    <w:rsid w:val="00A6683B"/>
    <w:rsid w:val="00A7097F"/>
    <w:rsid w:val="00A763D7"/>
    <w:rsid w:val="00A97F94"/>
    <w:rsid w:val="00AA77C8"/>
    <w:rsid w:val="00AD0E93"/>
    <w:rsid w:val="00AE1F9B"/>
    <w:rsid w:val="00B03099"/>
    <w:rsid w:val="00B05BC8"/>
    <w:rsid w:val="00B16E2E"/>
    <w:rsid w:val="00B36403"/>
    <w:rsid w:val="00B36405"/>
    <w:rsid w:val="00B62312"/>
    <w:rsid w:val="00B64B47"/>
    <w:rsid w:val="00B7600B"/>
    <w:rsid w:val="00BB7213"/>
    <w:rsid w:val="00BE72C6"/>
    <w:rsid w:val="00BF2126"/>
    <w:rsid w:val="00BF36B2"/>
    <w:rsid w:val="00C002DE"/>
    <w:rsid w:val="00C04EB2"/>
    <w:rsid w:val="00C36240"/>
    <w:rsid w:val="00C46A67"/>
    <w:rsid w:val="00C53BF8"/>
    <w:rsid w:val="00C566BA"/>
    <w:rsid w:val="00C66157"/>
    <w:rsid w:val="00C674FE"/>
    <w:rsid w:val="00C67501"/>
    <w:rsid w:val="00C67A87"/>
    <w:rsid w:val="00C75633"/>
    <w:rsid w:val="00CC3135"/>
    <w:rsid w:val="00CE2EE1"/>
    <w:rsid w:val="00CE3349"/>
    <w:rsid w:val="00CE36E5"/>
    <w:rsid w:val="00CF27F5"/>
    <w:rsid w:val="00CF3FFD"/>
    <w:rsid w:val="00D10CCF"/>
    <w:rsid w:val="00D4474C"/>
    <w:rsid w:val="00D56AB7"/>
    <w:rsid w:val="00D6131F"/>
    <w:rsid w:val="00D77D0F"/>
    <w:rsid w:val="00D94376"/>
    <w:rsid w:val="00D97B84"/>
    <w:rsid w:val="00DA1CF0"/>
    <w:rsid w:val="00DC1E02"/>
    <w:rsid w:val="00DC24B4"/>
    <w:rsid w:val="00DC3116"/>
    <w:rsid w:val="00DC5FB0"/>
    <w:rsid w:val="00DF16DC"/>
    <w:rsid w:val="00DF3299"/>
    <w:rsid w:val="00E05B0F"/>
    <w:rsid w:val="00E310D9"/>
    <w:rsid w:val="00E45211"/>
    <w:rsid w:val="00E473C5"/>
    <w:rsid w:val="00E62578"/>
    <w:rsid w:val="00E92863"/>
    <w:rsid w:val="00EA31B4"/>
    <w:rsid w:val="00EB796D"/>
    <w:rsid w:val="00F058DC"/>
    <w:rsid w:val="00F24FC4"/>
    <w:rsid w:val="00F25239"/>
    <w:rsid w:val="00F2676C"/>
    <w:rsid w:val="00F35E58"/>
    <w:rsid w:val="00F5747A"/>
    <w:rsid w:val="00F63682"/>
    <w:rsid w:val="00F84366"/>
    <w:rsid w:val="00F85089"/>
    <w:rsid w:val="00F974C5"/>
    <w:rsid w:val="00FA3255"/>
    <w:rsid w:val="00FA6F46"/>
    <w:rsid w:val="00FB635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03AC38"/>
  <w15:chartTrackingRefBased/>
  <w15:docId w15:val="{DDF7DDBD-7E51-4FBF-92D3-8D7A9C0C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C36240"/>
    <w:rPr>
      <w:color w:val="605E5C"/>
      <w:shd w:val="clear" w:color="auto" w:fill="E1DFDD"/>
    </w:rPr>
  </w:style>
  <w:style w:type="character" w:styleId="FollowedHyperlink">
    <w:name w:val="FollowedHyperlink"/>
    <w:basedOn w:val="DefaultParagraphFont"/>
    <w:uiPriority w:val="99"/>
    <w:semiHidden/>
    <w:unhideWhenUsed/>
    <w:rsid w:val="00BF2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pub/R-RES-R.67" TargetMode="External"/><Relationship Id="rId18" Type="http://schemas.openxmlformats.org/officeDocument/2006/relationships/hyperlink" Target="https://www.itu.int/en/council/Documents/basic-texts/RES-175-E.pdf" TargetMode="External"/><Relationship Id="rId26" Type="http://schemas.openxmlformats.org/officeDocument/2006/relationships/hyperlink" Target="https://www.itu.int/en/general-secretariat/ties/ISCGDocumentLibrary/1st%20Meeting%202021/ISCG-21-1-07-E-1st%20Meeting%202021-Final%20Report.docx" TargetMode="External"/><Relationship Id="rId3" Type="http://schemas.openxmlformats.org/officeDocument/2006/relationships/styles" Target="styles.xml"/><Relationship Id="rId21" Type="http://schemas.openxmlformats.org/officeDocument/2006/relationships/hyperlink" Target="https://www.itu.int/pub/R-RES-R.67" TargetMode="External"/><Relationship Id="rId7" Type="http://schemas.openxmlformats.org/officeDocument/2006/relationships/endnotes" Target="endnotes.xml"/><Relationship Id="rId12" Type="http://schemas.openxmlformats.org/officeDocument/2006/relationships/hyperlink" Target="https://www.itu.int/opb/publications.aspx?lang=en&amp;parent=T-RES-T.70-2016" TargetMode="External"/><Relationship Id="rId17" Type="http://schemas.openxmlformats.org/officeDocument/2006/relationships/hyperlink" Target="https://www.unjiu.org/sites/www.unjiu.org/files/jiu_rep_2018_6_english.pdf" TargetMode="External"/><Relationship Id="rId25" Type="http://schemas.openxmlformats.org/officeDocument/2006/relationships/hyperlink" Target="https://www.itu.int/en/general-secretariat/Pages/ISCG/default.aspx" TargetMode="External"/><Relationship Id="rId2" Type="http://schemas.openxmlformats.org/officeDocument/2006/relationships/numbering" Target="numbering.xml"/><Relationship Id="rId16" Type="http://schemas.openxmlformats.org/officeDocument/2006/relationships/hyperlink" Target="https://www.itu.int/en/council/Documents/basic-texts/RES-175-E.pdf" TargetMode="External"/><Relationship Id="rId20" Type="http://schemas.openxmlformats.org/officeDocument/2006/relationships/hyperlink" Target="https://www.itu.int/opb/publications.aspx?lang=en&amp;parent=T-RES-T.70-201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en.pdf" TargetMode="External"/><Relationship Id="rId24" Type="http://schemas.openxmlformats.org/officeDocument/2006/relationships/hyperlink" Target="https://www.un.org/en/content/disabilitystrateg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org/development/desa/disabilities/convention-on-the-rights-of-persons-with-disabilities.html" TargetMode="External"/><Relationship Id="rId23" Type="http://schemas.openxmlformats.org/officeDocument/2006/relationships/hyperlink" Target="https://itu.foleon.com/itu/connect-2030-agenda/home/" TargetMode="External"/><Relationship Id="rId28" Type="http://schemas.openxmlformats.org/officeDocument/2006/relationships/header" Target="header1.xml"/><Relationship Id="rId10" Type="http://schemas.openxmlformats.org/officeDocument/2006/relationships/hyperlink" Target="https://www.itu.int/en/council/Documents/basic-texts/RES-175-E.pdf" TargetMode="External"/><Relationship Id="rId19" Type="http://schemas.openxmlformats.org/officeDocument/2006/relationships/hyperlink" Target="https://www.itu.int/en/ITU-D/Conferences/WTDC/WTDC17/Documents/WTDC17_final_report_e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S13-CL-C-0042/en" TargetMode="External"/><Relationship Id="rId14" Type="http://schemas.openxmlformats.org/officeDocument/2006/relationships/hyperlink" Target="http://www.itu.int/md/S13-CL-C-0042/en" TargetMode="External"/><Relationship Id="rId22" Type="http://schemas.openxmlformats.org/officeDocument/2006/relationships/hyperlink" Target="https://www.itu.int/en/council/planning/Documents/ITU_Strategic_plan_2020-2023.pdf" TargetMode="External"/><Relationship Id="rId27" Type="http://schemas.openxmlformats.org/officeDocument/2006/relationships/image" Target="media/image2.pn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1548</Words>
  <Characters>8827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accessibility policy for persons with disabilities</dc:title>
  <dc:subject>Council 2021, Virtual consultation of councillors</dc:subject>
  <dc:creator>Elbahnassawy, Ganat</dc:creator>
  <cp:keywords>C2021, C21, VCC, C21-VCC-1</cp:keywords>
  <dc:description/>
  <cp:lastModifiedBy>Xue, Kun</cp:lastModifiedBy>
  <cp:revision>2</cp:revision>
  <dcterms:created xsi:type="dcterms:W3CDTF">2021-06-07T12:41:00Z</dcterms:created>
  <dcterms:modified xsi:type="dcterms:W3CDTF">2021-06-07T12:41:00Z</dcterms:modified>
</cp:coreProperties>
</file>