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A4E01" w:rsidRPr="00813E5E" w14:paraId="5876A568" w14:textId="77777777" w:rsidTr="00D2656A">
        <w:trPr>
          <w:cantSplit/>
          <w:trHeight w:val="1276"/>
        </w:trPr>
        <w:tc>
          <w:tcPr>
            <w:tcW w:w="6911" w:type="dxa"/>
          </w:tcPr>
          <w:p w14:paraId="5B6ACD3F" w14:textId="77777777" w:rsidR="00CA4E01" w:rsidRPr="00813E5E" w:rsidRDefault="00CA4E01" w:rsidP="00D2656A">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2B50DE8E" w14:textId="77777777" w:rsidR="00CA4E01" w:rsidRPr="00813E5E" w:rsidRDefault="00CA4E01" w:rsidP="00D2656A">
            <w:pPr>
              <w:spacing w:before="0" w:line="240" w:lineRule="atLeast"/>
            </w:pPr>
            <w:bookmarkStart w:id="1" w:name="ditulogo"/>
            <w:bookmarkEnd w:id="1"/>
            <w:r>
              <w:rPr>
                <w:noProof/>
                <w:lang w:val="en-US"/>
              </w:rPr>
              <w:drawing>
                <wp:inline distT="0" distB="0" distL="0" distR="0" wp14:anchorId="0670290E" wp14:editId="17E3BBA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A4E01" w:rsidRPr="00813E5E" w14:paraId="7DCD0CAB" w14:textId="77777777" w:rsidTr="00D2656A">
        <w:trPr>
          <w:cantSplit/>
        </w:trPr>
        <w:tc>
          <w:tcPr>
            <w:tcW w:w="6911" w:type="dxa"/>
            <w:tcBorders>
              <w:bottom w:val="single" w:sz="12" w:space="0" w:color="auto"/>
            </w:tcBorders>
          </w:tcPr>
          <w:p w14:paraId="5AB46CFB" w14:textId="77777777" w:rsidR="00CA4E01" w:rsidRPr="00813E5E" w:rsidRDefault="00CA4E01" w:rsidP="00D2656A">
            <w:pPr>
              <w:spacing w:before="0" w:line="240" w:lineRule="atLeast"/>
              <w:rPr>
                <w:b/>
                <w:smallCaps/>
                <w:szCs w:val="24"/>
              </w:rPr>
            </w:pPr>
          </w:p>
        </w:tc>
        <w:tc>
          <w:tcPr>
            <w:tcW w:w="3120" w:type="dxa"/>
            <w:tcBorders>
              <w:bottom w:val="single" w:sz="12" w:space="0" w:color="auto"/>
            </w:tcBorders>
          </w:tcPr>
          <w:p w14:paraId="56C5D018" w14:textId="77777777" w:rsidR="00CA4E01" w:rsidRPr="00813E5E" w:rsidRDefault="00CA4E01" w:rsidP="00D2656A">
            <w:pPr>
              <w:spacing w:before="0" w:line="240" w:lineRule="atLeast"/>
              <w:rPr>
                <w:szCs w:val="24"/>
              </w:rPr>
            </w:pPr>
          </w:p>
        </w:tc>
      </w:tr>
      <w:tr w:rsidR="00CA4E01" w:rsidRPr="00813E5E" w14:paraId="024C2BA4" w14:textId="77777777" w:rsidTr="00D2656A">
        <w:trPr>
          <w:cantSplit/>
        </w:trPr>
        <w:tc>
          <w:tcPr>
            <w:tcW w:w="6911" w:type="dxa"/>
            <w:tcBorders>
              <w:top w:val="single" w:sz="12" w:space="0" w:color="auto"/>
            </w:tcBorders>
          </w:tcPr>
          <w:p w14:paraId="3E6C082A" w14:textId="77777777" w:rsidR="00CA4E01" w:rsidRPr="00813E5E" w:rsidRDefault="00CA4E01" w:rsidP="00D2656A">
            <w:pPr>
              <w:spacing w:before="0" w:line="240" w:lineRule="atLeast"/>
              <w:rPr>
                <w:b/>
                <w:smallCaps/>
                <w:szCs w:val="24"/>
              </w:rPr>
            </w:pPr>
          </w:p>
        </w:tc>
        <w:tc>
          <w:tcPr>
            <w:tcW w:w="3120" w:type="dxa"/>
            <w:tcBorders>
              <w:top w:val="single" w:sz="12" w:space="0" w:color="auto"/>
            </w:tcBorders>
          </w:tcPr>
          <w:p w14:paraId="5181F977" w14:textId="77777777" w:rsidR="00CA4E01" w:rsidRPr="00813E5E" w:rsidRDefault="00CA4E01" w:rsidP="00D2656A">
            <w:pPr>
              <w:spacing w:before="0" w:line="240" w:lineRule="atLeast"/>
              <w:rPr>
                <w:szCs w:val="24"/>
              </w:rPr>
            </w:pPr>
          </w:p>
        </w:tc>
      </w:tr>
      <w:tr w:rsidR="00CA4E01" w:rsidRPr="00813E5E" w14:paraId="3DC9BB6F" w14:textId="77777777" w:rsidTr="00D2656A">
        <w:trPr>
          <w:cantSplit/>
          <w:trHeight w:val="23"/>
        </w:trPr>
        <w:tc>
          <w:tcPr>
            <w:tcW w:w="6911" w:type="dxa"/>
            <w:vMerge w:val="restart"/>
          </w:tcPr>
          <w:p w14:paraId="3F32EB26" w14:textId="77777777" w:rsidR="00CA4E01" w:rsidRPr="00E85629" w:rsidRDefault="00CA4E01" w:rsidP="00D2656A">
            <w:pPr>
              <w:tabs>
                <w:tab w:val="left" w:pos="851"/>
              </w:tabs>
              <w:spacing w:before="0" w:line="240" w:lineRule="atLeast"/>
              <w:rPr>
                <w:b/>
              </w:rPr>
            </w:pPr>
            <w:bookmarkStart w:id="2" w:name="dmeeting" w:colFirst="0" w:colLast="0"/>
            <w:bookmarkStart w:id="3" w:name="dnum" w:colFirst="1" w:colLast="1"/>
            <w:r>
              <w:rPr>
                <w:b/>
              </w:rPr>
              <w:t>Agenda item: PL 1.4</w:t>
            </w:r>
          </w:p>
        </w:tc>
        <w:tc>
          <w:tcPr>
            <w:tcW w:w="3120" w:type="dxa"/>
          </w:tcPr>
          <w:p w14:paraId="1F73EFF8" w14:textId="77777777" w:rsidR="00CA4E01" w:rsidRPr="00E85629" w:rsidRDefault="00CA4E01" w:rsidP="00D2656A">
            <w:pPr>
              <w:tabs>
                <w:tab w:val="left" w:pos="851"/>
              </w:tabs>
              <w:spacing w:before="0" w:line="240" w:lineRule="atLeast"/>
              <w:rPr>
                <w:b/>
              </w:rPr>
            </w:pPr>
            <w:r>
              <w:rPr>
                <w:b/>
              </w:rPr>
              <w:t>Document C21/71-E</w:t>
            </w:r>
          </w:p>
        </w:tc>
      </w:tr>
      <w:tr w:rsidR="00CA4E01" w:rsidRPr="00813E5E" w14:paraId="5B9F2C00" w14:textId="77777777" w:rsidTr="00D2656A">
        <w:trPr>
          <w:cantSplit/>
          <w:trHeight w:val="23"/>
        </w:trPr>
        <w:tc>
          <w:tcPr>
            <w:tcW w:w="6911" w:type="dxa"/>
            <w:vMerge/>
          </w:tcPr>
          <w:p w14:paraId="7F286FF5" w14:textId="77777777" w:rsidR="00CA4E01" w:rsidRPr="00813E5E" w:rsidRDefault="00CA4E01" w:rsidP="00D2656A">
            <w:pPr>
              <w:tabs>
                <w:tab w:val="left" w:pos="851"/>
              </w:tabs>
              <w:spacing w:line="240" w:lineRule="atLeast"/>
              <w:rPr>
                <w:b/>
              </w:rPr>
            </w:pPr>
            <w:bookmarkStart w:id="4" w:name="ddate" w:colFirst="1" w:colLast="1"/>
            <w:bookmarkEnd w:id="2"/>
            <w:bookmarkEnd w:id="3"/>
          </w:p>
        </w:tc>
        <w:tc>
          <w:tcPr>
            <w:tcW w:w="3120" w:type="dxa"/>
          </w:tcPr>
          <w:p w14:paraId="4D5BF3A7" w14:textId="77777777" w:rsidR="00CA4E01" w:rsidRPr="00E85629" w:rsidRDefault="00CA4E01" w:rsidP="00D2656A">
            <w:pPr>
              <w:tabs>
                <w:tab w:val="left" w:pos="993"/>
              </w:tabs>
              <w:spacing w:before="0"/>
              <w:rPr>
                <w:b/>
              </w:rPr>
            </w:pPr>
            <w:r>
              <w:rPr>
                <w:b/>
              </w:rPr>
              <w:t>22 April 2021</w:t>
            </w:r>
          </w:p>
        </w:tc>
      </w:tr>
      <w:tr w:rsidR="00CA4E01" w:rsidRPr="00813E5E" w14:paraId="652F5D4E" w14:textId="77777777" w:rsidTr="00D2656A">
        <w:trPr>
          <w:cantSplit/>
          <w:trHeight w:val="23"/>
        </w:trPr>
        <w:tc>
          <w:tcPr>
            <w:tcW w:w="6911" w:type="dxa"/>
            <w:vMerge/>
          </w:tcPr>
          <w:p w14:paraId="0467F025" w14:textId="77777777" w:rsidR="00CA4E01" w:rsidRPr="00813E5E" w:rsidRDefault="00CA4E01" w:rsidP="00D2656A">
            <w:pPr>
              <w:tabs>
                <w:tab w:val="left" w:pos="851"/>
              </w:tabs>
              <w:spacing w:line="240" w:lineRule="atLeast"/>
              <w:rPr>
                <w:b/>
              </w:rPr>
            </w:pPr>
            <w:bookmarkStart w:id="5" w:name="dorlang" w:colFirst="1" w:colLast="1"/>
            <w:bookmarkEnd w:id="4"/>
          </w:p>
        </w:tc>
        <w:tc>
          <w:tcPr>
            <w:tcW w:w="3120" w:type="dxa"/>
          </w:tcPr>
          <w:p w14:paraId="22745D63" w14:textId="77777777" w:rsidR="00CA4E01" w:rsidRPr="00E85629" w:rsidRDefault="00CA4E01" w:rsidP="00D2656A">
            <w:pPr>
              <w:tabs>
                <w:tab w:val="left" w:pos="993"/>
              </w:tabs>
              <w:spacing w:before="0"/>
              <w:rPr>
                <w:b/>
              </w:rPr>
            </w:pPr>
            <w:r>
              <w:rPr>
                <w:b/>
              </w:rPr>
              <w:t>Original: English</w:t>
            </w:r>
          </w:p>
        </w:tc>
      </w:tr>
      <w:tr w:rsidR="00CA4E01" w:rsidRPr="00813E5E" w14:paraId="650AAEBE" w14:textId="77777777" w:rsidTr="00D2656A">
        <w:trPr>
          <w:cantSplit/>
        </w:trPr>
        <w:tc>
          <w:tcPr>
            <w:tcW w:w="10031" w:type="dxa"/>
            <w:gridSpan w:val="2"/>
          </w:tcPr>
          <w:p w14:paraId="651B57F8" w14:textId="77777777" w:rsidR="00CA4E01" w:rsidRPr="00DE4373" w:rsidRDefault="00CA4E01" w:rsidP="00D2656A">
            <w:pPr>
              <w:pStyle w:val="Source"/>
            </w:pPr>
            <w:bookmarkStart w:id="6" w:name="dsource" w:colFirst="0" w:colLast="0"/>
            <w:bookmarkEnd w:id="5"/>
            <w:r w:rsidRPr="00477BF9">
              <w:t>Report by the Secretary-General</w:t>
            </w:r>
          </w:p>
        </w:tc>
      </w:tr>
      <w:tr w:rsidR="00CA4E01" w:rsidRPr="00813E5E" w14:paraId="25DC1075" w14:textId="77777777" w:rsidTr="00D2656A">
        <w:trPr>
          <w:cantSplit/>
        </w:trPr>
        <w:tc>
          <w:tcPr>
            <w:tcW w:w="10031" w:type="dxa"/>
            <w:gridSpan w:val="2"/>
          </w:tcPr>
          <w:p w14:paraId="65DE8D35" w14:textId="77777777" w:rsidR="00CA4E01" w:rsidRPr="00813E5E" w:rsidRDefault="00CA4E01" w:rsidP="00D2656A">
            <w:pPr>
              <w:pStyle w:val="Title1"/>
            </w:pPr>
            <w:bookmarkStart w:id="7" w:name="dtitle1" w:colFirst="0" w:colLast="0"/>
            <w:bookmarkEnd w:id="6"/>
            <w:r w:rsidRPr="00477BF9">
              <w:t>GUIDELINES FOR UTILIZATION OF THE GLOBAL CYBERSECURITY AGENDA</w:t>
            </w:r>
          </w:p>
        </w:tc>
      </w:tr>
      <w:bookmarkEnd w:id="7"/>
    </w:tbl>
    <w:p w14:paraId="30E6FA15" w14:textId="77777777" w:rsidR="002A2188" w:rsidRPr="00C54E13"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C54E13" w14:paraId="26FE67A7" w14:textId="77777777" w:rsidTr="00235365">
        <w:trPr>
          <w:trHeight w:val="3372"/>
        </w:trPr>
        <w:tc>
          <w:tcPr>
            <w:tcW w:w="8080" w:type="dxa"/>
            <w:tcBorders>
              <w:top w:val="single" w:sz="12" w:space="0" w:color="auto"/>
              <w:left w:val="single" w:sz="12" w:space="0" w:color="auto"/>
              <w:bottom w:val="single" w:sz="12" w:space="0" w:color="auto"/>
              <w:right w:val="single" w:sz="12" w:space="0" w:color="auto"/>
            </w:tcBorders>
          </w:tcPr>
          <w:p w14:paraId="2814D631" w14:textId="77777777" w:rsidR="00CA4EDA" w:rsidRPr="00CA4E01" w:rsidRDefault="00CA4EDA" w:rsidP="00CA4EDA">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Summary</w:t>
            </w:r>
          </w:p>
          <w:p w14:paraId="4269D21E" w14:textId="5C4005BC" w:rsidR="00CA4EDA" w:rsidRPr="00CA4E01" w:rsidRDefault="00CA4EDA" w:rsidP="00CA4EDA">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 xml:space="preserve">The 2019 session of </w:t>
            </w:r>
            <w:r w:rsidR="00CA4E01" w:rsidRPr="00CA4E01">
              <w:rPr>
                <w:rFonts w:asciiTheme="minorHAnsi" w:hAnsiTheme="minorHAnsi" w:cstheme="minorHAnsi"/>
                <w:b w:val="0"/>
                <w:szCs w:val="24"/>
              </w:rPr>
              <w:t xml:space="preserve">the </w:t>
            </w:r>
            <w:r w:rsidRPr="00CA4E01">
              <w:rPr>
                <w:rFonts w:asciiTheme="minorHAnsi" w:hAnsiTheme="minorHAnsi" w:cstheme="minorHAnsi"/>
                <w:b w:val="0"/>
                <w:szCs w:val="24"/>
              </w:rPr>
              <w:t>Council instructed the Secretary-General, in parallel, to submit to the next Council session (1) a report explaining how the ITU is currently utilizing the</w:t>
            </w:r>
            <w:r w:rsidR="00EA7EC8" w:rsidRPr="00CA4E01">
              <w:rPr>
                <w:rFonts w:asciiTheme="minorHAnsi" w:hAnsiTheme="minorHAnsi" w:cstheme="minorHAnsi"/>
                <w:b w:val="0"/>
                <w:szCs w:val="24"/>
              </w:rPr>
              <w:t xml:space="preserve"> </w:t>
            </w:r>
            <w:hyperlink r:id="rId9" w:tgtFrame="_blank" w:history="1">
              <w:r w:rsidRPr="00CA4E01">
                <w:rPr>
                  <w:rStyle w:val="Hyperlink"/>
                  <w:rFonts w:asciiTheme="minorHAnsi" w:hAnsiTheme="minorHAnsi" w:cstheme="minorHAnsi"/>
                  <w:b w:val="0"/>
                  <w:szCs w:val="24"/>
                </w:rPr>
                <w:t>Global Cybersecurity Agenda</w:t>
              </w:r>
            </w:hyperlink>
            <w:r w:rsidR="00EA7EC8" w:rsidRPr="00CA4E01">
              <w:rPr>
                <w:szCs w:val="24"/>
              </w:rPr>
              <w:t xml:space="preserve"> </w:t>
            </w:r>
            <w:r w:rsidRPr="00CA4E01">
              <w:rPr>
                <w:rFonts w:asciiTheme="minorHAnsi" w:hAnsiTheme="minorHAnsi" w:cstheme="minorHAnsi"/>
                <w:b w:val="0"/>
                <w:szCs w:val="24"/>
              </w:rPr>
              <w:t>(GCA) framework and (2) with the involvement of Member States, appropriate guidelines developed for utilization of the GCA by the ITU for Council's consideration and approval (</w:t>
            </w:r>
            <w:hyperlink r:id="rId10" w:tgtFrame="_blank" w:history="1">
              <w:r w:rsidRPr="00CA4E01">
                <w:rPr>
                  <w:rStyle w:val="Hyperlink"/>
                  <w:rFonts w:asciiTheme="minorHAnsi" w:hAnsiTheme="minorHAnsi" w:cstheme="minorHAnsi"/>
                  <w:b w:val="0"/>
                  <w:szCs w:val="24"/>
                </w:rPr>
                <w:t>C19/117</w:t>
              </w:r>
            </w:hyperlink>
            <w:r w:rsidRPr="00CA4E01">
              <w:rPr>
                <w:rFonts w:asciiTheme="minorHAnsi" w:hAnsiTheme="minorHAnsi" w:cstheme="minorHAnsi"/>
                <w:b w:val="0"/>
                <w:szCs w:val="24"/>
              </w:rPr>
              <w:t>, </w:t>
            </w:r>
            <w:hyperlink r:id="rId11" w:tgtFrame="_blank" w:history="1">
              <w:r w:rsidRPr="00CA4E01">
                <w:rPr>
                  <w:rStyle w:val="Hyperlink"/>
                  <w:rFonts w:asciiTheme="minorHAnsi" w:hAnsiTheme="minorHAnsi" w:cstheme="minorHAnsi"/>
                  <w:b w:val="0"/>
                  <w:szCs w:val="24"/>
                </w:rPr>
                <w:t>C19/58</w:t>
              </w:r>
            </w:hyperlink>
            <w:r w:rsidRPr="00CA4E01">
              <w:rPr>
                <w:rFonts w:asciiTheme="minorHAnsi" w:hAnsiTheme="minorHAnsi" w:cstheme="minorHAnsi"/>
                <w:b w:val="0"/>
                <w:szCs w:val="24"/>
              </w:rPr>
              <w:t>).</w:t>
            </w:r>
          </w:p>
          <w:p w14:paraId="70AEAB34" w14:textId="7B1F1C31" w:rsidR="00CA4EDA" w:rsidRPr="00CA4E01" w:rsidRDefault="00CA4EDA" w:rsidP="00CA4EDA">
            <w:pPr>
              <w:pStyle w:val="Headingb"/>
              <w:keepNext w:val="0"/>
              <w:keepLines w:val="0"/>
              <w:tabs>
                <w:tab w:val="clear" w:pos="567"/>
                <w:tab w:val="left" w:pos="0"/>
              </w:tabs>
              <w:spacing w:before="120" w:after="120"/>
              <w:ind w:left="0" w:firstLine="0"/>
              <w:jc w:val="both"/>
              <w:rPr>
                <w:rFonts w:asciiTheme="minorHAnsi" w:hAnsiTheme="minorHAnsi" w:cstheme="minorHAnsi"/>
                <w:b w:val="0"/>
                <w:szCs w:val="24"/>
              </w:rPr>
            </w:pPr>
            <w:r w:rsidRPr="00CA4E01">
              <w:rPr>
                <w:rFonts w:asciiTheme="minorHAnsi" w:hAnsiTheme="minorHAnsi" w:cstheme="minorHAnsi"/>
                <w:b w:val="0"/>
                <w:szCs w:val="24"/>
              </w:rPr>
              <w:t>Pursuant to these instructions, the draft</w:t>
            </w:r>
            <w:r w:rsidR="00EA7EC8" w:rsidRPr="00CA4E01">
              <w:rPr>
                <w:rFonts w:asciiTheme="minorHAnsi" w:hAnsiTheme="minorHAnsi" w:cstheme="minorHAnsi"/>
                <w:b w:val="0"/>
                <w:szCs w:val="24"/>
              </w:rPr>
              <w:t xml:space="preserve"> </w:t>
            </w:r>
            <w:r w:rsidRPr="00CA4E01">
              <w:rPr>
                <w:rFonts w:asciiTheme="minorHAnsi" w:hAnsiTheme="minorHAnsi" w:cstheme="minorHAnsi"/>
                <w:b w:val="0"/>
                <w:szCs w:val="24"/>
              </w:rPr>
              <w:t>Guidelines have been formulated</w:t>
            </w:r>
            <w:r w:rsidR="00CA4E01" w:rsidRPr="00CA4E01">
              <w:rPr>
                <w:rFonts w:asciiTheme="minorHAnsi" w:hAnsiTheme="minorHAnsi" w:cstheme="minorHAnsi"/>
                <w:b w:val="0"/>
                <w:szCs w:val="24"/>
              </w:rPr>
              <w:t xml:space="preserve"> </w:t>
            </w:r>
            <w:r w:rsidRPr="00CA4E01">
              <w:rPr>
                <w:rFonts w:asciiTheme="minorHAnsi" w:hAnsiTheme="minorHAnsi" w:cstheme="minorHAnsi"/>
                <w:b w:val="0"/>
                <w:szCs w:val="24"/>
              </w:rPr>
              <w:t xml:space="preserve">with the support of Chief Judge (Ret.) Stein </w:t>
            </w:r>
            <w:proofErr w:type="spellStart"/>
            <w:r w:rsidRPr="00CA4E01">
              <w:rPr>
                <w:rFonts w:asciiTheme="minorHAnsi" w:hAnsiTheme="minorHAnsi" w:cstheme="minorHAnsi"/>
                <w:b w:val="0"/>
                <w:szCs w:val="24"/>
              </w:rPr>
              <w:t>Schjolberg</w:t>
            </w:r>
            <w:proofErr w:type="spellEnd"/>
            <w:r w:rsidRPr="00CA4E01">
              <w:rPr>
                <w:rFonts w:asciiTheme="minorHAnsi" w:hAnsiTheme="minorHAnsi" w:cstheme="minorHAnsi"/>
                <w:b w:val="0"/>
                <w:szCs w:val="24"/>
              </w:rPr>
              <w:t> (former HLEG Chair</w:t>
            </w:r>
            <w:r w:rsidRPr="00CA4E01">
              <w:rPr>
                <w:rFonts w:asciiTheme="minorHAnsi" w:hAnsiTheme="minorHAnsi" w:cstheme="minorHAnsi"/>
                <w:b w:val="0"/>
                <w:szCs w:val="24"/>
              </w:rPr>
              <w:t>)</w:t>
            </w:r>
            <w:r w:rsidR="002E7F85">
              <w:rPr>
                <w:rFonts w:asciiTheme="minorHAnsi" w:hAnsiTheme="minorHAnsi" w:cstheme="minorHAnsi"/>
                <w:b w:val="0"/>
                <w:szCs w:val="24"/>
              </w:rPr>
              <w:t xml:space="preserve">, </w:t>
            </w:r>
            <w:r w:rsidR="002E7F85" w:rsidRPr="002E7F85">
              <w:rPr>
                <w:rFonts w:asciiTheme="minorHAnsi" w:hAnsiTheme="minorHAnsi" w:cstheme="minorHAnsi"/>
                <w:b w:val="0"/>
                <w:iCs/>
                <w:szCs w:val="24"/>
                <w:lang w:val="en-US"/>
              </w:rPr>
              <w:t xml:space="preserve">Prof. </w:t>
            </w:r>
            <w:r w:rsidR="002E7F85" w:rsidRPr="002E7F85">
              <w:rPr>
                <w:rFonts w:asciiTheme="minorHAnsi" w:hAnsiTheme="minorHAnsi" w:cstheme="minorHAnsi"/>
                <w:b w:val="0"/>
                <w:iCs/>
                <w:szCs w:val="24"/>
              </w:rPr>
              <w:t xml:space="preserve">Solange </w:t>
            </w:r>
            <w:proofErr w:type="spellStart"/>
            <w:r w:rsidR="002E7F85" w:rsidRPr="002E7F85">
              <w:rPr>
                <w:rFonts w:asciiTheme="minorHAnsi" w:hAnsiTheme="minorHAnsi" w:cstheme="minorHAnsi"/>
                <w:b w:val="0"/>
                <w:iCs/>
                <w:szCs w:val="24"/>
              </w:rPr>
              <w:t>Ghernaouti</w:t>
            </w:r>
            <w:proofErr w:type="spellEnd"/>
            <w:r w:rsidR="002E7F85" w:rsidRPr="002E7F85">
              <w:rPr>
                <w:rFonts w:asciiTheme="minorHAnsi" w:hAnsiTheme="minorHAnsi" w:cstheme="minorHAnsi"/>
                <w:b w:val="0"/>
                <w:iCs/>
                <w:szCs w:val="24"/>
              </w:rPr>
              <w:t xml:space="preserve"> </w:t>
            </w:r>
            <w:r w:rsidR="002E7F85" w:rsidRPr="002E7F85">
              <w:rPr>
                <w:rFonts w:asciiTheme="minorHAnsi" w:hAnsiTheme="minorHAnsi" w:cstheme="minorHAnsi"/>
                <w:b w:val="0"/>
                <w:iCs/>
                <w:szCs w:val="24"/>
                <w:lang w:val="en-US"/>
              </w:rPr>
              <w:t>and Mr. Noboru Nakatani</w:t>
            </w:r>
            <w:r w:rsidR="002E7F85">
              <w:rPr>
                <w:rFonts w:asciiTheme="minorHAnsi" w:hAnsiTheme="minorHAnsi" w:cstheme="minorHAnsi"/>
                <w:b w:val="0"/>
                <w:iCs/>
                <w:szCs w:val="24"/>
                <w:lang w:val="en-US"/>
              </w:rPr>
              <w:t>,</w:t>
            </w:r>
            <w:r w:rsidRPr="00CA4E01">
              <w:rPr>
                <w:rFonts w:asciiTheme="minorHAnsi" w:hAnsiTheme="minorHAnsi" w:cstheme="minorHAnsi"/>
                <w:b w:val="0"/>
                <w:szCs w:val="24"/>
              </w:rPr>
              <w:t xml:space="preserve"> and with the involvement of Member States</w:t>
            </w:r>
            <w:r w:rsidR="006B7028">
              <w:rPr>
                <w:rFonts w:asciiTheme="minorHAnsi" w:hAnsiTheme="minorHAnsi" w:cstheme="minorHAnsi"/>
                <w:b w:val="0"/>
                <w:szCs w:val="24"/>
              </w:rPr>
              <w:t xml:space="preserve"> and other stakeholders</w:t>
            </w:r>
            <w:r w:rsidRPr="00CA4E01">
              <w:rPr>
                <w:rFonts w:asciiTheme="minorHAnsi" w:hAnsiTheme="minorHAnsi" w:cstheme="minorHAnsi"/>
                <w:b w:val="0"/>
                <w:szCs w:val="24"/>
              </w:rPr>
              <w:t xml:space="preserve">, for consideration and approval by </w:t>
            </w:r>
            <w:r w:rsidR="00D2656A">
              <w:rPr>
                <w:rFonts w:asciiTheme="minorHAnsi" w:hAnsiTheme="minorHAnsi" w:cstheme="minorHAnsi"/>
                <w:b w:val="0"/>
                <w:szCs w:val="24"/>
              </w:rPr>
              <w:t xml:space="preserve">the </w:t>
            </w:r>
            <w:r w:rsidRPr="00CA4E01">
              <w:rPr>
                <w:rFonts w:asciiTheme="minorHAnsi" w:hAnsiTheme="minorHAnsi" w:cstheme="minorHAnsi"/>
                <w:b w:val="0"/>
                <w:szCs w:val="24"/>
              </w:rPr>
              <w:t>Council. It is important to note that this effort is not meant to and will not address matters related to the revision of the GCA.</w:t>
            </w:r>
          </w:p>
          <w:p w14:paraId="4F0AC4C7" w14:textId="7389850D" w:rsidR="00B86D77" w:rsidRPr="00CA4E01" w:rsidRDefault="00CA4EDA" w:rsidP="00CA4EDA">
            <w:pPr>
              <w:spacing w:after="120"/>
              <w:jc w:val="both"/>
              <w:rPr>
                <w:rFonts w:asciiTheme="minorHAnsi" w:hAnsiTheme="minorHAnsi" w:cstheme="minorHAnsi"/>
                <w:szCs w:val="24"/>
              </w:rPr>
            </w:pPr>
            <w:r w:rsidRPr="00CA4E01">
              <w:rPr>
                <w:rFonts w:asciiTheme="minorHAnsi" w:hAnsiTheme="minorHAnsi" w:cstheme="minorHAnsi"/>
                <w:szCs w:val="24"/>
              </w:rPr>
              <w:t>As per the process for developing</w:t>
            </w:r>
            <w:r w:rsidR="00CA4E01" w:rsidRPr="00CA4E01">
              <w:rPr>
                <w:rFonts w:asciiTheme="minorHAnsi" w:hAnsiTheme="minorHAnsi" w:cstheme="minorHAnsi"/>
                <w:szCs w:val="24"/>
              </w:rPr>
              <w:t xml:space="preserve"> </w:t>
            </w:r>
            <w:r w:rsidRPr="00CA4E01">
              <w:rPr>
                <w:rFonts w:asciiTheme="minorHAnsi" w:hAnsiTheme="minorHAnsi" w:cstheme="minorHAnsi"/>
                <w:szCs w:val="24"/>
              </w:rPr>
              <w:t xml:space="preserve">the </w:t>
            </w:r>
            <w:r w:rsidR="008D3B42" w:rsidRPr="00CA4E01">
              <w:rPr>
                <w:rFonts w:asciiTheme="minorHAnsi" w:hAnsiTheme="minorHAnsi" w:cstheme="minorHAnsi"/>
                <w:szCs w:val="24"/>
              </w:rPr>
              <w:t xml:space="preserve">draft </w:t>
            </w:r>
            <w:r w:rsidRPr="00CA4E01">
              <w:rPr>
                <w:rFonts w:asciiTheme="minorHAnsi" w:hAnsiTheme="minorHAnsi" w:cstheme="minorHAnsi"/>
                <w:szCs w:val="24"/>
              </w:rPr>
              <w:t>Guidelines, set out in</w:t>
            </w:r>
            <w:r w:rsidR="002811DE" w:rsidRPr="00CA4E01">
              <w:rPr>
                <w:rFonts w:asciiTheme="minorHAnsi" w:hAnsiTheme="minorHAnsi" w:cstheme="minorHAnsi"/>
                <w:szCs w:val="24"/>
              </w:rPr>
              <w:t xml:space="preserve"> Circular Letter</w:t>
            </w:r>
            <w:r w:rsidR="002811DE" w:rsidRPr="00CA4E01">
              <w:rPr>
                <w:rFonts w:asciiTheme="minorHAnsi" w:hAnsiTheme="minorHAnsi" w:cstheme="minorHAnsi"/>
                <w:spacing w:val="-2"/>
                <w:szCs w:val="24"/>
              </w:rPr>
              <w:t xml:space="preserve"> </w:t>
            </w:r>
            <w:r w:rsidR="00FB103D" w:rsidRPr="00CA4E01">
              <w:rPr>
                <w:rFonts w:asciiTheme="minorHAnsi" w:hAnsiTheme="minorHAnsi" w:cstheme="minorHAnsi"/>
                <w:spacing w:val="-2"/>
                <w:szCs w:val="24"/>
              </w:rPr>
              <w:t>(</w:t>
            </w:r>
            <w:hyperlink r:id="rId12" w:history="1">
              <w:r w:rsidR="002811DE" w:rsidRPr="00CA4E01">
                <w:rPr>
                  <w:rStyle w:val="Hyperlink"/>
                  <w:rFonts w:asciiTheme="minorHAnsi" w:hAnsiTheme="minorHAnsi" w:cstheme="minorHAnsi"/>
                  <w:spacing w:val="-2"/>
                  <w:szCs w:val="24"/>
                </w:rPr>
                <w:t>CL-20/55</w:t>
              </w:r>
            </w:hyperlink>
            <w:r w:rsidR="00FB103D" w:rsidRPr="00CA4E01">
              <w:rPr>
                <w:rFonts w:asciiTheme="minorHAnsi" w:hAnsiTheme="minorHAnsi" w:cstheme="minorHAnsi"/>
                <w:spacing w:val="-2"/>
                <w:szCs w:val="24"/>
              </w:rPr>
              <w:t>)</w:t>
            </w:r>
            <w:r w:rsidR="002811DE" w:rsidRPr="00CA4E01">
              <w:rPr>
                <w:rFonts w:asciiTheme="minorHAnsi" w:hAnsiTheme="minorHAnsi" w:cstheme="minorHAnsi"/>
                <w:spacing w:val="-2"/>
                <w:szCs w:val="24"/>
              </w:rPr>
              <w:t>,</w:t>
            </w:r>
            <w:r w:rsidRPr="00CA4E01">
              <w:rPr>
                <w:rFonts w:asciiTheme="minorHAnsi" w:hAnsiTheme="minorHAnsi" w:cstheme="minorHAnsi"/>
                <w:szCs w:val="24"/>
              </w:rPr>
              <w:t xml:space="preserve"> </w:t>
            </w:r>
            <w:r w:rsidR="00556C16" w:rsidRPr="00CA4E01">
              <w:rPr>
                <w:rFonts w:asciiTheme="minorHAnsi" w:hAnsiTheme="minorHAnsi" w:cstheme="minorHAnsi"/>
                <w:szCs w:val="24"/>
              </w:rPr>
              <w:t xml:space="preserve">two </w:t>
            </w:r>
            <w:r w:rsidRPr="00CA4E01">
              <w:rPr>
                <w:rFonts w:asciiTheme="minorHAnsi" w:hAnsiTheme="minorHAnsi" w:cstheme="minorHAnsi"/>
                <w:szCs w:val="24"/>
              </w:rPr>
              <w:t>Open Consultation</w:t>
            </w:r>
            <w:r w:rsidR="00556C16" w:rsidRPr="00CA4E01">
              <w:rPr>
                <w:rFonts w:asciiTheme="minorHAnsi" w:hAnsiTheme="minorHAnsi" w:cstheme="minorHAnsi"/>
                <w:szCs w:val="24"/>
              </w:rPr>
              <w:t>s</w:t>
            </w:r>
            <w:r w:rsidRPr="00CA4E01">
              <w:rPr>
                <w:rFonts w:asciiTheme="minorHAnsi" w:hAnsiTheme="minorHAnsi" w:cstheme="minorHAnsi"/>
                <w:szCs w:val="24"/>
              </w:rPr>
              <w:t xml:space="preserve"> </w:t>
            </w:r>
            <w:r w:rsidR="00556C16" w:rsidRPr="00CA4E01">
              <w:rPr>
                <w:rFonts w:asciiTheme="minorHAnsi" w:hAnsiTheme="minorHAnsi" w:cstheme="minorHAnsi"/>
                <w:szCs w:val="24"/>
              </w:rPr>
              <w:t xml:space="preserve">were </w:t>
            </w:r>
            <w:r w:rsidRPr="00CA4E01">
              <w:rPr>
                <w:rFonts w:asciiTheme="minorHAnsi" w:hAnsiTheme="minorHAnsi" w:cstheme="minorHAnsi"/>
                <w:szCs w:val="24"/>
              </w:rPr>
              <w:t>held for all WSIS stakeholders on 23</w:t>
            </w:r>
            <w:r w:rsidR="00CA4E01">
              <w:rPr>
                <w:rFonts w:asciiTheme="minorHAnsi" w:hAnsiTheme="minorHAnsi" w:cstheme="minorHAnsi"/>
                <w:szCs w:val="24"/>
              </w:rPr>
              <w:t> </w:t>
            </w:r>
            <w:r w:rsidRPr="00CA4E01">
              <w:rPr>
                <w:rFonts w:asciiTheme="minorHAnsi" w:hAnsiTheme="minorHAnsi" w:cstheme="minorHAnsi"/>
                <w:szCs w:val="24"/>
              </w:rPr>
              <w:t xml:space="preserve">April 2020 </w:t>
            </w:r>
            <w:r w:rsidR="00556C16" w:rsidRPr="00CA4E01">
              <w:rPr>
                <w:rFonts w:asciiTheme="minorHAnsi" w:hAnsiTheme="minorHAnsi" w:cstheme="minorHAnsi"/>
                <w:szCs w:val="24"/>
              </w:rPr>
              <w:t>and 1</w:t>
            </w:r>
            <w:r w:rsidR="00CA4E01" w:rsidRPr="00CA4E01">
              <w:rPr>
                <w:rFonts w:asciiTheme="minorHAnsi" w:hAnsiTheme="minorHAnsi" w:cstheme="minorHAnsi"/>
                <w:szCs w:val="24"/>
              </w:rPr>
              <w:t> </w:t>
            </w:r>
            <w:r w:rsidR="00556C16" w:rsidRPr="00CA4E01">
              <w:rPr>
                <w:rFonts w:asciiTheme="minorHAnsi" w:hAnsiTheme="minorHAnsi" w:cstheme="minorHAnsi"/>
                <w:szCs w:val="24"/>
              </w:rPr>
              <w:t xml:space="preserve">March 2021 </w:t>
            </w:r>
            <w:r w:rsidRPr="00CA4E01">
              <w:rPr>
                <w:rFonts w:asciiTheme="minorHAnsi" w:hAnsiTheme="minorHAnsi" w:cstheme="minorHAnsi"/>
                <w:szCs w:val="24"/>
              </w:rPr>
              <w:t>to provide comments on the draft</w:t>
            </w:r>
            <w:r w:rsidR="00EA7EC8" w:rsidRPr="00CA4E01">
              <w:rPr>
                <w:rFonts w:asciiTheme="minorHAnsi" w:hAnsiTheme="minorHAnsi" w:cstheme="minorHAnsi"/>
                <w:szCs w:val="24"/>
              </w:rPr>
              <w:t xml:space="preserve"> </w:t>
            </w:r>
            <w:r w:rsidRPr="00CA4E01">
              <w:rPr>
                <w:rFonts w:asciiTheme="minorHAnsi" w:hAnsiTheme="minorHAnsi" w:cstheme="minorHAnsi"/>
                <w:szCs w:val="24"/>
              </w:rPr>
              <w:t>Guidelines. </w:t>
            </w:r>
            <w:r w:rsidR="006B7028">
              <w:rPr>
                <w:rFonts w:asciiTheme="minorHAnsi" w:hAnsiTheme="minorHAnsi" w:cstheme="minorHAnsi"/>
                <w:szCs w:val="24"/>
              </w:rPr>
              <w:t>A previous version of this</w:t>
            </w:r>
            <w:r w:rsidR="006B7028">
              <w:rPr>
                <w:rFonts w:asciiTheme="minorHAnsi" w:hAnsiTheme="minorHAnsi" w:cstheme="minorHAnsi"/>
                <w:szCs w:val="24"/>
              </w:rPr>
              <w:t xml:space="preserve"> </w:t>
            </w:r>
            <w:r w:rsidR="00B86D77">
              <w:rPr>
                <w:rFonts w:asciiTheme="minorHAnsi" w:hAnsiTheme="minorHAnsi" w:cstheme="minorHAnsi"/>
                <w:szCs w:val="24"/>
              </w:rPr>
              <w:t>document</w:t>
            </w:r>
            <w:r w:rsidR="00B86D77">
              <w:t xml:space="preserve"> </w:t>
            </w:r>
            <w:r w:rsidR="00B86D77" w:rsidRPr="00B86D77">
              <w:rPr>
                <w:rFonts w:asciiTheme="minorHAnsi" w:hAnsiTheme="minorHAnsi" w:cstheme="minorHAnsi"/>
                <w:szCs w:val="24"/>
              </w:rPr>
              <w:t xml:space="preserve">was originally prepared as </w:t>
            </w:r>
            <w:hyperlink r:id="rId13" w:history="1">
              <w:r w:rsidR="00B86D77" w:rsidRPr="00B86D77">
                <w:rPr>
                  <w:rStyle w:val="Hyperlink"/>
                  <w:rFonts w:asciiTheme="minorHAnsi" w:hAnsiTheme="minorHAnsi" w:cstheme="minorHAnsi"/>
                  <w:szCs w:val="24"/>
                </w:rPr>
                <w:t>C20/65</w:t>
              </w:r>
            </w:hyperlink>
            <w:r w:rsidR="00B86D77" w:rsidRPr="00B86D77">
              <w:rPr>
                <w:rFonts w:asciiTheme="minorHAnsi" w:hAnsiTheme="minorHAnsi" w:cstheme="minorHAnsi"/>
                <w:szCs w:val="24"/>
              </w:rPr>
              <w:t xml:space="preserve"> for submission to the 2020 session of the Council but was not reviewed.</w:t>
            </w:r>
            <w:r w:rsidR="00B86D77">
              <w:rPr>
                <w:rFonts w:asciiTheme="minorHAnsi" w:hAnsiTheme="minorHAnsi" w:cstheme="minorHAnsi"/>
                <w:szCs w:val="24"/>
              </w:rPr>
              <w:t xml:space="preserve"> </w:t>
            </w:r>
          </w:p>
          <w:p w14:paraId="062F99FE" w14:textId="77777777" w:rsidR="00CA4EDA" w:rsidRPr="00CA4E01" w:rsidRDefault="00CA4EDA" w:rsidP="00CA4EDA">
            <w:pPr>
              <w:pStyle w:val="Headingb"/>
              <w:keepNext w:val="0"/>
              <w:keepLines w:val="0"/>
              <w:spacing w:before="120" w:after="120"/>
              <w:jc w:val="both"/>
              <w:rPr>
                <w:rFonts w:asciiTheme="minorHAnsi" w:hAnsiTheme="minorHAnsi" w:cstheme="minorHAnsi"/>
                <w:szCs w:val="24"/>
              </w:rPr>
            </w:pPr>
            <w:r w:rsidRPr="00CA4E01">
              <w:rPr>
                <w:rFonts w:asciiTheme="minorHAnsi" w:hAnsiTheme="minorHAnsi" w:cstheme="minorHAnsi"/>
                <w:szCs w:val="24"/>
              </w:rPr>
              <w:t>Action required</w:t>
            </w:r>
          </w:p>
          <w:p w14:paraId="6B335826" w14:textId="118D95C2" w:rsidR="00CA4EDA" w:rsidRPr="00CA4E01" w:rsidRDefault="001329BF" w:rsidP="00CA4EDA">
            <w:pPr>
              <w:spacing w:after="120"/>
              <w:jc w:val="both"/>
              <w:rPr>
                <w:rFonts w:asciiTheme="minorHAnsi" w:hAnsiTheme="minorHAnsi" w:cstheme="minorHAnsi"/>
                <w:szCs w:val="24"/>
              </w:rPr>
            </w:pPr>
            <w:r w:rsidRPr="00CA4E01">
              <w:rPr>
                <w:rFonts w:asciiTheme="minorHAnsi" w:hAnsiTheme="minorHAnsi" w:cstheme="minorHAnsi"/>
                <w:szCs w:val="24"/>
              </w:rPr>
              <w:t>This document is su</w:t>
            </w:r>
            <w:r w:rsidR="00AD1D46" w:rsidRPr="00CA4E01">
              <w:rPr>
                <w:rFonts w:asciiTheme="minorHAnsi" w:hAnsiTheme="minorHAnsi" w:cstheme="minorHAnsi"/>
                <w:szCs w:val="24"/>
              </w:rPr>
              <w:t>b</w:t>
            </w:r>
            <w:r w:rsidRPr="00CA4E01">
              <w:rPr>
                <w:rFonts w:asciiTheme="minorHAnsi" w:hAnsiTheme="minorHAnsi" w:cstheme="minorHAnsi"/>
                <w:szCs w:val="24"/>
              </w:rPr>
              <w:t xml:space="preserve">mitted to </w:t>
            </w:r>
            <w:r w:rsidR="00CA4E01" w:rsidRPr="00CA4E01">
              <w:rPr>
                <w:rFonts w:asciiTheme="minorHAnsi" w:hAnsiTheme="minorHAnsi" w:cstheme="minorHAnsi"/>
                <w:szCs w:val="24"/>
              </w:rPr>
              <w:t xml:space="preserve">the </w:t>
            </w:r>
            <w:r w:rsidR="00CA4EDA" w:rsidRPr="00CA4E01">
              <w:rPr>
                <w:rFonts w:asciiTheme="minorHAnsi" w:hAnsiTheme="minorHAnsi" w:cstheme="minorHAnsi"/>
                <w:szCs w:val="24"/>
              </w:rPr>
              <w:t xml:space="preserve">Council </w:t>
            </w:r>
            <w:r w:rsidRPr="00CA4E01">
              <w:rPr>
                <w:rFonts w:asciiTheme="minorHAnsi" w:hAnsiTheme="minorHAnsi" w:cstheme="minorHAnsi"/>
                <w:szCs w:val="24"/>
              </w:rPr>
              <w:t xml:space="preserve">for its </w:t>
            </w:r>
            <w:r w:rsidRPr="00CA4E01">
              <w:rPr>
                <w:rFonts w:asciiTheme="minorHAnsi" w:hAnsiTheme="minorHAnsi" w:cstheme="minorHAnsi"/>
                <w:b/>
                <w:bCs/>
                <w:szCs w:val="24"/>
              </w:rPr>
              <w:t>consideration</w:t>
            </w:r>
            <w:r w:rsidRPr="00CA4E01">
              <w:rPr>
                <w:rFonts w:asciiTheme="minorHAnsi" w:hAnsiTheme="minorHAnsi" w:cstheme="minorHAnsi"/>
                <w:szCs w:val="24"/>
              </w:rPr>
              <w:t xml:space="preserve"> and </w:t>
            </w:r>
            <w:r w:rsidRPr="00CA4E01">
              <w:rPr>
                <w:rFonts w:asciiTheme="minorHAnsi" w:hAnsiTheme="minorHAnsi" w:cstheme="minorHAnsi"/>
                <w:b/>
                <w:bCs/>
                <w:szCs w:val="24"/>
              </w:rPr>
              <w:t>approval</w:t>
            </w:r>
            <w:r w:rsidR="00AD1D46" w:rsidRPr="00CA4E01">
              <w:rPr>
                <w:rFonts w:asciiTheme="minorHAnsi" w:hAnsiTheme="minorHAnsi" w:cstheme="minorHAnsi"/>
                <w:szCs w:val="24"/>
              </w:rPr>
              <w:t>,</w:t>
            </w:r>
            <w:r w:rsidRPr="00CA4E01">
              <w:rPr>
                <w:rFonts w:asciiTheme="minorHAnsi" w:hAnsiTheme="minorHAnsi" w:cstheme="minorHAnsi"/>
                <w:szCs w:val="24"/>
              </w:rPr>
              <w:t xml:space="preserve"> as appropriate</w:t>
            </w:r>
            <w:r w:rsidR="00CA4EDA" w:rsidRPr="00CA4E01">
              <w:rPr>
                <w:rFonts w:asciiTheme="minorHAnsi" w:hAnsiTheme="minorHAnsi" w:cstheme="minorHAnsi"/>
                <w:szCs w:val="24"/>
              </w:rPr>
              <w:t>.</w:t>
            </w:r>
          </w:p>
          <w:p w14:paraId="2BC99075" w14:textId="77777777" w:rsidR="00CA4EDA" w:rsidRPr="00CA4E01" w:rsidRDefault="00CA4EDA" w:rsidP="00CA4EDA">
            <w:pPr>
              <w:pStyle w:val="Table"/>
              <w:keepNext w:val="0"/>
              <w:spacing w:before="120"/>
              <w:rPr>
                <w:rFonts w:asciiTheme="minorHAnsi" w:hAnsiTheme="minorHAnsi" w:cstheme="minorHAnsi"/>
                <w:caps w:val="0"/>
                <w:szCs w:val="24"/>
              </w:rPr>
            </w:pPr>
            <w:r w:rsidRPr="00CA4E01">
              <w:rPr>
                <w:rFonts w:asciiTheme="minorHAnsi" w:hAnsiTheme="minorHAnsi" w:cstheme="minorHAnsi"/>
                <w:caps w:val="0"/>
                <w:szCs w:val="24"/>
              </w:rPr>
              <w:t>____________</w:t>
            </w:r>
          </w:p>
          <w:p w14:paraId="6EB7ACA5" w14:textId="77777777" w:rsidR="00CA4EDA" w:rsidRPr="00CA4E01" w:rsidRDefault="00CA4EDA" w:rsidP="00CA4EDA">
            <w:pPr>
              <w:pStyle w:val="Headingb"/>
              <w:keepNext w:val="0"/>
              <w:keepLines w:val="0"/>
              <w:spacing w:before="120" w:after="120"/>
              <w:rPr>
                <w:rFonts w:asciiTheme="minorHAnsi" w:hAnsiTheme="minorHAnsi" w:cstheme="minorHAnsi"/>
                <w:szCs w:val="24"/>
              </w:rPr>
            </w:pPr>
            <w:r w:rsidRPr="00CA4E01">
              <w:rPr>
                <w:rFonts w:asciiTheme="minorHAnsi" w:hAnsiTheme="minorHAnsi" w:cstheme="minorHAnsi"/>
                <w:szCs w:val="24"/>
              </w:rPr>
              <w:t>References</w:t>
            </w:r>
          </w:p>
          <w:p w14:paraId="17673579" w14:textId="5EA9FBC6" w:rsidR="00CA4EDA" w:rsidRPr="00CA4E01" w:rsidRDefault="009A35D8" w:rsidP="00CA4E01">
            <w:pPr>
              <w:jc w:val="both"/>
              <w:rPr>
                <w:rFonts w:asciiTheme="minorHAnsi" w:hAnsiTheme="minorHAnsi" w:cstheme="minorHAnsi"/>
                <w:i/>
                <w:iCs/>
                <w:color w:val="000000"/>
                <w:spacing w:val="-2"/>
                <w:szCs w:val="24"/>
              </w:rPr>
            </w:pPr>
            <w:hyperlink r:id="rId14" w:history="1">
              <w:r w:rsidR="00CA4EDA" w:rsidRPr="00CA4E01">
                <w:rPr>
                  <w:rStyle w:val="Hyperlink"/>
                  <w:rFonts w:asciiTheme="minorHAnsi" w:hAnsiTheme="minorHAnsi" w:cstheme="minorHAnsi"/>
                  <w:i/>
                  <w:iCs/>
                  <w:spacing w:val="-2"/>
                  <w:szCs w:val="24"/>
                </w:rPr>
                <w:t>Plenipotentiary Resolutions</w:t>
              </w:r>
              <w:r w:rsidR="00CA4EDA" w:rsidRPr="00CA4E01">
                <w:rPr>
                  <w:rStyle w:val="Hyperlink"/>
                  <w:rFonts w:asciiTheme="minorHAnsi" w:hAnsiTheme="minorHAnsi" w:cstheme="minorHAnsi"/>
                  <w:spacing w:val="-2"/>
                  <w:szCs w:val="24"/>
                </w:rPr>
                <w:t xml:space="preserve"> </w:t>
              </w:r>
              <w:r w:rsidR="00CA4EDA" w:rsidRPr="00CA4E01">
                <w:rPr>
                  <w:rStyle w:val="Hyperlink"/>
                  <w:rFonts w:asciiTheme="minorHAnsi" w:hAnsiTheme="minorHAnsi" w:cstheme="minorHAnsi"/>
                  <w:i/>
                  <w:iCs/>
                  <w:spacing w:val="-2"/>
                  <w:szCs w:val="24"/>
                </w:rPr>
                <w:t>130 (Rev. Dubai, 2018)</w:t>
              </w:r>
            </w:hyperlink>
          </w:p>
          <w:p w14:paraId="6D7B1C6D" w14:textId="7D08EEDF" w:rsidR="002A2188" w:rsidRPr="00CA4E01" w:rsidRDefault="009A35D8" w:rsidP="00CA4E01">
            <w:pPr>
              <w:spacing w:before="0" w:after="120"/>
              <w:rPr>
                <w:i/>
                <w:iCs/>
                <w:szCs w:val="24"/>
              </w:rPr>
            </w:pPr>
            <w:hyperlink r:id="rId15" w:history="1">
              <w:r w:rsidR="00CA4EDA" w:rsidRPr="00CA4E01">
                <w:rPr>
                  <w:rStyle w:val="Hyperlink"/>
                  <w:rFonts w:asciiTheme="minorHAnsi" w:hAnsiTheme="minorHAnsi"/>
                  <w:i/>
                  <w:iCs/>
                  <w:szCs w:val="24"/>
                </w:rPr>
                <w:t xml:space="preserve">Global Cybersecurity Agenda </w:t>
              </w:r>
            </w:hyperlink>
            <w:r w:rsidR="00570D75" w:rsidRPr="00CA4E01">
              <w:rPr>
                <w:rStyle w:val="Hyperlink"/>
                <w:rFonts w:asciiTheme="minorHAnsi" w:hAnsiTheme="minorHAnsi"/>
                <w:i/>
                <w:iCs/>
                <w:szCs w:val="24"/>
              </w:rPr>
              <w:t>(GCA)</w:t>
            </w:r>
            <w:r w:rsidR="00583A2A" w:rsidRPr="00CA4E01">
              <w:rPr>
                <w:rStyle w:val="Hyperlink"/>
                <w:rFonts w:asciiTheme="minorHAnsi" w:hAnsiTheme="minorHAnsi"/>
                <w:i/>
                <w:iCs/>
                <w:szCs w:val="24"/>
                <w:u w:val="none"/>
              </w:rPr>
              <w:t xml:space="preserve">, </w:t>
            </w:r>
            <w:hyperlink r:id="rId16" w:history="1">
              <w:r w:rsidR="00CA4E01" w:rsidRPr="00CA4E01">
                <w:rPr>
                  <w:rStyle w:val="Hyperlink"/>
                  <w:rFonts w:asciiTheme="minorHAnsi" w:hAnsiTheme="minorHAnsi"/>
                  <w:i/>
                  <w:iCs/>
                  <w:szCs w:val="24"/>
                </w:rPr>
                <w:t xml:space="preserve">Council </w:t>
              </w:r>
              <w:r w:rsidR="00556C16" w:rsidRPr="00CA4E01">
                <w:rPr>
                  <w:rStyle w:val="Hyperlink"/>
                  <w:rFonts w:asciiTheme="minorHAnsi" w:hAnsiTheme="minorHAnsi"/>
                  <w:i/>
                  <w:iCs/>
                  <w:szCs w:val="24"/>
                </w:rPr>
                <w:t>Document C21/36</w:t>
              </w:r>
            </w:hyperlink>
          </w:p>
        </w:tc>
      </w:tr>
    </w:tbl>
    <w:p w14:paraId="08DB346F" w14:textId="77777777" w:rsidR="00264425" w:rsidRPr="00CA4E01" w:rsidRDefault="00264425" w:rsidP="00DB384B">
      <w:bookmarkStart w:id="8" w:name="dstart"/>
      <w:bookmarkStart w:id="9" w:name="dbreak"/>
      <w:bookmarkEnd w:id="8"/>
      <w:bookmarkEnd w:id="9"/>
    </w:p>
    <w:sdt>
      <w:sdtPr>
        <w:rPr>
          <w:rFonts w:ascii="Calibri" w:eastAsia="Times New Roman" w:hAnsi="Calibri" w:cs="Times New Roman"/>
          <w:b/>
          <w:color w:val="auto"/>
          <w:sz w:val="24"/>
          <w:szCs w:val="20"/>
        </w:rPr>
        <w:id w:val="1722784736"/>
        <w:docPartObj>
          <w:docPartGallery w:val="Table of Contents"/>
          <w:docPartUnique/>
        </w:docPartObj>
      </w:sdtPr>
      <w:sdtEndPr>
        <w:rPr>
          <w:b w:val="0"/>
          <w:bCs/>
          <w:noProof/>
        </w:rPr>
      </w:sdtEndPr>
      <w:sdtContent>
        <w:p w14:paraId="6408699E" w14:textId="3A2CC088" w:rsidR="00CA4EDA" w:rsidRPr="00C54E13" w:rsidRDefault="00CA4EDA" w:rsidP="00CA4E01">
          <w:pPr>
            <w:pStyle w:val="TOCHeading"/>
            <w:spacing w:before="120" w:after="120"/>
            <w:jc w:val="center"/>
            <w:rPr>
              <w:rFonts w:asciiTheme="minorHAnsi" w:hAnsiTheme="minorHAnsi"/>
              <w:b/>
              <w:sz w:val="28"/>
              <w:szCs w:val="28"/>
              <w:lang w:val="en-US"/>
            </w:rPr>
          </w:pPr>
          <w:r w:rsidRPr="00C54E13">
            <w:rPr>
              <w:sz w:val="28"/>
              <w:szCs w:val="28"/>
            </w:rPr>
            <w:br w:type="page"/>
          </w:r>
        </w:p>
        <w:p w14:paraId="31C8C6B0" w14:textId="77777777" w:rsidR="00CA4EDA" w:rsidRPr="00C54E13" w:rsidRDefault="00CA4EDA" w:rsidP="00CA4EDA">
          <w:pPr>
            <w:pStyle w:val="TOCHeading"/>
            <w:spacing w:before="120" w:after="120"/>
            <w:jc w:val="center"/>
            <w:rPr>
              <w:rFonts w:asciiTheme="minorHAnsi" w:hAnsiTheme="minorHAnsi" w:cstheme="minorHAnsi"/>
              <w:b/>
              <w:bCs/>
              <w:sz w:val="28"/>
              <w:szCs w:val="28"/>
            </w:rPr>
          </w:pPr>
          <w:r w:rsidRPr="00C54E13">
            <w:rPr>
              <w:rFonts w:asciiTheme="minorHAnsi" w:hAnsiTheme="minorHAnsi" w:cstheme="minorHAnsi"/>
              <w:b/>
              <w:bCs/>
              <w:sz w:val="28"/>
              <w:szCs w:val="28"/>
            </w:rPr>
            <w:lastRenderedPageBreak/>
            <w:t>Contents</w:t>
          </w:r>
        </w:p>
        <w:p w14:paraId="7E7B242D" w14:textId="77777777" w:rsidR="00CA4EDA" w:rsidRPr="00C54E13" w:rsidRDefault="00CA4EDA" w:rsidP="00CA4EDA">
          <w:pPr>
            <w:pStyle w:val="TOC1"/>
            <w:rPr>
              <w:rFonts w:asciiTheme="minorHAnsi" w:eastAsiaTheme="minorEastAsia" w:hAnsiTheme="minorHAnsi" w:cstheme="minorBidi"/>
              <w:b/>
              <w:bCs/>
              <w:noProof/>
              <w:sz w:val="22"/>
              <w:szCs w:val="22"/>
              <w:lang w:eastAsia="en-GB"/>
            </w:rPr>
          </w:pPr>
          <w:r w:rsidRPr="00C54E13">
            <w:fldChar w:fldCharType="begin"/>
          </w:r>
          <w:r w:rsidRPr="00C54E13">
            <w:instrText xml:space="preserve"> TOC \o "1-3" \h \z \u </w:instrText>
          </w:r>
          <w:r w:rsidRPr="00C54E13">
            <w:fldChar w:fldCharType="separate"/>
          </w:r>
          <w:hyperlink w:anchor="_Toc37331397" w:history="1">
            <w:r w:rsidRPr="00C54E13">
              <w:rPr>
                <w:rStyle w:val="Hyperlink"/>
                <w:b/>
                <w:bCs/>
                <w:noProof/>
              </w:rPr>
              <w:t>Section 1</w:t>
            </w:r>
            <w:r w:rsidRPr="00C54E13">
              <w:rPr>
                <w:rFonts w:asciiTheme="minorHAnsi" w:eastAsiaTheme="minorEastAsia" w:hAnsiTheme="minorHAnsi" w:cstheme="minorBidi"/>
                <w:b/>
                <w:bCs/>
                <w:noProof/>
                <w:sz w:val="22"/>
                <w:szCs w:val="22"/>
                <w:lang w:eastAsia="en-GB"/>
              </w:rPr>
              <w:tab/>
            </w:r>
            <w:r w:rsidRPr="00C54E13">
              <w:rPr>
                <w:rStyle w:val="Hyperlink"/>
                <w:b/>
                <w:bCs/>
                <w:noProof/>
              </w:rPr>
              <w:t>Introduction</w:t>
            </w:r>
            <w:r w:rsidRPr="00C54E13">
              <w:rPr>
                <w:noProof/>
                <w:webHidden/>
              </w:rPr>
              <w:tab/>
            </w:r>
            <w:r w:rsidRPr="00C54E13">
              <w:rPr>
                <w:noProof/>
                <w:webHidden/>
              </w:rPr>
              <w:fldChar w:fldCharType="begin"/>
            </w:r>
            <w:r w:rsidRPr="00C54E13">
              <w:rPr>
                <w:noProof/>
                <w:webHidden/>
              </w:rPr>
              <w:instrText xml:space="preserve"> PAGEREF _Toc37331397 \h </w:instrText>
            </w:r>
            <w:r w:rsidRPr="00C54E13">
              <w:rPr>
                <w:noProof/>
                <w:webHidden/>
              </w:rPr>
            </w:r>
            <w:r w:rsidRPr="00C54E13">
              <w:rPr>
                <w:noProof/>
                <w:webHidden/>
              </w:rPr>
              <w:fldChar w:fldCharType="separate"/>
            </w:r>
            <w:r w:rsidR="00A1229F">
              <w:rPr>
                <w:noProof/>
                <w:webHidden/>
              </w:rPr>
              <w:t>3</w:t>
            </w:r>
            <w:r w:rsidRPr="00C54E13">
              <w:rPr>
                <w:noProof/>
                <w:webHidden/>
              </w:rPr>
              <w:fldChar w:fldCharType="end"/>
            </w:r>
          </w:hyperlink>
        </w:p>
        <w:p w14:paraId="5527D52C"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398" w:history="1">
            <w:r w:rsidR="00CA4EDA" w:rsidRPr="00C54E13">
              <w:rPr>
                <w:rStyle w:val="Hyperlink"/>
                <w:noProof/>
                <w:lang w:eastAsia="nb-NO"/>
              </w:rPr>
              <w:t>Background</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_Toc37331398 \h </w:instrText>
            </w:r>
            <w:r w:rsidR="00CA4EDA" w:rsidRPr="00C54E13">
              <w:rPr>
                <w:noProof/>
                <w:webHidden/>
              </w:rPr>
            </w:r>
            <w:r w:rsidR="00CA4EDA" w:rsidRPr="00C54E13">
              <w:rPr>
                <w:noProof/>
                <w:webHidden/>
              </w:rPr>
              <w:fldChar w:fldCharType="separate"/>
            </w:r>
            <w:r w:rsidR="00A1229F">
              <w:rPr>
                <w:noProof/>
                <w:webHidden/>
              </w:rPr>
              <w:t>3</w:t>
            </w:r>
            <w:r w:rsidR="00CA4EDA" w:rsidRPr="00C54E13">
              <w:rPr>
                <w:noProof/>
                <w:webHidden/>
              </w:rPr>
              <w:fldChar w:fldCharType="end"/>
            </w:r>
          </w:hyperlink>
        </w:p>
        <w:p w14:paraId="7429D884"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399" w:history="1">
            <w:r w:rsidR="00CA4EDA" w:rsidRPr="00C54E13">
              <w:rPr>
                <w:rStyle w:val="Hyperlink"/>
                <w:noProof/>
              </w:rPr>
              <w:t>Context</w:t>
            </w:r>
            <w:r w:rsidR="00570D75" w:rsidRPr="00C54E13">
              <w:rPr>
                <w:noProof/>
                <w:webHidden/>
              </w:rPr>
              <w:t>……………………………………………………………………………………………………………………………….</w:t>
            </w:r>
            <w:r w:rsidR="00CA4EDA" w:rsidRPr="00C54E13">
              <w:rPr>
                <w:noProof/>
                <w:webHidden/>
              </w:rPr>
              <w:fldChar w:fldCharType="begin"/>
            </w:r>
            <w:r w:rsidR="00CA4EDA" w:rsidRPr="00C54E13">
              <w:rPr>
                <w:noProof/>
                <w:webHidden/>
              </w:rPr>
              <w:instrText xml:space="preserve"> PAGEREF _Toc37331399 \h </w:instrText>
            </w:r>
            <w:r w:rsidR="00CA4EDA" w:rsidRPr="00C54E13">
              <w:rPr>
                <w:noProof/>
                <w:webHidden/>
              </w:rPr>
            </w:r>
            <w:r w:rsidR="00CA4EDA" w:rsidRPr="00C54E13">
              <w:rPr>
                <w:noProof/>
                <w:webHidden/>
              </w:rPr>
              <w:fldChar w:fldCharType="separate"/>
            </w:r>
            <w:r w:rsidR="00A1229F">
              <w:rPr>
                <w:noProof/>
                <w:webHidden/>
              </w:rPr>
              <w:t>4</w:t>
            </w:r>
            <w:r w:rsidR="00CA4EDA" w:rsidRPr="00C54E13">
              <w:rPr>
                <w:noProof/>
                <w:webHidden/>
              </w:rPr>
              <w:fldChar w:fldCharType="end"/>
            </w:r>
          </w:hyperlink>
        </w:p>
        <w:p w14:paraId="04643080" w14:textId="3037C76C"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0" w:history="1">
            <w:r w:rsidR="00CA4EDA" w:rsidRPr="00C54E13">
              <w:rPr>
                <w:rStyle w:val="Hyperlink"/>
                <w:noProof/>
              </w:rPr>
              <w:t xml:space="preserve">Continued </w:t>
            </w:r>
            <w:r w:rsidR="005A0575">
              <w:rPr>
                <w:rStyle w:val="Hyperlink"/>
                <w:noProof/>
              </w:rPr>
              <w:t>R</w:t>
            </w:r>
            <w:r w:rsidR="00CA4EDA" w:rsidRPr="00C54E13">
              <w:rPr>
                <w:rStyle w:val="Hyperlink"/>
                <w:noProof/>
              </w:rPr>
              <w:t xml:space="preserve">elevance and </w:t>
            </w:r>
            <w:r w:rsidR="005A0575">
              <w:rPr>
                <w:rStyle w:val="Hyperlink"/>
                <w:noProof/>
              </w:rPr>
              <w:t>A</w:t>
            </w:r>
            <w:r w:rsidR="00CA4EDA" w:rsidRPr="00C54E13">
              <w:rPr>
                <w:rStyle w:val="Hyperlink"/>
                <w:noProof/>
              </w:rPr>
              <w:t xml:space="preserve">pplicability of the GCA as a </w:t>
            </w:r>
            <w:r w:rsidR="005A0575">
              <w:rPr>
                <w:rStyle w:val="Hyperlink"/>
                <w:noProof/>
              </w:rPr>
              <w:t>G</w:t>
            </w:r>
            <w:r w:rsidR="00CA4EDA" w:rsidRPr="00C54E13">
              <w:rPr>
                <w:rStyle w:val="Hyperlink"/>
                <w:noProof/>
              </w:rPr>
              <w:t xml:space="preserve">lobal </w:t>
            </w:r>
            <w:r w:rsidR="005A0575">
              <w:rPr>
                <w:rStyle w:val="Hyperlink"/>
                <w:noProof/>
              </w:rPr>
              <w:t>F</w:t>
            </w:r>
            <w:r w:rsidR="00CA4EDA" w:rsidRPr="00C54E13">
              <w:rPr>
                <w:rStyle w:val="Hyperlink"/>
                <w:noProof/>
              </w:rPr>
              <w:t xml:space="preserve">ramework for </w:t>
            </w:r>
            <w:r w:rsidR="005A0575">
              <w:rPr>
                <w:rStyle w:val="Hyperlink"/>
                <w:noProof/>
              </w:rPr>
              <w:t>A</w:t>
            </w:r>
            <w:r w:rsidR="00CA4EDA" w:rsidRPr="00C54E13">
              <w:rPr>
                <w:rStyle w:val="Hyperlink"/>
                <w:noProof/>
              </w:rPr>
              <w:t>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_Toc37331400 \h </w:instrText>
            </w:r>
            <w:r w:rsidR="00CA4EDA" w:rsidRPr="00C54E13">
              <w:rPr>
                <w:noProof/>
                <w:webHidden/>
              </w:rPr>
            </w:r>
            <w:r w:rsidR="00CA4EDA" w:rsidRPr="00C54E13">
              <w:rPr>
                <w:noProof/>
                <w:webHidden/>
              </w:rPr>
              <w:fldChar w:fldCharType="separate"/>
            </w:r>
            <w:r w:rsidR="00A1229F">
              <w:rPr>
                <w:noProof/>
                <w:webHidden/>
              </w:rPr>
              <w:t>6</w:t>
            </w:r>
            <w:r w:rsidR="00CA4EDA" w:rsidRPr="00C54E13">
              <w:rPr>
                <w:noProof/>
                <w:webHidden/>
              </w:rPr>
              <w:fldChar w:fldCharType="end"/>
            </w:r>
          </w:hyperlink>
        </w:p>
        <w:p w14:paraId="12A54B63"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01" w:history="1">
            <w:r w:rsidR="00CA4EDA" w:rsidRPr="00C54E13">
              <w:rPr>
                <w:rStyle w:val="Hyperlink"/>
                <w:b/>
                <w:bCs/>
                <w:noProof/>
              </w:rPr>
              <w:t>Section 2</w:t>
            </w:r>
            <w:r w:rsidR="00CA4EDA" w:rsidRPr="00C54E13">
              <w:rPr>
                <w:rFonts w:asciiTheme="minorHAnsi" w:eastAsiaTheme="minorEastAsia" w:hAnsiTheme="minorHAnsi" w:cstheme="minorBidi"/>
                <w:b/>
                <w:bCs/>
                <w:noProof/>
                <w:sz w:val="22"/>
                <w:szCs w:val="22"/>
                <w:lang w:eastAsia="en-GB"/>
              </w:rPr>
              <w:tab/>
            </w:r>
            <w:r w:rsidR="00CA4EDA" w:rsidRPr="00C54E13">
              <w:rPr>
                <w:rStyle w:val="Hyperlink"/>
                <w:b/>
                <w:bCs/>
                <w:noProof/>
              </w:rPr>
              <w:t>Pillar 1: Legal Measures</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_Toc37331401 \h </w:instrText>
            </w:r>
            <w:r w:rsidR="00CA4EDA" w:rsidRPr="00C54E13">
              <w:rPr>
                <w:b/>
                <w:bCs/>
                <w:noProof/>
                <w:webHidden/>
              </w:rPr>
            </w:r>
            <w:r w:rsidR="00CA4EDA" w:rsidRPr="00C54E13">
              <w:rPr>
                <w:b/>
                <w:bCs/>
                <w:noProof/>
                <w:webHidden/>
              </w:rPr>
              <w:fldChar w:fldCharType="separate"/>
            </w:r>
            <w:r w:rsidR="00A1229F">
              <w:rPr>
                <w:b/>
                <w:bCs/>
                <w:noProof/>
                <w:webHidden/>
              </w:rPr>
              <w:t>7</w:t>
            </w:r>
            <w:r w:rsidR="00CA4EDA" w:rsidRPr="00C54E13">
              <w:rPr>
                <w:b/>
                <w:bCs/>
                <w:noProof/>
                <w:webHidden/>
              </w:rPr>
              <w:fldChar w:fldCharType="end"/>
            </w:r>
          </w:hyperlink>
        </w:p>
        <w:p w14:paraId="6A49C0DF"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2" w:history="1">
            <w:r w:rsidR="00CA4EDA" w:rsidRPr="00C54E13">
              <w:rPr>
                <w:rStyle w:val="Hyperlink"/>
                <w:noProof/>
              </w:rPr>
              <w:t>Introduction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_Toc37331402 \h </w:instrText>
            </w:r>
            <w:r w:rsidR="00CA4EDA" w:rsidRPr="00C54E13">
              <w:rPr>
                <w:noProof/>
                <w:webHidden/>
              </w:rPr>
            </w:r>
            <w:r w:rsidR="00CA4EDA" w:rsidRPr="00C54E13">
              <w:rPr>
                <w:noProof/>
                <w:webHidden/>
              </w:rPr>
              <w:fldChar w:fldCharType="separate"/>
            </w:r>
            <w:r w:rsidR="00A1229F">
              <w:rPr>
                <w:noProof/>
                <w:webHidden/>
              </w:rPr>
              <w:t>7</w:t>
            </w:r>
            <w:r w:rsidR="00CA4EDA" w:rsidRPr="00C54E13">
              <w:rPr>
                <w:noProof/>
                <w:webHidden/>
              </w:rPr>
              <w:fldChar w:fldCharType="end"/>
            </w:r>
          </w:hyperlink>
        </w:p>
        <w:p w14:paraId="2A7915C9" w14:textId="1FECA84D"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3" w:history="1">
            <w:r w:rsidR="00CA4EDA" w:rsidRPr="00C54E13">
              <w:rPr>
                <w:rStyle w:val="Hyperlink"/>
                <w:noProof/>
                <w:lang w:val="en-US"/>
              </w:rPr>
              <w:t xml:space="preserve">Evolution of the </w:t>
            </w:r>
            <w:r w:rsidR="005A0575">
              <w:rPr>
                <w:rStyle w:val="Hyperlink"/>
                <w:noProof/>
                <w:lang w:val="en-US"/>
              </w:rPr>
              <w:t>L</w:t>
            </w:r>
            <w:r w:rsidR="00CA4EDA" w:rsidRPr="00C54E13">
              <w:rPr>
                <w:rStyle w:val="Hyperlink"/>
                <w:noProof/>
                <w:lang w:val="en-US"/>
              </w:rPr>
              <w:t xml:space="preserve">egal </w:t>
            </w:r>
            <w:r w:rsidR="005A0575">
              <w:rPr>
                <w:rStyle w:val="Hyperlink"/>
                <w:noProof/>
                <w:lang w:val="en-US"/>
              </w:rPr>
              <w:t>L</w:t>
            </w:r>
            <w:r w:rsidR="00CA4EDA" w:rsidRPr="00C54E13">
              <w:rPr>
                <w:rStyle w:val="Hyperlink"/>
                <w:noProof/>
                <w:lang w:val="en-US"/>
              </w:rPr>
              <w:t xml:space="preserve">andscape </w:t>
            </w:r>
            <w:r w:rsidR="005A0575">
              <w:rPr>
                <w:rStyle w:val="Hyperlink"/>
                <w:noProof/>
                <w:lang w:val="en-US"/>
              </w:rPr>
              <w:t>S</w:t>
            </w:r>
            <w:r w:rsidR="00CA4EDA" w:rsidRPr="00C54E13">
              <w:rPr>
                <w:rStyle w:val="Hyperlink"/>
                <w:noProof/>
                <w:lang w:val="en-US"/>
              </w:rPr>
              <w:t>ince 2008</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_Toc37331403 \h </w:instrText>
            </w:r>
            <w:r w:rsidR="00CA4EDA" w:rsidRPr="00C54E13">
              <w:rPr>
                <w:noProof/>
                <w:webHidden/>
              </w:rPr>
            </w:r>
            <w:r w:rsidR="00CA4EDA" w:rsidRPr="00C54E13">
              <w:rPr>
                <w:noProof/>
                <w:webHidden/>
              </w:rPr>
              <w:fldChar w:fldCharType="separate"/>
            </w:r>
            <w:r w:rsidR="00A1229F">
              <w:rPr>
                <w:noProof/>
                <w:webHidden/>
              </w:rPr>
              <w:t>7</w:t>
            </w:r>
            <w:r w:rsidR="00CA4EDA" w:rsidRPr="00C54E13">
              <w:rPr>
                <w:noProof/>
                <w:webHidden/>
              </w:rPr>
              <w:fldChar w:fldCharType="end"/>
            </w:r>
          </w:hyperlink>
        </w:p>
        <w:p w14:paraId="024593A5" w14:textId="55015C60"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4" w:history="1">
            <w:r w:rsidR="00CA4EDA" w:rsidRPr="00C54E13">
              <w:rPr>
                <w:rStyle w:val="Hyperlink"/>
                <w:noProof/>
              </w:rPr>
              <w:t xml:space="preserve">Guidelines to </w:t>
            </w:r>
            <w:r w:rsidR="005A0575">
              <w:rPr>
                <w:rStyle w:val="Hyperlink"/>
                <w:noProof/>
              </w:rPr>
              <w:t>U</w:t>
            </w:r>
            <w:r w:rsidR="00CA4EDA" w:rsidRPr="00C54E13">
              <w:rPr>
                <w:rStyle w:val="Hyperlink"/>
                <w:noProof/>
              </w:rPr>
              <w:t>tilize Pillar 1 - Legal Measures</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_Toc37331404 \h </w:instrText>
            </w:r>
            <w:r w:rsidR="00CA4EDA" w:rsidRPr="00C54E13">
              <w:rPr>
                <w:noProof/>
                <w:webHidden/>
              </w:rPr>
            </w:r>
            <w:r w:rsidR="00CA4EDA" w:rsidRPr="00C54E13">
              <w:rPr>
                <w:noProof/>
                <w:webHidden/>
              </w:rPr>
              <w:fldChar w:fldCharType="separate"/>
            </w:r>
            <w:r w:rsidR="00A1229F">
              <w:rPr>
                <w:noProof/>
                <w:webHidden/>
              </w:rPr>
              <w:t>10</w:t>
            </w:r>
            <w:r w:rsidR="00CA4EDA" w:rsidRPr="00C54E13">
              <w:rPr>
                <w:noProof/>
                <w:webHidden/>
              </w:rPr>
              <w:fldChar w:fldCharType="end"/>
            </w:r>
          </w:hyperlink>
        </w:p>
        <w:p w14:paraId="423DC954"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05" w:history="1">
            <w:r w:rsidR="00CA4EDA" w:rsidRPr="00C54E13">
              <w:rPr>
                <w:rStyle w:val="Hyperlink"/>
                <w:b/>
                <w:bCs/>
                <w:noProof/>
              </w:rPr>
              <w:t>Section 3</w:t>
            </w:r>
            <w:r w:rsidR="00CA4EDA" w:rsidRPr="00C54E13">
              <w:rPr>
                <w:rFonts w:asciiTheme="minorHAnsi" w:eastAsiaTheme="minorEastAsia" w:hAnsiTheme="minorHAnsi" w:cstheme="minorBidi"/>
                <w:b/>
                <w:bCs/>
                <w:noProof/>
                <w:sz w:val="22"/>
                <w:szCs w:val="22"/>
                <w:lang w:eastAsia="en-GB"/>
              </w:rPr>
              <w:tab/>
            </w:r>
            <w:r w:rsidR="00CA4EDA" w:rsidRPr="00C54E13">
              <w:rPr>
                <w:rStyle w:val="Hyperlink"/>
                <w:b/>
                <w:bCs/>
                <w:noProof/>
              </w:rPr>
              <w:t>Pillar 2: Technical &amp; Procedural Measures</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_Toc37331405 \h </w:instrText>
            </w:r>
            <w:r w:rsidR="00CA4EDA" w:rsidRPr="00C54E13">
              <w:rPr>
                <w:b/>
                <w:bCs/>
                <w:noProof/>
                <w:webHidden/>
              </w:rPr>
            </w:r>
            <w:r w:rsidR="00CA4EDA" w:rsidRPr="00C54E13">
              <w:rPr>
                <w:b/>
                <w:bCs/>
                <w:noProof/>
                <w:webHidden/>
              </w:rPr>
              <w:fldChar w:fldCharType="separate"/>
            </w:r>
            <w:r w:rsidR="00A1229F">
              <w:rPr>
                <w:b/>
                <w:bCs/>
                <w:noProof/>
                <w:webHidden/>
              </w:rPr>
              <w:t>11</w:t>
            </w:r>
            <w:r w:rsidR="00CA4EDA" w:rsidRPr="00C54E13">
              <w:rPr>
                <w:b/>
                <w:bCs/>
                <w:noProof/>
                <w:webHidden/>
              </w:rPr>
              <w:fldChar w:fldCharType="end"/>
            </w:r>
          </w:hyperlink>
        </w:p>
        <w:p w14:paraId="576171AF"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6" w:history="1">
            <w:r w:rsidR="00CA4EDA" w:rsidRPr="00C54E13">
              <w:rPr>
                <w:rStyle w:val="Hyperlink"/>
                <w:noProof/>
              </w:rPr>
              <w:t>Introduction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_Toc37331406 \h </w:instrText>
            </w:r>
            <w:r w:rsidR="00CA4EDA" w:rsidRPr="00C54E13">
              <w:rPr>
                <w:noProof/>
                <w:webHidden/>
              </w:rPr>
            </w:r>
            <w:r w:rsidR="00CA4EDA" w:rsidRPr="00C54E13">
              <w:rPr>
                <w:noProof/>
                <w:webHidden/>
              </w:rPr>
              <w:fldChar w:fldCharType="separate"/>
            </w:r>
            <w:r w:rsidR="00A1229F">
              <w:rPr>
                <w:noProof/>
                <w:webHidden/>
              </w:rPr>
              <w:t>11</w:t>
            </w:r>
            <w:r w:rsidR="00CA4EDA" w:rsidRPr="00C54E13">
              <w:rPr>
                <w:noProof/>
                <w:webHidden/>
              </w:rPr>
              <w:fldChar w:fldCharType="end"/>
            </w:r>
          </w:hyperlink>
        </w:p>
        <w:p w14:paraId="50533312" w14:textId="64118DB5"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7" w:history="1">
            <w:r w:rsidR="00CA4EDA" w:rsidRPr="00C54E13">
              <w:rPr>
                <w:rStyle w:val="Hyperlink"/>
                <w:noProof/>
              </w:rPr>
              <w:t xml:space="preserve">Evolution of the Technical &amp; Procedural Measures </w:t>
            </w:r>
            <w:r w:rsidR="005A0575">
              <w:rPr>
                <w:rStyle w:val="Hyperlink"/>
                <w:noProof/>
              </w:rPr>
              <w:t>L</w:t>
            </w:r>
            <w:r w:rsidR="00CA4EDA" w:rsidRPr="00C54E13">
              <w:rPr>
                <w:rStyle w:val="Hyperlink"/>
                <w:noProof/>
              </w:rPr>
              <w:t xml:space="preserve">andscape </w:t>
            </w:r>
            <w:r w:rsidR="005A0575">
              <w:rPr>
                <w:rStyle w:val="Hyperlink"/>
                <w:noProof/>
              </w:rPr>
              <w:t>S</w:t>
            </w:r>
            <w:r w:rsidR="00CA4EDA" w:rsidRPr="00C54E13">
              <w:rPr>
                <w:rStyle w:val="Hyperlink"/>
                <w:noProof/>
              </w:rPr>
              <w:t>ince 2008</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_Toc37331407 \h </w:instrText>
            </w:r>
            <w:r w:rsidR="00CA4EDA" w:rsidRPr="00C54E13">
              <w:rPr>
                <w:noProof/>
                <w:webHidden/>
              </w:rPr>
            </w:r>
            <w:r w:rsidR="00CA4EDA" w:rsidRPr="00C54E13">
              <w:rPr>
                <w:noProof/>
                <w:webHidden/>
              </w:rPr>
              <w:fldChar w:fldCharType="separate"/>
            </w:r>
            <w:r w:rsidR="00A1229F">
              <w:rPr>
                <w:noProof/>
                <w:webHidden/>
              </w:rPr>
              <w:t>11</w:t>
            </w:r>
            <w:r w:rsidR="00CA4EDA" w:rsidRPr="00C54E13">
              <w:rPr>
                <w:noProof/>
                <w:webHidden/>
              </w:rPr>
              <w:fldChar w:fldCharType="end"/>
            </w:r>
          </w:hyperlink>
        </w:p>
        <w:p w14:paraId="22DB13FB" w14:textId="10764CE5"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08" w:history="1">
            <w:r w:rsidR="00CA4EDA" w:rsidRPr="00C54E13">
              <w:rPr>
                <w:rStyle w:val="Hyperlink"/>
                <w:noProof/>
              </w:rPr>
              <w:t xml:space="preserve">Guidelines to </w:t>
            </w:r>
            <w:r w:rsidR="005A0575">
              <w:rPr>
                <w:rStyle w:val="Hyperlink"/>
                <w:noProof/>
              </w:rPr>
              <w:t>U</w:t>
            </w:r>
            <w:r w:rsidR="00CA4EDA" w:rsidRPr="00C54E13">
              <w:rPr>
                <w:rStyle w:val="Hyperlink"/>
                <w:noProof/>
              </w:rPr>
              <w:t>tilize Pillar 2 - Technical &amp; Procedural Measures</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_Toc37331408 \h </w:instrText>
            </w:r>
            <w:r w:rsidR="00CA4EDA" w:rsidRPr="00C54E13">
              <w:rPr>
                <w:noProof/>
                <w:webHidden/>
              </w:rPr>
            </w:r>
            <w:r w:rsidR="00CA4EDA" w:rsidRPr="00C54E13">
              <w:rPr>
                <w:noProof/>
                <w:webHidden/>
              </w:rPr>
              <w:fldChar w:fldCharType="separate"/>
            </w:r>
            <w:r w:rsidR="00A1229F">
              <w:rPr>
                <w:noProof/>
                <w:webHidden/>
              </w:rPr>
              <w:t>13</w:t>
            </w:r>
            <w:r w:rsidR="00CA4EDA" w:rsidRPr="00C54E13">
              <w:rPr>
                <w:noProof/>
                <w:webHidden/>
              </w:rPr>
              <w:fldChar w:fldCharType="end"/>
            </w:r>
          </w:hyperlink>
        </w:p>
        <w:p w14:paraId="499A40E0"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09" w:history="1">
            <w:r w:rsidR="00CA4EDA" w:rsidRPr="00C54E13">
              <w:rPr>
                <w:rStyle w:val="Hyperlink"/>
                <w:b/>
                <w:bCs/>
                <w:noProof/>
              </w:rPr>
              <w:t>Section 4</w:t>
            </w:r>
            <w:r w:rsidR="00CA4EDA" w:rsidRPr="00C54E13">
              <w:rPr>
                <w:rFonts w:asciiTheme="minorHAnsi" w:eastAsiaTheme="minorEastAsia" w:hAnsiTheme="minorHAnsi" w:cstheme="minorBidi"/>
                <w:b/>
                <w:bCs/>
                <w:noProof/>
                <w:sz w:val="22"/>
                <w:szCs w:val="22"/>
                <w:lang w:eastAsia="en-GB"/>
              </w:rPr>
              <w:tab/>
            </w:r>
            <w:r w:rsidR="00CA4EDA" w:rsidRPr="00C54E13">
              <w:rPr>
                <w:rStyle w:val="Hyperlink"/>
                <w:b/>
                <w:bCs/>
                <w:noProof/>
              </w:rPr>
              <w:t>Pillar 3: Organizational Structures</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_Toc37331409 \h </w:instrText>
            </w:r>
            <w:r w:rsidR="00CA4EDA" w:rsidRPr="00C54E13">
              <w:rPr>
                <w:b/>
                <w:bCs/>
                <w:noProof/>
                <w:webHidden/>
              </w:rPr>
            </w:r>
            <w:r w:rsidR="00CA4EDA" w:rsidRPr="00C54E13">
              <w:rPr>
                <w:b/>
                <w:bCs/>
                <w:noProof/>
                <w:webHidden/>
              </w:rPr>
              <w:fldChar w:fldCharType="separate"/>
            </w:r>
            <w:r w:rsidR="00A1229F">
              <w:rPr>
                <w:b/>
                <w:bCs/>
                <w:noProof/>
                <w:webHidden/>
              </w:rPr>
              <w:t>13</w:t>
            </w:r>
            <w:r w:rsidR="00CA4EDA" w:rsidRPr="00C54E13">
              <w:rPr>
                <w:b/>
                <w:bCs/>
                <w:noProof/>
                <w:webHidden/>
              </w:rPr>
              <w:fldChar w:fldCharType="end"/>
            </w:r>
          </w:hyperlink>
        </w:p>
        <w:p w14:paraId="3DB7B029"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0" w:history="1">
            <w:r w:rsidR="00CA4EDA" w:rsidRPr="00C54E13">
              <w:rPr>
                <w:rStyle w:val="Hyperlink"/>
                <w:noProof/>
              </w:rPr>
              <w:t>Introduction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_Toc37331410 \h </w:instrText>
            </w:r>
            <w:r w:rsidR="00CA4EDA" w:rsidRPr="00C54E13">
              <w:rPr>
                <w:noProof/>
                <w:webHidden/>
              </w:rPr>
            </w:r>
            <w:r w:rsidR="00CA4EDA" w:rsidRPr="00C54E13">
              <w:rPr>
                <w:noProof/>
                <w:webHidden/>
              </w:rPr>
              <w:fldChar w:fldCharType="separate"/>
            </w:r>
            <w:r w:rsidR="00A1229F">
              <w:rPr>
                <w:noProof/>
                <w:webHidden/>
              </w:rPr>
              <w:t>13</w:t>
            </w:r>
            <w:r w:rsidR="00CA4EDA" w:rsidRPr="00C54E13">
              <w:rPr>
                <w:noProof/>
                <w:webHidden/>
              </w:rPr>
              <w:fldChar w:fldCharType="end"/>
            </w:r>
          </w:hyperlink>
        </w:p>
        <w:p w14:paraId="4AEDE61E" w14:textId="6FEFADD6"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1" w:history="1">
            <w:r w:rsidR="00CA4EDA" w:rsidRPr="00C54E13">
              <w:rPr>
                <w:rStyle w:val="Hyperlink"/>
                <w:noProof/>
              </w:rPr>
              <w:t xml:space="preserve">Evolution of the Organizational Structures </w:t>
            </w:r>
            <w:r w:rsidR="005A0575">
              <w:rPr>
                <w:rStyle w:val="Hyperlink"/>
                <w:noProof/>
              </w:rPr>
              <w:t>L</w:t>
            </w:r>
            <w:r w:rsidR="00CA4EDA" w:rsidRPr="00C54E13">
              <w:rPr>
                <w:rStyle w:val="Hyperlink"/>
                <w:noProof/>
              </w:rPr>
              <w:t xml:space="preserve">andscape </w:t>
            </w:r>
            <w:r w:rsidR="005A0575">
              <w:rPr>
                <w:rStyle w:val="Hyperlink"/>
                <w:noProof/>
              </w:rPr>
              <w:t>S</w:t>
            </w:r>
            <w:r w:rsidR="00CA4EDA" w:rsidRPr="00C54E13">
              <w:rPr>
                <w:rStyle w:val="Hyperlink"/>
                <w:noProof/>
              </w:rPr>
              <w:t>ince 2008</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_Toc37331411 \h </w:instrText>
            </w:r>
            <w:r w:rsidR="00CA4EDA" w:rsidRPr="00C54E13">
              <w:rPr>
                <w:noProof/>
                <w:webHidden/>
              </w:rPr>
            </w:r>
            <w:r w:rsidR="00CA4EDA" w:rsidRPr="00C54E13">
              <w:rPr>
                <w:noProof/>
                <w:webHidden/>
              </w:rPr>
              <w:fldChar w:fldCharType="separate"/>
            </w:r>
            <w:r w:rsidR="00A1229F">
              <w:rPr>
                <w:noProof/>
                <w:webHidden/>
              </w:rPr>
              <w:t>14</w:t>
            </w:r>
            <w:r w:rsidR="00CA4EDA" w:rsidRPr="00C54E13">
              <w:rPr>
                <w:noProof/>
                <w:webHidden/>
              </w:rPr>
              <w:fldChar w:fldCharType="end"/>
            </w:r>
          </w:hyperlink>
        </w:p>
        <w:p w14:paraId="23A1E2D8" w14:textId="58ECEFBD"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2" w:history="1">
            <w:r w:rsidR="00CA4EDA" w:rsidRPr="00C54E13">
              <w:rPr>
                <w:rStyle w:val="Hyperlink"/>
                <w:noProof/>
              </w:rPr>
              <w:t xml:space="preserve">Guidelines to </w:t>
            </w:r>
            <w:r w:rsidR="005A0575">
              <w:rPr>
                <w:rStyle w:val="Hyperlink"/>
                <w:noProof/>
              </w:rPr>
              <w:t>U</w:t>
            </w:r>
            <w:r w:rsidR="00CA4EDA" w:rsidRPr="00C54E13">
              <w:rPr>
                <w:rStyle w:val="Hyperlink"/>
                <w:noProof/>
              </w:rPr>
              <w:t>tilize Pillar 3 - Organizational Structures</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_Toc37331412 \h </w:instrText>
            </w:r>
            <w:r w:rsidR="00CA4EDA" w:rsidRPr="00C54E13">
              <w:rPr>
                <w:noProof/>
                <w:webHidden/>
              </w:rPr>
            </w:r>
            <w:r w:rsidR="00CA4EDA" w:rsidRPr="00C54E13">
              <w:rPr>
                <w:noProof/>
                <w:webHidden/>
              </w:rPr>
              <w:fldChar w:fldCharType="separate"/>
            </w:r>
            <w:r w:rsidR="00A1229F">
              <w:rPr>
                <w:noProof/>
                <w:webHidden/>
              </w:rPr>
              <w:t>15</w:t>
            </w:r>
            <w:r w:rsidR="00CA4EDA" w:rsidRPr="00C54E13">
              <w:rPr>
                <w:noProof/>
                <w:webHidden/>
              </w:rPr>
              <w:fldChar w:fldCharType="end"/>
            </w:r>
          </w:hyperlink>
        </w:p>
        <w:p w14:paraId="1488390F"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13" w:history="1">
            <w:r w:rsidR="00CA4EDA" w:rsidRPr="00C54E13">
              <w:rPr>
                <w:rStyle w:val="Hyperlink"/>
                <w:b/>
                <w:bCs/>
                <w:noProof/>
              </w:rPr>
              <w:t>Section 5</w:t>
            </w:r>
            <w:r w:rsidR="00CA4EDA" w:rsidRPr="00C54E13">
              <w:rPr>
                <w:rFonts w:asciiTheme="minorHAnsi" w:eastAsiaTheme="minorEastAsia" w:hAnsiTheme="minorHAnsi" w:cstheme="minorBidi"/>
                <w:b/>
                <w:bCs/>
                <w:noProof/>
                <w:sz w:val="22"/>
                <w:szCs w:val="22"/>
                <w:lang w:eastAsia="en-GB"/>
              </w:rPr>
              <w:tab/>
            </w:r>
            <w:r w:rsidR="00CA4EDA" w:rsidRPr="00C54E13">
              <w:rPr>
                <w:rStyle w:val="Hyperlink"/>
                <w:b/>
                <w:bCs/>
                <w:noProof/>
              </w:rPr>
              <w:t>Pillar 4: Capacity Building</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_Toc37331413 \h </w:instrText>
            </w:r>
            <w:r w:rsidR="00CA4EDA" w:rsidRPr="00C54E13">
              <w:rPr>
                <w:b/>
                <w:bCs/>
                <w:noProof/>
                <w:webHidden/>
              </w:rPr>
            </w:r>
            <w:r w:rsidR="00CA4EDA" w:rsidRPr="00C54E13">
              <w:rPr>
                <w:b/>
                <w:bCs/>
                <w:noProof/>
                <w:webHidden/>
              </w:rPr>
              <w:fldChar w:fldCharType="separate"/>
            </w:r>
            <w:r w:rsidR="00A1229F">
              <w:rPr>
                <w:b/>
                <w:bCs/>
                <w:noProof/>
                <w:webHidden/>
              </w:rPr>
              <w:t>15</w:t>
            </w:r>
            <w:r w:rsidR="00CA4EDA" w:rsidRPr="00C54E13">
              <w:rPr>
                <w:b/>
                <w:bCs/>
                <w:noProof/>
                <w:webHidden/>
              </w:rPr>
              <w:fldChar w:fldCharType="end"/>
            </w:r>
          </w:hyperlink>
        </w:p>
        <w:p w14:paraId="4901BDF4"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4" w:history="1">
            <w:r w:rsidR="00CA4EDA" w:rsidRPr="00C54E13">
              <w:rPr>
                <w:rStyle w:val="Hyperlink"/>
                <w:noProof/>
              </w:rPr>
              <w:t>Introduction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_Toc37331414 \h </w:instrText>
            </w:r>
            <w:r w:rsidR="00CA4EDA" w:rsidRPr="00C54E13">
              <w:rPr>
                <w:noProof/>
                <w:webHidden/>
              </w:rPr>
            </w:r>
            <w:r w:rsidR="00CA4EDA" w:rsidRPr="00C54E13">
              <w:rPr>
                <w:noProof/>
                <w:webHidden/>
              </w:rPr>
              <w:fldChar w:fldCharType="separate"/>
            </w:r>
            <w:r w:rsidR="00A1229F">
              <w:rPr>
                <w:noProof/>
                <w:webHidden/>
              </w:rPr>
              <w:t>15</w:t>
            </w:r>
            <w:r w:rsidR="00CA4EDA" w:rsidRPr="00C54E13">
              <w:rPr>
                <w:noProof/>
                <w:webHidden/>
              </w:rPr>
              <w:fldChar w:fldCharType="end"/>
            </w:r>
          </w:hyperlink>
        </w:p>
        <w:p w14:paraId="62E11ABF" w14:textId="277907C2"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5" w:history="1">
            <w:r w:rsidR="00CA4EDA" w:rsidRPr="00C54E13">
              <w:rPr>
                <w:rStyle w:val="Hyperlink"/>
                <w:noProof/>
              </w:rPr>
              <w:t xml:space="preserve">Evolution of the Capacity Building </w:t>
            </w:r>
            <w:r w:rsidR="005A0575">
              <w:rPr>
                <w:rStyle w:val="Hyperlink"/>
                <w:noProof/>
              </w:rPr>
              <w:t>L</w:t>
            </w:r>
            <w:r w:rsidR="00CA4EDA" w:rsidRPr="00C54E13">
              <w:rPr>
                <w:rStyle w:val="Hyperlink"/>
                <w:noProof/>
              </w:rPr>
              <w:t xml:space="preserve">andscape </w:t>
            </w:r>
            <w:r w:rsidR="005A0575">
              <w:rPr>
                <w:rStyle w:val="Hyperlink"/>
                <w:noProof/>
              </w:rPr>
              <w:t>S</w:t>
            </w:r>
            <w:r w:rsidR="00CA4EDA" w:rsidRPr="00C54E13">
              <w:rPr>
                <w:rStyle w:val="Hyperlink"/>
                <w:noProof/>
              </w:rPr>
              <w:t>ince 2008</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_Toc37331415 \h </w:instrText>
            </w:r>
            <w:r w:rsidR="00CA4EDA" w:rsidRPr="00C54E13">
              <w:rPr>
                <w:noProof/>
                <w:webHidden/>
              </w:rPr>
            </w:r>
            <w:r w:rsidR="00CA4EDA" w:rsidRPr="00C54E13">
              <w:rPr>
                <w:noProof/>
                <w:webHidden/>
              </w:rPr>
              <w:fldChar w:fldCharType="separate"/>
            </w:r>
            <w:r w:rsidR="00A1229F">
              <w:rPr>
                <w:noProof/>
                <w:webHidden/>
              </w:rPr>
              <w:t>16</w:t>
            </w:r>
            <w:r w:rsidR="00CA4EDA" w:rsidRPr="00C54E13">
              <w:rPr>
                <w:noProof/>
                <w:webHidden/>
              </w:rPr>
              <w:fldChar w:fldCharType="end"/>
            </w:r>
          </w:hyperlink>
        </w:p>
        <w:p w14:paraId="70CBFACF" w14:textId="692B5931"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6" w:history="1">
            <w:r w:rsidR="00CA4EDA" w:rsidRPr="00C54E13">
              <w:rPr>
                <w:rStyle w:val="Hyperlink"/>
                <w:noProof/>
              </w:rPr>
              <w:t xml:space="preserve">Guidelines to </w:t>
            </w:r>
            <w:r w:rsidR="005A0575">
              <w:rPr>
                <w:rStyle w:val="Hyperlink"/>
                <w:noProof/>
              </w:rPr>
              <w:t>U</w:t>
            </w:r>
            <w:r w:rsidR="00CA4EDA" w:rsidRPr="00C54E13">
              <w:rPr>
                <w:rStyle w:val="Hyperlink"/>
                <w:noProof/>
              </w:rPr>
              <w:t>tilize Pillar 4 - Capacity Building</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_Toc37331416 \h </w:instrText>
            </w:r>
            <w:r w:rsidR="00CA4EDA" w:rsidRPr="00C54E13">
              <w:rPr>
                <w:noProof/>
                <w:webHidden/>
              </w:rPr>
            </w:r>
            <w:r w:rsidR="00CA4EDA" w:rsidRPr="00C54E13">
              <w:rPr>
                <w:noProof/>
                <w:webHidden/>
              </w:rPr>
              <w:fldChar w:fldCharType="separate"/>
            </w:r>
            <w:r w:rsidR="00A1229F">
              <w:rPr>
                <w:noProof/>
                <w:webHidden/>
              </w:rPr>
              <w:t>16</w:t>
            </w:r>
            <w:r w:rsidR="00CA4EDA" w:rsidRPr="00C54E13">
              <w:rPr>
                <w:noProof/>
                <w:webHidden/>
              </w:rPr>
              <w:fldChar w:fldCharType="end"/>
            </w:r>
          </w:hyperlink>
        </w:p>
        <w:p w14:paraId="5C61C6D7"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17" w:history="1">
            <w:r w:rsidR="00CA4EDA" w:rsidRPr="00C54E13">
              <w:rPr>
                <w:rStyle w:val="Hyperlink"/>
                <w:b/>
                <w:bCs/>
                <w:noProof/>
              </w:rPr>
              <w:t>Section 6</w:t>
            </w:r>
            <w:r w:rsidR="00CA4EDA" w:rsidRPr="00C54E13">
              <w:rPr>
                <w:rFonts w:asciiTheme="minorHAnsi" w:eastAsiaTheme="minorEastAsia" w:hAnsiTheme="minorHAnsi" w:cstheme="minorBidi"/>
                <w:b/>
                <w:bCs/>
                <w:noProof/>
                <w:sz w:val="22"/>
                <w:szCs w:val="22"/>
                <w:lang w:eastAsia="en-GB"/>
              </w:rPr>
              <w:tab/>
            </w:r>
            <w:r w:rsidR="00CA4EDA" w:rsidRPr="00C54E13">
              <w:rPr>
                <w:rStyle w:val="Hyperlink"/>
                <w:b/>
                <w:bCs/>
                <w:noProof/>
              </w:rPr>
              <w:t>Pillar 5: International Cooperation</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_Toc37331417 \h </w:instrText>
            </w:r>
            <w:r w:rsidR="00CA4EDA" w:rsidRPr="00C54E13">
              <w:rPr>
                <w:b/>
                <w:bCs/>
                <w:noProof/>
                <w:webHidden/>
              </w:rPr>
            </w:r>
            <w:r w:rsidR="00CA4EDA" w:rsidRPr="00C54E13">
              <w:rPr>
                <w:b/>
                <w:bCs/>
                <w:noProof/>
                <w:webHidden/>
              </w:rPr>
              <w:fldChar w:fldCharType="separate"/>
            </w:r>
            <w:r w:rsidR="00A1229F">
              <w:rPr>
                <w:b/>
                <w:bCs/>
                <w:noProof/>
                <w:webHidden/>
              </w:rPr>
              <w:t>18</w:t>
            </w:r>
            <w:r w:rsidR="00CA4EDA" w:rsidRPr="00C54E13">
              <w:rPr>
                <w:b/>
                <w:bCs/>
                <w:noProof/>
                <w:webHidden/>
              </w:rPr>
              <w:fldChar w:fldCharType="end"/>
            </w:r>
          </w:hyperlink>
        </w:p>
        <w:p w14:paraId="2E1618D2" w14:textId="77777777"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8" w:history="1">
            <w:r w:rsidR="00CA4EDA" w:rsidRPr="00C54E13">
              <w:rPr>
                <w:rStyle w:val="Hyperlink"/>
                <w:noProof/>
              </w:rPr>
              <w:t>Introduction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_Toc37331418 \h </w:instrText>
            </w:r>
            <w:r w:rsidR="00CA4EDA" w:rsidRPr="00C54E13">
              <w:rPr>
                <w:noProof/>
                <w:webHidden/>
              </w:rPr>
            </w:r>
            <w:r w:rsidR="00CA4EDA" w:rsidRPr="00C54E13">
              <w:rPr>
                <w:noProof/>
                <w:webHidden/>
              </w:rPr>
              <w:fldChar w:fldCharType="separate"/>
            </w:r>
            <w:r w:rsidR="00A1229F">
              <w:rPr>
                <w:noProof/>
                <w:webHidden/>
              </w:rPr>
              <w:t>18</w:t>
            </w:r>
            <w:r w:rsidR="00CA4EDA" w:rsidRPr="00C54E13">
              <w:rPr>
                <w:noProof/>
                <w:webHidden/>
              </w:rPr>
              <w:fldChar w:fldCharType="end"/>
            </w:r>
          </w:hyperlink>
        </w:p>
        <w:p w14:paraId="20C30DA7" w14:textId="4F2AE6AB"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19" w:history="1">
            <w:r w:rsidR="00CA4EDA" w:rsidRPr="00C54E13">
              <w:rPr>
                <w:rStyle w:val="Hyperlink"/>
                <w:noProof/>
                <w:lang w:val="en-US"/>
              </w:rPr>
              <w:t xml:space="preserve">Evolution of the International </w:t>
            </w:r>
            <w:r w:rsidR="005A0575">
              <w:rPr>
                <w:rStyle w:val="Hyperlink"/>
                <w:noProof/>
                <w:lang w:val="en-US"/>
              </w:rPr>
              <w:t>C</w:t>
            </w:r>
            <w:r w:rsidR="00CA4EDA" w:rsidRPr="00C54E13">
              <w:rPr>
                <w:rStyle w:val="Hyperlink"/>
                <w:noProof/>
                <w:lang w:val="en-US"/>
              </w:rPr>
              <w:t xml:space="preserve">ooperation </w:t>
            </w:r>
            <w:r w:rsidR="005A0575">
              <w:rPr>
                <w:rStyle w:val="Hyperlink"/>
                <w:noProof/>
                <w:lang w:val="en-US"/>
              </w:rPr>
              <w:t>L</w:t>
            </w:r>
            <w:r w:rsidR="00CA4EDA" w:rsidRPr="00C54E13">
              <w:rPr>
                <w:rStyle w:val="Hyperlink"/>
                <w:noProof/>
                <w:lang w:val="en-US"/>
              </w:rPr>
              <w:t xml:space="preserve">andscape </w:t>
            </w:r>
            <w:r w:rsidR="005A0575">
              <w:rPr>
                <w:rStyle w:val="Hyperlink"/>
                <w:noProof/>
                <w:lang w:val="en-US"/>
              </w:rPr>
              <w:t>S</w:t>
            </w:r>
            <w:r w:rsidR="00CA4EDA" w:rsidRPr="00C54E13">
              <w:rPr>
                <w:rStyle w:val="Hyperlink"/>
                <w:noProof/>
                <w:lang w:val="en-US"/>
              </w:rPr>
              <w:t>ince 2008</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_Toc37331419 \h </w:instrText>
            </w:r>
            <w:r w:rsidR="00CA4EDA" w:rsidRPr="00C54E13">
              <w:rPr>
                <w:noProof/>
                <w:webHidden/>
              </w:rPr>
            </w:r>
            <w:r w:rsidR="00CA4EDA" w:rsidRPr="00C54E13">
              <w:rPr>
                <w:noProof/>
                <w:webHidden/>
              </w:rPr>
              <w:fldChar w:fldCharType="separate"/>
            </w:r>
            <w:r w:rsidR="00A1229F">
              <w:rPr>
                <w:noProof/>
                <w:webHidden/>
              </w:rPr>
              <w:t>18</w:t>
            </w:r>
            <w:r w:rsidR="00CA4EDA" w:rsidRPr="00C54E13">
              <w:rPr>
                <w:noProof/>
                <w:webHidden/>
              </w:rPr>
              <w:fldChar w:fldCharType="end"/>
            </w:r>
          </w:hyperlink>
        </w:p>
        <w:p w14:paraId="75EF7F94" w14:textId="3BE01CA4" w:rsidR="00CA4EDA" w:rsidRPr="00C54E13" w:rsidRDefault="009A35D8" w:rsidP="00CA4EDA">
          <w:pPr>
            <w:pStyle w:val="TOC2"/>
            <w:tabs>
              <w:tab w:val="right" w:pos="9016"/>
            </w:tabs>
            <w:rPr>
              <w:rFonts w:asciiTheme="minorHAnsi" w:eastAsiaTheme="minorEastAsia" w:hAnsiTheme="minorHAnsi" w:cstheme="minorBidi"/>
              <w:noProof/>
              <w:sz w:val="22"/>
              <w:szCs w:val="22"/>
              <w:lang w:eastAsia="en-GB"/>
            </w:rPr>
          </w:pPr>
          <w:hyperlink w:anchor="_Toc37331421" w:history="1">
            <w:r w:rsidR="00CA4EDA" w:rsidRPr="00C54E13">
              <w:rPr>
                <w:rStyle w:val="Hyperlink"/>
                <w:noProof/>
              </w:rPr>
              <w:t xml:space="preserve">Guidelines to </w:t>
            </w:r>
            <w:r w:rsidR="005A0575">
              <w:rPr>
                <w:rStyle w:val="Hyperlink"/>
                <w:noProof/>
              </w:rPr>
              <w:t>U</w:t>
            </w:r>
            <w:r w:rsidR="00CA4EDA" w:rsidRPr="00C54E13">
              <w:rPr>
                <w:rStyle w:val="Hyperlink"/>
                <w:noProof/>
              </w:rPr>
              <w:t>tilize Pillar 5 - International Cooperation</w:t>
            </w:r>
            <w:r w:rsidR="00CA4EDA" w:rsidRPr="00C54E13">
              <w:rPr>
                <w:noProof/>
                <w:webHidden/>
              </w:rPr>
              <w:tab/>
            </w:r>
            <w:r w:rsidR="00CA4EDA" w:rsidRPr="00C54E13">
              <w:rPr>
                <w:noProof/>
                <w:webHidden/>
              </w:rPr>
              <w:fldChar w:fldCharType="begin"/>
            </w:r>
            <w:r w:rsidR="00CA4EDA" w:rsidRPr="00C54E13">
              <w:rPr>
                <w:noProof/>
                <w:webHidden/>
              </w:rPr>
              <w:instrText xml:space="preserve"> PAGEREF _Toc37331421 \h </w:instrText>
            </w:r>
            <w:r w:rsidR="00CA4EDA" w:rsidRPr="00C54E13">
              <w:rPr>
                <w:noProof/>
                <w:webHidden/>
              </w:rPr>
            </w:r>
            <w:r w:rsidR="00CA4EDA" w:rsidRPr="00C54E13">
              <w:rPr>
                <w:noProof/>
                <w:webHidden/>
              </w:rPr>
              <w:fldChar w:fldCharType="separate"/>
            </w:r>
            <w:r w:rsidR="00A1229F">
              <w:rPr>
                <w:noProof/>
                <w:webHidden/>
              </w:rPr>
              <w:t>20</w:t>
            </w:r>
            <w:r w:rsidR="00CA4EDA" w:rsidRPr="00C54E13">
              <w:rPr>
                <w:noProof/>
                <w:webHidden/>
              </w:rPr>
              <w:fldChar w:fldCharType="end"/>
            </w:r>
          </w:hyperlink>
        </w:p>
        <w:p w14:paraId="7FFE4EA4" w14:textId="77777777" w:rsidR="00CA4EDA" w:rsidRPr="00C54E13" w:rsidRDefault="009A35D8" w:rsidP="00CA4EDA">
          <w:pPr>
            <w:pStyle w:val="TOC1"/>
            <w:rPr>
              <w:rFonts w:asciiTheme="minorHAnsi" w:eastAsiaTheme="minorEastAsia" w:hAnsiTheme="minorHAnsi" w:cstheme="minorBidi"/>
              <w:b/>
              <w:bCs/>
              <w:noProof/>
              <w:sz w:val="22"/>
              <w:szCs w:val="22"/>
              <w:lang w:eastAsia="en-GB"/>
            </w:rPr>
          </w:pPr>
          <w:hyperlink w:anchor="_Toc37331422" w:history="1">
            <w:r w:rsidR="00CA4EDA" w:rsidRPr="00C54E13">
              <w:rPr>
                <w:rStyle w:val="Hyperlink"/>
                <w:b/>
                <w:bCs/>
                <w:noProof/>
                <w:lang w:val="en-US"/>
              </w:rPr>
              <w:t xml:space="preserve">Section </w:t>
            </w:r>
            <w:r w:rsidR="00CA4EDA" w:rsidRPr="00C54E13">
              <w:rPr>
                <w:rStyle w:val="Hyperlink"/>
                <w:b/>
                <w:bCs/>
                <w:noProof/>
                <w:spacing w:val="-4"/>
                <w:lang w:val="en-US"/>
              </w:rPr>
              <w:t xml:space="preserve">7 </w:t>
            </w:r>
            <w:r w:rsidR="00CA4EDA" w:rsidRPr="00C54E13">
              <w:rPr>
                <w:rStyle w:val="Hyperlink"/>
                <w:b/>
                <w:bCs/>
                <w:noProof/>
                <w:spacing w:val="-4"/>
                <w:lang w:val="en-US"/>
              </w:rPr>
              <w:tab/>
            </w:r>
            <w:r w:rsidR="00CA4EDA" w:rsidRPr="00C54E13">
              <w:rPr>
                <w:rStyle w:val="Hyperlink"/>
                <w:b/>
                <w:bCs/>
                <w:noProof/>
                <w:lang w:val="en-US"/>
              </w:rPr>
              <w:t>General Guidelines for the GCA Framework</w:t>
            </w:r>
            <w:r w:rsidR="00CA4EDA" w:rsidRPr="00C54E13">
              <w:rPr>
                <w:b/>
                <w:bCs/>
                <w:noProof/>
                <w:webHidden/>
              </w:rPr>
              <w:tab/>
            </w:r>
            <w:r w:rsidR="00CA4EDA" w:rsidRPr="00C54E13">
              <w:rPr>
                <w:b/>
                <w:bCs/>
                <w:noProof/>
                <w:webHidden/>
              </w:rPr>
              <w:fldChar w:fldCharType="begin"/>
            </w:r>
            <w:r w:rsidR="00CA4EDA" w:rsidRPr="00C54E13">
              <w:rPr>
                <w:b/>
                <w:bCs/>
                <w:noProof/>
                <w:webHidden/>
              </w:rPr>
              <w:instrText xml:space="preserve"> PAGEREF _Toc37331422 \h </w:instrText>
            </w:r>
            <w:r w:rsidR="00CA4EDA" w:rsidRPr="00C54E13">
              <w:rPr>
                <w:b/>
                <w:bCs/>
                <w:noProof/>
                <w:webHidden/>
              </w:rPr>
            </w:r>
            <w:r w:rsidR="00CA4EDA" w:rsidRPr="00C54E13">
              <w:rPr>
                <w:b/>
                <w:bCs/>
                <w:noProof/>
                <w:webHidden/>
              </w:rPr>
              <w:fldChar w:fldCharType="separate"/>
            </w:r>
            <w:r w:rsidR="00A1229F">
              <w:rPr>
                <w:b/>
                <w:bCs/>
                <w:noProof/>
                <w:webHidden/>
              </w:rPr>
              <w:t>21</w:t>
            </w:r>
            <w:r w:rsidR="00CA4EDA" w:rsidRPr="00C54E13">
              <w:rPr>
                <w:b/>
                <w:bCs/>
                <w:noProof/>
                <w:webHidden/>
              </w:rPr>
              <w:fldChar w:fldCharType="end"/>
            </w:r>
          </w:hyperlink>
        </w:p>
        <w:p w14:paraId="5A1BEFC6" w14:textId="77777777" w:rsidR="00CA4EDA" w:rsidRPr="00C54E13" w:rsidRDefault="00CA4EDA" w:rsidP="00CA4EDA">
          <w:pPr>
            <w:spacing w:after="120"/>
            <w:jc w:val="center"/>
          </w:pPr>
          <w:r w:rsidRPr="00C54E13">
            <w:rPr>
              <w:b/>
              <w:bCs/>
              <w:noProof/>
            </w:rPr>
            <w:fldChar w:fldCharType="end"/>
          </w:r>
        </w:p>
      </w:sdtContent>
    </w:sdt>
    <w:p w14:paraId="7B93BA07" w14:textId="77777777" w:rsidR="00CA4EDA" w:rsidRPr="00C54E13" w:rsidRDefault="00CA4EDA" w:rsidP="00CA4EDA">
      <w:pPr>
        <w:tabs>
          <w:tab w:val="clear" w:pos="567"/>
          <w:tab w:val="clear" w:pos="1134"/>
          <w:tab w:val="clear" w:pos="1701"/>
          <w:tab w:val="clear" w:pos="2268"/>
          <w:tab w:val="clear" w:pos="2835"/>
        </w:tabs>
        <w:overflowPunct/>
        <w:autoSpaceDE/>
        <w:autoSpaceDN/>
        <w:adjustRightInd/>
        <w:spacing w:before="0" w:after="160" w:line="259" w:lineRule="auto"/>
        <w:textAlignment w:val="auto"/>
        <w:rPr>
          <w:rFonts w:asciiTheme="minorHAnsi" w:eastAsiaTheme="majorEastAsia" w:hAnsiTheme="minorHAnsi" w:cstheme="majorBidi"/>
          <w:b/>
          <w:color w:val="365F91" w:themeColor="accent1" w:themeShade="BF"/>
          <w:szCs w:val="32"/>
        </w:rPr>
      </w:pPr>
      <w:r w:rsidRPr="00C54E13">
        <w:br w:type="page"/>
      </w:r>
    </w:p>
    <w:p w14:paraId="6D5486C4" w14:textId="77777777" w:rsidR="00CA4EDA" w:rsidRPr="00CA4E01" w:rsidRDefault="00CA4EDA" w:rsidP="00CA4E01">
      <w:pPr>
        <w:pStyle w:val="Heading1"/>
        <w:spacing w:before="120" w:after="120"/>
        <w:rPr>
          <w:rFonts w:asciiTheme="minorHAnsi" w:hAnsiTheme="minorHAnsi" w:cstheme="minorHAnsi"/>
          <w:color w:val="365F91" w:themeColor="accent1" w:themeShade="BF"/>
          <w:sz w:val="24"/>
          <w:szCs w:val="24"/>
        </w:rPr>
      </w:pPr>
      <w:bookmarkStart w:id="10" w:name="_Toc37331397"/>
      <w:r w:rsidRPr="00CA4E01">
        <w:rPr>
          <w:rFonts w:asciiTheme="minorHAnsi" w:hAnsiTheme="minorHAnsi" w:cstheme="minorHAnsi"/>
          <w:color w:val="365F91" w:themeColor="accent1" w:themeShade="BF"/>
          <w:sz w:val="24"/>
          <w:szCs w:val="24"/>
        </w:rPr>
        <w:lastRenderedPageBreak/>
        <w:t>Section 1</w:t>
      </w:r>
      <w:r w:rsidRPr="00CA4E01">
        <w:rPr>
          <w:rFonts w:asciiTheme="minorHAnsi" w:hAnsiTheme="minorHAnsi" w:cstheme="minorHAnsi"/>
          <w:color w:val="365F91" w:themeColor="accent1" w:themeShade="BF"/>
          <w:sz w:val="24"/>
          <w:szCs w:val="24"/>
        </w:rPr>
        <w:tab/>
        <w:t>Introduction</w:t>
      </w:r>
      <w:bookmarkEnd w:id="10"/>
    </w:p>
    <w:p w14:paraId="79F7B6C5" w14:textId="1629EB9B" w:rsidR="00CA4EDA" w:rsidRPr="00CA4E01" w:rsidRDefault="00CA4EDA" w:rsidP="00CA4E01">
      <w:pPr>
        <w:spacing w:before="360" w:after="120"/>
        <w:jc w:val="both"/>
        <w:rPr>
          <w:rFonts w:asciiTheme="minorHAnsi" w:hAnsiTheme="minorHAnsi" w:cstheme="minorHAnsi"/>
          <w:b/>
          <w:i/>
          <w:iCs/>
          <w:szCs w:val="24"/>
        </w:rPr>
      </w:pPr>
      <w:r w:rsidRPr="00CA4E01">
        <w:rPr>
          <w:rFonts w:asciiTheme="minorHAnsi" w:hAnsiTheme="minorHAnsi" w:cstheme="minorHAnsi"/>
          <w:b/>
          <w:bCs/>
          <w:szCs w:val="24"/>
        </w:rPr>
        <w:t>1.1</w:t>
      </w:r>
      <w:r w:rsidRPr="00CA4E01">
        <w:rPr>
          <w:rFonts w:asciiTheme="minorHAnsi" w:hAnsiTheme="minorHAnsi" w:cstheme="minorHAnsi"/>
          <w:szCs w:val="24"/>
        </w:rPr>
        <w:tab/>
        <w:t xml:space="preserve">The ITU 2018 Plenipotentiary Conference in Dubai adopted </w:t>
      </w:r>
      <w:hyperlink r:id="rId17" w:history="1">
        <w:r w:rsidRPr="00DE6F0B">
          <w:rPr>
            <w:rStyle w:val="Hyperlink"/>
            <w:rFonts w:asciiTheme="minorHAnsi" w:hAnsiTheme="minorHAnsi" w:cstheme="minorHAnsi"/>
            <w:szCs w:val="24"/>
          </w:rPr>
          <w:t>Resolution 130</w:t>
        </w:r>
      </w:hyperlink>
      <w:r w:rsidRPr="00CA4E01">
        <w:rPr>
          <w:rFonts w:asciiTheme="minorHAnsi" w:hAnsiTheme="minorHAnsi" w:cstheme="minorHAnsi"/>
          <w:szCs w:val="24"/>
        </w:rPr>
        <w:t>:</w:t>
      </w:r>
      <w:r w:rsidRPr="00CA4E01">
        <w:rPr>
          <w:rFonts w:asciiTheme="minorHAnsi" w:hAnsiTheme="minorHAnsi" w:cstheme="minorHAnsi"/>
          <w:b/>
          <w:szCs w:val="24"/>
        </w:rPr>
        <w:t xml:space="preserve"> </w:t>
      </w:r>
      <w:bookmarkStart w:id="11" w:name="_Toc406757688"/>
      <w:r w:rsidRPr="00CA4E01">
        <w:rPr>
          <w:rFonts w:asciiTheme="minorHAnsi" w:hAnsiTheme="minorHAnsi" w:cstheme="minorHAnsi"/>
          <w:i/>
          <w:szCs w:val="24"/>
        </w:rPr>
        <w:t>Strengthening the role of ITU in building confidence and security in the use of information and communication technologies</w:t>
      </w:r>
      <w:bookmarkEnd w:id="11"/>
      <w:r w:rsidRPr="00CA4E01">
        <w:rPr>
          <w:rFonts w:asciiTheme="minorHAnsi" w:hAnsiTheme="minorHAnsi" w:cstheme="minorHAnsi"/>
          <w:b/>
          <w:szCs w:val="24"/>
        </w:rPr>
        <w:t xml:space="preserve">. </w:t>
      </w:r>
      <w:r w:rsidRPr="00CA4E01">
        <w:rPr>
          <w:rFonts w:asciiTheme="minorHAnsi" w:hAnsiTheme="minorHAnsi" w:cstheme="minorHAnsi"/>
          <w:bCs/>
          <w:szCs w:val="24"/>
        </w:rPr>
        <w:t xml:space="preserve">The Resolution resolves, inter alia, </w:t>
      </w:r>
      <w:r w:rsidRPr="00CA4E01">
        <w:rPr>
          <w:rFonts w:asciiTheme="minorHAnsi" w:hAnsiTheme="minorHAnsi" w:cstheme="minorHAnsi"/>
          <w:bCs/>
          <w:i/>
          <w:iCs/>
          <w:szCs w:val="24"/>
        </w:rPr>
        <w:t xml:space="preserve">to utilize the </w:t>
      </w:r>
      <w:r w:rsidRPr="00CA4E01">
        <w:rPr>
          <w:rFonts w:asciiTheme="minorHAnsi" w:hAnsiTheme="minorHAnsi" w:cstheme="minorHAnsi"/>
          <w:i/>
          <w:iCs/>
          <w:szCs w:val="24"/>
        </w:rPr>
        <w:t>Global Cybersecurity Agenda (GCA)</w:t>
      </w:r>
      <w:r w:rsidRPr="00CA4E01">
        <w:rPr>
          <w:rFonts w:asciiTheme="minorHAnsi" w:hAnsiTheme="minorHAnsi" w:cstheme="minorHAnsi"/>
          <w:bCs/>
          <w:i/>
          <w:iCs/>
          <w:szCs w:val="24"/>
        </w:rPr>
        <w:t xml:space="preserve"> framework </w:t>
      </w:r>
      <w:proofErr w:type="gramStart"/>
      <w:r w:rsidRPr="00CA4E01">
        <w:rPr>
          <w:rFonts w:asciiTheme="minorHAnsi" w:hAnsiTheme="minorHAnsi" w:cstheme="minorHAnsi"/>
          <w:bCs/>
          <w:i/>
          <w:iCs/>
          <w:szCs w:val="24"/>
        </w:rPr>
        <w:t>in order to</w:t>
      </w:r>
      <w:proofErr w:type="gramEnd"/>
      <w:r w:rsidRPr="00CA4E01">
        <w:rPr>
          <w:rFonts w:asciiTheme="minorHAnsi" w:hAnsiTheme="minorHAnsi" w:cstheme="minorHAnsi"/>
          <w:bCs/>
          <w:i/>
          <w:iCs/>
          <w:szCs w:val="24"/>
        </w:rPr>
        <w:t xml:space="preserve"> further guide the work of the Union on efforts to build confidence and security in the use of </w:t>
      </w:r>
      <w:r w:rsidRPr="00CA4E01">
        <w:rPr>
          <w:rFonts w:asciiTheme="minorHAnsi" w:hAnsiTheme="minorHAnsi" w:cstheme="minorHAnsi"/>
          <w:bCs/>
          <w:i/>
          <w:iCs/>
          <w:szCs w:val="24"/>
          <w:lang w:val="nb-NO"/>
        </w:rPr>
        <w:t>Information and Communication Technologies</w:t>
      </w:r>
      <w:r w:rsidRPr="00CA4E01">
        <w:rPr>
          <w:rFonts w:asciiTheme="minorHAnsi" w:hAnsiTheme="minorHAnsi" w:cstheme="minorHAnsi"/>
          <w:bCs/>
          <w:i/>
          <w:iCs/>
          <w:szCs w:val="24"/>
        </w:rPr>
        <w:t xml:space="preserve"> (ICTs).</w:t>
      </w:r>
    </w:p>
    <w:p w14:paraId="2F2B9635" w14:textId="62929437" w:rsidR="00CA4EDA" w:rsidRPr="00CA4E01" w:rsidRDefault="00CA4EDA" w:rsidP="00CA4E01">
      <w:pPr>
        <w:spacing w:after="120"/>
        <w:jc w:val="both"/>
        <w:rPr>
          <w:rFonts w:asciiTheme="minorHAnsi" w:hAnsiTheme="minorHAnsi" w:cstheme="minorHAnsi"/>
          <w:i/>
          <w:szCs w:val="24"/>
        </w:rPr>
      </w:pPr>
      <w:r w:rsidRPr="00CA4E01">
        <w:rPr>
          <w:rFonts w:asciiTheme="minorHAnsi" w:hAnsiTheme="minorHAnsi" w:cstheme="minorHAnsi"/>
          <w:b/>
          <w:szCs w:val="24"/>
        </w:rPr>
        <w:t>1.2</w:t>
      </w:r>
      <w:r w:rsidRPr="00CA4E01">
        <w:rPr>
          <w:rFonts w:asciiTheme="minorHAnsi" w:hAnsiTheme="minorHAnsi" w:cstheme="minorHAnsi"/>
          <w:bCs/>
          <w:szCs w:val="24"/>
        </w:rPr>
        <w:tab/>
        <w:t>During the plenary discussions just prior to the adoption of Res</w:t>
      </w:r>
      <w:r w:rsidR="00DE6F0B">
        <w:rPr>
          <w:rFonts w:asciiTheme="minorHAnsi" w:hAnsiTheme="minorHAnsi" w:cstheme="minorHAnsi"/>
          <w:bCs/>
          <w:szCs w:val="24"/>
        </w:rPr>
        <w:t>olution</w:t>
      </w:r>
      <w:r w:rsidRPr="00CA4E01">
        <w:rPr>
          <w:rFonts w:asciiTheme="minorHAnsi" w:hAnsiTheme="minorHAnsi" w:cstheme="minorHAnsi"/>
          <w:bCs/>
          <w:szCs w:val="24"/>
        </w:rPr>
        <w:t xml:space="preserve"> 130, </w:t>
      </w:r>
      <w:r w:rsidRPr="00CA4E01">
        <w:rPr>
          <w:rFonts w:asciiTheme="minorHAnsi" w:hAnsiTheme="minorHAnsi" w:cstheme="minorHAnsi"/>
          <w:bCs/>
          <w:iCs/>
          <w:szCs w:val="24"/>
        </w:rPr>
        <w:t xml:space="preserve">the ITU Secretary-General </w:t>
      </w:r>
      <w:r w:rsidRPr="00CA4E01">
        <w:rPr>
          <w:rFonts w:asciiTheme="minorHAnsi" w:hAnsiTheme="minorHAnsi" w:cstheme="minorHAnsi"/>
          <w:bCs/>
          <w:i/>
          <w:szCs w:val="24"/>
        </w:rPr>
        <w:t>noted with</w:t>
      </w:r>
      <w:r w:rsidRPr="00CA4E01">
        <w:rPr>
          <w:rFonts w:asciiTheme="minorHAnsi" w:hAnsiTheme="minorHAnsi" w:cstheme="minorHAnsi"/>
          <w:i/>
          <w:szCs w:val="24"/>
        </w:rPr>
        <w:t xml:space="preserve"> satisfaction that, during the discussions on the draft resolution, the value of the GCA had been widely recognised. He appealed to the Plenary to accept the retention on resolves 12.1 which would allow ITU to utilize the GCA to guide its work on confidence and security in ICTs. He would seek advice from the Council and from the former chairman of the High-Level Experts Group dealing with the GCA, Judge Stein Schjolberg, in that connection.</w:t>
      </w:r>
      <w:r w:rsidRPr="00DE6F0B">
        <w:rPr>
          <w:rStyle w:val="FootnoteReference"/>
          <w:rFonts w:asciiTheme="minorHAnsi" w:hAnsiTheme="minorHAnsi" w:cstheme="minorHAnsi"/>
          <w:iCs/>
          <w:sz w:val="20"/>
        </w:rPr>
        <w:footnoteReference w:id="2"/>
      </w:r>
    </w:p>
    <w:p w14:paraId="362E45CC" w14:textId="57A56277" w:rsidR="00CA4EDA" w:rsidRPr="00CA4E01" w:rsidRDefault="00CA4EDA" w:rsidP="00CA4E01">
      <w:pPr>
        <w:spacing w:after="120"/>
        <w:jc w:val="both"/>
        <w:rPr>
          <w:rFonts w:asciiTheme="minorHAnsi" w:hAnsiTheme="minorHAnsi" w:cstheme="minorHAnsi"/>
          <w:iCs/>
          <w:szCs w:val="24"/>
          <w:lang w:val="en-US"/>
        </w:rPr>
      </w:pPr>
      <w:r w:rsidRPr="00CA4E01">
        <w:rPr>
          <w:rFonts w:asciiTheme="minorHAnsi" w:hAnsiTheme="minorHAnsi" w:cstheme="minorHAnsi"/>
          <w:b/>
          <w:bCs/>
          <w:iCs/>
          <w:szCs w:val="24"/>
          <w:lang w:val="en-US"/>
        </w:rPr>
        <w:t>1.3</w:t>
      </w:r>
      <w:r w:rsidRPr="00CA4E01">
        <w:rPr>
          <w:rFonts w:asciiTheme="minorHAnsi" w:hAnsiTheme="minorHAnsi" w:cstheme="minorHAnsi"/>
          <w:iCs/>
          <w:szCs w:val="24"/>
          <w:lang w:val="en-US"/>
        </w:rPr>
        <w:tab/>
        <w:t xml:space="preserve">A Report of the former Chairman of the </w:t>
      </w:r>
      <w:hyperlink r:id="rId18" w:history="1">
        <w:r w:rsidRPr="00CA4E01">
          <w:rPr>
            <w:rStyle w:val="Hyperlink"/>
            <w:rFonts w:asciiTheme="minorHAnsi" w:hAnsiTheme="minorHAnsi" w:cstheme="minorHAnsi"/>
            <w:iCs/>
            <w:szCs w:val="24"/>
            <w:lang w:val="en-US"/>
          </w:rPr>
          <w:t>GCA</w:t>
        </w:r>
      </w:hyperlink>
      <w:r w:rsidRPr="00CA4E01">
        <w:rPr>
          <w:rFonts w:asciiTheme="minorHAnsi" w:hAnsiTheme="minorHAnsi" w:cstheme="minorHAnsi"/>
          <w:iCs/>
          <w:szCs w:val="24"/>
          <w:lang w:val="en-US"/>
        </w:rPr>
        <w:t xml:space="preserve"> High-Level Experts Group (HLEG) was submitted to the 2019 session of </w:t>
      </w:r>
      <w:r w:rsidR="00D2656A">
        <w:rPr>
          <w:rFonts w:asciiTheme="minorHAnsi" w:hAnsiTheme="minorHAnsi" w:cstheme="minorHAnsi"/>
          <w:iCs/>
          <w:szCs w:val="24"/>
          <w:lang w:val="en-US"/>
        </w:rPr>
        <w:t xml:space="preserve">the </w:t>
      </w:r>
      <w:r w:rsidRPr="00CA4E01">
        <w:rPr>
          <w:rFonts w:asciiTheme="minorHAnsi" w:hAnsiTheme="minorHAnsi" w:cstheme="minorHAnsi"/>
          <w:iCs/>
          <w:szCs w:val="24"/>
          <w:lang w:val="en-US"/>
        </w:rPr>
        <w:t>ITU Council, advising that appropriate guidelines may be elaborated for better utilization of the Global Cybersecurity Agenda.</w:t>
      </w:r>
      <w:r w:rsidRPr="00DE6F0B">
        <w:rPr>
          <w:rStyle w:val="FootnoteReference"/>
          <w:rFonts w:asciiTheme="minorHAnsi" w:hAnsiTheme="minorHAnsi" w:cstheme="minorHAnsi"/>
          <w:iCs/>
          <w:sz w:val="20"/>
          <w:lang w:val="en-US"/>
        </w:rPr>
        <w:footnoteReference w:id="3"/>
      </w:r>
      <w:r w:rsidRPr="00CA4E01">
        <w:rPr>
          <w:rFonts w:asciiTheme="minorHAnsi" w:hAnsiTheme="minorHAnsi" w:cstheme="minorHAnsi"/>
          <w:iCs/>
          <w:szCs w:val="24"/>
          <w:lang w:val="en-US"/>
        </w:rPr>
        <w:t xml:space="preserve"> </w:t>
      </w:r>
      <w:r w:rsidR="00D2656A">
        <w:rPr>
          <w:rFonts w:asciiTheme="minorHAnsi" w:hAnsiTheme="minorHAnsi" w:cstheme="minorHAnsi"/>
          <w:iCs/>
          <w:szCs w:val="24"/>
          <w:lang w:val="en-US"/>
        </w:rPr>
        <w:t xml:space="preserve">The </w:t>
      </w:r>
      <w:r w:rsidRPr="00CA4E01">
        <w:rPr>
          <w:rFonts w:asciiTheme="minorHAnsi" w:hAnsiTheme="minorHAnsi" w:cstheme="minorHAnsi"/>
          <w:iCs/>
          <w:szCs w:val="24"/>
          <w:lang w:val="en-US"/>
        </w:rPr>
        <w:t>Council instructed the Secretary-General, in parallel, to submit to the next Council session (1) a report explaining how the ITU is currently utilizing the GCA framework and (2) with the involvement of Member States, appropriate guidelines developed for utilization of the GCA by the ITU for Council’s consideration and approval.</w:t>
      </w:r>
      <w:r w:rsidRPr="00DE6F0B">
        <w:rPr>
          <w:rStyle w:val="FootnoteReference"/>
          <w:rFonts w:asciiTheme="minorHAnsi" w:hAnsiTheme="minorHAnsi" w:cstheme="minorHAnsi"/>
          <w:iCs/>
          <w:sz w:val="20"/>
          <w:lang w:val="en-US"/>
        </w:rPr>
        <w:footnoteReference w:id="4"/>
      </w:r>
    </w:p>
    <w:p w14:paraId="28387515" w14:textId="0D6ACBE8" w:rsidR="00CA4EDA" w:rsidRPr="00CA4E01" w:rsidRDefault="00CA4EDA" w:rsidP="00CA4E01">
      <w:pPr>
        <w:spacing w:after="120"/>
        <w:jc w:val="both"/>
        <w:rPr>
          <w:rFonts w:asciiTheme="minorHAnsi" w:hAnsiTheme="minorHAnsi" w:cstheme="minorHAnsi"/>
          <w:iCs/>
          <w:szCs w:val="24"/>
          <w:lang w:val="en-US"/>
        </w:rPr>
      </w:pPr>
      <w:r w:rsidRPr="00CA4E01">
        <w:rPr>
          <w:rFonts w:asciiTheme="minorHAnsi" w:hAnsiTheme="minorHAnsi" w:cstheme="minorHAnsi"/>
          <w:b/>
          <w:bCs/>
          <w:iCs/>
          <w:szCs w:val="24"/>
          <w:lang w:val="en-US"/>
        </w:rPr>
        <w:t>1.4</w:t>
      </w:r>
      <w:r w:rsidRPr="00CA4E01">
        <w:rPr>
          <w:rFonts w:asciiTheme="minorHAnsi" w:hAnsiTheme="minorHAnsi" w:cstheme="minorHAnsi"/>
          <w:iCs/>
          <w:szCs w:val="24"/>
          <w:lang w:val="en-US"/>
        </w:rPr>
        <w:tab/>
        <w:t xml:space="preserve">Pursuant to these instructions, these draft guidelines for utilization of the GCA by the ITU have been formulated with the support of Chief Judge (Ret.) Stein Schjolberg (former HLEG Chair) and the involvement of Member States, for consideration and approval by </w:t>
      </w:r>
      <w:r w:rsidR="00D2656A">
        <w:rPr>
          <w:rFonts w:asciiTheme="minorHAnsi" w:hAnsiTheme="minorHAnsi" w:cstheme="minorHAnsi"/>
          <w:iCs/>
          <w:szCs w:val="24"/>
          <w:lang w:val="en-US"/>
        </w:rPr>
        <w:t xml:space="preserve">the </w:t>
      </w:r>
      <w:r w:rsidRPr="00CA4E01">
        <w:rPr>
          <w:rFonts w:asciiTheme="minorHAnsi" w:hAnsiTheme="minorHAnsi" w:cstheme="minorHAnsi"/>
          <w:iCs/>
          <w:szCs w:val="24"/>
          <w:lang w:val="en-US"/>
        </w:rPr>
        <w:t>Council</w:t>
      </w:r>
      <w:r w:rsidRPr="00DE6F0B">
        <w:rPr>
          <w:rStyle w:val="FootnoteReference"/>
          <w:rFonts w:asciiTheme="minorHAnsi" w:hAnsiTheme="minorHAnsi" w:cstheme="minorHAnsi"/>
          <w:iCs/>
          <w:sz w:val="20"/>
          <w:lang w:val="en-US"/>
        </w:rPr>
        <w:footnoteReference w:id="5"/>
      </w:r>
      <w:r w:rsidRPr="00CA4E01">
        <w:rPr>
          <w:rFonts w:asciiTheme="minorHAnsi" w:hAnsiTheme="minorHAnsi" w:cstheme="minorHAnsi"/>
          <w:iCs/>
          <w:szCs w:val="24"/>
          <w:lang w:val="en-US"/>
        </w:rPr>
        <w:t xml:space="preserve">. The Secretary-General is also grateful for the guidance and contribution of Prof. </w:t>
      </w:r>
      <w:r w:rsidRPr="00CA4E01">
        <w:rPr>
          <w:rFonts w:asciiTheme="minorHAnsi" w:hAnsiTheme="minorHAnsi" w:cstheme="minorHAnsi"/>
          <w:iCs/>
          <w:szCs w:val="24"/>
        </w:rPr>
        <w:t xml:space="preserve">Solange Ghernaouti (Swiss Cybersecurity Advisory &amp; Research Group, University of Lausanne) on the sections relating to </w:t>
      </w:r>
      <w:r w:rsidRPr="00CA4E01">
        <w:rPr>
          <w:rFonts w:asciiTheme="minorHAnsi" w:hAnsiTheme="minorHAnsi" w:cstheme="minorHAnsi"/>
          <w:iCs/>
          <w:szCs w:val="24"/>
          <w:lang w:val="en-US"/>
        </w:rPr>
        <w:t>GCA Pillars 2 and 4, and of Mr. Noboru Nakatani (</w:t>
      </w:r>
      <w:r w:rsidRPr="00CA4E01">
        <w:rPr>
          <w:rFonts w:asciiTheme="minorHAnsi" w:hAnsiTheme="minorHAnsi" w:cstheme="minorHAnsi"/>
          <w:iCs/>
          <w:szCs w:val="24"/>
          <w:lang w:val="en-US" w:eastAsia="ja-JP"/>
        </w:rPr>
        <w:t>Former E</w:t>
      </w:r>
      <w:r w:rsidRPr="00CA4E01">
        <w:rPr>
          <w:rFonts w:asciiTheme="minorHAnsi" w:hAnsiTheme="minorHAnsi" w:cstheme="minorHAnsi"/>
          <w:iCs/>
          <w:szCs w:val="24"/>
          <w:lang w:val="en-US"/>
        </w:rPr>
        <w:t xml:space="preserve">xecutive Director of the INTERPOL Global Complex for Innovation) on the section relating to GCA Pillar 3. It is important to note that this effort is not meant to, and will not, address matters related to the revision of the GCA. </w:t>
      </w:r>
    </w:p>
    <w:p w14:paraId="5BD9A025" w14:textId="0A8A3162" w:rsidR="00CA4EDA" w:rsidRPr="00CA4E01" w:rsidRDefault="00CA4EDA" w:rsidP="00CA4E01">
      <w:pPr>
        <w:spacing w:after="120"/>
        <w:jc w:val="both"/>
        <w:rPr>
          <w:rFonts w:asciiTheme="minorHAnsi" w:hAnsiTheme="minorHAnsi" w:cstheme="minorHAnsi"/>
          <w:b/>
          <w:bCs/>
          <w:iCs/>
          <w:szCs w:val="24"/>
        </w:rPr>
      </w:pPr>
      <w:r w:rsidRPr="00CA4E01">
        <w:rPr>
          <w:rFonts w:asciiTheme="minorHAnsi" w:hAnsiTheme="minorHAnsi" w:cstheme="minorHAnsi"/>
          <w:b/>
          <w:bCs/>
          <w:iCs/>
          <w:szCs w:val="24"/>
          <w:lang w:val="en-US"/>
        </w:rPr>
        <w:t>1.5</w:t>
      </w:r>
      <w:r w:rsidRPr="00CA4E01">
        <w:rPr>
          <w:rFonts w:asciiTheme="minorHAnsi" w:hAnsiTheme="minorHAnsi" w:cstheme="minorHAnsi"/>
          <w:iCs/>
          <w:szCs w:val="24"/>
          <w:lang w:val="en-US"/>
        </w:rPr>
        <w:tab/>
      </w:r>
      <w:r w:rsidRPr="00CA4E01">
        <w:rPr>
          <w:rFonts w:asciiTheme="minorHAnsi" w:hAnsiTheme="minorHAnsi" w:cstheme="minorHAnsi"/>
          <w:szCs w:val="24"/>
        </w:rPr>
        <w:t xml:space="preserve">As per the process for developing the draft Guidelines, set out in </w:t>
      </w:r>
      <w:r w:rsidR="00FB103D" w:rsidRPr="00DE6F0B">
        <w:rPr>
          <w:rFonts w:asciiTheme="minorHAnsi" w:hAnsiTheme="minorHAnsi" w:cstheme="minorHAnsi"/>
          <w:szCs w:val="24"/>
        </w:rPr>
        <w:t>Circular Letter (</w:t>
      </w:r>
      <w:hyperlink r:id="rId19" w:history="1">
        <w:r w:rsidR="00FB103D" w:rsidRPr="00DE6F0B">
          <w:rPr>
            <w:rStyle w:val="Hyperlink"/>
            <w:rFonts w:asciiTheme="minorHAnsi" w:hAnsiTheme="minorHAnsi" w:cstheme="minorHAnsi"/>
            <w:szCs w:val="24"/>
          </w:rPr>
          <w:t>CL-20/55</w:t>
        </w:r>
      </w:hyperlink>
      <w:r w:rsidR="00FB103D" w:rsidRPr="00CA4E01">
        <w:rPr>
          <w:rFonts w:asciiTheme="minorHAnsi" w:hAnsiTheme="minorHAnsi" w:cstheme="minorHAnsi"/>
          <w:szCs w:val="24"/>
        </w:rPr>
        <w:t>)</w:t>
      </w:r>
      <w:r w:rsidRPr="00CA4E01">
        <w:rPr>
          <w:rFonts w:asciiTheme="minorHAnsi" w:hAnsiTheme="minorHAnsi" w:cstheme="minorHAnsi"/>
          <w:szCs w:val="24"/>
        </w:rPr>
        <w:t xml:space="preserve">, </w:t>
      </w:r>
      <w:r w:rsidR="00FB103D" w:rsidRPr="00CA4E01">
        <w:rPr>
          <w:rFonts w:asciiTheme="minorHAnsi" w:hAnsiTheme="minorHAnsi" w:cstheme="minorHAnsi"/>
          <w:szCs w:val="24"/>
        </w:rPr>
        <w:t>two</w:t>
      </w:r>
      <w:r w:rsidRPr="00CA4E01">
        <w:rPr>
          <w:rFonts w:asciiTheme="minorHAnsi" w:hAnsiTheme="minorHAnsi" w:cstheme="minorHAnsi"/>
          <w:szCs w:val="24"/>
        </w:rPr>
        <w:t xml:space="preserve"> open consultation</w:t>
      </w:r>
      <w:r w:rsidR="00FB103D" w:rsidRPr="00CA4E01">
        <w:rPr>
          <w:rFonts w:asciiTheme="minorHAnsi" w:hAnsiTheme="minorHAnsi" w:cstheme="minorHAnsi"/>
          <w:szCs w:val="24"/>
        </w:rPr>
        <w:t>s</w:t>
      </w:r>
      <w:r w:rsidRPr="00CA4E01">
        <w:rPr>
          <w:rFonts w:asciiTheme="minorHAnsi" w:hAnsiTheme="minorHAnsi" w:cstheme="minorHAnsi"/>
          <w:szCs w:val="24"/>
        </w:rPr>
        <w:t xml:space="preserve"> </w:t>
      </w:r>
      <w:r w:rsidR="00FB103D" w:rsidRPr="00CA4E01">
        <w:rPr>
          <w:rFonts w:asciiTheme="minorHAnsi" w:hAnsiTheme="minorHAnsi" w:cstheme="minorHAnsi"/>
          <w:szCs w:val="24"/>
        </w:rPr>
        <w:t xml:space="preserve">were </w:t>
      </w:r>
      <w:r w:rsidRPr="00CA4E01">
        <w:rPr>
          <w:rFonts w:asciiTheme="minorHAnsi" w:hAnsiTheme="minorHAnsi" w:cstheme="minorHAnsi"/>
          <w:szCs w:val="24"/>
        </w:rPr>
        <w:t xml:space="preserve">held for all WSIS stakeholders on 23 April 2020 </w:t>
      </w:r>
      <w:r w:rsidR="00FB103D" w:rsidRPr="00CA4E01">
        <w:rPr>
          <w:rFonts w:asciiTheme="minorHAnsi" w:hAnsiTheme="minorHAnsi" w:cstheme="minorHAnsi"/>
          <w:szCs w:val="24"/>
        </w:rPr>
        <w:t xml:space="preserve">and 1 March 2021 </w:t>
      </w:r>
      <w:r w:rsidRPr="00CA4E01">
        <w:rPr>
          <w:rFonts w:asciiTheme="minorHAnsi" w:hAnsiTheme="minorHAnsi" w:cstheme="minorHAnsi"/>
          <w:szCs w:val="24"/>
        </w:rPr>
        <w:t>to provide comments on the draft</w:t>
      </w:r>
      <w:r w:rsidR="00DE6F0B">
        <w:rPr>
          <w:rFonts w:asciiTheme="minorHAnsi" w:hAnsiTheme="minorHAnsi" w:cstheme="minorHAnsi"/>
          <w:szCs w:val="24"/>
        </w:rPr>
        <w:t xml:space="preserve"> </w:t>
      </w:r>
      <w:r w:rsidRPr="00CA4E01">
        <w:rPr>
          <w:rFonts w:asciiTheme="minorHAnsi" w:hAnsiTheme="minorHAnsi" w:cstheme="minorHAnsi"/>
          <w:szCs w:val="24"/>
        </w:rPr>
        <w:t>Guidelines (Open Consultation). Over 160 participants attended the meeting</w:t>
      </w:r>
      <w:r w:rsidR="00FB103D" w:rsidRPr="00CA4E01">
        <w:rPr>
          <w:rFonts w:asciiTheme="minorHAnsi" w:hAnsiTheme="minorHAnsi" w:cstheme="minorHAnsi"/>
          <w:szCs w:val="24"/>
        </w:rPr>
        <w:t>s</w:t>
      </w:r>
      <w:r w:rsidRPr="00CA4E01">
        <w:rPr>
          <w:rFonts w:asciiTheme="minorHAnsi" w:hAnsiTheme="minorHAnsi" w:cstheme="minorHAnsi"/>
          <w:szCs w:val="24"/>
        </w:rPr>
        <w:t xml:space="preserve"> and provided feedback section by section on the draft Guidelines. </w:t>
      </w:r>
      <w:r w:rsidR="00FB103D" w:rsidRPr="00CA4E01">
        <w:rPr>
          <w:rFonts w:asciiTheme="minorHAnsi" w:hAnsiTheme="minorHAnsi" w:cstheme="minorHAnsi"/>
          <w:szCs w:val="24"/>
        </w:rPr>
        <w:t>All</w:t>
      </w:r>
      <w:r w:rsidRPr="00CA4E01">
        <w:rPr>
          <w:rFonts w:asciiTheme="minorHAnsi" w:hAnsiTheme="minorHAnsi" w:cstheme="minorHAnsi"/>
          <w:szCs w:val="24"/>
        </w:rPr>
        <w:t xml:space="preserve"> comments received from participants in writing </w:t>
      </w:r>
      <w:r w:rsidR="00FB103D" w:rsidRPr="00CA4E01">
        <w:rPr>
          <w:rFonts w:asciiTheme="minorHAnsi" w:hAnsiTheme="minorHAnsi" w:cstheme="minorHAnsi"/>
          <w:szCs w:val="24"/>
        </w:rPr>
        <w:t xml:space="preserve">prior or </w:t>
      </w:r>
      <w:proofErr w:type="gramStart"/>
      <w:r w:rsidRPr="00CA4E01">
        <w:rPr>
          <w:rFonts w:asciiTheme="minorHAnsi" w:hAnsiTheme="minorHAnsi" w:cstheme="minorHAnsi"/>
          <w:szCs w:val="24"/>
        </w:rPr>
        <w:t>subsequent to</w:t>
      </w:r>
      <w:proofErr w:type="gramEnd"/>
      <w:r w:rsidRPr="00CA4E01">
        <w:rPr>
          <w:rFonts w:asciiTheme="minorHAnsi" w:hAnsiTheme="minorHAnsi" w:cstheme="minorHAnsi"/>
          <w:szCs w:val="24"/>
        </w:rPr>
        <w:t xml:space="preserve"> the Open Consultation</w:t>
      </w:r>
      <w:r w:rsidR="00FB103D" w:rsidRPr="00CA4E01">
        <w:rPr>
          <w:rFonts w:asciiTheme="minorHAnsi" w:hAnsiTheme="minorHAnsi" w:cstheme="minorHAnsi"/>
          <w:szCs w:val="24"/>
        </w:rPr>
        <w:t>s</w:t>
      </w:r>
      <w:r w:rsidRPr="00CA4E01">
        <w:rPr>
          <w:rFonts w:asciiTheme="minorHAnsi" w:hAnsiTheme="minorHAnsi" w:cstheme="minorHAnsi"/>
          <w:szCs w:val="24"/>
        </w:rPr>
        <w:t xml:space="preserve"> have been published on the </w:t>
      </w:r>
      <w:r w:rsidR="006B7028">
        <w:rPr>
          <w:rFonts w:asciiTheme="minorHAnsi" w:hAnsiTheme="minorHAnsi" w:cstheme="minorHAnsi"/>
          <w:szCs w:val="24"/>
        </w:rPr>
        <w:t xml:space="preserve">GCA </w:t>
      </w:r>
      <w:hyperlink r:id="rId20" w:history="1">
        <w:r w:rsidRPr="00CA4E01">
          <w:rPr>
            <w:rStyle w:val="Hyperlink"/>
            <w:rFonts w:asciiTheme="minorHAnsi" w:hAnsiTheme="minorHAnsi" w:cstheme="minorHAnsi"/>
            <w:szCs w:val="24"/>
          </w:rPr>
          <w:t>website</w:t>
        </w:r>
      </w:hyperlink>
      <w:r w:rsidRPr="00CA4E01">
        <w:rPr>
          <w:rFonts w:asciiTheme="minorHAnsi" w:hAnsiTheme="minorHAnsi" w:cstheme="minorHAnsi"/>
          <w:szCs w:val="24"/>
        </w:rPr>
        <w:t xml:space="preserve">. </w:t>
      </w:r>
    </w:p>
    <w:p w14:paraId="46E19F0E" w14:textId="77777777" w:rsidR="00CA4EDA" w:rsidRPr="00CA4E01" w:rsidRDefault="00CA4EDA" w:rsidP="00CA4E01">
      <w:pPr>
        <w:pStyle w:val="Heading2"/>
        <w:spacing w:before="120" w:after="120"/>
        <w:rPr>
          <w:rFonts w:asciiTheme="minorHAnsi" w:hAnsiTheme="minorHAnsi" w:cstheme="minorHAnsi"/>
          <w:color w:val="365F91" w:themeColor="accent1" w:themeShade="BF"/>
          <w:szCs w:val="24"/>
          <w:lang w:eastAsia="nb-NO"/>
        </w:rPr>
      </w:pPr>
      <w:bookmarkStart w:id="12" w:name="_Toc37331398"/>
      <w:r w:rsidRPr="00CA4E01">
        <w:rPr>
          <w:rFonts w:asciiTheme="minorHAnsi" w:hAnsiTheme="minorHAnsi" w:cstheme="minorHAnsi"/>
          <w:color w:val="365F91" w:themeColor="accent1" w:themeShade="BF"/>
          <w:szCs w:val="24"/>
          <w:lang w:eastAsia="nb-NO"/>
        </w:rPr>
        <w:lastRenderedPageBreak/>
        <w:t>Background</w:t>
      </w:r>
      <w:bookmarkEnd w:id="12"/>
    </w:p>
    <w:p w14:paraId="589FC057" w14:textId="77777777" w:rsidR="00CA4EDA" w:rsidRPr="00CA4E01" w:rsidRDefault="00CA4EDA" w:rsidP="00D2656A">
      <w:pPr>
        <w:spacing w:after="120"/>
        <w:jc w:val="both"/>
        <w:rPr>
          <w:rFonts w:asciiTheme="minorHAnsi" w:hAnsiTheme="minorHAnsi" w:cstheme="minorHAnsi"/>
          <w:bCs/>
          <w:szCs w:val="24"/>
          <w:lang w:val="nb-NO"/>
        </w:rPr>
      </w:pPr>
      <w:r w:rsidRPr="00CA4E01">
        <w:rPr>
          <w:rFonts w:asciiTheme="minorHAnsi" w:hAnsiTheme="minorHAnsi" w:cstheme="minorHAnsi"/>
          <w:b/>
          <w:szCs w:val="24"/>
          <w:lang w:val="nb-NO"/>
        </w:rPr>
        <w:t>1.6</w:t>
      </w:r>
      <w:r w:rsidRPr="00CA4E01">
        <w:rPr>
          <w:rFonts w:asciiTheme="minorHAnsi" w:hAnsiTheme="minorHAnsi" w:cstheme="minorHAnsi"/>
          <w:bCs/>
          <w:szCs w:val="24"/>
          <w:lang w:val="nb-NO"/>
        </w:rPr>
        <w:tab/>
        <w:t>A fundamental role of ITU, based on the guidance of the World Summit on the Information Society (WSIS) and the ITU Plenipotentiary Conference, is to build confidence and security in the use of Information and Communication Technologies (ICTs).</w:t>
      </w:r>
    </w:p>
    <w:p w14:paraId="03A2A4CC" w14:textId="77777777" w:rsidR="00CA4EDA" w:rsidRPr="00CA4E01" w:rsidRDefault="00CA4EDA" w:rsidP="00CA4E01">
      <w:pPr>
        <w:spacing w:after="120"/>
        <w:jc w:val="both"/>
        <w:rPr>
          <w:rFonts w:asciiTheme="minorHAnsi" w:hAnsiTheme="minorHAnsi" w:cstheme="minorHAnsi"/>
          <w:bCs/>
          <w:szCs w:val="24"/>
          <w:lang w:val="nb-NO"/>
        </w:rPr>
      </w:pPr>
      <w:r w:rsidRPr="00CA4E01">
        <w:rPr>
          <w:rFonts w:asciiTheme="minorHAnsi" w:hAnsiTheme="minorHAnsi" w:cstheme="minorHAnsi"/>
          <w:b/>
          <w:szCs w:val="24"/>
          <w:lang w:val="nb-NO"/>
        </w:rPr>
        <w:t>1.7</w:t>
      </w:r>
      <w:r w:rsidRPr="00CA4E01">
        <w:rPr>
          <w:rFonts w:asciiTheme="minorHAnsi" w:hAnsiTheme="minorHAnsi" w:cstheme="minorHAnsi"/>
          <w:bCs/>
          <w:szCs w:val="24"/>
          <w:lang w:val="nb-NO"/>
        </w:rPr>
        <w:tab/>
        <w:t>At WSIS, Heads of States and world leaders entrusted ITU to be the Facilitator of Action Line C5 in 2005, "</w:t>
      </w:r>
      <w:r w:rsidRPr="00CA4E01">
        <w:rPr>
          <w:rFonts w:asciiTheme="minorHAnsi" w:hAnsiTheme="minorHAnsi" w:cstheme="minorHAnsi"/>
          <w:bCs/>
          <w:i/>
          <w:iCs/>
          <w:szCs w:val="24"/>
          <w:lang w:val="nb-NO"/>
        </w:rPr>
        <w:t>Building confidence and security in the use of ICTs</w:t>
      </w:r>
      <w:r w:rsidRPr="00CA4E01">
        <w:rPr>
          <w:rFonts w:asciiTheme="minorHAnsi" w:hAnsiTheme="minorHAnsi" w:cstheme="minorHAnsi"/>
          <w:bCs/>
          <w:szCs w:val="24"/>
          <w:lang w:val="nb-NO"/>
        </w:rPr>
        <w:t>",</w:t>
      </w:r>
      <w:r w:rsidRPr="00DE6F0B">
        <w:rPr>
          <w:rStyle w:val="FootnoteReference"/>
          <w:rFonts w:asciiTheme="minorHAnsi" w:hAnsiTheme="minorHAnsi" w:cstheme="minorHAnsi"/>
          <w:bCs/>
          <w:sz w:val="20"/>
          <w:lang w:val="nb-NO"/>
        </w:rPr>
        <w:footnoteReference w:id="6"/>
      </w:r>
      <w:r w:rsidRPr="00CA4E01">
        <w:rPr>
          <w:rFonts w:asciiTheme="minorHAnsi" w:hAnsiTheme="minorHAnsi" w:cstheme="minorHAnsi"/>
          <w:bCs/>
          <w:szCs w:val="24"/>
          <w:lang w:val="nb-NO"/>
        </w:rPr>
        <w:t xml:space="preserve"> in response to which ITU launched the GCA in 2007 as a framework for international cooperation in this area.</w:t>
      </w:r>
    </w:p>
    <w:p w14:paraId="1198DBC3" w14:textId="77777777" w:rsidR="00CA4EDA" w:rsidRPr="00CA4E01" w:rsidRDefault="00CA4EDA" w:rsidP="00CA4E01">
      <w:pPr>
        <w:spacing w:after="120"/>
        <w:jc w:val="both"/>
        <w:rPr>
          <w:rFonts w:asciiTheme="minorHAnsi" w:hAnsiTheme="minorHAnsi" w:cstheme="minorHAnsi"/>
          <w:b/>
          <w:bCs/>
          <w:szCs w:val="24"/>
        </w:rPr>
      </w:pPr>
      <w:r w:rsidRPr="00CA4E01">
        <w:rPr>
          <w:rFonts w:asciiTheme="minorHAnsi" w:hAnsiTheme="minorHAnsi" w:cstheme="minorHAnsi"/>
          <w:b/>
          <w:szCs w:val="24"/>
          <w:lang w:val="nb-NO"/>
        </w:rPr>
        <w:t>1.8</w:t>
      </w:r>
      <w:r w:rsidRPr="00CA4E01">
        <w:rPr>
          <w:rFonts w:asciiTheme="minorHAnsi" w:hAnsiTheme="minorHAnsi" w:cstheme="minorHAnsi"/>
          <w:bCs/>
          <w:szCs w:val="24"/>
          <w:lang w:val="nb-NO"/>
        </w:rPr>
        <w:tab/>
        <w:t>The GCA</w:t>
      </w:r>
      <w:r w:rsidRPr="00CA4E01">
        <w:rPr>
          <w:rFonts w:asciiTheme="minorHAnsi" w:hAnsiTheme="minorHAnsi" w:cstheme="minorHAnsi"/>
          <w:szCs w:val="24"/>
          <w:lang w:val="nb-NO"/>
        </w:rPr>
        <w:t xml:space="preserve"> is comprised of five Pillars or Work Areas: legal measures; technical and procedural measures; organizational structures; capacity building, and international cooperation. </w:t>
      </w:r>
      <w:r w:rsidRPr="00CA4E01">
        <w:rPr>
          <w:rFonts w:asciiTheme="minorHAnsi" w:hAnsiTheme="minorHAnsi" w:cstheme="minorHAnsi"/>
          <w:szCs w:val="24"/>
        </w:rPr>
        <w:t>It is designed for multi-stakeholder cooperation and efficiency, encouraging collaboration with and between all relevant partners and building on existing initiatives to avoid duplicating efforts.</w:t>
      </w:r>
      <w:r w:rsidRPr="00CA4E01">
        <w:rPr>
          <w:rFonts w:asciiTheme="minorHAnsi" w:hAnsiTheme="minorHAnsi" w:cstheme="minorHAnsi"/>
          <w:b/>
          <w:bCs/>
          <w:szCs w:val="24"/>
        </w:rPr>
        <w:t xml:space="preserve"> </w:t>
      </w:r>
    </w:p>
    <w:p w14:paraId="30337D6A"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1.9</w:t>
      </w:r>
      <w:r w:rsidRPr="00CA4E01">
        <w:rPr>
          <w:rFonts w:asciiTheme="minorHAnsi" w:hAnsiTheme="minorHAnsi" w:cstheme="minorHAnsi"/>
          <w:szCs w:val="24"/>
        </w:rPr>
        <w:tab/>
        <w:t xml:space="preserve">Subsequently, the GCA HLEG was established in October 2007 to assist the ITU Secretary-General in developing strategic proposals for Member States on promoting cybersecurity. It was chaired by Judge Stein Schjolberg, </w:t>
      </w:r>
      <w:r w:rsidRPr="00CA4E01">
        <w:rPr>
          <w:rFonts w:asciiTheme="minorHAnsi" w:hAnsiTheme="minorHAnsi" w:cstheme="minorHAnsi"/>
          <w:iCs/>
          <w:szCs w:val="24"/>
          <w:lang w:val="en-US"/>
        </w:rPr>
        <w:t>Chief Judge (Ret.)</w:t>
      </w:r>
      <w:r w:rsidRPr="00CA4E01">
        <w:rPr>
          <w:rFonts w:asciiTheme="minorHAnsi" w:hAnsiTheme="minorHAnsi" w:cstheme="minorHAnsi"/>
          <w:szCs w:val="24"/>
        </w:rPr>
        <w:t xml:space="preserve">. </w:t>
      </w:r>
    </w:p>
    <w:p w14:paraId="425F207A"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1.10</w:t>
      </w:r>
      <w:r w:rsidRPr="00CA4E01">
        <w:rPr>
          <w:rFonts w:asciiTheme="minorHAnsi" w:hAnsiTheme="minorHAnsi" w:cstheme="minorHAnsi"/>
          <w:szCs w:val="24"/>
        </w:rPr>
        <w:tab/>
        <w:t xml:space="preserve">The HLEG comprised of an independent global multi-stakeholder expert group of almost 100 individuals from around the world. The Group delivered their advice to the Secretary-General on all the five Pillars in a Report from the Chairman </w:t>
      </w:r>
      <w:r w:rsidR="00570D75" w:rsidRPr="00CA4E01">
        <w:rPr>
          <w:rFonts w:asciiTheme="minorHAnsi" w:hAnsiTheme="minorHAnsi" w:cstheme="minorHAnsi"/>
          <w:szCs w:val="24"/>
        </w:rPr>
        <w:t>i</w:t>
      </w:r>
      <w:r w:rsidRPr="00CA4E01">
        <w:rPr>
          <w:rFonts w:asciiTheme="minorHAnsi" w:hAnsiTheme="minorHAnsi" w:cstheme="minorHAnsi"/>
          <w:szCs w:val="24"/>
        </w:rPr>
        <w:t>n August 2008 (HLEG Report 2008).</w:t>
      </w:r>
      <w:r w:rsidRPr="00DE6F0B">
        <w:rPr>
          <w:rFonts w:asciiTheme="minorHAnsi" w:hAnsiTheme="minorHAnsi" w:cstheme="minorHAnsi"/>
          <w:szCs w:val="24"/>
          <w:vertAlign w:val="superscript"/>
        </w:rPr>
        <w:footnoteReference w:id="7"/>
      </w:r>
      <w:r w:rsidRPr="00CA4E01">
        <w:rPr>
          <w:rFonts w:asciiTheme="minorHAnsi" w:hAnsiTheme="minorHAnsi" w:cstheme="minorHAnsi"/>
          <w:szCs w:val="24"/>
        </w:rPr>
        <w:t xml:space="preserve"> In the Report, the Chairman of the HLEG emphasized that:</w:t>
      </w:r>
    </w:p>
    <w:p w14:paraId="566DC169" w14:textId="77777777" w:rsidR="00CA4EDA" w:rsidRPr="00CA4E01" w:rsidRDefault="00CA4EDA" w:rsidP="00CA4E01">
      <w:pPr>
        <w:tabs>
          <w:tab w:val="clear" w:pos="567"/>
        </w:tabs>
        <w:spacing w:after="120"/>
        <w:ind w:left="567"/>
        <w:jc w:val="both"/>
        <w:rPr>
          <w:rFonts w:asciiTheme="minorHAnsi" w:hAnsiTheme="minorHAnsi" w:cstheme="minorHAnsi"/>
          <w:i/>
          <w:iCs/>
          <w:szCs w:val="24"/>
        </w:rPr>
      </w:pPr>
      <w:r w:rsidRPr="00CA4E01">
        <w:rPr>
          <w:rFonts w:asciiTheme="minorHAnsi" w:hAnsiTheme="minorHAnsi" w:cstheme="minorHAnsi"/>
          <w:i/>
          <w:iCs/>
          <w:szCs w:val="24"/>
        </w:rPr>
        <w:t xml:space="preserve">The costs associated with cyberattacks are significant – in terms of lost revenue, loss of sensitive data, damage to equipment, denial-of-service </w:t>
      </w:r>
      <w:proofErr w:type="gramStart"/>
      <w:r w:rsidRPr="00CA4E01">
        <w:rPr>
          <w:rFonts w:asciiTheme="minorHAnsi" w:hAnsiTheme="minorHAnsi" w:cstheme="minorHAnsi"/>
          <w:i/>
          <w:iCs/>
          <w:szCs w:val="24"/>
        </w:rPr>
        <w:t>attacks</w:t>
      </w:r>
      <w:proofErr w:type="gramEnd"/>
      <w:r w:rsidRPr="00CA4E01">
        <w:rPr>
          <w:rFonts w:asciiTheme="minorHAnsi" w:hAnsiTheme="minorHAnsi" w:cstheme="minorHAnsi"/>
          <w:i/>
          <w:iCs/>
          <w:szCs w:val="24"/>
        </w:rPr>
        <w:t xml:space="preserve"> and network outages. The future growth and potential of the online information society are in danger from growing cyberthreats. Furthermore, cyberspace is borderless: cyberattacks can inflict immeasurable damage in different countries in a matter of minutes. Cyberthreats are a global </w:t>
      </w:r>
      <w:proofErr w:type="gramStart"/>
      <w:r w:rsidRPr="00CA4E01">
        <w:rPr>
          <w:rFonts w:asciiTheme="minorHAnsi" w:hAnsiTheme="minorHAnsi" w:cstheme="minorHAnsi"/>
          <w:i/>
          <w:iCs/>
          <w:szCs w:val="24"/>
        </w:rPr>
        <w:t>problem</w:t>
      </w:r>
      <w:proofErr w:type="gramEnd"/>
      <w:r w:rsidRPr="00CA4E01">
        <w:rPr>
          <w:rFonts w:asciiTheme="minorHAnsi" w:hAnsiTheme="minorHAnsi" w:cstheme="minorHAnsi"/>
          <w:i/>
          <w:iCs/>
          <w:szCs w:val="24"/>
        </w:rPr>
        <w:t xml:space="preserve"> and they need a global solution, involving all stakeholders.</w:t>
      </w:r>
    </w:p>
    <w:p w14:paraId="4BA1B1DC"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1.11</w:t>
      </w:r>
      <w:r w:rsidRPr="00CA4E01">
        <w:rPr>
          <w:rFonts w:asciiTheme="minorHAnsi" w:hAnsiTheme="minorHAnsi" w:cstheme="minorHAnsi"/>
          <w:szCs w:val="24"/>
        </w:rPr>
        <w:tab/>
        <w:t xml:space="preserve">In 2008, the work on the five Pillars of the GCA was a major innovation in the global approach related to cybersecurity issues. </w:t>
      </w:r>
      <w:r w:rsidRPr="00CA4E01">
        <w:rPr>
          <w:rFonts w:asciiTheme="minorHAnsi" w:hAnsiTheme="minorHAnsi" w:cstheme="minorHAnsi"/>
          <w:bCs/>
          <w:szCs w:val="24"/>
        </w:rPr>
        <w:t xml:space="preserve">Over a decade has passed since the HLEG Report 2008 was submitted. </w:t>
      </w:r>
      <w:r w:rsidRPr="00CA4E01">
        <w:rPr>
          <w:rFonts w:asciiTheme="minorHAnsi" w:hAnsiTheme="minorHAnsi" w:cstheme="minorHAnsi"/>
          <w:szCs w:val="24"/>
        </w:rPr>
        <w:t>Overall, there has been a global recognition of ICTs as a vital tool in achieving the UN Sustainable Development Goals (SDGs), and of the fact that, for ICTs to realize this role, it is important that everyone everywhere has trust and confidence in the use of ICTs. The objective of “</w:t>
      </w:r>
      <w:r w:rsidRPr="00CA4E01">
        <w:rPr>
          <w:rFonts w:asciiTheme="minorHAnsi" w:hAnsiTheme="minorHAnsi" w:cstheme="minorHAnsi"/>
          <w:i/>
          <w:iCs/>
          <w:szCs w:val="24"/>
        </w:rPr>
        <w:t>Building Confidence and Security in the Use of ICTs</w:t>
      </w:r>
      <w:r w:rsidRPr="00CA4E01">
        <w:rPr>
          <w:rFonts w:asciiTheme="minorHAnsi" w:hAnsiTheme="minorHAnsi" w:cstheme="minorHAnsi"/>
          <w:szCs w:val="24"/>
        </w:rPr>
        <w:t>” is therefore, more than ever, an essential goal to achieve the SDGs.</w:t>
      </w:r>
    </w:p>
    <w:p w14:paraId="15312129" w14:textId="77777777" w:rsidR="00CA4EDA" w:rsidRPr="00CA4E01" w:rsidRDefault="00CA4EDA" w:rsidP="00D2656A">
      <w:pPr>
        <w:pStyle w:val="Heading2"/>
        <w:spacing w:before="240" w:after="120"/>
        <w:rPr>
          <w:rFonts w:asciiTheme="minorHAnsi" w:hAnsiTheme="minorHAnsi" w:cstheme="minorHAnsi"/>
          <w:color w:val="365F91" w:themeColor="accent1" w:themeShade="BF"/>
          <w:szCs w:val="24"/>
        </w:rPr>
      </w:pPr>
      <w:bookmarkStart w:id="13" w:name="_Toc37331399"/>
      <w:r w:rsidRPr="00CA4E01">
        <w:rPr>
          <w:rFonts w:asciiTheme="minorHAnsi" w:hAnsiTheme="minorHAnsi" w:cstheme="minorHAnsi"/>
          <w:color w:val="365F91" w:themeColor="accent1" w:themeShade="BF"/>
          <w:szCs w:val="24"/>
        </w:rPr>
        <w:t>Context</w:t>
      </w:r>
      <w:bookmarkEnd w:id="13"/>
    </w:p>
    <w:p w14:paraId="18D1EC60" w14:textId="77777777" w:rsidR="00CA4EDA" w:rsidRPr="00CA4E01" w:rsidRDefault="00CA4EDA" w:rsidP="00CA4E01">
      <w:pPr>
        <w:tabs>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1.12</w:t>
      </w:r>
      <w:r w:rsidRPr="00CA4E01">
        <w:rPr>
          <w:rFonts w:asciiTheme="minorHAnsi" w:hAnsiTheme="minorHAnsi" w:cstheme="minorHAnsi"/>
          <w:szCs w:val="24"/>
        </w:rPr>
        <w:tab/>
        <w:t xml:space="preserve">The framework offered by the five Pillars of the GCA has been widely appreciated by ITU membership and has generally withstood the test of time. It continues to offer a broad framework for international cooperation on cybersecurity within the framework of the WSIS outcome documents, particularly the principles outlined under Action Line C5. The related recommendations </w:t>
      </w:r>
      <w:r w:rsidRPr="00CA4E01">
        <w:rPr>
          <w:rFonts w:asciiTheme="minorHAnsi" w:hAnsiTheme="minorHAnsi" w:cstheme="minorHAnsi"/>
          <w:szCs w:val="24"/>
        </w:rPr>
        <w:lastRenderedPageBreak/>
        <w:t>included in the HLEG Report 2008 continue to be relevant today</w:t>
      </w:r>
      <w:r w:rsidRPr="00DE6F0B">
        <w:rPr>
          <w:rStyle w:val="FootnoteReference"/>
          <w:rFonts w:asciiTheme="minorHAnsi" w:hAnsiTheme="minorHAnsi" w:cstheme="minorHAnsi"/>
          <w:sz w:val="20"/>
        </w:rPr>
        <w:footnoteReference w:id="8"/>
      </w:r>
      <w:r w:rsidRPr="00CA4E01">
        <w:rPr>
          <w:rFonts w:asciiTheme="minorHAnsi" w:hAnsiTheme="minorHAnsi" w:cstheme="minorHAnsi"/>
          <w:szCs w:val="24"/>
        </w:rPr>
        <w:t>, except for a few specific aspects that could be considered dated or have been superseded by other events.</w:t>
      </w:r>
    </w:p>
    <w:p w14:paraId="4865E77B"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1.13</w:t>
      </w:r>
      <w:r w:rsidRPr="00CA4E01">
        <w:rPr>
          <w:rFonts w:asciiTheme="minorHAnsi" w:hAnsiTheme="minorHAnsi" w:cstheme="minorHAnsi"/>
          <w:szCs w:val="24"/>
        </w:rPr>
        <w:tab/>
        <w:t>The ICT landscape has, of course, changed drastically since 2008, with ICTs now underpinning every sector of society, and the bulk of critical infrastructure</w:t>
      </w:r>
      <w:r w:rsidRPr="00DE6F0B">
        <w:rPr>
          <w:rStyle w:val="FootnoteReference"/>
          <w:rFonts w:asciiTheme="minorHAnsi" w:hAnsiTheme="minorHAnsi" w:cstheme="minorHAnsi"/>
          <w:sz w:val="20"/>
        </w:rPr>
        <w:footnoteReference w:id="9"/>
      </w:r>
      <w:r w:rsidRPr="00CA4E01">
        <w:rPr>
          <w:rFonts w:asciiTheme="minorHAnsi" w:hAnsiTheme="minorHAnsi" w:cstheme="minorHAnsi"/>
          <w:szCs w:val="24"/>
        </w:rPr>
        <w:t xml:space="preserve">. The world is witnessing the emergence and adoption of new technologies at a rapid pace, examples of which include: </w:t>
      </w:r>
    </w:p>
    <w:p w14:paraId="086E33E7" w14:textId="77777777" w:rsidR="00CA4EDA" w:rsidRPr="00CA4E01"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Cs w:val="24"/>
        </w:rPr>
      </w:pPr>
      <w:r w:rsidRPr="00CA4E01">
        <w:rPr>
          <w:rFonts w:asciiTheme="minorHAnsi" w:hAnsiTheme="minorHAnsi" w:cstheme="minorHAnsi"/>
          <w:szCs w:val="24"/>
        </w:rPr>
        <w:t xml:space="preserve">the wider adoption of the Internet of Things with tens, if not hundreds, of billions of new interconnected devices which opens up a significant number of new potential </w:t>
      </w:r>
      <w:proofErr w:type="gramStart"/>
      <w:r w:rsidRPr="00CA4E01">
        <w:rPr>
          <w:rFonts w:asciiTheme="minorHAnsi" w:hAnsiTheme="minorHAnsi" w:cstheme="minorHAnsi"/>
          <w:szCs w:val="24"/>
        </w:rPr>
        <w:t>vulnerabilities;</w:t>
      </w:r>
      <w:proofErr w:type="gramEnd"/>
      <w:r w:rsidRPr="00CA4E01">
        <w:rPr>
          <w:rFonts w:asciiTheme="minorHAnsi" w:hAnsiTheme="minorHAnsi" w:cstheme="minorHAnsi"/>
          <w:szCs w:val="24"/>
        </w:rPr>
        <w:t xml:space="preserve"> </w:t>
      </w:r>
    </w:p>
    <w:p w14:paraId="06C9CCB5" w14:textId="77777777" w:rsidR="00CA4EDA" w:rsidRPr="00CA4E01"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Cs w:val="24"/>
        </w:rPr>
      </w:pPr>
      <w:r w:rsidRPr="00CA4E01">
        <w:rPr>
          <w:rFonts w:asciiTheme="minorHAnsi" w:hAnsiTheme="minorHAnsi" w:cstheme="minorHAnsi"/>
          <w:szCs w:val="24"/>
        </w:rPr>
        <w:t xml:space="preserve">the growth of Artificial Intelligence as a tool to leverage data, especially Big Data, that allows humans to make more informed decisions as well as enables machines to make autonomous and so-called intelligent decisions without human intervention, bringing up challenges of security and trust as well as safeguarding human </w:t>
      </w:r>
      <w:proofErr w:type="gramStart"/>
      <w:r w:rsidRPr="00CA4E01">
        <w:rPr>
          <w:rFonts w:asciiTheme="minorHAnsi" w:hAnsiTheme="minorHAnsi" w:cstheme="minorHAnsi"/>
          <w:szCs w:val="24"/>
        </w:rPr>
        <w:t>rights;</w:t>
      </w:r>
      <w:proofErr w:type="gramEnd"/>
      <w:r w:rsidRPr="00CA4E01">
        <w:rPr>
          <w:rFonts w:asciiTheme="minorHAnsi" w:hAnsiTheme="minorHAnsi" w:cstheme="minorHAnsi"/>
          <w:szCs w:val="24"/>
        </w:rPr>
        <w:t xml:space="preserve"> </w:t>
      </w:r>
    </w:p>
    <w:p w14:paraId="06BF008B" w14:textId="77777777" w:rsidR="00CA4EDA" w:rsidRPr="00CA4E01"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Cs w:val="24"/>
        </w:rPr>
      </w:pPr>
      <w:r w:rsidRPr="00CA4E01">
        <w:rPr>
          <w:rFonts w:asciiTheme="minorHAnsi" w:hAnsiTheme="minorHAnsi" w:cstheme="minorHAnsi"/>
          <w:szCs w:val="24"/>
        </w:rPr>
        <w:t xml:space="preserve">new communication technologies and standards, such as 5G, that allow communication at a speed exponentially greater than what is currently </w:t>
      </w:r>
      <w:proofErr w:type="gramStart"/>
      <w:r w:rsidRPr="00CA4E01">
        <w:rPr>
          <w:rFonts w:asciiTheme="minorHAnsi" w:hAnsiTheme="minorHAnsi" w:cstheme="minorHAnsi"/>
          <w:szCs w:val="24"/>
        </w:rPr>
        <w:t>feasible;</w:t>
      </w:r>
      <w:proofErr w:type="gramEnd"/>
      <w:r w:rsidRPr="00CA4E01">
        <w:rPr>
          <w:rFonts w:asciiTheme="minorHAnsi" w:hAnsiTheme="minorHAnsi" w:cstheme="minorHAnsi"/>
          <w:szCs w:val="24"/>
        </w:rPr>
        <w:t xml:space="preserve"> </w:t>
      </w:r>
    </w:p>
    <w:p w14:paraId="68847E3B" w14:textId="77777777" w:rsidR="00CA4EDA" w:rsidRPr="00CA4E01"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Cs w:val="24"/>
        </w:rPr>
      </w:pPr>
      <w:r w:rsidRPr="00CA4E01">
        <w:rPr>
          <w:rFonts w:asciiTheme="minorHAnsi" w:hAnsiTheme="minorHAnsi" w:cstheme="minorHAnsi"/>
          <w:szCs w:val="24"/>
        </w:rPr>
        <w:t xml:space="preserve">quantum computing that offers computing speeds way beyond current capabilities, offering great opportunities but also putting at risk, </w:t>
      </w:r>
      <w:r w:rsidRPr="00CA4E01">
        <w:rPr>
          <w:rFonts w:asciiTheme="minorHAnsi" w:hAnsiTheme="minorHAnsi" w:cstheme="minorHAnsi"/>
          <w:i/>
          <w:iCs/>
          <w:szCs w:val="24"/>
        </w:rPr>
        <w:t>inter alia,</w:t>
      </w:r>
      <w:r w:rsidRPr="00CA4E01">
        <w:rPr>
          <w:rFonts w:asciiTheme="minorHAnsi" w:hAnsiTheme="minorHAnsi" w:cstheme="minorHAnsi"/>
          <w:szCs w:val="24"/>
        </w:rPr>
        <w:t xml:space="preserve"> current cryptographic algorithms; and</w:t>
      </w:r>
    </w:p>
    <w:p w14:paraId="3DEB7DF1" w14:textId="77777777" w:rsidR="00CA4EDA" w:rsidRPr="00CA4E01" w:rsidRDefault="00CA4EDA" w:rsidP="00CA4E01">
      <w:pPr>
        <w:pStyle w:val="ListParagraph"/>
        <w:numPr>
          <w:ilvl w:val="0"/>
          <w:numId w:val="28"/>
        </w:numPr>
        <w:tabs>
          <w:tab w:val="clear" w:pos="1134"/>
        </w:tabs>
        <w:spacing w:after="120"/>
        <w:contextualSpacing w:val="0"/>
        <w:jc w:val="both"/>
        <w:rPr>
          <w:rFonts w:asciiTheme="minorHAnsi" w:hAnsiTheme="minorHAnsi" w:cstheme="minorHAnsi"/>
          <w:szCs w:val="24"/>
        </w:rPr>
      </w:pPr>
      <w:r w:rsidRPr="00CA4E01">
        <w:rPr>
          <w:rFonts w:asciiTheme="minorHAnsi" w:hAnsiTheme="minorHAnsi" w:cstheme="minorHAnsi"/>
          <w:szCs w:val="24"/>
        </w:rPr>
        <w:t>new security technologies, such as Distributed Ledger Technologies (blockchains being a popular implementation), that offer significantly better means of safeguarding systems and associated data. More and more countries around the world are also now increasingly moving towards adoption of digital identity systems.</w:t>
      </w:r>
    </w:p>
    <w:p w14:paraId="0E4B5E98" w14:textId="2F75A090" w:rsidR="00CA4EDA" w:rsidRPr="00CA4E01" w:rsidRDefault="00CA4EDA" w:rsidP="00CA4E01">
      <w:pPr>
        <w:spacing w:after="120"/>
        <w:jc w:val="both"/>
        <w:rPr>
          <w:rFonts w:asciiTheme="minorHAnsi" w:hAnsiTheme="minorHAnsi" w:cstheme="minorHAnsi"/>
          <w:bCs/>
          <w:szCs w:val="24"/>
        </w:rPr>
      </w:pPr>
      <w:r w:rsidRPr="00CA4E01">
        <w:rPr>
          <w:rFonts w:asciiTheme="minorHAnsi" w:hAnsiTheme="minorHAnsi" w:cstheme="minorHAnsi"/>
          <w:b/>
          <w:bCs/>
          <w:szCs w:val="24"/>
        </w:rPr>
        <w:t>1.14</w:t>
      </w:r>
      <w:r w:rsidRPr="00CA4E01">
        <w:rPr>
          <w:rFonts w:asciiTheme="minorHAnsi" w:hAnsiTheme="minorHAnsi" w:cstheme="minorHAnsi"/>
          <w:szCs w:val="24"/>
        </w:rPr>
        <w:tab/>
        <w:t xml:space="preserve">Additionally, the global ICT ecosystem has also been significantly shaped since 2008 with the global wide-scale adoption of social networks. Some social networks have more users than the </w:t>
      </w:r>
      <w:r w:rsidRPr="00DE6F0B">
        <w:rPr>
          <w:rFonts w:asciiTheme="minorHAnsi" w:hAnsiTheme="minorHAnsi" w:cstheme="minorHAnsi"/>
          <w:spacing w:val="-2"/>
          <w:szCs w:val="24"/>
        </w:rPr>
        <w:t xml:space="preserve">population of many countries combined - </w:t>
      </w:r>
      <w:proofErr w:type="gramStart"/>
      <w:r w:rsidRPr="00DE6F0B">
        <w:rPr>
          <w:rFonts w:asciiTheme="minorHAnsi" w:hAnsiTheme="minorHAnsi" w:cstheme="minorHAnsi"/>
          <w:spacing w:val="-2"/>
          <w:szCs w:val="24"/>
        </w:rPr>
        <w:t>e.g</w:t>
      </w:r>
      <w:r w:rsidRPr="008F24EC">
        <w:rPr>
          <w:rFonts w:asciiTheme="minorHAnsi" w:hAnsiTheme="minorHAnsi" w:cstheme="minorHAnsi"/>
          <w:spacing w:val="-2"/>
          <w:szCs w:val="24"/>
        </w:rPr>
        <w:t>.</w:t>
      </w:r>
      <w:proofErr w:type="gramEnd"/>
      <w:r w:rsidRPr="008F24EC">
        <w:rPr>
          <w:rFonts w:asciiTheme="minorHAnsi" w:hAnsiTheme="minorHAnsi" w:cstheme="minorHAnsi"/>
          <w:spacing w:val="-2"/>
          <w:szCs w:val="24"/>
        </w:rPr>
        <w:t xml:space="preserve"> </w:t>
      </w:r>
      <w:r w:rsidR="00E323D8" w:rsidRPr="008F24EC">
        <w:rPr>
          <w:rFonts w:asciiTheme="minorHAnsi" w:hAnsiTheme="minorHAnsi" w:cstheme="minorHAnsi"/>
          <w:spacing w:val="-2"/>
          <w:szCs w:val="24"/>
        </w:rPr>
        <w:t xml:space="preserve">as of 2020 </w:t>
      </w:r>
      <w:r w:rsidRPr="008F24EC">
        <w:rPr>
          <w:rFonts w:asciiTheme="minorHAnsi" w:hAnsiTheme="minorHAnsi" w:cstheme="minorHAnsi"/>
          <w:bCs/>
          <w:spacing w:val="-2"/>
          <w:szCs w:val="24"/>
        </w:rPr>
        <w:t>Facebook</w:t>
      </w:r>
      <w:r w:rsidRPr="00DE6F0B">
        <w:rPr>
          <w:rFonts w:asciiTheme="minorHAnsi" w:hAnsiTheme="minorHAnsi" w:cstheme="minorHAnsi"/>
          <w:bCs/>
          <w:spacing w:val="-2"/>
          <w:szCs w:val="24"/>
        </w:rPr>
        <w:t xml:space="preserve"> has </w:t>
      </w:r>
      <w:r w:rsidR="006B7028">
        <w:rPr>
          <w:rFonts w:asciiTheme="minorHAnsi" w:hAnsiTheme="minorHAnsi" w:cstheme="minorHAnsi"/>
          <w:bCs/>
          <w:spacing w:val="-2"/>
          <w:szCs w:val="24"/>
        </w:rPr>
        <w:t>nearly</w:t>
      </w:r>
      <w:r w:rsidRPr="00DE6F0B">
        <w:rPr>
          <w:rFonts w:asciiTheme="minorHAnsi" w:hAnsiTheme="minorHAnsi" w:cstheme="minorHAnsi"/>
          <w:bCs/>
          <w:spacing w:val="-2"/>
          <w:szCs w:val="24"/>
        </w:rPr>
        <w:t xml:space="preserve"> 2.</w:t>
      </w:r>
      <w:r w:rsidR="006B7028">
        <w:rPr>
          <w:rFonts w:asciiTheme="minorHAnsi" w:hAnsiTheme="minorHAnsi" w:cstheme="minorHAnsi"/>
          <w:bCs/>
          <w:spacing w:val="-2"/>
          <w:szCs w:val="24"/>
        </w:rPr>
        <w:t>8</w:t>
      </w:r>
      <w:r w:rsidR="006B7028" w:rsidRPr="00DE6F0B">
        <w:rPr>
          <w:rFonts w:asciiTheme="minorHAnsi" w:hAnsiTheme="minorHAnsi" w:cstheme="minorHAnsi"/>
          <w:bCs/>
          <w:spacing w:val="-2"/>
          <w:szCs w:val="24"/>
        </w:rPr>
        <w:t xml:space="preserve"> </w:t>
      </w:r>
      <w:r w:rsidRPr="00DE6F0B">
        <w:rPr>
          <w:rFonts w:asciiTheme="minorHAnsi" w:hAnsiTheme="minorHAnsi" w:cstheme="minorHAnsi"/>
          <w:bCs/>
          <w:spacing w:val="-2"/>
          <w:szCs w:val="24"/>
        </w:rPr>
        <w:t>billion monthly active users</w:t>
      </w:r>
      <w:r w:rsidRPr="00DE6F0B">
        <w:rPr>
          <w:rStyle w:val="FootnoteReference"/>
          <w:rFonts w:asciiTheme="minorHAnsi" w:hAnsiTheme="minorHAnsi" w:cstheme="minorHAnsi"/>
          <w:bCs/>
          <w:spacing w:val="-2"/>
          <w:sz w:val="20"/>
        </w:rPr>
        <w:footnoteReference w:id="10"/>
      </w:r>
      <w:r w:rsidRPr="00DE6F0B">
        <w:rPr>
          <w:rFonts w:asciiTheme="minorHAnsi" w:hAnsiTheme="minorHAnsi" w:cstheme="minorHAnsi"/>
          <w:bCs/>
          <w:spacing w:val="-2"/>
          <w:szCs w:val="24"/>
        </w:rPr>
        <w:t>. Social media has played a pivotal role in connecting people across the world, blurring geographical boundaries, and providing easy access to information and</w:t>
      </w:r>
      <w:r w:rsidRPr="00CA4E01">
        <w:rPr>
          <w:rFonts w:asciiTheme="minorHAnsi" w:hAnsiTheme="minorHAnsi" w:cstheme="minorHAnsi"/>
          <w:bCs/>
          <w:szCs w:val="24"/>
        </w:rPr>
        <w:t xml:space="preserve"> opportunities at a scale and speed that did not exist earlier. It has also brought forth significant trust concerns - regarding privacy and security of users and the data they generate, authenticity and trustworthiness of the information available on social networks, dissemination of hateful content etc.</w:t>
      </w:r>
      <w:r w:rsidRPr="00CA4E01">
        <w:rPr>
          <w:rStyle w:val="FootnoteReference"/>
          <w:rFonts w:asciiTheme="minorHAnsi" w:hAnsiTheme="minorHAnsi" w:cstheme="minorHAnsi"/>
          <w:bCs/>
          <w:sz w:val="24"/>
          <w:szCs w:val="24"/>
          <w:vertAlign w:val="superscript"/>
        </w:rPr>
        <w:footnoteReference w:id="11"/>
      </w:r>
      <w:r w:rsidRPr="00CA4E01">
        <w:rPr>
          <w:rFonts w:asciiTheme="minorHAnsi" w:hAnsiTheme="minorHAnsi" w:cstheme="minorHAnsi"/>
          <w:bCs/>
          <w:szCs w:val="24"/>
          <w:vertAlign w:val="superscript"/>
        </w:rPr>
        <w:t xml:space="preserve"> </w:t>
      </w:r>
    </w:p>
    <w:p w14:paraId="7C78B11A" w14:textId="77777777" w:rsidR="00CA4EDA" w:rsidRPr="00CA4E01" w:rsidRDefault="00CA4EDA" w:rsidP="00CA4E01">
      <w:pPr>
        <w:spacing w:after="120"/>
        <w:jc w:val="both"/>
        <w:rPr>
          <w:rFonts w:asciiTheme="minorHAnsi" w:hAnsiTheme="minorHAnsi" w:cstheme="minorHAnsi"/>
          <w:bCs/>
          <w:szCs w:val="24"/>
        </w:rPr>
      </w:pPr>
      <w:r w:rsidRPr="00CA4E01">
        <w:rPr>
          <w:rFonts w:asciiTheme="minorHAnsi" w:hAnsiTheme="minorHAnsi" w:cstheme="minorHAnsi"/>
          <w:b/>
          <w:szCs w:val="24"/>
        </w:rPr>
        <w:lastRenderedPageBreak/>
        <w:t>1.15</w:t>
      </w:r>
      <w:r w:rsidRPr="00CA4E01">
        <w:rPr>
          <w:rFonts w:asciiTheme="minorHAnsi" w:hAnsiTheme="minorHAnsi" w:cstheme="minorHAnsi"/>
          <w:b/>
          <w:szCs w:val="24"/>
        </w:rPr>
        <w:tab/>
      </w:r>
      <w:r w:rsidRPr="00CA4E01">
        <w:rPr>
          <w:rFonts w:asciiTheme="minorHAnsi" w:hAnsiTheme="minorHAnsi" w:cstheme="minorHAnsi"/>
          <w:bCs/>
          <w:szCs w:val="24"/>
        </w:rPr>
        <w:t xml:space="preserve">Moreover, other factors, such as the emergence of the dark web, have continued to raise growing concerns worldwide about criminal activity in cyberspace, particularly on aspects such as access to malicious tools, </w:t>
      </w:r>
      <w:proofErr w:type="gramStart"/>
      <w:r w:rsidRPr="00CA4E01">
        <w:rPr>
          <w:rFonts w:asciiTheme="minorHAnsi" w:hAnsiTheme="minorHAnsi" w:cstheme="minorHAnsi"/>
          <w:bCs/>
          <w:szCs w:val="24"/>
        </w:rPr>
        <w:t>services</w:t>
      </w:r>
      <w:proofErr w:type="gramEnd"/>
      <w:r w:rsidRPr="00CA4E01">
        <w:rPr>
          <w:rFonts w:asciiTheme="minorHAnsi" w:hAnsiTheme="minorHAnsi" w:cstheme="minorHAnsi"/>
          <w:bCs/>
          <w:szCs w:val="24"/>
        </w:rPr>
        <w:t xml:space="preserve"> and content. </w:t>
      </w:r>
    </w:p>
    <w:p w14:paraId="3D2F2204" w14:textId="77777777" w:rsidR="00CA4EDA" w:rsidRPr="00CA4E01" w:rsidRDefault="00CA4EDA" w:rsidP="00CA4E01">
      <w:pPr>
        <w:spacing w:after="120"/>
        <w:jc w:val="both"/>
        <w:rPr>
          <w:rFonts w:asciiTheme="minorHAnsi" w:hAnsiTheme="minorHAnsi" w:cstheme="minorHAnsi"/>
          <w:bCs/>
          <w:iCs/>
          <w:szCs w:val="24"/>
          <w:lang w:val="en-US"/>
        </w:rPr>
      </w:pPr>
      <w:r w:rsidRPr="00CA4E01">
        <w:rPr>
          <w:rFonts w:asciiTheme="minorHAnsi" w:hAnsiTheme="minorHAnsi" w:cstheme="minorHAnsi"/>
          <w:b/>
          <w:szCs w:val="24"/>
        </w:rPr>
        <w:t>1.16</w:t>
      </w:r>
      <w:r w:rsidRPr="00CA4E01">
        <w:rPr>
          <w:rFonts w:asciiTheme="minorHAnsi" w:hAnsiTheme="minorHAnsi" w:cstheme="minorHAnsi"/>
          <w:b/>
          <w:szCs w:val="24"/>
        </w:rPr>
        <w:tab/>
      </w:r>
      <w:r w:rsidRPr="00CA4E01">
        <w:rPr>
          <w:rFonts w:asciiTheme="minorHAnsi" w:hAnsiTheme="minorHAnsi" w:cstheme="minorHAnsi"/>
          <w:bCs/>
          <w:iCs/>
          <w:szCs w:val="24"/>
          <w:lang w:val="en-US"/>
        </w:rPr>
        <w:t>Given these developments, there has been growing recognition among all stakeholders, including governments, on the diversity of urgent actions that need to be taken to advance cybersecurity, ranging from protection of critical infrastructure to safeguarding user privacy. As an issue that could pose a national security threat to all countries, cybersecurity has reached the agendas of the highest political levels of governments, who are increasingly investing in governance and administrative measures to drive a whole-of-government response for the purpose of strengthening their national cyber resilience.</w:t>
      </w:r>
    </w:p>
    <w:p w14:paraId="5438B8C3" w14:textId="77777777" w:rsidR="00CA4EDA" w:rsidRPr="00CA4E01" w:rsidRDefault="00CA4EDA" w:rsidP="00CA4E01">
      <w:pPr>
        <w:spacing w:after="120"/>
        <w:jc w:val="both"/>
        <w:rPr>
          <w:rFonts w:asciiTheme="minorHAnsi" w:hAnsiTheme="minorHAnsi" w:cstheme="minorHAnsi"/>
          <w:bCs/>
          <w:szCs w:val="24"/>
        </w:rPr>
      </w:pPr>
      <w:r w:rsidRPr="00CA4E01">
        <w:rPr>
          <w:rFonts w:asciiTheme="minorHAnsi" w:hAnsiTheme="minorHAnsi" w:cstheme="minorHAnsi"/>
          <w:b/>
          <w:bCs/>
          <w:szCs w:val="24"/>
        </w:rPr>
        <w:t>1.17</w:t>
      </w:r>
      <w:r w:rsidRPr="00CA4E01">
        <w:rPr>
          <w:rFonts w:asciiTheme="minorHAnsi" w:hAnsiTheme="minorHAnsi" w:cstheme="minorHAnsi"/>
          <w:szCs w:val="24"/>
        </w:rPr>
        <w:t xml:space="preserve"> </w:t>
      </w:r>
      <w:r w:rsidRPr="00CA4E01">
        <w:rPr>
          <w:rFonts w:asciiTheme="minorHAnsi" w:hAnsiTheme="minorHAnsi" w:cstheme="minorHAnsi"/>
          <w:szCs w:val="24"/>
        </w:rPr>
        <w:tab/>
        <w:t xml:space="preserve">The </w:t>
      </w:r>
      <w:r w:rsidRPr="00CA4E01">
        <w:rPr>
          <w:rFonts w:asciiTheme="minorHAnsi" w:hAnsiTheme="minorHAnsi" w:cstheme="minorHAnsi"/>
          <w:bCs/>
          <w:szCs w:val="24"/>
        </w:rPr>
        <w:t xml:space="preserve">COVID-19 pandemic has only further highlighted the centrality of ICTs to health and </w:t>
      </w:r>
      <w:r w:rsidRPr="00DE6F0B">
        <w:rPr>
          <w:rFonts w:asciiTheme="minorHAnsi" w:hAnsiTheme="minorHAnsi" w:cstheme="minorHAnsi"/>
          <w:bCs/>
          <w:spacing w:val="4"/>
          <w:szCs w:val="24"/>
        </w:rPr>
        <w:t>safety, and towards keeping our economy and society moving forward. From teleworking and e-</w:t>
      </w:r>
      <w:r w:rsidRPr="00CA4E01">
        <w:rPr>
          <w:rFonts w:asciiTheme="minorHAnsi" w:hAnsiTheme="minorHAnsi" w:cstheme="minorHAnsi"/>
          <w:bCs/>
          <w:szCs w:val="24"/>
        </w:rPr>
        <w:t>commerce to telemedicine and remote learning, ICT services and infrastructure are providing continued access to critical needs. The COVID-19 crisis has also heightened the need to address the rapidly evolving and critical cybersecurity challenges that are posed by society’s high degree of dependence on ICTs.</w:t>
      </w:r>
    </w:p>
    <w:p w14:paraId="1F14EB5B" w14:textId="77777777" w:rsidR="00CA4EDA" w:rsidRPr="00CA4E01" w:rsidRDefault="00CA4EDA" w:rsidP="00CA4E01">
      <w:pPr>
        <w:spacing w:after="120"/>
        <w:jc w:val="both"/>
        <w:rPr>
          <w:rFonts w:asciiTheme="minorHAnsi" w:hAnsiTheme="minorHAnsi" w:cstheme="minorHAnsi"/>
          <w:bCs/>
          <w:szCs w:val="24"/>
        </w:rPr>
      </w:pPr>
      <w:r w:rsidRPr="00CA4E01">
        <w:rPr>
          <w:rFonts w:asciiTheme="minorHAnsi" w:hAnsiTheme="minorHAnsi" w:cstheme="minorHAnsi"/>
          <w:b/>
          <w:szCs w:val="24"/>
        </w:rPr>
        <w:t>1.18</w:t>
      </w:r>
      <w:r w:rsidRPr="00CA4E01">
        <w:rPr>
          <w:rFonts w:asciiTheme="minorHAnsi" w:hAnsiTheme="minorHAnsi" w:cstheme="minorHAnsi"/>
          <w:bCs/>
          <w:szCs w:val="24"/>
        </w:rPr>
        <w:tab/>
        <w:t xml:space="preserve">Within the framework of the GCA, each of the five Pillars has evolved in its own specific way over the past decade. </w:t>
      </w:r>
    </w:p>
    <w:p w14:paraId="249B7118" w14:textId="4E9D823D" w:rsidR="006B7028" w:rsidRDefault="00CA4EDA" w:rsidP="00CA4E01">
      <w:pPr>
        <w:spacing w:after="120"/>
        <w:jc w:val="both"/>
        <w:rPr>
          <w:rFonts w:asciiTheme="minorHAnsi" w:hAnsiTheme="minorHAnsi" w:cstheme="minorHAnsi"/>
          <w:bCs/>
          <w:szCs w:val="24"/>
          <w:lang w:val="en-US"/>
        </w:rPr>
      </w:pPr>
      <w:r w:rsidRPr="00CA4E01">
        <w:rPr>
          <w:rFonts w:asciiTheme="minorHAnsi" w:hAnsiTheme="minorHAnsi" w:cstheme="minorHAnsi"/>
          <w:b/>
          <w:szCs w:val="24"/>
        </w:rPr>
        <w:t>1.19</w:t>
      </w:r>
      <w:r w:rsidRPr="00CA4E01">
        <w:rPr>
          <w:rFonts w:asciiTheme="minorHAnsi" w:hAnsiTheme="minorHAnsi" w:cstheme="minorHAnsi"/>
          <w:bCs/>
          <w:szCs w:val="24"/>
        </w:rPr>
        <w:tab/>
        <w:t xml:space="preserve">As of </w:t>
      </w:r>
      <w:r w:rsidR="006B7028" w:rsidRPr="00CA4E01">
        <w:rPr>
          <w:rFonts w:asciiTheme="minorHAnsi" w:hAnsiTheme="minorHAnsi" w:cstheme="minorHAnsi"/>
          <w:bCs/>
          <w:szCs w:val="24"/>
        </w:rPr>
        <w:t>20</w:t>
      </w:r>
      <w:r w:rsidR="006B7028">
        <w:rPr>
          <w:rFonts w:asciiTheme="minorHAnsi" w:hAnsiTheme="minorHAnsi" w:cstheme="minorHAnsi"/>
          <w:bCs/>
          <w:szCs w:val="24"/>
        </w:rPr>
        <w:t>20</w:t>
      </w:r>
      <w:r w:rsidRPr="00CA4E01">
        <w:rPr>
          <w:rFonts w:asciiTheme="minorHAnsi" w:hAnsiTheme="minorHAnsi" w:cstheme="minorHAnsi"/>
          <w:bCs/>
          <w:szCs w:val="24"/>
        </w:rPr>
        <w:t xml:space="preserve">, more than 125 countries have signed and/or ratified different cybersecurity and cybercrime conventions, declarations, guidelines or agreements such as the </w:t>
      </w:r>
      <w:hyperlink r:id="rId21" w:history="1">
        <w:r w:rsidRPr="00CA4E01">
          <w:rPr>
            <w:rStyle w:val="Hyperlink"/>
            <w:rFonts w:asciiTheme="minorHAnsi" w:hAnsiTheme="minorHAnsi" w:cstheme="minorHAnsi"/>
            <w:bCs/>
            <w:szCs w:val="24"/>
          </w:rPr>
          <w:t>Council of Europe Convention on Cybercrime of 2001</w:t>
        </w:r>
      </w:hyperlink>
      <w:r w:rsidRPr="00CA4E01">
        <w:rPr>
          <w:rStyle w:val="Hyperlink"/>
          <w:rFonts w:asciiTheme="minorHAnsi" w:hAnsiTheme="minorHAnsi" w:cstheme="minorHAnsi"/>
          <w:bCs/>
          <w:szCs w:val="24"/>
        </w:rPr>
        <w:t xml:space="preserve"> </w:t>
      </w:r>
      <w:r w:rsidR="00E6279E" w:rsidRPr="00CA4E01">
        <w:rPr>
          <w:rStyle w:val="Hyperlink"/>
          <w:rFonts w:asciiTheme="minorHAnsi" w:hAnsiTheme="minorHAnsi" w:cstheme="minorHAnsi"/>
          <w:bCs/>
          <w:color w:val="auto"/>
          <w:szCs w:val="24"/>
          <w:u w:val="none"/>
        </w:rPr>
        <w:t>(Budapest Convention)</w:t>
      </w:r>
      <w:r w:rsidR="00FB103D" w:rsidRPr="00CA4E01">
        <w:rPr>
          <w:rStyle w:val="Hyperlink"/>
          <w:rFonts w:asciiTheme="minorHAnsi" w:hAnsiTheme="minorHAnsi" w:cstheme="minorHAnsi"/>
          <w:bCs/>
          <w:color w:val="auto"/>
          <w:szCs w:val="24"/>
          <w:u w:val="none"/>
        </w:rPr>
        <w:t xml:space="preserve">, the </w:t>
      </w:r>
      <w:hyperlink r:id="rId22" w:history="1">
        <w:r w:rsidR="00FB103D" w:rsidRPr="00CA4E01">
          <w:rPr>
            <w:rStyle w:val="Hyperlink"/>
            <w:rFonts w:asciiTheme="minorHAnsi" w:hAnsiTheme="minorHAnsi" w:cstheme="minorHAnsi"/>
            <w:bCs/>
            <w:szCs w:val="24"/>
          </w:rPr>
          <w:t>Agreement among the Governments of the Shanghai Cooperation Organization Member States on Cooperation in the Field of Ensuring International Information Security</w:t>
        </w:r>
      </w:hyperlink>
      <w:r w:rsidR="00FB103D" w:rsidRPr="00CA4E01">
        <w:rPr>
          <w:rStyle w:val="Hyperlink"/>
          <w:rFonts w:asciiTheme="minorHAnsi" w:hAnsiTheme="minorHAnsi" w:cstheme="minorHAnsi"/>
          <w:bCs/>
          <w:color w:val="auto"/>
          <w:szCs w:val="24"/>
          <w:u w:val="none"/>
        </w:rPr>
        <w:t xml:space="preserve"> (2009) and the</w:t>
      </w:r>
      <w:r w:rsidR="00AD1D46" w:rsidRPr="00CA4E01">
        <w:rPr>
          <w:rStyle w:val="Hyperlink"/>
          <w:rFonts w:asciiTheme="minorHAnsi" w:hAnsiTheme="minorHAnsi" w:cstheme="minorHAnsi"/>
          <w:bCs/>
          <w:szCs w:val="24"/>
          <w:u w:val="none"/>
        </w:rPr>
        <w:t xml:space="preserve"> </w:t>
      </w:r>
      <w:hyperlink r:id="rId23" w:history="1">
        <w:r w:rsidR="00FB103D" w:rsidRPr="00CA4E01">
          <w:rPr>
            <w:rStyle w:val="Hyperlink"/>
            <w:rFonts w:asciiTheme="minorHAnsi" w:hAnsiTheme="minorHAnsi" w:cstheme="minorHAnsi"/>
            <w:bCs/>
            <w:szCs w:val="24"/>
          </w:rPr>
          <w:t>African Union Convention on Cyber Security and Personal Data Protection (2014)</w:t>
        </w:r>
      </w:hyperlink>
      <w:r w:rsidRPr="00CA4E01">
        <w:rPr>
          <w:rFonts w:asciiTheme="minorHAnsi" w:hAnsiTheme="minorHAnsi" w:cstheme="minorHAnsi"/>
          <w:bCs/>
          <w:szCs w:val="24"/>
          <w:lang w:val="en-US"/>
        </w:rPr>
        <w:t xml:space="preserve">. </w:t>
      </w:r>
    </w:p>
    <w:p w14:paraId="0095C5B9" w14:textId="3BBEDFC6" w:rsidR="00BB7204" w:rsidRPr="00CA4E01" w:rsidRDefault="00B438D6" w:rsidP="00CA4E01">
      <w:pPr>
        <w:spacing w:after="120"/>
        <w:jc w:val="both"/>
        <w:rPr>
          <w:rFonts w:asciiTheme="minorHAnsi" w:hAnsiTheme="minorHAnsi" w:cstheme="minorHAnsi"/>
          <w:szCs w:val="24"/>
        </w:rPr>
      </w:pPr>
      <w:r w:rsidRPr="00CA4E01">
        <w:rPr>
          <w:rFonts w:asciiTheme="minorHAnsi" w:hAnsiTheme="minorHAnsi" w:cstheme="minorHAnsi"/>
          <w:b/>
          <w:szCs w:val="24"/>
          <w:lang w:val="en-US"/>
        </w:rPr>
        <w:t>1.20</w:t>
      </w:r>
      <w:r w:rsidRPr="00CA4E01">
        <w:rPr>
          <w:rFonts w:asciiTheme="minorHAnsi" w:hAnsiTheme="minorHAnsi" w:cstheme="minorHAnsi"/>
          <w:b/>
          <w:szCs w:val="24"/>
          <w:lang w:val="en-US"/>
        </w:rPr>
        <w:tab/>
      </w:r>
      <w:r w:rsidR="00E5215E" w:rsidRPr="00CA4E01">
        <w:rPr>
          <w:rFonts w:asciiTheme="minorHAnsi" w:hAnsiTheme="minorHAnsi" w:cstheme="minorHAnsi"/>
          <w:bCs/>
          <w:szCs w:val="24"/>
          <w:lang w:val="en-US"/>
        </w:rPr>
        <w:t>Pursuant to</w:t>
      </w:r>
      <w:r w:rsidR="00CA4EDA" w:rsidRPr="00CA4E01">
        <w:rPr>
          <w:rFonts w:asciiTheme="minorHAnsi" w:hAnsiTheme="minorHAnsi" w:cstheme="minorHAnsi"/>
          <w:bCs/>
          <w:szCs w:val="24"/>
          <w:lang w:val="en-US"/>
        </w:rPr>
        <w:t xml:space="preserve"> UNGA </w:t>
      </w:r>
      <w:r w:rsidR="00E5215E" w:rsidRPr="00CA4E01">
        <w:rPr>
          <w:rFonts w:asciiTheme="minorHAnsi" w:hAnsiTheme="minorHAnsi" w:cstheme="minorHAnsi"/>
          <w:bCs/>
          <w:szCs w:val="24"/>
          <w:lang w:val="en-US"/>
        </w:rPr>
        <w:t>Resolutions</w:t>
      </w:r>
      <w:r w:rsidR="00CA4EDA" w:rsidRPr="00CA4E01">
        <w:rPr>
          <w:rFonts w:asciiTheme="minorHAnsi" w:hAnsiTheme="minorHAnsi" w:cstheme="minorHAnsi"/>
          <w:bCs/>
          <w:szCs w:val="24"/>
          <w:lang w:val="en-US"/>
        </w:rPr>
        <w:t>, a Group of Governmental Experts (GGE)</w:t>
      </w:r>
      <w:r w:rsidR="00CA4EDA" w:rsidRPr="00CA4E01">
        <w:rPr>
          <w:rStyle w:val="FootnoteReference"/>
          <w:rFonts w:asciiTheme="minorHAnsi" w:hAnsiTheme="minorHAnsi" w:cstheme="minorHAnsi"/>
          <w:bCs/>
          <w:sz w:val="24"/>
          <w:szCs w:val="24"/>
          <w:vertAlign w:val="superscript"/>
          <w:lang w:val="en-US"/>
        </w:rPr>
        <w:t xml:space="preserve"> </w:t>
      </w:r>
      <w:r w:rsidR="00CA4EDA" w:rsidRPr="00CA4E01">
        <w:rPr>
          <w:rStyle w:val="FootnoteReference"/>
          <w:rFonts w:asciiTheme="minorHAnsi" w:hAnsiTheme="minorHAnsi" w:cstheme="minorHAnsi"/>
          <w:bCs/>
          <w:sz w:val="24"/>
          <w:szCs w:val="24"/>
          <w:vertAlign w:val="superscript"/>
          <w:lang w:val="en-US"/>
        </w:rPr>
        <w:footnoteReference w:id="12"/>
      </w:r>
      <w:r w:rsidR="00CA4EDA" w:rsidRPr="00CA4E01">
        <w:rPr>
          <w:rFonts w:asciiTheme="minorHAnsi" w:hAnsiTheme="minorHAnsi" w:cstheme="minorHAnsi"/>
          <w:bCs/>
          <w:szCs w:val="24"/>
          <w:lang w:val="en-US"/>
        </w:rPr>
        <w:t xml:space="preserve"> and Open-ended Working Group (OEWG)</w:t>
      </w:r>
      <w:r w:rsidR="00CA4EDA" w:rsidRPr="00DE6F0B">
        <w:rPr>
          <w:rStyle w:val="FootnoteReference"/>
          <w:rFonts w:asciiTheme="minorHAnsi" w:hAnsiTheme="minorHAnsi" w:cstheme="minorHAnsi"/>
          <w:bCs/>
          <w:sz w:val="20"/>
          <w:lang w:val="en-US"/>
        </w:rPr>
        <w:footnoteReference w:id="13"/>
      </w:r>
      <w:r w:rsidR="00CA4EDA" w:rsidRPr="00DE6F0B">
        <w:rPr>
          <w:rFonts w:asciiTheme="minorHAnsi" w:hAnsiTheme="minorHAnsi" w:cstheme="minorHAnsi"/>
          <w:bCs/>
          <w:sz w:val="20"/>
          <w:lang w:val="en-US"/>
        </w:rPr>
        <w:t xml:space="preserve"> </w:t>
      </w:r>
      <w:r w:rsidR="00556C16" w:rsidRPr="00CA4E01">
        <w:rPr>
          <w:rFonts w:asciiTheme="minorHAnsi" w:hAnsiTheme="minorHAnsi" w:cstheme="minorHAnsi"/>
          <w:bCs/>
          <w:szCs w:val="24"/>
          <w:lang w:val="en-US"/>
        </w:rPr>
        <w:t>have studied</w:t>
      </w:r>
      <w:r w:rsidR="00BB7204" w:rsidRPr="00CA4E01">
        <w:rPr>
          <w:rFonts w:asciiTheme="minorHAnsi" w:hAnsiTheme="minorHAnsi" w:cstheme="minorHAnsi"/>
          <w:bCs/>
          <w:szCs w:val="24"/>
          <w:lang w:val="en-US"/>
        </w:rPr>
        <w:t xml:space="preserve"> several issues related to the use of ICTs in the context of international security, including, </w:t>
      </w:r>
      <w:r w:rsidR="00BB7204" w:rsidRPr="00CA4E01">
        <w:rPr>
          <w:rFonts w:asciiTheme="minorHAnsi" w:hAnsiTheme="minorHAnsi" w:cstheme="minorHAnsi"/>
          <w:bCs/>
          <w:i/>
          <w:iCs/>
          <w:szCs w:val="24"/>
          <w:lang w:val="en-US"/>
        </w:rPr>
        <w:t>inter alia</w:t>
      </w:r>
      <w:r w:rsidR="00BB7204" w:rsidRPr="00CA4E01">
        <w:rPr>
          <w:rFonts w:asciiTheme="minorHAnsi" w:hAnsiTheme="minorHAnsi" w:cstheme="minorHAnsi"/>
          <w:bCs/>
          <w:szCs w:val="24"/>
          <w:lang w:val="en-US"/>
        </w:rPr>
        <w:t xml:space="preserve">, </w:t>
      </w:r>
      <w:r w:rsidR="0022370D" w:rsidRPr="00CA4E01">
        <w:rPr>
          <w:rFonts w:asciiTheme="minorHAnsi" w:hAnsiTheme="minorHAnsi" w:cstheme="minorHAnsi"/>
          <w:bCs/>
          <w:szCs w:val="24"/>
          <w:lang w:val="en-US"/>
        </w:rPr>
        <w:t xml:space="preserve">advancing responsible state behavior </w:t>
      </w:r>
      <w:r w:rsidR="00BB7204" w:rsidRPr="00CA4E01">
        <w:rPr>
          <w:rFonts w:asciiTheme="minorHAnsi" w:hAnsiTheme="minorHAnsi" w:cstheme="minorHAnsi"/>
          <w:bCs/>
          <w:szCs w:val="24"/>
          <w:lang w:val="en-US"/>
        </w:rPr>
        <w:t>in cyberspace, applicability of international law to cyberspace, capacity building, and the need to implement and further develop confidence-building measures in cyberspace.</w:t>
      </w:r>
    </w:p>
    <w:p w14:paraId="0CCEFE83" w14:textId="77777777" w:rsidR="00CA4EDA" w:rsidRPr="00CA4E01" w:rsidRDefault="00CA4EDA" w:rsidP="00CA4E01">
      <w:pPr>
        <w:spacing w:after="120"/>
        <w:jc w:val="both"/>
        <w:rPr>
          <w:rFonts w:asciiTheme="minorHAnsi" w:hAnsiTheme="minorHAnsi" w:cstheme="minorHAnsi"/>
          <w:bCs/>
          <w:szCs w:val="24"/>
          <w:lang w:val="nb-NO"/>
        </w:rPr>
      </w:pPr>
      <w:r w:rsidRPr="00CA4E01">
        <w:rPr>
          <w:rFonts w:asciiTheme="minorHAnsi" w:hAnsiTheme="minorHAnsi" w:cstheme="minorHAnsi"/>
          <w:b/>
          <w:szCs w:val="24"/>
        </w:rPr>
        <w:t>1.2</w:t>
      </w:r>
      <w:r w:rsidR="00B438D6" w:rsidRPr="00CA4E01">
        <w:rPr>
          <w:rFonts w:asciiTheme="minorHAnsi" w:hAnsiTheme="minorHAnsi" w:cstheme="minorHAnsi"/>
          <w:b/>
          <w:szCs w:val="24"/>
        </w:rPr>
        <w:t>1</w:t>
      </w:r>
      <w:r w:rsidRPr="00CA4E01">
        <w:rPr>
          <w:rFonts w:asciiTheme="minorHAnsi" w:hAnsiTheme="minorHAnsi" w:cstheme="minorHAnsi"/>
          <w:bCs/>
          <w:szCs w:val="24"/>
        </w:rPr>
        <w:tab/>
        <w:t xml:space="preserve">Innovative ICT technologies, such as cloud computing, software-defined networking (SDN), network function virtualization (NFV), 5G, Big Data, AI etc., blur market and geographic boundaries, making the cybersecurity ecosystem increasingly dynamic and complex. New technologies and commercial actors can cause exposure to new vulnerabilities and threats, particularly as the private sector’s focus on performance, market share, and costs is often prioritized over investments in security in the design stage. There are </w:t>
      </w:r>
      <w:proofErr w:type="gramStart"/>
      <w:r w:rsidRPr="00CA4E01">
        <w:rPr>
          <w:rFonts w:asciiTheme="minorHAnsi" w:hAnsiTheme="minorHAnsi" w:cstheme="minorHAnsi"/>
          <w:bCs/>
          <w:szCs w:val="24"/>
        </w:rPr>
        <w:t>a number of</w:t>
      </w:r>
      <w:proofErr w:type="gramEnd"/>
      <w:r w:rsidRPr="00CA4E01">
        <w:rPr>
          <w:rFonts w:asciiTheme="minorHAnsi" w:hAnsiTheme="minorHAnsi" w:cstheme="minorHAnsi"/>
          <w:bCs/>
          <w:szCs w:val="24"/>
        </w:rPr>
        <w:t xml:space="preserve"> issues that pose significant challenges when dealing with such technologies</w:t>
      </w:r>
      <w:r w:rsidRPr="00CA4E01">
        <w:rPr>
          <w:rFonts w:asciiTheme="minorHAnsi" w:hAnsiTheme="minorHAnsi" w:cstheme="minorHAnsi"/>
          <w:bCs/>
          <w:szCs w:val="24"/>
          <w:lang w:val="nb-NO"/>
        </w:rPr>
        <w:t xml:space="preserve">, such as finding a way to reduce and master the number of vulnerabilities by ensuring security by design (as products continue to be vulnerable right from the design phase itself), enhancing confidence in products and services through their lifecycles by accreditation schemes, protocols and standards, and legitimate use of user generated data while protecting user privacy. </w:t>
      </w:r>
      <w:r w:rsidRPr="00CA4E01">
        <w:rPr>
          <w:rFonts w:asciiTheme="minorHAnsi" w:hAnsiTheme="minorHAnsi" w:cstheme="minorHAnsi"/>
          <w:bCs/>
          <w:szCs w:val="24"/>
        </w:rPr>
        <w:t xml:space="preserve">Standardization and periodic certification/accreditation processes could help reduce the number and impact of vulnerabilities by contributing towards developing a culture </w:t>
      </w:r>
      <w:r w:rsidRPr="00CA4E01">
        <w:rPr>
          <w:rFonts w:asciiTheme="minorHAnsi" w:hAnsiTheme="minorHAnsi" w:cstheme="minorHAnsi"/>
          <w:bCs/>
          <w:szCs w:val="24"/>
        </w:rPr>
        <w:lastRenderedPageBreak/>
        <w:t xml:space="preserve">of security by design, in turn building trust and confidence in such technologies. However, security standardization, </w:t>
      </w:r>
      <w:proofErr w:type="gramStart"/>
      <w:r w:rsidRPr="00CA4E01">
        <w:rPr>
          <w:rFonts w:asciiTheme="minorHAnsi" w:hAnsiTheme="minorHAnsi" w:cstheme="minorHAnsi"/>
          <w:bCs/>
          <w:szCs w:val="24"/>
        </w:rPr>
        <w:t>i.e.</w:t>
      </w:r>
      <w:proofErr w:type="gramEnd"/>
      <w:r w:rsidRPr="00CA4E01">
        <w:rPr>
          <w:rFonts w:asciiTheme="minorHAnsi" w:hAnsiTheme="minorHAnsi" w:cstheme="minorHAnsi"/>
          <w:bCs/>
          <w:szCs w:val="24"/>
        </w:rPr>
        <w:t xml:space="preserve"> developing technical and procedural measures for security, remains a moving target because this necessitates tech-advanced industry, tech-savvy regulators and capable enforcement bodies, where applicable</w:t>
      </w:r>
      <w:r w:rsidRPr="00CA4E01">
        <w:rPr>
          <w:rFonts w:asciiTheme="minorHAnsi" w:hAnsiTheme="minorHAnsi" w:cstheme="minorHAnsi"/>
          <w:bCs/>
          <w:szCs w:val="24"/>
          <w:lang w:val="nb-NO"/>
        </w:rPr>
        <w:t xml:space="preserve">. </w:t>
      </w:r>
    </w:p>
    <w:p w14:paraId="7C0692D2" w14:textId="77777777" w:rsidR="00CA4EDA" w:rsidRPr="00CA4E01" w:rsidRDefault="00CA4EDA" w:rsidP="00CA4E01">
      <w:pPr>
        <w:spacing w:after="120"/>
        <w:jc w:val="both"/>
        <w:rPr>
          <w:rFonts w:asciiTheme="minorHAnsi" w:hAnsiTheme="minorHAnsi" w:cstheme="minorHAnsi"/>
          <w:bCs/>
          <w:szCs w:val="24"/>
          <w:lang w:val="en-US"/>
        </w:rPr>
      </w:pPr>
      <w:r w:rsidRPr="00CA4E01">
        <w:rPr>
          <w:rFonts w:asciiTheme="minorHAnsi" w:hAnsiTheme="minorHAnsi" w:cstheme="minorHAnsi"/>
          <w:b/>
          <w:szCs w:val="24"/>
          <w:lang w:val="nb-NO"/>
        </w:rPr>
        <w:t>1.2</w:t>
      </w:r>
      <w:r w:rsidR="00B438D6" w:rsidRPr="00CA4E01">
        <w:rPr>
          <w:rFonts w:asciiTheme="minorHAnsi" w:hAnsiTheme="minorHAnsi" w:cstheme="minorHAnsi"/>
          <w:b/>
          <w:szCs w:val="24"/>
          <w:lang w:val="nb-NO"/>
        </w:rPr>
        <w:t>2</w:t>
      </w:r>
      <w:r w:rsidRPr="00CA4E01">
        <w:rPr>
          <w:rFonts w:asciiTheme="minorHAnsi" w:hAnsiTheme="minorHAnsi" w:cstheme="minorHAnsi"/>
          <w:bCs/>
          <w:szCs w:val="24"/>
          <w:lang w:val="nb-NO"/>
        </w:rPr>
        <w:tab/>
        <w:t xml:space="preserve">A number of national, regional and international organizations have been set up to tackle the issue of cybersecurity. Some examples of national and regional initiatives include AFRIPOL, AMERIPOL, GCCPOL, Oceania Cyber Security Centre (OCSC), Australian Cyber Security Centre (ACSC), European Cybercrime Center (EC3), </w:t>
      </w:r>
      <w:r w:rsidRPr="00CA4E01">
        <w:rPr>
          <w:rFonts w:asciiTheme="minorHAnsi" w:hAnsiTheme="minorHAnsi" w:cstheme="minorHAnsi"/>
          <w:bCs/>
          <w:szCs w:val="24"/>
          <w:lang w:val="en-US"/>
        </w:rPr>
        <w:t>Russian National Coordination Center on Computer Incidents,</w:t>
      </w:r>
      <w:r w:rsidRPr="00CA4E01">
        <w:rPr>
          <w:rFonts w:asciiTheme="minorHAnsi" w:hAnsiTheme="minorHAnsi" w:cstheme="minorHAnsi"/>
          <w:bCs/>
          <w:szCs w:val="24"/>
          <w:lang w:val="nb-NO"/>
        </w:rPr>
        <w:t xml:space="preserve"> and India’s Cybercrime Coordination Centre (I4C). </w:t>
      </w:r>
      <w:r w:rsidRPr="00CA4E01">
        <w:rPr>
          <w:rFonts w:asciiTheme="minorHAnsi" w:hAnsiTheme="minorHAnsi" w:cstheme="minorHAnsi"/>
          <w:bCs/>
          <w:szCs w:val="24"/>
          <w:lang w:val="en-US"/>
        </w:rPr>
        <w:t xml:space="preserve">In terms of international entities, recent efforts include the </w:t>
      </w:r>
      <w:r w:rsidRPr="00CA4E01">
        <w:rPr>
          <w:rFonts w:asciiTheme="minorHAnsi" w:hAnsiTheme="minorHAnsi" w:cstheme="minorHAnsi"/>
          <w:bCs/>
          <w:szCs w:val="24"/>
        </w:rPr>
        <w:t>Global Cyber Security Capacity Centre (GCSCC)</w:t>
      </w:r>
      <w:r w:rsidRPr="00CA4E01">
        <w:rPr>
          <w:rFonts w:asciiTheme="minorHAnsi" w:hAnsiTheme="minorHAnsi" w:cstheme="minorHAnsi"/>
          <w:bCs/>
          <w:szCs w:val="24"/>
          <w:lang w:val="en-US"/>
        </w:rPr>
        <w:t>, the Global Forum on Cyber Expertise (GFCE), the INTERPOL Global Complex for Innovation (IGCI), WEF Global Centre for Cybersecurity,</w:t>
      </w:r>
      <w:r w:rsidR="00BB7204" w:rsidRPr="00CA4E01">
        <w:rPr>
          <w:rFonts w:asciiTheme="minorHAnsi" w:hAnsiTheme="minorHAnsi" w:cstheme="minorHAnsi"/>
          <w:bCs/>
          <w:szCs w:val="24"/>
          <w:lang w:val="en-US"/>
        </w:rPr>
        <w:t xml:space="preserve"> the Cybersecurity Program of the Inter-American Committee against Terrorism (CICTE) of the Organization of American States (OAS),</w:t>
      </w:r>
      <w:r w:rsidR="003E2D2A" w:rsidRPr="00CA4E01">
        <w:rPr>
          <w:rFonts w:asciiTheme="minorHAnsi" w:hAnsiTheme="minorHAnsi" w:cstheme="minorHAnsi"/>
          <w:bCs/>
          <w:szCs w:val="24"/>
          <w:lang w:val="en-US"/>
        </w:rPr>
        <w:t xml:space="preserve"> Economic Community of West African States (ECOWAS), Southern African Development Community </w:t>
      </w:r>
      <w:r w:rsidR="00C54E13" w:rsidRPr="00CA4E01">
        <w:rPr>
          <w:rFonts w:asciiTheme="minorHAnsi" w:hAnsiTheme="minorHAnsi" w:cstheme="minorHAnsi"/>
          <w:bCs/>
          <w:szCs w:val="24"/>
          <w:lang w:val="en-US"/>
        </w:rPr>
        <w:t xml:space="preserve">(SADC) </w:t>
      </w:r>
      <w:r w:rsidRPr="00CA4E01">
        <w:rPr>
          <w:rFonts w:asciiTheme="minorHAnsi" w:hAnsiTheme="minorHAnsi" w:cstheme="minorHAnsi"/>
          <w:bCs/>
          <w:szCs w:val="24"/>
          <w:lang w:val="en-US"/>
        </w:rPr>
        <w:t>and others.</w:t>
      </w:r>
    </w:p>
    <w:p w14:paraId="233B8694"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1.2</w:t>
      </w:r>
      <w:r w:rsidR="00B438D6" w:rsidRPr="00CA4E01">
        <w:rPr>
          <w:rFonts w:asciiTheme="minorHAnsi" w:hAnsiTheme="minorHAnsi" w:cstheme="minorHAnsi"/>
          <w:b/>
          <w:bCs/>
          <w:szCs w:val="24"/>
        </w:rPr>
        <w:t>3</w:t>
      </w:r>
      <w:r w:rsidRPr="00CA4E01">
        <w:rPr>
          <w:rFonts w:asciiTheme="minorHAnsi" w:hAnsiTheme="minorHAnsi" w:cstheme="minorHAnsi"/>
          <w:szCs w:val="24"/>
        </w:rPr>
        <w:tab/>
        <w:t xml:space="preserve">Further, lack of skill and expertise in technical, legal, </w:t>
      </w:r>
      <w:proofErr w:type="gramStart"/>
      <w:r w:rsidRPr="00CA4E01">
        <w:rPr>
          <w:rFonts w:asciiTheme="minorHAnsi" w:hAnsiTheme="minorHAnsi" w:cstheme="minorHAnsi"/>
          <w:szCs w:val="24"/>
        </w:rPr>
        <w:t>organisational</w:t>
      </w:r>
      <w:proofErr w:type="gramEnd"/>
      <w:r w:rsidRPr="00CA4E01">
        <w:rPr>
          <w:rFonts w:asciiTheme="minorHAnsi" w:hAnsiTheme="minorHAnsi" w:cstheme="minorHAnsi"/>
          <w:szCs w:val="24"/>
        </w:rPr>
        <w:t xml:space="preserve"> and human dimensions of cybersecurity can also adversely affect vital national infrastructures. It is likely that many ICT end-users currently either may not fully understand cybersecurity issues or have the necessary skills or tools to best protect their data, privacy, and assets, with the more vulnerable users, including women and children, being particularly at risk. To build skills, competences, and measures that will contribute to achieving an effective cybersecurity culture remains a crucial challenge.</w:t>
      </w:r>
    </w:p>
    <w:p w14:paraId="3DA6966F" w14:textId="6858D9E6"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14" w:name="_Toc37331400"/>
      <w:r w:rsidRPr="00CA4E01">
        <w:rPr>
          <w:rFonts w:asciiTheme="minorHAnsi" w:hAnsiTheme="minorHAnsi" w:cstheme="minorHAnsi"/>
          <w:color w:val="365F91" w:themeColor="accent1" w:themeShade="BF"/>
          <w:szCs w:val="24"/>
        </w:rPr>
        <w:t xml:space="preserve">Continued </w:t>
      </w:r>
      <w:r w:rsidR="005A0575" w:rsidRPr="00CA4E01">
        <w:rPr>
          <w:rFonts w:asciiTheme="minorHAnsi" w:hAnsiTheme="minorHAnsi" w:cstheme="minorHAnsi"/>
          <w:color w:val="365F91" w:themeColor="accent1" w:themeShade="BF"/>
          <w:szCs w:val="24"/>
        </w:rPr>
        <w:t>R</w:t>
      </w:r>
      <w:r w:rsidRPr="00CA4E01">
        <w:rPr>
          <w:rFonts w:asciiTheme="minorHAnsi" w:hAnsiTheme="minorHAnsi" w:cstheme="minorHAnsi"/>
          <w:color w:val="365F91" w:themeColor="accent1" w:themeShade="BF"/>
          <w:szCs w:val="24"/>
        </w:rPr>
        <w:t xml:space="preserve">elevance and </w:t>
      </w:r>
      <w:r w:rsidR="005A0575" w:rsidRPr="00CA4E01">
        <w:rPr>
          <w:rFonts w:asciiTheme="minorHAnsi" w:hAnsiTheme="minorHAnsi" w:cstheme="minorHAnsi"/>
          <w:color w:val="365F91" w:themeColor="accent1" w:themeShade="BF"/>
          <w:szCs w:val="24"/>
        </w:rPr>
        <w:t>A</w:t>
      </w:r>
      <w:r w:rsidRPr="00CA4E01">
        <w:rPr>
          <w:rFonts w:asciiTheme="minorHAnsi" w:hAnsiTheme="minorHAnsi" w:cstheme="minorHAnsi"/>
          <w:color w:val="365F91" w:themeColor="accent1" w:themeShade="BF"/>
          <w:szCs w:val="24"/>
        </w:rPr>
        <w:t xml:space="preserve">pplicability of the GCA as a </w:t>
      </w:r>
      <w:r w:rsidR="005A0575" w:rsidRPr="00CA4E01">
        <w:rPr>
          <w:rFonts w:asciiTheme="minorHAnsi" w:hAnsiTheme="minorHAnsi" w:cstheme="minorHAnsi"/>
          <w:color w:val="365F91" w:themeColor="accent1" w:themeShade="BF"/>
          <w:szCs w:val="24"/>
        </w:rPr>
        <w:t>G</w:t>
      </w:r>
      <w:r w:rsidRPr="00CA4E01">
        <w:rPr>
          <w:rFonts w:asciiTheme="minorHAnsi" w:hAnsiTheme="minorHAnsi" w:cstheme="minorHAnsi"/>
          <w:color w:val="365F91" w:themeColor="accent1" w:themeShade="BF"/>
          <w:szCs w:val="24"/>
        </w:rPr>
        <w:t xml:space="preserve">lobal </w:t>
      </w:r>
      <w:r w:rsidR="005A0575" w:rsidRPr="00CA4E01">
        <w:rPr>
          <w:rFonts w:asciiTheme="minorHAnsi" w:hAnsiTheme="minorHAnsi" w:cstheme="minorHAnsi"/>
          <w:color w:val="365F91" w:themeColor="accent1" w:themeShade="BF"/>
          <w:szCs w:val="24"/>
        </w:rPr>
        <w:t>F</w:t>
      </w:r>
      <w:r w:rsidRPr="00CA4E01">
        <w:rPr>
          <w:rFonts w:asciiTheme="minorHAnsi" w:hAnsiTheme="minorHAnsi" w:cstheme="minorHAnsi"/>
          <w:color w:val="365F91" w:themeColor="accent1" w:themeShade="BF"/>
          <w:szCs w:val="24"/>
        </w:rPr>
        <w:t xml:space="preserve">ramework for </w:t>
      </w:r>
      <w:r w:rsidR="005A0575" w:rsidRPr="00CA4E01">
        <w:rPr>
          <w:rFonts w:asciiTheme="minorHAnsi" w:hAnsiTheme="minorHAnsi" w:cstheme="minorHAnsi"/>
          <w:color w:val="365F91" w:themeColor="accent1" w:themeShade="BF"/>
          <w:szCs w:val="24"/>
        </w:rPr>
        <w:t>A</w:t>
      </w:r>
      <w:r w:rsidRPr="00CA4E01">
        <w:rPr>
          <w:rFonts w:asciiTheme="minorHAnsi" w:hAnsiTheme="minorHAnsi" w:cstheme="minorHAnsi"/>
          <w:color w:val="365F91" w:themeColor="accent1" w:themeShade="BF"/>
          <w:szCs w:val="24"/>
        </w:rPr>
        <w:t>ction</w:t>
      </w:r>
      <w:bookmarkEnd w:id="14"/>
    </w:p>
    <w:p w14:paraId="3AE602C8"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1.2</w:t>
      </w:r>
      <w:r w:rsidR="00B438D6" w:rsidRPr="00CA4E01">
        <w:rPr>
          <w:rFonts w:asciiTheme="minorHAnsi" w:hAnsiTheme="minorHAnsi" w:cstheme="minorHAnsi"/>
          <w:b/>
          <w:bCs/>
          <w:szCs w:val="24"/>
        </w:rPr>
        <w:t>4</w:t>
      </w:r>
      <w:r w:rsidRPr="00CA4E01">
        <w:rPr>
          <w:rFonts w:asciiTheme="minorHAnsi" w:hAnsiTheme="minorHAnsi" w:cstheme="minorHAnsi"/>
          <w:szCs w:val="24"/>
        </w:rPr>
        <w:tab/>
        <w:t xml:space="preserve">Activities implemented utilizing the GCA framework have been evolving, </w:t>
      </w:r>
      <w:proofErr w:type="gramStart"/>
      <w:r w:rsidRPr="00CA4E01">
        <w:rPr>
          <w:rFonts w:asciiTheme="minorHAnsi" w:hAnsiTheme="minorHAnsi" w:cstheme="minorHAnsi"/>
          <w:szCs w:val="24"/>
        </w:rPr>
        <w:t>taking into account</w:t>
      </w:r>
      <w:proofErr w:type="gramEnd"/>
      <w:r w:rsidRPr="00CA4E01">
        <w:rPr>
          <w:rFonts w:asciiTheme="minorHAnsi" w:hAnsiTheme="minorHAnsi" w:cstheme="minorHAnsi"/>
          <w:szCs w:val="24"/>
        </w:rPr>
        <w:t xml:space="preserve"> the changing ICT landscape, including those undertaken by ITU within its mandate and pursuant to its role as the facilitator for WSIS Action Line C5. </w:t>
      </w:r>
    </w:p>
    <w:p w14:paraId="2505800F"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1.2</w:t>
      </w:r>
      <w:r w:rsidR="00B438D6" w:rsidRPr="00CA4E01">
        <w:rPr>
          <w:rFonts w:asciiTheme="minorHAnsi" w:hAnsiTheme="minorHAnsi" w:cstheme="minorHAnsi"/>
          <w:b/>
          <w:bCs/>
          <w:szCs w:val="24"/>
        </w:rPr>
        <w:t>5</w:t>
      </w:r>
      <w:r w:rsidRPr="00CA4E01">
        <w:rPr>
          <w:rFonts w:asciiTheme="minorHAnsi" w:hAnsiTheme="minorHAnsi" w:cstheme="minorHAnsi"/>
          <w:szCs w:val="24"/>
        </w:rPr>
        <w:tab/>
        <w:t xml:space="preserve">The GCA has well served ITU’s efforts in building confidence and security in the use of ICTs. As a framework, it is applicable across the global, </w:t>
      </w:r>
      <w:proofErr w:type="gramStart"/>
      <w:r w:rsidRPr="00CA4E01">
        <w:rPr>
          <w:rFonts w:asciiTheme="minorHAnsi" w:hAnsiTheme="minorHAnsi" w:cstheme="minorHAnsi"/>
          <w:szCs w:val="24"/>
        </w:rPr>
        <w:t>regional</w:t>
      </w:r>
      <w:proofErr w:type="gramEnd"/>
      <w:r w:rsidRPr="00CA4E01">
        <w:rPr>
          <w:rFonts w:asciiTheme="minorHAnsi" w:hAnsiTheme="minorHAnsi" w:cstheme="minorHAnsi"/>
          <w:szCs w:val="24"/>
        </w:rPr>
        <w:t xml:space="preserve"> and national levels, and should continue to be implemented as such. Within its mandate, guided by the GCA framework, ITU has been working to bring different stakeholders together to collaborate on a number of initiatives, including assisting Member States </w:t>
      </w:r>
      <w:proofErr w:type="gramStart"/>
      <w:r w:rsidRPr="00CA4E01">
        <w:rPr>
          <w:rFonts w:asciiTheme="minorHAnsi" w:hAnsiTheme="minorHAnsi" w:cstheme="minorHAnsi"/>
          <w:szCs w:val="24"/>
        </w:rPr>
        <w:t>with:</w:t>
      </w:r>
      <w:proofErr w:type="gramEnd"/>
      <w:r w:rsidR="00751DDD" w:rsidRPr="00CA4E01">
        <w:rPr>
          <w:rFonts w:asciiTheme="minorHAnsi" w:hAnsiTheme="minorHAnsi" w:cstheme="minorHAnsi"/>
          <w:szCs w:val="24"/>
        </w:rPr>
        <w:t xml:space="preserve"> </w:t>
      </w:r>
      <w:r w:rsidRPr="00CA4E01">
        <w:rPr>
          <w:rFonts w:asciiTheme="minorHAnsi" w:hAnsiTheme="minorHAnsi" w:cstheme="minorHAnsi"/>
          <w:szCs w:val="24"/>
        </w:rPr>
        <w:t>defining their national cybersecurity strategy, fortifying their infrastructure by developing and implementing international security standards, setting up computer incident response teams, deploying initiatives to protect children online, and building the necessary human capacity and skills. Various multi-stakeholder initiatives, such as the one on Child Online Protection, have been launched under the GCA framework.</w:t>
      </w:r>
      <w:r w:rsidRPr="00CA4E01">
        <w:rPr>
          <w:rStyle w:val="FootnoteReference"/>
          <w:rFonts w:asciiTheme="minorHAnsi" w:hAnsiTheme="minorHAnsi" w:cstheme="minorHAnsi"/>
          <w:sz w:val="24"/>
          <w:szCs w:val="24"/>
          <w:vertAlign w:val="superscript"/>
        </w:rPr>
        <w:footnoteReference w:id="14"/>
      </w:r>
    </w:p>
    <w:p w14:paraId="5F0E8B46" w14:textId="70FBD04F"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1.2</w:t>
      </w:r>
      <w:r w:rsidR="00A93652" w:rsidRPr="00CA4E01">
        <w:rPr>
          <w:rFonts w:asciiTheme="minorHAnsi" w:hAnsiTheme="minorHAnsi" w:cstheme="minorHAnsi"/>
          <w:b/>
          <w:bCs/>
          <w:szCs w:val="24"/>
        </w:rPr>
        <w:t>6</w:t>
      </w:r>
      <w:r w:rsidRPr="00CA4E01">
        <w:rPr>
          <w:rFonts w:asciiTheme="minorHAnsi" w:hAnsiTheme="minorHAnsi" w:cstheme="minorHAnsi"/>
          <w:b/>
          <w:bCs/>
          <w:szCs w:val="24"/>
        </w:rPr>
        <w:tab/>
      </w:r>
      <w:r w:rsidRPr="00CA4E01">
        <w:rPr>
          <w:rFonts w:asciiTheme="minorHAnsi" w:hAnsiTheme="minorHAnsi" w:cstheme="minorHAnsi"/>
          <w:szCs w:val="24"/>
        </w:rPr>
        <w:t xml:space="preserve">In order to strengthen efforts towards utilization of the GCA, further guidance is offered in the subsequent sections. In developing this guidance, recommendations of the HLEG Report 2008, the activities of ITU since then, developments in the field since 2008, and </w:t>
      </w:r>
      <w:hyperlink r:id="rId24" w:history="1">
        <w:r w:rsidRPr="00CA4E01">
          <w:rPr>
            <w:rStyle w:val="Hyperlink"/>
            <w:rFonts w:asciiTheme="minorHAnsi" w:hAnsiTheme="minorHAnsi" w:cstheme="minorHAnsi"/>
            <w:szCs w:val="24"/>
          </w:rPr>
          <w:t>inputs received from Member States</w:t>
        </w:r>
      </w:hyperlink>
      <w:r w:rsidR="006B7028" w:rsidRPr="009A35D8">
        <w:rPr>
          <w:rStyle w:val="Hyperlink"/>
          <w:rFonts w:asciiTheme="minorHAnsi" w:hAnsiTheme="minorHAnsi"/>
        </w:rPr>
        <w:t xml:space="preserve"> </w:t>
      </w:r>
      <w:r w:rsidR="006B7028">
        <w:rPr>
          <w:rStyle w:val="Hyperlink"/>
          <w:rFonts w:asciiTheme="minorHAnsi" w:hAnsiTheme="minorHAnsi" w:cstheme="minorHAnsi"/>
          <w:szCs w:val="24"/>
        </w:rPr>
        <w:t>and other stakeholders</w:t>
      </w:r>
      <w:r w:rsidRPr="00CA4E01">
        <w:rPr>
          <w:rFonts w:asciiTheme="minorHAnsi" w:hAnsiTheme="minorHAnsi" w:cstheme="minorHAnsi"/>
          <w:szCs w:val="24"/>
        </w:rPr>
        <w:t xml:space="preserve"> </w:t>
      </w:r>
      <w:r w:rsidRPr="00CA4E01">
        <w:rPr>
          <w:rFonts w:asciiTheme="minorHAnsi" w:hAnsiTheme="minorHAnsi" w:cstheme="minorHAnsi"/>
          <w:szCs w:val="24"/>
        </w:rPr>
        <w:t xml:space="preserve">(pursuant to </w:t>
      </w:r>
      <w:r w:rsidR="009942A1" w:rsidRPr="00CA4E01">
        <w:rPr>
          <w:rFonts w:asciiTheme="minorHAnsi" w:hAnsiTheme="minorHAnsi" w:cstheme="minorHAnsi"/>
          <w:szCs w:val="24"/>
        </w:rPr>
        <w:t>Circular Letters (</w:t>
      </w:r>
      <w:hyperlink r:id="rId25" w:history="1">
        <w:r w:rsidR="009942A1" w:rsidRPr="00CA4E01">
          <w:rPr>
            <w:rStyle w:val="Hyperlink"/>
            <w:rFonts w:asciiTheme="minorHAnsi" w:hAnsiTheme="minorHAnsi" w:cstheme="minorHAnsi"/>
            <w:szCs w:val="24"/>
          </w:rPr>
          <w:t>CL-20/18</w:t>
        </w:r>
      </w:hyperlink>
      <w:r w:rsidR="009942A1" w:rsidRPr="00CA4E01">
        <w:rPr>
          <w:rFonts w:asciiTheme="minorHAnsi" w:hAnsiTheme="minorHAnsi" w:cstheme="minorHAnsi"/>
          <w:szCs w:val="24"/>
        </w:rPr>
        <w:t xml:space="preserve"> &amp; </w:t>
      </w:r>
      <w:hyperlink r:id="rId26" w:history="1">
        <w:r w:rsidR="009942A1" w:rsidRPr="00CA4E01">
          <w:rPr>
            <w:rStyle w:val="Hyperlink"/>
            <w:rFonts w:asciiTheme="minorHAnsi" w:hAnsiTheme="minorHAnsi" w:cstheme="minorHAnsi"/>
            <w:szCs w:val="24"/>
          </w:rPr>
          <w:t>CL-20/55</w:t>
        </w:r>
      </w:hyperlink>
      <w:r w:rsidRPr="00CA4E01">
        <w:rPr>
          <w:rFonts w:asciiTheme="minorHAnsi" w:hAnsiTheme="minorHAnsi" w:cstheme="minorHAnsi"/>
          <w:szCs w:val="24"/>
        </w:rPr>
        <w:t xml:space="preserve">) have been taken into account. </w:t>
      </w:r>
    </w:p>
    <w:p w14:paraId="4C01F5BD"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lastRenderedPageBreak/>
        <w:t>1.</w:t>
      </w:r>
      <w:r w:rsidR="001329BF" w:rsidRPr="00CA4E01">
        <w:rPr>
          <w:rFonts w:asciiTheme="minorHAnsi" w:hAnsiTheme="minorHAnsi" w:cstheme="minorHAnsi"/>
          <w:b/>
          <w:bCs/>
          <w:szCs w:val="24"/>
        </w:rPr>
        <w:t>2</w:t>
      </w:r>
      <w:r w:rsidR="00A93652" w:rsidRPr="00CA4E01">
        <w:rPr>
          <w:rFonts w:asciiTheme="minorHAnsi" w:hAnsiTheme="minorHAnsi" w:cstheme="minorHAnsi"/>
          <w:b/>
          <w:bCs/>
          <w:szCs w:val="24"/>
        </w:rPr>
        <w:t>7</w:t>
      </w:r>
      <w:r w:rsidRPr="00CA4E01">
        <w:rPr>
          <w:rFonts w:asciiTheme="minorHAnsi" w:hAnsiTheme="minorHAnsi" w:cstheme="minorHAnsi"/>
          <w:szCs w:val="24"/>
        </w:rPr>
        <w:tab/>
        <w:t>While recognizing the mutual inter-dependence of the five Pillars, each section addresses a specific GCA pillar and proposes specific guidelines for its utilization. Section 2 focuses on Legal Measures. Section 3 covers Technical and Procedural Measures. Section 4 addresses Capacity Building. Section 5 is on Organizational Structures and Section 6 covers International Cooperation. Section 7 contains some general cross-cutting guidelines for use of the GCA framework.</w:t>
      </w:r>
    </w:p>
    <w:p w14:paraId="00777422" w14:textId="77777777" w:rsidR="00CA4EDA" w:rsidRPr="00CA4E01" w:rsidRDefault="00CA4EDA" w:rsidP="00D2656A">
      <w:pPr>
        <w:pStyle w:val="Heading1"/>
        <w:spacing w:before="600" w:after="120"/>
        <w:rPr>
          <w:rFonts w:asciiTheme="minorHAnsi" w:hAnsiTheme="minorHAnsi" w:cstheme="minorHAnsi"/>
          <w:color w:val="365F91" w:themeColor="accent1" w:themeShade="BF"/>
          <w:sz w:val="24"/>
          <w:szCs w:val="24"/>
        </w:rPr>
      </w:pPr>
      <w:bookmarkStart w:id="15" w:name="_Toc37331401"/>
      <w:r w:rsidRPr="00CA4E01">
        <w:rPr>
          <w:rFonts w:asciiTheme="minorHAnsi" w:hAnsiTheme="minorHAnsi" w:cstheme="minorHAnsi"/>
          <w:color w:val="365F91" w:themeColor="accent1" w:themeShade="BF"/>
          <w:sz w:val="24"/>
          <w:szCs w:val="24"/>
        </w:rPr>
        <w:t>Section 2</w:t>
      </w:r>
      <w:r w:rsidRPr="00CA4E01">
        <w:rPr>
          <w:rFonts w:asciiTheme="minorHAnsi" w:hAnsiTheme="minorHAnsi" w:cstheme="minorHAnsi"/>
          <w:color w:val="365F91" w:themeColor="accent1" w:themeShade="BF"/>
          <w:sz w:val="24"/>
          <w:szCs w:val="24"/>
        </w:rPr>
        <w:tab/>
        <w:t>Pillar 1: Legal Measures</w:t>
      </w:r>
      <w:bookmarkEnd w:id="15"/>
    </w:p>
    <w:p w14:paraId="2E0B6E02" w14:textId="77777777"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16" w:name="_Toc37331402"/>
      <w:r w:rsidRPr="00CA4E01">
        <w:rPr>
          <w:rFonts w:asciiTheme="minorHAnsi" w:hAnsiTheme="minorHAnsi" w:cstheme="minorHAnsi"/>
          <w:color w:val="365F91" w:themeColor="accent1" w:themeShade="BF"/>
          <w:szCs w:val="24"/>
        </w:rPr>
        <w:t>Introduction</w:t>
      </w:r>
      <w:bookmarkEnd w:id="16"/>
    </w:p>
    <w:p w14:paraId="07880267"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2.1</w:t>
      </w:r>
      <w:r w:rsidRPr="00CA4E01">
        <w:rPr>
          <w:rFonts w:asciiTheme="minorHAnsi" w:hAnsiTheme="minorHAnsi" w:cstheme="minorHAnsi"/>
          <w:szCs w:val="24"/>
        </w:rPr>
        <w:tab/>
        <w:t xml:space="preserve">The legal dimension of cybersecurity is </w:t>
      </w:r>
      <w:r w:rsidR="00F462D9" w:rsidRPr="00CA4E01">
        <w:rPr>
          <w:rFonts w:asciiTheme="minorHAnsi" w:hAnsiTheme="minorHAnsi" w:cstheme="minorHAnsi"/>
          <w:szCs w:val="24"/>
        </w:rPr>
        <w:t xml:space="preserve">one of the </w:t>
      </w:r>
      <w:r w:rsidRPr="00CA4E01">
        <w:rPr>
          <w:rFonts w:asciiTheme="minorHAnsi" w:hAnsiTheme="minorHAnsi" w:cstheme="minorHAnsi"/>
          <w:szCs w:val="24"/>
        </w:rPr>
        <w:t xml:space="preserve">key </w:t>
      </w:r>
      <w:r w:rsidR="00F462D9" w:rsidRPr="00CA4E01">
        <w:rPr>
          <w:rFonts w:asciiTheme="minorHAnsi" w:hAnsiTheme="minorHAnsi" w:cstheme="minorHAnsi"/>
          <w:szCs w:val="24"/>
        </w:rPr>
        <w:t xml:space="preserve">factors for facilitating </w:t>
      </w:r>
      <w:r w:rsidRPr="00CA4E01">
        <w:rPr>
          <w:rFonts w:asciiTheme="minorHAnsi" w:hAnsiTheme="minorHAnsi" w:cstheme="minorHAnsi"/>
          <w:szCs w:val="24"/>
        </w:rPr>
        <w:t>trust in the use of ICTs.</w:t>
      </w:r>
    </w:p>
    <w:p w14:paraId="07D0E481" w14:textId="2282A196"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2.2</w:t>
      </w:r>
      <w:r w:rsidRPr="00CA4E01">
        <w:rPr>
          <w:rFonts w:asciiTheme="minorHAnsi" w:hAnsiTheme="minorHAnsi" w:cstheme="minorHAnsi"/>
          <w:szCs w:val="24"/>
        </w:rPr>
        <w:tab/>
        <w:t xml:space="preserve">The HLEG Report 2008 stated that Pillar 1 of the GCA sought to promote cooperation and provide strategic advice to the ITU Secretary-General on legislative responses to address evolving legal issues in cybersecurity, including </w:t>
      </w:r>
      <w:r w:rsidRPr="00CA4E01">
        <w:rPr>
          <w:rFonts w:asciiTheme="minorHAnsi" w:hAnsiTheme="minorHAnsi" w:cstheme="minorHAnsi"/>
          <w:szCs w:val="24"/>
          <w:lang w:val="nb-NO"/>
        </w:rPr>
        <w:t xml:space="preserve">how criminal activities committed over ICTs could be dealt with through legislation in an internationally compatible manner. </w:t>
      </w:r>
      <w:r w:rsidRPr="00CA4E01">
        <w:rPr>
          <w:rFonts w:asciiTheme="minorHAnsi" w:hAnsiTheme="minorHAnsi" w:cstheme="minorHAnsi"/>
          <w:szCs w:val="24"/>
        </w:rPr>
        <w:t xml:space="preserve">The discussions noted that ITU could elaborate strategies for the development of model cybercrime legislation as guidelines. The Report </w:t>
      </w:r>
      <w:r w:rsidR="00860A6F" w:rsidRPr="00CA4E01">
        <w:rPr>
          <w:rFonts w:asciiTheme="minorHAnsi" w:hAnsiTheme="minorHAnsi" w:cstheme="minorHAnsi"/>
          <w:szCs w:val="24"/>
        </w:rPr>
        <w:t xml:space="preserve">also </w:t>
      </w:r>
      <w:r w:rsidRPr="00CA4E01">
        <w:rPr>
          <w:rFonts w:asciiTheme="minorHAnsi" w:hAnsiTheme="minorHAnsi" w:cstheme="minorHAnsi"/>
          <w:szCs w:val="24"/>
        </w:rPr>
        <w:t>recommended relevant regional initiatives as references</w:t>
      </w:r>
      <w:r w:rsidR="00860A6F" w:rsidRPr="00CA4E01">
        <w:rPr>
          <w:rFonts w:asciiTheme="minorHAnsi" w:hAnsiTheme="minorHAnsi" w:cstheme="minorHAnsi"/>
          <w:szCs w:val="24"/>
        </w:rPr>
        <w:t>.</w:t>
      </w:r>
    </w:p>
    <w:p w14:paraId="73DAD1BC" w14:textId="6F551655" w:rsidR="00CA4EDA" w:rsidRPr="00CA4E01" w:rsidRDefault="00CA4EDA" w:rsidP="003C12C1">
      <w:pPr>
        <w:pStyle w:val="Heading2"/>
        <w:spacing w:before="240" w:after="120"/>
        <w:rPr>
          <w:rFonts w:asciiTheme="minorHAnsi" w:hAnsiTheme="minorHAnsi" w:cstheme="minorHAnsi"/>
          <w:color w:val="365F91" w:themeColor="accent1" w:themeShade="BF"/>
          <w:szCs w:val="24"/>
          <w:lang w:val="en-US"/>
        </w:rPr>
      </w:pPr>
      <w:bookmarkStart w:id="17" w:name="_Toc37331403"/>
      <w:r w:rsidRPr="00CA4E01">
        <w:rPr>
          <w:rFonts w:asciiTheme="minorHAnsi" w:hAnsiTheme="minorHAnsi" w:cstheme="minorHAnsi"/>
          <w:color w:val="365F91" w:themeColor="accent1" w:themeShade="BF"/>
          <w:szCs w:val="24"/>
          <w:lang w:val="en-US"/>
        </w:rPr>
        <w:t xml:space="preserve">Evolution of the </w:t>
      </w:r>
      <w:r w:rsidR="005A0575" w:rsidRPr="00CA4E01">
        <w:rPr>
          <w:rFonts w:asciiTheme="minorHAnsi" w:hAnsiTheme="minorHAnsi" w:cstheme="minorHAnsi"/>
          <w:color w:val="365F91" w:themeColor="accent1" w:themeShade="BF"/>
          <w:szCs w:val="24"/>
          <w:lang w:val="en-US"/>
        </w:rPr>
        <w:t>L</w:t>
      </w:r>
      <w:r w:rsidRPr="00CA4E01">
        <w:rPr>
          <w:rFonts w:asciiTheme="minorHAnsi" w:hAnsiTheme="minorHAnsi" w:cstheme="minorHAnsi"/>
          <w:color w:val="365F91" w:themeColor="accent1" w:themeShade="BF"/>
          <w:szCs w:val="24"/>
          <w:lang w:val="en-US"/>
        </w:rPr>
        <w:t xml:space="preserve">egal </w:t>
      </w:r>
      <w:r w:rsidR="005A0575" w:rsidRPr="00CA4E01">
        <w:rPr>
          <w:rFonts w:asciiTheme="minorHAnsi" w:hAnsiTheme="minorHAnsi" w:cstheme="minorHAnsi"/>
          <w:color w:val="365F91" w:themeColor="accent1" w:themeShade="BF"/>
          <w:szCs w:val="24"/>
          <w:lang w:val="en-US"/>
        </w:rPr>
        <w:t>L</w:t>
      </w:r>
      <w:r w:rsidRPr="00CA4E01">
        <w:rPr>
          <w:rFonts w:asciiTheme="minorHAnsi" w:hAnsiTheme="minorHAnsi" w:cstheme="minorHAnsi"/>
          <w:color w:val="365F91" w:themeColor="accent1" w:themeShade="BF"/>
          <w:szCs w:val="24"/>
          <w:lang w:val="en-US"/>
        </w:rPr>
        <w:t>andscape since 2008</w:t>
      </w:r>
      <w:bookmarkEnd w:id="17"/>
    </w:p>
    <w:p w14:paraId="2CAD0994" w14:textId="087DBB02" w:rsidR="00CA4EDA" w:rsidRPr="00CA4E01" w:rsidRDefault="00CA4EDA" w:rsidP="00CA4E01">
      <w:pPr>
        <w:spacing w:after="120"/>
        <w:jc w:val="both"/>
        <w:rPr>
          <w:rFonts w:asciiTheme="minorHAnsi" w:hAnsiTheme="minorHAnsi" w:cstheme="minorHAnsi"/>
          <w:bCs/>
          <w:szCs w:val="24"/>
          <w:lang w:val="en-US"/>
        </w:rPr>
      </w:pPr>
      <w:r w:rsidRPr="00CA4E01">
        <w:rPr>
          <w:rFonts w:asciiTheme="minorHAnsi" w:hAnsiTheme="minorHAnsi" w:cstheme="minorHAnsi"/>
          <w:b/>
          <w:bCs/>
          <w:szCs w:val="24"/>
        </w:rPr>
        <w:t>2.3</w:t>
      </w:r>
      <w:r w:rsidRPr="00CA4E01">
        <w:rPr>
          <w:rFonts w:asciiTheme="minorHAnsi" w:hAnsiTheme="minorHAnsi" w:cstheme="minorHAnsi"/>
          <w:b/>
          <w:bCs/>
          <w:szCs w:val="24"/>
        </w:rPr>
        <w:tab/>
      </w:r>
      <w:r w:rsidRPr="00CA4E01">
        <w:rPr>
          <w:rFonts w:asciiTheme="minorHAnsi" w:hAnsiTheme="minorHAnsi" w:cstheme="minorHAnsi"/>
          <w:szCs w:val="24"/>
        </w:rPr>
        <w:t>Regional organizations</w:t>
      </w:r>
      <w:r w:rsidRPr="00CA4E01">
        <w:rPr>
          <w:rFonts w:asciiTheme="minorHAnsi" w:hAnsiTheme="minorHAnsi" w:cstheme="minorHAnsi"/>
          <w:bCs/>
          <w:szCs w:val="24"/>
        </w:rPr>
        <w:t xml:space="preserve"> have developed numerous conventions, declarations, agreements, and guidelines after 2008 on cybersecurity. </w:t>
      </w:r>
      <w:r w:rsidRPr="00CA4E01">
        <w:rPr>
          <w:rFonts w:asciiTheme="minorHAnsi" w:hAnsiTheme="minorHAnsi" w:cstheme="minorHAnsi"/>
          <w:szCs w:val="24"/>
        </w:rPr>
        <w:t xml:space="preserve">As mentioned above, </w:t>
      </w:r>
      <w:r w:rsidR="00211320" w:rsidRPr="00CA4E01">
        <w:rPr>
          <w:rFonts w:asciiTheme="minorHAnsi" w:hAnsiTheme="minorHAnsi" w:cstheme="minorHAnsi"/>
          <w:szCs w:val="24"/>
        </w:rPr>
        <w:t>many</w:t>
      </w:r>
      <w:r w:rsidRPr="00CA4E01">
        <w:rPr>
          <w:rFonts w:asciiTheme="minorHAnsi" w:hAnsiTheme="minorHAnsi" w:cstheme="minorHAnsi"/>
          <w:szCs w:val="24"/>
        </w:rPr>
        <w:t xml:space="preserve"> countries</w:t>
      </w:r>
      <w:r w:rsidRPr="00CA4E01">
        <w:rPr>
          <w:rFonts w:asciiTheme="minorHAnsi" w:hAnsiTheme="minorHAnsi" w:cstheme="minorHAnsi"/>
          <w:bCs/>
          <w:szCs w:val="24"/>
        </w:rPr>
        <w:t xml:space="preserve"> have signed and/or ratified different cybersecurity and cybercrime conventions, declarations, guidelines, or agreements, which has resulted in fragmentation and diversity at the international level. </w:t>
      </w:r>
    </w:p>
    <w:p w14:paraId="055540C5" w14:textId="327DEF7A" w:rsidR="00556C16" w:rsidRPr="00CA4E01" w:rsidRDefault="00CA4EDA"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2.4</w:t>
      </w:r>
      <w:r w:rsidRPr="00CA4E01">
        <w:rPr>
          <w:rFonts w:asciiTheme="minorHAnsi" w:hAnsiTheme="minorHAnsi" w:cstheme="minorHAnsi"/>
          <w:szCs w:val="24"/>
        </w:rPr>
        <w:tab/>
      </w:r>
      <w:r w:rsidR="00556C16" w:rsidRPr="00CA4E01">
        <w:rPr>
          <w:rFonts w:asciiTheme="minorHAnsi" w:hAnsiTheme="minorHAnsi" w:cstheme="minorHAnsi"/>
          <w:szCs w:val="24"/>
        </w:rPr>
        <w:t>Within the UN system, as mentioned previous</w:t>
      </w:r>
      <w:r w:rsidR="002811DE" w:rsidRPr="00CA4E01">
        <w:rPr>
          <w:rFonts w:asciiTheme="minorHAnsi" w:hAnsiTheme="minorHAnsi" w:cstheme="minorHAnsi"/>
          <w:szCs w:val="24"/>
        </w:rPr>
        <w:t>ly</w:t>
      </w:r>
      <w:r w:rsidR="00556C16" w:rsidRPr="00CA4E01">
        <w:rPr>
          <w:rFonts w:asciiTheme="minorHAnsi" w:hAnsiTheme="minorHAnsi" w:cstheme="minorHAnsi"/>
          <w:szCs w:val="24"/>
        </w:rPr>
        <w:t xml:space="preserve"> </w:t>
      </w:r>
      <w:r w:rsidR="002811DE" w:rsidRPr="00CA4E01">
        <w:rPr>
          <w:rFonts w:asciiTheme="minorHAnsi" w:hAnsiTheme="minorHAnsi" w:cstheme="minorHAnsi"/>
          <w:szCs w:val="24"/>
        </w:rPr>
        <w:t>in S</w:t>
      </w:r>
      <w:r w:rsidR="00556C16" w:rsidRPr="00CA4E01">
        <w:rPr>
          <w:rFonts w:asciiTheme="minorHAnsi" w:hAnsiTheme="minorHAnsi" w:cstheme="minorHAnsi"/>
          <w:szCs w:val="24"/>
        </w:rPr>
        <w:t>ection</w:t>
      </w:r>
      <w:r w:rsidR="002811DE" w:rsidRPr="00CA4E01">
        <w:rPr>
          <w:rFonts w:asciiTheme="minorHAnsi" w:hAnsiTheme="minorHAnsi" w:cstheme="minorHAnsi"/>
          <w:szCs w:val="24"/>
        </w:rPr>
        <w:t xml:space="preserve"> 1</w:t>
      </w:r>
      <w:r w:rsidR="00556C16" w:rsidRPr="00CA4E01">
        <w:rPr>
          <w:rFonts w:asciiTheme="minorHAnsi" w:hAnsiTheme="minorHAnsi" w:cstheme="minorHAnsi"/>
          <w:szCs w:val="24"/>
        </w:rPr>
        <w:t xml:space="preserve">, the UN General Assembly also established </w:t>
      </w:r>
      <w:r w:rsidR="004B2603" w:rsidRPr="00CA4E01">
        <w:rPr>
          <w:rFonts w:asciiTheme="minorHAnsi" w:hAnsiTheme="minorHAnsi" w:cstheme="minorHAnsi"/>
          <w:szCs w:val="24"/>
        </w:rPr>
        <w:t xml:space="preserve">two processes to discuss the issue of security in the use of ICTs - </w:t>
      </w:r>
      <w:r w:rsidR="00556C16" w:rsidRPr="00CA4E01">
        <w:rPr>
          <w:rFonts w:asciiTheme="minorHAnsi" w:hAnsiTheme="minorHAnsi" w:cstheme="minorHAnsi"/>
          <w:szCs w:val="24"/>
        </w:rPr>
        <w:t xml:space="preserve">the </w:t>
      </w:r>
      <w:r w:rsidR="00E5215E" w:rsidRPr="00CA4E01">
        <w:rPr>
          <w:rFonts w:asciiTheme="minorHAnsi" w:hAnsiTheme="minorHAnsi" w:cstheme="minorHAnsi"/>
          <w:szCs w:val="24"/>
        </w:rPr>
        <w:t>Group of Governmental Experts (</w:t>
      </w:r>
      <w:r w:rsidR="00556C16" w:rsidRPr="00CA4E01">
        <w:rPr>
          <w:rFonts w:asciiTheme="minorHAnsi" w:hAnsiTheme="minorHAnsi" w:cstheme="minorHAnsi"/>
          <w:szCs w:val="24"/>
        </w:rPr>
        <w:t>GGE</w:t>
      </w:r>
      <w:r w:rsidR="00E5215E" w:rsidRPr="00CA4E01">
        <w:rPr>
          <w:rFonts w:asciiTheme="minorHAnsi" w:hAnsiTheme="minorHAnsi" w:cstheme="minorHAnsi"/>
          <w:szCs w:val="24"/>
        </w:rPr>
        <w:t xml:space="preserve">) </w:t>
      </w:r>
      <w:r w:rsidR="00556C16" w:rsidRPr="00CA4E01">
        <w:rPr>
          <w:rFonts w:asciiTheme="minorHAnsi" w:hAnsiTheme="minorHAnsi" w:cstheme="minorHAnsi"/>
          <w:szCs w:val="24"/>
        </w:rPr>
        <w:t xml:space="preserve">and </w:t>
      </w:r>
      <w:r w:rsidR="00FA1AE5" w:rsidRPr="00CA4E01">
        <w:rPr>
          <w:rFonts w:asciiTheme="minorHAnsi" w:hAnsiTheme="minorHAnsi" w:cstheme="minorHAnsi"/>
          <w:szCs w:val="24"/>
        </w:rPr>
        <w:t>the Open</w:t>
      </w:r>
      <w:r w:rsidR="008E503B" w:rsidRPr="00CA4E01">
        <w:rPr>
          <w:rFonts w:asciiTheme="minorHAnsi" w:hAnsiTheme="minorHAnsi" w:cstheme="minorHAnsi"/>
          <w:szCs w:val="24"/>
        </w:rPr>
        <w:t>-</w:t>
      </w:r>
      <w:r w:rsidR="00FA1AE5" w:rsidRPr="00CA4E01">
        <w:rPr>
          <w:rFonts w:asciiTheme="minorHAnsi" w:hAnsiTheme="minorHAnsi" w:cstheme="minorHAnsi"/>
          <w:szCs w:val="24"/>
        </w:rPr>
        <w:t>ended Working Group (</w:t>
      </w:r>
      <w:r w:rsidR="00556C16" w:rsidRPr="00CA4E01">
        <w:rPr>
          <w:rFonts w:asciiTheme="minorHAnsi" w:hAnsiTheme="minorHAnsi" w:cstheme="minorHAnsi"/>
          <w:szCs w:val="24"/>
        </w:rPr>
        <w:t>OEWG</w:t>
      </w:r>
      <w:r w:rsidR="00FA1AE5" w:rsidRPr="00CA4E01">
        <w:rPr>
          <w:rFonts w:asciiTheme="minorHAnsi" w:hAnsiTheme="minorHAnsi" w:cstheme="minorHAnsi"/>
          <w:szCs w:val="24"/>
        </w:rPr>
        <w:t>)</w:t>
      </w:r>
      <w:r w:rsidR="00556C16" w:rsidRPr="00CA4E01">
        <w:rPr>
          <w:rFonts w:asciiTheme="minorHAnsi" w:hAnsiTheme="minorHAnsi" w:cstheme="minorHAnsi"/>
          <w:szCs w:val="24"/>
        </w:rPr>
        <w:t xml:space="preserve">. </w:t>
      </w:r>
      <w:r w:rsidR="004B2603" w:rsidRPr="00CA4E01">
        <w:rPr>
          <w:rFonts w:asciiTheme="minorHAnsi" w:hAnsiTheme="minorHAnsi" w:cstheme="minorHAnsi"/>
          <w:szCs w:val="24"/>
        </w:rPr>
        <w:t>Since</w:t>
      </w:r>
      <w:r w:rsidR="00556C16" w:rsidRPr="00CA4E01">
        <w:rPr>
          <w:rFonts w:asciiTheme="minorHAnsi" w:hAnsiTheme="minorHAnsi" w:cstheme="minorHAnsi"/>
          <w:szCs w:val="24"/>
        </w:rPr>
        <w:t xml:space="preserve"> 2004, the UN General Assembly </w:t>
      </w:r>
      <w:r w:rsidR="004B2603" w:rsidRPr="00CA4E01">
        <w:rPr>
          <w:rFonts w:asciiTheme="minorHAnsi" w:hAnsiTheme="minorHAnsi" w:cstheme="minorHAnsi"/>
          <w:szCs w:val="24"/>
        </w:rPr>
        <w:t xml:space="preserve">has </w:t>
      </w:r>
      <w:r w:rsidR="00556C16" w:rsidRPr="00CA4E01">
        <w:rPr>
          <w:rFonts w:asciiTheme="minorHAnsi" w:hAnsiTheme="minorHAnsi" w:cstheme="minorHAnsi"/>
          <w:szCs w:val="24"/>
        </w:rPr>
        <w:t xml:space="preserve">established </w:t>
      </w:r>
      <w:r w:rsidR="004B2603" w:rsidRPr="00CA4E01">
        <w:rPr>
          <w:rFonts w:asciiTheme="minorHAnsi" w:hAnsiTheme="minorHAnsi" w:cstheme="minorHAnsi"/>
          <w:szCs w:val="24"/>
        </w:rPr>
        <w:t>six</w:t>
      </w:r>
      <w:r w:rsidR="00556C16" w:rsidRPr="00CA4E01">
        <w:rPr>
          <w:rFonts w:asciiTheme="minorHAnsi" w:hAnsiTheme="minorHAnsi" w:cstheme="minorHAnsi"/>
          <w:szCs w:val="24"/>
        </w:rPr>
        <w:t xml:space="preserve"> GGE</w:t>
      </w:r>
      <w:r w:rsidR="004B2603" w:rsidRPr="00CA4E01">
        <w:rPr>
          <w:rFonts w:asciiTheme="minorHAnsi" w:hAnsiTheme="minorHAnsi" w:cstheme="minorHAnsi"/>
          <w:szCs w:val="24"/>
        </w:rPr>
        <w:t>s</w:t>
      </w:r>
      <w:r w:rsidR="00556C16" w:rsidRPr="00CA4E01">
        <w:rPr>
          <w:rFonts w:asciiTheme="minorHAnsi" w:hAnsiTheme="minorHAnsi" w:cstheme="minorHAnsi"/>
          <w:szCs w:val="24"/>
        </w:rPr>
        <w:t xml:space="preserve"> to study the threats posed by the use of ICTs in the context of international security and how these threats should be addressed</w:t>
      </w:r>
      <w:r w:rsidR="004B2603" w:rsidRPr="00CA4E01">
        <w:rPr>
          <w:rFonts w:asciiTheme="minorHAnsi" w:hAnsiTheme="minorHAnsi" w:cstheme="minorHAnsi"/>
          <w:szCs w:val="24"/>
        </w:rPr>
        <w:t>, with the latest being</w:t>
      </w:r>
      <w:r w:rsidR="00E5215E" w:rsidRPr="00CA4E01">
        <w:rPr>
          <w:rFonts w:asciiTheme="minorHAnsi" w:hAnsiTheme="minorHAnsi" w:cstheme="minorHAnsi"/>
          <w:szCs w:val="24"/>
        </w:rPr>
        <w:t xml:space="preserve"> </w:t>
      </w:r>
      <w:r w:rsidR="00FA1AE5" w:rsidRPr="00CA4E01">
        <w:rPr>
          <w:rFonts w:asciiTheme="minorHAnsi" w:hAnsiTheme="minorHAnsi" w:cstheme="minorHAnsi"/>
          <w:szCs w:val="24"/>
        </w:rPr>
        <w:t xml:space="preserve">the </w:t>
      </w:r>
      <w:hyperlink r:id="rId27" w:history="1">
        <w:r w:rsidR="00FA1AE5" w:rsidRPr="00CA4E01">
          <w:rPr>
            <w:rStyle w:val="Hyperlink"/>
            <w:rFonts w:asciiTheme="minorHAnsi" w:hAnsiTheme="minorHAnsi" w:cstheme="minorHAnsi"/>
            <w:szCs w:val="24"/>
          </w:rPr>
          <w:t>Group of Governmental Experts on Advancing responsible State behaviour in cyberspace in the context of international security</w:t>
        </w:r>
      </w:hyperlink>
      <w:r w:rsidR="008E503B" w:rsidRPr="00CA4E01">
        <w:rPr>
          <w:rFonts w:asciiTheme="minorHAnsi" w:hAnsiTheme="minorHAnsi" w:cstheme="minorHAnsi"/>
          <w:szCs w:val="24"/>
        </w:rPr>
        <w:t xml:space="preserve">, </w:t>
      </w:r>
      <w:r w:rsidR="00556C16" w:rsidRPr="00CA4E01">
        <w:rPr>
          <w:rFonts w:asciiTheme="minorHAnsi" w:hAnsiTheme="minorHAnsi" w:cstheme="minorHAnsi"/>
          <w:szCs w:val="24"/>
        </w:rPr>
        <w:t>2019/2021 (</w:t>
      </w:r>
      <w:hyperlink r:id="rId28" w:history="1">
        <w:r w:rsidR="00E5215E" w:rsidRPr="00CA4E01">
          <w:rPr>
            <w:rStyle w:val="Hyperlink"/>
            <w:rFonts w:asciiTheme="minorHAnsi" w:hAnsiTheme="minorHAnsi" w:cstheme="minorHAnsi"/>
            <w:szCs w:val="24"/>
          </w:rPr>
          <w:t xml:space="preserve">Resolution </w:t>
        </w:r>
        <w:r w:rsidR="00556C16" w:rsidRPr="00CA4E01">
          <w:rPr>
            <w:rStyle w:val="Hyperlink"/>
            <w:rFonts w:asciiTheme="minorHAnsi" w:hAnsiTheme="minorHAnsi" w:cstheme="minorHAnsi"/>
            <w:szCs w:val="24"/>
          </w:rPr>
          <w:t>73/266</w:t>
        </w:r>
      </w:hyperlink>
      <w:r w:rsidR="00556C16" w:rsidRPr="00CA4E01">
        <w:rPr>
          <w:rFonts w:asciiTheme="minorHAnsi" w:hAnsiTheme="minorHAnsi" w:cstheme="minorHAnsi"/>
          <w:szCs w:val="24"/>
        </w:rPr>
        <w:t>). </w:t>
      </w:r>
      <w:r w:rsidR="002811DE" w:rsidRPr="00CA4E01">
        <w:rPr>
          <w:rFonts w:asciiTheme="minorHAnsi" w:hAnsiTheme="minorHAnsi" w:cstheme="minorHAnsi"/>
          <w:szCs w:val="24"/>
        </w:rPr>
        <w:t>In its findings, t</w:t>
      </w:r>
      <w:r w:rsidR="00556C16" w:rsidRPr="00CA4E01">
        <w:rPr>
          <w:rFonts w:asciiTheme="minorHAnsi" w:hAnsiTheme="minorHAnsi" w:cstheme="minorHAnsi"/>
          <w:szCs w:val="24"/>
        </w:rPr>
        <w:t xml:space="preserve">he </w:t>
      </w:r>
      <w:r w:rsidR="002811DE" w:rsidRPr="00CA4E01">
        <w:rPr>
          <w:rFonts w:asciiTheme="minorHAnsi" w:hAnsiTheme="minorHAnsi" w:cstheme="minorHAnsi"/>
          <w:szCs w:val="24"/>
        </w:rPr>
        <w:t xml:space="preserve">2014/2015 </w:t>
      </w:r>
      <w:r w:rsidR="00556C16" w:rsidRPr="00CA4E01">
        <w:rPr>
          <w:rFonts w:asciiTheme="minorHAnsi" w:hAnsiTheme="minorHAnsi" w:cstheme="minorHAnsi"/>
          <w:szCs w:val="24"/>
        </w:rPr>
        <w:t xml:space="preserve">GGE </w:t>
      </w:r>
      <w:r w:rsidR="002811DE" w:rsidRPr="00CA4E01">
        <w:rPr>
          <w:rFonts w:asciiTheme="minorHAnsi" w:hAnsiTheme="minorHAnsi" w:cstheme="minorHAnsi"/>
          <w:szCs w:val="24"/>
        </w:rPr>
        <w:t>agreed that existing obligations under international law are applicable to State use of ICTs and States must comply with their obligations to respect and protect human rights and fundamental freedoms</w:t>
      </w:r>
      <w:r w:rsidR="00556C16" w:rsidRPr="00CA4E01">
        <w:rPr>
          <w:rFonts w:asciiTheme="minorHAnsi" w:hAnsiTheme="minorHAnsi" w:cstheme="minorHAnsi"/>
          <w:szCs w:val="24"/>
        </w:rPr>
        <w:t xml:space="preserve">. In 2018, </w:t>
      </w:r>
      <w:hyperlink r:id="rId29" w:history="1">
        <w:r w:rsidR="00556C16" w:rsidRPr="00CA4E01">
          <w:rPr>
            <w:rStyle w:val="Hyperlink"/>
            <w:rFonts w:asciiTheme="minorHAnsi" w:hAnsiTheme="minorHAnsi" w:cstheme="minorHAnsi"/>
            <w:szCs w:val="24"/>
          </w:rPr>
          <w:t xml:space="preserve">the OEWG </w:t>
        </w:r>
        <w:r w:rsidR="008E503B" w:rsidRPr="00CA4E01">
          <w:rPr>
            <w:rStyle w:val="Hyperlink"/>
            <w:rFonts w:asciiTheme="minorHAnsi" w:hAnsiTheme="minorHAnsi" w:cstheme="minorHAnsi"/>
            <w:szCs w:val="24"/>
          </w:rPr>
          <w:t xml:space="preserve">on developments in the field of information and telecommunications in the context of international security </w:t>
        </w:r>
        <w:r w:rsidR="00556C16" w:rsidRPr="00CA4E01">
          <w:rPr>
            <w:rStyle w:val="Hyperlink"/>
            <w:rFonts w:asciiTheme="minorHAnsi" w:hAnsiTheme="minorHAnsi" w:cstheme="minorHAnsi"/>
            <w:szCs w:val="24"/>
          </w:rPr>
          <w:t>was established</w:t>
        </w:r>
      </w:hyperlink>
      <w:r w:rsidR="00556C16" w:rsidRPr="00CA4E01">
        <w:rPr>
          <w:rFonts w:asciiTheme="minorHAnsi" w:hAnsiTheme="minorHAnsi" w:cstheme="minorHAnsi"/>
          <w:szCs w:val="24"/>
        </w:rPr>
        <w:t xml:space="preserve"> </w:t>
      </w:r>
      <w:r w:rsidR="004B2603" w:rsidRPr="00CA4E01">
        <w:rPr>
          <w:rFonts w:asciiTheme="minorHAnsi" w:hAnsiTheme="minorHAnsi" w:cstheme="minorHAnsi"/>
          <w:szCs w:val="24"/>
        </w:rPr>
        <w:t>(Resolution 73/27)</w:t>
      </w:r>
      <w:r w:rsidR="00556C16" w:rsidRPr="00CA4E01">
        <w:rPr>
          <w:rFonts w:asciiTheme="minorHAnsi" w:hAnsiTheme="minorHAnsi" w:cstheme="minorHAnsi"/>
          <w:szCs w:val="24"/>
        </w:rPr>
        <w:t xml:space="preserve">, involving 'all interested States', </w:t>
      </w:r>
      <w:r w:rsidR="00D94C31" w:rsidRPr="00CA4E01">
        <w:rPr>
          <w:rFonts w:asciiTheme="minorHAnsi" w:hAnsiTheme="minorHAnsi" w:cstheme="minorHAnsi"/>
          <w:szCs w:val="24"/>
        </w:rPr>
        <w:t xml:space="preserve">to </w:t>
      </w:r>
      <w:r w:rsidR="002811DE" w:rsidRPr="00CA4E01">
        <w:rPr>
          <w:rFonts w:asciiTheme="minorHAnsi" w:hAnsiTheme="minorHAnsi" w:cstheme="minorHAnsi"/>
          <w:szCs w:val="24"/>
        </w:rPr>
        <w:t>discuss existing and potential threats in the sphere of information security and possible cooperative measures to address them; further development of rules, norms and principles of responsible behaviour of States; how international law applies to the use of ICTs by States; confidence-building measures; capacity-building; and the possibility of establishing regular institutional dialogue with broad participation under the auspices of the United Nations</w:t>
      </w:r>
      <w:r w:rsidR="00556C16" w:rsidRPr="00CA4E01">
        <w:rPr>
          <w:rFonts w:asciiTheme="minorHAnsi" w:hAnsiTheme="minorHAnsi" w:cstheme="minorHAnsi"/>
          <w:szCs w:val="24"/>
        </w:rPr>
        <w:t>. The</w:t>
      </w:r>
      <w:r w:rsidR="00556C16" w:rsidRPr="00CA4E01">
        <w:rPr>
          <w:rFonts w:asciiTheme="minorHAnsi" w:hAnsiTheme="minorHAnsi" w:cstheme="minorHAnsi"/>
          <w:szCs w:val="24"/>
        </w:rPr>
        <w:t xml:space="preserve"> </w:t>
      </w:r>
      <w:r w:rsidR="0006435F">
        <w:rPr>
          <w:rFonts w:asciiTheme="minorHAnsi" w:hAnsiTheme="minorHAnsi" w:cstheme="minorHAnsi"/>
          <w:szCs w:val="24"/>
        </w:rPr>
        <w:t>2019-2021</w:t>
      </w:r>
      <w:r w:rsidR="0006435F">
        <w:rPr>
          <w:rFonts w:asciiTheme="minorHAnsi" w:hAnsiTheme="minorHAnsi" w:cstheme="minorHAnsi"/>
          <w:szCs w:val="24"/>
        </w:rPr>
        <w:t xml:space="preserve"> </w:t>
      </w:r>
      <w:r w:rsidR="00556C16" w:rsidRPr="00CA4E01">
        <w:rPr>
          <w:rFonts w:asciiTheme="minorHAnsi" w:hAnsiTheme="minorHAnsi" w:cstheme="minorHAnsi"/>
          <w:szCs w:val="24"/>
        </w:rPr>
        <w:t xml:space="preserve">OEWG adopted its </w:t>
      </w:r>
      <w:hyperlink r:id="rId30" w:history="1">
        <w:r w:rsidR="00556C16" w:rsidRPr="00CA4E01">
          <w:rPr>
            <w:rStyle w:val="Hyperlink"/>
            <w:rFonts w:asciiTheme="minorHAnsi" w:hAnsiTheme="minorHAnsi" w:cstheme="minorHAnsi"/>
            <w:szCs w:val="24"/>
          </w:rPr>
          <w:t>Final Substantive Report</w:t>
        </w:r>
      </w:hyperlink>
      <w:r w:rsidR="00556C16" w:rsidRPr="00CA4E01">
        <w:rPr>
          <w:rFonts w:asciiTheme="minorHAnsi" w:hAnsiTheme="minorHAnsi" w:cstheme="minorHAnsi"/>
          <w:szCs w:val="24"/>
        </w:rPr>
        <w:t xml:space="preserve"> by consensus in March 2021, which reaffirmed that international law, and in particular the Charter of the UN, is applicable in cyberspace and further recommend</w:t>
      </w:r>
      <w:r w:rsidR="008E503B" w:rsidRPr="00CA4E01">
        <w:rPr>
          <w:rFonts w:asciiTheme="minorHAnsi" w:hAnsiTheme="minorHAnsi" w:cstheme="minorHAnsi"/>
          <w:szCs w:val="24"/>
        </w:rPr>
        <w:t>ed</w:t>
      </w:r>
      <w:r w:rsidR="00556C16" w:rsidRPr="00CA4E01">
        <w:rPr>
          <w:rFonts w:asciiTheme="minorHAnsi" w:hAnsiTheme="minorHAnsi" w:cstheme="minorHAnsi"/>
          <w:szCs w:val="24"/>
        </w:rPr>
        <w:t xml:space="preserve"> that States support capacity building efforts in the area of international law, national legislation, and policy because this will enable all </w:t>
      </w:r>
      <w:r w:rsidR="008E503B" w:rsidRPr="00CA4E01">
        <w:rPr>
          <w:rFonts w:asciiTheme="minorHAnsi" w:hAnsiTheme="minorHAnsi" w:cstheme="minorHAnsi"/>
          <w:szCs w:val="24"/>
        </w:rPr>
        <w:t>S</w:t>
      </w:r>
      <w:r w:rsidR="00556C16" w:rsidRPr="00CA4E01">
        <w:rPr>
          <w:rFonts w:asciiTheme="minorHAnsi" w:hAnsiTheme="minorHAnsi" w:cstheme="minorHAnsi"/>
          <w:szCs w:val="24"/>
        </w:rPr>
        <w:t xml:space="preserve">tates to contribute to building common understandings of how international law applies to the use of ICTs by </w:t>
      </w:r>
      <w:r w:rsidR="008E503B" w:rsidRPr="00CA4E01">
        <w:rPr>
          <w:rFonts w:asciiTheme="minorHAnsi" w:hAnsiTheme="minorHAnsi" w:cstheme="minorHAnsi"/>
          <w:szCs w:val="24"/>
        </w:rPr>
        <w:t>S</w:t>
      </w:r>
      <w:r w:rsidR="00556C16" w:rsidRPr="00CA4E01">
        <w:rPr>
          <w:rFonts w:asciiTheme="minorHAnsi" w:hAnsiTheme="minorHAnsi" w:cstheme="minorHAnsi"/>
          <w:szCs w:val="24"/>
        </w:rPr>
        <w:t xml:space="preserve">tates. </w:t>
      </w:r>
      <w:r w:rsidR="002811DE" w:rsidRPr="00CA4E01">
        <w:rPr>
          <w:rFonts w:asciiTheme="minorHAnsi" w:hAnsiTheme="minorHAnsi" w:cstheme="minorHAnsi"/>
          <w:szCs w:val="24"/>
        </w:rPr>
        <w:t xml:space="preserve">The OEWG is expected </w:t>
      </w:r>
      <w:r w:rsidR="002811DE" w:rsidRPr="00CA4E01">
        <w:rPr>
          <w:rFonts w:asciiTheme="minorHAnsi" w:hAnsiTheme="minorHAnsi" w:cstheme="minorHAnsi"/>
          <w:szCs w:val="24"/>
        </w:rPr>
        <w:lastRenderedPageBreak/>
        <w:t>to continue its work as Resolution 75/240 established an Open-ended Working Group on security of and in the use of information and communications technologies 2021-2025</w:t>
      </w:r>
      <w:r w:rsidR="00556C16" w:rsidRPr="00CA4E01">
        <w:rPr>
          <w:rFonts w:asciiTheme="minorHAnsi" w:hAnsiTheme="minorHAnsi" w:cstheme="minorHAnsi"/>
          <w:szCs w:val="24"/>
        </w:rPr>
        <w:t>.</w:t>
      </w:r>
    </w:p>
    <w:p w14:paraId="32A27C6A" w14:textId="386795CA" w:rsidR="001A1D67" w:rsidRPr="00CA4E01" w:rsidRDefault="00556C16"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2.5</w:t>
      </w:r>
      <w:r w:rsidRPr="00CA4E01">
        <w:rPr>
          <w:rFonts w:asciiTheme="minorHAnsi" w:hAnsiTheme="minorHAnsi" w:cstheme="minorHAnsi"/>
          <w:szCs w:val="24"/>
        </w:rPr>
        <w:tab/>
      </w:r>
      <w:r w:rsidR="001A1D67" w:rsidRPr="00CA4E01">
        <w:rPr>
          <w:rFonts w:asciiTheme="minorHAnsi" w:hAnsiTheme="minorHAnsi" w:cstheme="minorHAnsi"/>
          <w:szCs w:val="24"/>
        </w:rPr>
        <w:t xml:space="preserve">There have also been several initiatives and processes initiated within the UN system to help identify and address the legal challenges posed by cybersecurity globally. </w:t>
      </w:r>
      <w:r w:rsidR="00916E60" w:rsidRPr="00CA4E01">
        <w:rPr>
          <w:rFonts w:asciiTheme="minorHAnsi" w:hAnsiTheme="minorHAnsi" w:cstheme="minorHAnsi"/>
          <w:szCs w:val="24"/>
        </w:rPr>
        <w:t>For instance, a</w:t>
      </w:r>
      <w:r w:rsidR="001A1D67" w:rsidRPr="00CA4E01">
        <w:rPr>
          <w:rFonts w:asciiTheme="minorHAnsi" w:hAnsiTheme="minorHAnsi" w:cstheme="minorHAnsi"/>
          <w:szCs w:val="24"/>
        </w:rPr>
        <w:t xml:space="preserve"> number of UN General Assembly resolutions have been passed in this regard</w:t>
      </w:r>
      <w:r w:rsidR="00916E60" w:rsidRPr="00CA4E01">
        <w:rPr>
          <w:rFonts w:asciiTheme="minorHAnsi" w:hAnsiTheme="minorHAnsi" w:cstheme="minorHAnsi"/>
          <w:szCs w:val="24"/>
        </w:rPr>
        <w:t>,</w:t>
      </w:r>
      <w:r w:rsidR="001A1D67" w:rsidRPr="00CA4E01">
        <w:rPr>
          <w:rFonts w:asciiTheme="minorHAnsi" w:hAnsiTheme="minorHAnsi" w:cstheme="minorHAnsi"/>
          <w:szCs w:val="24"/>
        </w:rPr>
        <w:t xml:space="preserve"> such as the </w:t>
      </w:r>
      <w:hyperlink r:id="rId31" w:history="1">
        <w:r w:rsidR="00916E60" w:rsidRPr="00CA4E01">
          <w:rPr>
            <w:rStyle w:val="Hyperlink"/>
            <w:rFonts w:asciiTheme="minorHAnsi" w:hAnsiTheme="minorHAnsi" w:cstheme="minorHAnsi"/>
            <w:szCs w:val="24"/>
          </w:rPr>
          <w:t xml:space="preserve">United Nations General Assembly Resolution of 27 December 2019 on </w:t>
        </w:r>
        <w:r w:rsidR="00916E60" w:rsidRPr="00CA4E01">
          <w:rPr>
            <w:rStyle w:val="Hyperlink"/>
            <w:rFonts w:asciiTheme="minorHAnsi" w:hAnsiTheme="minorHAnsi" w:cstheme="minorHAnsi"/>
            <w:i/>
            <w:iCs/>
            <w:szCs w:val="24"/>
          </w:rPr>
          <w:t>Countering the use of information and communications technologies for criminal purposes</w:t>
        </w:r>
        <w:r w:rsidR="00916E60" w:rsidRPr="00CA4E01">
          <w:rPr>
            <w:rStyle w:val="Hyperlink"/>
            <w:rFonts w:asciiTheme="minorHAnsi" w:hAnsiTheme="minorHAnsi" w:cstheme="minorHAnsi"/>
            <w:szCs w:val="24"/>
          </w:rPr>
          <w:t xml:space="preserve"> (</w:t>
        </w:r>
        <w:r w:rsidR="004B2603" w:rsidRPr="00CA4E01">
          <w:rPr>
            <w:rStyle w:val="Hyperlink"/>
            <w:rFonts w:asciiTheme="minorHAnsi" w:hAnsiTheme="minorHAnsi" w:cstheme="minorHAnsi"/>
            <w:szCs w:val="24"/>
          </w:rPr>
          <w:t>Resolution 74/247</w:t>
        </w:r>
        <w:r w:rsidR="00916E60" w:rsidRPr="00CA4E01">
          <w:rPr>
            <w:rStyle w:val="Hyperlink"/>
            <w:rFonts w:asciiTheme="minorHAnsi" w:hAnsiTheme="minorHAnsi" w:cstheme="minorHAnsi"/>
            <w:szCs w:val="24"/>
          </w:rPr>
          <w:t>)</w:t>
        </w:r>
      </w:hyperlink>
      <w:r w:rsidR="00916E60" w:rsidRPr="00CA4E01">
        <w:rPr>
          <w:rFonts w:asciiTheme="minorHAnsi" w:hAnsiTheme="minorHAnsi" w:cstheme="minorHAnsi"/>
          <w:szCs w:val="24"/>
        </w:rPr>
        <w:t xml:space="preserve"> which decided to establish an open-ended ad hoc intergovernmental committee of experts, representing all regions, to elaborate a comprehensive international convention on countering the use of information and communications technologies for criminal purposes.</w:t>
      </w:r>
      <w:r w:rsidR="00DE0DFB" w:rsidRPr="00CA4E01">
        <w:rPr>
          <w:rFonts w:asciiTheme="minorHAnsi" w:hAnsiTheme="minorHAnsi" w:cstheme="minorHAnsi"/>
          <w:szCs w:val="24"/>
        </w:rPr>
        <w:t xml:space="preserve"> </w:t>
      </w:r>
    </w:p>
    <w:p w14:paraId="1E8BC6DA" w14:textId="77777777" w:rsidR="00916843" w:rsidRPr="00CA4E01" w:rsidRDefault="00916843"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2.6</w:t>
      </w:r>
      <w:r w:rsidRPr="00CA4E01">
        <w:rPr>
          <w:rFonts w:asciiTheme="minorHAnsi" w:hAnsiTheme="minorHAnsi" w:cstheme="minorHAnsi"/>
          <w:szCs w:val="24"/>
        </w:rPr>
        <w:tab/>
      </w:r>
      <w:r w:rsidRPr="00CA4E01">
        <w:rPr>
          <w:rFonts w:asciiTheme="minorHAnsi" w:hAnsiTheme="minorHAnsi" w:cstheme="minorHAnsi"/>
          <w:iCs/>
          <w:szCs w:val="24"/>
          <w:lang w:val="en-US"/>
        </w:rPr>
        <w:t>In light of the above,</w:t>
      </w:r>
      <w:r w:rsidRPr="00CA4E01">
        <w:rPr>
          <w:rFonts w:asciiTheme="minorHAnsi" w:hAnsiTheme="minorHAnsi" w:cstheme="minorHAnsi"/>
          <w:b/>
          <w:bCs/>
          <w:iCs/>
          <w:szCs w:val="24"/>
          <w:lang w:val="en-US"/>
        </w:rPr>
        <w:t xml:space="preserve"> </w:t>
      </w:r>
      <w:r w:rsidR="00BD60E7" w:rsidRPr="00CA4E01">
        <w:rPr>
          <w:rFonts w:asciiTheme="minorHAnsi" w:hAnsiTheme="minorHAnsi" w:cstheme="minorHAnsi"/>
          <w:iCs/>
          <w:szCs w:val="24"/>
          <w:lang w:val="en-US"/>
        </w:rPr>
        <w:t xml:space="preserve">there is </w:t>
      </w:r>
      <w:r w:rsidR="001F2B94" w:rsidRPr="00CA4E01">
        <w:rPr>
          <w:rFonts w:asciiTheme="minorHAnsi" w:hAnsiTheme="minorHAnsi" w:cstheme="minorHAnsi"/>
          <w:iCs/>
          <w:szCs w:val="24"/>
          <w:lang w:val="en-US"/>
        </w:rPr>
        <w:t xml:space="preserve">an ongoing discussion among </w:t>
      </w:r>
      <w:r w:rsidR="00E00A33" w:rsidRPr="00CA4E01">
        <w:rPr>
          <w:rFonts w:asciiTheme="minorHAnsi" w:hAnsiTheme="minorHAnsi" w:cstheme="minorHAnsi"/>
          <w:iCs/>
          <w:szCs w:val="24"/>
          <w:lang w:val="en-US"/>
        </w:rPr>
        <w:t>States</w:t>
      </w:r>
      <w:r w:rsidR="00BA245A" w:rsidRPr="00CA4E01">
        <w:rPr>
          <w:rFonts w:asciiTheme="minorHAnsi" w:hAnsiTheme="minorHAnsi" w:cstheme="minorHAnsi"/>
          <w:iCs/>
          <w:szCs w:val="24"/>
          <w:lang w:val="en-US"/>
        </w:rPr>
        <w:t xml:space="preserve"> in these various forums</w:t>
      </w:r>
      <w:r w:rsidR="003259C7" w:rsidRPr="00CA4E01">
        <w:rPr>
          <w:rFonts w:asciiTheme="minorHAnsi" w:hAnsiTheme="minorHAnsi" w:cstheme="minorHAnsi"/>
          <w:iCs/>
          <w:szCs w:val="24"/>
          <w:lang w:val="en-US"/>
        </w:rPr>
        <w:t xml:space="preserve"> </w:t>
      </w:r>
      <w:r w:rsidR="00BD60E7" w:rsidRPr="00CA4E01">
        <w:rPr>
          <w:rFonts w:asciiTheme="minorHAnsi" w:hAnsiTheme="minorHAnsi" w:cstheme="minorHAnsi"/>
          <w:szCs w:val="24"/>
        </w:rPr>
        <w:t xml:space="preserve">that further cooperation is needed between </w:t>
      </w:r>
      <w:r w:rsidR="001F2B94" w:rsidRPr="00CA4E01">
        <w:rPr>
          <w:rFonts w:asciiTheme="minorHAnsi" w:hAnsiTheme="minorHAnsi" w:cstheme="minorHAnsi"/>
          <w:szCs w:val="24"/>
        </w:rPr>
        <w:t>them and with other</w:t>
      </w:r>
      <w:r w:rsidR="00BD60E7" w:rsidRPr="00CA4E01">
        <w:rPr>
          <w:rFonts w:asciiTheme="minorHAnsi" w:hAnsiTheme="minorHAnsi" w:cstheme="minorHAnsi"/>
          <w:szCs w:val="24"/>
        </w:rPr>
        <w:t xml:space="preserve"> </w:t>
      </w:r>
      <w:r w:rsidRPr="00CA4E01">
        <w:rPr>
          <w:rFonts w:asciiTheme="minorHAnsi" w:hAnsiTheme="minorHAnsi" w:cstheme="minorHAnsi"/>
          <w:szCs w:val="24"/>
        </w:rPr>
        <w:t xml:space="preserve">stakeholders to </w:t>
      </w:r>
      <w:r w:rsidRPr="00CA4E01">
        <w:rPr>
          <w:rFonts w:asciiTheme="minorHAnsi" w:hAnsiTheme="minorHAnsi" w:cstheme="minorHAnsi"/>
          <w:szCs w:val="24"/>
          <w:lang w:val="en-US"/>
        </w:rPr>
        <w:t xml:space="preserve">search for a global common ground on understanding, </w:t>
      </w:r>
      <w:proofErr w:type="gramStart"/>
      <w:r w:rsidRPr="00CA4E01">
        <w:rPr>
          <w:rFonts w:asciiTheme="minorHAnsi" w:hAnsiTheme="minorHAnsi" w:cstheme="minorHAnsi"/>
          <w:szCs w:val="24"/>
          <w:lang w:val="en-US"/>
        </w:rPr>
        <w:t>interpreting</w:t>
      </w:r>
      <w:proofErr w:type="gramEnd"/>
      <w:r w:rsidRPr="00CA4E01">
        <w:rPr>
          <w:rFonts w:asciiTheme="minorHAnsi" w:hAnsiTheme="minorHAnsi" w:cstheme="minorHAnsi"/>
          <w:szCs w:val="24"/>
          <w:lang w:val="en-US"/>
        </w:rPr>
        <w:t xml:space="preserve"> and upholding international law in the context of cyberspace, in particular by facilitating </w:t>
      </w:r>
      <w:r w:rsidR="00BD60E7" w:rsidRPr="00CA4E01">
        <w:rPr>
          <w:rFonts w:asciiTheme="minorHAnsi" w:hAnsiTheme="minorHAnsi" w:cstheme="minorHAnsi"/>
          <w:szCs w:val="24"/>
          <w:lang w:val="en-US"/>
        </w:rPr>
        <w:t>greater</w:t>
      </w:r>
      <w:r w:rsidRPr="00CA4E01">
        <w:rPr>
          <w:rFonts w:asciiTheme="minorHAnsi" w:hAnsiTheme="minorHAnsi" w:cstheme="minorHAnsi"/>
          <w:szCs w:val="24"/>
          <w:lang w:val="en-US"/>
        </w:rPr>
        <w:t xml:space="preserve"> exchange of information and best practices</w:t>
      </w:r>
      <w:r w:rsidR="00BD60E7" w:rsidRPr="00CA4E01">
        <w:rPr>
          <w:rFonts w:asciiTheme="minorHAnsi" w:hAnsiTheme="minorHAnsi" w:cstheme="minorHAnsi"/>
          <w:szCs w:val="24"/>
          <w:lang w:val="en-US"/>
        </w:rPr>
        <w:t>.</w:t>
      </w:r>
    </w:p>
    <w:p w14:paraId="73585296" w14:textId="02471385" w:rsidR="00CA4EDA" w:rsidRPr="003C12C1" w:rsidRDefault="00CA4EDA" w:rsidP="003C12C1">
      <w:pPr>
        <w:pStyle w:val="Heading2"/>
        <w:spacing w:before="240" w:after="120"/>
        <w:rPr>
          <w:rFonts w:asciiTheme="minorHAnsi" w:hAnsiTheme="minorHAnsi" w:cstheme="minorHAnsi"/>
          <w:szCs w:val="24"/>
          <w:lang w:val="en-US"/>
        </w:rPr>
      </w:pPr>
      <w:r w:rsidRPr="003C12C1">
        <w:rPr>
          <w:rFonts w:asciiTheme="minorHAnsi" w:hAnsiTheme="minorHAnsi" w:cstheme="minorHAnsi"/>
          <w:szCs w:val="24"/>
          <w:lang w:val="en-US"/>
        </w:rPr>
        <w:t xml:space="preserve">Legal </w:t>
      </w:r>
      <w:r w:rsidR="00C63CA4" w:rsidRPr="003C12C1">
        <w:rPr>
          <w:rFonts w:asciiTheme="minorHAnsi" w:hAnsiTheme="minorHAnsi" w:cstheme="minorHAnsi"/>
          <w:szCs w:val="24"/>
          <w:lang w:val="en-US"/>
        </w:rPr>
        <w:t>M</w:t>
      </w:r>
      <w:r w:rsidRPr="003C12C1">
        <w:rPr>
          <w:rFonts w:asciiTheme="minorHAnsi" w:hAnsiTheme="minorHAnsi" w:cstheme="minorHAnsi"/>
          <w:szCs w:val="24"/>
          <w:lang w:val="en-US"/>
        </w:rPr>
        <w:t xml:space="preserve">easures and </w:t>
      </w:r>
      <w:r w:rsidR="00C63CA4" w:rsidRPr="003C12C1">
        <w:rPr>
          <w:rFonts w:asciiTheme="minorHAnsi" w:hAnsiTheme="minorHAnsi" w:cstheme="minorHAnsi"/>
          <w:szCs w:val="24"/>
          <w:lang w:val="en-US"/>
        </w:rPr>
        <w:t>N</w:t>
      </w:r>
      <w:r w:rsidRPr="003C12C1">
        <w:rPr>
          <w:rFonts w:asciiTheme="minorHAnsi" w:hAnsiTheme="minorHAnsi" w:cstheme="minorHAnsi"/>
          <w:szCs w:val="24"/>
          <w:lang w:val="en-US"/>
        </w:rPr>
        <w:t xml:space="preserve">ew </w:t>
      </w:r>
      <w:r w:rsidR="00C63CA4" w:rsidRPr="003C12C1">
        <w:rPr>
          <w:rFonts w:asciiTheme="minorHAnsi" w:hAnsiTheme="minorHAnsi" w:cstheme="minorHAnsi"/>
          <w:szCs w:val="24"/>
          <w:lang w:val="en-US"/>
        </w:rPr>
        <w:t>T</w:t>
      </w:r>
      <w:r w:rsidRPr="003C12C1">
        <w:rPr>
          <w:rFonts w:asciiTheme="minorHAnsi" w:hAnsiTheme="minorHAnsi" w:cstheme="minorHAnsi"/>
          <w:szCs w:val="24"/>
          <w:lang w:val="en-US"/>
        </w:rPr>
        <w:t>echnologies</w:t>
      </w:r>
    </w:p>
    <w:p w14:paraId="1E6549F1" w14:textId="77777777" w:rsidR="00CA4EDA" w:rsidRPr="00CA4E01" w:rsidRDefault="00CA4EDA" w:rsidP="00CA4E01">
      <w:pPr>
        <w:spacing w:after="120"/>
        <w:jc w:val="both"/>
        <w:rPr>
          <w:rFonts w:asciiTheme="minorHAnsi" w:hAnsiTheme="minorHAnsi" w:cstheme="minorHAnsi"/>
          <w:szCs w:val="24"/>
          <w:lang w:val="en-US"/>
        </w:rPr>
      </w:pPr>
      <w:r w:rsidRPr="00CA4E01">
        <w:rPr>
          <w:rFonts w:asciiTheme="minorHAnsi" w:hAnsiTheme="minorHAnsi" w:cstheme="minorHAnsi"/>
          <w:b/>
          <w:bCs/>
          <w:szCs w:val="24"/>
        </w:rPr>
        <w:t>2.</w:t>
      </w:r>
      <w:r w:rsidR="00056A64" w:rsidRPr="00CA4E01">
        <w:rPr>
          <w:rFonts w:asciiTheme="minorHAnsi" w:hAnsiTheme="minorHAnsi" w:cstheme="minorHAnsi"/>
          <w:b/>
          <w:bCs/>
          <w:szCs w:val="24"/>
        </w:rPr>
        <w:t>7</w:t>
      </w:r>
      <w:r w:rsidRPr="00CA4E01">
        <w:rPr>
          <w:rFonts w:asciiTheme="minorHAnsi" w:hAnsiTheme="minorHAnsi" w:cstheme="minorHAnsi"/>
          <w:b/>
          <w:bCs/>
          <w:szCs w:val="24"/>
        </w:rPr>
        <w:tab/>
      </w:r>
      <w:r w:rsidRPr="00CA4E01">
        <w:rPr>
          <w:rFonts w:asciiTheme="minorHAnsi" w:hAnsiTheme="minorHAnsi" w:cstheme="minorHAnsi"/>
          <w:szCs w:val="24"/>
          <w:lang w:val="en-US"/>
        </w:rPr>
        <w:t>Some experts have suggested that new technology and methods of conducts in cyberspace with criminal intent should be covered by criminal law.</w:t>
      </w:r>
      <w:r w:rsidRPr="00CA4E01">
        <w:rPr>
          <w:rStyle w:val="FootnoteReference"/>
          <w:rFonts w:asciiTheme="minorHAnsi" w:hAnsiTheme="minorHAnsi" w:cstheme="minorHAnsi"/>
          <w:sz w:val="24"/>
          <w:szCs w:val="24"/>
          <w:vertAlign w:val="superscript"/>
          <w:lang w:val="en-US"/>
        </w:rPr>
        <w:footnoteReference w:id="15"/>
      </w:r>
      <w:r w:rsidRPr="00CA4E01">
        <w:rPr>
          <w:rFonts w:asciiTheme="minorHAnsi" w:hAnsiTheme="minorHAnsi" w:cstheme="minorHAnsi"/>
          <w:szCs w:val="24"/>
          <w:lang w:val="en-US"/>
        </w:rPr>
        <w:t xml:space="preserve"> Many countries have adopted or are preparing for new laws covering some of those conducts. </w:t>
      </w:r>
      <w:r w:rsidR="00CA321C" w:rsidRPr="00CA4E01">
        <w:rPr>
          <w:rFonts w:asciiTheme="minorHAnsi" w:hAnsiTheme="minorHAnsi" w:cstheme="minorHAnsi"/>
          <w:szCs w:val="24"/>
          <w:lang w:val="en-US"/>
        </w:rPr>
        <w:t xml:space="preserve">It is important that any appropriate legal measures developed in this regard are designed in accordance with their human rights obligations. </w:t>
      </w:r>
      <w:r w:rsidRPr="00CA4E01">
        <w:rPr>
          <w:rFonts w:asciiTheme="minorHAnsi" w:hAnsiTheme="minorHAnsi" w:cstheme="minorHAnsi"/>
          <w:szCs w:val="24"/>
          <w:lang w:val="en-US"/>
        </w:rPr>
        <w:t>Some examples of recent and emerging technologies and trends which could potentially impact legal measures are set out below:</w:t>
      </w:r>
    </w:p>
    <w:p w14:paraId="2ED2695C" w14:textId="7BC48052"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a.</w:t>
      </w:r>
      <w:r w:rsidRPr="00CA4E01">
        <w:rPr>
          <w:rFonts w:asciiTheme="minorHAnsi" w:hAnsiTheme="minorHAnsi" w:cstheme="minorHAnsi"/>
          <w:b/>
          <w:bCs/>
          <w:szCs w:val="24"/>
        </w:rPr>
        <w:tab/>
        <w:t xml:space="preserve">Global </w:t>
      </w:r>
      <w:r w:rsidR="00C63CA4" w:rsidRPr="00CA4E01">
        <w:rPr>
          <w:rFonts w:asciiTheme="minorHAnsi" w:hAnsiTheme="minorHAnsi" w:cstheme="minorHAnsi"/>
          <w:b/>
          <w:bCs/>
          <w:szCs w:val="24"/>
        </w:rPr>
        <w:t>C</w:t>
      </w:r>
      <w:r w:rsidRPr="00CA4E01">
        <w:rPr>
          <w:rFonts w:asciiTheme="minorHAnsi" w:hAnsiTheme="minorHAnsi" w:cstheme="minorHAnsi"/>
          <w:b/>
          <w:bCs/>
          <w:szCs w:val="24"/>
        </w:rPr>
        <w:t xml:space="preserve">yberattacks </w:t>
      </w:r>
    </w:p>
    <w:p w14:paraId="5920BAD9"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szCs w:val="24"/>
          <w:lang w:val="en-US"/>
        </w:rPr>
        <w:tab/>
        <w:t xml:space="preserve">Global cyberattacks against critical communications and information infrastructures </w:t>
      </w:r>
      <w:r w:rsidR="00E546CB" w:rsidRPr="00CA4E01">
        <w:rPr>
          <w:rFonts w:asciiTheme="minorHAnsi" w:hAnsiTheme="minorHAnsi" w:cstheme="minorHAnsi"/>
          <w:szCs w:val="24"/>
        </w:rPr>
        <w:t>have emerged</w:t>
      </w:r>
      <w:r w:rsidRPr="00CA4E01">
        <w:rPr>
          <w:rFonts w:asciiTheme="minorHAnsi" w:hAnsiTheme="minorHAnsi" w:cstheme="minorHAnsi"/>
          <w:szCs w:val="24"/>
        </w:rPr>
        <w:t xml:space="preserve"> as a</w:t>
      </w:r>
      <w:r w:rsidR="008A6148" w:rsidRPr="00CA4E01">
        <w:rPr>
          <w:rFonts w:asciiTheme="minorHAnsi" w:hAnsiTheme="minorHAnsi" w:cstheme="minorHAnsi"/>
          <w:szCs w:val="24"/>
        </w:rPr>
        <w:t>n international and</w:t>
      </w:r>
      <w:r w:rsidRPr="00CA4E01">
        <w:rPr>
          <w:rFonts w:asciiTheme="minorHAnsi" w:hAnsiTheme="minorHAnsi" w:cstheme="minorHAnsi"/>
          <w:szCs w:val="24"/>
        </w:rPr>
        <w:t xml:space="preserve"> national security threat. Governments, international organizations, and private institutions have all been targets of </w:t>
      </w:r>
      <w:r w:rsidR="00E546CB" w:rsidRPr="00CA4E01">
        <w:rPr>
          <w:rFonts w:asciiTheme="minorHAnsi" w:hAnsiTheme="minorHAnsi" w:cstheme="minorHAnsi"/>
          <w:szCs w:val="24"/>
        </w:rPr>
        <w:t xml:space="preserve">such </w:t>
      </w:r>
      <w:r w:rsidRPr="00CA4E01">
        <w:rPr>
          <w:rFonts w:asciiTheme="minorHAnsi" w:hAnsiTheme="minorHAnsi" w:cstheme="minorHAnsi"/>
          <w:szCs w:val="24"/>
        </w:rPr>
        <w:t>global cyberattacks</w:t>
      </w:r>
      <w:r w:rsidR="00B47526" w:rsidRPr="00CA4E01">
        <w:rPr>
          <w:rFonts w:asciiTheme="minorHAnsi" w:hAnsiTheme="minorHAnsi" w:cstheme="minorHAnsi"/>
          <w:szCs w:val="24"/>
        </w:rPr>
        <w:t xml:space="preserve"> necessitating the development of robust national legal frameworks to address this challenge</w:t>
      </w:r>
      <w:r w:rsidRPr="00CA4E01">
        <w:rPr>
          <w:rFonts w:asciiTheme="minorHAnsi" w:hAnsiTheme="minorHAnsi" w:cstheme="minorHAnsi"/>
          <w:szCs w:val="24"/>
        </w:rPr>
        <w:t xml:space="preserve">. </w:t>
      </w:r>
    </w:p>
    <w:p w14:paraId="57ACFB29" w14:textId="17239551"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b.</w:t>
      </w:r>
      <w:r w:rsidRPr="00CA4E01">
        <w:rPr>
          <w:rFonts w:asciiTheme="minorHAnsi" w:hAnsiTheme="minorHAnsi" w:cstheme="minorHAnsi"/>
          <w:b/>
          <w:bCs/>
          <w:szCs w:val="24"/>
        </w:rPr>
        <w:tab/>
        <w:t xml:space="preserve">Criminal </w:t>
      </w:r>
      <w:r w:rsidR="00C63CA4" w:rsidRPr="00CA4E01">
        <w:rPr>
          <w:rFonts w:asciiTheme="minorHAnsi" w:hAnsiTheme="minorHAnsi" w:cstheme="minorHAnsi"/>
          <w:b/>
          <w:bCs/>
          <w:szCs w:val="24"/>
        </w:rPr>
        <w:t>C</w:t>
      </w:r>
      <w:r w:rsidRPr="00CA4E01">
        <w:rPr>
          <w:rFonts w:asciiTheme="minorHAnsi" w:hAnsiTheme="minorHAnsi" w:cstheme="minorHAnsi"/>
          <w:b/>
          <w:bCs/>
          <w:szCs w:val="24"/>
        </w:rPr>
        <w:t>onducts</w:t>
      </w:r>
      <w:r w:rsidR="008A6148" w:rsidRPr="00CA4E01">
        <w:rPr>
          <w:rFonts w:asciiTheme="minorHAnsi" w:hAnsiTheme="minorHAnsi" w:cstheme="minorHAnsi"/>
          <w:b/>
          <w:bCs/>
          <w:szCs w:val="24"/>
        </w:rPr>
        <w:t xml:space="preserve"> on</w:t>
      </w:r>
      <w:r w:rsidRPr="00CA4E01">
        <w:rPr>
          <w:rFonts w:asciiTheme="minorHAnsi" w:hAnsiTheme="minorHAnsi" w:cstheme="minorHAnsi"/>
          <w:b/>
          <w:bCs/>
          <w:szCs w:val="24"/>
        </w:rPr>
        <w:t xml:space="preserve"> </w:t>
      </w:r>
      <w:r w:rsidR="00C63CA4" w:rsidRPr="00CA4E01">
        <w:rPr>
          <w:rFonts w:asciiTheme="minorHAnsi" w:hAnsiTheme="minorHAnsi" w:cstheme="minorHAnsi"/>
          <w:b/>
          <w:bCs/>
          <w:szCs w:val="24"/>
        </w:rPr>
        <w:t>S</w:t>
      </w:r>
      <w:r w:rsidRPr="00CA4E01">
        <w:rPr>
          <w:rFonts w:asciiTheme="minorHAnsi" w:hAnsiTheme="minorHAnsi" w:cstheme="minorHAnsi"/>
          <w:b/>
          <w:bCs/>
          <w:szCs w:val="24"/>
        </w:rPr>
        <w:t xml:space="preserve">ocial </w:t>
      </w:r>
      <w:r w:rsidR="00C63CA4" w:rsidRPr="00CA4E01">
        <w:rPr>
          <w:rFonts w:asciiTheme="minorHAnsi" w:hAnsiTheme="minorHAnsi" w:cstheme="minorHAnsi"/>
          <w:b/>
          <w:bCs/>
          <w:szCs w:val="24"/>
        </w:rPr>
        <w:t>N</w:t>
      </w:r>
      <w:r w:rsidRPr="00CA4E01">
        <w:rPr>
          <w:rFonts w:asciiTheme="minorHAnsi" w:hAnsiTheme="minorHAnsi" w:cstheme="minorHAnsi"/>
          <w:b/>
          <w:bCs/>
          <w:szCs w:val="24"/>
        </w:rPr>
        <w:t xml:space="preserve">etworks </w:t>
      </w:r>
    </w:p>
    <w:p w14:paraId="222C360E" w14:textId="4B241280"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szCs w:val="24"/>
        </w:rPr>
        <w:tab/>
        <w:t xml:space="preserve">There are calls for measures for countering illegal conduct, such as hate speech, in social networks. New initiatives have emerged – such as the </w:t>
      </w:r>
      <w:hyperlink r:id="rId32" w:history="1">
        <w:r w:rsidRPr="00CA4E01">
          <w:rPr>
            <w:rStyle w:val="Hyperlink"/>
            <w:rFonts w:asciiTheme="minorHAnsi" w:hAnsiTheme="minorHAnsi" w:cstheme="minorHAnsi"/>
            <w:szCs w:val="24"/>
          </w:rPr>
          <w:t>Global Internet Forum to Counter Terrorism partnership</w:t>
        </w:r>
      </w:hyperlink>
      <w:r w:rsidRPr="00CA4E01">
        <w:rPr>
          <w:rFonts w:asciiTheme="minorHAnsi" w:hAnsiTheme="minorHAnsi" w:cstheme="minorHAnsi"/>
          <w:szCs w:val="24"/>
        </w:rPr>
        <w:t xml:space="preserve"> between the UN and technology companies Facebook, Microsoft, Twitter, and YouTube – to address such issues. </w:t>
      </w:r>
    </w:p>
    <w:p w14:paraId="1522689E"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c.</w:t>
      </w:r>
      <w:r w:rsidRPr="00CA4E01">
        <w:rPr>
          <w:rFonts w:asciiTheme="minorHAnsi" w:hAnsiTheme="minorHAnsi" w:cstheme="minorHAnsi"/>
          <w:b/>
          <w:bCs/>
          <w:szCs w:val="24"/>
        </w:rPr>
        <w:tab/>
        <w:t xml:space="preserve">Internet of Things (IoT) </w:t>
      </w:r>
    </w:p>
    <w:p w14:paraId="64142B58"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szCs w:val="24"/>
        </w:rPr>
        <w:tab/>
        <w:t>Smart technology is changing the way that the global population lives, interacts, and works.</w:t>
      </w:r>
      <w:r w:rsidRPr="00CA4E01">
        <w:rPr>
          <w:rStyle w:val="FootnoteReference"/>
          <w:rFonts w:asciiTheme="minorHAnsi" w:hAnsiTheme="minorHAnsi" w:cstheme="minorHAnsi"/>
          <w:sz w:val="24"/>
          <w:szCs w:val="24"/>
          <w:vertAlign w:val="superscript"/>
        </w:rPr>
        <w:footnoteReference w:id="16"/>
      </w:r>
      <w:r w:rsidRPr="00CA4E01">
        <w:rPr>
          <w:rFonts w:asciiTheme="minorHAnsi" w:hAnsiTheme="minorHAnsi" w:cstheme="minorHAnsi"/>
          <w:szCs w:val="24"/>
          <w:vertAlign w:val="superscript"/>
        </w:rPr>
        <w:t xml:space="preserve"> </w:t>
      </w:r>
      <w:r w:rsidR="003259C7" w:rsidRPr="00CA4E01">
        <w:rPr>
          <w:rFonts w:asciiTheme="minorHAnsi" w:hAnsiTheme="minorHAnsi" w:cstheme="minorHAnsi"/>
          <w:szCs w:val="24"/>
        </w:rPr>
        <w:t xml:space="preserve">There have been multiple recent instances of web infrastructure across the world being attacked by </w:t>
      </w:r>
      <w:r w:rsidR="003259C7" w:rsidRPr="00CA4E01">
        <w:rPr>
          <w:rFonts w:asciiTheme="minorHAnsi" w:hAnsiTheme="minorHAnsi" w:cstheme="minorHAnsi"/>
          <w:szCs w:val="24"/>
        </w:rPr>
        <w:lastRenderedPageBreak/>
        <w:t>a botnet of hacked connected devices, ranging from webcams to routers</w:t>
      </w:r>
      <w:r w:rsidR="00411097" w:rsidRPr="00CA4E01">
        <w:rPr>
          <w:rFonts w:asciiTheme="minorHAnsi" w:hAnsiTheme="minorHAnsi" w:cstheme="minorHAnsi"/>
          <w:szCs w:val="24"/>
        </w:rPr>
        <w:t xml:space="preserve">. </w:t>
      </w:r>
      <w:r w:rsidRPr="00CA4E01">
        <w:rPr>
          <w:rFonts w:asciiTheme="minorHAnsi" w:hAnsiTheme="minorHAnsi" w:cstheme="minorHAnsi"/>
          <w:szCs w:val="24"/>
        </w:rPr>
        <w:t xml:space="preserve">With the advent of new technologies such as 5G, and ubiquitous interconnected devices having become a reality, there are likely to be increased risks. </w:t>
      </w:r>
    </w:p>
    <w:p w14:paraId="74CFC6C7" w14:textId="77777777" w:rsidR="00CA4EDA" w:rsidRPr="00CA4E01" w:rsidRDefault="00CA4EDA" w:rsidP="00412A12">
      <w:pPr>
        <w:keepNext/>
        <w:keepLines/>
        <w:spacing w:after="120"/>
        <w:jc w:val="both"/>
        <w:rPr>
          <w:rFonts w:asciiTheme="minorHAnsi" w:hAnsiTheme="minorHAnsi" w:cstheme="minorHAnsi"/>
          <w:b/>
          <w:bCs/>
          <w:szCs w:val="24"/>
        </w:rPr>
      </w:pPr>
      <w:r w:rsidRPr="00CA4E01">
        <w:rPr>
          <w:rFonts w:asciiTheme="minorHAnsi" w:hAnsiTheme="minorHAnsi" w:cstheme="minorHAnsi"/>
          <w:b/>
          <w:bCs/>
          <w:szCs w:val="24"/>
        </w:rPr>
        <w:t>d.</w:t>
      </w:r>
      <w:r w:rsidRPr="00CA4E01">
        <w:rPr>
          <w:rFonts w:asciiTheme="minorHAnsi" w:hAnsiTheme="minorHAnsi" w:cstheme="minorHAnsi"/>
          <w:b/>
          <w:bCs/>
          <w:szCs w:val="24"/>
        </w:rPr>
        <w:tab/>
        <w:t>Artificial Intelligence (AI)</w:t>
      </w:r>
    </w:p>
    <w:p w14:paraId="6209AB24" w14:textId="1A79C54D" w:rsidR="00CA4EDA" w:rsidRPr="00CA4E01" w:rsidRDefault="00CA4EDA" w:rsidP="00412A12">
      <w:pPr>
        <w:keepNext/>
        <w:keepLines/>
        <w:spacing w:after="120"/>
        <w:jc w:val="both"/>
        <w:rPr>
          <w:rFonts w:asciiTheme="minorHAnsi" w:hAnsiTheme="minorHAnsi" w:cstheme="minorHAnsi"/>
          <w:szCs w:val="24"/>
        </w:rPr>
      </w:pPr>
      <w:r w:rsidRPr="00CA4E01">
        <w:rPr>
          <w:rFonts w:asciiTheme="minorHAnsi" w:hAnsiTheme="minorHAnsi" w:cstheme="minorHAnsi"/>
          <w:szCs w:val="24"/>
        </w:rPr>
        <w:tab/>
        <w:t xml:space="preserve">Algorithmic transparency, including traceability of actions undertaken, is a very important factor in establishing accountability and liability for decisions made by partially or fully automated systems, and thereby ensuring trust in ICT applications and services. Experts have noted that for several types of AI techniques, such as deep learning, it is difficult to clarify how outcomes are </w:t>
      </w:r>
      <w:r w:rsidRPr="00412A12">
        <w:rPr>
          <w:rFonts w:asciiTheme="minorHAnsi" w:hAnsiTheme="minorHAnsi" w:cstheme="minorHAnsi"/>
          <w:spacing w:val="-2"/>
          <w:szCs w:val="24"/>
        </w:rPr>
        <w:t>reached. As automated decision-making processes become more prevalent in consumer and business applications and services, the need for greater clarity on legal aspects concerning accountability and liability for the analyses and decisions these processes deliver will become prominent.</w:t>
      </w:r>
      <w:r w:rsidRPr="00412A12">
        <w:rPr>
          <w:rStyle w:val="FootnoteReference"/>
          <w:rFonts w:asciiTheme="minorHAnsi" w:hAnsiTheme="minorHAnsi" w:cstheme="minorHAnsi"/>
          <w:spacing w:val="-2"/>
          <w:sz w:val="24"/>
          <w:szCs w:val="24"/>
          <w:vertAlign w:val="superscript"/>
        </w:rPr>
        <w:footnoteReference w:id="17"/>
      </w:r>
    </w:p>
    <w:p w14:paraId="27F75ED1" w14:textId="3ADA4B48" w:rsidR="00CA4EDA" w:rsidRPr="00CA4E01" w:rsidRDefault="00CA4EDA" w:rsidP="00CA4E01">
      <w:pPr>
        <w:spacing w:after="120"/>
        <w:jc w:val="both"/>
        <w:rPr>
          <w:rFonts w:asciiTheme="minorHAnsi" w:hAnsiTheme="minorHAnsi" w:cstheme="minorHAnsi"/>
          <w:b/>
          <w:bCs/>
          <w:szCs w:val="24"/>
        </w:rPr>
      </w:pPr>
      <w:r w:rsidRPr="00CA4E01">
        <w:rPr>
          <w:rFonts w:asciiTheme="minorHAnsi" w:hAnsiTheme="minorHAnsi" w:cstheme="minorHAnsi"/>
          <w:b/>
          <w:bCs/>
          <w:szCs w:val="24"/>
        </w:rPr>
        <w:t>e.</w:t>
      </w:r>
      <w:r w:rsidRPr="00CA4E01">
        <w:rPr>
          <w:rFonts w:asciiTheme="minorHAnsi" w:hAnsiTheme="minorHAnsi" w:cstheme="minorHAnsi"/>
          <w:b/>
          <w:bCs/>
          <w:szCs w:val="24"/>
        </w:rPr>
        <w:tab/>
        <w:t xml:space="preserve">Online </w:t>
      </w:r>
      <w:r w:rsidR="00C63CA4" w:rsidRPr="00CA4E01">
        <w:rPr>
          <w:rFonts w:asciiTheme="minorHAnsi" w:hAnsiTheme="minorHAnsi" w:cstheme="minorHAnsi"/>
          <w:b/>
          <w:bCs/>
          <w:szCs w:val="24"/>
        </w:rPr>
        <w:t>C</w:t>
      </w:r>
      <w:r w:rsidRPr="00CA4E01">
        <w:rPr>
          <w:rFonts w:asciiTheme="minorHAnsi" w:hAnsiTheme="minorHAnsi" w:cstheme="minorHAnsi"/>
          <w:b/>
          <w:bCs/>
          <w:szCs w:val="24"/>
        </w:rPr>
        <w:t xml:space="preserve">hild </w:t>
      </w:r>
      <w:r w:rsidR="00C63CA4" w:rsidRPr="00CA4E01">
        <w:rPr>
          <w:rFonts w:asciiTheme="minorHAnsi" w:hAnsiTheme="minorHAnsi" w:cstheme="minorHAnsi"/>
          <w:b/>
          <w:bCs/>
          <w:szCs w:val="24"/>
        </w:rPr>
        <w:t>S</w:t>
      </w:r>
      <w:r w:rsidRPr="00CA4E01">
        <w:rPr>
          <w:rFonts w:asciiTheme="minorHAnsi" w:hAnsiTheme="minorHAnsi" w:cstheme="minorHAnsi"/>
          <w:b/>
          <w:bCs/>
          <w:szCs w:val="24"/>
        </w:rPr>
        <w:t xml:space="preserve">exual </w:t>
      </w:r>
      <w:r w:rsidR="00C63CA4" w:rsidRPr="00CA4E01">
        <w:rPr>
          <w:rFonts w:asciiTheme="minorHAnsi" w:hAnsiTheme="minorHAnsi" w:cstheme="minorHAnsi"/>
          <w:b/>
          <w:bCs/>
          <w:szCs w:val="24"/>
        </w:rPr>
        <w:t>A</w:t>
      </w:r>
      <w:r w:rsidRPr="00CA4E01">
        <w:rPr>
          <w:rFonts w:asciiTheme="minorHAnsi" w:hAnsiTheme="minorHAnsi" w:cstheme="minorHAnsi"/>
          <w:b/>
          <w:bCs/>
          <w:szCs w:val="24"/>
        </w:rPr>
        <w:t xml:space="preserve">buse </w:t>
      </w:r>
      <w:r w:rsidR="00BD30AB" w:rsidRPr="00CA4E01">
        <w:rPr>
          <w:rFonts w:asciiTheme="minorHAnsi" w:hAnsiTheme="minorHAnsi" w:cstheme="minorHAnsi"/>
          <w:b/>
          <w:bCs/>
          <w:szCs w:val="24"/>
        </w:rPr>
        <w:t xml:space="preserve">and </w:t>
      </w:r>
      <w:r w:rsidR="00C63CA4" w:rsidRPr="00CA4E01">
        <w:rPr>
          <w:rFonts w:asciiTheme="minorHAnsi" w:hAnsiTheme="minorHAnsi" w:cstheme="minorHAnsi"/>
          <w:b/>
          <w:bCs/>
          <w:szCs w:val="24"/>
        </w:rPr>
        <w:t>E</w:t>
      </w:r>
      <w:r w:rsidR="00BD30AB" w:rsidRPr="00CA4E01">
        <w:rPr>
          <w:rFonts w:asciiTheme="minorHAnsi" w:hAnsiTheme="minorHAnsi" w:cstheme="minorHAnsi"/>
          <w:b/>
          <w:bCs/>
          <w:szCs w:val="24"/>
        </w:rPr>
        <w:t>xploitation</w:t>
      </w:r>
    </w:p>
    <w:p w14:paraId="57FD507D" w14:textId="40B08B9E"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ab/>
      </w:r>
      <w:r w:rsidRPr="00CA4E01">
        <w:rPr>
          <w:rFonts w:asciiTheme="minorHAnsi" w:hAnsiTheme="minorHAnsi" w:cstheme="minorHAnsi"/>
          <w:szCs w:val="24"/>
        </w:rPr>
        <w:t xml:space="preserve">The </w:t>
      </w:r>
      <w:hyperlink r:id="rId33" w:history="1">
        <w:r w:rsidRPr="00CA4E01">
          <w:rPr>
            <w:rStyle w:val="Hyperlink"/>
            <w:rFonts w:asciiTheme="minorHAnsi" w:hAnsiTheme="minorHAnsi" w:cstheme="minorHAnsi"/>
            <w:szCs w:val="24"/>
          </w:rPr>
          <w:t>United Nations Convention on the Rights of the Child</w:t>
        </w:r>
      </w:hyperlink>
      <w:r w:rsidRPr="00CA4E01">
        <w:rPr>
          <w:rStyle w:val="Hyperlink"/>
          <w:rFonts w:asciiTheme="minorHAnsi" w:hAnsiTheme="minorHAnsi" w:cstheme="minorHAnsi"/>
          <w:szCs w:val="24"/>
        </w:rPr>
        <w:t xml:space="preserve"> (CRC)</w:t>
      </w:r>
      <w:r w:rsidRPr="00CA4E01">
        <w:rPr>
          <w:rFonts w:asciiTheme="minorHAnsi" w:hAnsiTheme="minorHAnsi" w:cstheme="minorHAnsi"/>
          <w:szCs w:val="24"/>
        </w:rPr>
        <w:t xml:space="preserve"> was adopted in 1989. Article 34 of the Convention obliges State Parties to take appropriate measures to protect children from all forms of sexual exploitation and abuse. In 2002, an </w:t>
      </w:r>
      <w:hyperlink r:id="rId34" w:history="1">
        <w:r w:rsidRPr="00CA4E01">
          <w:rPr>
            <w:rStyle w:val="Hyperlink"/>
            <w:rFonts w:asciiTheme="minorHAnsi" w:hAnsiTheme="minorHAnsi" w:cstheme="minorHAnsi"/>
            <w:szCs w:val="24"/>
          </w:rPr>
          <w:t>Optional Protocol to the CRC on the sale of children, child prostitution and child pornography</w:t>
        </w:r>
      </w:hyperlink>
      <w:r w:rsidRPr="00CA4E01">
        <w:rPr>
          <w:rFonts w:asciiTheme="minorHAnsi" w:hAnsiTheme="minorHAnsi" w:cstheme="minorHAnsi"/>
          <w:szCs w:val="24"/>
        </w:rPr>
        <w:t xml:space="preserve"> came into force. Online child sexual abuse has spread with the growth of the Internet and social media. Experts have called for a comprehensive approach towards the prevention of such abuses.</w:t>
      </w:r>
      <w:r w:rsidRPr="00412A12">
        <w:rPr>
          <w:rStyle w:val="FootnoteReference"/>
          <w:rFonts w:asciiTheme="minorHAnsi" w:hAnsiTheme="minorHAnsi" w:cstheme="minorHAnsi"/>
          <w:sz w:val="20"/>
        </w:rPr>
        <w:footnoteReference w:id="18"/>
      </w:r>
      <w:r w:rsidRPr="00CA4E01">
        <w:rPr>
          <w:rFonts w:asciiTheme="minorHAnsi" w:hAnsiTheme="minorHAnsi" w:cstheme="minorHAnsi"/>
          <w:szCs w:val="24"/>
        </w:rPr>
        <w:t xml:space="preserve"> These include measures to prevent the development of, and access to, websites that contain content related to child sexual abuse, including blocking, filtering, or such other similar technology.</w:t>
      </w:r>
      <w:r w:rsidR="00411097" w:rsidRPr="00CA4E01">
        <w:rPr>
          <w:rFonts w:asciiTheme="minorHAnsi" w:hAnsiTheme="minorHAnsi" w:cstheme="minorHAnsi"/>
          <w:szCs w:val="24"/>
        </w:rPr>
        <w:t xml:space="preserve"> In March 2021, the Committee on the Rights of the Child adopted its</w:t>
      </w:r>
      <w:r w:rsidR="00412A12">
        <w:rPr>
          <w:rFonts w:asciiTheme="minorHAnsi" w:hAnsiTheme="minorHAnsi" w:cstheme="minorHAnsi"/>
          <w:szCs w:val="24"/>
        </w:rPr>
        <w:t xml:space="preserve"> </w:t>
      </w:r>
      <w:hyperlink r:id="rId35" w:history="1">
        <w:r w:rsidR="00411097" w:rsidRPr="00CA4E01">
          <w:rPr>
            <w:rStyle w:val="Hyperlink"/>
            <w:rFonts w:asciiTheme="minorHAnsi" w:hAnsiTheme="minorHAnsi" w:cstheme="minorHAnsi"/>
            <w:szCs w:val="24"/>
          </w:rPr>
          <w:t>general comment No. 25 (2021) on children's rights in relation to the digital environment</w:t>
        </w:r>
      </w:hyperlink>
      <w:r w:rsidR="004061D0" w:rsidRPr="00CA4E01">
        <w:rPr>
          <w:rFonts w:asciiTheme="minorHAnsi" w:hAnsiTheme="minorHAnsi" w:cstheme="minorHAnsi"/>
          <w:szCs w:val="24"/>
        </w:rPr>
        <w:t xml:space="preserve"> which explains how States parties should implement the CRC in relation to the digital environment and provides guidance on relevant legislative, policy and other measures</w:t>
      </w:r>
      <w:r w:rsidR="00EC50A7" w:rsidRPr="00CA4E01">
        <w:rPr>
          <w:rFonts w:asciiTheme="minorHAnsi" w:hAnsiTheme="minorHAnsi" w:cstheme="minorHAnsi"/>
          <w:szCs w:val="24"/>
        </w:rPr>
        <w:t>.</w:t>
      </w:r>
    </w:p>
    <w:p w14:paraId="2C05C013" w14:textId="488B64A3" w:rsidR="009942A1" w:rsidRPr="00CA4E01" w:rsidRDefault="00916843" w:rsidP="00CA4E01">
      <w:pPr>
        <w:spacing w:after="120"/>
        <w:rPr>
          <w:rFonts w:asciiTheme="minorHAnsi" w:hAnsiTheme="minorHAnsi" w:cstheme="minorHAnsi"/>
          <w:b/>
          <w:bCs/>
          <w:szCs w:val="24"/>
        </w:rPr>
      </w:pPr>
      <w:r w:rsidRPr="00CA4E01">
        <w:rPr>
          <w:rFonts w:asciiTheme="minorHAnsi" w:hAnsiTheme="minorHAnsi" w:cstheme="minorHAnsi"/>
          <w:b/>
          <w:bCs/>
          <w:szCs w:val="24"/>
        </w:rPr>
        <w:t>2.</w:t>
      </w:r>
      <w:r w:rsidR="00056A64" w:rsidRPr="00CA4E01">
        <w:rPr>
          <w:rFonts w:asciiTheme="minorHAnsi" w:hAnsiTheme="minorHAnsi" w:cstheme="minorHAnsi"/>
          <w:b/>
          <w:bCs/>
          <w:szCs w:val="24"/>
        </w:rPr>
        <w:t>8</w:t>
      </w:r>
      <w:r w:rsidRPr="00CA4E01">
        <w:rPr>
          <w:rFonts w:asciiTheme="minorHAnsi" w:hAnsiTheme="minorHAnsi" w:cstheme="minorHAnsi"/>
          <w:b/>
          <w:bCs/>
          <w:szCs w:val="24"/>
        </w:rPr>
        <w:tab/>
      </w:r>
      <w:r w:rsidR="00CA4EDA" w:rsidRPr="00CA4E01">
        <w:rPr>
          <w:rFonts w:asciiTheme="minorHAnsi" w:hAnsiTheme="minorHAnsi" w:cstheme="minorHAnsi"/>
          <w:b/>
          <w:bCs/>
          <w:szCs w:val="24"/>
        </w:rPr>
        <w:t xml:space="preserve">Procedural </w:t>
      </w:r>
      <w:r w:rsidR="00C63CA4" w:rsidRPr="00CA4E01">
        <w:rPr>
          <w:rFonts w:asciiTheme="minorHAnsi" w:hAnsiTheme="minorHAnsi" w:cstheme="minorHAnsi"/>
          <w:b/>
          <w:bCs/>
          <w:szCs w:val="24"/>
        </w:rPr>
        <w:t>L</w:t>
      </w:r>
      <w:r w:rsidR="00CA4EDA" w:rsidRPr="00CA4E01">
        <w:rPr>
          <w:rFonts w:asciiTheme="minorHAnsi" w:hAnsiTheme="minorHAnsi" w:cstheme="minorHAnsi"/>
          <w:b/>
          <w:bCs/>
          <w:szCs w:val="24"/>
        </w:rPr>
        <w:t xml:space="preserve">aws - General </w:t>
      </w:r>
      <w:r w:rsidR="00C63CA4" w:rsidRPr="00CA4E01">
        <w:rPr>
          <w:rFonts w:asciiTheme="minorHAnsi" w:hAnsiTheme="minorHAnsi" w:cstheme="minorHAnsi"/>
          <w:b/>
          <w:bCs/>
          <w:szCs w:val="24"/>
        </w:rPr>
        <w:t>P</w:t>
      </w:r>
      <w:r w:rsidR="00CA4EDA" w:rsidRPr="00CA4E01">
        <w:rPr>
          <w:rFonts w:asciiTheme="minorHAnsi" w:hAnsiTheme="minorHAnsi" w:cstheme="minorHAnsi"/>
          <w:b/>
          <w:bCs/>
          <w:szCs w:val="24"/>
        </w:rPr>
        <w:t xml:space="preserve">rinciples </w:t>
      </w:r>
    </w:p>
    <w:p w14:paraId="73A66B9F" w14:textId="38A63EAA" w:rsidR="00916843" w:rsidRPr="00CA4E01" w:rsidRDefault="009942A1" w:rsidP="00CA4E01">
      <w:pPr>
        <w:spacing w:after="120"/>
        <w:jc w:val="both"/>
        <w:rPr>
          <w:rFonts w:asciiTheme="minorHAnsi" w:hAnsiTheme="minorHAnsi" w:cstheme="minorHAnsi"/>
          <w:iCs/>
          <w:szCs w:val="24"/>
          <w:lang w:val="en-US"/>
        </w:rPr>
      </w:pPr>
      <w:r w:rsidRPr="00CA4E01">
        <w:rPr>
          <w:rFonts w:asciiTheme="minorHAnsi" w:hAnsiTheme="minorHAnsi" w:cstheme="minorHAnsi"/>
          <w:b/>
          <w:bCs/>
          <w:szCs w:val="24"/>
        </w:rPr>
        <w:tab/>
      </w:r>
      <w:r w:rsidR="00CA4EDA" w:rsidRPr="00CA4E01">
        <w:rPr>
          <w:rFonts w:asciiTheme="minorHAnsi" w:hAnsiTheme="minorHAnsi" w:cstheme="minorHAnsi"/>
          <w:szCs w:val="24"/>
        </w:rPr>
        <w:t>Adopting the procedural laws necessary to establish powers and procedures for the prosecution of criminal conducts in cyberspace has been considered an essential legal measure for the global prevention, investigation, and prosecution of cybercrime</w:t>
      </w:r>
      <w:r w:rsidR="00CD35E4" w:rsidRPr="00CA4E01">
        <w:rPr>
          <w:rFonts w:asciiTheme="minorHAnsi" w:hAnsiTheme="minorHAnsi" w:cstheme="minorHAnsi"/>
          <w:szCs w:val="24"/>
        </w:rPr>
        <w:t xml:space="preserve"> and to ensure cybersecurity</w:t>
      </w:r>
      <w:r w:rsidR="00CA4EDA" w:rsidRPr="00CA4E01">
        <w:rPr>
          <w:rFonts w:asciiTheme="minorHAnsi" w:hAnsiTheme="minorHAnsi" w:cstheme="minorHAnsi"/>
          <w:szCs w:val="24"/>
        </w:rPr>
        <w:t>. However, some experts have noted that such powers and procedures could also be necessary for the prosecution of other criminal offences committed by means of a computer system, and regulations could apply to the collection of evidence in electronic form of all criminal offences.</w:t>
      </w:r>
      <w:r w:rsidR="00CA4EDA" w:rsidRPr="00CA4E01">
        <w:rPr>
          <w:rStyle w:val="FootnoteReference"/>
          <w:rFonts w:asciiTheme="minorHAnsi" w:hAnsiTheme="minorHAnsi" w:cstheme="minorHAnsi"/>
          <w:sz w:val="24"/>
          <w:szCs w:val="24"/>
          <w:vertAlign w:val="superscript"/>
        </w:rPr>
        <w:footnoteReference w:id="19"/>
      </w:r>
      <w:r w:rsidR="00CA4EDA" w:rsidRPr="00CA4E01">
        <w:rPr>
          <w:rFonts w:asciiTheme="minorHAnsi" w:hAnsiTheme="minorHAnsi" w:cstheme="minorHAnsi"/>
          <w:szCs w:val="24"/>
        </w:rPr>
        <w:t xml:space="preserve"> All procedural laws should be consistent with obligations and standards set under international human rights law.</w:t>
      </w:r>
      <w:r w:rsidR="007C1FD2" w:rsidRPr="00CA4E01">
        <w:rPr>
          <w:rFonts w:asciiTheme="minorHAnsi" w:hAnsiTheme="minorHAnsi" w:cstheme="minorHAnsi"/>
          <w:szCs w:val="24"/>
        </w:rPr>
        <w:t xml:space="preserve"> </w:t>
      </w:r>
      <w:r w:rsidR="00102F11" w:rsidRPr="00CA4E01">
        <w:rPr>
          <w:rFonts w:asciiTheme="minorHAnsi" w:hAnsiTheme="minorHAnsi" w:cstheme="minorHAnsi"/>
          <w:szCs w:val="24"/>
        </w:rPr>
        <w:t>In this regard,</w:t>
      </w:r>
      <w:r w:rsidR="00102F11" w:rsidRPr="00CA4E01">
        <w:rPr>
          <w:rFonts w:asciiTheme="minorHAnsi" w:hAnsiTheme="minorHAnsi" w:cstheme="minorHAnsi"/>
          <w:iCs/>
          <w:szCs w:val="24"/>
          <w:lang w:val="en-US"/>
        </w:rPr>
        <w:t xml:space="preserve"> noting that the principle of state sovereignty applies in cyberspace,</w:t>
      </w:r>
      <w:r w:rsidR="00102F11" w:rsidRPr="00CA4E01">
        <w:rPr>
          <w:rFonts w:asciiTheme="minorHAnsi" w:hAnsiTheme="minorHAnsi" w:cstheme="minorHAnsi"/>
          <w:szCs w:val="24"/>
        </w:rPr>
        <w:t xml:space="preserve"> there have also been</w:t>
      </w:r>
      <w:r w:rsidR="00102F11" w:rsidRPr="00CA4E01">
        <w:rPr>
          <w:rFonts w:asciiTheme="minorHAnsi" w:hAnsiTheme="minorHAnsi" w:cstheme="minorHAnsi"/>
          <w:szCs w:val="24"/>
        </w:rPr>
        <w:t xml:space="preserve"> </w:t>
      </w:r>
      <w:r w:rsidR="008F24EC">
        <w:rPr>
          <w:rFonts w:asciiTheme="minorHAnsi" w:hAnsiTheme="minorHAnsi" w:cstheme="minorHAnsi"/>
          <w:szCs w:val="24"/>
        </w:rPr>
        <w:t xml:space="preserve">requests </w:t>
      </w:r>
      <w:r w:rsidR="00DE0371" w:rsidRPr="008F24EC">
        <w:rPr>
          <w:rFonts w:asciiTheme="minorHAnsi" w:hAnsiTheme="minorHAnsi" w:cstheme="minorHAnsi"/>
          <w:szCs w:val="24"/>
        </w:rPr>
        <w:t>and</w:t>
      </w:r>
      <w:r w:rsidR="00DE0371" w:rsidRPr="008F24EC">
        <w:rPr>
          <w:rFonts w:asciiTheme="minorHAnsi" w:hAnsiTheme="minorHAnsi" w:cstheme="minorHAnsi"/>
          <w:szCs w:val="24"/>
        </w:rPr>
        <w:t xml:space="preserve"> </w:t>
      </w:r>
      <w:r w:rsidR="00102F11" w:rsidRPr="008F24EC">
        <w:rPr>
          <w:rFonts w:asciiTheme="minorHAnsi" w:hAnsiTheme="minorHAnsi" w:cstheme="minorHAnsi"/>
          <w:szCs w:val="24"/>
        </w:rPr>
        <w:t>discussions on</w:t>
      </w:r>
      <w:r w:rsidR="00102F11" w:rsidRPr="00CA4E01">
        <w:rPr>
          <w:rFonts w:asciiTheme="minorHAnsi" w:hAnsiTheme="minorHAnsi" w:cstheme="minorHAnsi"/>
          <w:szCs w:val="24"/>
        </w:rPr>
        <w:t xml:space="preserve"> exploring </w:t>
      </w:r>
      <w:r w:rsidR="00102F11" w:rsidRPr="00CA4E01">
        <w:rPr>
          <w:rFonts w:asciiTheme="minorHAnsi" w:hAnsiTheme="minorHAnsi" w:cstheme="minorHAnsi"/>
          <w:iCs/>
          <w:szCs w:val="24"/>
          <w:lang w:val="en-US"/>
        </w:rPr>
        <w:t>mechanisms that can potentially facilitate lawful access to the content of communications where end-to-end encryption has been implemented, while ensuring that the fundamental rights and safety of citizens are protected</w:t>
      </w:r>
      <w:r w:rsidR="00D16401" w:rsidRPr="00412A12">
        <w:rPr>
          <w:rStyle w:val="FootnoteReference"/>
          <w:rFonts w:asciiTheme="minorHAnsi" w:hAnsiTheme="minorHAnsi" w:cstheme="minorHAnsi"/>
          <w:iCs/>
          <w:sz w:val="20"/>
          <w:lang w:val="en-US"/>
        </w:rPr>
        <w:footnoteReference w:id="20"/>
      </w:r>
      <w:r w:rsidR="00102F11" w:rsidRPr="00CA4E01">
        <w:rPr>
          <w:rFonts w:asciiTheme="minorHAnsi" w:hAnsiTheme="minorHAnsi" w:cstheme="minorHAnsi"/>
          <w:iCs/>
          <w:szCs w:val="24"/>
          <w:lang w:val="en-US"/>
        </w:rPr>
        <w:t>.</w:t>
      </w:r>
      <w:r w:rsidR="003259C7" w:rsidRPr="00CA4E01">
        <w:rPr>
          <w:rFonts w:asciiTheme="minorHAnsi" w:hAnsiTheme="minorHAnsi" w:cstheme="minorHAnsi"/>
          <w:iCs/>
          <w:szCs w:val="24"/>
          <w:lang w:val="en-US"/>
        </w:rPr>
        <w:t xml:space="preserve"> </w:t>
      </w:r>
      <w:r w:rsidR="00EC50A7" w:rsidRPr="00CA4E01">
        <w:rPr>
          <w:rFonts w:asciiTheme="minorHAnsi" w:hAnsiTheme="minorHAnsi" w:cstheme="minorHAnsi"/>
          <w:iCs/>
          <w:szCs w:val="24"/>
          <w:lang w:val="en-US"/>
        </w:rPr>
        <w:t>Some stakeholders</w:t>
      </w:r>
      <w:r w:rsidR="003E7AFF" w:rsidRPr="00CA4E01">
        <w:rPr>
          <w:rFonts w:asciiTheme="minorHAnsi" w:hAnsiTheme="minorHAnsi" w:cstheme="minorHAnsi"/>
          <w:iCs/>
          <w:szCs w:val="24"/>
          <w:lang w:val="en-US"/>
        </w:rPr>
        <w:t xml:space="preserve"> have cautioned that any such mechanisms would weaken the security of the </w:t>
      </w:r>
      <w:r w:rsidR="003E7AFF" w:rsidRPr="00CA4E01">
        <w:rPr>
          <w:rFonts w:asciiTheme="minorHAnsi" w:hAnsiTheme="minorHAnsi" w:cstheme="minorHAnsi"/>
          <w:iCs/>
          <w:szCs w:val="24"/>
          <w:lang w:val="en-US"/>
        </w:rPr>
        <w:lastRenderedPageBreak/>
        <w:t>Internet and place the global economy, the critical services many depend on, and the lives of citizens at greater risk of harm.</w:t>
      </w:r>
      <w:r w:rsidR="003259C7" w:rsidRPr="00CA4E01">
        <w:rPr>
          <w:rFonts w:asciiTheme="minorHAnsi" w:hAnsiTheme="minorHAnsi" w:cstheme="minorHAnsi"/>
          <w:iCs/>
          <w:szCs w:val="24"/>
          <w:lang w:val="en-US"/>
        </w:rPr>
        <w:t xml:space="preserve"> </w:t>
      </w:r>
    </w:p>
    <w:p w14:paraId="527BA0FB" w14:textId="77777777" w:rsidR="00EF5CA6" w:rsidRPr="00CA4E01" w:rsidRDefault="00916843" w:rsidP="00CA4E01">
      <w:pPr>
        <w:spacing w:after="120"/>
        <w:jc w:val="both"/>
        <w:rPr>
          <w:rFonts w:asciiTheme="minorHAnsi" w:hAnsiTheme="minorHAnsi" w:cstheme="minorHAnsi"/>
          <w:iCs/>
          <w:szCs w:val="24"/>
        </w:rPr>
      </w:pPr>
      <w:r w:rsidRPr="00CA4E01">
        <w:rPr>
          <w:rFonts w:asciiTheme="minorHAnsi" w:hAnsiTheme="minorHAnsi" w:cstheme="minorHAnsi"/>
          <w:b/>
          <w:bCs/>
          <w:iCs/>
          <w:szCs w:val="24"/>
          <w:lang w:val="en-US"/>
        </w:rPr>
        <w:t>2.</w:t>
      </w:r>
      <w:r w:rsidR="00056A64" w:rsidRPr="00CA4E01">
        <w:rPr>
          <w:rFonts w:asciiTheme="minorHAnsi" w:hAnsiTheme="minorHAnsi" w:cstheme="minorHAnsi"/>
          <w:b/>
          <w:bCs/>
          <w:iCs/>
          <w:szCs w:val="24"/>
          <w:lang w:val="en-US"/>
        </w:rPr>
        <w:t>9</w:t>
      </w:r>
      <w:r w:rsidRPr="00CA4E01">
        <w:rPr>
          <w:rFonts w:asciiTheme="minorHAnsi" w:hAnsiTheme="minorHAnsi" w:cstheme="minorHAnsi"/>
          <w:b/>
          <w:bCs/>
          <w:iCs/>
          <w:szCs w:val="24"/>
          <w:lang w:val="en-US"/>
        </w:rPr>
        <w:tab/>
      </w:r>
      <w:r w:rsidRPr="00CA4E01">
        <w:rPr>
          <w:rFonts w:asciiTheme="minorHAnsi" w:hAnsiTheme="minorHAnsi" w:cstheme="minorHAnsi"/>
          <w:iCs/>
          <w:szCs w:val="24"/>
          <w:lang w:val="en-US"/>
        </w:rPr>
        <w:t>In light of the above</w:t>
      </w:r>
      <w:r w:rsidR="00EF5CA6" w:rsidRPr="00CA4E01">
        <w:rPr>
          <w:rFonts w:asciiTheme="minorHAnsi" w:hAnsiTheme="minorHAnsi" w:cstheme="minorHAnsi"/>
          <w:iCs/>
          <w:szCs w:val="24"/>
          <w:lang w:val="en-US"/>
        </w:rPr>
        <w:t xml:space="preserve"> sections</w:t>
      </w:r>
      <w:r w:rsidRPr="00CA4E01">
        <w:rPr>
          <w:rFonts w:asciiTheme="minorHAnsi" w:hAnsiTheme="minorHAnsi" w:cstheme="minorHAnsi"/>
          <w:iCs/>
          <w:szCs w:val="24"/>
          <w:lang w:val="en-US"/>
        </w:rPr>
        <w:t>,</w:t>
      </w:r>
      <w:r w:rsidRPr="00CA4E01">
        <w:rPr>
          <w:rFonts w:asciiTheme="minorHAnsi" w:hAnsiTheme="minorHAnsi" w:cstheme="minorHAnsi"/>
          <w:b/>
          <w:bCs/>
          <w:iCs/>
          <w:szCs w:val="24"/>
          <w:lang w:val="en-US"/>
        </w:rPr>
        <w:t xml:space="preserve"> </w:t>
      </w:r>
      <w:r w:rsidR="00EF5CA6" w:rsidRPr="00CA4E01">
        <w:rPr>
          <w:rFonts w:asciiTheme="minorHAnsi" w:hAnsiTheme="minorHAnsi" w:cstheme="minorHAnsi"/>
          <w:iCs/>
          <w:szCs w:val="24"/>
        </w:rPr>
        <w:t xml:space="preserve">it is clear that countries </w:t>
      </w:r>
      <w:r w:rsidR="00AB69D7" w:rsidRPr="00CA4E01">
        <w:rPr>
          <w:rFonts w:asciiTheme="minorHAnsi" w:hAnsiTheme="minorHAnsi" w:cstheme="minorHAnsi"/>
          <w:iCs/>
          <w:szCs w:val="24"/>
        </w:rPr>
        <w:t>should</w:t>
      </w:r>
      <w:r w:rsidR="00EF5CA6" w:rsidRPr="00CA4E01">
        <w:rPr>
          <w:rFonts w:asciiTheme="minorHAnsi" w:hAnsiTheme="minorHAnsi" w:cstheme="minorHAnsi"/>
          <w:iCs/>
          <w:szCs w:val="24"/>
        </w:rPr>
        <w:t xml:space="preserve"> continue to take appropriate legal measures to protect their critical communication and information infrastructures (and any related asset, system, or part thereof) that are essential for the maintenance of vital societal functions such as the health, safety, security, economic, or social well-being of people, and prevent any disruption or destruction that may cause significant impact to, and failure to function of, such critical infrastructures.</w:t>
      </w:r>
    </w:p>
    <w:p w14:paraId="635D05EB" w14:textId="26A0980F"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18" w:name="_Toc37331404"/>
      <w:r w:rsidRPr="00CA4E01">
        <w:rPr>
          <w:rFonts w:asciiTheme="minorHAnsi" w:hAnsiTheme="minorHAnsi" w:cstheme="minorHAnsi"/>
          <w:color w:val="365F91" w:themeColor="accent1" w:themeShade="BF"/>
          <w:szCs w:val="24"/>
        </w:rPr>
        <w:t xml:space="preserve">Guidelines to </w:t>
      </w:r>
      <w:r w:rsidR="005A0575" w:rsidRPr="00CA4E01">
        <w:rPr>
          <w:rFonts w:asciiTheme="minorHAnsi" w:hAnsiTheme="minorHAnsi" w:cstheme="minorHAnsi"/>
          <w:color w:val="365F91" w:themeColor="accent1" w:themeShade="BF"/>
          <w:szCs w:val="24"/>
        </w:rPr>
        <w:t>U</w:t>
      </w:r>
      <w:r w:rsidRPr="00CA4E01">
        <w:rPr>
          <w:rFonts w:asciiTheme="minorHAnsi" w:hAnsiTheme="minorHAnsi" w:cstheme="minorHAnsi"/>
          <w:color w:val="365F91" w:themeColor="accent1" w:themeShade="BF"/>
          <w:szCs w:val="24"/>
        </w:rPr>
        <w:t>tilize Pillar 1 - Legal Measures</w:t>
      </w:r>
      <w:bookmarkEnd w:id="18"/>
      <w:r w:rsidRPr="00CA4E01">
        <w:rPr>
          <w:rFonts w:asciiTheme="minorHAnsi" w:hAnsiTheme="minorHAnsi" w:cstheme="minorHAnsi"/>
          <w:color w:val="365F91" w:themeColor="accent1" w:themeShade="BF"/>
          <w:szCs w:val="24"/>
        </w:rPr>
        <w:t xml:space="preserve"> </w:t>
      </w:r>
    </w:p>
    <w:p w14:paraId="02B8EBCE"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2.</w:t>
      </w:r>
      <w:r w:rsidR="00056A64" w:rsidRPr="00CA4E01">
        <w:rPr>
          <w:rFonts w:asciiTheme="minorHAnsi" w:hAnsiTheme="minorHAnsi" w:cstheme="minorHAnsi"/>
          <w:b/>
          <w:bCs/>
          <w:szCs w:val="24"/>
        </w:rPr>
        <w:t>10</w:t>
      </w:r>
      <w:r w:rsidRPr="00CA4E01">
        <w:rPr>
          <w:rFonts w:asciiTheme="minorHAnsi" w:hAnsiTheme="minorHAnsi" w:cstheme="minorHAnsi"/>
          <w:szCs w:val="24"/>
        </w:rPr>
        <w:tab/>
        <w:t xml:space="preserve">As recognized earlier, the five GCA Pillars are all mutually inter-dependent, with the one on legal measures cutting across them all. </w:t>
      </w:r>
    </w:p>
    <w:p w14:paraId="0B3AF2BD" w14:textId="77777777" w:rsidR="00CA4EDA" w:rsidRPr="00CA4E01" w:rsidRDefault="00CA4EDA" w:rsidP="00412A12">
      <w:pPr>
        <w:spacing w:after="120"/>
        <w:jc w:val="both"/>
        <w:rPr>
          <w:rFonts w:asciiTheme="minorHAnsi" w:hAnsiTheme="minorHAnsi" w:cstheme="minorHAnsi"/>
          <w:szCs w:val="24"/>
        </w:rPr>
      </w:pPr>
      <w:r w:rsidRPr="00CA4E01">
        <w:rPr>
          <w:rFonts w:asciiTheme="minorHAnsi" w:hAnsiTheme="minorHAnsi" w:cstheme="minorHAnsi"/>
          <w:b/>
          <w:bCs/>
          <w:szCs w:val="24"/>
        </w:rPr>
        <w:t>2.</w:t>
      </w:r>
      <w:r w:rsidR="00056A64" w:rsidRPr="00CA4E01">
        <w:rPr>
          <w:rFonts w:asciiTheme="minorHAnsi" w:hAnsiTheme="minorHAnsi" w:cstheme="minorHAnsi"/>
          <w:b/>
          <w:bCs/>
          <w:szCs w:val="24"/>
        </w:rPr>
        <w:t>11</w:t>
      </w:r>
      <w:r w:rsidRPr="00CA4E01">
        <w:rPr>
          <w:rFonts w:asciiTheme="minorHAnsi" w:hAnsiTheme="minorHAnsi" w:cstheme="minorHAnsi"/>
          <w:szCs w:val="24"/>
        </w:rPr>
        <w:tab/>
        <w:t xml:space="preserve">Since the launch of the GCA, ITU’s focus has been on the areas of cybersecurity that are within its core mandate and expertise, notably the technical and development spheres, and not those related to Member States' application of legal or policy principles related to national defence, national security, content, and cybercrime, which are within their sovereign rights. Therefore, with respect to activities under Pillar 1, ITU has primarily focused on facilitating collaborative action, using mechanisms such as </w:t>
      </w:r>
      <w:proofErr w:type="spellStart"/>
      <w:r w:rsidRPr="00CA4E01">
        <w:rPr>
          <w:rFonts w:asciiTheme="minorHAnsi" w:hAnsiTheme="minorHAnsi" w:cstheme="minorHAnsi"/>
          <w:szCs w:val="24"/>
        </w:rPr>
        <w:t>MoUs</w:t>
      </w:r>
      <w:proofErr w:type="spellEnd"/>
      <w:r w:rsidRPr="00CA4E01">
        <w:rPr>
          <w:rFonts w:asciiTheme="minorHAnsi" w:hAnsiTheme="minorHAnsi" w:cstheme="minorHAnsi"/>
          <w:szCs w:val="24"/>
        </w:rPr>
        <w:t xml:space="preserve">, with other relevant international organizations and stakeholders (such as INTERPOL and UNODC) who may have a lead mandate in this area to deliver assistance to countries. This has included helping Member States understand the legal aspects of cybersecurity, through resources such as the </w:t>
      </w:r>
      <w:hyperlink r:id="rId36" w:history="1">
        <w:r w:rsidRPr="00CA4E01">
          <w:rPr>
            <w:rStyle w:val="Hyperlink"/>
            <w:rFonts w:asciiTheme="minorHAnsi" w:hAnsiTheme="minorHAnsi" w:cstheme="minorHAnsi"/>
            <w:szCs w:val="24"/>
          </w:rPr>
          <w:t>ITU Cybercrime Legislation Resources</w:t>
        </w:r>
      </w:hyperlink>
      <w:r w:rsidRPr="00CA4E01">
        <w:rPr>
          <w:rStyle w:val="Hyperlink"/>
          <w:rFonts w:asciiTheme="minorHAnsi" w:hAnsiTheme="minorHAnsi" w:cstheme="minorHAnsi"/>
          <w:szCs w:val="24"/>
        </w:rPr>
        <w:t xml:space="preserve"> and the </w:t>
      </w:r>
      <w:hyperlink r:id="rId37" w:history="1">
        <w:r w:rsidRPr="00CA4E01">
          <w:rPr>
            <w:rStyle w:val="Hyperlink"/>
            <w:rFonts w:asciiTheme="minorHAnsi" w:hAnsiTheme="minorHAnsi" w:cstheme="minorHAnsi"/>
            <w:szCs w:val="24"/>
          </w:rPr>
          <w:t>UNODC Cybercrime Repository</w:t>
        </w:r>
      </w:hyperlink>
      <w:r w:rsidRPr="00CA4E01">
        <w:rPr>
          <w:rFonts w:asciiTheme="minorHAnsi" w:hAnsiTheme="minorHAnsi" w:cstheme="minorHAnsi"/>
          <w:szCs w:val="24"/>
        </w:rPr>
        <w:t xml:space="preserve">. Work was also done to assist Member States in the Caribbean, Sub-Saharan Africa, and </w:t>
      </w:r>
      <w:r w:rsidRPr="00412A12">
        <w:rPr>
          <w:rFonts w:asciiTheme="minorHAnsi" w:hAnsiTheme="minorHAnsi" w:cstheme="minorHAnsi"/>
          <w:spacing w:val="-4"/>
          <w:szCs w:val="24"/>
        </w:rPr>
        <w:t>Pacific Islands in harmonizing ICT regulations and legislations, including cybercrime legal frameworks.</w:t>
      </w:r>
    </w:p>
    <w:tbl>
      <w:tblPr>
        <w:tblStyle w:val="TableGrid"/>
        <w:tblW w:w="0" w:type="auto"/>
        <w:tblLook w:val="04A0" w:firstRow="1" w:lastRow="0" w:firstColumn="1" w:lastColumn="0" w:noHBand="0" w:noVBand="1"/>
      </w:tblPr>
      <w:tblGrid>
        <w:gridCol w:w="9475"/>
      </w:tblGrid>
      <w:tr w:rsidR="00CA4EDA" w:rsidRPr="00CA4E01" w14:paraId="7C243A5E" w14:textId="77777777" w:rsidTr="00412A12">
        <w:trPr>
          <w:trHeight w:val="8178"/>
        </w:trPr>
        <w:tc>
          <w:tcPr>
            <w:tcW w:w="9475"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F7EF947" w14:textId="77777777" w:rsidR="00CA4EDA" w:rsidRPr="00412A12" w:rsidRDefault="00CA4EDA" w:rsidP="00412A12">
            <w:pPr>
              <w:tabs>
                <w:tab w:val="clear" w:pos="567"/>
                <w:tab w:val="clear" w:pos="1134"/>
                <w:tab w:val="clear" w:pos="1701"/>
                <w:tab w:val="clear" w:pos="2268"/>
                <w:tab w:val="clear" w:pos="2835"/>
              </w:tabs>
              <w:spacing w:before="100" w:after="100"/>
              <w:jc w:val="both"/>
              <w:rPr>
                <w:rFonts w:asciiTheme="minorHAnsi" w:hAnsiTheme="minorHAnsi" w:cstheme="minorHAnsi"/>
                <w:b/>
                <w:bCs/>
                <w:sz w:val="23"/>
                <w:szCs w:val="23"/>
              </w:rPr>
            </w:pPr>
            <w:r w:rsidRPr="00412A12">
              <w:rPr>
                <w:rFonts w:asciiTheme="minorHAnsi" w:hAnsiTheme="minorHAnsi" w:cstheme="minorHAnsi"/>
                <w:b/>
                <w:bCs/>
                <w:sz w:val="23"/>
                <w:szCs w:val="23"/>
              </w:rPr>
              <w:lastRenderedPageBreak/>
              <w:t>2.</w:t>
            </w:r>
            <w:r w:rsidR="00056A64" w:rsidRPr="00412A12">
              <w:rPr>
                <w:rFonts w:asciiTheme="minorHAnsi" w:hAnsiTheme="minorHAnsi" w:cstheme="minorHAnsi"/>
                <w:b/>
                <w:bCs/>
                <w:sz w:val="23"/>
                <w:szCs w:val="23"/>
              </w:rPr>
              <w:t>12</w:t>
            </w:r>
            <w:r w:rsidRPr="00412A12">
              <w:rPr>
                <w:rFonts w:asciiTheme="minorHAnsi" w:hAnsiTheme="minorHAnsi" w:cstheme="minorHAnsi"/>
                <w:sz w:val="23"/>
                <w:szCs w:val="23"/>
              </w:rPr>
              <w:tab/>
              <w:t xml:space="preserve">Given the rapid advancements in technology, measures taken by organizations and </w:t>
            </w:r>
            <w:r w:rsidRPr="00412A12">
              <w:rPr>
                <w:rFonts w:asciiTheme="minorHAnsi" w:hAnsiTheme="minorHAnsi" w:cstheme="minorHAnsi"/>
                <w:spacing w:val="-2"/>
                <w:sz w:val="23"/>
                <w:szCs w:val="23"/>
              </w:rPr>
              <w:t>countries need to evolve to keep pace with the rate of change. This brings new complexities to the challenge of cybersecurity, requiring close examination from a variety of different perspectives. In this context, proposed guidelines for utilization of Pillar 1 are set out below:</w:t>
            </w:r>
          </w:p>
          <w:p w14:paraId="752E079A" w14:textId="77777777" w:rsidR="00CA4EDA" w:rsidRPr="00412A12" w:rsidRDefault="00CA4EDA" w:rsidP="00412A12">
            <w:pPr>
              <w:spacing w:before="100" w:after="100"/>
              <w:jc w:val="both"/>
              <w:rPr>
                <w:rFonts w:asciiTheme="minorHAnsi" w:hAnsiTheme="minorHAnsi" w:cstheme="minorHAnsi"/>
                <w:sz w:val="23"/>
                <w:szCs w:val="23"/>
              </w:rPr>
            </w:pPr>
            <w:r w:rsidRPr="00412A12">
              <w:rPr>
                <w:rFonts w:asciiTheme="minorHAnsi" w:hAnsiTheme="minorHAnsi" w:cstheme="minorHAnsi"/>
                <w:b/>
                <w:bCs/>
                <w:sz w:val="23"/>
                <w:szCs w:val="23"/>
              </w:rPr>
              <w:t>a.</w:t>
            </w:r>
            <w:r w:rsidRPr="00412A12">
              <w:rPr>
                <w:rFonts w:asciiTheme="minorHAnsi" w:hAnsiTheme="minorHAnsi" w:cstheme="minorHAnsi"/>
                <w:b/>
                <w:bCs/>
                <w:sz w:val="23"/>
                <w:szCs w:val="23"/>
              </w:rPr>
              <w:tab/>
            </w:r>
            <w:r w:rsidRPr="00412A12">
              <w:rPr>
                <w:rFonts w:asciiTheme="minorHAnsi" w:hAnsiTheme="minorHAnsi" w:cstheme="minorHAnsi"/>
                <w:sz w:val="23"/>
                <w:szCs w:val="23"/>
              </w:rPr>
              <w:t xml:space="preserve">ITU should continue its efforts to facilitate multi-stakeholder discussions and collaboration on the challenges associated with addressing the issue of cybersecurity, </w:t>
            </w:r>
            <w:proofErr w:type="gramStart"/>
            <w:r w:rsidRPr="00412A12">
              <w:rPr>
                <w:rFonts w:asciiTheme="minorHAnsi" w:hAnsiTheme="minorHAnsi" w:cstheme="minorHAnsi"/>
                <w:sz w:val="23"/>
                <w:szCs w:val="23"/>
              </w:rPr>
              <w:t>and in particular, strengthen</w:t>
            </w:r>
            <w:proofErr w:type="gramEnd"/>
            <w:r w:rsidRPr="00412A12">
              <w:rPr>
                <w:rFonts w:asciiTheme="minorHAnsi" w:hAnsiTheme="minorHAnsi" w:cstheme="minorHAnsi"/>
                <w:sz w:val="23"/>
                <w:szCs w:val="23"/>
              </w:rPr>
              <w:t xml:space="preserve"> its relationship with partners and other stakeholders to deliver assistance to Member States in this regard.</w:t>
            </w:r>
          </w:p>
          <w:p w14:paraId="01E68261" w14:textId="77777777" w:rsidR="00CA4EDA" w:rsidRPr="00412A12" w:rsidRDefault="00CA4EDA" w:rsidP="00412A12">
            <w:pPr>
              <w:spacing w:before="100" w:after="100"/>
              <w:jc w:val="both"/>
              <w:rPr>
                <w:rFonts w:asciiTheme="minorHAnsi" w:hAnsiTheme="minorHAnsi" w:cstheme="minorHAnsi"/>
                <w:sz w:val="23"/>
                <w:szCs w:val="23"/>
              </w:rPr>
            </w:pPr>
            <w:r w:rsidRPr="00412A12">
              <w:rPr>
                <w:rFonts w:asciiTheme="minorHAnsi" w:hAnsiTheme="minorHAnsi" w:cstheme="minorHAnsi"/>
                <w:b/>
                <w:bCs/>
                <w:sz w:val="23"/>
                <w:szCs w:val="23"/>
              </w:rPr>
              <w:t>b.</w:t>
            </w:r>
            <w:r w:rsidRPr="00412A12">
              <w:rPr>
                <w:rFonts w:asciiTheme="minorHAnsi" w:hAnsiTheme="minorHAnsi" w:cstheme="minorHAnsi"/>
                <w:b/>
                <w:bCs/>
                <w:sz w:val="23"/>
                <w:szCs w:val="23"/>
              </w:rPr>
              <w:tab/>
            </w:r>
            <w:r w:rsidRPr="00412A12">
              <w:rPr>
                <w:rFonts w:asciiTheme="minorHAnsi" w:hAnsiTheme="minorHAnsi" w:cstheme="minorHAnsi"/>
                <w:sz w:val="23"/>
                <w:szCs w:val="23"/>
              </w:rPr>
              <w:t>ITU should continue</w:t>
            </w:r>
            <w:r w:rsidRPr="00412A12">
              <w:rPr>
                <w:rFonts w:asciiTheme="minorHAnsi" w:hAnsiTheme="minorHAnsi" w:cstheme="minorHAnsi"/>
                <w:b/>
                <w:bCs/>
                <w:sz w:val="23"/>
                <w:szCs w:val="23"/>
              </w:rPr>
              <w:t xml:space="preserve"> </w:t>
            </w:r>
            <w:r w:rsidRPr="00412A12">
              <w:rPr>
                <w:rFonts w:asciiTheme="minorHAnsi" w:hAnsiTheme="minorHAnsi" w:cstheme="minorHAnsi"/>
                <w:sz w:val="23"/>
                <w:szCs w:val="23"/>
              </w:rPr>
              <w:t>to work with partners</w:t>
            </w:r>
            <w:r w:rsidR="002C30A6" w:rsidRPr="00412A12">
              <w:rPr>
                <w:rFonts w:asciiTheme="minorHAnsi" w:hAnsiTheme="minorHAnsi" w:cstheme="minorHAnsi"/>
                <w:sz w:val="23"/>
                <w:szCs w:val="23"/>
              </w:rPr>
              <w:t>, within the scope of its mandate,</w:t>
            </w:r>
            <w:r w:rsidRPr="00412A12">
              <w:rPr>
                <w:rFonts w:asciiTheme="minorHAnsi" w:hAnsiTheme="minorHAnsi" w:cstheme="minorHAnsi"/>
                <w:sz w:val="23"/>
                <w:szCs w:val="23"/>
              </w:rPr>
              <w:t xml:space="preserve"> to develop and maintain resources, such as the Cybercrime Legislation Resources, to help Member States understand the legal aspects of cybersecurity, while also supporting the exchange of experience and knowledge among Member States to support their efforts in developing frameworks on the subject, including legislation.</w:t>
            </w:r>
          </w:p>
          <w:p w14:paraId="03247837" w14:textId="77777777" w:rsidR="00CA4EDA" w:rsidRPr="00412A12" w:rsidRDefault="00CA4EDA" w:rsidP="00412A12">
            <w:pPr>
              <w:spacing w:before="100" w:after="100"/>
              <w:jc w:val="both"/>
              <w:rPr>
                <w:rFonts w:asciiTheme="minorHAnsi" w:hAnsiTheme="minorHAnsi" w:cstheme="minorHAnsi"/>
                <w:sz w:val="23"/>
                <w:szCs w:val="23"/>
              </w:rPr>
            </w:pPr>
            <w:r w:rsidRPr="00412A12">
              <w:rPr>
                <w:rFonts w:asciiTheme="minorHAnsi" w:hAnsiTheme="minorHAnsi" w:cstheme="minorHAnsi"/>
                <w:b/>
                <w:bCs/>
                <w:sz w:val="23"/>
                <w:szCs w:val="23"/>
              </w:rPr>
              <w:t>c.</w:t>
            </w:r>
            <w:r w:rsidRPr="00412A12">
              <w:rPr>
                <w:rFonts w:asciiTheme="minorHAnsi" w:hAnsiTheme="minorHAnsi" w:cstheme="minorHAnsi"/>
                <w:sz w:val="23"/>
                <w:szCs w:val="23"/>
              </w:rPr>
              <w:tab/>
              <w:t>ITU, in collaboration with appropriate partners, should promote a better understanding of the cybersecurity-related challenges and risks posed by emerging technologies on existing legal measures, and facilitate the exchange of case studies and good practices at the national, regional, and international level.</w:t>
            </w:r>
          </w:p>
          <w:p w14:paraId="29249992" w14:textId="77777777" w:rsidR="008E55B9" w:rsidRPr="00CA4E01" w:rsidRDefault="006D27C6" w:rsidP="00412A12">
            <w:pPr>
              <w:spacing w:before="100" w:after="100"/>
              <w:jc w:val="both"/>
              <w:rPr>
                <w:rFonts w:asciiTheme="minorHAnsi" w:hAnsiTheme="minorHAnsi" w:cstheme="minorHAnsi"/>
                <w:b/>
                <w:bCs/>
                <w:szCs w:val="24"/>
              </w:rPr>
            </w:pPr>
            <w:r w:rsidRPr="00412A12">
              <w:rPr>
                <w:rFonts w:asciiTheme="minorHAnsi" w:hAnsiTheme="minorHAnsi" w:cstheme="minorHAnsi"/>
                <w:b/>
                <w:bCs/>
                <w:iCs/>
                <w:sz w:val="23"/>
                <w:szCs w:val="23"/>
                <w:lang w:val="en-US"/>
              </w:rPr>
              <w:t>d</w:t>
            </w:r>
            <w:r w:rsidR="00CA4EDA" w:rsidRPr="00412A12">
              <w:rPr>
                <w:rFonts w:asciiTheme="minorHAnsi" w:hAnsiTheme="minorHAnsi" w:cstheme="minorHAnsi"/>
                <w:b/>
                <w:bCs/>
                <w:sz w:val="23"/>
                <w:szCs w:val="23"/>
              </w:rPr>
              <w:t>.</w:t>
            </w:r>
            <w:r w:rsidR="00CA4EDA" w:rsidRPr="00412A12">
              <w:rPr>
                <w:rFonts w:asciiTheme="minorHAnsi" w:hAnsiTheme="minorHAnsi" w:cstheme="minorHAnsi"/>
                <w:b/>
                <w:bCs/>
                <w:sz w:val="23"/>
                <w:szCs w:val="23"/>
              </w:rPr>
              <w:tab/>
            </w:r>
            <w:r w:rsidR="00CA4EDA" w:rsidRPr="00412A12">
              <w:rPr>
                <w:rFonts w:asciiTheme="minorHAnsi" w:hAnsiTheme="minorHAnsi" w:cstheme="minorHAnsi"/>
                <w:sz w:val="23"/>
                <w:szCs w:val="23"/>
              </w:rPr>
              <w:t xml:space="preserve">Appropriate legal measures also need to be taken </w:t>
            </w:r>
            <w:r w:rsidR="00E53998" w:rsidRPr="00412A12">
              <w:rPr>
                <w:rFonts w:asciiTheme="minorHAnsi" w:hAnsiTheme="minorHAnsi" w:cstheme="minorHAnsi"/>
                <w:sz w:val="23"/>
                <w:szCs w:val="23"/>
              </w:rPr>
              <w:t xml:space="preserve">by </w:t>
            </w:r>
            <w:r w:rsidR="00AB69D7" w:rsidRPr="00412A12">
              <w:rPr>
                <w:rFonts w:asciiTheme="minorHAnsi" w:hAnsiTheme="minorHAnsi" w:cstheme="minorHAnsi"/>
                <w:sz w:val="23"/>
                <w:szCs w:val="23"/>
              </w:rPr>
              <w:t>all relevant</w:t>
            </w:r>
            <w:r w:rsidR="00E53998" w:rsidRPr="00412A12">
              <w:rPr>
                <w:rFonts w:asciiTheme="minorHAnsi" w:hAnsiTheme="minorHAnsi" w:cstheme="minorHAnsi"/>
                <w:sz w:val="23"/>
                <w:szCs w:val="23"/>
              </w:rPr>
              <w:t xml:space="preserve"> stakeholders </w:t>
            </w:r>
            <w:r w:rsidR="00CA4EDA" w:rsidRPr="00412A12">
              <w:rPr>
                <w:rFonts w:asciiTheme="minorHAnsi" w:hAnsiTheme="minorHAnsi" w:cstheme="minorHAnsi"/>
                <w:sz w:val="23"/>
                <w:szCs w:val="23"/>
              </w:rPr>
              <w:t>to implement effective programmes to prevent or prohibit the dissemination of online materials relating to child sexual abuse</w:t>
            </w:r>
            <w:r w:rsidR="0028648E" w:rsidRPr="00412A12">
              <w:rPr>
                <w:rFonts w:asciiTheme="minorHAnsi" w:hAnsiTheme="minorHAnsi" w:cstheme="minorHAnsi"/>
                <w:sz w:val="23"/>
                <w:szCs w:val="23"/>
              </w:rPr>
              <w:t xml:space="preserve"> and exploitation</w:t>
            </w:r>
            <w:r w:rsidR="00CA4EDA" w:rsidRPr="00412A12">
              <w:rPr>
                <w:rFonts w:asciiTheme="minorHAnsi" w:hAnsiTheme="minorHAnsi" w:cstheme="minorHAnsi"/>
                <w:sz w:val="23"/>
                <w:szCs w:val="23"/>
              </w:rPr>
              <w:t>, including taking preventive actions to detect, disrupt, and dismantle networks, organisations, or structures used for the production and/or distribution of online materials relating to child sexual</w:t>
            </w:r>
            <w:r w:rsidR="0028648E" w:rsidRPr="00412A12">
              <w:rPr>
                <w:rFonts w:asciiTheme="minorHAnsi" w:hAnsiTheme="minorHAnsi" w:cstheme="minorHAnsi"/>
                <w:sz w:val="23"/>
                <w:szCs w:val="23"/>
              </w:rPr>
              <w:t xml:space="preserve"> abuse and</w:t>
            </w:r>
            <w:r w:rsidR="00BD30AB" w:rsidRPr="00412A12">
              <w:rPr>
                <w:rFonts w:asciiTheme="minorHAnsi" w:hAnsiTheme="minorHAnsi" w:cstheme="minorHAnsi"/>
                <w:sz w:val="23"/>
                <w:szCs w:val="23"/>
              </w:rPr>
              <w:t xml:space="preserve"> </w:t>
            </w:r>
            <w:r w:rsidR="00CA4EDA" w:rsidRPr="00412A12">
              <w:rPr>
                <w:rFonts w:asciiTheme="minorHAnsi" w:hAnsiTheme="minorHAnsi" w:cstheme="minorHAnsi"/>
                <w:sz w:val="23"/>
                <w:szCs w:val="23"/>
              </w:rPr>
              <w:t>abuse, and to put in place mechanisms to detect and prosecute offenders while identifying and protecting victims. In this regard, ITU</w:t>
            </w:r>
            <w:r w:rsidR="00CA4EDA" w:rsidRPr="00412A12">
              <w:rPr>
                <w:rFonts w:asciiTheme="minorHAnsi" w:hAnsiTheme="minorHAnsi" w:cstheme="minorHAnsi"/>
                <w:b/>
                <w:bCs/>
                <w:sz w:val="23"/>
                <w:szCs w:val="23"/>
              </w:rPr>
              <w:t xml:space="preserve"> </w:t>
            </w:r>
            <w:r w:rsidR="00CA4EDA" w:rsidRPr="00412A12">
              <w:rPr>
                <w:rFonts w:asciiTheme="minorHAnsi" w:hAnsiTheme="minorHAnsi" w:cstheme="minorHAnsi"/>
                <w:sz w:val="23"/>
                <w:szCs w:val="23"/>
              </w:rPr>
              <w:t>should continue to strengthen the Child Online Protection programme as a platform to work with partners and stakeholders to promote the exchange of knowledge, information, activities, and outcomes on all aspects including legal measures that can facilitate and support country action on this critical issue.</w:t>
            </w:r>
          </w:p>
        </w:tc>
      </w:tr>
    </w:tbl>
    <w:p w14:paraId="7359BA64" w14:textId="77777777" w:rsidR="00CA4EDA" w:rsidRPr="00CA4E01" w:rsidRDefault="00CA4EDA" w:rsidP="00D2656A">
      <w:pPr>
        <w:pStyle w:val="Heading1"/>
        <w:spacing w:before="720" w:after="120"/>
        <w:rPr>
          <w:rFonts w:asciiTheme="minorHAnsi" w:hAnsiTheme="minorHAnsi" w:cstheme="minorHAnsi"/>
          <w:color w:val="365F91" w:themeColor="accent1" w:themeShade="BF"/>
          <w:sz w:val="24"/>
          <w:szCs w:val="24"/>
        </w:rPr>
      </w:pPr>
      <w:bookmarkStart w:id="19" w:name="_Toc37331405"/>
      <w:r w:rsidRPr="00CA4E01">
        <w:rPr>
          <w:rFonts w:asciiTheme="minorHAnsi" w:hAnsiTheme="minorHAnsi" w:cstheme="minorHAnsi"/>
          <w:color w:val="365F91" w:themeColor="accent1" w:themeShade="BF"/>
          <w:sz w:val="24"/>
          <w:szCs w:val="24"/>
        </w:rPr>
        <w:t>Section 3</w:t>
      </w:r>
      <w:r w:rsidRPr="00CA4E01">
        <w:rPr>
          <w:rFonts w:asciiTheme="minorHAnsi" w:hAnsiTheme="minorHAnsi" w:cstheme="minorHAnsi"/>
          <w:color w:val="365F91" w:themeColor="accent1" w:themeShade="BF"/>
          <w:sz w:val="24"/>
          <w:szCs w:val="24"/>
        </w:rPr>
        <w:tab/>
        <w:t>Pillar 2: Technical &amp; Procedural Measures</w:t>
      </w:r>
      <w:bookmarkEnd w:id="19"/>
    </w:p>
    <w:p w14:paraId="54508FCE" w14:textId="77777777"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20" w:name="_Toc37331406"/>
      <w:r w:rsidRPr="00CA4E01">
        <w:rPr>
          <w:rFonts w:asciiTheme="minorHAnsi" w:hAnsiTheme="minorHAnsi" w:cstheme="minorHAnsi"/>
          <w:color w:val="365F91" w:themeColor="accent1" w:themeShade="BF"/>
          <w:szCs w:val="24"/>
        </w:rPr>
        <w:t>Introduction</w:t>
      </w:r>
      <w:bookmarkEnd w:id="20"/>
    </w:p>
    <w:p w14:paraId="31A9A6E1"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3.1</w:t>
      </w:r>
      <w:r w:rsidRPr="00CA4E01">
        <w:rPr>
          <w:rFonts w:asciiTheme="minorHAnsi" w:hAnsiTheme="minorHAnsi" w:cstheme="minorHAnsi"/>
          <w:szCs w:val="24"/>
        </w:rPr>
        <w:tab/>
        <w:t>The GCA has guided the development and implementation of various initiatives, contributing to the maturity of the cybersecurity debate at the international, regional, and national levels. The need for effective and efficient</w:t>
      </w:r>
      <w:r w:rsidR="00A21CC4" w:rsidRPr="00CA4E01">
        <w:rPr>
          <w:rFonts w:asciiTheme="minorHAnsi" w:hAnsiTheme="minorHAnsi" w:cstheme="minorHAnsi"/>
          <w:szCs w:val="24"/>
        </w:rPr>
        <w:t xml:space="preserve"> cybersecurity measures</w:t>
      </w:r>
      <w:r w:rsidR="005164B9" w:rsidRPr="00CA4E01">
        <w:rPr>
          <w:rFonts w:asciiTheme="minorHAnsi" w:hAnsiTheme="minorHAnsi" w:cstheme="minorHAnsi"/>
          <w:szCs w:val="24"/>
        </w:rPr>
        <w:t>,</w:t>
      </w:r>
      <w:r w:rsidRPr="00CA4E01">
        <w:rPr>
          <w:rFonts w:asciiTheme="minorHAnsi" w:hAnsiTheme="minorHAnsi" w:cstheme="minorHAnsi"/>
          <w:szCs w:val="24"/>
        </w:rPr>
        <w:t xml:space="preserve"> should it be at a strategic or operational level, </w:t>
      </w:r>
      <w:proofErr w:type="gramStart"/>
      <w:r w:rsidRPr="00CA4E01">
        <w:rPr>
          <w:rFonts w:asciiTheme="minorHAnsi" w:hAnsiTheme="minorHAnsi" w:cstheme="minorHAnsi"/>
          <w:szCs w:val="24"/>
        </w:rPr>
        <w:t>has to</w:t>
      </w:r>
      <w:proofErr w:type="gramEnd"/>
      <w:r w:rsidRPr="00CA4E01">
        <w:rPr>
          <w:rFonts w:asciiTheme="minorHAnsi" w:hAnsiTheme="minorHAnsi" w:cstheme="minorHAnsi"/>
          <w:szCs w:val="24"/>
        </w:rPr>
        <w:t xml:space="preserve"> be satisfied within a </w:t>
      </w:r>
      <w:r w:rsidR="00A35FC8" w:rsidRPr="00CA4E01">
        <w:rPr>
          <w:rFonts w:asciiTheme="minorHAnsi" w:hAnsiTheme="minorHAnsi" w:cstheme="minorHAnsi"/>
          <w:szCs w:val="24"/>
        </w:rPr>
        <w:t xml:space="preserve">coherent </w:t>
      </w:r>
      <w:r w:rsidRPr="00CA4E01">
        <w:rPr>
          <w:rFonts w:asciiTheme="minorHAnsi" w:hAnsiTheme="minorHAnsi" w:cstheme="minorHAnsi"/>
          <w:szCs w:val="24"/>
        </w:rPr>
        <w:t xml:space="preserve">approach, which continues to be a major challenge. </w:t>
      </w:r>
    </w:p>
    <w:p w14:paraId="5473E5CC"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3.2</w:t>
      </w:r>
      <w:r w:rsidRPr="00CA4E01">
        <w:rPr>
          <w:rFonts w:asciiTheme="minorHAnsi" w:hAnsiTheme="minorHAnsi" w:cstheme="minorHAnsi"/>
          <w:szCs w:val="24"/>
        </w:rPr>
        <w:tab/>
        <w:t xml:space="preserve">Today, it may seem that the dimensions identified by the GCA Pillars 1, 3, 4, and 5 are becoming </w:t>
      </w:r>
      <w:r w:rsidRPr="00CA4E01">
        <w:rPr>
          <w:rFonts w:asciiTheme="minorHAnsi" w:hAnsiTheme="minorHAnsi" w:cstheme="minorHAnsi"/>
          <w:spacing w:val="-4"/>
          <w:szCs w:val="24"/>
        </w:rPr>
        <w:t>increasingly important in the field of cyber diplomacy and international dialogue, and often prevail over Pillar 2</w:t>
      </w:r>
      <w:r w:rsidRPr="00CA4E01">
        <w:rPr>
          <w:rFonts w:asciiTheme="minorHAnsi" w:hAnsiTheme="minorHAnsi" w:cstheme="minorHAnsi"/>
          <w:szCs w:val="24"/>
        </w:rPr>
        <w:t>. However, technical issues can often be at the root of all the other Pillars. Ma</w:t>
      </w:r>
      <w:r w:rsidR="005164B9" w:rsidRPr="00CA4E01">
        <w:rPr>
          <w:rFonts w:asciiTheme="minorHAnsi" w:hAnsiTheme="minorHAnsi" w:cstheme="minorHAnsi"/>
          <w:szCs w:val="24"/>
        </w:rPr>
        <w:t>naging</w:t>
      </w:r>
      <w:r w:rsidRPr="00CA4E01">
        <w:rPr>
          <w:rFonts w:asciiTheme="minorHAnsi" w:hAnsiTheme="minorHAnsi" w:cstheme="minorHAnsi"/>
          <w:szCs w:val="24"/>
        </w:rPr>
        <w:t xml:space="preserve"> cyber risk through technological and procedural </w:t>
      </w:r>
      <w:r w:rsidR="005164B9" w:rsidRPr="00CA4E01">
        <w:rPr>
          <w:rFonts w:asciiTheme="minorHAnsi" w:hAnsiTheme="minorHAnsi" w:cstheme="minorHAnsi"/>
          <w:szCs w:val="24"/>
        </w:rPr>
        <w:t xml:space="preserve">(e.g., administrative, operational, or managerial) </w:t>
      </w:r>
      <w:r w:rsidRPr="00CA4E01">
        <w:rPr>
          <w:rFonts w:asciiTheme="minorHAnsi" w:hAnsiTheme="minorHAnsi" w:cstheme="minorHAnsi"/>
          <w:szCs w:val="24"/>
        </w:rPr>
        <w:t>measures continues to be of prime importance, especially in the context of critical infrastructures. Given the long-standing role played by ITU, as a UN specialized agency and a global Standards Development Organization (SDO), it is well positioned to advance the field of security related standards and technical measures.</w:t>
      </w:r>
    </w:p>
    <w:p w14:paraId="7D4397B3" w14:textId="76D9153D"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21" w:name="_Toc37331407"/>
      <w:r w:rsidRPr="00CA4E01">
        <w:rPr>
          <w:rFonts w:asciiTheme="minorHAnsi" w:hAnsiTheme="minorHAnsi" w:cstheme="minorHAnsi"/>
          <w:color w:val="365F91" w:themeColor="accent1" w:themeShade="BF"/>
          <w:szCs w:val="24"/>
        </w:rPr>
        <w:lastRenderedPageBreak/>
        <w:t xml:space="preserve">Evolution of the Technical &amp; Procedural Measures </w:t>
      </w:r>
      <w:r w:rsidR="00C63CA4" w:rsidRPr="00CA4E01">
        <w:rPr>
          <w:rFonts w:asciiTheme="minorHAnsi" w:hAnsiTheme="minorHAnsi" w:cstheme="minorHAnsi"/>
          <w:color w:val="365F91" w:themeColor="accent1" w:themeShade="BF"/>
          <w:szCs w:val="24"/>
        </w:rPr>
        <w:t>L</w:t>
      </w:r>
      <w:r w:rsidRPr="00CA4E01">
        <w:rPr>
          <w:rFonts w:asciiTheme="minorHAnsi" w:hAnsiTheme="minorHAnsi" w:cstheme="minorHAnsi"/>
          <w:color w:val="365F91" w:themeColor="accent1" w:themeShade="BF"/>
          <w:szCs w:val="24"/>
        </w:rPr>
        <w:t xml:space="preserve">andscape </w:t>
      </w:r>
      <w:r w:rsidR="00C63CA4" w:rsidRPr="00CA4E01">
        <w:rPr>
          <w:rFonts w:asciiTheme="minorHAnsi" w:hAnsiTheme="minorHAnsi" w:cstheme="minorHAnsi"/>
          <w:color w:val="365F91" w:themeColor="accent1" w:themeShade="BF"/>
          <w:szCs w:val="24"/>
        </w:rPr>
        <w:t>S</w:t>
      </w:r>
      <w:r w:rsidRPr="00CA4E01">
        <w:rPr>
          <w:rFonts w:asciiTheme="minorHAnsi" w:hAnsiTheme="minorHAnsi" w:cstheme="minorHAnsi"/>
          <w:color w:val="365F91" w:themeColor="accent1" w:themeShade="BF"/>
          <w:szCs w:val="24"/>
        </w:rPr>
        <w:t>ince 2008</w:t>
      </w:r>
      <w:bookmarkEnd w:id="21"/>
    </w:p>
    <w:p w14:paraId="251FB101"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3.3</w:t>
      </w:r>
      <w:r w:rsidRPr="00CA4E01">
        <w:rPr>
          <w:rFonts w:asciiTheme="minorHAnsi" w:hAnsiTheme="minorHAnsi" w:cstheme="minorHAnsi"/>
          <w:szCs w:val="24"/>
        </w:rPr>
        <w:tab/>
        <w:t>Technologies (current and emerging), and the digital practices that result from them, are constantly evolving. This dynamic technical dimension is somewhat independent of the other GCA Pillars, and largely evolves by itself, taking into limited consideration the needs and implications on the subject matter of the other four Pillars.</w:t>
      </w:r>
    </w:p>
    <w:p w14:paraId="4BD63A52" w14:textId="568ED989" w:rsidR="00A21CC4"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3.4</w:t>
      </w:r>
      <w:r w:rsidRPr="00CA4E01">
        <w:rPr>
          <w:rFonts w:asciiTheme="minorHAnsi" w:hAnsiTheme="minorHAnsi" w:cstheme="minorHAnsi"/>
          <w:szCs w:val="24"/>
        </w:rPr>
        <w:tab/>
        <w:t xml:space="preserve">In order for all infrastructure, applications, and services to function, </w:t>
      </w:r>
      <w:r w:rsidR="00860A6F" w:rsidRPr="00CA4E01">
        <w:rPr>
          <w:rFonts w:asciiTheme="minorHAnsi" w:hAnsiTheme="minorHAnsi" w:cstheme="minorHAnsi"/>
          <w:szCs w:val="24"/>
        </w:rPr>
        <w:t xml:space="preserve">the development and </w:t>
      </w:r>
      <w:r w:rsidR="00C54E13" w:rsidRPr="00CA4E01">
        <w:rPr>
          <w:rFonts w:asciiTheme="minorHAnsi" w:hAnsiTheme="minorHAnsi" w:cstheme="minorHAnsi"/>
          <w:szCs w:val="24"/>
        </w:rPr>
        <w:t>implementation</w:t>
      </w:r>
      <w:r w:rsidR="00860A6F" w:rsidRPr="00CA4E01">
        <w:rPr>
          <w:rFonts w:asciiTheme="minorHAnsi" w:hAnsiTheme="minorHAnsi" w:cstheme="minorHAnsi"/>
          <w:szCs w:val="24"/>
        </w:rPr>
        <w:t xml:space="preserve"> of </w:t>
      </w:r>
      <w:r w:rsidRPr="00CA4E01">
        <w:rPr>
          <w:rFonts w:asciiTheme="minorHAnsi" w:hAnsiTheme="minorHAnsi" w:cstheme="minorHAnsi"/>
          <w:szCs w:val="24"/>
        </w:rPr>
        <w:t>standard</w:t>
      </w:r>
      <w:r w:rsidR="00860A6F" w:rsidRPr="00CA4E01">
        <w:rPr>
          <w:rFonts w:asciiTheme="minorHAnsi" w:hAnsiTheme="minorHAnsi" w:cstheme="minorHAnsi"/>
          <w:szCs w:val="24"/>
        </w:rPr>
        <w:t>s</w:t>
      </w:r>
      <w:r w:rsidR="004C7CCA" w:rsidRPr="00CA4E01">
        <w:rPr>
          <w:rFonts w:asciiTheme="minorHAnsi" w:hAnsiTheme="minorHAnsi" w:cstheme="minorHAnsi"/>
          <w:szCs w:val="24"/>
        </w:rPr>
        <w:t xml:space="preserve"> </w:t>
      </w:r>
      <w:r w:rsidR="00860A6F" w:rsidRPr="00CA4E01">
        <w:rPr>
          <w:rFonts w:asciiTheme="minorHAnsi" w:hAnsiTheme="minorHAnsi" w:cstheme="minorHAnsi"/>
          <w:szCs w:val="24"/>
        </w:rPr>
        <w:t xml:space="preserve">is </w:t>
      </w:r>
      <w:r w:rsidRPr="00CA4E01">
        <w:rPr>
          <w:rFonts w:asciiTheme="minorHAnsi" w:hAnsiTheme="minorHAnsi" w:cstheme="minorHAnsi"/>
          <w:szCs w:val="24"/>
        </w:rPr>
        <w:t>fundamental.</w:t>
      </w:r>
      <w:r w:rsidR="00EF5CA6" w:rsidRPr="00CA4E01">
        <w:rPr>
          <w:rFonts w:asciiTheme="minorHAnsi" w:hAnsiTheme="minorHAnsi" w:cstheme="minorHAnsi"/>
          <w:szCs w:val="24"/>
        </w:rPr>
        <w:t xml:space="preserve"> Moreover, it is important </w:t>
      </w:r>
      <w:r w:rsidR="00997AEA" w:rsidRPr="00CA4E01">
        <w:rPr>
          <w:rFonts w:asciiTheme="minorHAnsi" w:hAnsiTheme="minorHAnsi" w:cstheme="minorHAnsi"/>
          <w:szCs w:val="24"/>
        </w:rPr>
        <w:t xml:space="preserve">that in </w:t>
      </w:r>
      <w:r w:rsidR="00EF5CA6" w:rsidRPr="00CA4E01">
        <w:rPr>
          <w:rFonts w:asciiTheme="minorHAnsi" w:hAnsiTheme="minorHAnsi" w:cstheme="minorHAnsi"/>
          <w:szCs w:val="24"/>
        </w:rPr>
        <w:t>the development of standards</w:t>
      </w:r>
      <w:r w:rsidR="00997AEA" w:rsidRPr="00CA4E01">
        <w:rPr>
          <w:rFonts w:asciiTheme="minorHAnsi" w:hAnsiTheme="minorHAnsi" w:cstheme="minorHAnsi"/>
          <w:szCs w:val="24"/>
        </w:rPr>
        <w:t xml:space="preserve">, relevant human rights obligations must </w:t>
      </w:r>
      <w:r w:rsidR="00EF5CA6" w:rsidRPr="00CA4E01">
        <w:rPr>
          <w:rFonts w:asciiTheme="minorHAnsi" w:hAnsiTheme="minorHAnsi" w:cstheme="minorHAnsi"/>
          <w:szCs w:val="24"/>
        </w:rPr>
        <w:t xml:space="preserve">also </w:t>
      </w:r>
      <w:r w:rsidR="00997AEA" w:rsidRPr="00CA4E01">
        <w:rPr>
          <w:rFonts w:asciiTheme="minorHAnsi" w:hAnsiTheme="minorHAnsi" w:cstheme="minorHAnsi"/>
          <w:szCs w:val="24"/>
        </w:rPr>
        <w:t xml:space="preserve">be </w:t>
      </w:r>
      <w:r w:rsidR="00A21CC4" w:rsidRPr="00CA4E01">
        <w:rPr>
          <w:rFonts w:asciiTheme="minorHAnsi" w:hAnsiTheme="minorHAnsi" w:cstheme="minorHAnsi"/>
          <w:szCs w:val="24"/>
        </w:rPr>
        <w:t>take</w:t>
      </w:r>
      <w:r w:rsidR="00997AEA" w:rsidRPr="00CA4E01">
        <w:rPr>
          <w:rFonts w:asciiTheme="minorHAnsi" w:hAnsiTheme="minorHAnsi" w:cstheme="minorHAnsi"/>
          <w:szCs w:val="24"/>
        </w:rPr>
        <w:t>n</w:t>
      </w:r>
      <w:r w:rsidR="00A21CC4" w:rsidRPr="00CA4E01">
        <w:rPr>
          <w:rFonts w:asciiTheme="minorHAnsi" w:hAnsiTheme="minorHAnsi" w:cstheme="minorHAnsi"/>
          <w:szCs w:val="24"/>
        </w:rPr>
        <w:t xml:space="preserve"> into consideration</w:t>
      </w:r>
      <w:r w:rsidR="00EF5CA6" w:rsidRPr="00CA4E01">
        <w:rPr>
          <w:rFonts w:asciiTheme="minorHAnsi" w:hAnsiTheme="minorHAnsi" w:cstheme="minorHAnsi"/>
          <w:szCs w:val="24"/>
        </w:rPr>
        <w:t>.</w:t>
      </w:r>
    </w:p>
    <w:p w14:paraId="74883626" w14:textId="3FB6FCF2"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3.5</w:t>
      </w:r>
      <w:r w:rsidRPr="00CA4E01">
        <w:rPr>
          <w:rFonts w:asciiTheme="minorHAnsi" w:hAnsiTheme="minorHAnsi" w:cstheme="minorHAnsi"/>
          <w:szCs w:val="24"/>
        </w:rPr>
        <w:tab/>
      </w:r>
      <w:r w:rsidR="00A21CC4" w:rsidRPr="00CA4E01">
        <w:rPr>
          <w:rFonts w:asciiTheme="minorHAnsi" w:hAnsiTheme="minorHAnsi" w:cstheme="minorHAnsi"/>
          <w:szCs w:val="24"/>
        </w:rPr>
        <w:t xml:space="preserve">ITU, with its multi-stakeholder membership, offers a unique </w:t>
      </w:r>
      <w:r w:rsidR="00997AEA" w:rsidRPr="00CA4E01">
        <w:rPr>
          <w:rFonts w:asciiTheme="minorHAnsi" w:hAnsiTheme="minorHAnsi" w:cstheme="minorHAnsi"/>
          <w:szCs w:val="24"/>
        </w:rPr>
        <w:t xml:space="preserve">global </w:t>
      </w:r>
      <w:r w:rsidR="00A21CC4" w:rsidRPr="00CA4E01">
        <w:rPr>
          <w:rFonts w:asciiTheme="minorHAnsi" w:hAnsiTheme="minorHAnsi" w:cstheme="minorHAnsi"/>
          <w:szCs w:val="24"/>
        </w:rPr>
        <w:t>platform to develop</w:t>
      </w:r>
      <w:r w:rsidR="00BD1968" w:rsidRPr="00CA4E01">
        <w:rPr>
          <w:rFonts w:asciiTheme="minorHAnsi" w:hAnsiTheme="minorHAnsi" w:cstheme="minorHAnsi"/>
          <w:szCs w:val="24"/>
        </w:rPr>
        <w:t xml:space="preserve"> global</w:t>
      </w:r>
      <w:r w:rsidR="00A21CC4" w:rsidRPr="00CA4E01">
        <w:rPr>
          <w:rFonts w:asciiTheme="minorHAnsi" w:hAnsiTheme="minorHAnsi" w:cstheme="minorHAnsi"/>
          <w:szCs w:val="24"/>
        </w:rPr>
        <w:t xml:space="preserve"> ICT standards for voluntary adoption in ITU Member States. </w:t>
      </w:r>
      <w:r w:rsidRPr="00CA4E01">
        <w:rPr>
          <w:rFonts w:asciiTheme="minorHAnsi" w:hAnsiTheme="minorHAnsi" w:cstheme="minorHAnsi"/>
          <w:szCs w:val="24"/>
        </w:rPr>
        <w:t xml:space="preserve">Within ITU, ITU-T SG17 is the lead study group for security standards – having published over 200 standards focused on security. It is currently working on a variety of emerging technology areas, including FinTech security, IoT security (including industrial internet security), Intelligent Transportation System security, Distributed Ledger Technology, Quantum Key Distribution, Machine Learning for Countering Spam, Security of 5G, Edge Computing, Protection of Personally Identifiable Information, multi-party computing, and guidelines for the creation, operation and automation of cyber defence </w:t>
      </w:r>
      <w:proofErr w:type="spellStart"/>
      <w:r w:rsidRPr="00CA4E01">
        <w:rPr>
          <w:rFonts w:asciiTheme="minorHAnsi" w:hAnsiTheme="minorHAnsi" w:cstheme="minorHAnsi"/>
          <w:szCs w:val="24"/>
        </w:rPr>
        <w:t>centers</w:t>
      </w:r>
      <w:proofErr w:type="spellEnd"/>
      <w:r w:rsidRPr="00CA4E01">
        <w:rPr>
          <w:rFonts w:asciiTheme="minorHAnsi" w:hAnsiTheme="minorHAnsi" w:cstheme="minorHAnsi"/>
          <w:szCs w:val="24"/>
        </w:rPr>
        <w:t xml:space="preserve">, among several others. In implementing the recommendations of the HLEG Report 2008 on </w:t>
      </w:r>
      <w:r w:rsidR="006D27C6" w:rsidRPr="00CA4E01">
        <w:rPr>
          <w:rFonts w:asciiTheme="minorHAnsi" w:hAnsiTheme="minorHAnsi" w:cstheme="minorHAnsi"/>
          <w:szCs w:val="24"/>
        </w:rPr>
        <w:t>“</w:t>
      </w:r>
      <w:r w:rsidRPr="00CA4E01">
        <w:rPr>
          <w:rFonts w:asciiTheme="minorHAnsi" w:hAnsiTheme="minorHAnsi" w:cstheme="minorHAnsi"/>
          <w:szCs w:val="24"/>
        </w:rPr>
        <w:t>collaboration” (e.g., 2.1, 2.6, 2.7, 2.10, 2.12, 2.16), SG17 collects and maintains an ICT Security Standards Database</w:t>
      </w:r>
      <w:r w:rsidRPr="00CA4E01">
        <w:rPr>
          <w:rStyle w:val="FootnoteReference"/>
          <w:rFonts w:asciiTheme="minorHAnsi" w:eastAsiaTheme="minorEastAsia" w:hAnsiTheme="minorHAnsi" w:cstheme="minorHAnsi"/>
          <w:color w:val="000000"/>
          <w:sz w:val="24"/>
          <w:szCs w:val="24"/>
          <w:vertAlign w:val="superscript"/>
          <w:lang w:eastAsia="zh-CN"/>
        </w:rPr>
        <w:footnoteReference w:id="21"/>
      </w:r>
      <w:r w:rsidRPr="00CA4E01">
        <w:rPr>
          <w:rStyle w:val="FootnoteReference"/>
          <w:rFonts w:asciiTheme="minorHAnsi" w:eastAsiaTheme="minorEastAsia" w:hAnsiTheme="minorHAnsi" w:cstheme="minorHAnsi"/>
          <w:color w:val="000000"/>
          <w:sz w:val="24"/>
          <w:szCs w:val="24"/>
          <w:vertAlign w:val="superscript"/>
          <w:lang w:eastAsia="zh-CN"/>
        </w:rPr>
        <w:t xml:space="preserve"> </w:t>
      </w:r>
      <w:r w:rsidR="006D27C6" w:rsidRPr="00CA4E01">
        <w:rPr>
          <w:rStyle w:val="FootnoteReference"/>
          <w:rFonts w:asciiTheme="minorHAnsi" w:eastAsiaTheme="minorEastAsia" w:hAnsiTheme="minorHAnsi" w:cstheme="minorHAnsi"/>
          <w:color w:val="000000"/>
          <w:sz w:val="24"/>
          <w:szCs w:val="24"/>
          <w:vertAlign w:val="superscript"/>
          <w:lang w:eastAsia="zh-CN"/>
        </w:rPr>
        <w:t xml:space="preserve"> </w:t>
      </w:r>
      <w:r w:rsidR="006D27C6" w:rsidRPr="00CA4E01">
        <w:rPr>
          <w:rFonts w:asciiTheme="minorHAnsi" w:hAnsiTheme="minorHAnsi" w:cstheme="minorHAnsi"/>
          <w:bCs/>
          <w:szCs w:val="24"/>
        </w:rPr>
        <w:t xml:space="preserve">for </w:t>
      </w:r>
      <w:r w:rsidRPr="00CA4E01">
        <w:rPr>
          <w:rFonts w:asciiTheme="minorHAnsi" w:hAnsiTheme="minorHAnsi" w:cstheme="minorHAnsi"/>
          <w:bCs/>
          <w:szCs w:val="24"/>
        </w:rPr>
        <w:t>public access, which includes 2600 existing and ongoing ICT Security Standards from 13 key SDOs, including 3GPP, ATIS, ETSI, IEEE, IETF, ISO/IEC JTC 1, ITU, OASIS, OneM2M, etc.</w:t>
      </w:r>
    </w:p>
    <w:p w14:paraId="28925242"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3.6</w:t>
      </w:r>
      <w:r w:rsidRPr="00CA4E01">
        <w:rPr>
          <w:rFonts w:asciiTheme="minorHAnsi" w:hAnsiTheme="minorHAnsi" w:cstheme="minorHAnsi"/>
          <w:szCs w:val="24"/>
        </w:rPr>
        <w:tab/>
        <w:t xml:space="preserve">While ITU-T SG17 continues to be the main study group for security standards, most—if not all—other study groups also address security-related aspects within their respective </w:t>
      </w:r>
      <w:r w:rsidRPr="00CA4E01">
        <w:rPr>
          <w:rFonts w:asciiTheme="minorHAnsi" w:hAnsiTheme="minorHAnsi" w:cstheme="minorHAnsi"/>
          <w:szCs w:val="24"/>
          <w:lang w:val="en-US"/>
        </w:rPr>
        <w:t>areas</w:t>
      </w:r>
      <w:r w:rsidRPr="00CA4E01">
        <w:rPr>
          <w:rFonts w:asciiTheme="minorHAnsi" w:hAnsiTheme="minorHAnsi" w:cstheme="minorHAnsi"/>
          <w:szCs w:val="24"/>
        </w:rPr>
        <w:t xml:space="preserve"> of study, </w:t>
      </w:r>
      <w:proofErr w:type="gramStart"/>
      <w:r w:rsidRPr="00CA4E01">
        <w:rPr>
          <w:rFonts w:asciiTheme="minorHAnsi" w:hAnsiTheme="minorHAnsi" w:cstheme="minorHAnsi"/>
          <w:szCs w:val="24"/>
        </w:rPr>
        <w:t>e.g.</w:t>
      </w:r>
      <w:proofErr w:type="gramEnd"/>
      <w:r w:rsidRPr="00CA4E01">
        <w:rPr>
          <w:rFonts w:asciiTheme="minorHAnsi" w:hAnsiTheme="minorHAnsi" w:cstheme="minorHAnsi"/>
          <w:szCs w:val="24"/>
        </w:rPr>
        <w:t xml:space="preserve"> SG20 on IoT and its applications (including smart cities and communities), SG13 on next generation networks, or SG16 on multimedia coding, systems, and application, among others. The various focus groups on emerging technologies, such as AI and Health, Machine Learning and 5G, Digital Ledger Technologies, Quantum Information Technology for </w:t>
      </w:r>
      <w:proofErr w:type="gramStart"/>
      <w:r w:rsidRPr="00CA4E01">
        <w:rPr>
          <w:rFonts w:asciiTheme="minorHAnsi" w:hAnsiTheme="minorHAnsi" w:cstheme="minorHAnsi"/>
          <w:szCs w:val="24"/>
        </w:rPr>
        <w:t>Network</w:t>
      </w:r>
      <w:proofErr w:type="gramEnd"/>
      <w:r w:rsidRPr="00CA4E01">
        <w:rPr>
          <w:rFonts w:asciiTheme="minorHAnsi" w:hAnsiTheme="minorHAnsi" w:cstheme="minorHAnsi"/>
          <w:szCs w:val="24"/>
        </w:rPr>
        <w:t xml:space="preserve"> and others, also address security related challenges. It is important that close cooperation is developed among the various groups, with SG17 in a coordinating/leading role, so that the highest possible degree of end-to-end security is maintained throughout the standardization process of the development cycle of ICT products/services.</w:t>
      </w:r>
    </w:p>
    <w:p w14:paraId="106A6A99" w14:textId="1DBFA9C9" w:rsidR="00CA4EDA" w:rsidRPr="00CA4E01" w:rsidRDefault="00CA4EDA" w:rsidP="00CA4E01">
      <w:pPr>
        <w:spacing w:after="120"/>
        <w:rPr>
          <w:rFonts w:asciiTheme="minorHAnsi" w:hAnsiTheme="minorHAnsi" w:cstheme="minorHAnsi"/>
          <w:b/>
          <w:bCs/>
          <w:szCs w:val="24"/>
        </w:rPr>
      </w:pPr>
      <w:r w:rsidRPr="00CA4E01">
        <w:rPr>
          <w:rFonts w:asciiTheme="minorHAnsi" w:hAnsiTheme="minorHAnsi" w:cstheme="minorHAnsi"/>
          <w:b/>
          <w:bCs/>
          <w:szCs w:val="24"/>
        </w:rPr>
        <w:t xml:space="preserve">The </w:t>
      </w:r>
      <w:r w:rsidR="00C63CA4" w:rsidRPr="00CA4E01">
        <w:rPr>
          <w:rFonts w:asciiTheme="minorHAnsi" w:hAnsiTheme="minorHAnsi" w:cstheme="minorHAnsi"/>
          <w:b/>
          <w:bCs/>
          <w:szCs w:val="24"/>
        </w:rPr>
        <w:t>P</w:t>
      </w:r>
      <w:r w:rsidRPr="00CA4E01">
        <w:rPr>
          <w:rFonts w:asciiTheme="minorHAnsi" w:hAnsiTheme="minorHAnsi" w:cstheme="minorHAnsi"/>
          <w:b/>
          <w:bCs/>
          <w:szCs w:val="24"/>
        </w:rPr>
        <w:t xml:space="preserve">roliferation of </w:t>
      </w:r>
      <w:r w:rsidR="00C63CA4" w:rsidRPr="00CA4E01">
        <w:rPr>
          <w:rFonts w:asciiTheme="minorHAnsi" w:hAnsiTheme="minorHAnsi" w:cstheme="minorHAnsi"/>
          <w:b/>
          <w:bCs/>
          <w:szCs w:val="24"/>
        </w:rPr>
        <w:t>S</w:t>
      </w:r>
      <w:r w:rsidRPr="00CA4E01">
        <w:rPr>
          <w:rFonts w:asciiTheme="minorHAnsi" w:hAnsiTheme="minorHAnsi" w:cstheme="minorHAnsi"/>
          <w:b/>
          <w:bCs/>
          <w:szCs w:val="24"/>
        </w:rPr>
        <w:t xml:space="preserve">tandardization </w:t>
      </w:r>
      <w:r w:rsidR="00C63CA4" w:rsidRPr="00CA4E01">
        <w:rPr>
          <w:rFonts w:asciiTheme="minorHAnsi" w:hAnsiTheme="minorHAnsi" w:cstheme="minorHAnsi"/>
          <w:b/>
          <w:bCs/>
          <w:szCs w:val="24"/>
        </w:rPr>
        <w:t>I</w:t>
      </w:r>
      <w:r w:rsidRPr="00CA4E01">
        <w:rPr>
          <w:rFonts w:asciiTheme="minorHAnsi" w:hAnsiTheme="minorHAnsi" w:cstheme="minorHAnsi"/>
          <w:b/>
          <w:bCs/>
          <w:szCs w:val="24"/>
        </w:rPr>
        <w:t xml:space="preserve">nitiatives and the </w:t>
      </w:r>
      <w:r w:rsidR="00C63CA4" w:rsidRPr="00CA4E01">
        <w:rPr>
          <w:rFonts w:asciiTheme="minorHAnsi" w:hAnsiTheme="minorHAnsi" w:cstheme="minorHAnsi"/>
          <w:b/>
          <w:bCs/>
          <w:szCs w:val="24"/>
        </w:rPr>
        <w:t>N</w:t>
      </w:r>
      <w:r w:rsidRPr="00CA4E01">
        <w:rPr>
          <w:rFonts w:asciiTheme="minorHAnsi" w:hAnsiTheme="minorHAnsi" w:cstheme="minorHAnsi"/>
          <w:b/>
          <w:bCs/>
          <w:szCs w:val="24"/>
        </w:rPr>
        <w:t xml:space="preserve">eed for </w:t>
      </w:r>
      <w:r w:rsidR="00C63CA4" w:rsidRPr="00CA4E01">
        <w:rPr>
          <w:rFonts w:asciiTheme="minorHAnsi" w:hAnsiTheme="minorHAnsi" w:cstheme="minorHAnsi"/>
          <w:b/>
          <w:bCs/>
          <w:szCs w:val="24"/>
        </w:rPr>
        <w:t>G</w:t>
      </w:r>
      <w:r w:rsidRPr="00CA4E01">
        <w:rPr>
          <w:rFonts w:asciiTheme="minorHAnsi" w:hAnsiTheme="minorHAnsi" w:cstheme="minorHAnsi"/>
          <w:b/>
          <w:bCs/>
          <w:szCs w:val="24"/>
        </w:rPr>
        <w:t xml:space="preserve">reater </w:t>
      </w:r>
      <w:r w:rsidR="00C63CA4" w:rsidRPr="00CA4E01">
        <w:rPr>
          <w:rFonts w:asciiTheme="minorHAnsi" w:hAnsiTheme="minorHAnsi" w:cstheme="minorHAnsi"/>
          <w:b/>
          <w:bCs/>
          <w:szCs w:val="24"/>
        </w:rPr>
        <w:t>C</w:t>
      </w:r>
      <w:r w:rsidRPr="00CA4E01">
        <w:rPr>
          <w:rFonts w:asciiTheme="minorHAnsi" w:hAnsiTheme="minorHAnsi" w:cstheme="minorHAnsi"/>
          <w:b/>
          <w:bCs/>
          <w:szCs w:val="24"/>
        </w:rPr>
        <w:t>ooperation</w:t>
      </w:r>
    </w:p>
    <w:p w14:paraId="5D882109" w14:textId="77777777" w:rsidR="00CA4EDA" w:rsidRPr="00CA4E01" w:rsidRDefault="00CA4EDA" w:rsidP="00CA4E01">
      <w:pPr>
        <w:pStyle w:val="Default"/>
        <w:spacing w:before="120" w:after="120"/>
        <w:jc w:val="both"/>
        <w:rPr>
          <w:rFonts w:asciiTheme="minorHAnsi" w:hAnsiTheme="minorHAnsi" w:cstheme="minorHAnsi"/>
          <w:lang w:val="en-GB"/>
        </w:rPr>
      </w:pPr>
      <w:r w:rsidRPr="00CA4E01">
        <w:rPr>
          <w:rFonts w:asciiTheme="minorHAnsi" w:hAnsiTheme="minorHAnsi" w:cstheme="minorHAnsi"/>
          <w:b/>
          <w:bCs/>
          <w:lang w:val="en-GB"/>
        </w:rPr>
        <w:t>3.7</w:t>
      </w:r>
      <w:r w:rsidRPr="00CA4E01">
        <w:rPr>
          <w:rFonts w:asciiTheme="minorHAnsi" w:hAnsiTheme="minorHAnsi" w:cstheme="minorHAnsi"/>
          <w:lang w:val="en-GB"/>
        </w:rPr>
        <w:tab/>
        <w:t>International cybersecurity standardization is challenging due to the range of technologies and emergence of diverse players across sectors, and especially difficult for developing countries that may lack operational cybersecurity capability and technical skills.</w:t>
      </w:r>
    </w:p>
    <w:p w14:paraId="4A682B9D"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3.8</w:t>
      </w:r>
      <w:r w:rsidRPr="00CA4E01">
        <w:rPr>
          <w:rFonts w:asciiTheme="minorHAnsi" w:hAnsiTheme="minorHAnsi" w:cstheme="minorHAnsi"/>
          <w:szCs w:val="24"/>
        </w:rPr>
        <w:tab/>
        <w:t>In this regard, Recommendation 2.1 of the HLEG Report 2008 continues to hold true now more than ever: “</w:t>
      </w:r>
      <w:r w:rsidRPr="00CA4E01">
        <w:rPr>
          <w:rFonts w:asciiTheme="minorHAnsi" w:hAnsiTheme="minorHAnsi" w:cstheme="minorHAnsi"/>
          <w:i/>
          <w:iCs/>
          <w:szCs w:val="24"/>
        </w:rPr>
        <w:t>With regards to opportunities to enhance collaboration with existing cybersecurity work outside of ITU, the ITU should work with existing external centres of expertise to identify, promote and foster adoption of enhanced security procedures and technical measures</w:t>
      </w:r>
      <w:r w:rsidRPr="00CA4E01">
        <w:rPr>
          <w:rFonts w:asciiTheme="minorHAnsi" w:hAnsiTheme="minorHAnsi" w:cstheme="minorHAnsi"/>
          <w:szCs w:val="24"/>
        </w:rPr>
        <w:t>”</w:t>
      </w:r>
      <w:r w:rsidRPr="00CA4E01">
        <w:rPr>
          <w:rStyle w:val="FootnoteReference"/>
          <w:rFonts w:asciiTheme="minorHAnsi" w:eastAsiaTheme="minorEastAsia" w:hAnsiTheme="minorHAnsi" w:cstheme="minorHAnsi"/>
          <w:color w:val="000000"/>
          <w:sz w:val="24"/>
          <w:szCs w:val="24"/>
          <w:vertAlign w:val="superscript"/>
          <w:lang w:eastAsia="zh-CN"/>
        </w:rPr>
        <w:footnoteReference w:id="22"/>
      </w:r>
      <w:r w:rsidR="006D27C6" w:rsidRPr="00CA4E01">
        <w:rPr>
          <w:rFonts w:asciiTheme="minorHAnsi" w:hAnsiTheme="minorHAnsi" w:cstheme="minorHAnsi"/>
          <w:szCs w:val="24"/>
        </w:rPr>
        <w:t>.</w:t>
      </w:r>
    </w:p>
    <w:p w14:paraId="195DFB9B" w14:textId="77777777" w:rsidR="00CA4EDA" w:rsidRPr="00CA4E01" w:rsidRDefault="00CA4EDA" w:rsidP="00CA4E01">
      <w:pPr>
        <w:pStyle w:val="Default"/>
        <w:spacing w:before="120" w:after="120"/>
        <w:jc w:val="both"/>
        <w:rPr>
          <w:rFonts w:asciiTheme="minorHAnsi" w:hAnsiTheme="minorHAnsi" w:cstheme="minorHAnsi"/>
          <w:lang w:val="en-GB"/>
        </w:rPr>
      </w:pPr>
      <w:r w:rsidRPr="00CA4E01">
        <w:rPr>
          <w:rFonts w:asciiTheme="minorHAnsi" w:hAnsiTheme="minorHAnsi" w:cstheme="minorHAnsi"/>
          <w:b/>
          <w:bCs/>
          <w:lang w:val="en-GB"/>
        </w:rPr>
        <w:t>3.9</w:t>
      </w:r>
      <w:r w:rsidRPr="00CA4E01">
        <w:rPr>
          <w:rFonts w:asciiTheme="minorHAnsi" w:hAnsiTheme="minorHAnsi" w:cstheme="minorHAnsi"/>
          <w:lang w:val="en-GB"/>
        </w:rPr>
        <w:tab/>
        <w:t>Further, as specified in Recommendation 2.2 of the HLEG Report 2008, ITU is identified as “</w:t>
      </w:r>
      <w:r w:rsidRPr="00CA4E01">
        <w:rPr>
          <w:rFonts w:asciiTheme="minorHAnsi" w:hAnsiTheme="minorHAnsi" w:cstheme="minorHAnsi"/>
          <w:i/>
          <w:iCs/>
          <w:lang w:val="en-GB"/>
        </w:rPr>
        <w:t xml:space="preserve">the </w:t>
      </w:r>
      <w:r w:rsidRPr="00CA4E01">
        <w:rPr>
          <w:rFonts w:asciiTheme="minorHAnsi" w:hAnsiTheme="minorHAnsi" w:cstheme="minorHAnsi"/>
          <w:i/>
          <w:iCs/>
          <w:lang w:val="en-GB"/>
        </w:rPr>
        <w:lastRenderedPageBreak/>
        <w:t>global</w:t>
      </w:r>
      <w:r w:rsidRPr="00CA4E01">
        <w:rPr>
          <w:rFonts w:asciiTheme="minorHAnsi" w:hAnsiTheme="minorHAnsi" w:cstheme="minorHAnsi"/>
          <w:lang w:val="en-GB"/>
        </w:rPr>
        <w:t xml:space="preserve"> </w:t>
      </w:r>
      <w:r w:rsidRPr="00CA4E01">
        <w:rPr>
          <w:rFonts w:asciiTheme="minorHAnsi" w:hAnsiTheme="minorHAnsi" w:cstheme="minorHAnsi"/>
          <w:i/>
          <w:iCs/>
          <w:lang w:val="en-GB"/>
        </w:rPr>
        <w:t>centre of excellence</w:t>
      </w:r>
      <w:r w:rsidRPr="00CA4E01">
        <w:rPr>
          <w:rFonts w:asciiTheme="minorHAnsi" w:hAnsiTheme="minorHAnsi" w:cstheme="minorHAnsi"/>
          <w:lang w:val="en-GB"/>
        </w:rPr>
        <w:t>”</w:t>
      </w:r>
      <w:r w:rsidRPr="00CA4E01">
        <w:rPr>
          <w:rStyle w:val="FootnoteReference"/>
          <w:rFonts w:asciiTheme="minorHAnsi" w:hAnsiTheme="minorHAnsi" w:cstheme="minorHAnsi"/>
          <w:sz w:val="24"/>
          <w:vertAlign w:val="superscript"/>
          <w:lang w:val="en-GB"/>
        </w:rPr>
        <w:footnoteReference w:id="23"/>
      </w:r>
      <w:r w:rsidRPr="00CA4E01">
        <w:rPr>
          <w:rFonts w:asciiTheme="minorHAnsi" w:hAnsiTheme="minorHAnsi" w:cstheme="minorHAnsi"/>
          <w:vertAlign w:val="superscript"/>
          <w:lang w:val="en-GB"/>
        </w:rPr>
        <w:t xml:space="preserve"> </w:t>
      </w:r>
      <w:r w:rsidRPr="00CA4E01">
        <w:rPr>
          <w:rFonts w:asciiTheme="minorHAnsi" w:hAnsiTheme="minorHAnsi" w:cstheme="minorHAnsi"/>
          <w:lang w:val="en-GB"/>
        </w:rPr>
        <w:t xml:space="preserve">to deal with the international standardization process and standards related to technical and procedural measures. </w:t>
      </w:r>
      <w:proofErr w:type="gramStart"/>
      <w:r w:rsidRPr="00CA4E01">
        <w:rPr>
          <w:rFonts w:asciiTheme="minorHAnsi" w:hAnsiTheme="minorHAnsi" w:cstheme="minorHAnsi"/>
          <w:lang w:val="en-GB"/>
        </w:rPr>
        <w:t>In order to</w:t>
      </w:r>
      <w:proofErr w:type="gramEnd"/>
      <w:r w:rsidRPr="00CA4E01">
        <w:rPr>
          <w:rFonts w:asciiTheme="minorHAnsi" w:hAnsiTheme="minorHAnsi" w:cstheme="minorHAnsi"/>
          <w:lang w:val="en-GB"/>
        </w:rPr>
        <w:t xml:space="preserve"> achieve this, more technologically advanced countries, and their private sectors, should be incentivized to participate in ITU activities, and to collaborate to develop technical and procedural standards, including security-related ones.</w:t>
      </w:r>
    </w:p>
    <w:p w14:paraId="458A2D6B" w14:textId="77777777" w:rsidR="00CA4EDA" w:rsidRPr="00CA4E01" w:rsidRDefault="00CA4EDA" w:rsidP="00CA4E01">
      <w:pPr>
        <w:pStyle w:val="Default"/>
        <w:spacing w:before="120" w:after="120"/>
        <w:jc w:val="both"/>
        <w:rPr>
          <w:rFonts w:asciiTheme="minorHAnsi" w:hAnsiTheme="minorHAnsi" w:cstheme="minorHAnsi"/>
          <w:lang w:val="en-GB"/>
        </w:rPr>
      </w:pPr>
      <w:r w:rsidRPr="00CA4E01">
        <w:rPr>
          <w:rFonts w:asciiTheme="minorHAnsi" w:hAnsiTheme="minorHAnsi" w:cstheme="minorHAnsi"/>
          <w:b/>
          <w:bCs/>
          <w:lang w:val="en-GB"/>
        </w:rPr>
        <w:t>3.10</w:t>
      </w:r>
      <w:r w:rsidRPr="00CA4E01">
        <w:rPr>
          <w:rFonts w:asciiTheme="minorHAnsi" w:hAnsiTheme="minorHAnsi" w:cstheme="minorHAnsi"/>
          <w:lang w:val="en-GB"/>
        </w:rPr>
        <w:tab/>
        <w:t xml:space="preserve">It is important to continue to strengthen coordination and collaboration with the other SDOs, </w:t>
      </w:r>
      <w:proofErr w:type="gramStart"/>
      <w:r w:rsidRPr="00CA4E01">
        <w:rPr>
          <w:rFonts w:asciiTheme="minorHAnsi" w:hAnsiTheme="minorHAnsi" w:cstheme="minorHAnsi"/>
          <w:lang w:val="en-GB"/>
        </w:rPr>
        <w:t>on the basis of</w:t>
      </w:r>
      <w:proofErr w:type="gramEnd"/>
      <w:r w:rsidRPr="00CA4E01">
        <w:rPr>
          <w:rFonts w:asciiTheme="minorHAnsi" w:hAnsiTheme="minorHAnsi" w:cstheme="minorHAnsi"/>
          <w:lang w:val="en-GB"/>
        </w:rPr>
        <w:t xml:space="preserve"> reciprocity, so that end-to-end security, security by design, risk assessment, and interoperability throughout the lifecycle of the product are ensured.</w:t>
      </w:r>
    </w:p>
    <w:p w14:paraId="60FD3FFB"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3.11</w:t>
      </w:r>
      <w:r w:rsidRPr="00CA4E01">
        <w:rPr>
          <w:rFonts w:asciiTheme="minorHAnsi" w:hAnsiTheme="minorHAnsi" w:cstheme="minorHAnsi"/>
          <w:szCs w:val="24"/>
        </w:rPr>
        <w:tab/>
        <w:t>The HLEG Report 2008 has highlighted the importance of “</w:t>
      </w:r>
      <w:r w:rsidRPr="00CA4E01">
        <w:rPr>
          <w:rFonts w:asciiTheme="minorHAnsi" w:hAnsiTheme="minorHAnsi" w:cstheme="minorHAnsi"/>
          <w:i/>
          <w:iCs/>
          <w:szCs w:val="24"/>
        </w:rPr>
        <w:t>key measures for addressing vulnerabilities in software products, including accreditation schemes, protocols and standards</w:t>
      </w:r>
      <w:r w:rsidRPr="00CA4E01">
        <w:rPr>
          <w:rFonts w:asciiTheme="minorHAnsi" w:hAnsiTheme="minorHAnsi" w:cstheme="minorHAnsi"/>
          <w:szCs w:val="24"/>
        </w:rPr>
        <w:t>”</w:t>
      </w:r>
      <w:r w:rsidRPr="00CA4E01">
        <w:rPr>
          <w:rStyle w:val="FootnoteReference"/>
          <w:rFonts w:asciiTheme="minorHAnsi" w:hAnsiTheme="minorHAnsi" w:cstheme="minorHAnsi"/>
          <w:sz w:val="24"/>
          <w:szCs w:val="24"/>
          <w:vertAlign w:val="superscript"/>
        </w:rPr>
        <w:footnoteReference w:id="24"/>
      </w:r>
      <w:r w:rsidRPr="00CA4E01">
        <w:rPr>
          <w:rFonts w:asciiTheme="minorHAnsi" w:hAnsiTheme="minorHAnsi" w:cstheme="minorHAnsi"/>
          <w:szCs w:val="24"/>
        </w:rPr>
        <w:t xml:space="preserve">.  In this regard, ITU should continue to adapt its work, </w:t>
      </w:r>
      <w:proofErr w:type="gramStart"/>
      <w:r w:rsidRPr="00CA4E01">
        <w:rPr>
          <w:rFonts w:asciiTheme="minorHAnsi" w:hAnsiTheme="minorHAnsi" w:cstheme="minorHAnsi"/>
          <w:szCs w:val="24"/>
        </w:rPr>
        <w:t>taking into account</w:t>
      </w:r>
      <w:proofErr w:type="gramEnd"/>
      <w:r w:rsidRPr="00CA4E01">
        <w:rPr>
          <w:rFonts w:asciiTheme="minorHAnsi" w:hAnsiTheme="minorHAnsi" w:cstheme="minorHAnsi"/>
          <w:szCs w:val="24"/>
        </w:rPr>
        <w:t xml:space="preserve"> new technologies and requirements. For each of these technologies/domains, the following requirements should be taken into consideration:</w:t>
      </w:r>
    </w:p>
    <w:p w14:paraId="6E8C5F6A" w14:textId="77777777" w:rsidR="00CA4EDA" w:rsidRPr="00CA4E01" w:rsidRDefault="00CA4EDA" w:rsidP="003C12C1">
      <w:pPr>
        <w:pStyle w:val="Default"/>
        <w:numPr>
          <w:ilvl w:val="0"/>
          <w:numId w:val="6"/>
        </w:numPr>
        <w:spacing w:before="120" w:after="60"/>
        <w:ind w:left="993" w:hanging="426"/>
        <w:jc w:val="both"/>
        <w:rPr>
          <w:rFonts w:asciiTheme="minorHAnsi" w:hAnsiTheme="minorHAnsi" w:cstheme="minorHAnsi"/>
          <w:lang w:val="en-GB"/>
        </w:rPr>
      </w:pPr>
      <w:r w:rsidRPr="00CA4E01">
        <w:rPr>
          <w:rFonts w:asciiTheme="minorHAnsi" w:hAnsiTheme="minorHAnsi" w:cstheme="minorHAnsi"/>
          <w:lang w:val="en-GB"/>
        </w:rPr>
        <w:t xml:space="preserve">Need for security by design/security by default in every element and interface in a heterogeneous ICT ecosystem in the design </w:t>
      </w:r>
      <w:proofErr w:type="gramStart"/>
      <w:r w:rsidRPr="00CA4E01">
        <w:rPr>
          <w:rFonts w:asciiTheme="minorHAnsi" w:hAnsiTheme="minorHAnsi" w:cstheme="minorHAnsi"/>
          <w:lang w:val="en-GB"/>
        </w:rPr>
        <w:t>stage;</w:t>
      </w:r>
      <w:proofErr w:type="gramEnd"/>
    </w:p>
    <w:p w14:paraId="1A35608B" w14:textId="77777777" w:rsidR="00CA4EDA" w:rsidRPr="00CA4E01" w:rsidRDefault="00CA4EDA" w:rsidP="003C12C1">
      <w:pPr>
        <w:pStyle w:val="Default"/>
        <w:numPr>
          <w:ilvl w:val="0"/>
          <w:numId w:val="6"/>
        </w:numPr>
        <w:spacing w:before="60" w:after="60"/>
        <w:ind w:left="993" w:hanging="426"/>
        <w:jc w:val="both"/>
        <w:rPr>
          <w:rFonts w:asciiTheme="minorHAnsi" w:hAnsiTheme="minorHAnsi" w:cstheme="minorHAnsi"/>
          <w:lang w:val="en-GB"/>
        </w:rPr>
      </w:pPr>
      <w:r w:rsidRPr="00CA4E01">
        <w:rPr>
          <w:rFonts w:asciiTheme="minorHAnsi" w:hAnsiTheme="minorHAnsi" w:cstheme="minorHAnsi"/>
          <w:lang w:val="en-GB"/>
        </w:rPr>
        <w:t>Need for appropriate metrics to identify the level of security in the implementation stage; and</w:t>
      </w:r>
    </w:p>
    <w:p w14:paraId="0CC571DE" w14:textId="77777777" w:rsidR="00CA4EDA" w:rsidRPr="00CA4E01" w:rsidRDefault="00CA4EDA" w:rsidP="003C12C1">
      <w:pPr>
        <w:pStyle w:val="Default"/>
        <w:numPr>
          <w:ilvl w:val="0"/>
          <w:numId w:val="6"/>
        </w:numPr>
        <w:spacing w:before="60" w:after="120"/>
        <w:ind w:left="993" w:hanging="426"/>
        <w:jc w:val="both"/>
        <w:rPr>
          <w:rFonts w:asciiTheme="minorHAnsi" w:hAnsiTheme="minorHAnsi" w:cstheme="minorHAnsi"/>
          <w:lang w:val="en-GB"/>
        </w:rPr>
      </w:pPr>
      <w:r w:rsidRPr="00CA4E01">
        <w:rPr>
          <w:rFonts w:asciiTheme="minorHAnsi" w:hAnsiTheme="minorHAnsi" w:cstheme="minorHAnsi"/>
          <w:lang w:val="en-GB"/>
        </w:rPr>
        <w:t xml:space="preserve">Need for periodical evaluation and certification process(es) to certify the level of security of a dataset/product/system/service throughout its lifecycle after deployment. </w:t>
      </w:r>
    </w:p>
    <w:p w14:paraId="0DADFC10" w14:textId="5CE1413C" w:rsidR="00CA4EDA" w:rsidRPr="00CA4E01" w:rsidRDefault="00CA4EDA" w:rsidP="00CA4E01">
      <w:pPr>
        <w:pStyle w:val="Heading2"/>
        <w:spacing w:before="120" w:after="120"/>
        <w:rPr>
          <w:rFonts w:asciiTheme="minorHAnsi" w:hAnsiTheme="minorHAnsi" w:cstheme="minorHAnsi"/>
          <w:color w:val="365F91" w:themeColor="accent1" w:themeShade="BF"/>
          <w:szCs w:val="24"/>
        </w:rPr>
      </w:pPr>
      <w:bookmarkStart w:id="22" w:name="_Toc37331408"/>
      <w:r w:rsidRPr="00CA4E01">
        <w:rPr>
          <w:rFonts w:asciiTheme="minorHAnsi" w:hAnsiTheme="minorHAnsi" w:cstheme="minorHAnsi"/>
          <w:color w:val="365F91" w:themeColor="accent1" w:themeShade="BF"/>
          <w:szCs w:val="24"/>
        </w:rPr>
        <w:lastRenderedPageBreak/>
        <w:t xml:space="preserve">Guidelines to </w:t>
      </w:r>
      <w:r w:rsidR="00C63CA4" w:rsidRPr="00CA4E01">
        <w:rPr>
          <w:rFonts w:asciiTheme="minorHAnsi" w:hAnsiTheme="minorHAnsi" w:cstheme="minorHAnsi"/>
          <w:color w:val="365F91" w:themeColor="accent1" w:themeShade="BF"/>
          <w:szCs w:val="24"/>
        </w:rPr>
        <w:t>U</w:t>
      </w:r>
      <w:r w:rsidRPr="00CA4E01">
        <w:rPr>
          <w:rFonts w:asciiTheme="minorHAnsi" w:hAnsiTheme="minorHAnsi" w:cstheme="minorHAnsi"/>
          <w:color w:val="365F91" w:themeColor="accent1" w:themeShade="BF"/>
          <w:szCs w:val="24"/>
        </w:rPr>
        <w:t>tilize Pillar 2 - Technical &amp; Procedural Measures</w:t>
      </w:r>
      <w:bookmarkEnd w:id="22"/>
    </w:p>
    <w:tbl>
      <w:tblPr>
        <w:tblStyle w:val="TableGrid"/>
        <w:tblW w:w="0" w:type="auto"/>
        <w:tblLook w:val="04A0" w:firstRow="1" w:lastRow="0" w:firstColumn="1" w:lastColumn="0" w:noHBand="0" w:noVBand="1"/>
      </w:tblPr>
      <w:tblGrid>
        <w:gridCol w:w="9191"/>
      </w:tblGrid>
      <w:tr w:rsidR="00CA4EDA" w:rsidRPr="00CA4E01" w14:paraId="6C9E2FC6" w14:textId="77777777" w:rsidTr="003C12C1">
        <w:tc>
          <w:tcPr>
            <w:tcW w:w="9191"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66AB9DF1" w14:textId="77777777" w:rsidR="00CA4EDA" w:rsidRPr="00CA4E01" w:rsidRDefault="00CA4EDA" w:rsidP="00412A12">
            <w:pPr>
              <w:keepNext/>
              <w:keepLines/>
              <w:spacing w:after="120"/>
              <w:jc w:val="both"/>
              <w:rPr>
                <w:rFonts w:asciiTheme="minorHAnsi" w:hAnsiTheme="minorHAnsi" w:cstheme="minorHAnsi"/>
                <w:color w:val="000000" w:themeColor="text1"/>
                <w:szCs w:val="24"/>
              </w:rPr>
            </w:pPr>
            <w:r w:rsidRPr="00CA4E01">
              <w:rPr>
                <w:rFonts w:asciiTheme="minorHAnsi" w:hAnsiTheme="minorHAnsi" w:cstheme="minorHAnsi"/>
                <w:b/>
                <w:bCs/>
                <w:color w:val="000000" w:themeColor="text1"/>
                <w:szCs w:val="24"/>
              </w:rPr>
              <w:t>3.12</w:t>
            </w:r>
            <w:r w:rsidRPr="00CA4E01">
              <w:rPr>
                <w:rFonts w:asciiTheme="minorHAnsi" w:hAnsiTheme="minorHAnsi" w:cstheme="minorHAnsi"/>
                <w:szCs w:val="24"/>
              </w:rPr>
              <w:tab/>
            </w:r>
            <w:r w:rsidR="0078724A" w:rsidRPr="00CA4E01">
              <w:rPr>
                <w:rFonts w:asciiTheme="minorHAnsi" w:hAnsiTheme="minorHAnsi" w:cstheme="minorHAnsi"/>
                <w:szCs w:val="24"/>
              </w:rPr>
              <w:t>R</w:t>
            </w:r>
            <w:r w:rsidRPr="00CA4E01">
              <w:rPr>
                <w:rFonts w:asciiTheme="minorHAnsi" w:hAnsiTheme="minorHAnsi" w:cstheme="minorHAnsi"/>
                <w:szCs w:val="24"/>
              </w:rPr>
              <w:t xml:space="preserve">ecommendations related to Pillar 2 in the HLEG Report 2008 </w:t>
            </w:r>
            <w:r w:rsidR="0078724A" w:rsidRPr="00CA4E01">
              <w:rPr>
                <w:rFonts w:asciiTheme="minorHAnsi" w:hAnsiTheme="minorHAnsi" w:cstheme="minorHAnsi"/>
                <w:szCs w:val="24"/>
              </w:rPr>
              <w:t>remain</w:t>
            </w:r>
            <w:r w:rsidRPr="00CA4E01">
              <w:rPr>
                <w:rFonts w:asciiTheme="minorHAnsi" w:hAnsiTheme="minorHAnsi" w:cstheme="minorHAnsi"/>
                <w:szCs w:val="24"/>
              </w:rPr>
              <w:t xml:space="preserve"> valid. </w:t>
            </w:r>
            <w:proofErr w:type="gramStart"/>
            <w:r w:rsidRPr="00CA4E01">
              <w:rPr>
                <w:rFonts w:asciiTheme="minorHAnsi" w:hAnsiTheme="minorHAnsi" w:cstheme="minorHAnsi"/>
                <w:color w:val="000000" w:themeColor="text1"/>
                <w:szCs w:val="24"/>
              </w:rPr>
              <w:t>In light of</w:t>
            </w:r>
            <w:proofErr w:type="gramEnd"/>
            <w:r w:rsidRPr="00CA4E01">
              <w:rPr>
                <w:rFonts w:asciiTheme="minorHAnsi" w:hAnsiTheme="minorHAnsi" w:cstheme="minorHAnsi"/>
                <w:color w:val="000000" w:themeColor="text1"/>
                <w:szCs w:val="24"/>
              </w:rPr>
              <w:t xml:space="preserve"> the above, the following guidelines are proposed for Pillar 2:</w:t>
            </w:r>
          </w:p>
          <w:p w14:paraId="38E26CB1" w14:textId="77777777" w:rsidR="00CA4EDA" w:rsidRPr="00CA4E01" w:rsidRDefault="00CA4EDA" w:rsidP="00412A12">
            <w:pPr>
              <w:keepNext/>
              <w:keepLines/>
              <w:spacing w:after="120"/>
              <w:jc w:val="both"/>
              <w:rPr>
                <w:rFonts w:asciiTheme="minorHAnsi" w:hAnsiTheme="minorHAnsi" w:cstheme="minorHAnsi"/>
                <w:szCs w:val="24"/>
              </w:rPr>
            </w:pPr>
            <w:r w:rsidRPr="00CA4E01">
              <w:rPr>
                <w:rFonts w:asciiTheme="minorHAnsi" w:hAnsiTheme="minorHAnsi" w:cstheme="minorHAnsi"/>
                <w:b/>
                <w:bCs/>
                <w:szCs w:val="24"/>
              </w:rPr>
              <w:t>a.</w:t>
            </w:r>
            <w:r w:rsidRPr="00CA4E01">
              <w:rPr>
                <w:rFonts w:asciiTheme="minorHAnsi" w:hAnsiTheme="minorHAnsi" w:cstheme="minorHAnsi"/>
                <w:szCs w:val="24"/>
              </w:rPr>
              <w:tab/>
              <w:t xml:space="preserve">ITU study groups should focus on emerging technologies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study and formulate </w:t>
            </w:r>
            <w:r w:rsidR="00A0044E" w:rsidRPr="00CA4E01">
              <w:rPr>
                <w:rFonts w:asciiTheme="minorHAnsi" w:hAnsiTheme="minorHAnsi" w:cstheme="minorHAnsi"/>
                <w:szCs w:val="24"/>
              </w:rPr>
              <w:t xml:space="preserve">security </w:t>
            </w:r>
            <w:r w:rsidRPr="00CA4E01">
              <w:rPr>
                <w:rFonts w:asciiTheme="minorHAnsi" w:hAnsiTheme="minorHAnsi" w:cstheme="minorHAnsi"/>
                <w:szCs w:val="24"/>
              </w:rPr>
              <w:t>guidelines for the use of related technologies</w:t>
            </w:r>
            <w:r w:rsidR="006D27C6" w:rsidRPr="00CA4E01">
              <w:rPr>
                <w:rFonts w:asciiTheme="minorHAnsi" w:hAnsiTheme="minorHAnsi" w:cstheme="minorHAnsi"/>
                <w:szCs w:val="24"/>
              </w:rPr>
              <w:t xml:space="preserve"> </w:t>
            </w:r>
            <w:r w:rsidRPr="00CA4E01">
              <w:rPr>
                <w:rFonts w:asciiTheme="minorHAnsi" w:hAnsiTheme="minorHAnsi" w:cstheme="minorHAnsi"/>
                <w:szCs w:val="24"/>
              </w:rPr>
              <w:t xml:space="preserve">and </w:t>
            </w:r>
            <w:r w:rsidR="00A0044E" w:rsidRPr="00CA4E01">
              <w:rPr>
                <w:rFonts w:asciiTheme="minorHAnsi" w:hAnsiTheme="minorHAnsi" w:cstheme="minorHAnsi"/>
                <w:szCs w:val="24"/>
              </w:rPr>
              <w:t xml:space="preserve">recommend </w:t>
            </w:r>
            <w:r w:rsidRPr="00CA4E01">
              <w:rPr>
                <w:rFonts w:asciiTheme="minorHAnsi" w:hAnsiTheme="minorHAnsi" w:cstheme="minorHAnsi"/>
                <w:szCs w:val="24"/>
              </w:rPr>
              <w:t xml:space="preserve">Member States </w:t>
            </w:r>
            <w:r w:rsidR="00A0044E" w:rsidRPr="00CA4E01">
              <w:rPr>
                <w:rFonts w:asciiTheme="minorHAnsi" w:hAnsiTheme="minorHAnsi" w:cstheme="minorHAnsi"/>
                <w:szCs w:val="24"/>
              </w:rPr>
              <w:t>to voluntar</w:t>
            </w:r>
            <w:r w:rsidR="00C87368" w:rsidRPr="00CA4E01">
              <w:rPr>
                <w:rFonts w:asciiTheme="minorHAnsi" w:hAnsiTheme="minorHAnsi" w:cstheme="minorHAnsi"/>
                <w:szCs w:val="24"/>
              </w:rPr>
              <w:t>il</w:t>
            </w:r>
            <w:r w:rsidR="00A0044E" w:rsidRPr="00CA4E01">
              <w:rPr>
                <w:rFonts w:asciiTheme="minorHAnsi" w:hAnsiTheme="minorHAnsi" w:cstheme="minorHAnsi"/>
                <w:szCs w:val="24"/>
              </w:rPr>
              <w:t>y</w:t>
            </w:r>
            <w:r w:rsidRPr="00CA4E01">
              <w:rPr>
                <w:rFonts w:asciiTheme="minorHAnsi" w:hAnsiTheme="minorHAnsi" w:cstheme="minorHAnsi"/>
                <w:szCs w:val="24"/>
              </w:rPr>
              <w:t xml:space="preserve"> appl</w:t>
            </w:r>
            <w:r w:rsidR="00BF53AB" w:rsidRPr="00CA4E01">
              <w:rPr>
                <w:rFonts w:asciiTheme="minorHAnsi" w:hAnsiTheme="minorHAnsi" w:cstheme="minorHAnsi"/>
                <w:szCs w:val="24"/>
              </w:rPr>
              <w:t>y</w:t>
            </w:r>
            <w:r w:rsidRPr="00CA4E01">
              <w:rPr>
                <w:rFonts w:asciiTheme="minorHAnsi" w:hAnsiTheme="minorHAnsi" w:cstheme="minorHAnsi"/>
                <w:szCs w:val="24"/>
              </w:rPr>
              <w:t xml:space="preserve"> these in a timely manner in order to counter changing and escalating cyber threats. </w:t>
            </w:r>
          </w:p>
          <w:p w14:paraId="6170922C" w14:textId="77777777" w:rsidR="00CA4EDA" w:rsidRPr="00CA4E01" w:rsidRDefault="00CA4EDA" w:rsidP="00412A12">
            <w:pPr>
              <w:keepNext/>
              <w:keepLines/>
              <w:spacing w:after="120"/>
              <w:jc w:val="both"/>
              <w:rPr>
                <w:rFonts w:asciiTheme="minorHAnsi" w:hAnsiTheme="minorHAnsi" w:cstheme="minorHAnsi"/>
                <w:szCs w:val="24"/>
              </w:rPr>
            </w:pPr>
            <w:r w:rsidRPr="00CA4E01">
              <w:rPr>
                <w:rFonts w:asciiTheme="minorHAnsi" w:hAnsiTheme="minorHAnsi" w:cstheme="minorHAnsi"/>
                <w:b/>
                <w:bCs/>
                <w:szCs w:val="24"/>
              </w:rPr>
              <w:t>b.</w:t>
            </w:r>
            <w:r w:rsidRPr="00CA4E01">
              <w:rPr>
                <w:rFonts w:asciiTheme="minorHAnsi" w:hAnsiTheme="minorHAnsi" w:cstheme="minorHAnsi"/>
                <w:szCs w:val="24"/>
              </w:rPr>
              <w:tab/>
              <w:t>A mechanism for close cooperation should be established among the various ITU-T study groups regarding the study of security-related matters, with SG17 in a coordinating/leading role, so that the highest possible degree of end-to-end security is maintained throughout the standardization process of all components and interfaces of ICT products.</w:t>
            </w:r>
          </w:p>
          <w:p w14:paraId="36A493F4" w14:textId="77777777" w:rsidR="00CA4EDA" w:rsidRPr="00CA4E01" w:rsidRDefault="00CA4EDA" w:rsidP="00412A12">
            <w:pPr>
              <w:pStyle w:val="Default"/>
              <w:keepNext/>
              <w:keepLines/>
              <w:spacing w:before="120" w:after="120"/>
              <w:jc w:val="both"/>
              <w:rPr>
                <w:rFonts w:asciiTheme="minorHAnsi" w:hAnsiTheme="minorHAnsi" w:cstheme="minorHAnsi"/>
                <w:lang w:val="en-GB"/>
              </w:rPr>
            </w:pPr>
            <w:r w:rsidRPr="00CA4E01">
              <w:rPr>
                <w:rFonts w:asciiTheme="minorHAnsi" w:hAnsiTheme="minorHAnsi" w:cstheme="minorHAnsi"/>
                <w:b/>
                <w:bCs/>
                <w:lang w:val="en-GB"/>
              </w:rPr>
              <w:t>c.</w:t>
            </w:r>
            <w:r w:rsidRPr="00CA4E01">
              <w:rPr>
                <w:rFonts w:asciiTheme="minorHAnsi" w:hAnsiTheme="minorHAnsi" w:cstheme="minorHAnsi"/>
                <w:lang w:val="en-GB"/>
              </w:rPr>
              <w:tab/>
              <w:t xml:space="preserve">Close coordination and collaboration, </w:t>
            </w:r>
            <w:proofErr w:type="gramStart"/>
            <w:r w:rsidRPr="00CA4E01">
              <w:rPr>
                <w:rFonts w:asciiTheme="minorHAnsi" w:hAnsiTheme="minorHAnsi" w:cstheme="minorHAnsi"/>
                <w:lang w:val="en-GB"/>
              </w:rPr>
              <w:t>on the basis of</w:t>
            </w:r>
            <w:proofErr w:type="gramEnd"/>
            <w:r w:rsidRPr="00CA4E01">
              <w:rPr>
                <w:rFonts w:asciiTheme="minorHAnsi" w:hAnsiTheme="minorHAnsi" w:cstheme="minorHAnsi"/>
                <w:lang w:val="en-GB"/>
              </w:rPr>
              <w:t xml:space="preserve"> reciprocity of ITU with other SDOs, should be encouraged to ensure that the end-to-end product security of diverse applications and services is maintained throughout the product cycle.  </w:t>
            </w:r>
          </w:p>
          <w:p w14:paraId="62CCB5AE" w14:textId="77777777" w:rsidR="00CA4EDA" w:rsidRPr="00CA4E01" w:rsidRDefault="00CA4EDA" w:rsidP="00412A12">
            <w:pPr>
              <w:pStyle w:val="Default"/>
              <w:keepNext/>
              <w:keepLines/>
              <w:spacing w:before="120" w:after="120"/>
              <w:jc w:val="both"/>
              <w:rPr>
                <w:rFonts w:asciiTheme="minorHAnsi" w:hAnsiTheme="minorHAnsi" w:cstheme="minorHAnsi"/>
                <w:lang w:val="en-GB"/>
              </w:rPr>
            </w:pPr>
            <w:r w:rsidRPr="00CA4E01">
              <w:rPr>
                <w:rFonts w:asciiTheme="minorHAnsi" w:hAnsiTheme="minorHAnsi" w:cstheme="minorHAnsi"/>
                <w:b/>
                <w:bCs/>
                <w:lang w:val="en-GB"/>
              </w:rPr>
              <w:t>d.</w:t>
            </w:r>
            <w:r w:rsidRPr="00CA4E01">
              <w:rPr>
                <w:rFonts w:asciiTheme="minorHAnsi" w:hAnsiTheme="minorHAnsi" w:cstheme="minorHAnsi"/>
                <w:lang w:val="en-GB"/>
              </w:rPr>
              <w:tab/>
              <w:t xml:space="preserve">ITU should continue to </w:t>
            </w:r>
            <w:r w:rsidR="00A0044E" w:rsidRPr="00CA4E01">
              <w:rPr>
                <w:rFonts w:asciiTheme="minorHAnsi" w:hAnsiTheme="minorHAnsi" w:cstheme="minorHAnsi"/>
                <w:lang w:val="en-GB"/>
              </w:rPr>
              <w:t xml:space="preserve">disseminate </w:t>
            </w:r>
            <w:r w:rsidRPr="00CA4E01">
              <w:rPr>
                <w:rFonts w:asciiTheme="minorHAnsi" w:hAnsiTheme="minorHAnsi" w:cstheme="minorHAnsi"/>
                <w:lang w:val="en-GB"/>
              </w:rPr>
              <w:t>global ICT security standards. Other standardization organizations and industry groups are encouraged to submit their standards on technical and procedural measures to ITU-T for adoption as ITU-T Recommendations.</w:t>
            </w:r>
          </w:p>
          <w:p w14:paraId="6262BD55" w14:textId="45432699" w:rsidR="00CA4EDA" w:rsidRPr="00CA4E01" w:rsidRDefault="00CA4EDA" w:rsidP="00412A12">
            <w:pPr>
              <w:keepNext/>
              <w:keepLines/>
              <w:spacing w:after="120"/>
              <w:jc w:val="both"/>
              <w:rPr>
                <w:rFonts w:asciiTheme="minorHAnsi" w:hAnsiTheme="minorHAnsi" w:cstheme="minorHAnsi"/>
                <w:szCs w:val="24"/>
              </w:rPr>
            </w:pPr>
            <w:r w:rsidRPr="00CA4E01">
              <w:rPr>
                <w:rFonts w:asciiTheme="minorHAnsi" w:hAnsiTheme="minorHAnsi" w:cstheme="minorHAnsi"/>
                <w:b/>
                <w:bCs/>
                <w:szCs w:val="24"/>
              </w:rPr>
              <w:t>e.</w:t>
            </w:r>
            <w:r w:rsidRPr="00CA4E01">
              <w:rPr>
                <w:rFonts w:asciiTheme="minorHAnsi" w:hAnsiTheme="minorHAnsi" w:cstheme="minorHAnsi"/>
                <w:b/>
                <w:bCs/>
                <w:szCs w:val="24"/>
              </w:rPr>
              <w:tab/>
            </w:r>
            <w:r w:rsidRPr="00CA4E01">
              <w:rPr>
                <w:rFonts w:asciiTheme="minorHAnsi" w:hAnsiTheme="minorHAnsi" w:cstheme="minorHAnsi"/>
                <w:szCs w:val="24"/>
              </w:rPr>
              <w:t>ITU</w:t>
            </w:r>
            <w:r w:rsidR="006D2215" w:rsidRPr="00CA4E01">
              <w:rPr>
                <w:rFonts w:asciiTheme="minorHAnsi" w:hAnsiTheme="minorHAnsi" w:cstheme="minorHAnsi"/>
                <w:szCs w:val="24"/>
              </w:rPr>
              <w:t xml:space="preserve"> should continue its efforts towards</w:t>
            </w:r>
            <w:r w:rsidRPr="00CA4E01">
              <w:rPr>
                <w:rFonts w:asciiTheme="minorHAnsi" w:hAnsiTheme="minorHAnsi" w:cstheme="minorHAnsi"/>
                <w:szCs w:val="24"/>
              </w:rPr>
              <w:t xml:space="preserve"> becoming “the global centre of excellence” for developing Recommendations on technical and procedural measures for cybersecurity in areas within its mandate (as referenced in the HLEG Report 2008)</w:t>
            </w:r>
            <w:r w:rsidR="00AB69D7" w:rsidRPr="00CA4E01">
              <w:rPr>
                <w:rFonts w:asciiTheme="minorHAnsi" w:hAnsiTheme="minorHAnsi" w:cstheme="minorHAnsi"/>
                <w:szCs w:val="24"/>
              </w:rPr>
              <w:t xml:space="preserve">, through, </w:t>
            </w:r>
            <w:r w:rsidR="00AB69D7" w:rsidRPr="00CA4E01">
              <w:rPr>
                <w:rFonts w:asciiTheme="minorHAnsi" w:hAnsiTheme="minorHAnsi" w:cstheme="minorHAnsi"/>
                <w:i/>
                <w:iCs/>
                <w:szCs w:val="24"/>
              </w:rPr>
              <w:t>inter alia</w:t>
            </w:r>
            <w:r w:rsidR="00AB69D7" w:rsidRPr="00CA4E01">
              <w:rPr>
                <w:rFonts w:asciiTheme="minorHAnsi" w:hAnsiTheme="minorHAnsi" w:cstheme="minorHAnsi"/>
                <w:szCs w:val="24"/>
              </w:rPr>
              <w:t>,</w:t>
            </w:r>
            <w:r w:rsidR="00A25A2B" w:rsidRPr="00CA4E01">
              <w:rPr>
                <w:rFonts w:asciiTheme="minorHAnsi" w:hAnsiTheme="minorHAnsi" w:cstheme="minorHAnsi"/>
                <w:szCs w:val="24"/>
              </w:rPr>
              <w:t xml:space="preserve"> incentivizing </w:t>
            </w:r>
            <w:r w:rsidR="006D2215" w:rsidRPr="00CA4E01">
              <w:rPr>
                <w:rFonts w:asciiTheme="minorHAnsi" w:hAnsiTheme="minorHAnsi" w:cstheme="minorHAnsi"/>
                <w:szCs w:val="24"/>
              </w:rPr>
              <w:t>its members to increase their participation in related ITU standardization activities</w:t>
            </w:r>
            <w:r w:rsidR="00997AEA" w:rsidRPr="00CA4E01">
              <w:rPr>
                <w:rFonts w:asciiTheme="minorHAnsi" w:hAnsiTheme="minorHAnsi" w:cstheme="minorHAnsi"/>
                <w:szCs w:val="24"/>
              </w:rPr>
              <w:t xml:space="preserve"> and through strategic partnerships</w:t>
            </w:r>
            <w:r w:rsidRPr="00CA4E01">
              <w:rPr>
                <w:rFonts w:asciiTheme="minorHAnsi" w:hAnsiTheme="minorHAnsi" w:cstheme="minorHAnsi"/>
                <w:b/>
                <w:bCs/>
                <w:szCs w:val="24"/>
              </w:rPr>
              <w:t xml:space="preserve">.  </w:t>
            </w:r>
          </w:p>
          <w:p w14:paraId="01066004" w14:textId="1CC26576" w:rsidR="00CA4EDA" w:rsidRPr="00CA4E01" w:rsidRDefault="00CA4EDA" w:rsidP="00412A12">
            <w:pPr>
              <w:keepNext/>
              <w:keepLines/>
              <w:spacing w:after="120"/>
              <w:jc w:val="both"/>
              <w:rPr>
                <w:rFonts w:asciiTheme="minorHAnsi" w:eastAsiaTheme="minorEastAsia" w:hAnsiTheme="minorHAnsi" w:cstheme="minorHAnsi"/>
                <w:szCs w:val="24"/>
                <w:lang w:eastAsia="zh-CN"/>
              </w:rPr>
            </w:pPr>
            <w:r w:rsidRPr="00CA4E01">
              <w:rPr>
                <w:rFonts w:asciiTheme="minorHAnsi" w:eastAsiaTheme="minorEastAsia" w:hAnsiTheme="minorHAnsi" w:cstheme="minorHAnsi"/>
                <w:b/>
                <w:bCs/>
                <w:szCs w:val="24"/>
                <w:lang w:eastAsia="zh-CN"/>
              </w:rPr>
              <w:t>f</w:t>
            </w:r>
            <w:r w:rsidRPr="00CA4E01">
              <w:rPr>
                <w:rFonts w:asciiTheme="minorHAnsi" w:hAnsiTheme="minorHAnsi" w:cstheme="minorHAnsi"/>
                <w:b/>
                <w:bCs/>
                <w:szCs w:val="24"/>
              </w:rPr>
              <w:t>.</w:t>
            </w:r>
            <w:r w:rsidRPr="00CA4E01">
              <w:rPr>
                <w:rFonts w:asciiTheme="minorHAnsi" w:hAnsiTheme="minorHAnsi" w:cstheme="minorHAnsi"/>
                <w:szCs w:val="24"/>
              </w:rPr>
              <w:tab/>
            </w:r>
            <w:r w:rsidR="008F486F" w:rsidRPr="00CA4E01">
              <w:rPr>
                <w:rFonts w:asciiTheme="minorHAnsi" w:hAnsiTheme="minorHAnsi" w:cstheme="minorHAnsi"/>
                <w:szCs w:val="24"/>
              </w:rPr>
              <w:t xml:space="preserve">ITU should continue to </w:t>
            </w:r>
            <w:r w:rsidR="00CD47A8" w:rsidRPr="00CA4E01">
              <w:rPr>
                <w:rFonts w:asciiTheme="minorHAnsi" w:hAnsiTheme="minorHAnsi" w:cstheme="minorHAnsi"/>
                <w:szCs w:val="24"/>
              </w:rPr>
              <w:t>encourage</w:t>
            </w:r>
            <w:r w:rsidR="008F486F" w:rsidRPr="00CA4E01">
              <w:rPr>
                <w:rFonts w:asciiTheme="minorHAnsi" w:hAnsiTheme="minorHAnsi" w:cstheme="minorHAnsi"/>
                <w:szCs w:val="24"/>
              </w:rPr>
              <w:t xml:space="preserve"> its members </w:t>
            </w:r>
            <w:r w:rsidRPr="00CA4E01">
              <w:rPr>
                <w:rFonts w:asciiTheme="minorHAnsi" w:eastAsiaTheme="minorEastAsia" w:hAnsiTheme="minorHAnsi" w:cstheme="minorHAnsi"/>
                <w:szCs w:val="24"/>
                <w:lang w:eastAsia="zh-CN"/>
              </w:rPr>
              <w:t xml:space="preserve">to </w:t>
            </w:r>
            <w:r w:rsidR="00133C97" w:rsidRPr="00CA4E01">
              <w:rPr>
                <w:rFonts w:asciiTheme="minorHAnsi" w:eastAsiaTheme="minorEastAsia" w:hAnsiTheme="minorHAnsi" w:cstheme="minorHAnsi"/>
                <w:szCs w:val="24"/>
                <w:lang w:eastAsia="zh-CN"/>
              </w:rPr>
              <w:t>initiate/</w:t>
            </w:r>
            <w:r w:rsidRPr="00CA4E01">
              <w:rPr>
                <w:rFonts w:asciiTheme="minorHAnsi" w:eastAsiaTheme="minorEastAsia" w:hAnsiTheme="minorHAnsi" w:cstheme="minorHAnsi"/>
                <w:szCs w:val="24"/>
                <w:lang w:eastAsia="zh-CN"/>
              </w:rPr>
              <w:t xml:space="preserve">participate in </w:t>
            </w:r>
            <w:bookmarkStart w:id="23" w:name="_Hlk37855220"/>
            <w:r w:rsidRPr="00CA4E01">
              <w:rPr>
                <w:rFonts w:asciiTheme="minorHAnsi" w:eastAsiaTheme="minorEastAsia" w:hAnsiTheme="minorHAnsi" w:cstheme="minorHAnsi"/>
                <w:szCs w:val="24"/>
                <w:lang w:eastAsia="zh-CN"/>
              </w:rPr>
              <w:t xml:space="preserve">mutual certification arrangements towards </w:t>
            </w:r>
            <w:r w:rsidR="00133C97" w:rsidRPr="00CA4E01">
              <w:rPr>
                <w:rFonts w:asciiTheme="minorHAnsi" w:eastAsiaTheme="minorEastAsia" w:hAnsiTheme="minorHAnsi" w:cstheme="minorHAnsi"/>
                <w:szCs w:val="24"/>
                <w:lang w:eastAsia="zh-CN"/>
              </w:rPr>
              <w:t>international</w:t>
            </w:r>
            <w:r w:rsidRPr="00CA4E01">
              <w:rPr>
                <w:rFonts w:asciiTheme="minorHAnsi" w:eastAsiaTheme="minorEastAsia" w:hAnsiTheme="minorHAnsi" w:cstheme="minorHAnsi"/>
                <w:szCs w:val="24"/>
                <w:lang w:eastAsia="zh-CN"/>
              </w:rPr>
              <w:t xml:space="preserve"> global cybersecurity </w:t>
            </w:r>
            <w:r w:rsidR="00133C97" w:rsidRPr="00CA4E01">
              <w:rPr>
                <w:rFonts w:asciiTheme="minorHAnsi" w:eastAsiaTheme="minorEastAsia" w:hAnsiTheme="minorHAnsi" w:cstheme="minorHAnsi"/>
                <w:szCs w:val="24"/>
                <w:lang w:eastAsia="zh-CN"/>
              </w:rPr>
              <w:t>certification schemes</w:t>
            </w:r>
            <w:r w:rsidR="00F47557" w:rsidRPr="00CA4E01">
              <w:rPr>
                <w:rFonts w:asciiTheme="minorHAnsi" w:eastAsiaTheme="minorEastAsia" w:hAnsiTheme="minorHAnsi" w:cstheme="minorHAnsi"/>
                <w:szCs w:val="24"/>
                <w:lang w:eastAsia="zh-CN"/>
              </w:rPr>
              <w:t xml:space="preserve"> </w:t>
            </w:r>
            <w:r w:rsidRPr="00CA4E01">
              <w:rPr>
                <w:rFonts w:asciiTheme="minorHAnsi" w:eastAsiaTheme="minorEastAsia" w:hAnsiTheme="minorHAnsi" w:cstheme="minorHAnsi"/>
                <w:szCs w:val="24"/>
                <w:lang w:eastAsia="zh-CN"/>
              </w:rPr>
              <w:t>based on harmonized standards</w:t>
            </w:r>
            <w:bookmarkEnd w:id="23"/>
            <w:r w:rsidRPr="00CA4E01">
              <w:rPr>
                <w:rFonts w:asciiTheme="minorHAnsi" w:eastAsiaTheme="minorEastAsia" w:hAnsiTheme="minorHAnsi" w:cstheme="minorHAnsi"/>
                <w:szCs w:val="24"/>
                <w:lang w:eastAsia="zh-CN"/>
              </w:rPr>
              <w:t xml:space="preserve">. </w:t>
            </w:r>
          </w:p>
        </w:tc>
      </w:tr>
    </w:tbl>
    <w:p w14:paraId="0B9BB339" w14:textId="77777777" w:rsidR="00CA4EDA" w:rsidRPr="00CA4E01" w:rsidRDefault="00CA4EDA" w:rsidP="00D2656A">
      <w:pPr>
        <w:pStyle w:val="Heading1"/>
        <w:spacing w:before="600" w:after="120"/>
        <w:rPr>
          <w:rFonts w:asciiTheme="minorHAnsi" w:hAnsiTheme="minorHAnsi" w:cstheme="minorHAnsi"/>
          <w:color w:val="365F91" w:themeColor="accent1" w:themeShade="BF"/>
          <w:sz w:val="24"/>
          <w:szCs w:val="24"/>
        </w:rPr>
      </w:pPr>
      <w:bookmarkStart w:id="24" w:name="_Toc37331409"/>
      <w:r w:rsidRPr="00CA4E01">
        <w:rPr>
          <w:rFonts w:asciiTheme="minorHAnsi" w:hAnsiTheme="minorHAnsi" w:cstheme="minorHAnsi"/>
          <w:color w:val="365F91" w:themeColor="accent1" w:themeShade="BF"/>
          <w:sz w:val="24"/>
          <w:szCs w:val="24"/>
        </w:rPr>
        <w:t>Section 4</w:t>
      </w:r>
      <w:r w:rsidRPr="00CA4E01">
        <w:rPr>
          <w:rFonts w:asciiTheme="minorHAnsi" w:hAnsiTheme="minorHAnsi" w:cstheme="minorHAnsi"/>
          <w:color w:val="365F91" w:themeColor="accent1" w:themeShade="BF"/>
          <w:sz w:val="24"/>
          <w:szCs w:val="24"/>
        </w:rPr>
        <w:tab/>
        <w:t>Pillar 3: Organizational Structures</w:t>
      </w:r>
      <w:bookmarkEnd w:id="24"/>
    </w:p>
    <w:p w14:paraId="6F374D1F" w14:textId="77777777"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25" w:name="_Toc37331410"/>
      <w:r w:rsidRPr="00CA4E01">
        <w:rPr>
          <w:rFonts w:asciiTheme="minorHAnsi" w:hAnsiTheme="minorHAnsi" w:cstheme="minorHAnsi"/>
          <w:color w:val="365F91" w:themeColor="accent1" w:themeShade="BF"/>
          <w:szCs w:val="24"/>
        </w:rPr>
        <w:t>Introduction</w:t>
      </w:r>
      <w:bookmarkEnd w:id="25"/>
    </w:p>
    <w:p w14:paraId="3796A00A"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4.1</w:t>
      </w:r>
      <w:r w:rsidRPr="00CA4E01">
        <w:rPr>
          <w:rFonts w:asciiTheme="minorHAnsi" w:hAnsiTheme="minorHAnsi" w:cstheme="minorHAnsi"/>
          <w:szCs w:val="24"/>
        </w:rPr>
        <w:tab/>
        <w:t xml:space="preserve">Organizational structures at the levels of national, regional, and international coordination can be </w:t>
      </w:r>
      <w:proofErr w:type="spellStart"/>
      <w:r w:rsidRPr="00CA4E01">
        <w:rPr>
          <w:rFonts w:asciiTheme="minorHAnsi" w:hAnsiTheme="minorHAnsi" w:cstheme="minorHAnsi"/>
          <w:szCs w:val="24"/>
        </w:rPr>
        <w:t>analyzed</w:t>
      </w:r>
      <w:proofErr w:type="spellEnd"/>
      <w:r w:rsidRPr="00CA4E01">
        <w:rPr>
          <w:rFonts w:asciiTheme="minorHAnsi" w:hAnsiTheme="minorHAnsi" w:cstheme="minorHAnsi"/>
          <w:szCs w:val="24"/>
        </w:rPr>
        <w:t xml:space="preserve"> based on whether the purpose for their cooperation is strategic or operational. In a strategic structure, organizations place a greater emphasis on establishing a collaborative relationship than carrying out joint operations in case of a cyber-incident. On the other hand, in an operational structure, organizations form close information sharing systems to rapidly exchange information to quickly react to cyber incidents. This distinction can be helpful when comparing different organizational structures around the world.</w:t>
      </w:r>
    </w:p>
    <w:p w14:paraId="28866A30"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4.2</w:t>
      </w:r>
      <w:r w:rsidRPr="00CA4E01">
        <w:rPr>
          <w:rFonts w:asciiTheme="minorHAnsi" w:hAnsiTheme="minorHAnsi" w:cstheme="minorHAnsi"/>
          <w:b/>
          <w:bCs/>
          <w:szCs w:val="24"/>
        </w:rPr>
        <w:tab/>
      </w:r>
      <w:r w:rsidRPr="00CA4E01">
        <w:rPr>
          <w:rFonts w:asciiTheme="minorHAnsi" w:hAnsiTheme="minorHAnsi" w:cstheme="minorHAnsi"/>
          <w:szCs w:val="24"/>
        </w:rPr>
        <w:t xml:space="preserve">Effective mechanisms and institutional structures at the national level are necessary to reliably </w:t>
      </w:r>
      <w:r w:rsidR="00BD30AB" w:rsidRPr="00CA4E01">
        <w:rPr>
          <w:rFonts w:asciiTheme="minorHAnsi" w:hAnsiTheme="minorHAnsi" w:cstheme="minorHAnsi"/>
          <w:szCs w:val="24"/>
        </w:rPr>
        <w:t>prepare and respond</w:t>
      </w:r>
      <w:r w:rsidRPr="00CA4E01">
        <w:rPr>
          <w:rFonts w:asciiTheme="minorHAnsi" w:hAnsiTheme="minorHAnsi" w:cstheme="minorHAnsi"/>
          <w:szCs w:val="24"/>
        </w:rPr>
        <w:t xml:space="preserve"> </w:t>
      </w:r>
      <w:r w:rsidR="005D4509" w:rsidRPr="00CA4E01">
        <w:rPr>
          <w:rFonts w:asciiTheme="minorHAnsi" w:hAnsiTheme="minorHAnsi" w:cstheme="minorHAnsi"/>
          <w:szCs w:val="24"/>
        </w:rPr>
        <w:t xml:space="preserve">to </w:t>
      </w:r>
      <w:r w:rsidRPr="00CA4E01">
        <w:rPr>
          <w:rFonts w:asciiTheme="minorHAnsi" w:hAnsiTheme="minorHAnsi" w:cstheme="minorHAnsi"/>
          <w:szCs w:val="24"/>
        </w:rPr>
        <w:t xml:space="preserve">cyber threats and incidents. The absence of such institutions and the lack of national capacities pose challenges in adequately and effectively responding to cyber-attacks. National Computer Incident Response Teams (CIRTs) play </w:t>
      </w:r>
      <w:r w:rsidR="00BD30AB" w:rsidRPr="00CA4E01">
        <w:rPr>
          <w:rFonts w:asciiTheme="minorHAnsi" w:hAnsiTheme="minorHAnsi" w:cstheme="minorHAnsi"/>
          <w:szCs w:val="24"/>
        </w:rPr>
        <w:t xml:space="preserve">a vital </w:t>
      </w:r>
      <w:r w:rsidRPr="00CA4E01">
        <w:rPr>
          <w:rFonts w:asciiTheme="minorHAnsi" w:hAnsiTheme="minorHAnsi" w:cstheme="minorHAnsi"/>
          <w:szCs w:val="24"/>
        </w:rPr>
        <w:t xml:space="preserve">role in </w:t>
      </w:r>
      <w:r w:rsidR="005D4509" w:rsidRPr="00CA4E01">
        <w:rPr>
          <w:rFonts w:asciiTheme="minorHAnsi" w:hAnsiTheme="minorHAnsi" w:cstheme="minorHAnsi"/>
          <w:szCs w:val="24"/>
        </w:rPr>
        <w:t xml:space="preserve">improving preparedness and resilience on the national level. </w:t>
      </w:r>
    </w:p>
    <w:p w14:paraId="47A48303" w14:textId="6B24A85F" w:rsidR="00CA4EDA" w:rsidRPr="00CA4E01" w:rsidRDefault="00CA4EDA" w:rsidP="00CA4E01">
      <w:pPr>
        <w:pStyle w:val="Heading2"/>
        <w:spacing w:before="120" w:after="120"/>
        <w:rPr>
          <w:rFonts w:asciiTheme="minorHAnsi" w:hAnsiTheme="minorHAnsi" w:cstheme="minorHAnsi"/>
          <w:color w:val="365F91" w:themeColor="accent1" w:themeShade="BF"/>
          <w:szCs w:val="24"/>
        </w:rPr>
      </w:pPr>
      <w:bookmarkStart w:id="26" w:name="_Toc37331411"/>
      <w:r w:rsidRPr="00CA4E01">
        <w:rPr>
          <w:rFonts w:asciiTheme="minorHAnsi" w:hAnsiTheme="minorHAnsi" w:cstheme="minorHAnsi"/>
          <w:color w:val="365F91" w:themeColor="accent1" w:themeShade="BF"/>
          <w:szCs w:val="24"/>
        </w:rPr>
        <w:lastRenderedPageBreak/>
        <w:t xml:space="preserve">Evolution of the Organizational Structures </w:t>
      </w:r>
      <w:r w:rsidR="00C63CA4" w:rsidRPr="00CA4E01">
        <w:rPr>
          <w:rFonts w:asciiTheme="minorHAnsi" w:hAnsiTheme="minorHAnsi" w:cstheme="minorHAnsi"/>
          <w:color w:val="365F91" w:themeColor="accent1" w:themeShade="BF"/>
          <w:szCs w:val="24"/>
        </w:rPr>
        <w:t>L</w:t>
      </w:r>
      <w:r w:rsidRPr="00CA4E01">
        <w:rPr>
          <w:rFonts w:asciiTheme="minorHAnsi" w:hAnsiTheme="minorHAnsi" w:cstheme="minorHAnsi"/>
          <w:color w:val="365F91" w:themeColor="accent1" w:themeShade="BF"/>
          <w:szCs w:val="24"/>
        </w:rPr>
        <w:t xml:space="preserve">andscape </w:t>
      </w:r>
      <w:r w:rsidR="00C63CA4" w:rsidRPr="00CA4E01">
        <w:rPr>
          <w:rFonts w:asciiTheme="minorHAnsi" w:hAnsiTheme="minorHAnsi" w:cstheme="minorHAnsi"/>
          <w:color w:val="365F91" w:themeColor="accent1" w:themeShade="BF"/>
          <w:szCs w:val="24"/>
        </w:rPr>
        <w:t>S</w:t>
      </w:r>
      <w:r w:rsidRPr="00CA4E01">
        <w:rPr>
          <w:rFonts w:asciiTheme="minorHAnsi" w:hAnsiTheme="minorHAnsi" w:cstheme="minorHAnsi"/>
          <w:color w:val="365F91" w:themeColor="accent1" w:themeShade="BF"/>
          <w:szCs w:val="24"/>
        </w:rPr>
        <w:t>ince 2008</w:t>
      </w:r>
      <w:bookmarkEnd w:id="26"/>
    </w:p>
    <w:p w14:paraId="0D42E030"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4.3</w:t>
      </w:r>
      <w:r w:rsidRPr="00CA4E01">
        <w:rPr>
          <w:rFonts w:asciiTheme="minorHAnsi" w:hAnsiTheme="minorHAnsi" w:cstheme="minorHAnsi"/>
          <w:szCs w:val="24"/>
        </w:rPr>
        <w:tab/>
        <w:t xml:space="preserve">There has been significant progress in the last decade in terms of Pillar 3. Numerous national, </w:t>
      </w:r>
      <w:proofErr w:type="gramStart"/>
      <w:r w:rsidRPr="00CA4E01">
        <w:rPr>
          <w:rFonts w:asciiTheme="minorHAnsi" w:hAnsiTheme="minorHAnsi" w:cstheme="minorHAnsi"/>
          <w:szCs w:val="24"/>
        </w:rPr>
        <w:t>regional</w:t>
      </w:r>
      <w:proofErr w:type="gramEnd"/>
      <w:r w:rsidRPr="00CA4E01">
        <w:rPr>
          <w:rFonts w:asciiTheme="minorHAnsi" w:hAnsiTheme="minorHAnsi" w:cstheme="minorHAnsi"/>
          <w:szCs w:val="24"/>
        </w:rPr>
        <w:t xml:space="preserve"> and international organizations have been set up to tackle the issue of cybersecurity. </w:t>
      </w:r>
    </w:p>
    <w:p w14:paraId="599F3999"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4.4</w:t>
      </w:r>
      <w:r w:rsidRPr="00CA4E01">
        <w:rPr>
          <w:rFonts w:asciiTheme="minorHAnsi" w:hAnsiTheme="minorHAnsi" w:cstheme="minorHAnsi"/>
          <w:b/>
          <w:bCs/>
          <w:szCs w:val="24"/>
        </w:rPr>
        <w:tab/>
      </w:r>
      <w:r w:rsidR="005D4509" w:rsidRPr="00CA4E01">
        <w:rPr>
          <w:rFonts w:asciiTheme="minorHAnsi" w:hAnsiTheme="minorHAnsi" w:cstheme="minorHAnsi"/>
          <w:szCs w:val="24"/>
        </w:rPr>
        <w:t>E</w:t>
      </w:r>
      <w:r w:rsidRPr="00CA4E01">
        <w:rPr>
          <w:rFonts w:asciiTheme="minorHAnsi" w:hAnsiTheme="minorHAnsi" w:cstheme="minorHAnsi"/>
          <w:szCs w:val="24"/>
        </w:rPr>
        <w:t>xamples of</w:t>
      </w:r>
      <w:r w:rsidRPr="00CA4E01">
        <w:rPr>
          <w:rFonts w:asciiTheme="minorHAnsi" w:hAnsiTheme="minorHAnsi" w:cstheme="minorHAnsi"/>
          <w:b/>
          <w:bCs/>
          <w:szCs w:val="24"/>
        </w:rPr>
        <w:t xml:space="preserve"> </w:t>
      </w:r>
      <w:r w:rsidRPr="00CA4E01">
        <w:rPr>
          <w:rFonts w:asciiTheme="minorHAnsi" w:hAnsiTheme="minorHAnsi" w:cstheme="minorHAnsi"/>
          <w:szCs w:val="24"/>
        </w:rPr>
        <w:t xml:space="preserve">national and regional initiatives include AFRIPOL, AMERIPOL, GCCPOL, Oceania Cyber Security Centre (OCSC), Australian Cyber Security Centre (ACSC), European Cybercrime </w:t>
      </w:r>
      <w:proofErr w:type="spellStart"/>
      <w:r w:rsidRPr="00CA4E01">
        <w:rPr>
          <w:rFonts w:asciiTheme="minorHAnsi" w:hAnsiTheme="minorHAnsi" w:cstheme="minorHAnsi"/>
          <w:szCs w:val="24"/>
        </w:rPr>
        <w:t>Center</w:t>
      </w:r>
      <w:proofErr w:type="spellEnd"/>
      <w:r w:rsidRPr="00CA4E01">
        <w:rPr>
          <w:rFonts w:asciiTheme="minorHAnsi" w:hAnsiTheme="minorHAnsi" w:cstheme="minorHAnsi"/>
          <w:szCs w:val="24"/>
        </w:rPr>
        <w:t xml:space="preserve"> (EC3), India’s Cybercrime Coordination Centre (I4C) and the Cybercrime Reporting Portal, Japan’s National </w:t>
      </w:r>
      <w:proofErr w:type="spellStart"/>
      <w:r w:rsidRPr="00CA4E01">
        <w:rPr>
          <w:rFonts w:asciiTheme="minorHAnsi" w:hAnsiTheme="minorHAnsi" w:cstheme="minorHAnsi"/>
          <w:szCs w:val="24"/>
        </w:rPr>
        <w:t>Center</w:t>
      </w:r>
      <w:proofErr w:type="spellEnd"/>
      <w:r w:rsidRPr="00CA4E01">
        <w:rPr>
          <w:rFonts w:asciiTheme="minorHAnsi" w:hAnsiTheme="minorHAnsi" w:cstheme="minorHAnsi"/>
          <w:szCs w:val="24"/>
        </w:rPr>
        <w:t xml:space="preserve"> of Incident Readiness and Strategy for Cybersecurity and Cybercrime Control </w:t>
      </w:r>
      <w:proofErr w:type="spellStart"/>
      <w:r w:rsidRPr="00CA4E01">
        <w:rPr>
          <w:rFonts w:asciiTheme="minorHAnsi" w:hAnsiTheme="minorHAnsi" w:cstheme="minorHAnsi"/>
          <w:szCs w:val="24"/>
        </w:rPr>
        <w:t>Center</w:t>
      </w:r>
      <w:proofErr w:type="spellEnd"/>
      <w:r w:rsidRPr="00CA4E01">
        <w:rPr>
          <w:rFonts w:asciiTheme="minorHAnsi" w:hAnsiTheme="minorHAnsi" w:cstheme="minorHAnsi"/>
          <w:szCs w:val="24"/>
        </w:rPr>
        <w:t xml:space="preserve"> (JC3), Malaysia’s National Cyber Security Agency (NACSA), France’s National Cybersecurity Agency of France (ANSSI), Lithuania’s National Cyber Security Centre (NCSC), National Cyber security Centre for Switzerland, the UK’s National Cyber Security Centre (NCSC), United States’ International Cyber Crime Coordination Cell (IC4), </w:t>
      </w:r>
      <w:r w:rsidRPr="00CA4E01">
        <w:rPr>
          <w:rFonts w:asciiTheme="minorHAnsi" w:hAnsiTheme="minorHAnsi" w:cstheme="minorHAnsi"/>
          <w:szCs w:val="24"/>
          <w:lang w:val="en-US"/>
        </w:rPr>
        <w:t>Russian National Coordination Center on Computer Incidents, as well as Collective Security Treaty Organization Consultative Coordinating Center for Computer Incident Response (CCC CSTO),</w:t>
      </w:r>
      <w:r w:rsidRPr="00CA4E01">
        <w:rPr>
          <w:rFonts w:asciiTheme="minorHAnsi" w:hAnsiTheme="minorHAnsi" w:cstheme="minorHAnsi"/>
          <w:szCs w:val="24"/>
        </w:rPr>
        <w:t xml:space="preserve"> OAS’ Inter-American Committee against Terrorism (CICTE) and Cyber Security Program, Saudi Arabia’s National Cybersecurity Authority (NCA)</w:t>
      </w:r>
      <w:r w:rsidR="005D4509" w:rsidRPr="00CA4E01">
        <w:rPr>
          <w:rFonts w:asciiTheme="minorHAnsi" w:hAnsiTheme="minorHAnsi" w:cstheme="minorHAnsi"/>
          <w:szCs w:val="24"/>
        </w:rPr>
        <w:t xml:space="preserve"> and Rwanda’s National Cybersecurity Authority. </w:t>
      </w:r>
    </w:p>
    <w:p w14:paraId="4C718A35"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4.5</w:t>
      </w:r>
      <w:r w:rsidRPr="00CA4E01">
        <w:rPr>
          <w:rFonts w:asciiTheme="minorHAnsi" w:hAnsiTheme="minorHAnsi" w:cstheme="minorHAnsi"/>
          <w:szCs w:val="24"/>
        </w:rPr>
        <w:tab/>
        <w:t xml:space="preserve">Despite the </w:t>
      </w:r>
      <w:r w:rsidRPr="00CA4E01">
        <w:rPr>
          <w:rFonts w:asciiTheme="minorHAnsi" w:hAnsiTheme="minorHAnsi" w:cstheme="minorHAnsi"/>
          <w:szCs w:val="24"/>
          <w:lang w:val="en-NZ"/>
        </w:rPr>
        <w:t xml:space="preserve">growing investment in CIRTs by Member States, and the independent regional and international outreach of national CIRTs, </w:t>
      </w:r>
      <w:r w:rsidRPr="00CA4E01">
        <w:rPr>
          <w:rFonts w:asciiTheme="minorHAnsi" w:hAnsiTheme="minorHAnsi" w:cstheme="minorHAnsi"/>
          <w:szCs w:val="24"/>
        </w:rPr>
        <w:t>there are still 85 countries without a national CIRT – a situation of significant concern given the global nature of cyber threats.</w:t>
      </w:r>
      <w:r w:rsidRPr="00CA4E01">
        <w:rPr>
          <w:rStyle w:val="FootnoteReference"/>
          <w:rFonts w:asciiTheme="minorHAnsi" w:hAnsiTheme="minorHAnsi" w:cstheme="minorHAnsi"/>
          <w:sz w:val="24"/>
          <w:szCs w:val="24"/>
          <w:vertAlign w:val="superscript"/>
        </w:rPr>
        <w:footnoteReference w:id="25"/>
      </w:r>
      <w:r w:rsidRPr="00CA4E01">
        <w:rPr>
          <w:rFonts w:asciiTheme="minorHAnsi" w:hAnsiTheme="minorHAnsi" w:cstheme="minorHAnsi"/>
          <w:szCs w:val="24"/>
          <w:vertAlign w:val="superscript"/>
        </w:rPr>
        <w:t xml:space="preserve"> </w:t>
      </w:r>
    </w:p>
    <w:p w14:paraId="3ACFF51C"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szCs w:val="24"/>
        </w:rPr>
        <w:t>4.6</w:t>
      </w:r>
      <w:r w:rsidRPr="00CA4E01">
        <w:rPr>
          <w:rFonts w:asciiTheme="minorHAnsi" w:hAnsiTheme="minorHAnsi" w:cstheme="minorHAnsi"/>
          <w:bCs/>
          <w:szCs w:val="24"/>
        </w:rPr>
        <w:tab/>
      </w:r>
      <w:r w:rsidRPr="00CA4E01">
        <w:rPr>
          <w:rFonts w:asciiTheme="minorHAnsi" w:hAnsiTheme="minorHAnsi" w:cstheme="minorHAnsi"/>
          <w:szCs w:val="24"/>
        </w:rPr>
        <w:t>ITU, through its development bureau, is working with Member States, partners, and regional/international organizations to build capacity at national and regional levels, deploy capabilities, and assist in establishing and enhancing national CIRTs. To date</w:t>
      </w:r>
      <w:r w:rsidR="006533AC" w:rsidRPr="00CA4E01">
        <w:rPr>
          <w:rFonts w:asciiTheme="minorHAnsi" w:hAnsiTheme="minorHAnsi" w:cstheme="minorHAnsi"/>
          <w:szCs w:val="24"/>
        </w:rPr>
        <w:t xml:space="preserve"> more than</w:t>
      </w:r>
      <w:r w:rsidRPr="00CA4E01">
        <w:rPr>
          <w:rFonts w:asciiTheme="minorHAnsi" w:hAnsiTheme="minorHAnsi" w:cstheme="minorHAnsi"/>
          <w:szCs w:val="24"/>
        </w:rPr>
        <w:t xml:space="preserve"> 80 CIRT readiness assessments have been conducted by ITU to help countries assess their national cybersecurity preparedness and incident response capabilities.</w:t>
      </w:r>
      <w:r w:rsidRPr="00CA4E01">
        <w:rPr>
          <w:rStyle w:val="FootnoteReference"/>
          <w:rFonts w:asciiTheme="minorHAnsi" w:hAnsiTheme="minorHAnsi" w:cstheme="minorHAnsi"/>
          <w:sz w:val="24"/>
          <w:szCs w:val="24"/>
          <w:vertAlign w:val="superscript"/>
        </w:rPr>
        <w:footnoteReference w:id="26"/>
      </w:r>
      <w:r w:rsidRPr="00CA4E01">
        <w:rPr>
          <w:rStyle w:val="FootnoteReference"/>
          <w:rFonts w:asciiTheme="minorHAnsi" w:hAnsiTheme="minorHAnsi" w:cstheme="minorHAnsi"/>
          <w:sz w:val="24"/>
          <w:szCs w:val="24"/>
        </w:rPr>
        <w:t xml:space="preserve"> </w:t>
      </w:r>
      <w:r w:rsidRPr="00CA4E01">
        <w:rPr>
          <w:rFonts w:asciiTheme="minorHAnsi" w:hAnsiTheme="minorHAnsi" w:cstheme="minorHAnsi"/>
          <w:szCs w:val="24"/>
        </w:rPr>
        <w:t xml:space="preserve">ITU has provided support for the establishment/enhancement of </w:t>
      </w:r>
      <w:r w:rsidR="003D410B" w:rsidRPr="00CA4E01">
        <w:rPr>
          <w:rFonts w:asciiTheme="minorHAnsi" w:hAnsiTheme="minorHAnsi" w:cstheme="minorHAnsi"/>
          <w:szCs w:val="24"/>
        </w:rPr>
        <w:t>22</w:t>
      </w:r>
      <w:r w:rsidRPr="00CA4E01">
        <w:rPr>
          <w:rFonts w:asciiTheme="minorHAnsi" w:hAnsiTheme="minorHAnsi" w:cstheme="minorHAnsi"/>
          <w:szCs w:val="24"/>
        </w:rPr>
        <w:t xml:space="preserve"> national CIRTs </w:t>
      </w:r>
      <w:r w:rsidR="006533AC" w:rsidRPr="00CA4E01">
        <w:rPr>
          <w:rFonts w:asciiTheme="minorHAnsi" w:hAnsiTheme="minorHAnsi" w:cstheme="minorHAnsi"/>
          <w:szCs w:val="24"/>
        </w:rPr>
        <w:t xml:space="preserve">projects </w:t>
      </w:r>
      <w:r w:rsidRPr="00CA4E01">
        <w:rPr>
          <w:rFonts w:asciiTheme="minorHAnsi" w:hAnsiTheme="minorHAnsi" w:cstheme="minorHAnsi"/>
          <w:szCs w:val="24"/>
        </w:rPr>
        <w:t>for respective ITU Member States.</w:t>
      </w:r>
      <w:r w:rsidRPr="00CA4E01">
        <w:rPr>
          <w:rStyle w:val="FootnoteReference"/>
          <w:rFonts w:asciiTheme="minorHAnsi" w:hAnsiTheme="minorHAnsi" w:cstheme="minorHAnsi"/>
          <w:sz w:val="24"/>
          <w:szCs w:val="24"/>
          <w:vertAlign w:val="superscript"/>
        </w:rPr>
        <w:footnoteReference w:id="27"/>
      </w:r>
      <w:r w:rsidRPr="00CA4E01">
        <w:rPr>
          <w:rFonts w:asciiTheme="minorHAnsi" w:hAnsiTheme="minorHAnsi" w:cstheme="minorHAnsi"/>
          <w:szCs w:val="24"/>
        </w:rPr>
        <w:t xml:space="preserve"> To carry out these assessments of countries, ITU collaborates with partners such as the Forum for Incident Response and Security Team (FIRST), the Global Cyber Security Capacity Centre and others.</w:t>
      </w:r>
    </w:p>
    <w:p w14:paraId="56FB158D"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4.7</w:t>
      </w:r>
      <w:r w:rsidRPr="00CA4E01">
        <w:rPr>
          <w:rFonts w:asciiTheme="minorHAnsi" w:hAnsiTheme="minorHAnsi" w:cstheme="minorHAnsi"/>
          <w:szCs w:val="24"/>
        </w:rPr>
        <w:tab/>
        <w:t>In terms of international organizations, there have been several initiatives, some examples of which are listed here:</w:t>
      </w:r>
    </w:p>
    <w:p w14:paraId="7976AF04" w14:textId="77777777" w:rsidR="00CA4EDA" w:rsidRPr="00CA4E01" w:rsidRDefault="00CA4EDA" w:rsidP="003C12C1">
      <w:pPr>
        <w:pStyle w:val="ListParagraph"/>
        <w:numPr>
          <w:ilvl w:val="0"/>
          <w:numId w:val="29"/>
        </w:numPr>
        <w:tabs>
          <w:tab w:val="clear" w:pos="1134"/>
        </w:tabs>
        <w:spacing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The </w:t>
      </w:r>
      <w:hyperlink r:id="rId38" w:history="1">
        <w:r w:rsidRPr="00CA4E01">
          <w:rPr>
            <w:rStyle w:val="Hyperlink"/>
            <w:rFonts w:asciiTheme="minorHAnsi" w:hAnsiTheme="minorHAnsi" w:cstheme="minorHAnsi"/>
            <w:szCs w:val="24"/>
          </w:rPr>
          <w:t>Global Cyber Security Capacity Centre</w:t>
        </w:r>
      </w:hyperlink>
      <w:r w:rsidRPr="00CA4E01">
        <w:rPr>
          <w:rFonts w:asciiTheme="minorHAnsi" w:hAnsiTheme="minorHAnsi" w:cstheme="minorHAnsi"/>
          <w:szCs w:val="24"/>
        </w:rPr>
        <w:t xml:space="preserve"> (GCSCC) is an international centre for research on efficient and effective cybersecurity capacity-building, and collaborated with the ITU in developing the </w:t>
      </w:r>
      <w:hyperlink r:id="rId39" w:history="1">
        <w:r w:rsidRPr="00CA4E01">
          <w:rPr>
            <w:rStyle w:val="Hyperlink"/>
            <w:rFonts w:asciiTheme="minorHAnsi" w:hAnsiTheme="minorHAnsi" w:cstheme="minorHAnsi"/>
            <w:szCs w:val="24"/>
          </w:rPr>
          <w:t>Guide to developing a National Cybersecurity Strategy (NCS)</w:t>
        </w:r>
      </w:hyperlink>
      <w:r w:rsidRPr="00CA4E01">
        <w:rPr>
          <w:rFonts w:asciiTheme="minorHAnsi" w:hAnsiTheme="minorHAnsi" w:cstheme="minorHAnsi"/>
          <w:szCs w:val="24"/>
        </w:rPr>
        <w:t xml:space="preserve">, which is currently being used to provide hands-on exercises on NCSs, as well as training on good practices for countries on developing an effective national cybersecurity strategy framework. </w:t>
      </w:r>
    </w:p>
    <w:p w14:paraId="592522C4" w14:textId="785C4370" w:rsidR="00CA4EDA" w:rsidRPr="00CA4E01" w:rsidRDefault="00CA4EDA" w:rsidP="003C12C1">
      <w:pPr>
        <w:pStyle w:val="ListParagraph"/>
        <w:numPr>
          <w:ilvl w:val="0"/>
          <w:numId w:val="29"/>
        </w:numPr>
        <w:tabs>
          <w:tab w:val="clear" w:pos="1134"/>
        </w:tabs>
        <w:spacing w:before="60"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The </w:t>
      </w:r>
      <w:hyperlink r:id="rId40" w:history="1">
        <w:r w:rsidRPr="00CA4E01">
          <w:rPr>
            <w:rStyle w:val="Hyperlink"/>
            <w:rFonts w:asciiTheme="minorHAnsi" w:hAnsiTheme="minorHAnsi" w:cstheme="minorHAnsi"/>
            <w:szCs w:val="24"/>
          </w:rPr>
          <w:t>Global Forum on Cyber Expertise</w:t>
        </w:r>
      </w:hyperlink>
      <w:r w:rsidRPr="00CA4E01">
        <w:rPr>
          <w:rFonts w:asciiTheme="minorHAnsi" w:hAnsiTheme="minorHAnsi" w:cstheme="minorHAnsi"/>
          <w:szCs w:val="24"/>
        </w:rPr>
        <w:t xml:space="preserve"> (GFCE), established in 2015, aims to exchange good practices and provide expertise on cyber capacity building for countries, international organizations, and the private sector. GFCE and ITU are co-initiators of the </w:t>
      </w:r>
      <w:hyperlink r:id="rId41" w:history="1">
        <w:r w:rsidRPr="00CA4E01">
          <w:rPr>
            <w:rStyle w:val="Hyperlink"/>
            <w:rFonts w:asciiTheme="minorHAnsi" w:hAnsiTheme="minorHAnsi" w:cstheme="minorHAnsi"/>
            <w:szCs w:val="24"/>
          </w:rPr>
          <w:t>CSIRT Maturity initiative</w:t>
        </w:r>
      </w:hyperlink>
      <w:r w:rsidRPr="00CA4E01">
        <w:rPr>
          <w:rFonts w:asciiTheme="minorHAnsi" w:hAnsiTheme="minorHAnsi" w:cstheme="minorHAnsi"/>
          <w:szCs w:val="24"/>
        </w:rPr>
        <w:t>, and have collaborated on cybersecurity activities such as the “</w:t>
      </w:r>
      <w:hyperlink r:id="rId42" w:history="1">
        <w:r w:rsidRPr="00CA4E01">
          <w:rPr>
            <w:rStyle w:val="Hyperlink"/>
            <w:rFonts w:asciiTheme="minorHAnsi" w:hAnsiTheme="minorHAnsi" w:cstheme="minorHAnsi"/>
            <w:szCs w:val="24"/>
          </w:rPr>
          <w:t>Combatting Cybercrime Toolkit</w:t>
        </w:r>
      </w:hyperlink>
      <w:r w:rsidRPr="00CA4E01">
        <w:rPr>
          <w:rFonts w:asciiTheme="minorHAnsi" w:hAnsiTheme="minorHAnsi" w:cstheme="minorHAnsi"/>
          <w:szCs w:val="24"/>
        </w:rPr>
        <w:t xml:space="preserve">”. </w:t>
      </w:r>
    </w:p>
    <w:p w14:paraId="00B38BDA" w14:textId="77777777" w:rsidR="00CA4EDA" w:rsidRPr="00CA4E01" w:rsidRDefault="00CA4EDA" w:rsidP="003C12C1">
      <w:pPr>
        <w:pStyle w:val="ListParagraph"/>
        <w:numPr>
          <w:ilvl w:val="0"/>
          <w:numId w:val="29"/>
        </w:numPr>
        <w:tabs>
          <w:tab w:val="clear" w:pos="1134"/>
        </w:tabs>
        <w:spacing w:before="60"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lastRenderedPageBreak/>
        <w:t xml:space="preserve">The </w:t>
      </w:r>
      <w:hyperlink r:id="rId43" w:history="1">
        <w:r w:rsidRPr="00CA4E01">
          <w:rPr>
            <w:rStyle w:val="Hyperlink"/>
            <w:rFonts w:asciiTheme="minorHAnsi" w:hAnsiTheme="minorHAnsi" w:cstheme="minorHAnsi"/>
            <w:szCs w:val="24"/>
          </w:rPr>
          <w:t>INTERPOL Global Complex for Innovation</w:t>
        </w:r>
      </w:hyperlink>
      <w:r w:rsidRPr="00CA4E01">
        <w:rPr>
          <w:rFonts w:asciiTheme="minorHAnsi" w:hAnsiTheme="minorHAnsi" w:cstheme="minorHAnsi"/>
          <w:szCs w:val="24"/>
        </w:rPr>
        <w:t xml:space="preserve"> (IGCI), inaugurated in 2015 in Singapore, provides national law enforcement with specialized operational support and training in response to the changing face of crime. In 2018, ITU and INTERPOL signed a cooperation agreement to establish a formal framework for INTERPOL and ITU to cooperate for their mutual benefit and within the scope of their respective mandates and resources, in building confidence and security in the use of ICTs. </w:t>
      </w:r>
    </w:p>
    <w:p w14:paraId="0308EB16" w14:textId="77777777" w:rsidR="00CA4EDA" w:rsidRPr="00CA4E01" w:rsidRDefault="00CA4EDA" w:rsidP="003C12C1">
      <w:pPr>
        <w:pStyle w:val="ListParagraph"/>
        <w:numPr>
          <w:ilvl w:val="0"/>
          <w:numId w:val="29"/>
        </w:numPr>
        <w:tabs>
          <w:tab w:val="clear" w:pos="1134"/>
        </w:tabs>
        <w:spacing w:before="60" w:after="12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The WEF launched a new </w:t>
      </w:r>
      <w:hyperlink r:id="rId44" w:history="1">
        <w:r w:rsidRPr="00CA4E01">
          <w:rPr>
            <w:rStyle w:val="Hyperlink"/>
            <w:rFonts w:asciiTheme="minorHAnsi" w:hAnsiTheme="minorHAnsi" w:cstheme="minorHAnsi"/>
            <w:szCs w:val="24"/>
          </w:rPr>
          <w:t>Global Centre for Cybersecurity</w:t>
        </w:r>
      </w:hyperlink>
      <w:r w:rsidRPr="00CA4E01">
        <w:rPr>
          <w:rFonts w:asciiTheme="minorHAnsi" w:hAnsiTheme="minorHAnsi" w:cstheme="minorHAnsi"/>
          <w:szCs w:val="24"/>
        </w:rPr>
        <w:t xml:space="preserve"> in 2018 with the aim of establishing a global platform for governments, businesses, experts, and law enforcement agencies to collaborate on cybersecurity challenges. In the same year, ITU and the WEF agreed to cooperate in the promotion of cybersecurity projects and initiatives aiming to mitigate cyber threats, </w:t>
      </w:r>
      <w:proofErr w:type="gramStart"/>
      <w:r w:rsidRPr="00CA4E01">
        <w:rPr>
          <w:rFonts w:asciiTheme="minorHAnsi" w:hAnsiTheme="minorHAnsi" w:cstheme="minorHAnsi"/>
          <w:szCs w:val="24"/>
        </w:rPr>
        <w:t>and also</w:t>
      </w:r>
      <w:proofErr w:type="gramEnd"/>
      <w:r w:rsidRPr="00CA4E01">
        <w:rPr>
          <w:rFonts w:asciiTheme="minorHAnsi" w:hAnsiTheme="minorHAnsi" w:cstheme="minorHAnsi"/>
          <w:szCs w:val="24"/>
        </w:rPr>
        <w:t xml:space="preserve"> to explore further opportunities to cooperate in promoting cybersecurity.</w:t>
      </w:r>
    </w:p>
    <w:p w14:paraId="082F6A03" w14:textId="06941481" w:rsidR="00CA4EDA" w:rsidRPr="00CA4E01" w:rsidRDefault="00CA4EDA" w:rsidP="00D2656A">
      <w:pPr>
        <w:pStyle w:val="Heading2"/>
        <w:spacing w:before="360" w:after="120"/>
        <w:rPr>
          <w:rFonts w:asciiTheme="minorHAnsi" w:hAnsiTheme="minorHAnsi" w:cstheme="minorHAnsi"/>
          <w:color w:val="365F91" w:themeColor="accent1" w:themeShade="BF"/>
          <w:szCs w:val="24"/>
        </w:rPr>
      </w:pPr>
      <w:bookmarkStart w:id="27" w:name="_Toc37331412"/>
      <w:r w:rsidRPr="00CA4E01">
        <w:rPr>
          <w:rFonts w:asciiTheme="minorHAnsi" w:hAnsiTheme="minorHAnsi" w:cstheme="minorHAnsi"/>
          <w:color w:val="365F91" w:themeColor="accent1" w:themeShade="BF"/>
          <w:szCs w:val="24"/>
        </w:rPr>
        <w:t xml:space="preserve">Guidelines to </w:t>
      </w:r>
      <w:r w:rsidR="00C63CA4" w:rsidRPr="00CA4E01">
        <w:rPr>
          <w:rFonts w:asciiTheme="minorHAnsi" w:hAnsiTheme="minorHAnsi" w:cstheme="minorHAnsi"/>
          <w:color w:val="365F91" w:themeColor="accent1" w:themeShade="BF"/>
          <w:szCs w:val="24"/>
        </w:rPr>
        <w:t>U</w:t>
      </w:r>
      <w:r w:rsidRPr="00CA4E01">
        <w:rPr>
          <w:rFonts w:asciiTheme="minorHAnsi" w:hAnsiTheme="minorHAnsi" w:cstheme="minorHAnsi"/>
          <w:color w:val="365F91" w:themeColor="accent1" w:themeShade="BF"/>
          <w:szCs w:val="24"/>
        </w:rPr>
        <w:t>tilize Pillar 3 – Organizational Structures</w:t>
      </w:r>
      <w:bookmarkEnd w:id="27"/>
      <w:r w:rsidRPr="00CA4E01">
        <w:rPr>
          <w:rFonts w:asciiTheme="minorHAnsi" w:hAnsiTheme="minorHAnsi" w:cstheme="minorHAnsi"/>
          <w:color w:val="365F91" w:themeColor="accent1" w:themeShade="BF"/>
          <w:szCs w:val="24"/>
        </w:rPr>
        <w:t xml:space="preserve"> </w:t>
      </w:r>
    </w:p>
    <w:tbl>
      <w:tblPr>
        <w:tblStyle w:val="TableGrid"/>
        <w:tblW w:w="0" w:type="auto"/>
        <w:tblLook w:val="04A0" w:firstRow="1" w:lastRow="0" w:firstColumn="1" w:lastColumn="0" w:noHBand="0" w:noVBand="1"/>
      </w:tblPr>
      <w:tblGrid>
        <w:gridCol w:w="8980"/>
      </w:tblGrid>
      <w:tr w:rsidR="00CA4EDA" w:rsidRPr="00CA4E01" w14:paraId="617E3AB1" w14:textId="77777777" w:rsidTr="0023536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1E02AADA"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4.8</w:t>
            </w:r>
            <w:r w:rsidRPr="00CA4E01">
              <w:rPr>
                <w:rFonts w:asciiTheme="minorHAnsi" w:hAnsiTheme="minorHAnsi" w:cstheme="minorHAnsi"/>
                <w:szCs w:val="24"/>
              </w:rPr>
              <w:tab/>
              <w:t xml:space="preserve">While recognizing that the recommendations in the HLEG Report 2008 have served well in guiding ITU efforts under Pillar 3 and continue to remain relevant, the following proposed guidelines, relevant </w:t>
            </w:r>
            <w:proofErr w:type="gramStart"/>
            <w:r w:rsidRPr="00CA4E01">
              <w:rPr>
                <w:rFonts w:asciiTheme="minorHAnsi" w:hAnsiTheme="minorHAnsi" w:cstheme="minorHAnsi"/>
                <w:szCs w:val="24"/>
              </w:rPr>
              <w:t>in particular to</w:t>
            </w:r>
            <w:proofErr w:type="gramEnd"/>
            <w:r w:rsidRPr="00CA4E01">
              <w:rPr>
                <w:rFonts w:asciiTheme="minorHAnsi" w:hAnsiTheme="minorHAnsi" w:cstheme="minorHAnsi"/>
                <w:szCs w:val="24"/>
              </w:rPr>
              <w:t xml:space="preserve"> the work of the ITU Development Bureau (BDT), could help strengthen efforts in this regard: </w:t>
            </w:r>
          </w:p>
          <w:p w14:paraId="67612968"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CA4E01">
              <w:rPr>
                <w:rFonts w:asciiTheme="minorHAnsi" w:hAnsiTheme="minorHAnsi" w:cstheme="minorHAnsi"/>
                <w:b/>
                <w:szCs w:val="24"/>
              </w:rPr>
              <w:t>a.</w:t>
            </w:r>
            <w:r w:rsidRPr="00CA4E01">
              <w:rPr>
                <w:rFonts w:asciiTheme="minorHAnsi" w:hAnsiTheme="minorHAnsi" w:cstheme="minorHAnsi"/>
                <w:bCs/>
                <w:szCs w:val="24"/>
              </w:rPr>
              <w:tab/>
              <w:t xml:space="preserve">ITU should continue to assist developing countries in the implementation of National CIRTs and other related technical units/organizations. </w:t>
            </w:r>
          </w:p>
          <w:p w14:paraId="157E7511"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CA4E01">
              <w:rPr>
                <w:rFonts w:asciiTheme="minorHAnsi" w:hAnsiTheme="minorHAnsi" w:cstheme="minorHAnsi"/>
                <w:b/>
                <w:szCs w:val="24"/>
              </w:rPr>
              <w:t>b.</w:t>
            </w:r>
            <w:r w:rsidRPr="00CA4E01">
              <w:rPr>
                <w:rFonts w:asciiTheme="minorHAnsi" w:hAnsiTheme="minorHAnsi" w:cstheme="minorHAnsi"/>
                <w:bCs/>
                <w:szCs w:val="24"/>
              </w:rPr>
              <w:tab/>
              <w:t>ITU should prioritize countries where proper cybersecurity organizational structures have not yet been implemented.</w:t>
            </w:r>
          </w:p>
          <w:p w14:paraId="2F5DD170"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CA4E01">
              <w:rPr>
                <w:rFonts w:asciiTheme="minorHAnsi" w:hAnsiTheme="minorHAnsi" w:cstheme="minorHAnsi"/>
                <w:b/>
                <w:szCs w:val="24"/>
              </w:rPr>
              <w:t>c.</w:t>
            </w:r>
            <w:r w:rsidRPr="00CA4E01">
              <w:rPr>
                <w:rFonts w:asciiTheme="minorHAnsi" w:hAnsiTheme="minorHAnsi" w:cstheme="minorHAnsi"/>
                <w:bCs/>
                <w:szCs w:val="24"/>
              </w:rPr>
              <w:tab/>
              <w:t xml:space="preserve">ITU should promote more open and inclusive collaboration as well as coordination among various national, </w:t>
            </w:r>
            <w:proofErr w:type="gramStart"/>
            <w:r w:rsidRPr="00CA4E01">
              <w:rPr>
                <w:rFonts w:asciiTheme="minorHAnsi" w:hAnsiTheme="minorHAnsi" w:cstheme="minorHAnsi"/>
                <w:bCs/>
                <w:szCs w:val="24"/>
              </w:rPr>
              <w:t>regional</w:t>
            </w:r>
            <w:proofErr w:type="gramEnd"/>
            <w:r w:rsidRPr="00CA4E01">
              <w:rPr>
                <w:rFonts w:asciiTheme="minorHAnsi" w:hAnsiTheme="minorHAnsi" w:cstheme="minorHAnsi"/>
                <w:bCs/>
                <w:szCs w:val="24"/>
              </w:rPr>
              <w:t xml:space="preserve"> or international organizations engaged in the effort to establish sustainable national organizational structures, in order to ensure effective support and avoid duplicative efforts. </w:t>
            </w:r>
          </w:p>
          <w:p w14:paraId="3D387B5F"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rPr>
            </w:pPr>
            <w:r w:rsidRPr="00CA4E01">
              <w:rPr>
                <w:rFonts w:asciiTheme="minorHAnsi" w:hAnsiTheme="minorHAnsi" w:cstheme="minorHAnsi"/>
                <w:b/>
                <w:szCs w:val="24"/>
              </w:rPr>
              <w:t>d.</w:t>
            </w:r>
            <w:r w:rsidRPr="00CA4E01">
              <w:rPr>
                <w:rFonts w:asciiTheme="minorHAnsi" w:hAnsiTheme="minorHAnsi" w:cstheme="minorHAnsi"/>
                <w:bCs/>
                <w:szCs w:val="24"/>
              </w:rPr>
              <w:tab/>
              <w:t>ITU should</w:t>
            </w:r>
            <w:r w:rsidRPr="00CA4E01" w:rsidDel="00D72B40">
              <w:rPr>
                <w:rFonts w:asciiTheme="minorHAnsi" w:hAnsiTheme="minorHAnsi" w:cstheme="minorHAnsi"/>
                <w:bCs/>
                <w:szCs w:val="24"/>
              </w:rPr>
              <w:t xml:space="preserve"> </w:t>
            </w:r>
            <w:r w:rsidRPr="00CA4E01">
              <w:rPr>
                <w:rFonts w:asciiTheme="minorHAnsi" w:hAnsiTheme="minorHAnsi" w:cstheme="minorHAnsi"/>
                <w:bCs/>
                <w:szCs w:val="24"/>
              </w:rPr>
              <w:t>increase its efforts to measure institutional commitments of Member States, leveraging tools such as the Global Cybersecurity Index, to promote cybersecurity as a crosscutting enabler of their digital transformation</w:t>
            </w:r>
            <w:r w:rsidR="006533AC" w:rsidRPr="00CA4E01">
              <w:rPr>
                <w:rFonts w:asciiTheme="minorHAnsi" w:hAnsiTheme="minorHAnsi" w:cstheme="minorHAnsi"/>
                <w:bCs/>
                <w:szCs w:val="24"/>
              </w:rPr>
              <w:t xml:space="preserve"> efforts</w:t>
            </w:r>
            <w:r w:rsidRPr="00CA4E01">
              <w:rPr>
                <w:rFonts w:asciiTheme="minorHAnsi" w:hAnsiTheme="minorHAnsi" w:cstheme="minorHAnsi"/>
                <w:bCs/>
                <w:szCs w:val="24"/>
              </w:rPr>
              <w:t>.</w:t>
            </w:r>
          </w:p>
          <w:p w14:paraId="3AE1C281"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Cs w:val="24"/>
                <w:lang w:val="en-US"/>
              </w:rPr>
            </w:pPr>
            <w:r w:rsidRPr="00CA4E01">
              <w:rPr>
                <w:rFonts w:asciiTheme="minorHAnsi" w:hAnsiTheme="minorHAnsi" w:cstheme="minorHAnsi"/>
                <w:b/>
                <w:szCs w:val="24"/>
              </w:rPr>
              <w:t>e.</w:t>
            </w:r>
            <w:r w:rsidR="005E4F46" w:rsidRPr="00CA4E01">
              <w:rPr>
                <w:rFonts w:asciiTheme="minorHAnsi" w:hAnsiTheme="minorHAnsi" w:cstheme="minorHAnsi"/>
                <w:bCs/>
                <w:szCs w:val="24"/>
              </w:rPr>
              <w:tab/>
            </w:r>
            <w:r w:rsidRPr="00CA4E01">
              <w:rPr>
                <w:rFonts w:asciiTheme="minorHAnsi" w:hAnsiTheme="minorHAnsi" w:cstheme="minorHAnsi"/>
                <w:bCs/>
                <w:szCs w:val="24"/>
              </w:rPr>
              <w:t xml:space="preserve">For national </w:t>
            </w:r>
            <w:proofErr w:type="gramStart"/>
            <w:r w:rsidRPr="00CA4E01">
              <w:rPr>
                <w:rFonts w:asciiTheme="minorHAnsi" w:hAnsiTheme="minorHAnsi" w:cstheme="minorHAnsi"/>
                <w:bCs/>
                <w:szCs w:val="24"/>
              </w:rPr>
              <w:t>structures in particular, ITU</w:t>
            </w:r>
            <w:proofErr w:type="gramEnd"/>
            <w:r w:rsidRPr="00CA4E01">
              <w:rPr>
                <w:rFonts w:asciiTheme="minorHAnsi" w:hAnsiTheme="minorHAnsi" w:cstheme="minorHAnsi"/>
                <w:bCs/>
                <w:szCs w:val="24"/>
              </w:rPr>
              <w:t xml:space="preserve"> should assist Member States with strategies for developing a whole-of-government </w:t>
            </w:r>
            <w:r w:rsidRPr="00CA4E01">
              <w:rPr>
                <w:rFonts w:asciiTheme="minorHAnsi" w:hAnsiTheme="minorHAnsi" w:cstheme="minorHAnsi"/>
                <w:bCs/>
                <w:szCs w:val="24"/>
                <w:lang w:val="en-US"/>
              </w:rPr>
              <w:t>coordination framework to improve the coherent and cross-cutting implementation of national cybersecurity efforts.</w:t>
            </w:r>
          </w:p>
          <w:p w14:paraId="01EFA449" w14:textId="77777777" w:rsidR="00CA4EDA" w:rsidRPr="00CA4E0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rPr>
            </w:pPr>
            <w:r w:rsidRPr="00CA4E01">
              <w:rPr>
                <w:rFonts w:asciiTheme="minorHAnsi" w:hAnsiTheme="minorHAnsi" w:cstheme="minorHAnsi"/>
                <w:b/>
                <w:szCs w:val="24"/>
                <w:lang w:val="en-US"/>
              </w:rPr>
              <w:t>f.</w:t>
            </w:r>
            <w:r w:rsidR="005E4F46" w:rsidRPr="00CA4E01">
              <w:rPr>
                <w:rFonts w:asciiTheme="minorHAnsi" w:hAnsiTheme="minorHAnsi" w:cstheme="minorHAnsi"/>
                <w:b/>
                <w:szCs w:val="24"/>
              </w:rPr>
              <w:tab/>
            </w:r>
            <w:r w:rsidRPr="00CA4E01">
              <w:rPr>
                <w:rFonts w:asciiTheme="minorHAnsi" w:hAnsiTheme="minorHAnsi" w:cstheme="minorHAnsi"/>
                <w:bCs/>
                <w:szCs w:val="24"/>
              </w:rPr>
              <w:t xml:space="preserve">ITU should continue to foster greater collaboration among cybersecurity organizational structures regionally and globally through activities such as cyber </w:t>
            </w:r>
            <w:proofErr w:type="gramStart"/>
            <w:r w:rsidRPr="00CA4E01">
              <w:rPr>
                <w:rFonts w:asciiTheme="minorHAnsi" w:hAnsiTheme="minorHAnsi" w:cstheme="minorHAnsi"/>
                <w:bCs/>
                <w:szCs w:val="24"/>
              </w:rPr>
              <w:t>drills</w:t>
            </w:r>
            <w:proofErr w:type="gramEnd"/>
            <w:r w:rsidRPr="00CA4E01">
              <w:rPr>
                <w:rFonts w:asciiTheme="minorHAnsi" w:hAnsiTheme="minorHAnsi" w:cstheme="minorHAnsi"/>
                <w:bCs/>
                <w:szCs w:val="24"/>
              </w:rPr>
              <w:t xml:space="preserve"> among others.</w:t>
            </w:r>
          </w:p>
        </w:tc>
      </w:tr>
    </w:tbl>
    <w:p w14:paraId="429E7EA8" w14:textId="77777777" w:rsidR="00CA4EDA" w:rsidRPr="00CA4E01" w:rsidRDefault="00CA4EDA" w:rsidP="003C12C1">
      <w:pPr>
        <w:pStyle w:val="Heading1"/>
        <w:spacing w:before="600" w:after="120"/>
        <w:rPr>
          <w:rFonts w:asciiTheme="minorHAnsi" w:hAnsiTheme="minorHAnsi" w:cstheme="minorHAnsi"/>
          <w:color w:val="365F91" w:themeColor="accent1" w:themeShade="BF"/>
          <w:sz w:val="24"/>
          <w:szCs w:val="24"/>
        </w:rPr>
      </w:pPr>
      <w:bookmarkStart w:id="28" w:name="_Toc37331413"/>
      <w:r w:rsidRPr="00CA4E01">
        <w:rPr>
          <w:rFonts w:asciiTheme="minorHAnsi" w:hAnsiTheme="minorHAnsi" w:cstheme="minorHAnsi"/>
          <w:color w:val="365F91" w:themeColor="accent1" w:themeShade="BF"/>
          <w:sz w:val="24"/>
          <w:szCs w:val="24"/>
        </w:rPr>
        <w:t>Section 5</w:t>
      </w:r>
      <w:r w:rsidRPr="00CA4E01">
        <w:rPr>
          <w:rFonts w:asciiTheme="minorHAnsi" w:hAnsiTheme="minorHAnsi" w:cstheme="minorHAnsi"/>
          <w:color w:val="365F91" w:themeColor="accent1" w:themeShade="BF"/>
          <w:sz w:val="24"/>
          <w:szCs w:val="24"/>
        </w:rPr>
        <w:tab/>
        <w:t>Pillar 4: Capacity Building</w:t>
      </w:r>
      <w:bookmarkEnd w:id="28"/>
    </w:p>
    <w:p w14:paraId="556DC228" w14:textId="77777777"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29" w:name="_Toc37331414"/>
      <w:r w:rsidRPr="00CA4E01">
        <w:rPr>
          <w:rFonts w:asciiTheme="minorHAnsi" w:hAnsiTheme="minorHAnsi" w:cstheme="minorHAnsi"/>
          <w:color w:val="365F91" w:themeColor="accent1" w:themeShade="BF"/>
          <w:szCs w:val="24"/>
        </w:rPr>
        <w:t>Introduction</w:t>
      </w:r>
      <w:bookmarkEnd w:id="29"/>
      <w:r w:rsidRPr="00CA4E01">
        <w:rPr>
          <w:rFonts w:asciiTheme="minorHAnsi" w:hAnsiTheme="minorHAnsi" w:cstheme="minorHAnsi"/>
          <w:color w:val="365F91" w:themeColor="accent1" w:themeShade="BF"/>
          <w:szCs w:val="24"/>
        </w:rPr>
        <w:t xml:space="preserve"> </w:t>
      </w:r>
    </w:p>
    <w:p w14:paraId="6EBE4B2D"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5.1</w:t>
      </w:r>
      <w:r w:rsidRPr="00CA4E01">
        <w:rPr>
          <w:rFonts w:asciiTheme="minorHAnsi" w:hAnsiTheme="minorHAnsi" w:cstheme="minorHAnsi"/>
          <w:szCs w:val="24"/>
        </w:rPr>
        <w:tab/>
        <w:t xml:space="preserve">The development and deployment of appropriate skills, of a cybersecurity culture, and good practices among all stakeholders is a crucial issue. </w:t>
      </w:r>
    </w:p>
    <w:p w14:paraId="1556E49A"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lastRenderedPageBreak/>
        <w:t>5.2</w:t>
      </w:r>
      <w:r w:rsidRPr="00CA4E01">
        <w:rPr>
          <w:rFonts w:asciiTheme="minorHAnsi" w:hAnsiTheme="minorHAnsi" w:cstheme="minorHAnsi"/>
          <w:szCs w:val="24"/>
        </w:rPr>
        <w:tab/>
        <w:t>All countries and all organizations are faced with the need to have sufficient and necessary human resources and skills to:</w:t>
      </w:r>
    </w:p>
    <w:p w14:paraId="418CA71C" w14:textId="77777777" w:rsidR="00CA4EDA" w:rsidRPr="00CA4E01" w:rsidRDefault="00CA4EDA" w:rsidP="003C12C1">
      <w:pPr>
        <w:pStyle w:val="ListParagraph"/>
        <w:numPr>
          <w:ilvl w:val="0"/>
          <w:numId w:val="30"/>
        </w:numPr>
        <w:tabs>
          <w:tab w:val="clear" w:pos="1134"/>
        </w:tabs>
        <w:spacing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Implement strategic and operational cybersecurity </w:t>
      </w:r>
      <w:proofErr w:type="gramStart"/>
      <w:r w:rsidRPr="00CA4E01">
        <w:rPr>
          <w:rFonts w:asciiTheme="minorHAnsi" w:hAnsiTheme="minorHAnsi" w:cstheme="minorHAnsi"/>
          <w:szCs w:val="24"/>
        </w:rPr>
        <w:t>measures;</w:t>
      </w:r>
      <w:proofErr w:type="gramEnd"/>
      <w:r w:rsidRPr="00CA4E01">
        <w:rPr>
          <w:rFonts w:asciiTheme="minorHAnsi" w:hAnsiTheme="minorHAnsi" w:cstheme="minorHAnsi"/>
          <w:szCs w:val="24"/>
        </w:rPr>
        <w:t xml:space="preserve"> </w:t>
      </w:r>
    </w:p>
    <w:p w14:paraId="4BF3BBBB" w14:textId="77777777" w:rsidR="00CA4EDA" w:rsidRPr="00CA4E01" w:rsidRDefault="006533AC"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To perform National Cybersecurity Risk </w:t>
      </w:r>
      <w:proofErr w:type="gramStart"/>
      <w:r w:rsidRPr="00CA4E01">
        <w:rPr>
          <w:rFonts w:asciiTheme="minorHAnsi" w:hAnsiTheme="minorHAnsi" w:cstheme="minorHAnsi"/>
          <w:szCs w:val="24"/>
        </w:rPr>
        <w:t>Assessment</w:t>
      </w:r>
      <w:r w:rsidR="00860A6F" w:rsidRPr="00CA4E01">
        <w:rPr>
          <w:rFonts w:asciiTheme="minorHAnsi" w:hAnsiTheme="minorHAnsi" w:cstheme="minorHAnsi"/>
          <w:szCs w:val="24"/>
        </w:rPr>
        <w:t>s</w:t>
      </w:r>
      <w:r w:rsidR="00CA4EDA" w:rsidRPr="00CA4E01">
        <w:rPr>
          <w:rFonts w:asciiTheme="minorHAnsi" w:hAnsiTheme="minorHAnsi" w:cstheme="minorHAnsi"/>
          <w:szCs w:val="24"/>
        </w:rPr>
        <w:t>;</w:t>
      </w:r>
      <w:proofErr w:type="gramEnd"/>
    </w:p>
    <w:p w14:paraId="6075D79D" w14:textId="77777777" w:rsidR="00CA4EDA" w:rsidRPr="00CA4E01" w:rsidRDefault="00CA4EDA"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Manage crises related to the occurrence of </w:t>
      </w:r>
      <w:r w:rsidR="006533AC" w:rsidRPr="00CA4E01">
        <w:rPr>
          <w:rFonts w:asciiTheme="minorHAnsi" w:hAnsiTheme="minorHAnsi" w:cstheme="minorHAnsi"/>
          <w:szCs w:val="24"/>
        </w:rPr>
        <w:t>cyber</w:t>
      </w:r>
      <w:r w:rsidRPr="00CA4E01">
        <w:rPr>
          <w:rFonts w:asciiTheme="minorHAnsi" w:hAnsiTheme="minorHAnsi" w:cstheme="minorHAnsi"/>
          <w:szCs w:val="24"/>
        </w:rPr>
        <w:t xml:space="preserve">security </w:t>
      </w:r>
      <w:proofErr w:type="gramStart"/>
      <w:r w:rsidRPr="00CA4E01">
        <w:rPr>
          <w:rFonts w:asciiTheme="minorHAnsi" w:hAnsiTheme="minorHAnsi" w:cstheme="minorHAnsi"/>
          <w:szCs w:val="24"/>
        </w:rPr>
        <w:t>incidents;</w:t>
      </w:r>
      <w:proofErr w:type="gramEnd"/>
    </w:p>
    <w:p w14:paraId="23DD8458" w14:textId="77777777" w:rsidR="00CA4EDA" w:rsidRPr="00CA4E01" w:rsidRDefault="00CA4EDA" w:rsidP="003C12C1">
      <w:pPr>
        <w:pStyle w:val="ListParagraph"/>
        <w:numPr>
          <w:ilvl w:val="0"/>
          <w:numId w:val="30"/>
        </w:numPr>
        <w:tabs>
          <w:tab w:val="clear" w:pos="1134"/>
        </w:tabs>
        <w:spacing w:before="60" w:after="6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Strengthen the robustness and resilience of</w:t>
      </w:r>
      <w:r w:rsidR="006533AC" w:rsidRPr="00CA4E01">
        <w:rPr>
          <w:rFonts w:asciiTheme="minorHAnsi" w:hAnsiTheme="minorHAnsi" w:cstheme="minorHAnsi"/>
          <w:szCs w:val="24"/>
        </w:rPr>
        <w:t xml:space="preserve"> digital</w:t>
      </w:r>
      <w:r w:rsidRPr="00CA4E01">
        <w:rPr>
          <w:rFonts w:asciiTheme="minorHAnsi" w:hAnsiTheme="minorHAnsi" w:cstheme="minorHAnsi"/>
          <w:szCs w:val="24"/>
        </w:rPr>
        <w:t xml:space="preserve"> infrastructures</w:t>
      </w:r>
      <w:r w:rsidR="006533AC" w:rsidRPr="00CA4E01">
        <w:rPr>
          <w:rFonts w:asciiTheme="minorHAnsi" w:hAnsiTheme="minorHAnsi" w:cstheme="minorHAnsi"/>
          <w:szCs w:val="24"/>
        </w:rPr>
        <w:t xml:space="preserve"> and services</w:t>
      </w:r>
      <w:r w:rsidRPr="00CA4E01">
        <w:rPr>
          <w:rFonts w:asciiTheme="minorHAnsi" w:hAnsiTheme="minorHAnsi" w:cstheme="minorHAnsi"/>
          <w:szCs w:val="24"/>
        </w:rPr>
        <w:t xml:space="preserve">; and </w:t>
      </w:r>
    </w:p>
    <w:p w14:paraId="042AE370" w14:textId="77777777" w:rsidR="00CA4EDA" w:rsidRPr="00CA4E01" w:rsidRDefault="00CA4EDA" w:rsidP="003C12C1">
      <w:pPr>
        <w:pStyle w:val="ListParagraph"/>
        <w:numPr>
          <w:ilvl w:val="0"/>
          <w:numId w:val="30"/>
        </w:numPr>
        <w:tabs>
          <w:tab w:val="clear" w:pos="1134"/>
        </w:tabs>
        <w:spacing w:before="60" w:after="120"/>
        <w:ind w:left="993" w:hanging="426"/>
        <w:contextualSpacing w:val="0"/>
        <w:jc w:val="both"/>
        <w:rPr>
          <w:rFonts w:asciiTheme="minorHAnsi" w:hAnsiTheme="minorHAnsi" w:cstheme="minorHAnsi"/>
          <w:szCs w:val="24"/>
        </w:rPr>
      </w:pPr>
      <w:r w:rsidRPr="00CA4E01">
        <w:rPr>
          <w:rFonts w:asciiTheme="minorHAnsi" w:hAnsiTheme="minorHAnsi" w:cstheme="minorHAnsi"/>
          <w:szCs w:val="24"/>
        </w:rPr>
        <w:t xml:space="preserve">Develop consistent </w:t>
      </w:r>
      <w:r w:rsidR="006533AC" w:rsidRPr="00CA4E01">
        <w:rPr>
          <w:rFonts w:asciiTheme="minorHAnsi" w:hAnsiTheme="minorHAnsi" w:cstheme="minorHAnsi"/>
          <w:szCs w:val="24"/>
        </w:rPr>
        <w:t xml:space="preserve">processes, </w:t>
      </w:r>
      <w:proofErr w:type="gramStart"/>
      <w:r w:rsidR="006533AC" w:rsidRPr="00CA4E01">
        <w:rPr>
          <w:rFonts w:asciiTheme="minorHAnsi" w:hAnsiTheme="minorHAnsi" w:cstheme="minorHAnsi"/>
          <w:szCs w:val="24"/>
        </w:rPr>
        <w:t>skills</w:t>
      </w:r>
      <w:proofErr w:type="gramEnd"/>
      <w:r w:rsidR="006533AC" w:rsidRPr="00CA4E01">
        <w:rPr>
          <w:rFonts w:asciiTheme="minorHAnsi" w:hAnsiTheme="minorHAnsi" w:cstheme="minorHAnsi"/>
          <w:szCs w:val="24"/>
        </w:rPr>
        <w:t xml:space="preserve"> </w:t>
      </w:r>
      <w:r w:rsidRPr="00CA4E01">
        <w:rPr>
          <w:rFonts w:asciiTheme="minorHAnsi" w:hAnsiTheme="minorHAnsi" w:cstheme="minorHAnsi"/>
          <w:szCs w:val="24"/>
        </w:rPr>
        <w:t>and practices.</w:t>
      </w:r>
    </w:p>
    <w:p w14:paraId="7C63ED64"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5.3</w:t>
      </w:r>
      <w:r w:rsidRPr="00CA4E01">
        <w:rPr>
          <w:rFonts w:asciiTheme="minorHAnsi" w:hAnsiTheme="minorHAnsi" w:cstheme="minorHAnsi"/>
          <w:szCs w:val="24"/>
        </w:rPr>
        <w:tab/>
        <w:t xml:space="preserve">It is important to </w:t>
      </w:r>
      <w:proofErr w:type="gramStart"/>
      <w:r w:rsidRPr="00CA4E01">
        <w:rPr>
          <w:rFonts w:asciiTheme="minorHAnsi" w:hAnsiTheme="minorHAnsi" w:cstheme="minorHAnsi"/>
          <w:szCs w:val="24"/>
        </w:rPr>
        <w:t>note also</w:t>
      </w:r>
      <w:proofErr w:type="gramEnd"/>
      <w:r w:rsidRPr="00CA4E01">
        <w:rPr>
          <w:rFonts w:asciiTheme="minorHAnsi" w:hAnsiTheme="minorHAnsi" w:cstheme="minorHAnsi"/>
          <w:szCs w:val="24"/>
        </w:rPr>
        <w:t xml:space="preserve"> that, given the rapid advancements in ICTs and the already existing issues of access and connectivity, end users—and in particular populations such as women, children, older persons, persons with disabilities and specific needs—can often be more vulnerable to </w:t>
      </w:r>
      <w:r w:rsidR="006533AC" w:rsidRPr="00CA4E01">
        <w:rPr>
          <w:rFonts w:asciiTheme="minorHAnsi" w:hAnsiTheme="minorHAnsi" w:cstheme="minorHAnsi"/>
          <w:szCs w:val="24"/>
        </w:rPr>
        <w:t>cyber</w:t>
      </w:r>
      <w:r w:rsidRPr="00CA4E01">
        <w:rPr>
          <w:rFonts w:asciiTheme="minorHAnsi" w:hAnsiTheme="minorHAnsi" w:cstheme="minorHAnsi"/>
          <w:szCs w:val="24"/>
        </w:rPr>
        <w:t xml:space="preserve">security threats and incidents. Cybersecurity related education programmes, in addition to raising awareness about cyber security threats </w:t>
      </w:r>
      <w:r w:rsidRPr="00CA4E01">
        <w:rPr>
          <w:rFonts w:asciiTheme="minorHAnsi" w:hAnsiTheme="minorHAnsi" w:cstheme="minorHAnsi"/>
          <w:spacing w:val="-4"/>
          <w:szCs w:val="24"/>
        </w:rPr>
        <w:t xml:space="preserve">relevant to vulnerable end users could therefore be key to decreasing cybersecurity risks for </w:t>
      </w:r>
      <w:proofErr w:type="gramStart"/>
      <w:r w:rsidRPr="00CA4E01">
        <w:rPr>
          <w:rFonts w:asciiTheme="minorHAnsi" w:hAnsiTheme="minorHAnsi" w:cstheme="minorHAnsi"/>
          <w:spacing w:val="-4"/>
          <w:szCs w:val="24"/>
        </w:rPr>
        <w:t>society as a whole</w:t>
      </w:r>
      <w:proofErr w:type="gramEnd"/>
      <w:r w:rsidRPr="00CA4E01">
        <w:rPr>
          <w:rFonts w:asciiTheme="minorHAnsi" w:hAnsiTheme="minorHAnsi" w:cstheme="minorHAnsi"/>
          <w:spacing w:val="-4"/>
          <w:szCs w:val="24"/>
        </w:rPr>
        <w:t>.</w:t>
      </w:r>
    </w:p>
    <w:p w14:paraId="20970DE4" w14:textId="20FCEB62"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30" w:name="_Toc37331415"/>
      <w:r w:rsidRPr="00CA4E01">
        <w:rPr>
          <w:rFonts w:asciiTheme="minorHAnsi" w:hAnsiTheme="minorHAnsi" w:cstheme="minorHAnsi"/>
          <w:color w:val="365F91" w:themeColor="accent1" w:themeShade="BF"/>
          <w:szCs w:val="24"/>
        </w:rPr>
        <w:t xml:space="preserve">Evolution of the Capacity Building </w:t>
      </w:r>
      <w:r w:rsidR="00C63CA4" w:rsidRPr="00CA4E01">
        <w:rPr>
          <w:rFonts w:asciiTheme="minorHAnsi" w:hAnsiTheme="minorHAnsi" w:cstheme="minorHAnsi"/>
          <w:color w:val="365F91" w:themeColor="accent1" w:themeShade="BF"/>
          <w:szCs w:val="24"/>
        </w:rPr>
        <w:t>L</w:t>
      </w:r>
      <w:r w:rsidRPr="00CA4E01">
        <w:rPr>
          <w:rFonts w:asciiTheme="minorHAnsi" w:hAnsiTheme="minorHAnsi" w:cstheme="minorHAnsi"/>
          <w:color w:val="365F91" w:themeColor="accent1" w:themeShade="BF"/>
          <w:szCs w:val="24"/>
        </w:rPr>
        <w:t xml:space="preserve">andscape </w:t>
      </w:r>
      <w:r w:rsidR="00C63CA4" w:rsidRPr="00CA4E01">
        <w:rPr>
          <w:rFonts w:asciiTheme="minorHAnsi" w:hAnsiTheme="minorHAnsi" w:cstheme="minorHAnsi"/>
          <w:color w:val="365F91" w:themeColor="accent1" w:themeShade="BF"/>
          <w:szCs w:val="24"/>
        </w:rPr>
        <w:t>S</w:t>
      </w:r>
      <w:r w:rsidRPr="00CA4E01">
        <w:rPr>
          <w:rFonts w:asciiTheme="minorHAnsi" w:hAnsiTheme="minorHAnsi" w:cstheme="minorHAnsi"/>
          <w:color w:val="365F91" w:themeColor="accent1" w:themeShade="BF"/>
          <w:szCs w:val="24"/>
        </w:rPr>
        <w:t>ince 2008</w:t>
      </w:r>
      <w:bookmarkEnd w:id="30"/>
    </w:p>
    <w:p w14:paraId="5DFCA158" w14:textId="3245E929"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5.4</w:t>
      </w:r>
      <w:r w:rsidRPr="00CA4E01">
        <w:rPr>
          <w:rFonts w:asciiTheme="minorHAnsi" w:hAnsiTheme="minorHAnsi" w:cstheme="minorHAnsi"/>
          <w:szCs w:val="24"/>
        </w:rPr>
        <w:tab/>
        <w:t xml:space="preserve">As cybersecurity has a global dimension and deals with a large range of issues—such as ICT uses or misuses, technical measures, economic, legal, and political issues—it is important to develop a global cybersecurity culture to enhance the level of understanding of each actor in the cybersecurity chain. When developing </w:t>
      </w:r>
      <w:r w:rsidR="006533AC" w:rsidRPr="00CA4E01">
        <w:rPr>
          <w:rFonts w:asciiTheme="minorHAnsi" w:hAnsiTheme="minorHAnsi" w:cstheme="minorHAnsi"/>
          <w:szCs w:val="24"/>
        </w:rPr>
        <w:t xml:space="preserve">a culture of </w:t>
      </w:r>
      <w:r w:rsidRPr="00CA4E01">
        <w:rPr>
          <w:rFonts w:asciiTheme="minorHAnsi" w:hAnsiTheme="minorHAnsi" w:cstheme="minorHAnsi"/>
          <w:szCs w:val="24"/>
        </w:rPr>
        <w:t>cybersecurity, one of the main challenges is to correctly identify what the global and international issues are and what the specific local needs are</w:t>
      </w:r>
      <w:r w:rsidR="00336440" w:rsidRPr="00CA4E01">
        <w:rPr>
          <w:rFonts w:asciiTheme="minorHAnsi" w:hAnsiTheme="minorHAnsi" w:cstheme="minorHAnsi"/>
          <w:szCs w:val="24"/>
        </w:rPr>
        <w:t xml:space="preserve"> because cultures mainly rely on local and temporal factors</w:t>
      </w:r>
      <w:r w:rsidRPr="00CA4E01">
        <w:rPr>
          <w:rFonts w:asciiTheme="minorHAnsi" w:hAnsiTheme="minorHAnsi" w:cstheme="minorHAnsi"/>
          <w:szCs w:val="24"/>
        </w:rPr>
        <w:t>. International</w:t>
      </w:r>
      <w:r w:rsidR="00336440" w:rsidRPr="00CA4E01">
        <w:rPr>
          <w:rFonts w:asciiTheme="minorHAnsi" w:hAnsiTheme="minorHAnsi" w:cstheme="minorHAnsi"/>
          <w:szCs w:val="24"/>
        </w:rPr>
        <w:t xml:space="preserve"> technical </w:t>
      </w:r>
      <w:r w:rsidRPr="00CA4E01">
        <w:rPr>
          <w:rFonts w:asciiTheme="minorHAnsi" w:hAnsiTheme="minorHAnsi" w:cstheme="minorHAnsi"/>
          <w:szCs w:val="24"/>
        </w:rPr>
        <w:t xml:space="preserve">standards can contribute to identifying the key global and generic issues related to </w:t>
      </w:r>
      <w:r w:rsidR="00336440" w:rsidRPr="00CA4E01">
        <w:rPr>
          <w:rFonts w:asciiTheme="minorHAnsi" w:hAnsiTheme="minorHAnsi" w:cstheme="minorHAnsi"/>
          <w:szCs w:val="24"/>
        </w:rPr>
        <w:t xml:space="preserve">the technical and procedural dimension of a cybersecurity culture. </w:t>
      </w:r>
    </w:p>
    <w:p w14:paraId="3FC68BAE"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5.5</w:t>
      </w:r>
      <w:r w:rsidRPr="00CA4E01">
        <w:rPr>
          <w:rFonts w:asciiTheme="minorHAnsi" w:hAnsiTheme="minorHAnsi" w:cstheme="minorHAnsi"/>
          <w:szCs w:val="24"/>
        </w:rPr>
        <w:tab/>
        <w:t>A collective response to protect digital infrastructures is important.  This is increasingly urgent as technological change is moving towards greater and permanent interconnectivity via ICTs</w:t>
      </w:r>
      <w:r w:rsidRPr="00CA4E01">
        <w:rPr>
          <w:rStyle w:val="FootnoteReference"/>
          <w:rFonts w:asciiTheme="minorHAnsi" w:hAnsiTheme="minorHAnsi" w:cstheme="minorHAnsi"/>
          <w:sz w:val="24"/>
          <w:szCs w:val="24"/>
          <w:vertAlign w:val="superscript"/>
        </w:rPr>
        <w:footnoteReference w:id="28"/>
      </w:r>
      <w:r w:rsidRPr="00CA4E01">
        <w:rPr>
          <w:rFonts w:asciiTheme="minorHAnsi" w:hAnsiTheme="minorHAnsi" w:cstheme="minorHAnsi"/>
          <w:szCs w:val="24"/>
        </w:rPr>
        <w:t xml:space="preserve">. Everything that can be connected could be </w:t>
      </w:r>
      <w:r w:rsidR="006533AC" w:rsidRPr="00CA4E01">
        <w:rPr>
          <w:rFonts w:asciiTheme="minorHAnsi" w:hAnsiTheme="minorHAnsi" w:cstheme="minorHAnsi"/>
          <w:szCs w:val="24"/>
        </w:rPr>
        <w:t>compromised</w:t>
      </w:r>
      <w:r w:rsidRPr="00CA4E01">
        <w:rPr>
          <w:rFonts w:asciiTheme="minorHAnsi" w:hAnsiTheme="minorHAnsi" w:cstheme="minorHAnsi"/>
          <w:szCs w:val="24"/>
        </w:rPr>
        <w:t xml:space="preserve">. Moreover, the miniaturization of components due to </w:t>
      </w:r>
      <w:proofErr w:type="gramStart"/>
      <w:r w:rsidRPr="00CA4E01">
        <w:rPr>
          <w:rFonts w:asciiTheme="minorHAnsi" w:hAnsiTheme="minorHAnsi" w:cstheme="minorHAnsi"/>
          <w:szCs w:val="24"/>
        </w:rPr>
        <w:t>nano-technologies</w:t>
      </w:r>
      <w:proofErr w:type="gramEnd"/>
      <w:r w:rsidRPr="00CA4E01">
        <w:rPr>
          <w:rFonts w:asciiTheme="minorHAnsi" w:hAnsiTheme="minorHAnsi" w:cstheme="minorHAnsi"/>
          <w:szCs w:val="24"/>
        </w:rPr>
        <w:t xml:space="preserve">, including various types of intelligent and autonomous chips, has led to these chips being integrated into technologies that touch on all of our activities.  </w:t>
      </w:r>
    </w:p>
    <w:p w14:paraId="3EE95C77"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5.6</w:t>
      </w:r>
      <w:r w:rsidRPr="00CA4E01">
        <w:rPr>
          <w:rFonts w:asciiTheme="minorHAnsi" w:hAnsiTheme="minorHAnsi" w:cstheme="minorHAnsi"/>
          <w:szCs w:val="24"/>
        </w:rPr>
        <w:tab/>
        <w:t xml:space="preserve">The GCA has served as an innovative and efficient interdisciplinary framework for capacity building efforts from which global, schedulable, and specific answers can continue to be developed by relevant players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be collaborate effectively. The GCA framework is well </w:t>
      </w:r>
      <w:r w:rsidR="006533AC" w:rsidRPr="00CA4E01">
        <w:rPr>
          <w:rFonts w:asciiTheme="minorHAnsi" w:hAnsiTheme="minorHAnsi" w:cstheme="minorHAnsi"/>
          <w:szCs w:val="24"/>
        </w:rPr>
        <w:t xml:space="preserve">established </w:t>
      </w:r>
      <w:r w:rsidRPr="00CA4E01">
        <w:rPr>
          <w:rFonts w:asciiTheme="minorHAnsi" w:hAnsiTheme="minorHAnsi" w:cstheme="minorHAnsi"/>
          <w:szCs w:val="24"/>
        </w:rPr>
        <w:t xml:space="preserve">to </w:t>
      </w:r>
      <w:r w:rsidR="006533AC" w:rsidRPr="00CA4E01">
        <w:rPr>
          <w:rFonts w:asciiTheme="minorHAnsi" w:hAnsiTheme="minorHAnsi" w:cstheme="minorHAnsi"/>
          <w:szCs w:val="24"/>
        </w:rPr>
        <w:t xml:space="preserve">support </w:t>
      </w:r>
      <w:r w:rsidRPr="00CA4E01">
        <w:rPr>
          <w:rFonts w:asciiTheme="minorHAnsi" w:hAnsiTheme="minorHAnsi" w:cstheme="minorHAnsi"/>
          <w:szCs w:val="24"/>
        </w:rPr>
        <w:t xml:space="preserve">the challenge of building an inclusive </w:t>
      </w:r>
      <w:r w:rsidR="006533AC" w:rsidRPr="00CA4E01">
        <w:rPr>
          <w:rFonts w:asciiTheme="minorHAnsi" w:hAnsiTheme="minorHAnsi" w:cstheme="minorHAnsi"/>
          <w:szCs w:val="24"/>
        </w:rPr>
        <w:t xml:space="preserve">and secure </w:t>
      </w:r>
      <w:r w:rsidRPr="00CA4E01">
        <w:rPr>
          <w:rFonts w:asciiTheme="minorHAnsi" w:hAnsiTheme="minorHAnsi" w:cstheme="minorHAnsi"/>
          <w:szCs w:val="24"/>
        </w:rPr>
        <w:t>information society.</w:t>
      </w:r>
    </w:p>
    <w:p w14:paraId="198D1B4C"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5.7</w:t>
      </w:r>
      <w:r w:rsidRPr="00CA4E01">
        <w:rPr>
          <w:rFonts w:asciiTheme="minorHAnsi" w:hAnsiTheme="minorHAnsi" w:cstheme="minorHAnsi"/>
          <w:szCs w:val="24"/>
        </w:rPr>
        <w:tab/>
        <w:t>The recommendations made in this regard by the HLEG Report 2008 continue to remain relevant today. Taking into account the work done by ITU, in particular since the first publication of “</w:t>
      </w:r>
      <w:hyperlink r:id="rId45" w:history="1">
        <w:r w:rsidRPr="00CA4E01">
          <w:rPr>
            <w:rStyle w:val="Hyperlink"/>
            <w:rFonts w:asciiTheme="minorHAnsi" w:hAnsiTheme="minorHAnsi" w:cstheme="minorHAnsi"/>
            <w:szCs w:val="24"/>
          </w:rPr>
          <w:t>The Cybersecurity Guide for Developing Countries</w:t>
        </w:r>
      </w:hyperlink>
      <w:r w:rsidRPr="00CA4E01">
        <w:rPr>
          <w:rFonts w:asciiTheme="minorHAnsi" w:hAnsiTheme="minorHAnsi" w:cstheme="minorHAnsi"/>
          <w:szCs w:val="24"/>
        </w:rPr>
        <w:t xml:space="preserve">” in 2006, and based on the GCA framework and the HLEG Report 2008, extensive work has taken place across Member States on capacity building - including training, awareness, and education activities at the national, regional, and international level. </w:t>
      </w:r>
    </w:p>
    <w:p w14:paraId="555CF2D2"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lastRenderedPageBreak/>
        <w:t>5.8</w:t>
      </w:r>
      <w:r w:rsidRPr="00CA4E01">
        <w:rPr>
          <w:rFonts w:asciiTheme="minorHAnsi" w:hAnsiTheme="minorHAnsi" w:cstheme="minorHAnsi"/>
          <w:szCs w:val="24"/>
        </w:rPr>
        <w:tab/>
        <w:t>Utilizing the GCA framework, ITU continues to assist countries, particularly with building necessary human capacity and skills, defining their national cybersecurity strateg</w:t>
      </w:r>
      <w:r w:rsidR="002D483F" w:rsidRPr="00CA4E01">
        <w:rPr>
          <w:rFonts w:asciiTheme="minorHAnsi" w:hAnsiTheme="minorHAnsi" w:cstheme="minorHAnsi"/>
          <w:szCs w:val="24"/>
        </w:rPr>
        <w:t>ies</w:t>
      </w:r>
      <w:r w:rsidRPr="00CA4E01">
        <w:rPr>
          <w:rFonts w:asciiTheme="minorHAnsi" w:hAnsiTheme="minorHAnsi" w:cstheme="minorHAnsi"/>
          <w:szCs w:val="24"/>
        </w:rPr>
        <w:t>, helping develop skills to manage computer incident response teams (CIRTs), and developing resources to protect children online.</w:t>
      </w:r>
    </w:p>
    <w:p w14:paraId="69DC55AD"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5.9</w:t>
      </w:r>
      <w:r w:rsidRPr="00CA4E01">
        <w:rPr>
          <w:rFonts w:asciiTheme="minorHAnsi" w:hAnsiTheme="minorHAnsi" w:cstheme="minorHAnsi"/>
          <w:szCs w:val="24"/>
        </w:rPr>
        <w:tab/>
        <w:t xml:space="preserve">For instance, in terms of awareness raising, </w:t>
      </w:r>
      <w:r w:rsidRPr="00CA4E01">
        <w:rPr>
          <w:rFonts w:asciiTheme="minorHAnsi" w:hAnsiTheme="minorHAnsi" w:cstheme="minorHAnsi"/>
          <w:bCs/>
          <w:szCs w:val="24"/>
        </w:rPr>
        <w:t xml:space="preserve">it is important to recognize the contribution of the </w:t>
      </w:r>
      <w:hyperlink r:id="rId46" w:history="1">
        <w:r w:rsidRPr="00CA4E01">
          <w:rPr>
            <w:rStyle w:val="Hyperlink"/>
            <w:rFonts w:asciiTheme="minorHAnsi" w:hAnsiTheme="minorHAnsi" w:cstheme="minorHAnsi"/>
            <w:bCs/>
            <w:szCs w:val="24"/>
          </w:rPr>
          <w:t>Global Cybersecurity Index (GCI)</w:t>
        </w:r>
      </w:hyperlink>
      <w:r w:rsidRPr="00CA4E01">
        <w:rPr>
          <w:rFonts w:asciiTheme="minorHAnsi" w:hAnsiTheme="minorHAnsi" w:cstheme="minorHAnsi"/>
          <w:bCs/>
          <w:szCs w:val="24"/>
        </w:rPr>
        <w:t xml:space="preserve">. From its first launch in 2015, </w:t>
      </w:r>
      <w:hyperlink r:id="rId47" w:history="1">
        <w:r w:rsidRPr="00CA4E01">
          <w:rPr>
            <w:rFonts w:asciiTheme="minorHAnsi" w:hAnsiTheme="minorHAnsi" w:cstheme="minorHAnsi"/>
            <w:bCs/>
            <w:szCs w:val="24"/>
          </w:rPr>
          <w:t>the GCI - which measures the commitment of Member States to Cybersecurity</w:t>
        </w:r>
      </w:hyperlink>
      <w:r w:rsidRPr="00CA4E01">
        <w:rPr>
          <w:rFonts w:asciiTheme="minorHAnsi" w:hAnsiTheme="minorHAnsi" w:cstheme="minorHAnsi"/>
          <w:bCs/>
          <w:szCs w:val="24"/>
        </w:rPr>
        <w:t xml:space="preserve"> - has had three successful publications as a result of strong demands from Member States, the private sector, academia, and others. Through its dedication in raising awareness, the GCI continues to provide support to Member States to improve their cybersecurity </w:t>
      </w:r>
      <w:r w:rsidR="002D483F" w:rsidRPr="00CA4E01">
        <w:rPr>
          <w:rFonts w:asciiTheme="minorHAnsi" w:hAnsiTheme="minorHAnsi" w:cstheme="minorHAnsi"/>
          <w:bCs/>
          <w:szCs w:val="24"/>
        </w:rPr>
        <w:t xml:space="preserve">posture through </w:t>
      </w:r>
      <w:r w:rsidRPr="00CA4E01">
        <w:rPr>
          <w:rFonts w:asciiTheme="minorHAnsi" w:hAnsiTheme="minorHAnsi" w:cstheme="minorHAnsi"/>
          <w:bCs/>
          <w:szCs w:val="24"/>
        </w:rPr>
        <w:t xml:space="preserve">sharing </w:t>
      </w:r>
      <w:r w:rsidR="002D483F" w:rsidRPr="00CA4E01">
        <w:rPr>
          <w:rFonts w:asciiTheme="minorHAnsi" w:hAnsiTheme="minorHAnsi" w:cstheme="minorHAnsi"/>
          <w:bCs/>
          <w:szCs w:val="24"/>
        </w:rPr>
        <w:t xml:space="preserve">of </w:t>
      </w:r>
      <w:r w:rsidRPr="00CA4E01">
        <w:rPr>
          <w:rFonts w:asciiTheme="minorHAnsi" w:hAnsiTheme="minorHAnsi" w:cstheme="minorHAnsi"/>
          <w:bCs/>
          <w:szCs w:val="24"/>
        </w:rPr>
        <w:t>good practices for effective cybersecurity implementations. The GCI has proven to be an invaluable tool in awareness</w:t>
      </w:r>
      <w:r w:rsidR="002D483F" w:rsidRPr="00CA4E01">
        <w:rPr>
          <w:rFonts w:asciiTheme="minorHAnsi" w:hAnsiTheme="minorHAnsi" w:cstheme="minorHAnsi"/>
          <w:bCs/>
          <w:szCs w:val="24"/>
        </w:rPr>
        <w:t xml:space="preserve"> and capacity</w:t>
      </w:r>
      <w:r w:rsidRPr="00CA4E01">
        <w:rPr>
          <w:rFonts w:asciiTheme="minorHAnsi" w:hAnsiTheme="minorHAnsi" w:cstheme="minorHAnsi"/>
          <w:bCs/>
          <w:szCs w:val="24"/>
        </w:rPr>
        <w:t xml:space="preserve"> building and should continue to be leveraged and strengthened.</w:t>
      </w:r>
    </w:p>
    <w:p w14:paraId="44CFC38F" w14:textId="21DEC647" w:rsidR="00CA4EDA" w:rsidRPr="00CA4E01" w:rsidRDefault="00CA4EDA" w:rsidP="00D2656A">
      <w:pPr>
        <w:pStyle w:val="Heading2"/>
        <w:spacing w:before="240" w:after="120"/>
        <w:rPr>
          <w:rFonts w:asciiTheme="minorHAnsi" w:hAnsiTheme="minorHAnsi" w:cstheme="minorHAnsi"/>
          <w:color w:val="365F91" w:themeColor="accent1" w:themeShade="BF"/>
          <w:szCs w:val="24"/>
        </w:rPr>
      </w:pPr>
      <w:bookmarkStart w:id="31" w:name="_Toc37331416"/>
      <w:r w:rsidRPr="00CA4E01">
        <w:rPr>
          <w:rFonts w:asciiTheme="minorHAnsi" w:hAnsiTheme="minorHAnsi" w:cstheme="minorHAnsi"/>
          <w:color w:val="365F91" w:themeColor="accent1" w:themeShade="BF"/>
          <w:szCs w:val="24"/>
        </w:rPr>
        <w:t xml:space="preserve">Guidelines to </w:t>
      </w:r>
      <w:r w:rsidR="00C63CA4" w:rsidRPr="00CA4E01">
        <w:rPr>
          <w:rFonts w:asciiTheme="minorHAnsi" w:hAnsiTheme="minorHAnsi" w:cstheme="minorHAnsi"/>
          <w:color w:val="365F91" w:themeColor="accent1" w:themeShade="BF"/>
          <w:szCs w:val="24"/>
        </w:rPr>
        <w:t>U</w:t>
      </w:r>
      <w:r w:rsidRPr="00CA4E01">
        <w:rPr>
          <w:rFonts w:asciiTheme="minorHAnsi" w:hAnsiTheme="minorHAnsi" w:cstheme="minorHAnsi"/>
          <w:color w:val="365F91" w:themeColor="accent1" w:themeShade="BF"/>
          <w:szCs w:val="24"/>
        </w:rPr>
        <w:t>tilize Pillar 4 – Capacity Building</w:t>
      </w:r>
      <w:bookmarkEnd w:id="31"/>
    </w:p>
    <w:p w14:paraId="718E2C7F"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5.10</w:t>
      </w:r>
      <w:r w:rsidRPr="00CA4E01">
        <w:rPr>
          <w:rFonts w:asciiTheme="minorHAnsi" w:hAnsiTheme="minorHAnsi" w:cstheme="minorHAnsi"/>
          <w:szCs w:val="24"/>
        </w:rPr>
        <w:tab/>
        <w:t xml:space="preserve">Specific actions should be taken at a national level to build or improve cybersecurity capacities of various stakeholders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be able to address national and international cybersecurity issues. As capacity building activities primarily occur at the national level, appropriate resources should be allocated to national actors.</w:t>
      </w:r>
      <w:r w:rsidRPr="00CA4E01">
        <w:rPr>
          <w:rStyle w:val="FootnoteReference"/>
          <w:rFonts w:asciiTheme="minorHAnsi" w:hAnsiTheme="minorHAnsi" w:cstheme="minorHAnsi"/>
          <w:sz w:val="24"/>
          <w:szCs w:val="24"/>
          <w:vertAlign w:val="superscript"/>
        </w:rPr>
        <w:footnoteReference w:id="29"/>
      </w:r>
      <w:r w:rsidRPr="00CA4E01">
        <w:rPr>
          <w:rStyle w:val="FootnoteReference"/>
          <w:rFonts w:asciiTheme="minorHAnsi" w:hAnsiTheme="minorHAnsi" w:cstheme="minorHAnsi"/>
          <w:sz w:val="24"/>
          <w:szCs w:val="24"/>
          <w:vertAlign w:val="superscript"/>
        </w:rPr>
        <w:t xml:space="preserve"> </w:t>
      </w:r>
    </w:p>
    <w:p w14:paraId="764E0563"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5.11</w:t>
      </w:r>
      <w:r w:rsidRPr="00CA4E01">
        <w:rPr>
          <w:rFonts w:asciiTheme="minorHAnsi" w:hAnsiTheme="minorHAnsi" w:cstheme="minorHAnsi"/>
          <w:b/>
          <w:bCs/>
          <w:szCs w:val="24"/>
        </w:rPr>
        <w:tab/>
      </w:r>
      <w:r w:rsidRPr="00CA4E01">
        <w:rPr>
          <w:rFonts w:asciiTheme="minorHAnsi" w:hAnsiTheme="minorHAnsi" w:cstheme="minorHAnsi"/>
          <w:szCs w:val="24"/>
        </w:rPr>
        <w:t xml:space="preserve">Further, from a global perspective, empowering human resources requires a general, modular, and flexible cybersecurity educational framework to respond to the needs of increased public awareness, and to provide a </w:t>
      </w:r>
      <w:proofErr w:type="gramStart"/>
      <w:r w:rsidRPr="00CA4E01">
        <w:rPr>
          <w:rFonts w:asciiTheme="minorHAnsi" w:hAnsiTheme="minorHAnsi" w:cstheme="minorHAnsi"/>
          <w:szCs w:val="24"/>
        </w:rPr>
        <w:t>tailored educational curricula</w:t>
      </w:r>
      <w:proofErr w:type="gramEnd"/>
      <w:r w:rsidRPr="00CA4E01">
        <w:rPr>
          <w:rFonts w:asciiTheme="minorHAnsi" w:hAnsiTheme="minorHAnsi" w:cstheme="minorHAnsi"/>
          <w:szCs w:val="24"/>
        </w:rPr>
        <w:t xml:space="preserve"> for specific professionals. Particular attention should be paid to the gender gap in this area. There is a lot of untapped human capital that can be brought to contribute to the cybersecurity field, including women who still represent only 20% of the cybersecurity workforce.</w:t>
      </w:r>
      <w:r w:rsidR="003D410B" w:rsidRPr="00CA4E01">
        <w:rPr>
          <w:rStyle w:val="FootnoteReference"/>
          <w:rFonts w:asciiTheme="minorHAnsi" w:hAnsiTheme="minorHAnsi" w:cstheme="minorHAnsi"/>
          <w:sz w:val="24"/>
          <w:szCs w:val="24"/>
          <w:vertAlign w:val="superscript"/>
        </w:rPr>
        <w:t xml:space="preserve"> </w:t>
      </w:r>
      <w:r w:rsidR="003D410B" w:rsidRPr="00CA4E01">
        <w:rPr>
          <w:rStyle w:val="FootnoteReference"/>
          <w:rFonts w:asciiTheme="minorHAnsi" w:hAnsiTheme="minorHAnsi" w:cstheme="minorHAnsi"/>
          <w:sz w:val="24"/>
          <w:szCs w:val="24"/>
          <w:vertAlign w:val="superscript"/>
        </w:rPr>
        <w:footnoteReference w:id="30"/>
      </w:r>
    </w:p>
    <w:p w14:paraId="2A318D8B"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5.12</w:t>
      </w:r>
      <w:r w:rsidRPr="00CA4E01">
        <w:rPr>
          <w:rFonts w:asciiTheme="minorHAnsi" w:hAnsiTheme="minorHAnsi" w:cstheme="minorHAnsi"/>
          <w:szCs w:val="24"/>
        </w:rPr>
        <w:tab/>
        <w:t xml:space="preserve">The quality of formal education at a school or university level and </w:t>
      </w:r>
      <w:proofErr w:type="gramStart"/>
      <w:r w:rsidRPr="00CA4E01">
        <w:rPr>
          <w:rFonts w:asciiTheme="minorHAnsi" w:hAnsiTheme="minorHAnsi" w:cstheme="minorHAnsi"/>
          <w:szCs w:val="24"/>
        </w:rPr>
        <w:t>general public</w:t>
      </w:r>
      <w:proofErr w:type="gramEnd"/>
      <w:r w:rsidRPr="00CA4E01">
        <w:rPr>
          <w:rFonts w:asciiTheme="minorHAnsi" w:hAnsiTheme="minorHAnsi" w:cstheme="minorHAnsi"/>
          <w:szCs w:val="24"/>
        </w:rPr>
        <w:t xml:space="preserve"> awareness raising depends to a certain extent on the quality, maturity, and relevance of research.</w:t>
      </w:r>
    </w:p>
    <w:p w14:paraId="4A0FDA99"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5.13</w:t>
      </w:r>
      <w:r w:rsidRPr="00CA4E01">
        <w:rPr>
          <w:rFonts w:asciiTheme="minorHAnsi" w:hAnsiTheme="minorHAnsi" w:cstheme="minorHAnsi"/>
          <w:szCs w:val="24"/>
        </w:rPr>
        <w:tab/>
        <w:t>In addition, it is important that attention is paid to building capacity for the Micro, Small, and Medium Enterprises (MSMEs) that are now</w:t>
      </w:r>
      <w:r w:rsidR="005637F8" w:rsidRPr="00CA4E01">
        <w:rPr>
          <w:rFonts w:asciiTheme="minorHAnsi" w:hAnsiTheme="minorHAnsi" w:cstheme="minorHAnsi"/>
          <w:szCs w:val="24"/>
        </w:rPr>
        <w:t xml:space="preserve"> one of the</w:t>
      </w:r>
      <w:r w:rsidRPr="00CA4E01">
        <w:rPr>
          <w:rFonts w:asciiTheme="minorHAnsi" w:hAnsiTheme="minorHAnsi" w:cstheme="minorHAnsi"/>
          <w:szCs w:val="24"/>
        </w:rPr>
        <w:t xml:space="preserve"> key players in the growing digital economy by</w:t>
      </w:r>
      <w:r w:rsidR="005637F8" w:rsidRPr="00CA4E01">
        <w:rPr>
          <w:rFonts w:asciiTheme="minorHAnsi" w:hAnsiTheme="minorHAnsi" w:cstheme="minorHAnsi"/>
          <w:szCs w:val="24"/>
        </w:rPr>
        <w:t xml:space="preserve"> enabling them to identify and manage cyber risks and employ</w:t>
      </w:r>
      <w:r w:rsidRPr="00CA4E01">
        <w:rPr>
          <w:rFonts w:asciiTheme="minorHAnsi" w:hAnsiTheme="minorHAnsi" w:cstheme="minorHAnsi"/>
          <w:szCs w:val="24"/>
        </w:rPr>
        <w:t xml:space="preserve"> ICT</w:t>
      </w:r>
      <w:r w:rsidR="005637F8" w:rsidRPr="00CA4E01">
        <w:rPr>
          <w:rFonts w:asciiTheme="minorHAnsi" w:hAnsiTheme="minorHAnsi" w:cstheme="minorHAnsi"/>
          <w:szCs w:val="24"/>
        </w:rPr>
        <w:t xml:space="preserve"> assets to</w:t>
      </w:r>
      <w:r w:rsidRPr="00CA4E01">
        <w:rPr>
          <w:rFonts w:asciiTheme="minorHAnsi" w:hAnsiTheme="minorHAnsi" w:cstheme="minorHAnsi"/>
          <w:szCs w:val="24"/>
        </w:rPr>
        <w:t xml:space="preserve"> (including broadband and the </w:t>
      </w:r>
      <w:proofErr w:type="gramStart"/>
      <w:r w:rsidRPr="00CA4E01">
        <w:rPr>
          <w:rFonts w:asciiTheme="minorHAnsi" w:hAnsiTheme="minorHAnsi" w:cstheme="minorHAnsi"/>
          <w:szCs w:val="24"/>
        </w:rPr>
        <w:t>Internet)</w:t>
      </w:r>
      <w:r w:rsidR="005637F8" w:rsidRPr="00CA4E01">
        <w:rPr>
          <w:rFonts w:asciiTheme="minorHAnsi" w:hAnsiTheme="minorHAnsi" w:cstheme="minorHAnsi"/>
          <w:szCs w:val="24"/>
        </w:rPr>
        <w:t>in</w:t>
      </w:r>
      <w:proofErr w:type="gramEnd"/>
      <w:r w:rsidR="005637F8" w:rsidRPr="00CA4E01">
        <w:rPr>
          <w:rFonts w:asciiTheme="minorHAnsi" w:hAnsiTheme="minorHAnsi" w:cstheme="minorHAnsi"/>
          <w:szCs w:val="24"/>
        </w:rPr>
        <w:t xml:space="preserve"> a secure and sustainable way.</w:t>
      </w:r>
    </w:p>
    <w:tbl>
      <w:tblPr>
        <w:tblStyle w:val="TableGrid"/>
        <w:tblW w:w="0" w:type="auto"/>
        <w:tblLook w:val="04A0" w:firstRow="1" w:lastRow="0" w:firstColumn="1" w:lastColumn="0" w:noHBand="0" w:noVBand="1"/>
      </w:tblPr>
      <w:tblGrid>
        <w:gridCol w:w="8980"/>
      </w:tblGrid>
      <w:tr w:rsidR="00CA4EDA" w:rsidRPr="00CA4E01" w14:paraId="68E2F297" w14:textId="77777777" w:rsidTr="0023536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D41F5E6" w14:textId="77777777" w:rsidR="00CA4EDA" w:rsidRPr="003C12C1" w:rsidRDefault="00CA4EDA" w:rsidP="00CA4E01">
            <w:pPr>
              <w:widowControl w:val="0"/>
              <w:tabs>
                <w:tab w:val="clear" w:pos="567"/>
                <w:tab w:val="clear" w:pos="1134"/>
                <w:tab w:val="clear" w:pos="1701"/>
                <w:tab w:val="clear" w:pos="2268"/>
                <w:tab w:val="clear" w:pos="2835"/>
              </w:tabs>
              <w:spacing w:after="120"/>
              <w:jc w:val="both"/>
              <w:rPr>
                <w:rFonts w:asciiTheme="minorHAnsi" w:hAnsiTheme="minorHAnsi" w:cstheme="minorHAnsi"/>
                <w:sz w:val="23"/>
                <w:szCs w:val="23"/>
              </w:rPr>
            </w:pPr>
            <w:r w:rsidRPr="003C12C1">
              <w:rPr>
                <w:rFonts w:asciiTheme="minorHAnsi" w:hAnsiTheme="minorHAnsi" w:cstheme="minorHAnsi"/>
                <w:b/>
                <w:bCs/>
                <w:sz w:val="23"/>
                <w:szCs w:val="23"/>
              </w:rPr>
              <w:t>5.14</w:t>
            </w:r>
            <w:r w:rsidR="005E4F46" w:rsidRPr="003C12C1">
              <w:rPr>
                <w:rFonts w:asciiTheme="minorHAnsi" w:hAnsiTheme="minorHAnsi" w:cstheme="minorHAnsi"/>
                <w:b/>
                <w:bCs/>
                <w:sz w:val="23"/>
                <w:szCs w:val="23"/>
              </w:rPr>
              <w:tab/>
            </w:r>
            <w:r w:rsidRPr="003C12C1">
              <w:rPr>
                <w:rFonts w:asciiTheme="minorHAnsi" w:hAnsiTheme="minorHAnsi" w:cstheme="minorHAnsi"/>
                <w:sz w:val="23"/>
                <w:szCs w:val="23"/>
              </w:rPr>
              <w:t xml:space="preserve">In light of the above, the GCA and the recommendations contained under this Pillar of the HLEG Report 2008 continue to provide a robust framework that enhances and promotes an interdisciplinary approach to capacity building. Taking this into consideration, it is proposed that ITU, through its </w:t>
            </w:r>
            <w:r w:rsidR="005637F8" w:rsidRPr="003C12C1">
              <w:rPr>
                <w:rFonts w:asciiTheme="minorHAnsi" w:hAnsiTheme="minorHAnsi" w:cstheme="minorHAnsi"/>
                <w:sz w:val="23"/>
                <w:szCs w:val="23"/>
              </w:rPr>
              <w:t xml:space="preserve">Telecommunication </w:t>
            </w:r>
            <w:r w:rsidRPr="003C12C1">
              <w:rPr>
                <w:rFonts w:asciiTheme="minorHAnsi" w:hAnsiTheme="minorHAnsi" w:cstheme="minorHAnsi"/>
                <w:sz w:val="23"/>
                <w:szCs w:val="23"/>
              </w:rPr>
              <w:t xml:space="preserve">Development Bureau (BDT): </w:t>
            </w:r>
          </w:p>
          <w:p w14:paraId="46835BFC" w14:textId="77777777" w:rsidR="00CA4EDA" w:rsidRPr="003C12C1" w:rsidRDefault="00CA4EDA" w:rsidP="00CA4E01">
            <w:pPr>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a.</w:t>
            </w:r>
            <w:r w:rsidRPr="003C12C1">
              <w:rPr>
                <w:rFonts w:asciiTheme="minorHAnsi" w:hAnsiTheme="minorHAnsi" w:cstheme="minorHAnsi"/>
                <w:sz w:val="23"/>
                <w:szCs w:val="23"/>
              </w:rPr>
              <w:tab/>
              <w:t xml:space="preserve">Continue to promote more open and inclusive collaboration, as well as coordination, among various national, regional, or international organizations engaged in building capacity for cybersecurity, </w:t>
            </w:r>
            <w:proofErr w:type="gramStart"/>
            <w:r w:rsidRPr="003C12C1">
              <w:rPr>
                <w:rFonts w:asciiTheme="minorHAnsi" w:hAnsiTheme="minorHAnsi" w:cstheme="minorHAnsi"/>
                <w:sz w:val="23"/>
                <w:szCs w:val="23"/>
              </w:rPr>
              <w:t>in order to</w:t>
            </w:r>
            <w:proofErr w:type="gramEnd"/>
            <w:r w:rsidRPr="003C12C1">
              <w:rPr>
                <w:rFonts w:asciiTheme="minorHAnsi" w:hAnsiTheme="minorHAnsi" w:cstheme="minorHAnsi"/>
                <w:sz w:val="23"/>
                <w:szCs w:val="23"/>
              </w:rPr>
              <w:t xml:space="preserve"> ensure impact and avoid duplication of efforts.</w:t>
            </w:r>
          </w:p>
          <w:p w14:paraId="386CADCF" w14:textId="77777777" w:rsidR="00CA4EDA" w:rsidRPr="003C12C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b.</w:t>
            </w:r>
            <w:r w:rsidRPr="003C12C1">
              <w:rPr>
                <w:rFonts w:asciiTheme="minorHAnsi" w:hAnsiTheme="minorHAnsi" w:cstheme="minorHAnsi"/>
                <w:sz w:val="23"/>
                <w:szCs w:val="23"/>
              </w:rPr>
              <w:tab/>
              <w:t>Continue supporting developing countries in cybersecurity capacity building efforts,</w:t>
            </w:r>
            <w:r w:rsidR="00200270" w:rsidRPr="003C12C1">
              <w:rPr>
                <w:rFonts w:asciiTheme="minorHAnsi" w:hAnsiTheme="minorHAnsi" w:cstheme="minorHAnsi"/>
                <w:sz w:val="23"/>
                <w:szCs w:val="23"/>
              </w:rPr>
              <w:t xml:space="preserve"> </w:t>
            </w:r>
            <w:r w:rsidRPr="003C12C1">
              <w:rPr>
                <w:rFonts w:asciiTheme="minorHAnsi" w:hAnsiTheme="minorHAnsi" w:cstheme="minorHAnsi"/>
                <w:sz w:val="23"/>
                <w:szCs w:val="23"/>
              </w:rPr>
              <w:t xml:space="preserve">with the support of the national and international cybersecurity capacity building communities. </w:t>
            </w:r>
          </w:p>
          <w:p w14:paraId="3C54C12E" w14:textId="77777777" w:rsidR="00CA4EDA" w:rsidRPr="003C12C1" w:rsidRDefault="00CA4EDA"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lastRenderedPageBreak/>
              <w:t>c.</w:t>
            </w:r>
            <w:r w:rsidRPr="003C12C1">
              <w:rPr>
                <w:rFonts w:asciiTheme="minorHAnsi" w:hAnsiTheme="minorHAnsi" w:cstheme="minorHAnsi"/>
                <w:sz w:val="23"/>
                <w:szCs w:val="23"/>
              </w:rPr>
              <w:tab/>
              <w:t xml:space="preserve">Continue to assist developing countries, in collaboration with interested partners and other capacity-development communities, on developing national cybersecurity strategies, plans, policies, and incident response capabilities. </w:t>
            </w:r>
          </w:p>
          <w:p w14:paraId="1A83D988" w14:textId="2E5EC3F9" w:rsidR="00814829"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d.</w:t>
            </w:r>
            <w:r w:rsidR="003C12C1" w:rsidRPr="003C12C1">
              <w:rPr>
                <w:rFonts w:asciiTheme="minorHAnsi" w:hAnsiTheme="minorHAnsi" w:cstheme="minorHAnsi"/>
                <w:sz w:val="23"/>
                <w:szCs w:val="23"/>
              </w:rPr>
              <w:tab/>
            </w:r>
            <w:r w:rsidRPr="003C12C1">
              <w:rPr>
                <w:rFonts w:asciiTheme="minorHAnsi" w:hAnsiTheme="minorHAnsi" w:cstheme="minorHAnsi"/>
                <w:sz w:val="23"/>
                <w:szCs w:val="23"/>
              </w:rPr>
              <w:t>Continue capacity building efforts on bridging the standardisation gap, including by providing technical assistance to countries upon request.</w:t>
            </w:r>
          </w:p>
          <w:p w14:paraId="4F3CE563"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e</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 xml:space="preserve">Enhance the promotion and facilitate the exchange of good practices of Member States </w:t>
            </w:r>
            <w:proofErr w:type="gramStart"/>
            <w:r w:rsidR="00CA4EDA" w:rsidRPr="003C12C1">
              <w:rPr>
                <w:rFonts w:asciiTheme="minorHAnsi" w:hAnsiTheme="minorHAnsi" w:cstheme="minorHAnsi"/>
                <w:sz w:val="23"/>
                <w:szCs w:val="23"/>
              </w:rPr>
              <w:t>in order to</w:t>
            </w:r>
            <w:proofErr w:type="gramEnd"/>
            <w:r w:rsidR="00CA4EDA" w:rsidRPr="003C12C1">
              <w:rPr>
                <w:rFonts w:asciiTheme="minorHAnsi" w:hAnsiTheme="minorHAnsi" w:cstheme="minorHAnsi"/>
                <w:sz w:val="23"/>
                <w:szCs w:val="23"/>
              </w:rPr>
              <w:t xml:space="preserve"> help countries lagging in cybersecurity expertise improve their cybersecurity posture and to reduce the capacity gap. </w:t>
            </w:r>
          </w:p>
          <w:p w14:paraId="6E38DC88"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f</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 xml:space="preserve">Continue to evolve its capacity building activities, </w:t>
            </w:r>
            <w:proofErr w:type="gramStart"/>
            <w:r w:rsidR="00CA4EDA" w:rsidRPr="003C12C1">
              <w:rPr>
                <w:rFonts w:asciiTheme="minorHAnsi" w:hAnsiTheme="minorHAnsi" w:cstheme="minorHAnsi"/>
                <w:sz w:val="23"/>
                <w:szCs w:val="23"/>
              </w:rPr>
              <w:t>taking into account</w:t>
            </w:r>
            <w:proofErr w:type="gramEnd"/>
            <w:r w:rsidR="00CA4EDA" w:rsidRPr="003C12C1">
              <w:rPr>
                <w:rFonts w:asciiTheme="minorHAnsi" w:hAnsiTheme="minorHAnsi" w:cstheme="minorHAnsi"/>
                <w:sz w:val="23"/>
                <w:szCs w:val="23"/>
              </w:rPr>
              <w:t xml:space="preserve"> the need for new skills to adapt to the security needs of emerging technologies. In this regard, greater collaboration should be fostered with academia</w:t>
            </w:r>
            <w:r w:rsidR="005637F8" w:rsidRPr="003C12C1">
              <w:rPr>
                <w:rFonts w:asciiTheme="minorHAnsi" w:hAnsiTheme="minorHAnsi" w:cstheme="minorHAnsi"/>
                <w:sz w:val="23"/>
                <w:szCs w:val="23"/>
              </w:rPr>
              <w:t xml:space="preserve">, private </w:t>
            </w:r>
            <w:proofErr w:type="gramStart"/>
            <w:r w:rsidR="005637F8" w:rsidRPr="003C12C1">
              <w:rPr>
                <w:rFonts w:asciiTheme="minorHAnsi" w:hAnsiTheme="minorHAnsi" w:cstheme="minorHAnsi"/>
                <w:sz w:val="23"/>
                <w:szCs w:val="23"/>
              </w:rPr>
              <w:t>sector</w:t>
            </w:r>
            <w:proofErr w:type="gramEnd"/>
            <w:r w:rsidR="005637F8" w:rsidRPr="003C12C1">
              <w:rPr>
                <w:rFonts w:asciiTheme="minorHAnsi" w:hAnsiTheme="minorHAnsi" w:cstheme="minorHAnsi"/>
                <w:sz w:val="23"/>
                <w:szCs w:val="23"/>
              </w:rPr>
              <w:t xml:space="preserve"> and Member States. </w:t>
            </w:r>
          </w:p>
          <w:p w14:paraId="167137E2"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g</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Continue to maintain special focus on the needs of the more vulnerable groups—such as woman, children, persons with disabilities and persons with specific needs, and older persons – in capacity building efforts.</w:t>
            </w:r>
          </w:p>
          <w:p w14:paraId="107990ED"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Cs/>
                <w:sz w:val="23"/>
                <w:szCs w:val="23"/>
              </w:rPr>
            </w:pPr>
            <w:r w:rsidRPr="003C12C1">
              <w:rPr>
                <w:rFonts w:asciiTheme="minorHAnsi" w:hAnsiTheme="minorHAnsi" w:cstheme="minorHAnsi"/>
                <w:b/>
                <w:sz w:val="23"/>
                <w:szCs w:val="23"/>
              </w:rPr>
              <w:t>h</w:t>
            </w:r>
            <w:r w:rsidR="00CA4EDA" w:rsidRPr="003C12C1">
              <w:rPr>
                <w:rFonts w:asciiTheme="minorHAnsi" w:hAnsiTheme="minorHAnsi" w:cstheme="minorHAnsi"/>
                <w:b/>
                <w:sz w:val="23"/>
                <w:szCs w:val="23"/>
              </w:rPr>
              <w:t>.</w:t>
            </w:r>
            <w:r w:rsidR="00CA4EDA" w:rsidRPr="003C12C1">
              <w:rPr>
                <w:rFonts w:asciiTheme="minorHAnsi" w:hAnsiTheme="minorHAnsi" w:cstheme="minorHAnsi"/>
                <w:bCs/>
                <w:sz w:val="23"/>
                <w:szCs w:val="23"/>
              </w:rPr>
              <w:tab/>
              <w:t>Continue to develop and strengthen the GCI as a tool for capacity building</w:t>
            </w:r>
            <w:r w:rsidR="005637F8" w:rsidRPr="003C12C1">
              <w:rPr>
                <w:rFonts w:asciiTheme="minorHAnsi" w:hAnsiTheme="minorHAnsi" w:cstheme="minorHAnsi"/>
                <w:bCs/>
                <w:sz w:val="23"/>
                <w:szCs w:val="23"/>
              </w:rPr>
              <w:t xml:space="preserve"> and awareness creation.</w:t>
            </w:r>
          </w:p>
          <w:p w14:paraId="22B993F0" w14:textId="77777777" w:rsidR="00CA4EDA" w:rsidRPr="003C12C1" w:rsidRDefault="00814829" w:rsidP="00CA4E01">
            <w:pPr>
              <w:tabs>
                <w:tab w:val="clear" w:pos="567"/>
                <w:tab w:val="clear" w:pos="1134"/>
                <w:tab w:val="clear" w:pos="1701"/>
                <w:tab w:val="clear" w:pos="2268"/>
                <w:tab w:val="clear" w:pos="2835"/>
              </w:tabs>
              <w:spacing w:after="120"/>
              <w:jc w:val="both"/>
              <w:rPr>
                <w:rFonts w:asciiTheme="minorHAnsi" w:hAnsiTheme="minorHAnsi" w:cstheme="minorHAnsi"/>
                <w:sz w:val="23"/>
                <w:szCs w:val="23"/>
              </w:rPr>
            </w:pPr>
            <w:r w:rsidRPr="003C12C1">
              <w:rPr>
                <w:rFonts w:asciiTheme="minorHAnsi" w:hAnsiTheme="minorHAnsi" w:cstheme="minorHAnsi"/>
                <w:b/>
                <w:bCs/>
                <w:sz w:val="23"/>
                <w:szCs w:val="23"/>
              </w:rPr>
              <w:t>i</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Develop a “Guide on the</w:t>
            </w:r>
            <w:r w:rsidR="005637F8" w:rsidRPr="003C12C1">
              <w:rPr>
                <w:rFonts w:asciiTheme="minorHAnsi" w:hAnsiTheme="minorHAnsi" w:cstheme="minorHAnsi"/>
                <w:sz w:val="23"/>
                <w:szCs w:val="23"/>
              </w:rPr>
              <w:t xml:space="preserve"> Development and</w:t>
            </w:r>
            <w:r w:rsidR="00CA4EDA" w:rsidRPr="003C12C1">
              <w:rPr>
                <w:rFonts w:asciiTheme="minorHAnsi" w:hAnsiTheme="minorHAnsi" w:cstheme="minorHAnsi"/>
                <w:sz w:val="23"/>
                <w:szCs w:val="23"/>
              </w:rPr>
              <w:t xml:space="preserve"> Implementation of Cybersecurity Education Program” with an aim of providing support to Member States in developing/adopting cybersecurity courses for youth in primary, secondary, university, and adult professional education systems </w:t>
            </w:r>
            <w:proofErr w:type="gramStart"/>
            <w:r w:rsidR="00CA4EDA" w:rsidRPr="003C12C1">
              <w:rPr>
                <w:rFonts w:asciiTheme="minorHAnsi" w:hAnsiTheme="minorHAnsi" w:cstheme="minorHAnsi"/>
                <w:sz w:val="23"/>
                <w:szCs w:val="23"/>
              </w:rPr>
              <w:t>in order to</w:t>
            </w:r>
            <w:proofErr w:type="gramEnd"/>
            <w:r w:rsidR="00CA4EDA" w:rsidRPr="003C12C1">
              <w:rPr>
                <w:rFonts w:asciiTheme="minorHAnsi" w:hAnsiTheme="minorHAnsi" w:cstheme="minorHAnsi"/>
                <w:sz w:val="23"/>
                <w:szCs w:val="23"/>
              </w:rPr>
              <w:t xml:space="preserve"> contribute to training more cybersecurity professionals globally</w:t>
            </w:r>
            <w:r w:rsidR="00336440" w:rsidRPr="003C12C1">
              <w:rPr>
                <w:rFonts w:asciiTheme="minorHAnsi" w:hAnsiTheme="minorHAnsi" w:cstheme="minorHAnsi"/>
                <w:sz w:val="23"/>
                <w:szCs w:val="23"/>
              </w:rPr>
              <w:t xml:space="preserve"> and to raise cybersecurity awareness in all disciplines and among all future professionals.</w:t>
            </w:r>
          </w:p>
          <w:p w14:paraId="446D2EBC"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j</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 xml:space="preserve">Continue to facilitate identification of cybersecurity-related research activities or dialogues among different stakeholders, especially in emerging technology areas, leveraging ITU’s academic </w:t>
            </w:r>
            <w:r w:rsidR="005637F8" w:rsidRPr="003C12C1">
              <w:rPr>
                <w:rFonts w:asciiTheme="minorHAnsi" w:hAnsiTheme="minorHAnsi" w:cstheme="minorHAnsi"/>
                <w:sz w:val="23"/>
                <w:szCs w:val="23"/>
              </w:rPr>
              <w:t xml:space="preserve">and private sector </w:t>
            </w:r>
            <w:r w:rsidR="00CA4EDA" w:rsidRPr="003C12C1">
              <w:rPr>
                <w:rFonts w:asciiTheme="minorHAnsi" w:hAnsiTheme="minorHAnsi" w:cstheme="minorHAnsi"/>
                <w:sz w:val="23"/>
                <w:szCs w:val="23"/>
              </w:rPr>
              <w:t>membership as has been done, for example, through ITU’s annual Artificial Intelligence for Good Global Summit.</w:t>
            </w:r>
          </w:p>
          <w:p w14:paraId="2BA6C641"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k</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 xml:space="preserve">Disseminate tools, resources and good practices to Member States, industry, and other stakeholders with an aim to support their efforts in building the capacity of MSMEs to address security </w:t>
            </w:r>
            <w:proofErr w:type="gramStart"/>
            <w:r w:rsidR="00CA4EDA" w:rsidRPr="003C12C1">
              <w:rPr>
                <w:rFonts w:asciiTheme="minorHAnsi" w:hAnsiTheme="minorHAnsi" w:cstheme="minorHAnsi"/>
                <w:sz w:val="23"/>
                <w:szCs w:val="23"/>
              </w:rPr>
              <w:t>challenges, and</w:t>
            </w:r>
            <w:proofErr w:type="gramEnd"/>
            <w:r w:rsidR="00CA4EDA" w:rsidRPr="003C12C1">
              <w:rPr>
                <w:rFonts w:asciiTheme="minorHAnsi" w:hAnsiTheme="minorHAnsi" w:cstheme="minorHAnsi"/>
                <w:sz w:val="23"/>
                <w:szCs w:val="23"/>
              </w:rPr>
              <w:t xml:space="preserve"> build trust and confidence in </w:t>
            </w:r>
            <w:r w:rsidR="005637F8" w:rsidRPr="003C12C1">
              <w:rPr>
                <w:rFonts w:asciiTheme="minorHAnsi" w:hAnsiTheme="minorHAnsi" w:cstheme="minorHAnsi"/>
                <w:sz w:val="23"/>
                <w:szCs w:val="23"/>
              </w:rPr>
              <w:t xml:space="preserve">the </w:t>
            </w:r>
            <w:r w:rsidR="00CA4EDA" w:rsidRPr="003C12C1">
              <w:rPr>
                <w:rFonts w:asciiTheme="minorHAnsi" w:hAnsiTheme="minorHAnsi" w:cstheme="minorHAnsi"/>
                <w:sz w:val="23"/>
                <w:szCs w:val="23"/>
              </w:rPr>
              <w:t>use of ICTs.</w:t>
            </w:r>
          </w:p>
          <w:p w14:paraId="38106AEE" w14:textId="77777777" w:rsidR="00CA4EDA" w:rsidRPr="003C12C1" w:rsidRDefault="00814829" w:rsidP="00CA4E01">
            <w:pPr>
              <w:widowControl w:val="0"/>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 w:val="23"/>
                <w:szCs w:val="23"/>
              </w:rPr>
            </w:pPr>
            <w:r w:rsidRPr="003C12C1">
              <w:rPr>
                <w:rFonts w:asciiTheme="minorHAnsi" w:hAnsiTheme="minorHAnsi" w:cstheme="minorHAnsi"/>
                <w:b/>
                <w:bCs/>
                <w:sz w:val="23"/>
                <w:szCs w:val="23"/>
              </w:rPr>
              <w:t>l</w:t>
            </w:r>
            <w:r w:rsidR="00CA4EDA" w:rsidRPr="003C12C1">
              <w:rPr>
                <w:rFonts w:asciiTheme="minorHAnsi" w:hAnsiTheme="minorHAnsi" w:cstheme="minorHAnsi"/>
                <w:b/>
                <w:bCs/>
                <w:sz w:val="23"/>
                <w:szCs w:val="23"/>
              </w:rPr>
              <w:t>.</w:t>
            </w:r>
            <w:r w:rsidR="00CA4EDA" w:rsidRPr="003C12C1">
              <w:rPr>
                <w:rFonts w:asciiTheme="minorHAnsi" w:hAnsiTheme="minorHAnsi" w:cstheme="minorHAnsi"/>
                <w:sz w:val="23"/>
                <w:szCs w:val="23"/>
              </w:rPr>
              <w:tab/>
              <w:t>Continue to promote a culture of cybersecurity.</w:t>
            </w:r>
          </w:p>
        </w:tc>
      </w:tr>
    </w:tbl>
    <w:p w14:paraId="35D78F16" w14:textId="77777777" w:rsidR="00CA4EDA" w:rsidRPr="00CA4E01" w:rsidRDefault="00CA4EDA" w:rsidP="00D2656A">
      <w:pPr>
        <w:pStyle w:val="Heading1"/>
        <w:spacing w:before="600" w:after="120"/>
        <w:rPr>
          <w:rFonts w:asciiTheme="minorHAnsi" w:hAnsiTheme="minorHAnsi" w:cstheme="minorHAnsi"/>
          <w:bCs/>
          <w:color w:val="365F91" w:themeColor="accent1" w:themeShade="BF"/>
          <w:sz w:val="24"/>
          <w:szCs w:val="24"/>
        </w:rPr>
      </w:pPr>
      <w:bookmarkStart w:id="32" w:name="_Toc37331417"/>
      <w:r w:rsidRPr="00CA4E01">
        <w:rPr>
          <w:rFonts w:asciiTheme="minorHAnsi" w:hAnsiTheme="minorHAnsi" w:cstheme="minorHAnsi"/>
          <w:bCs/>
          <w:color w:val="365F91" w:themeColor="accent1" w:themeShade="BF"/>
          <w:sz w:val="24"/>
          <w:szCs w:val="24"/>
        </w:rPr>
        <w:lastRenderedPageBreak/>
        <w:t>Section 6</w:t>
      </w:r>
      <w:r w:rsidRPr="00CA4E01">
        <w:rPr>
          <w:rFonts w:asciiTheme="minorHAnsi" w:hAnsiTheme="minorHAnsi" w:cstheme="minorHAnsi"/>
          <w:bCs/>
          <w:color w:val="365F91" w:themeColor="accent1" w:themeShade="BF"/>
          <w:sz w:val="24"/>
          <w:szCs w:val="24"/>
        </w:rPr>
        <w:tab/>
        <w:t>Pillar 5: International Cooperation</w:t>
      </w:r>
      <w:bookmarkEnd w:id="32"/>
      <w:r w:rsidRPr="00CA4E01">
        <w:rPr>
          <w:rFonts w:asciiTheme="minorHAnsi" w:hAnsiTheme="minorHAnsi" w:cstheme="minorHAnsi"/>
          <w:bCs/>
          <w:color w:val="365F91" w:themeColor="accent1" w:themeShade="BF"/>
          <w:sz w:val="24"/>
          <w:szCs w:val="24"/>
        </w:rPr>
        <w:t xml:space="preserve"> </w:t>
      </w:r>
    </w:p>
    <w:p w14:paraId="72182C83" w14:textId="77777777" w:rsidR="00CA4EDA" w:rsidRPr="00CA4E01" w:rsidRDefault="00CA4EDA" w:rsidP="003C12C1">
      <w:pPr>
        <w:pStyle w:val="Heading2"/>
        <w:spacing w:before="240" w:after="120"/>
        <w:rPr>
          <w:rFonts w:asciiTheme="minorHAnsi" w:hAnsiTheme="minorHAnsi" w:cstheme="minorHAnsi"/>
          <w:color w:val="365F91" w:themeColor="accent1" w:themeShade="BF"/>
          <w:szCs w:val="24"/>
        </w:rPr>
      </w:pPr>
      <w:bookmarkStart w:id="33" w:name="_Toc37331418"/>
      <w:r w:rsidRPr="00CA4E01">
        <w:rPr>
          <w:rFonts w:asciiTheme="minorHAnsi" w:hAnsiTheme="minorHAnsi" w:cstheme="minorHAnsi"/>
          <w:color w:val="365F91" w:themeColor="accent1" w:themeShade="BF"/>
          <w:szCs w:val="24"/>
        </w:rPr>
        <w:t>Introduction</w:t>
      </w:r>
      <w:bookmarkEnd w:id="33"/>
    </w:p>
    <w:p w14:paraId="247099E6" w14:textId="77777777" w:rsidR="00CA4EDA" w:rsidRPr="00CA4E01" w:rsidRDefault="00CA4EDA" w:rsidP="00CA4E01">
      <w:pPr>
        <w:spacing w:after="120"/>
        <w:jc w:val="both"/>
        <w:rPr>
          <w:rFonts w:asciiTheme="minorHAnsi" w:hAnsiTheme="minorHAnsi" w:cstheme="minorHAnsi"/>
          <w:b/>
          <w:bCs/>
          <w:szCs w:val="24"/>
        </w:rPr>
      </w:pPr>
      <w:r w:rsidRPr="00CA4E01">
        <w:rPr>
          <w:rFonts w:asciiTheme="minorHAnsi" w:hAnsiTheme="minorHAnsi" w:cstheme="minorHAnsi"/>
          <w:b/>
          <w:bCs/>
          <w:szCs w:val="24"/>
        </w:rPr>
        <w:t>6.1</w:t>
      </w:r>
      <w:r w:rsidRPr="00CA4E01">
        <w:rPr>
          <w:rFonts w:asciiTheme="minorHAnsi" w:hAnsiTheme="minorHAnsi" w:cstheme="minorHAnsi"/>
          <w:szCs w:val="24"/>
        </w:rPr>
        <w:tab/>
        <w:t xml:space="preserve">It is clear from the past decade that no single entity or organization alone can address the whole range of current and emerging cybersecurity challenges. These challenges can be addressed through partnerships involving close collaboration and coordination among all stakeholders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help build a universally available, open, secure, and trustworthy ICT ecosystem.</w:t>
      </w:r>
    </w:p>
    <w:p w14:paraId="0ECCCD39" w14:textId="77777777" w:rsidR="00CA4EDA" w:rsidRPr="00CA4E01" w:rsidRDefault="00CA4EDA" w:rsidP="00CA4E01">
      <w:pPr>
        <w:spacing w:after="120"/>
        <w:jc w:val="both"/>
        <w:rPr>
          <w:rFonts w:asciiTheme="minorHAnsi" w:hAnsiTheme="minorHAnsi" w:cstheme="minorHAnsi"/>
          <w:szCs w:val="24"/>
        </w:rPr>
      </w:pPr>
      <w:r w:rsidRPr="00CA4E01">
        <w:rPr>
          <w:rFonts w:asciiTheme="minorHAnsi" w:hAnsiTheme="minorHAnsi" w:cstheme="minorHAnsi"/>
          <w:b/>
          <w:bCs/>
          <w:szCs w:val="24"/>
        </w:rPr>
        <w:t>6.2</w:t>
      </w:r>
      <w:r w:rsidRPr="00CA4E01">
        <w:rPr>
          <w:rFonts w:asciiTheme="minorHAnsi" w:hAnsiTheme="minorHAnsi" w:cstheme="minorHAnsi"/>
          <w:szCs w:val="24"/>
        </w:rPr>
        <w:tab/>
        <w:t>Pillar 5 on International Cooperation therefore is a cross-cutting pillar of the GCA – forming the foundation of every aspect of building trust, confidence, and security in the use of ICTs. In the HLEG Report 2008, this Pillar sought to develop a strategy for international cooperation, dialogue, and coordination in dealing with cyber threats.</w:t>
      </w:r>
    </w:p>
    <w:p w14:paraId="61E9ADD1" w14:textId="2654316C" w:rsidR="00CA4EDA" w:rsidRPr="00CA4E01" w:rsidRDefault="00CA4EDA" w:rsidP="00CA4E01">
      <w:pPr>
        <w:pStyle w:val="Heading2"/>
        <w:spacing w:before="120" w:after="120"/>
        <w:rPr>
          <w:rFonts w:asciiTheme="minorHAnsi" w:hAnsiTheme="minorHAnsi" w:cstheme="minorHAnsi"/>
          <w:szCs w:val="24"/>
        </w:rPr>
      </w:pPr>
      <w:bookmarkStart w:id="34" w:name="_Toc37331419"/>
      <w:r w:rsidRPr="00CA4E01">
        <w:rPr>
          <w:rFonts w:asciiTheme="minorHAnsi" w:hAnsiTheme="minorHAnsi" w:cstheme="minorHAnsi"/>
          <w:color w:val="365F91" w:themeColor="accent1" w:themeShade="BF"/>
          <w:szCs w:val="24"/>
          <w:lang w:val="en-US"/>
        </w:rPr>
        <w:lastRenderedPageBreak/>
        <w:t xml:space="preserve">Evolution of the International </w:t>
      </w:r>
      <w:r w:rsidR="00C63CA4" w:rsidRPr="00CA4E01">
        <w:rPr>
          <w:rFonts w:asciiTheme="minorHAnsi" w:hAnsiTheme="minorHAnsi" w:cstheme="minorHAnsi"/>
          <w:color w:val="365F91" w:themeColor="accent1" w:themeShade="BF"/>
          <w:szCs w:val="24"/>
          <w:lang w:val="en-US"/>
        </w:rPr>
        <w:t>C</w:t>
      </w:r>
      <w:r w:rsidRPr="00CA4E01">
        <w:rPr>
          <w:rFonts w:asciiTheme="minorHAnsi" w:hAnsiTheme="minorHAnsi" w:cstheme="minorHAnsi"/>
          <w:color w:val="365F91" w:themeColor="accent1" w:themeShade="BF"/>
          <w:szCs w:val="24"/>
          <w:lang w:val="en-US"/>
        </w:rPr>
        <w:t xml:space="preserve">ooperation </w:t>
      </w:r>
      <w:r w:rsidR="00C63CA4" w:rsidRPr="00CA4E01">
        <w:rPr>
          <w:rFonts w:asciiTheme="minorHAnsi" w:hAnsiTheme="minorHAnsi" w:cstheme="minorHAnsi"/>
          <w:color w:val="365F91" w:themeColor="accent1" w:themeShade="BF"/>
          <w:szCs w:val="24"/>
          <w:lang w:val="en-US"/>
        </w:rPr>
        <w:t>L</w:t>
      </w:r>
      <w:r w:rsidRPr="00CA4E01">
        <w:rPr>
          <w:rFonts w:asciiTheme="minorHAnsi" w:hAnsiTheme="minorHAnsi" w:cstheme="minorHAnsi"/>
          <w:color w:val="365F91" w:themeColor="accent1" w:themeShade="BF"/>
          <w:szCs w:val="24"/>
          <w:lang w:val="en-US"/>
        </w:rPr>
        <w:t xml:space="preserve">andscape </w:t>
      </w:r>
      <w:r w:rsidR="00C63CA4" w:rsidRPr="00CA4E01">
        <w:rPr>
          <w:rFonts w:asciiTheme="minorHAnsi" w:hAnsiTheme="minorHAnsi" w:cstheme="minorHAnsi"/>
          <w:color w:val="365F91" w:themeColor="accent1" w:themeShade="BF"/>
          <w:szCs w:val="24"/>
          <w:lang w:val="en-US"/>
        </w:rPr>
        <w:t>S</w:t>
      </w:r>
      <w:r w:rsidRPr="00CA4E01">
        <w:rPr>
          <w:rFonts w:asciiTheme="minorHAnsi" w:hAnsiTheme="minorHAnsi" w:cstheme="minorHAnsi"/>
          <w:color w:val="365F91" w:themeColor="accent1" w:themeShade="BF"/>
          <w:szCs w:val="24"/>
          <w:lang w:val="en-US"/>
        </w:rPr>
        <w:t>ince 2008</w:t>
      </w:r>
      <w:bookmarkEnd w:id="34"/>
    </w:p>
    <w:p w14:paraId="5CBE07E9" w14:textId="77777777" w:rsidR="00CA4EDA" w:rsidRPr="00CA4E01" w:rsidRDefault="00CA4EDA" w:rsidP="00CA4E01">
      <w:pPr>
        <w:spacing w:after="120"/>
        <w:rPr>
          <w:rFonts w:asciiTheme="minorHAnsi" w:hAnsiTheme="minorHAnsi" w:cstheme="minorHAnsi"/>
          <w:b/>
          <w:bCs/>
          <w:szCs w:val="24"/>
        </w:rPr>
      </w:pPr>
      <w:r w:rsidRPr="00CA4E01">
        <w:rPr>
          <w:rFonts w:asciiTheme="minorHAnsi" w:hAnsiTheme="minorHAnsi" w:cstheme="minorHAnsi"/>
          <w:b/>
          <w:bCs/>
          <w:szCs w:val="24"/>
        </w:rPr>
        <w:t>Global High-level Dialogues</w:t>
      </w:r>
    </w:p>
    <w:p w14:paraId="01425F73" w14:textId="77777777" w:rsidR="00CA4EDA" w:rsidRPr="00CA4E01" w:rsidRDefault="00CA4EDA" w:rsidP="00CA4E01">
      <w:pPr>
        <w:spacing w:after="120"/>
        <w:jc w:val="both"/>
        <w:rPr>
          <w:rFonts w:asciiTheme="minorHAnsi" w:hAnsiTheme="minorHAnsi" w:cstheme="minorHAnsi"/>
          <w:szCs w:val="24"/>
          <w:lang w:val="en-US"/>
        </w:rPr>
      </w:pPr>
      <w:r w:rsidRPr="00CA4E01">
        <w:rPr>
          <w:rFonts w:asciiTheme="minorHAnsi" w:hAnsiTheme="minorHAnsi" w:cstheme="minorHAnsi"/>
          <w:b/>
          <w:bCs/>
          <w:szCs w:val="24"/>
          <w:lang w:val="en-US"/>
        </w:rPr>
        <w:t>6.3</w:t>
      </w:r>
      <w:r w:rsidRPr="00CA4E01">
        <w:rPr>
          <w:rFonts w:asciiTheme="minorHAnsi" w:hAnsiTheme="minorHAnsi" w:cstheme="minorHAnsi"/>
          <w:szCs w:val="24"/>
          <w:lang w:val="en-US"/>
        </w:rPr>
        <w:tab/>
        <w:t xml:space="preserve">Discussions on various aspects of cybersecurity—including technical aspects, cybercrime, privacy, data protection, and others—are spread across many forums and processes. Some of these have been hosted by various UN agencies, including the ITU or other international organizations, and others have been initiated by other stakeholders as well as various other international and regional forums. </w:t>
      </w:r>
    </w:p>
    <w:p w14:paraId="6A545E2C" w14:textId="77777777" w:rsidR="00CA4EDA" w:rsidRPr="00CA4E01" w:rsidRDefault="00CA4EDA" w:rsidP="00CA4E01">
      <w:pPr>
        <w:pStyle w:val="ListParagraph"/>
        <w:spacing w:after="120"/>
        <w:ind w:left="0"/>
        <w:contextualSpacing w:val="0"/>
        <w:jc w:val="both"/>
        <w:rPr>
          <w:rFonts w:asciiTheme="minorHAnsi" w:hAnsiTheme="minorHAnsi" w:cstheme="minorHAnsi"/>
          <w:szCs w:val="24"/>
          <w:lang w:val="en-US"/>
        </w:rPr>
      </w:pPr>
      <w:r w:rsidRPr="00CA4E01">
        <w:rPr>
          <w:rFonts w:asciiTheme="minorHAnsi" w:hAnsiTheme="minorHAnsi" w:cstheme="minorHAnsi"/>
          <w:b/>
          <w:bCs/>
          <w:szCs w:val="24"/>
          <w:lang w:val="en-US"/>
        </w:rPr>
        <w:t>6.4</w:t>
      </w:r>
      <w:r w:rsidRPr="00CA4E01">
        <w:rPr>
          <w:rFonts w:asciiTheme="minorHAnsi" w:hAnsiTheme="minorHAnsi" w:cstheme="minorHAnsi"/>
          <w:szCs w:val="24"/>
          <w:lang w:val="en-US"/>
        </w:rPr>
        <w:tab/>
        <w:t>While all the forums and processes are doing a good job of raising awareness and improving understanding, it is important to identify synergies among these various efforts so that the international community can come together and find solutions.</w:t>
      </w:r>
    </w:p>
    <w:p w14:paraId="41AD9BF2" w14:textId="77777777" w:rsidR="00CA4EDA" w:rsidRPr="00CA4E01" w:rsidRDefault="00CA4EDA" w:rsidP="00CA4E01">
      <w:pPr>
        <w:spacing w:after="120"/>
        <w:jc w:val="both"/>
        <w:rPr>
          <w:rFonts w:asciiTheme="minorHAnsi" w:hAnsiTheme="minorHAnsi" w:cstheme="minorHAnsi"/>
          <w:i/>
          <w:iCs/>
          <w:szCs w:val="24"/>
        </w:rPr>
      </w:pPr>
      <w:r w:rsidRPr="00CA4E01">
        <w:rPr>
          <w:rFonts w:asciiTheme="minorHAnsi" w:hAnsiTheme="minorHAnsi" w:cstheme="minorHAnsi"/>
          <w:b/>
          <w:bCs/>
          <w:szCs w:val="24"/>
        </w:rPr>
        <w:t>6.5</w:t>
      </w:r>
      <w:r w:rsidRPr="00CA4E01">
        <w:rPr>
          <w:rFonts w:asciiTheme="minorHAnsi" w:hAnsiTheme="minorHAnsi" w:cstheme="minorHAnsi"/>
          <w:szCs w:val="24"/>
        </w:rPr>
        <w:tab/>
        <w:t xml:space="preserve">The United Nations platform, with its significant convening capacity, is well positioned to foster cooperation, dialogues, and coordination at the international level </w:t>
      </w:r>
      <w:r w:rsidRPr="00CA4E01">
        <w:rPr>
          <w:rFonts w:asciiTheme="minorHAnsi" w:hAnsiTheme="minorHAnsi" w:cstheme="minorHAnsi"/>
          <w:szCs w:val="24"/>
          <w:lang w:val="en-US"/>
        </w:rPr>
        <w:t>among stakeholders from all nations</w:t>
      </w:r>
      <w:r w:rsidRPr="00CA4E01">
        <w:rPr>
          <w:rFonts w:asciiTheme="minorHAnsi" w:hAnsiTheme="minorHAnsi" w:cstheme="minorHAnsi"/>
          <w:szCs w:val="24"/>
        </w:rPr>
        <w:t xml:space="preserve"> on addressing challenges related to cyberspace. As highlighted in the HLEG Report 2008, ITU, considering its position in the UN system as the specialized agency for ICTs, can continue to play a</w:t>
      </w:r>
      <w:r w:rsidR="005637F8" w:rsidRPr="00CA4E01">
        <w:rPr>
          <w:rFonts w:asciiTheme="minorHAnsi" w:hAnsiTheme="minorHAnsi" w:cstheme="minorHAnsi"/>
          <w:szCs w:val="24"/>
        </w:rPr>
        <w:t xml:space="preserve">n important </w:t>
      </w:r>
      <w:r w:rsidRPr="00CA4E01">
        <w:rPr>
          <w:rFonts w:asciiTheme="minorHAnsi" w:hAnsiTheme="minorHAnsi" w:cstheme="minorHAnsi"/>
          <w:szCs w:val="24"/>
        </w:rPr>
        <w:t>role, within its mandate, in related</w:t>
      </w:r>
      <w:r w:rsidR="00F87772" w:rsidRPr="00CA4E01">
        <w:rPr>
          <w:rFonts w:asciiTheme="minorHAnsi" w:hAnsiTheme="minorHAnsi" w:cstheme="minorHAnsi"/>
          <w:szCs w:val="24"/>
        </w:rPr>
        <w:t xml:space="preserve"> fields of</w:t>
      </w:r>
      <w:r w:rsidRPr="00CA4E01">
        <w:rPr>
          <w:rFonts w:asciiTheme="minorHAnsi" w:hAnsiTheme="minorHAnsi" w:cstheme="minorHAnsi"/>
          <w:szCs w:val="24"/>
        </w:rPr>
        <w:t xml:space="preserve"> developments. </w:t>
      </w:r>
    </w:p>
    <w:p w14:paraId="3C446FAD" w14:textId="77777777" w:rsidR="00CA4EDA" w:rsidRPr="00CA4E01" w:rsidRDefault="00CA4EDA" w:rsidP="00CA4E01">
      <w:pPr>
        <w:pStyle w:val="ListParagraph"/>
        <w:spacing w:after="120"/>
        <w:ind w:left="0"/>
        <w:contextualSpacing w:val="0"/>
        <w:jc w:val="both"/>
        <w:rPr>
          <w:rFonts w:asciiTheme="minorHAnsi" w:hAnsiTheme="minorHAnsi" w:cstheme="minorHAnsi"/>
          <w:szCs w:val="24"/>
          <w:lang w:val="en-US"/>
        </w:rPr>
      </w:pPr>
      <w:r w:rsidRPr="00CA4E01">
        <w:rPr>
          <w:rFonts w:asciiTheme="minorHAnsi" w:hAnsiTheme="minorHAnsi" w:cstheme="minorHAnsi"/>
          <w:b/>
          <w:bCs/>
          <w:szCs w:val="24"/>
          <w:lang w:val="en-US"/>
        </w:rPr>
        <w:t>6.6</w:t>
      </w:r>
      <w:r w:rsidRPr="00CA4E01">
        <w:rPr>
          <w:rFonts w:asciiTheme="minorHAnsi" w:hAnsiTheme="minorHAnsi" w:cstheme="minorHAnsi"/>
          <w:szCs w:val="24"/>
          <w:lang w:val="en-US"/>
        </w:rPr>
        <w:tab/>
      </w:r>
      <w:r w:rsidRPr="003C12C1">
        <w:rPr>
          <w:rFonts w:asciiTheme="minorHAnsi" w:hAnsiTheme="minorHAnsi" w:cstheme="minorHAnsi"/>
          <w:spacing w:val="-4"/>
          <w:szCs w:val="24"/>
          <w:lang w:val="en-US"/>
        </w:rPr>
        <w:t>While a “Global Conference” was suggested in Recommendation 1.15 of the HLEG Report 2008</w:t>
      </w:r>
      <w:r w:rsidRPr="003C12C1">
        <w:rPr>
          <w:rStyle w:val="FootnoteReference"/>
          <w:rFonts w:asciiTheme="minorHAnsi" w:hAnsiTheme="minorHAnsi" w:cstheme="minorHAnsi"/>
          <w:spacing w:val="-4"/>
          <w:sz w:val="24"/>
          <w:szCs w:val="24"/>
          <w:vertAlign w:val="superscript"/>
          <w:lang w:val="en-US"/>
        </w:rPr>
        <w:footnoteReference w:id="31"/>
      </w:r>
      <w:r w:rsidRPr="003C12C1">
        <w:rPr>
          <w:rFonts w:asciiTheme="minorHAnsi" w:hAnsiTheme="minorHAnsi" w:cstheme="minorHAnsi"/>
          <w:spacing w:val="-4"/>
          <w:szCs w:val="24"/>
          <w:lang w:val="en-US"/>
        </w:rPr>
        <w:t>,</w:t>
      </w:r>
      <w:r w:rsidRPr="00CA4E01">
        <w:rPr>
          <w:rFonts w:asciiTheme="minorHAnsi" w:hAnsiTheme="minorHAnsi" w:cstheme="minorHAnsi"/>
          <w:szCs w:val="24"/>
          <w:lang w:val="en-US"/>
        </w:rPr>
        <w:t xml:space="preserve"> current conferences, forums, and processes that have emerged from the WSIS process and strengthened subsequently—the </w:t>
      </w:r>
      <w:hyperlink r:id="rId48" w:history="1">
        <w:r w:rsidRPr="00CA4E01">
          <w:rPr>
            <w:rStyle w:val="Hyperlink"/>
            <w:rFonts w:asciiTheme="minorHAnsi" w:hAnsiTheme="minorHAnsi" w:cstheme="minorHAnsi"/>
            <w:szCs w:val="24"/>
            <w:lang w:val="en-US"/>
          </w:rPr>
          <w:t>WSIS Forum</w:t>
        </w:r>
      </w:hyperlink>
      <w:r w:rsidRPr="00CA4E01">
        <w:rPr>
          <w:rFonts w:asciiTheme="minorHAnsi" w:hAnsiTheme="minorHAnsi" w:cstheme="minorHAnsi"/>
          <w:szCs w:val="24"/>
          <w:lang w:val="en-US"/>
        </w:rPr>
        <w:t xml:space="preserve"> for development matters and the </w:t>
      </w:r>
      <w:hyperlink r:id="rId49" w:history="1">
        <w:r w:rsidRPr="00CA4E01">
          <w:rPr>
            <w:rStyle w:val="Hyperlink"/>
            <w:rFonts w:asciiTheme="minorHAnsi" w:hAnsiTheme="minorHAnsi" w:cstheme="minorHAnsi"/>
            <w:szCs w:val="24"/>
            <w:lang w:val="en-US"/>
          </w:rPr>
          <w:t>IGF</w:t>
        </w:r>
      </w:hyperlink>
      <w:r w:rsidRPr="00CA4E01">
        <w:rPr>
          <w:rFonts w:asciiTheme="minorHAnsi" w:hAnsiTheme="minorHAnsi" w:cstheme="minorHAnsi"/>
          <w:szCs w:val="24"/>
          <w:lang w:val="en-US"/>
        </w:rPr>
        <w:t xml:space="preserve"> for governance matters—could also be better leveraged for the same. The WSIS Forum, the largest annual gathering of the ICT4D community, offers several mechanisms to bring together the global community to discuss and identify concrete solutions for the development challenges concerning building confidence and security in the use of ICTs (Action Line C5), including, among others, the Action Line Facilitator’s track, High Level Dialogues, and targeted stakeholder sessions.</w:t>
      </w:r>
    </w:p>
    <w:p w14:paraId="287D14BE" w14:textId="35295D7A" w:rsidR="00CA4EDA" w:rsidRPr="00CA4E01" w:rsidRDefault="00CA4EDA" w:rsidP="00CA4E01">
      <w:pPr>
        <w:spacing w:after="120"/>
        <w:jc w:val="both"/>
        <w:rPr>
          <w:rFonts w:asciiTheme="minorHAnsi" w:hAnsiTheme="minorHAnsi" w:cstheme="minorHAnsi"/>
          <w:bCs/>
          <w:iCs/>
          <w:szCs w:val="24"/>
          <w:lang w:val="en-US"/>
        </w:rPr>
      </w:pPr>
      <w:r w:rsidRPr="00CA4E01">
        <w:rPr>
          <w:rFonts w:asciiTheme="minorHAnsi" w:hAnsiTheme="minorHAnsi" w:cstheme="minorHAnsi"/>
          <w:b/>
          <w:bCs/>
          <w:szCs w:val="24"/>
          <w:lang w:val="en-US"/>
        </w:rPr>
        <w:t>6.7</w:t>
      </w:r>
      <w:r w:rsidRPr="00CA4E01">
        <w:rPr>
          <w:rFonts w:asciiTheme="minorHAnsi" w:hAnsiTheme="minorHAnsi" w:cstheme="minorHAnsi"/>
          <w:i/>
          <w:iCs/>
          <w:szCs w:val="24"/>
          <w:lang w:val="en-US"/>
        </w:rPr>
        <w:tab/>
      </w:r>
      <w:r w:rsidRPr="00CA4E01">
        <w:rPr>
          <w:rFonts w:asciiTheme="minorHAnsi" w:hAnsiTheme="minorHAnsi" w:cstheme="minorHAnsi"/>
          <w:bCs/>
          <w:iCs/>
          <w:szCs w:val="24"/>
          <w:lang w:val="en-US"/>
        </w:rPr>
        <w:t>An important development in the past decade has been the recognition of the critical importance of cybersecurity at the highest political levels of national governments. This is reflected in the adoption, by many countries, of a</w:t>
      </w:r>
      <w:r w:rsidR="00F841FE" w:rsidRPr="00CA4E01">
        <w:rPr>
          <w:rFonts w:asciiTheme="minorHAnsi" w:hAnsiTheme="minorHAnsi" w:cstheme="minorHAnsi"/>
          <w:bCs/>
          <w:iCs/>
          <w:szCs w:val="24"/>
          <w:lang w:val="en-US"/>
        </w:rPr>
        <w:t xml:space="preserve"> strategy for digital transformation that adopts a</w:t>
      </w:r>
      <w:r w:rsidRPr="00CA4E01">
        <w:rPr>
          <w:rFonts w:asciiTheme="minorHAnsi" w:hAnsiTheme="minorHAnsi" w:cstheme="minorHAnsi"/>
          <w:bCs/>
          <w:iCs/>
          <w:szCs w:val="24"/>
          <w:lang w:val="en-US"/>
        </w:rPr>
        <w:t xml:space="preserve"> whole-of-government approach </w:t>
      </w:r>
      <w:r w:rsidR="00F841FE" w:rsidRPr="00CA4E01">
        <w:rPr>
          <w:rFonts w:asciiTheme="minorHAnsi" w:hAnsiTheme="minorHAnsi" w:cstheme="minorHAnsi"/>
          <w:bCs/>
          <w:iCs/>
          <w:szCs w:val="24"/>
          <w:lang w:val="en-US"/>
        </w:rPr>
        <w:t xml:space="preserve">and creates </w:t>
      </w:r>
      <w:r w:rsidRPr="00CA4E01">
        <w:rPr>
          <w:rFonts w:asciiTheme="minorHAnsi" w:hAnsiTheme="minorHAnsi" w:cstheme="minorHAnsi"/>
          <w:bCs/>
          <w:iCs/>
          <w:szCs w:val="24"/>
          <w:lang w:val="en-US"/>
        </w:rPr>
        <w:t>cross-sectoral central coordination mechanisms that usually report directly to Heads of States or governments.</w:t>
      </w:r>
    </w:p>
    <w:p w14:paraId="61918F25" w14:textId="77777777" w:rsidR="00CA4EDA" w:rsidRPr="00CA4E01" w:rsidRDefault="00CA4EDA" w:rsidP="00CA4E01">
      <w:pPr>
        <w:spacing w:after="120"/>
        <w:jc w:val="both"/>
        <w:rPr>
          <w:rFonts w:asciiTheme="minorHAnsi" w:hAnsiTheme="minorHAnsi" w:cstheme="minorHAnsi"/>
          <w:b/>
          <w:iCs/>
          <w:szCs w:val="24"/>
          <w:lang w:val="en-US"/>
        </w:rPr>
      </w:pPr>
      <w:r w:rsidRPr="00CA4E01">
        <w:rPr>
          <w:rFonts w:asciiTheme="minorHAnsi" w:hAnsiTheme="minorHAnsi" w:cstheme="minorHAnsi"/>
          <w:b/>
          <w:iCs/>
          <w:szCs w:val="24"/>
          <w:lang w:val="en-US"/>
        </w:rPr>
        <w:t>6.8</w:t>
      </w:r>
      <w:r w:rsidRPr="00CA4E01">
        <w:rPr>
          <w:rFonts w:asciiTheme="minorHAnsi" w:hAnsiTheme="minorHAnsi" w:cstheme="minorHAnsi"/>
          <w:bCs/>
          <w:iCs/>
          <w:szCs w:val="24"/>
          <w:lang w:val="en-US"/>
        </w:rPr>
        <w:tab/>
        <w:t>Another related development has been the significant number of bilateral discussions taking place among technologically advanced countries and regions</w:t>
      </w:r>
      <w:r w:rsidRPr="00CA4E01">
        <w:rPr>
          <w:rFonts w:asciiTheme="minorHAnsi" w:hAnsiTheme="minorHAnsi" w:cstheme="minorHAnsi"/>
          <w:szCs w:val="24"/>
          <w:lang w:val="en-US"/>
        </w:rPr>
        <w:t xml:space="preserve">. </w:t>
      </w:r>
    </w:p>
    <w:p w14:paraId="282D5B48" w14:textId="77777777" w:rsidR="00CA4EDA" w:rsidRPr="00CA4E01" w:rsidRDefault="00CA4EDA" w:rsidP="00FA792E">
      <w:pPr>
        <w:spacing w:before="240" w:after="120"/>
        <w:rPr>
          <w:rFonts w:asciiTheme="minorHAnsi" w:hAnsiTheme="minorHAnsi" w:cstheme="minorHAnsi"/>
          <w:b/>
          <w:bCs/>
          <w:szCs w:val="24"/>
        </w:rPr>
      </w:pPr>
      <w:r w:rsidRPr="00CA4E01">
        <w:rPr>
          <w:rFonts w:asciiTheme="minorHAnsi" w:hAnsiTheme="minorHAnsi" w:cstheme="minorHAnsi"/>
          <w:b/>
          <w:bCs/>
          <w:szCs w:val="24"/>
        </w:rPr>
        <w:t xml:space="preserve">International Multi-stakeholder Partnerships </w:t>
      </w:r>
    </w:p>
    <w:p w14:paraId="6F138EA7" w14:textId="77777777" w:rsidR="00CA4EDA" w:rsidRPr="00CA4E01"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CA4E01">
        <w:rPr>
          <w:rFonts w:asciiTheme="minorHAnsi" w:hAnsiTheme="minorHAnsi" w:cstheme="minorHAnsi"/>
          <w:b/>
          <w:bCs/>
          <w:szCs w:val="24"/>
        </w:rPr>
        <w:t>6.9</w:t>
      </w:r>
      <w:r w:rsidRPr="00CA4E01">
        <w:rPr>
          <w:rFonts w:asciiTheme="minorHAnsi" w:hAnsiTheme="minorHAnsi" w:cstheme="minorHAnsi"/>
          <w:szCs w:val="24"/>
        </w:rPr>
        <w:tab/>
        <w:t>ITU has had various successes in fostering international cooperation through its role as sole facilitator of WSIS Action Line C5.</w:t>
      </w:r>
    </w:p>
    <w:p w14:paraId="5C549108" w14:textId="77777777" w:rsidR="00CA4EDA" w:rsidRPr="00CA4E01"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Cs w:val="24"/>
        </w:rPr>
      </w:pPr>
      <w:r w:rsidRPr="00CA4E01">
        <w:rPr>
          <w:rFonts w:asciiTheme="minorHAnsi" w:hAnsiTheme="minorHAnsi" w:cstheme="minorHAnsi"/>
          <w:b/>
          <w:bCs/>
          <w:szCs w:val="24"/>
        </w:rPr>
        <w:t>6.10</w:t>
      </w:r>
      <w:r w:rsidRPr="00CA4E01">
        <w:rPr>
          <w:rFonts w:asciiTheme="minorHAnsi" w:hAnsiTheme="minorHAnsi" w:cstheme="minorHAnsi"/>
          <w:szCs w:val="24"/>
        </w:rPr>
        <w:tab/>
        <w:t>ITU has forged a range of multi-stakeholder partnerships, be it through:</w:t>
      </w:r>
    </w:p>
    <w:p w14:paraId="334CBD31" w14:textId="79678422" w:rsidR="00CA4EDA" w:rsidRPr="00CA4E01"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after="60"/>
        <w:ind w:left="993" w:hanging="426"/>
        <w:contextualSpacing w:val="0"/>
        <w:jc w:val="both"/>
        <w:textAlignment w:val="auto"/>
        <w:rPr>
          <w:rFonts w:asciiTheme="minorHAnsi" w:hAnsiTheme="minorHAnsi" w:cstheme="minorHAnsi"/>
          <w:szCs w:val="24"/>
        </w:rPr>
      </w:pPr>
      <w:r w:rsidRPr="00CA4E01">
        <w:rPr>
          <w:rFonts w:asciiTheme="minorHAnsi" w:hAnsiTheme="minorHAnsi" w:cstheme="minorHAnsi"/>
          <w:szCs w:val="24"/>
        </w:rPr>
        <w:t xml:space="preserve">Formal mechanisms such as </w:t>
      </w:r>
      <w:proofErr w:type="spellStart"/>
      <w:r w:rsidRPr="00CA4E01">
        <w:rPr>
          <w:rFonts w:asciiTheme="minorHAnsi" w:hAnsiTheme="minorHAnsi" w:cstheme="minorHAnsi"/>
          <w:szCs w:val="24"/>
        </w:rPr>
        <w:t>MoUs</w:t>
      </w:r>
      <w:proofErr w:type="spellEnd"/>
      <w:r w:rsidRPr="00CA4E01">
        <w:rPr>
          <w:rFonts w:asciiTheme="minorHAnsi" w:hAnsiTheme="minorHAnsi" w:cstheme="minorHAnsi"/>
          <w:szCs w:val="24"/>
        </w:rPr>
        <w:t xml:space="preserve"> or similar arrangements (</w:t>
      </w:r>
      <w:proofErr w:type="gramStart"/>
      <w:r w:rsidRPr="00CA4E01">
        <w:rPr>
          <w:rFonts w:asciiTheme="minorHAnsi" w:hAnsiTheme="minorHAnsi" w:cstheme="minorHAnsi"/>
          <w:szCs w:val="24"/>
        </w:rPr>
        <w:t>e.g.</w:t>
      </w:r>
      <w:proofErr w:type="gramEnd"/>
      <w:r w:rsidRPr="00CA4E01">
        <w:rPr>
          <w:rFonts w:asciiTheme="minorHAnsi" w:hAnsiTheme="minorHAnsi" w:cstheme="minorHAnsi"/>
          <w:szCs w:val="24"/>
        </w:rPr>
        <w:t xml:space="preserve"> with FIRST, Interpol, UNODC, WEF, and others);</w:t>
      </w:r>
    </w:p>
    <w:p w14:paraId="2202E01D" w14:textId="77777777" w:rsidR="00CA4EDA" w:rsidRPr="00CA4E01"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before="60" w:after="60"/>
        <w:ind w:left="993" w:hanging="426"/>
        <w:contextualSpacing w:val="0"/>
        <w:jc w:val="both"/>
        <w:textAlignment w:val="auto"/>
        <w:rPr>
          <w:rFonts w:asciiTheme="minorHAnsi" w:hAnsiTheme="minorHAnsi" w:cstheme="minorHAnsi"/>
          <w:szCs w:val="24"/>
        </w:rPr>
      </w:pPr>
      <w:r w:rsidRPr="00CA4E01">
        <w:rPr>
          <w:rFonts w:asciiTheme="minorHAnsi" w:hAnsiTheme="minorHAnsi" w:cstheme="minorHAnsi"/>
          <w:szCs w:val="24"/>
        </w:rPr>
        <w:t>Initiatives such as Child Online Protection, in partnership</w:t>
      </w:r>
      <w:r w:rsidR="00F87772" w:rsidRPr="003C12C1">
        <w:rPr>
          <w:rStyle w:val="FootnoteReference"/>
          <w:rFonts w:asciiTheme="minorHAnsi" w:hAnsiTheme="minorHAnsi" w:cstheme="minorHAnsi"/>
          <w:sz w:val="20"/>
        </w:rPr>
        <w:footnoteReference w:id="32"/>
      </w:r>
      <w:r w:rsidRPr="00CA4E01">
        <w:rPr>
          <w:rFonts w:asciiTheme="minorHAnsi" w:hAnsiTheme="minorHAnsi" w:cstheme="minorHAnsi"/>
          <w:szCs w:val="24"/>
        </w:rPr>
        <w:t xml:space="preserve"> with more than </w:t>
      </w:r>
      <w:r w:rsidR="009B08EA" w:rsidRPr="00CA4E01">
        <w:rPr>
          <w:rFonts w:asciiTheme="minorHAnsi" w:hAnsiTheme="minorHAnsi" w:cstheme="minorHAnsi"/>
          <w:szCs w:val="24"/>
        </w:rPr>
        <w:t>8</w:t>
      </w:r>
      <w:r w:rsidRPr="00CA4E01">
        <w:rPr>
          <w:rFonts w:asciiTheme="minorHAnsi" w:hAnsiTheme="minorHAnsi" w:cstheme="minorHAnsi"/>
          <w:szCs w:val="24"/>
        </w:rPr>
        <w:t>0 entities from all stakeholder groups; or</w:t>
      </w:r>
      <w:r w:rsidR="003D410B" w:rsidRPr="00CA4E01">
        <w:rPr>
          <w:rFonts w:asciiTheme="minorHAnsi" w:hAnsiTheme="minorHAnsi" w:cstheme="minorHAnsi"/>
          <w:szCs w:val="24"/>
        </w:rPr>
        <w:t xml:space="preserve"> </w:t>
      </w:r>
    </w:p>
    <w:p w14:paraId="635C6DCF" w14:textId="77777777" w:rsidR="003D410B" w:rsidRPr="00CA4E01" w:rsidRDefault="00CA4EDA" w:rsidP="003C12C1">
      <w:pPr>
        <w:pStyle w:val="ListParagraph"/>
        <w:numPr>
          <w:ilvl w:val="0"/>
          <w:numId w:val="31"/>
        </w:numPr>
        <w:tabs>
          <w:tab w:val="clear" w:pos="567"/>
          <w:tab w:val="clear" w:pos="1134"/>
          <w:tab w:val="clear" w:pos="1701"/>
          <w:tab w:val="clear" w:pos="2268"/>
          <w:tab w:val="clear" w:pos="2835"/>
        </w:tabs>
        <w:overflowPunct/>
        <w:autoSpaceDE/>
        <w:autoSpaceDN/>
        <w:adjustRightInd/>
        <w:spacing w:before="60" w:after="120"/>
        <w:ind w:left="993" w:hanging="426"/>
        <w:contextualSpacing w:val="0"/>
        <w:jc w:val="both"/>
        <w:textAlignment w:val="auto"/>
        <w:rPr>
          <w:rFonts w:asciiTheme="minorHAnsi" w:hAnsiTheme="minorHAnsi" w:cstheme="minorHAnsi"/>
          <w:szCs w:val="24"/>
        </w:rPr>
      </w:pPr>
      <w:r w:rsidRPr="00CA4E01">
        <w:rPr>
          <w:rFonts w:asciiTheme="minorHAnsi" w:hAnsiTheme="minorHAnsi" w:cstheme="minorHAnsi"/>
          <w:szCs w:val="24"/>
        </w:rPr>
        <w:lastRenderedPageBreak/>
        <w:t xml:space="preserve">Mechanisms such as Focus Groups </w:t>
      </w:r>
      <w:proofErr w:type="gramStart"/>
      <w:r w:rsidRPr="00CA4E01">
        <w:rPr>
          <w:rFonts w:asciiTheme="minorHAnsi" w:hAnsiTheme="minorHAnsi" w:cstheme="minorHAnsi"/>
          <w:szCs w:val="24"/>
        </w:rPr>
        <w:t>e.g.</w:t>
      </w:r>
      <w:proofErr w:type="gramEnd"/>
      <w:r w:rsidRPr="00CA4E01">
        <w:rPr>
          <w:rFonts w:asciiTheme="minorHAnsi" w:hAnsiTheme="minorHAnsi" w:cstheme="minorHAnsi"/>
          <w:szCs w:val="24"/>
        </w:rPr>
        <w:t xml:space="preserve"> the FGs on Digital Ledger Technologies, Quantum Technologies, AI and Health, etc., which provide a platform for all stakeholders to discuss trust and confidence issues in emerging technologies.</w:t>
      </w:r>
      <w:bookmarkStart w:id="35" w:name="_Toc37228931"/>
      <w:bookmarkStart w:id="36" w:name="_Toc37268694"/>
      <w:bookmarkStart w:id="37" w:name="_Toc37331420"/>
      <w:bookmarkStart w:id="38" w:name="_Toc37166765"/>
    </w:p>
    <w:p w14:paraId="10FA7F9C" w14:textId="77777777" w:rsidR="003D410B" w:rsidRPr="00CA4E01" w:rsidRDefault="00CA4EDA"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Cs w:val="24"/>
          <w:lang w:val="en-US"/>
        </w:rPr>
      </w:pPr>
      <w:r w:rsidRPr="00CA4E01">
        <w:rPr>
          <w:rFonts w:asciiTheme="minorHAnsi" w:hAnsiTheme="minorHAnsi" w:cstheme="minorHAnsi"/>
          <w:b/>
          <w:szCs w:val="24"/>
          <w:lang w:val="en-US"/>
        </w:rPr>
        <w:t>6.11</w:t>
      </w:r>
      <w:r w:rsidRPr="00CA4E01">
        <w:rPr>
          <w:rFonts w:asciiTheme="minorHAnsi" w:hAnsiTheme="minorHAnsi" w:cstheme="minorHAnsi"/>
          <w:szCs w:val="24"/>
          <w:lang w:val="en-US"/>
        </w:rPr>
        <w:tab/>
        <w:t xml:space="preserve">Significantly expanding its multi-stakeholder membership in the past decade, especially the range of private sector companies and academic institutions, ITU benefits from a wide membership of 193 Member States and nearly 900 </w:t>
      </w:r>
      <w:r w:rsidR="009B08EA" w:rsidRPr="00CA4E01">
        <w:rPr>
          <w:rFonts w:asciiTheme="minorHAnsi" w:hAnsiTheme="minorHAnsi" w:cstheme="minorHAnsi"/>
          <w:szCs w:val="24"/>
          <w:lang w:val="en-US"/>
        </w:rPr>
        <w:t xml:space="preserve">private sector </w:t>
      </w:r>
      <w:r w:rsidRPr="00CA4E01">
        <w:rPr>
          <w:rFonts w:asciiTheme="minorHAnsi" w:hAnsiTheme="minorHAnsi" w:cstheme="minorHAnsi"/>
          <w:szCs w:val="24"/>
          <w:lang w:val="en-US"/>
        </w:rPr>
        <w:t>companies, universities, and international and regional organizations, thereby reflecting the rapidly changing nature of today’s digital society.</w:t>
      </w:r>
      <w:bookmarkEnd w:id="35"/>
      <w:bookmarkEnd w:id="36"/>
      <w:bookmarkEnd w:id="37"/>
      <w:r w:rsidR="003D410B" w:rsidRPr="00CA4E01">
        <w:rPr>
          <w:rFonts w:asciiTheme="minorHAnsi" w:hAnsiTheme="minorHAnsi" w:cstheme="minorHAnsi"/>
          <w:szCs w:val="24"/>
          <w:lang w:val="en-US"/>
        </w:rPr>
        <w:t xml:space="preserve"> </w:t>
      </w:r>
    </w:p>
    <w:p w14:paraId="5734C2DF" w14:textId="2C7E950D" w:rsidR="003D410B" w:rsidRPr="00CA4E01" w:rsidRDefault="00CA4EDA" w:rsidP="00FA792E">
      <w:pPr>
        <w:pStyle w:val="ListParagraph"/>
        <w:tabs>
          <w:tab w:val="clear" w:pos="567"/>
          <w:tab w:val="clear" w:pos="1134"/>
          <w:tab w:val="clear" w:pos="1701"/>
          <w:tab w:val="clear" w:pos="2268"/>
          <w:tab w:val="clear" w:pos="2835"/>
        </w:tabs>
        <w:overflowPunct/>
        <w:autoSpaceDE/>
        <w:autoSpaceDN/>
        <w:adjustRightInd/>
        <w:spacing w:before="240" w:after="120"/>
        <w:ind w:left="0"/>
        <w:contextualSpacing w:val="0"/>
        <w:jc w:val="both"/>
        <w:textAlignment w:val="auto"/>
        <w:rPr>
          <w:rFonts w:asciiTheme="minorHAnsi" w:hAnsiTheme="minorHAnsi" w:cstheme="minorHAnsi"/>
          <w:b/>
          <w:bCs/>
          <w:szCs w:val="24"/>
          <w:lang w:val="en-US"/>
        </w:rPr>
      </w:pPr>
      <w:r w:rsidRPr="00CA4E01">
        <w:rPr>
          <w:rFonts w:asciiTheme="minorHAnsi" w:hAnsiTheme="minorHAnsi" w:cstheme="minorHAnsi"/>
          <w:b/>
          <w:bCs/>
          <w:szCs w:val="24"/>
          <w:lang w:val="en-US"/>
        </w:rPr>
        <w:t xml:space="preserve">Better </w:t>
      </w:r>
      <w:r w:rsidR="008C6DE4" w:rsidRPr="00CA4E01">
        <w:rPr>
          <w:rFonts w:asciiTheme="minorHAnsi" w:hAnsiTheme="minorHAnsi" w:cstheme="minorHAnsi"/>
          <w:b/>
          <w:bCs/>
          <w:szCs w:val="24"/>
          <w:lang w:val="en-US"/>
        </w:rPr>
        <w:t>C</w:t>
      </w:r>
      <w:r w:rsidRPr="00CA4E01">
        <w:rPr>
          <w:rFonts w:asciiTheme="minorHAnsi" w:hAnsiTheme="minorHAnsi" w:cstheme="minorHAnsi"/>
          <w:b/>
          <w:bCs/>
          <w:szCs w:val="24"/>
          <w:lang w:val="en-US"/>
        </w:rPr>
        <w:t xml:space="preserve">oordination </w:t>
      </w:r>
      <w:r w:rsidR="006E1F87" w:rsidRPr="00CA4E01">
        <w:rPr>
          <w:rFonts w:asciiTheme="minorHAnsi" w:hAnsiTheme="minorHAnsi" w:cstheme="minorHAnsi"/>
          <w:b/>
          <w:bCs/>
          <w:szCs w:val="24"/>
          <w:lang w:val="en-US"/>
        </w:rPr>
        <w:t>w</w:t>
      </w:r>
      <w:r w:rsidRPr="00CA4E01">
        <w:rPr>
          <w:rFonts w:asciiTheme="minorHAnsi" w:hAnsiTheme="minorHAnsi" w:cstheme="minorHAnsi"/>
          <w:b/>
          <w:bCs/>
          <w:szCs w:val="24"/>
          <w:lang w:val="en-US"/>
        </w:rPr>
        <w:t>ithin the UN System</w:t>
      </w:r>
      <w:bookmarkEnd w:id="38"/>
    </w:p>
    <w:p w14:paraId="06695874" w14:textId="51EE5919" w:rsidR="003D410B" w:rsidRPr="00CA4E01" w:rsidRDefault="00CA4EDA"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Cs w:val="24"/>
          <w:lang w:val="en-US"/>
        </w:rPr>
      </w:pPr>
      <w:r w:rsidRPr="00CA4E01">
        <w:rPr>
          <w:rFonts w:asciiTheme="minorHAnsi" w:hAnsiTheme="minorHAnsi" w:cstheme="minorHAnsi"/>
          <w:b/>
          <w:bCs/>
          <w:szCs w:val="24"/>
          <w:lang w:val="en-US"/>
        </w:rPr>
        <w:t>6.12</w:t>
      </w:r>
      <w:r w:rsidRPr="00CA4E01">
        <w:rPr>
          <w:rFonts w:asciiTheme="minorHAnsi" w:hAnsiTheme="minorHAnsi" w:cstheme="minorHAnsi"/>
          <w:szCs w:val="24"/>
          <w:lang w:val="en-US"/>
        </w:rPr>
        <w:tab/>
      </w:r>
      <w:r w:rsidR="0022370D" w:rsidRPr="00CA4E01">
        <w:rPr>
          <w:rFonts w:asciiTheme="minorHAnsi" w:hAnsiTheme="minorHAnsi" w:cstheme="minorHAnsi"/>
          <w:szCs w:val="24"/>
        </w:rPr>
        <w:t xml:space="preserve">As mentioned previously in </w:t>
      </w:r>
      <w:r w:rsidR="00056A64" w:rsidRPr="00CA4E01">
        <w:rPr>
          <w:rFonts w:asciiTheme="minorHAnsi" w:hAnsiTheme="minorHAnsi" w:cstheme="minorHAnsi"/>
          <w:szCs w:val="24"/>
        </w:rPr>
        <w:t xml:space="preserve">paras 2.4 and 2.5 </w:t>
      </w:r>
      <w:r w:rsidR="00556C16" w:rsidRPr="00CA4E01">
        <w:rPr>
          <w:rFonts w:asciiTheme="minorHAnsi" w:hAnsiTheme="minorHAnsi" w:cstheme="minorHAnsi"/>
          <w:szCs w:val="24"/>
        </w:rPr>
        <w:t>of this document</w:t>
      </w:r>
      <w:r w:rsidR="0022370D" w:rsidRPr="00CA4E01">
        <w:rPr>
          <w:rFonts w:asciiTheme="minorHAnsi" w:hAnsiTheme="minorHAnsi" w:cstheme="minorHAnsi"/>
          <w:szCs w:val="24"/>
        </w:rPr>
        <w:t xml:space="preserve">, there are </w:t>
      </w:r>
      <w:proofErr w:type="gramStart"/>
      <w:r w:rsidR="0022370D" w:rsidRPr="00CA4E01">
        <w:rPr>
          <w:rFonts w:asciiTheme="minorHAnsi" w:hAnsiTheme="minorHAnsi" w:cstheme="minorHAnsi"/>
          <w:szCs w:val="24"/>
        </w:rPr>
        <w:t>a number of</w:t>
      </w:r>
      <w:proofErr w:type="gramEnd"/>
      <w:r w:rsidR="0022370D" w:rsidRPr="00CA4E01">
        <w:rPr>
          <w:rFonts w:asciiTheme="minorHAnsi" w:hAnsiTheme="minorHAnsi" w:cstheme="minorHAnsi"/>
          <w:szCs w:val="24"/>
        </w:rPr>
        <w:t xml:space="preserve"> UN processes that have been established </w:t>
      </w:r>
      <w:r w:rsidR="00F955E0" w:rsidRPr="00CA4E01">
        <w:rPr>
          <w:rFonts w:asciiTheme="minorHAnsi" w:hAnsiTheme="minorHAnsi" w:cstheme="minorHAnsi"/>
          <w:szCs w:val="24"/>
        </w:rPr>
        <w:t xml:space="preserve">by the UN General Assembly </w:t>
      </w:r>
      <w:r w:rsidR="0022370D" w:rsidRPr="00CA4E01">
        <w:rPr>
          <w:rFonts w:asciiTheme="minorHAnsi" w:hAnsiTheme="minorHAnsi" w:cstheme="minorHAnsi"/>
          <w:szCs w:val="24"/>
        </w:rPr>
        <w:t xml:space="preserve">to help address the challenges </w:t>
      </w:r>
      <w:r w:rsidR="00F955E0" w:rsidRPr="00CA4E01">
        <w:rPr>
          <w:rFonts w:asciiTheme="minorHAnsi" w:hAnsiTheme="minorHAnsi" w:cstheme="minorHAnsi"/>
          <w:szCs w:val="24"/>
        </w:rPr>
        <w:t xml:space="preserve">of ensuring </w:t>
      </w:r>
      <w:r w:rsidR="0022370D" w:rsidRPr="00CA4E01">
        <w:rPr>
          <w:rFonts w:asciiTheme="minorHAnsi" w:hAnsiTheme="minorHAnsi" w:cstheme="minorHAnsi"/>
          <w:szCs w:val="24"/>
        </w:rPr>
        <w:t>international security in cyberspace. These include the work of the GGE and the OWEG. The</w:t>
      </w:r>
      <w:r w:rsidR="0022370D" w:rsidRPr="00CA4E01">
        <w:rPr>
          <w:rFonts w:asciiTheme="minorHAnsi" w:hAnsiTheme="minorHAnsi" w:cstheme="minorHAnsi"/>
          <w:szCs w:val="24"/>
        </w:rPr>
        <w:t xml:space="preserve"> </w:t>
      </w:r>
      <w:r w:rsidR="008F24EC">
        <w:rPr>
          <w:rFonts w:asciiTheme="minorHAnsi" w:hAnsiTheme="minorHAnsi" w:cstheme="minorHAnsi"/>
          <w:szCs w:val="24"/>
        </w:rPr>
        <w:t>2019-2021</w:t>
      </w:r>
      <w:r w:rsidR="008F24EC">
        <w:rPr>
          <w:rFonts w:asciiTheme="minorHAnsi" w:hAnsiTheme="minorHAnsi" w:cstheme="minorHAnsi"/>
          <w:szCs w:val="24"/>
        </w:rPr>
        <w:t xml:space="preserve"> </w:t>
      </w:r>
      <w:hyperlink r:id="rId50" w:history="1">
        <w:r w:rsidR="0022370D" w:rsidRPr="008F24EC">
          <w:rPr>
            <w:rStyle w:val="Hyperlink"/>
            <w:rFonts w:asciiTheme="minorHAnsi" w:hAnsiTheme="minorHAnsi" w:cstheme="minorHAnsi"/>
            <w:szCs w:val="24"/>
          </w:rPr>
          <w:t xml:space="preserve">OWEG’s Final </w:t>
        </w:r>
        <w:r w:rsidR="003C0696" w:rsidRPr="008F24EC">
          <w:rPr>
            <w:rStyle w:val="Hyperlink"/>
            <w:rFonts w:asciiTheme="minorHAnsi" w:hAnsiTheme="minorHAnsi" w:cstheme="minorHAnsi"/>
            <w:szCs w:val="24"/>
          </w:rPr>
          <w:t xml:space="preserve">Substantive </w:t>
        </w:r>
        <w:r w:rsidR="0022370D" w:rsidRPr="008F24EC">
          <w:rPr>
            <w:rStyle w:val="Hyperlink"/>
            <w:rFonts w:asciiTheme="minorHAnsi" w:hAnsiTheme="minorHAnsi" w:cstheme="minorHAnsi"/>
            <w:szCs w:val="24"/>
          </w:rPr>
          <w:t>Report</w:t>
        </w:r>
      </w:hyperlink>
      <w:r w:rsidR="003C0696" w:rsidRPr="008F24EC">
        <w:rPr>
          <w:rFonts w:asciiTheme="minorHAnsi" w:hAnsiTheme="minorHAnsi" w:cstheme="minorHAnsi"/>
          <w:szCs w:val="24"/>
        </w:rPr>
        <w:t>, has</w:t>
      </w:r>
      <w:r w:rsidR="00F955E0" w:rsidRPr="00CA4E01">
        <w:rPr>
          <w:rFonts w:asciiTheme="minorHAnsi" w:hAnsiTheme="minorHAnsi" w:cstheme="minorHAnsi"/>
          <w:szCs w:val="24"/>
        </w:rPr>
        <w:t xml:space="preserve"> concluded</w:t>
      </w:r>
      <w:r w:rsidR="003C0696" w:rsidRPr="00CA4E01">
        <w:rPr>
          <w:rFonts w:asciiTheme="minorHAnsi" w:hAnsiTheme="minorHAnsi" w:cstheme="minorHAnsi"/>
          <w:szCs w:val="24"/>
        </w:rPr>
        <w:t xml:space="preserve">, </w:t>
      </w:r>
      <w:r w:rsidR="003C0696" w:rsidRPr="00CA4E01">
        <w:rPr>
          <w:rFonts w:asciiTheme="minorHAnsi" w:hAnsiTheme="minorHAnsi" w:cstheme="minorHAnsi"/>
          <w:i/>
          <w:iCs/>
          <w:szCs w:val="24"/>
        </w:rPr>
        <w:t xml:space="preserve">inter alia, </w:t>
      </w:r>
      <w:r w:rsidR="00F955E0" w:rsidRPr="00CA4E01">
        <w:rPr>
          <w:rFonts w:asciiTheme="minorHAnsi" w:hAnsiTheme="minorHAnsi" w:cstheme="minorHAnsi"/>
          <w:szCs w:val="24"/>
        </w:rPr>
        <w:t xml:space="preserve">that future regular institutional dialogue should not duplicate existing UN mandates, efforts and activities focusing on the digital dimensions of other issues, and that any future mechanism for regular institutional dialogue under the auspices of the United Nations should be an action-oriented process with specific objectives, building on previous outcomes, and be inclusive, transparent, consensus driven, and results based. </w:t>
      </w:r>
      <w:r w:rsidR="00F955E0" w:rsidRPr="00CA4E01">
        <w:rPr>
          <w:rFonts w:asciiTheme="minorHAnsi" w:hAnsiTheme="minorHAnsi" w:cstheme="minorHAnsi"/>
          <w:szCs w:val="24"/>
          <w:lang w:val="en-US"/>
        </w:rPr>
        <w:t>Taking this into consideration</w:t>
      </w:r>
      <w:r w:rsidR="0068307C" w:rsidRPr="00CA4E01">
        <w:rPr>
          <w:rFonts w:asciiTheme="minorHAnsi" w:hAnsiTheme="minorHAnsi" w:cstheme="minorHAnsi"/>
          <w:szCs w:val="24"/>
          <w:lang w:val="en-US"/>
        </w:rPr>
        <w:t xml:space="preserve">, </w:t>
      </w:r>
      <w:r w:rsidR="00F955E0" w:rsidRPr="00CA4E01">
        <w:rPr>
          <w:rFonts w:asciiTheme="minorHAnsi" w:hAnsiTheme="minorHAnsi" w:cstheme="minorHAnsi"/>
          <w:szCs w:val="24"/>
          <w:lang w:val="en-US"/>
        </w:rPr>
        <w:t xml:space="preserve">it is important </w:t>
      </w:r>
      <w:r w:rsidR="0068307C" w:rsidRPr="00CA4E01">
        <w:rPr>
          <w:rFonts w:asciiTheme="minorHAnsi" w:hAnsiTheme="minorHAnsi" w:cstheme="minorHAnsi"/>
          <w:szCs w:val="24"/>
          <w:lang w:val="en-US"/>
        </w:rPr>
        <w:t>that ITU</w:t>
      </w:r>
      <w:r w:rsidR="0005205C" w:rsidRPr="00CA4E01">
        <w:rPr>
          <w:rFonts w:asciiTheme="minorHAnsi" w:hAnsiTheme="minorHAnsi" w:cstheme="minorHAnsi"/>
          <w:szCs w:val="24"/>
          <w:lang w:val="en-US"/>
        </w:rPr>
        <w:t>’s work</w:t>
      </w:r>
      <w:r w:rsidR="0068307C" w:rsidRPr="00CA4E01">
        <w:rPr>
          <w:rFonts w:asciiTheme="minorHAnsi" w:hAnsiTheme="minorHAnsi" w:cstheme="minorHAnsi"/>
          <w:szCs w:val="24"/>
          <w:lang w:val="en-US"/>
        </w:rPr>
        <w:t xml:space="preserve"> </w:t>
      </w:r>
      <w:r w:rsidR="0005205C" w:rsidRPr="00CA4E01">
        <w:rPr>
          <w:rFonts w:asciiTheme="minorHAnsi" w:hAnsiTheme="minorHAnsi" w:cstheme="minorHAnsi"/>
          <w:szCs w:val="24"/>
          <w:lang w:val="en-US"/>
        </w:rPr>
        <w:t xml:space="preserve">should be complementary </w:t>
      </w:r>
      <w:r w:rsidR="00556C16" w:rsidRPr="00CA4E01">
        <w:rPr>
          <w:rFonts w:asciiTheme="minorHAnsi" w:hAnsiTheme="minorHAnsi" w:cstheme="minorHAnsi"/>
          <w:szCs w:val="24"/>
          <w:lang w:val="en-US"/>
        </w:rPr>
        <w:t>to</w:t>
      </w:r>
      <w:r w:rsidR="0005205C" w:rsidRPr="00CA4E01">
        <w:rPr>
          <w:rFonts w:asciiTheme="minorHAnsi" w:hAnsiTheme="minorHAnsi" w:cstheme="minorHAnsi"/>
          <w:szCs w:val="24"/>
          <w:lang w:val="en-US"/>
        </w:rPr>
        <w:t xml:space="preserve"> </w:t>
      </w:r>
      <w:r w:rsidR="00F955E0" w:rsidRPr="00CA4E01">
        <w:rPr>
          <w:rFonts w:asciiTheme="minorHAnsi" w:hAnsiTheme="minorHAnsi" w:cstheme="minorHAnsi"/>
          <w:szCs w:val="24"/>
          <w:lang w:val="en-US"/>
        </w:rPr>
        <w:t xml:space="preserve">the work </w:t>
      </w:r>
      <w:r w:rsidR="00556C16" w:rsidRPr="00CA4E01">
        <w:rPr>
          <w:rFonts w:asciiTheme="minorHAnsi" w:hAnsiTheme="minorHAnsi" w:cstheme="minorHAnsi"/>
          <w:szCs w:val="24"/>
          <w:lang w:val="en-US"/>
        </w:rPr>
        <w:t xml:space="preserve">streams </w:t>
      </w:r>
      <w:r w:rsidR="00F955E0" w:rsidRPr="00CA4E01">
        <w:rPr>
          <w:rFonts w:asciiTheme="minorHAnsi" w:hAnsiTheme="minorHAnsi" w:cstheme="minorHAnsi"/>
          <w:szCs w:val="24"/>
          <w:lang w:val="en-US"/>
        </w:rPr>
        <w:t xml:space="preserve">that </w:t>
      </w:r>
      <w:r w:rsidR="00556C16" w:rsidRPr="00CA4E01">
        <w:rPr>
          <w:rFonts w:asciiTheme="minorHAnsi" w:hAnsiTheme="minorHAnsi" w:cstheme="minorHAnsi"/>
          <w:szCs w:val="24"/>
          <w:lang w:val="en-US"/>
        </w:rPr>
        <w:t xml:space="preserve">are </w:t>
      </w:r>
      <w:r w:rsidR="00F955E0" w:rsidRPr="00CA4E01">
        <w:rPr>
          <w:rFonts w:asciiTheme="minorHAnsi" w:hAnsiTheme="minorHAnsi" w:cstheme="minorHAnsi"/>
          <w:szCs w:val="24"/>
          <w:lang w:val="en-US"/>
        </w:rPr>
        <w:t>currently ongoing within the UN system</w:t>
      </w:r>
      <w:r w:rsidR="00556C16" w:rsidRPr="00CA4E01">
        <w:rPr>
          <w:rFonts w:asciiTheme="minorHAnsi" w:hAnsiTheme="minorHAnsi" w:cstheme="minorHAnsi"/>
          <w:szCs w:val="24"/>
          <w:lang w:val="en-US"/>
        </w:rPr>
        <w:t xml:space="preserve"> in this regard</w:t>
      </w:r>
      <w:r w:rsidR="0005205C" w:rsidRPr="00CA4E01">
        <w:rPr>
          <w:rFonts w:asciiTheme="minorHAnsi" w:hAnsiTheme="minorHAnsi" w:cstheme="minorHAnsi"/>
          <w:szCs w:val="24"/>
          <w:lang w:val="en-US"/>
        </w:rPr>
        <w:t xml:space="preserve">, </w:t>
      </w:r>
      <w:proofErr w:type="gramStart"/>
      <w:r w:rsidR="007972B4" w:rsidRPr="00CA4E01">
        <w:rPr>
          <w:rFonts w:asciiTheme="minorHAnsi" w:hAnsiTheme="minorHAnsi" w:cstheme="minorHAnsi"/>
          <w:szCs w:val="24"/>
          <w:lang w:val="en-US"/>
        </w:rPr>
        <w:t xml:space="preserve">in particular </w:t>
      </w:r>
      <w:r w:rsidR="00556C16" w:rsidRPr="00CA4E01">
        <w:rPr>
          <w:rFonts w:asciiTheme="minorHAnsi" w:hAnsiTheme="minorHAnsi" w:cstheme="minorHAnsi"/>
          <w:szCs w:val="24"/>
          <w:lang w:val="en-US"/>
        </w:rPr>
        <w:t>the</w:t>
      </w:r>
      <w:proofErr w:type="gramEnd"/>
      <w:r w:rsidR="0005205C" w:rsidRPr="00CA4E01">
        <w:rPr>
          <w:rFonts w:asciiTheme="minorHAnsi" w:hAnsiTheme="minorHAnsi" w:cstheme="minorHAnsi"/>
          <w:szCs w:val="24"/>
          <w:lang w:val="en-US"/>
        </w:rPr>
        <w:t xml:space="preserve"> </w:t>
      </w:r>
      <w:r w:rsidR="007972B4" w:rsidRPr="00CA4E01">
        <w:rPr>
          <w:rFonts w:asciiTheme="minorHAnsi" w:hAnsiTheme="minorHAnsi" w:cstheme="minorHAnsi"/>
          <w:szCs w:val="24"/>
          <w:lang w:val="en-US"/>
        </w:rPr>
        <w:t xml:space="preserve">abovementioned </w:t>
      </w:r>
      <w:r w:rsidR="0005205C" w:rsidRPr="00CA4E01">
        <w:rPr>
          <w:rFonts w:asciiTheme="minorHAnsi" w:hAnsiTheme="minorHAnsi" w:cstheme="minorHAnsi"/>
          <w:szCs w:val="24"/>
          <w:lang w:val="en-US"/>
        </w:rPr>
        <w:t>UNGA processes</w:t>
      </w:r>
      <w:r w:rsidR="0068307C" w:rsidRPr="00CA4E01">
        <w:rPr>
          <w:rFonts w:asciiTheme="minorHAnsi" w:hAnsiTheme="minorHAnsi" w:cstheme="minorHAnsi"/>
          <w:szCs w:val="24"/>
          <w:lang w:val="en-US"/>
        </w:rPr>
        <w:t>.</w:t>
      </w:r>
      <w:r w:rsidR="003D410B" w:rsidRPr="00CA4E01">
        <w:rPr>
          <w:rFonts w:asciiTheme="minorHAnsi" w:hAnsiTheme="minorHAnsi" w:cstheme="minorHAnsi"/>
          <w:szCs w:val="24"/>
          <w:lang w:val="en-US"/>
        </w:rPr>
        <w:t xml:space="preserve"> </w:t>
      </w:r>
    </w:p>
    <w:p w14:paraId="6174085D" w14:textId="77777777" w:rsidR="00CA4EDA" w:rsidRPr="00CA4E01" w:rsidRDefault="00252535" w:rsidP="00CA4E01">
      <w:pPr>
        <w:pStyle w:val="ListParagraph"/>
        <w:tabs>
          <w:tab w:val="clear" w:pos="567"/>
          <w:tab w:val="clear" w:pos="1134"/>
          <w:tab w:val="clear" w:pos="1701"/>
          <w:tab w:val="clear" w:pos="2268"/>
          <w:tab w:val="clear" w:pos="2835"/>
        </w:tabs>
        <w:overflowPunct/>
        <w:autoSpaceDE/>
        <w:autoSpaceDN/>
        <w:adjustRightInd/>
        <w:spacing w:after="120"/>
        <w:ind w:left="0"/>
        <w:contextualSpacing w:val="0"/>
        <w:jc w:val="both"/>
        <w:textAlignment w:val="auto"/>
        <w:rPr>
          <w:rFonts w:asciiTheme="minorHAnsi" w:hAnsiTheme="minorHAnsi" w:cstheme="minorHAnsi"/>
          <w:szCs w:val="24"/>
          <w:lang w:val="en-US"/>
        </w:rPr>
      </w:pPr>
      <w:r w:rsidRPr="00CA4E01">
        <w:rPr>
          <w:rFonts w:asciiTheme="minorHAnsi" w:hAnsiTheme="minorHAnsi" w:cstheme="minorHAnsi"/>
          <w:b/>
          <w:bCs/>
          <w:szCs w:val="24"/>
          <w:lang w:val="en-US"/>
        </w:rPr>
        <w:t>6.1</w:t>
      </w:r>
      <w:r w:rsidR="001341AA" w:rsidRPr="00CA4E01">
        <w:rPr>
          <w:rFonts w:asciiTheme="minorHAnsi" w:hAnsiTheme="minorHAnsi" w:cstheme="minorHAnsi"/>
          <w:b/>
          <w:bCs/>
          <w:szCs w:val="24"/>
          <w:lang w:val="en-US"/>
        </w:rPr>
        <w:t>3</w:t>
      </w:r>
      <w:r w:rsidRPr="00CA4E01">
        <w:rPr>
          <w:rFonts w:asciiTheme="minorHAnsi" w:hAnsiTheme="minorHAnsi" w:cstheme="minorHAnsi"/>
          <w:szCs w:val="24"/>
          <w:lang w:val="en-US"/>
        </w:rPr>
        <w:tab/>
      </w:r>
      <w:r w:rsidR="00CA4EDA" w:rsidRPr="00CA4E01">
        <w:rPr>
          <w:rFonts w:asciiTheme="minorHAnsi" w:hAnsiTheme="minorHAnsi" w:cstheme="minorHAnsi"/>
          <w:szCs w:val="24"/>
          <w:lang w:val="en-US"/>
        </w:rPr>
        <w:t xml:space="preserve">The complex articulation of the mandate of the UN system can sometimes impede a pragmatic and effective harmonized approach. It is therefore imperative for the UN family to continue working towards harmonizing its efforts, including streamlining programs and activities on cybersecurity </w:t>
      </w:r>
      <w:proofErr w:type="gramStart"/>
      <w:r w:rsidR="00CA4EDA" w:rsidRPr="00CA4E01">
        <w:rPr>
          <w:rFonts w:asciiTheme="minorHAnsi" w:hAnsiTheme="minorHAnsi" w:cstheme="minorHAnsi"/>
          <w:szCs w:val="24"/>
          <w:lang w:val="en-US"/>
        </w:rPr>
        <w:t>in order to</w:t>
      </w:r>
      <w:proofErr w:type="gramEnd"/>
      <w:r w:rsidR="00CA4EDA" w:rsidRPr="00CA4E01">
        <w:rPr>
          <w:rFonts w:asciiTheme="minorHAnsi" w:hAnsiTheme="minorHAnsi" w:cstheme="minorHAnsi"/>
          <w:szCs w:val="24"/>
          <w:lang w:val="en-US"/>
        </w:rPr>
        <w:t xml:space="preserve"> be more effective.</w:t>
      </w:r>
    </w:p>
    <w:p w14:paraId="3B71C5B5" w14:textId="77777777" w:rsidR="00CA4EDA" w:rsidRPr="00CA4E01"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CA4E01">
        <w:rPr>
          <w:rFonts w:asciiTheme="minorHAnsi" w:hAnsiTheme="minorHAnsi" w:cstheme="minorHAnsi"/>
          <w:b/>
          <w:bCs/>
          <w:szCs w:val="24"/>
          <w:lang w:val="en-US"/>
        </w:rPr>
        <w:t>6.14</w:t>
      </w:r>
      <w:r w:rsidRPr="00CA4E01">
        <w:rPr>
          <w:rFonts w:asciiTheme="minorHAnsi" w:hAnsiTheme="minorHAnsi" w:cstheme="minorHAnsi"/>
          <w:szCs w:val="24"/>
          <w:lang w:val="en-US"/>
        </w:rPr>
        <w:tab/>
        <w:t xml:space="preserve">It is </w:t>
      </w:r>
      <w:r w:rsidR="00550092" w:rsidRPr="00CA4E01">
        <w:rPr>
          <w:rFonts w:asciiTheme="minorHAnsi" w:hAnsiTheme="minorHAnsi" w:cstheme="minorHAnsi"/>
          <w:szCs w:val="24"/>
          <w:lang w:val="en-US"/>
        </w:rPr>
        <w:t xml:space="preserve">therefore </w:t>
      </w:r>
      <w:r w:rsidRPr="00CA4E01">
        <w:rPr>
          <w:rFonts w:asciiTheme="minorHAnsi" w:hAnsiTheme="minorHAnsi" w:cstheme="minorHAnsi"/>
          <w:szCs w:val="24"/>
          <w:lang w:val="en-US"/>
        </w:rPr>
        <w:t>important to work towards building a shared understanding within the UN on the needs and requirements for properly establishing programs and initiatives that would effectively support the efforts undertaken by governments, industry, and all other relevant stakeholders.</w:t>
      </w:r>
    </w:p>
    <w:p w14:paraId="16BA7624" w14:textId="77777777" w:rsidR="00CA4EDA" w:rsidRPr="00CA4E01"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CA4E01">
        <w:rPr>
          <w:rFonts w:asciiTheme="minorHAnsi" w:hAnsiTheme="minorHAnsi" w:cstheme="minorHAnsi"/>
          <w:b/>
          <w:bCs/>
          <w:szCs w:val="24"/>
          <w:lang w:val="en-US"/>
        </w:rPr>
        <w:t>6.15</w:t>
      </w:r>
      <w:r w:rsidRPr="00CA4E01">
        <w:rPr>
          <w:rFonts w:asciiTheme="minorHAnsi" w:hAnsiTheme="minorHAnsi" w:cstheme="minorHAnsi"/>
          <w:szCs w:val="24"/>
          <w:lang w:val="en-US"/>
        </w:rPr>
        <w:tab/>
        <w:t xml:space="preserve">A significant first step was taken in 2010 towards enhanced internal coordination among UN agencies in their assistance to Member States </w:t>
      </w:r>
      <w:proofErr w:type="gramStart"/>
      <w:r w:rsidRPr="00CA4E01">
        <w:rPr>
          <w:rFonts w:asciiTheme="minorHAnsi" w:hAnsiTheme="minorHAnsi" w:cstheme="minorHAnsi"/>
          <w:szCs w:val="24"/>
          <w:lang w:val="en-US"/>
        </w:rPr>
        <w:t>with regard to</w:t>
      </w:r>
      <w:proofErr w:type="gramEnd"/>
      <w:r w:rsidRPr="00CA4E01">
        <w:rPr>
          <w:rFonts w:asciiTheme="minorHAnsi" w:hAnsiTheme="minorHAnsi" w:cstheme="minorHAnsi"/>
          <w:szCs w:val="24"/>
          <w:lang w:val="en-US"/>
        </w:rPr>
        <w:t xml:space="preserve"> cybersecurity. ITU and UNODC, in collaboration with 33 other UN agencies, led a two-year effort to develop an UN-wide framework on Cybersecurity and Cybercrime, which was endorsed by the UN Chief Executives Board for Coordination (CEB) in November 2013. </w:t>
      </w:r>
    </w:p>
    <w:p w14:paraId="0A52FE33" w14:textId="77777777" w:rsidR="00CA4EDA" w:rsidRPr="00CA4E01" w:rsidRDefault="00CA4EDA" w:rsidP="00CA4E01">
      <w:pPr>
        <w:tabs>
          <w:tab w:val="clear" w:pos="567"/>
          <w:tab w:val="clear" w:pos="1134"/>
          <w:tab w:val="clear" w:pos="1701"/>
          <w:tab w:val="clear" w:pos="2268"/>
          <w:tab w:val="clear" w:pos="2835"/>
        </w:tabs>
        <w:spacing w:after="120"/>
        <w:jc w:val="both"/>
        <w:rPr>
          <w:rFonts w:asciiTheme="minorHAnsi" w:hAnsiTheme="minorHAnsi" w:cstheme="minorHAnsi"/>
          <w:szCs w:val="24"/>
          <w:lang w:val="en-US"/>
        </w:rPr>
      </w:pPr>
      <w:r w:rsidRPr="00CA4E01">
        <w:rPr>
          <w:rFonts w:asciiTheme="minorHAnsi" w:hAnsiTheme="minorHAnsi" w:cstheme="minorHAnsi"/>
          <w:b/>
          <w:bCs/>
          <w:szCs w:val="24"/>
          <w:lang w:val="en-US"/>
        </w:rPr>
        <w:t>6.16</w:t>
      </w:r>
      <w:r w:rsidRPr="00CA4E01">
        <w:rPr>
          <w:rFonts w:asciiTheme="minorHAnsi" w:hAnsiTheme="minorHAnsi" w:cstheme="minorHAnsi"/>
          <w:b/>
          <w:bCs/>
          <w:szCs w:val="24"/>
          <w:lang w:val="en-US"/>
        </w:rPr>
        <w:tab/>
      </w:r>
      <w:r w:rsidRPr="00CA4E01">
        <w:rPr>
          <w:rFonts w:asciiTheme="minorHAnsi" w:hAnsiTheme="minorHAnsi" w:cstheme="minorHAnsi"/>
          <w:szCs w:val="24"/>
          <w:lang w:val="en-US"/>
        </w:rPr>
        <w:t xml:space="preserve">While it was a key step, further systemic changes are needed </w:t>
      </w:r>
      <w:proofErr w:type="gramStart"/>
      <w:r w:rsidRPr="00CA4E01">
        <w:rPr>
          <w:rFonts w:asciiTheme="minorHAnsi" w:hAnsiTheme="minorHAnsi" w:cstheme="minorHAnsi"/>
          <w:szCs w:val="24"/>
          <w:lang w:val="en-US"/>
        </w:rPr>
        <w:t>in order to</w:t>
      </w:r>
      <w:proofErr w:type="gramEnd"/>
      <w:r w:rsidRPr="00CA4E01">
        <w:rPr>
          <w:rFonts w:asciiTheme="minorHAnsi" w:hAnsiTheme="minorHAnsi" w:cstheme="minorHAnsi"/>
          <w:szCs w:val="24"/>
          <w:lang w:val="en-US"/>
        </w:rPr>
        <w:t xml:space="preserve"> ensure effective coordination. The prioritization of Digital Cooperation by the UN Secretary-General</w:t>
      </w:r>
      <w:r w:rsidRPr="00CA4E01">
        <w:rPr>
          <w:rStyle w:val="FootnoteReference"/>
          <w:rFonts w:asciiTheme="minorHAnsi" w:hAnsiTheme="minorHAnsi" w:cstheme="minorHAnsi"/>
          <w:sz w:val="24"/>
          <w:szCs w:val="24"/>
          <w:vertAlign w:val="superscript"/>
          <w:lang w:val="en-US"/>
        </w:rPr>
        <w:footnoteReference w:id="33"/>
      </w:r>
      <w:r w:rsidRPr="00CA4E01">
        <w:rPr>
          <w:rFonts w:asciiTheme="minorHAnsi" w:hAnsiTheme="minorHAnsi" w:cstheme="minorHAnsi"/>
          <w:szCs w:val="24"/>
          <w:lang w:val="en-US"/>
        </w:rPr>
        <w:t xml:space="preserve"> offers an opportunity to address the need for the UN family </w:t>
      </w:r>
      <w:proofErr w:type="gramStart"/>
      <w:r w:rsidRPr="00CA4E01">
        <w:rPr>
          <w:rFonts w:asciiTheme="minorHAnsi" w:hAnsiTheme="minorHAnsi" w:cstheme="minorHAnsi"/>
          <w:szCs w:val="24"/>
          <w:lang w:val="en-US"/>
        </w:rPr>
        <w:t>as a whole to</w:t>
      </w:r>
      <w:proofErr w:type="gramEnd"/>
      <w:r w:rsidRPr="00CA4E01">
        <w:rPr>
          <w:rFonts w:asciiTheme="minorHAnsi" w:hAnsiTheme="minorHAnsi" w:cstheme="minorHAnsi"/>
          <w:szCs w:val="24"/>
          <w:lang w:val="en-US"/>
        </w:rPr>
        <w:t xml:space="preserve"> continue improving internal coordination and cooperation by utilizing various interagency mechanisms, including the CEB.</w:t>
      </w:r>
    </w:p>
    <w:p w14:paraId="2CEEAA11" w14:textId="0F28F01D" w:rsidR="00CA4EDA" w:rsidRPr="00CA4E01" w:rsidRDefault="00CA4EDA" w:rsidP="00FA792E">
      <w:pPr>
        <w:pStyle w:val="Heading2"/>
        <w:spacing w:before="120" w:after="240"/>
        <w:rPr>
          <w:rFonts w:asciiTheme="minorHAnsi" w:hAnsiTheme="minorHAnsi" w:cstheme="minorHAnsi"/>
          <w:color w:val="365F91" w:themeColor="accent1" w:themeShade="BF"/>
          <w:szCs w:val="24"/>
        </w:rPr>
      </w:pPr>
      <w:bookmarkStart w:id="39" w:name="_Toc37331421"/>
      <w:r w:rsidRPr="00CA4E01">
        <w:rPr>
          <w:rFonts w:asciiTheme="minorHAnsi" w:hAnsiTheme="minorHAnsi" w:cstheme="minorHAnsi"/>
          <w:color w:val="365F91" w:themeColor="accent1" w:themeShade="BF"/>
          <w:szCs w:val="24"/>
        </w:rPr>
        <w:lastRenderedPageBreak/>
        <w:t xml:space="preserve">Guidelines to </w:t>
      </w:r>
      <w:r w:rsidR="008C6DE4" w:rsidRPr="00CA4E01">
        <w:rPr>
          <w:rFonts w:asciiTheme="minorHAnsi" w:hAnsiTheme="minorHAnsi" w:cstheme="minorHAnsi"/>
          <w:color w:val="365F91" w:themeColor="accent1" w:themeShade="BF"/>
          <w:szCs w:val="24"/>
        </w:rPr>
        <w:t>U</w:t>
      </w:r>
      <w:r w:rsidRPr="00CA4E01">
        <w:rPr>
          <w:rFonts w:asciiTheme="minorHAnsi" w:hAnsiTheme="minorHAnsi" w:cstheme="minorHAnsi"/>
          <w:color w:val="365F91" w:themeColor="accent1" w:themeShade="BF"/>
          <w:szCs w:val="24"/>
        </w:rPr>
        <w:t>tilize Pillar 5 - International Cooperation</w:t>
      </w:r>
      <w:bookmarkEnd w:id="39"/>
      <w:r w:rsidRPr="00CA4E01">
        <w:rPr>
          <w:rFonts w:asciiTheme="minorHAnsi" w:hAnsiTheme="minorHAnsi" w:cstheme="minorHAnsi"/>
          <w:color w:val="365F91" w:themeColor="accent1" w:themeShade="BF"/>
          <w:szCs w:val="24"/>
        </w:rPr>
        <w:t xml:space="preserve"> </w:t>
      </w:r>
    </w:p>
    <w:tbl>
      <w:tblPr>
        <w:tblStyle w:val="TableGrid"/>
        <w:tblW w:w="0" w:type="auto"/>
        <w:tblLook w:val="04A0" w:firstRow="1" w:lastRow="0" w:firstColumn="1" w:lastColumn="0" w:noHBand="0" w:noVBand="1"/>
      </w:tblPr>
      <w:tblGrid>
        <w:gridCol w:w="8980"/>
      </w:tblGrid>
      <w:tr w:rsidR="00CA4EDA" w:rsidRPr="00CA4E01" w14:paraId="0AA1331C" w14:textId="77777777" w:rsidTr="00235365">
        <w:tc>
          <w:tcPr>
            <w:tcW w:w="8980"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5AFF2936"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6.17</w:t>
            </w:r>
            <w:r w:rsidR="009C61CF" w:rsidRPr="00CA4E01">
              <w:rPr>
                <w:rFonts w:asciiTheme="minorHAnsi" w:hAnsiTheme="minorHAnsi" w:cstheme="minorHAnsi"/>
                <w:b/>
                <w:bCs/>
                <w:szCs w:val="24"/>
              </w:rPr>
              <w:tab/>
            </w:r>
            <w:r w:rsidRPr="00CA4E01">
              <w:rPr>
                <w:rFonts w:asciiTheme="minorHAnsi" w:hAnsiTheme="minorHAnsi" w:cstheme="minorHAnsi"/>
                <w:szCs w:val="24"/>
              </w:rPr>
              <w:t xml:space="preserve">Given the cross-cutting nature of this </w:t>
            </w:r>
            <w:proofErr w:type="gramStart"/>
            <w:r w:rsidRPr="00CA4E01">
              <w:rPr>
                <w:rFonts w:asciiTheme="minorHAnsi" w:hAnsiTheme="minorHAnsi" w:cstheme="minorHAnsi"/>
                <w:szCs w:val="24"/>
              </w:rPr>
              <w:t>Pillar, and</w:t>
            </w:r>
            <w:proofErr w:type="gramEnd"/>
            <w:r w:rsidRPr="00CA4E01">
              <w:rPr>
                <w:rFonts w:asciiTheme="minorHAnsi" w:hAnsiTheme="minorHAnsi" w:cstheme="minorHAnsi"/>
                <w:szCs w:val="24"/>
              </w:rPr>
              <w:t xml:space="preserve"> considering the range of collaborations and partnerships in different sectors of the ITU, it is important for all the sectors of ITU to work closely together and coordinate their efforts, both internally and externally, using effective intersectoral coordination mechanisms and designated focal points. The Recommendations of the HLEG Report 2008 in this regard continue to remain relevant and, based on the information provided in the section above, the following guidelines are further proposed for utilization of Pillar 5:</w:t>
            </w:r>
          </w:p>
          <w:p w14:paraId="09DCF10F" w14:textId="77777777" w:rsidR="00E204EF" w:rsidRPr="00CA4E01" w:rsidRDefault="00CA4EDA" w:rsidP="00FA792E">
            <w:pPr>
              <w:keepNext/>
              <w:keepLines/>
              <w:tabs>
                <w:tab w:val="clear" w:pos="567"/>
                <w:tab w:val="clear" w:pos="1134"/>
                <w:tab w:val="clear" w:pos="1701"/>
                <w:tab w:val="clear" w:pos="2268"/>
                <w:tab w:val="clear" w:pos="2835"/>
              </w:tabs>
              <w:spacing w:after="120"/>
              <w:jc w:val="both"/>
              <w:rPr>
                <w:rFonts w:asciiTheme="minorHAnsi" w:hAnsiTheme="minorHAnsi" w:cstheme="minorHAnsi"/>
                <w:szCs w:val="24"/>
              </w:rPr>
            </w:pPr>
            <w:r w:rsidRPr="00CA4E01">
              <w:rPr>
                <w:rFonts w:asciiTheme="minorHAnsi" w:hAnsiTheme="minorHAnsi" w:cstheme="minorHAnsi"/>
                <w:b/>
                <w:bCs/>
                <w:szCs w:val="24"/>
              </w:rPr>
              <w:t>a.</w:t>
            </w:r>
            <w:r w:rsidRPr="00CA4E01">
              <w:rPr>
                <w:rFonts w:asciiTheme="minorHAnsi" w:hAnsiTheme="minorHAnsi" w:cstheme="minorHAnsi"/>
                <w:b/>
                <w:bCs/>
                <w:szCs w:val="24"/>
              </w:rPr>
              <w:tab/>
            </w:r>
            <w:r w:rsidRPr="00CA4E01">
              <w:rPr>
                <w:rFonts w:asciiTheme="minorHAnsi" w:hAnsiTheme="minorHAnsi" w:cstheme="minorHAnsi"/>
                <w:szCs w:val="24"/>
              </w:rPr>
              <w:t xml:space="preserve">The United Nations has a unique role in fostering cooperation, dialogue, and coordination </w:t>
            </w:r>
            <w:r w:rsidRPr="00CA4E01">
              <w:rPr>
                <w:rFonts w:asciiTheme="minorHAnsi" w:hAnsiTheme="minorHAnsi" w:cstheme="minorHAnsi"/>
                <w:szCs w:val="24"/>
                <w:lang w:val="en-US"/>
              </w:rPr>
              <w:t>among all nations</w:t>
            </w:r>
            <w:r w:rsidRPr="00CA4E01">
              <w:rPr>
                <w:rFonts w:asciiTheme="minorHAnsi" w:hAnsiTheme="minorHAnsi" w:cstheme="minorHAnsi"/>
                <w:szCs w:val="24"/>
              </w:rPr>
              <w:t xml:space="preserve">, as well as with the private sector and other stakeholders, on global cybersecurity matters. ITU, considering its position in the UN system as the specialized agency for ICTs, and </w:t>
            </w:r>
            <w:r w:rsidR="00FB76C2" w:rsidRPr="00CA4E01">
              <w:rPr>
                <w:rFonts w:asciiTheme="minorHAnsi" w:hAnsiTheme="minorHAnsi" w:cstheme="minorHAnsi"/>
                <w:szCs w:val="24"/>
              </w:rPr>
              <w:t xml:space="preserve">sole </w:t>
            </w:r>
            <w:r w:rsidRPr="00CA4E01">
              <w:rPr>
                <w:rFonts w:asciiTheme="minorHAnsi" w:hAnsiTheme="minorHAnsi" w:cstheme="minorHAnsi"/>
                <w:szCs w:val="24"/>
              </w:rPr>
              <w:t>facilitator of Action Line C5 (Building confidence and security in the use of ICTs) should continue to play a leading role,</w:t>
            </w:r>
            <w:r w:rsidR="003246D4" w:rsidRPr="00CA4E01">
              <w:rPr>
                <w:rFonts w:asciiTheme="minorHAnsi" w:hAnsiTheme="minorHAnsi" w:cstheme="minorHAnsi"/>
                <w:szCs w:val="24"/>
              </w:rPr>
              <w:t xml:space="preserve"> in areas</w:t>
            </w:r>
            <w:r w:rsidRPr="00CA4E01">
              <w:rPr>
                <w:rFonts w:asciiTheme="minorHAnsi" w:hAnsiTheme="minorHAnsi" w:cstheme="minorHAnsi"/>
                <w:szCs w:val="24"/>
              </w:rPr>
              <w:t xml:space="preserve"> within its mandate, </w:t>
            </w:r>
            <w:r w:rsidR="003246D4" w:rsidRPr="00CA4E01">
              <w:rPr>
                <w:rFonts w:asciiTheme="minorHAnsi" w:hAnsiTheme="minorHAnsi" w:cstheme="minorHAnsi"/>
                <w:szCs w:val="24"/>
              </w:rPr>
              <w:t xml:space="preserve">on </w:t>
            </w:r>
            <w:r w:rsidRPr="00CA4E01">
              <w:rPr>
                <w:rFonts w:asciiTheme="minorHAnsi" w:hAnsiTheme="minorHAnsi" w:cstheme="minorHAnsi"/>
                <w:szCs w:val="24"/>
              </w:rPr>
              <w:t xml:space="preserve">related developments. </w:t>
            </w:r>
          </w:p>
          <w:p w14:paraId="7C188A43" w14:textId="269262C4"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lang w:val="en-US"/>
              </w:rPr>
              <w:t>b.</w:t>
            </w:r>
            <w:r w:rsidRPr="00CA4E01">
              <w:rPr>
                <w:rFonts w:asciiTheme="minorHAnsi" w:hAnsiTheme="minorHAnsi" w:cstheme="minorHAnsi"/>
                <w:b/>
                <w:bCs/>
                <w:szCs w:val="24"/>
                <w:lang w:val="en-US"/>
              </w:rPr>
              <w:tab/>
            </w:r>
            <w:r w:rsidRPr="00CA4E01">
              <w:rPr>
                <w:rFonts w:asciiTheme="minorHAnsi" w:hAnsiTheme="minorHAnsi" w:cstheme="minorHAnsi"/>
                <w:szCs w:val="24"/>
                <w:lang w:val="en-US"/>
              </w:rPr>
              <w:t xml:space="preserve">Based on the WSIS Process and </w:t>
            </w:r>
            <w:proofErr w:type="gramStart"/>
            <w:r w:rsidRPr="00CA4E01">
              <w:rPr>
                <w:rFonts w:asciiTheme="minorHAnsi" w:hAnsiTheme="minorHAnsi" w:cstheme="minorHAnsi"/>
                <w:szCs w:val="24"/>
                <w:lang w:val="en-US"/>
              </w:rPr>
              <w:t>taking into account</w:t>
            </w:r>
            <w:proofErr w:type="gramEnd"/>
            <w:r w:rsidRPr="00CA4E01">
              <w:rPr>
                <w:rFonts w:asciiTheme="minorHAnsi" w:hAnsiTheme="minorHAnsi" w:cstheme="minorHAnsi"/>
                <w:szCs w:val="24"/>
                <w:lang w:val="en-US"/>
              </w:rPr>
              <w:t xml:space="preserve"> the efforts of the UN Secretary-General’s High</w:t>
            </w:r>
            <w:r w:rsidR="003C12C1">
              <w:rPr>
                <w:rFonts w:asciiTheme="minorHAnsi" w:hAnsiTheme="minorHAnsi" w:cstheme="minorHAnsi"/>
                <w:szCs w:val="24"/>
                <w:lang w:val="en-US"/>
              </w:rPr>
              <w:t>-</w:t>
            </w:r>
            <w:r w:rsidRPr="00CA4E01">
              <w:rPr>
                <w:rFonts w:asciiTheme="minorHAnsi" w:hAnsiTheme="minorHAnsi" w:cstheme="minorHAnsi"/>
                <w:szCs w:val="24"/>
                <w:lang w:val="en-US"/>
              </w:rPr>
              <w:t>Level Panel on Digital Cooperation – especially Recommendation</w:t>
            </w:r>
            <w:r w:rsidRPr="00CA4E01">
              <w:rPr>
                <w:rFonts w:asciiTheme="minorHAnsi" w:hAnsiTheme="minorHAnsi" w:cstheme="minorHAnsi"/>
                <w:szCs w:val="24"/>
              </w:rPr>
              <w:t xml:space="preserve"> </w:t>
            </w:r>
            <w:r w:rsidRPr="00CA4E01">
              <w:rPr>
                <w:rFonts w:asciiTheme="minorHAnsi" w:hAnsiTheme="minorHAnsi" w:cstheme="minorHAnsi"/>
                <w:szCs w:val="24"/>
                <w:lang w:val="en-US"/>
              </w:rPr>
              <w:t>4 (Global Commitment on Trust and Security), ITU should help strengthen facilitation efforts in bringing different players together. These could be through the mechanisms offered under Action Line C5 related processes through the WSIS Forum, as well as those offered by the IGF, among others.</w:t>
            </w:r>
          </w:p>
          <w:p w14:paraId="547D26EC" w14:textId="77777777" w:rsidR="00CA4EDA" w:rsidRPr="00CA4E01" w:rsidRDefault="00CA4EDA" w:rsidP="00FA792E">
            <w:pPr>
              <w:keepNext/>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b/>
                <w:szCs w:val="24"/>
                <w:lang w:val="en-US"/>
              </w:rPr>
            </w:pPr>
            <w:r w:rsidRPr="00CA4E01">
              <w:rPr>
                <w:rFonts w:asciiTheme="minorHAnsi" w:hAnsiTheme="minorHAnsi" w:cstheme="minorHAnsi"/>
                <w:b/>
                <w:szCs w:val="24"/>
                <w:lang w:val="en-US"/>
              </w:rPr>
              <w:t>c.</w:t>
            </w:r>
            <w:r w:rsidRPr="00CA4E01">
              <w:rPr>
                <w:rFonts w:asciiTheme="minorHAnsi" w:hAnsiTheme="minorHAnsi" w:cstheme="minorHAnsi"/>
                <w:b/>
                <w:szCs w:val="24"/>
                <w:lang w:val="en-US"/>
              </w:rPr>
              <w:tab/>
            </w:r>
            <w:r w:rsidRPr="00CA4E01">
              <w:rPr>
                <w:rFonts w:asciiTheme="minorHAnsi" w:hAnsiTheme="minorHAnsi" w:cstheme="minorHAnsi"/>
                <w:bCs/>
                <w:szCs w:val="24"/>
                <w:lang w:val="en-US"/>
              </w:rPr>
              <w:t>While bilateral and multilateral discussions among key players should continue to be encouraged, given the global nature of cyber threats, it is also important that broader discussions should be facilitated among wider groups, including the private sector and other stakeholders. ITU could</w:t>
            </w:r>
            <w:r w:rsidR="005E7C73" w:rsidRPr="00CA4E01">
              <w:rPr>
                <w:rFonts w:asciiTheme="minorHAnsi" w:hAnsiTheme="minorHAnsi" w:cstheme="minorHAnsi"/>
                <w:bCs/>
                <w:szCs w:val="24"/>
                <w:lang w:val="en-US"/>
              </w:rPr>
              <w:t>, in the areas within its mandate,</w:t>
            </w:r>
            <w:r w:rsidRPr="00CA4E01">
              <w:rPr>
                <w:rFonts w:asciiTheme="minorHAnsi" w:hAnsiTheme="minorHAnsi" w:cstheme="minorHAnsi"/>
                <w:bCs/>
                <w:szCs w:val="24"/>
                <w:lang w:val="en-US"/>
              </w:rPr>
              <w:t xml:space="preserve"> play a facilitating role in this regard – working with partners to help bring together </w:t>
            </w:r>
            <w:r w:rsidR="005E7C73" w:rsidRPr="00CA4E01">
              <w:rPr>
                <w:rFonts w:asciiTheme="minorHAnsi" w:hAnsiTheme="minorHAnsi" w:cstheme="minorHAnsi"/>
                <w:bCs/>
                <w:szCs w:val="24"/>
                <w:lang w:val="en-US"/>
              </w:rPr>
              <w:t>all</w:t>
            </w:r>
            <w:r w:rsidRPr="00CA4E01">
              <w:rPr>
                <w:rFonts w:asciiTheme="minorHAnsi" w:hAnsiTheme="minorHAnsi" w:cstheme="minorHAnsi"/>
                <w:bCs/>
                <w:szCs w:val="24"/>
                <w:lang w:val="en-US"/>
              </w:rPr>
              <w:t xml:space="preserve"> stakeholders within the wider global context of the United Nations.  </w:t>
            </w:r>
          </w:p>
          <w:p w14:paraId="604B0BDE"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rPr>
              <w:t>d.</w:t>
            </w:r>
            <w:r w:rsidRPr="00CA4E01">
              <w:rPr>
                <w:rFonts w:asciiTheme="minorHAnsi" w:hAnsiTheme="minorHAnsi" w:cstheme="minorHAnsi"/>
                <w:b/>
                <w:bCs/>
                <w:szCs w:val="24"/>
              </w:rPr>
              <w:tab/>
            </w:r>
            <w:r w:rsidRPr="00CA4E01">
              <w:rPr>
                <w:rFonts w:asciiTheme="minorHAnsi" w:hAnsiTheme="minorHAnsi" w:cstheme="minorHAnsi"/>
                <w:szCs w:val="24"/>
              </w:rPr>
              <w:t xml:space="preserve">ITU should continue to explore innovative, flexible, and agile mechanisms for building partnerships, </w:t>
            </w:r>
            <w:proofErr w:type="gramStart"/>
            <w:r w:rsidRPr="00CA4E01">
              <w:rPr>
                <w:rFonts w:asciiTheme="minorHAnsi" w:hAnsiTheme="minorHAnsi" w:cstheme="minorHAnsi"/>
                <w:szCs w:val="24"/>
              </w:rPr>
              <w:t>taking into account</w:t>
            </w:r>
            <w:proofErr w:type="gramEnd"/>
            <w:r w:rsidRPr="00CA4E01">
              <w:rPr>
                <w:rFonts w:asciiTheme="minorHAnsi" w:hAnsiTheme="minorHAnsi" w:cstheme="minorHAnsi"/>
                <w:szCs w:val="24"/>
              </w:rPr>
              <w:t xml:space="preserve"> the rapidly evolving technology sector and the range of new entities that are emerging – especially start-ups and MSMEs.</w:t>
            </w:r>
          </w:p>
          <w:p w14:paraId="3A131F36" w14:textId="77777777" w:rsidR="00211320"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CA4E01">
              <w:rPr>
                <w:rFonts w:asciiTheme="minorHAnsi" w:hAnsiTheme="minorHAnsi" w:cstheme="minorHAnsi"/>
                <w:b/>
                <w:bCs/>
                <w:szCs w:val="24"/>
                <w:lang w:val="en-US"/>
              </w:rPr>
              <w:t>e.</w:t>
            </w:r>
            <w:r w:rsidRPr="00CA4E01">
              <w:rPr>
                <w:rFonts w:asciiTheme="minorHAnsi" w:hAnsiTheme="minorHAnsi" w:cstheme="minorHAnsi"/>
                <w:b/>
                <w:bCs/>
                <w:szCs w:val="24"/>
                <w:lang w:val="en-US"/>
              </w:rPr>
              <w:tab/>
            </w:r>
            <w:r w:rsidRPr="00CA4E01">
              <w:rPr>
                <w:rFonts w:asciiTheme="minorHAnsi" w:hAnsiTheme="minorHAnsi" w:cstheme="minorHAnsi"/>
                <w:szCs w:val="24"/>
                <w:lang w:val="en-US"/>
              </w:rPr>
              <w:t>ITU should continue to</w:t>
            </w:r>
            <w:r w:rsidR="005E7C73" w:rsidRPr="00CA4E01">
              <w:rPr>
                <w:rFonts w:asciiTheme="minorHAnsi" w:hAnsiTheme="minorHAnsi" w:cstheme="minorHAnsi"/>
                <w:szCs w:val="24"/>
                <w:lang w:val="en-US"/>
              </w:rPr>
              <w:t xml:space="preserve"> actively engage</w:t>
            </w:r>
            <w:r w:rsidRPr="00CA4E01">
              <w:rPr>
                <w:rFonts w:asciiTheme="minorHAnsi" w:hAnsiTheme="minorHAnsi" w:cstheme="minorHAnsi"/>
                <w:szCs w:val="24"/>
                <w:lang w:val="en-US"/>
              </w:rPr>
              <w:t xml:space="preserve"> with other key agencies within the UN</w:t>
            </w:r>
            <w:r w:rsidR="005E7C73" w:rsidRPr="00CA4E01">
              <w:rPr>
                <w:rFonts w:asciiTheme="minorHAnsi" w:hAnsiTheme="minorHAnsi" w:cstheme="minorHAnsi"/>
                <w:szCs w:val="24"/>
                <w:lang w:val="en-US"/>
              </w:rPr>
              <w:t xml:space="preserve"> system</w:t>
            </w:r>
            <w:r w:rsidRPr="00CA4E01">
              <w:rPr>
                <w:rFonts w:asciiTheme="minorHAnsi" w:hAnsiTheme="minorHAnsi" w:cstheme="minorHAnsi"/>
                <w:szCs w:val="24"/>
                <w:lang w:val="en-US"/>
              </w:rPr>
              <w:t xml:space="preserve"> to harmonize</w:t>
            </w:r>
            <w:r w:rsidR="005E7C73" w:rsidRPr="00CA4E01">
              <w:rPr>
                <w:rFonts w:asciiTheme="minorHAnsi" w:hAnsiTheme="minorHAnsi" w:cstheme="minorHAnsi"/>
                <w:szCs w:val="24"/>
                <w:lang w:val="en-US"/>
              </w:rPr>
              <w:t xml:space="preserve"> the </w:t>
            </w:r>
            <w:r w:rsidRPr="00CA4E01">
              <w:rPr>
                <w:rFonts w:asciiTheme="minorHAnsi" w:hAnsiTheme="minorHAnsi" w:cstheme="minorHAnsi"/>
                <w:szCs w:val="24"/>
                <w:lang w:val="en-US"/>
              </w:rPr>
              <w:t>UN</w:t>
            </w:r>
            <w:r w:rsidR="005E7C73" w:rsidRPr="00CA4E01">
              <w:rPr>
                <w:rFonts w:asciiTheme="minorHAnsi" w:hAnsiTheme="minorHAnsi" w:cstheme="minorHAnsi"/>
                <w:szCs w:val="24"/>
                <w:lang w:val="en-US"/>
              </w:rPr>
              <w:t xml:space="preserve"> Secretariat</w:t>
            </w:r>
            <w:r w:rsidRPr="00CA4E01">
              <w:rPr>
                <w:rFonts w:asciiTheme="minorHAnsi" w:hAnsiTheme="minorHAnsi" w:cstheme="minorHAnsi"/>
                <w:szCs w:val="24"/>
                <w:lang w:val="en-US"/>
              </w:rPr>
              <w:t xml:space="preserve">’s internal efforts and streamline its programs and activities on cybersecurity, </w:t>
            </w:r>
            <w:proofErr w:type="gramStart"/>
            <w:r w:rsidRPr="00CA4E01">
              <w:rPr>
                <w:rFonts w:asciiTheme="minorHAnsi" w:hAnsiTheme="minorHAnsi" w:cstheme="minorHAnsi"/>
                <w:szCs w:val="24"/>
                <w:lang w:val="en-US"/>
              </w:rPr>
              <w:t>in order to</w:t>
            </w:r>
            <w:proofErr w:type="gramEnd"/>
            <w:r w:rsidRPr="00CA4E01">
              <w:rPr>
                <w:rFonts w:asciiTheme="minorHAnsi" w:hAnsiTheme="minorHAnsi" w:cstheme="minorHAnsi"/>
                <w:szCs w:val="24"/>
                <w:lang w:val="en-US"/>
              </w:rPr>
              <w:t xml:space="preserve"> be more effective in serving the global community. </w:t>
            </w:r>
          </w:p>
        </w:tc>
      </w:tr>
    </w:tbl>
    <w:p w14:paraId="0D7CBACC" w14:textId="77777777" w:rsidR="00FA792E" w:rsidRPr="00FA792E" w:rsidRDefault="00FA792E" w:rsidP="00FA792E">
      <w:pPr>
        <w:pStyle w:val="Heading1"/>
        <w:keepNext w:val="0"/>
        <w:keepLines w:val="0"/>
        <w:spacing w:before="600" w:after="120"/>
        <w:rPr>
          <w:rFonts w:asciiTheme="minorHAnsi" w:hAnsiTheme="minorHAnsi" w:cstheme="minorHAnsi"/>
          <w:sz w:val="24"/>
          <w:szCs w:val="24"/>
          <w:lang w:val="en-US"/>
        </w:rPr>
      </w:pPr>
      <w:bookmarkStart w:id="40" w:name="_Toc37331422"/>
    </w:p>
    <w:p w14:paraId="65328080" w14:textId="576309D3" w:rsidR="00CA4EDA" w:rsidRPr="00CA4E01" w:rsidRDefault="00CA4EDA" w:rsidP="00FA792E">
      <w:pPr>
        <w:pStyle w:val="Heading1"/>
        <w:spacing w:before="600" w:after="240"/>
        <w:rPr>
          <w:rFonts w:asciiTheme="minorHAnsi" w:hAnsiTheme="minorHAnsi" w:cstheme="minorHAnsi"/>
          <w:color w:val="365F91" w:themeColor="accent1" w:themeShade="BF"/>
          <w:sz w:val="24"/>
          <w:szCs w:val="24"/>
          <w:lang w:val="en-US"/>
        </w:rPr>
      </w:pPr>
      <w:r w:rsidRPr="00CA4E01">
        <w:rPr>
          <w:rFonts w:asciiTheme="minorHAnsi" w:hAnsiTheme="minorHAnsi" w:cstheme="minorHAnsi"/>
          <w:color w:val="365F91" w:themeColor="accent1" w:themeShade="BF"/>
          <w:sz w:val="24"/>
          <w:szCs w:val="24"/>
          <w:lang w:val="en-US"/>
        </w:rPr>
        <w:lastRenderedPageBreak/>
        <w:t xml:space="preserve">Section 7 </w:t>
      </w:r>
      <w:r w:rsidRPr="00CA4E01">
        <w:rPr>
          <w:rFonts w:asciiTheme="minorHAnsi" w:hAnsiTheme="minorHAnsi" w:cstheme="minorHAnsi"/>
          <w:color w:val="365F91" w:themeColor="accent1" w:themeShade="BF"/>
          <w:sz w:val="24"/>
          <w:szCs w:val="24"/>
          <w:lang w:val="en-US"/>
        </w:rPr>
        <w:tab/>
        <w:t>General Guidelines for the GCA Framework</w:t>
      </w:r>
      <w:bookmarkEnd w:id="40"/>
    </w:p>
    <w:tbl>
      <w:tblPr>
        <w:tblStyle w:val="TableGrid"/>
        <w:tblW w:w="0" w:type="auto"/>
        <w:tblLook w:val="04A0" w:firstRow="1" w:lastRow="0" w:firstColumn="1" w:lastColumn="0" w:noHBand="0" w:noVBand="1"/>
      </w:tblPr>
      <w:tblGrid>
        <w:gridCol w:w="9016"/>
      </w:tblGrid>
      <w:tr w:rsidR="00CA4EDA" w:rsidRPr="00CA4E01" w14:paraId="403A30D2" w14:textId="77777777" w:rsidTr="00235365">
        <w:tc>
          <w:tcPr>
            <w:tcW w:w="9016"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14:paraId="7960063B"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val="en-US"/>
              </w:rPr>
            </w:pPr>
            <w:r w:rsidRPr="00CA4E01">
              <w:rPr>
                <w:rFonts w:asciiTheme="minorHAnsi" w:hAnsiTheme="minorHAnsi" w:cstheme="minorHAnsi"/>
                <w:b/>
                <w:bCs/>
                <w:szCs w:val="24"/>
                <w:lang w:val="en-US"/>
              </w:rPr>
              <w:t>7.1</w:t>
            </w:r>
            <w:r w:rsidRPr="00CA4E01">
              <w:rPr>
                <w:rFonts w:asciiTheme="minorHAnsi" w:hAnsiTheme="minorHAnsi" w:cstheme="minorHAnsi"/>
                <w:b/>
                <w:bCs/>
                <w:szCs w:val="24"/>
                <w:lang w:val="en-US"/>
              </w:rPr>
              <w:tab/>
            </w:r>
            <w:r w:rsidRPr="00CA4E01">
              <w:rPr>
                <w:rFonts w:asciiTheme="minorHAnsi" w:hAnsiTheme="minorHAnsi" w:cstheme="minorHAnsi"/>
                <w:szCs w:val="24"/>
                <w:lang w:val="en-US"/>
              </w:rPr>
              <w:t xml:space="preserve">The process of developing guidelines for utilization of the GCA yielded a few broad cross-cutting guidelines that are applicable and relevant across the work of the ITU and the five Pillars of the GCA. Recognizing the strong interlinkages between the Pillars, and the need for ITU and its members to work towards a holistic and comprehensive vision of action on cybersecurity, these general guidelines are </w:t>
            </w:r>
            <w:r w:rsidRPr="00CA4E01">
              <w:rPr>
                <w:rFonts w:asciiTheme="minorHAnsi" w:hAnsiTheme="minorHAnsi" w:cstheme="minorHAnsi"/>
                <w:szCs w:val="24"/>
              </w:rPr>
              <w:t>proposed</w:t>
            </w:r>
            <w:r w:rsidRPr="00CA4E01">
              <w:rPr>
                <w:rFonts w:asciiTheme="minorHAnsi" w:hAnsiTheme="minorHAnsi" w:cstheme="minorHAnsi"/>
                <w:szCs w:val="24"/>
                <w:lang w:val="en-US"/>
              </w:rPr>
              <w:t xml:space="preserve"> below:</w:t>
            </w:r>
          </w:p>
          <w:p w14:paraId="73DC1093" w14:textId="77777777" w:rsidR="00CA4EDA" w:rsidRPr="00CA4E01" w:rsidRDefault="00CA4EDA" w:rsidP="00FA792E">
            <w:pPr>
              <w:keepNext/>
              <w:keepLines/>
              <w:spacing w:after="120"/>
              <w:jc w:val="both"/>
              <w:rPr>
                <w:rFonts w:asciiTheme="minorHAnsi" w:hAnsiTheme="minorHAnsi" w:cstheme="minorHAnsi"/>
                <w:szCs w:val="24"/>
                <w:lang w:val="en-US"/>
              </w:rPr>
            </w:pPr>
            <w:r w:rsidRPr="00CA4E01">
              <w:rPr>
                <w:rFonts w:asciiTheme="minorHAnsi" w:hAnsiTheme="minorHAnsi" w:cstheme="minorHAnsi"/>
                <w:b/>
                <w:bCs/>
                <w:szCs w:val="24"/>
                <w:lang w:val="en-US"/>
              </w:rPr>
              <w:t>a.</w:t>
            </w:r>
            <w:r w:rsidRPr="00CA4E01">
              <w:rPr>
                <w:rFonts w:asciiTheme="minorHAnsi" w:hAnsiTheme="minorHAnsi" w:cstheme="minorHAnsi"/>
                <w:szCs w:val="24"/>
                <w:lang w:val="en-US"/>
              </w:rPr>
              <w:tab/>
              <w:t xml:space="preserve">Given the proliferation of stakeholders, organizations, partnerships, and venues that are working on cybersecurity and driving different aspects of progress, ITU should continue to strengthen and expand its collaborations and engagements to the collective benefit of all such stakeholders, </w:t>
            </w:r>
            <w:proofErr w:type="gramStart"/>
            <w:r w:rsidRPr="00CA4E01">
              <w:rPr>
                <w:rFonts w:asciiTheme="minorHAnsi" w:hAnsiTheme="minorHAnsi" w:cstheme="minorHAnsi"/>
                <w:szCs w:val="24"/>
                <w:lang w:val="en-US"/>
              </w:rPr>
              <w:t>in order to</w:t>
            </w:r>
            <w:proofErr w:type="gramEnd"/>
            <w:r w:rsidRPr="00CA4E01">
              <w:rPr>
                <w:rFonts w:asciiTheme="minorHAnsi" w:hAnsiTheme="minorHAnsi" w:cstheme="minorHAnsi"/>
                <w:szCs w:val="24"/>
                <w:lang w:val="en-US"/>
              </w:rPr>
              <w:t xml:space="preserve"> enhance knowledge sharing and exchange of information and expertise while also avoiding duplication of efforts.</w:t>
            </w:r>
          </w:p>
          <w:p w14:paraId="5C74BD14"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lang w:val="en-US"/>
              </w:rPr>
              <w:t>b.</w:t>
            </w:r>
            <w:r w:rsidRPr="00CA4E01">
              <w:rPr>
                <w:rFonts w:asciiTheme="minorHAnsi" w:hAnsiTheme="minorHAnsi" w:cstheme="minorHAnsi"/>
                <w:b/>
                <w:bCs/>
                <w:szCs w:val="24"/>
                <w:lang w:val="en-US"/>
              </w:rPr>
              <w:tab/>
            </w:r>
            <w:r w:rsidRPr="00CA4E01">
              <w:rPr>
                <w:rFonts w:asciiTheme="minorHAnsi" w:hAnsiTheme="minorHAnsi" w:cstheme="minorHAnsi"/>
                <w:szCs w:val="24"/>
              </w:rPr>
              <w:t xml:space="preserve">ITU should serve as a repository of information for the various global activities, initiatives, and projects that are being carried out on different facets of cybersecurity by other stakeholders and organizations active in this field, and who may have the lead mandate, role and/or responsibilities in those specific facets,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enable the international community to have an easy point of access to all such resources.</w:t>
            </w:r>
          </w:p>
          <w:p w14:paraId="058694D7"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rPr>
            </w:pPr>
            <w:r w:rsidRPr="00CA4E01">
              <w:rPr>
                <w:rFonts w:asciiTheme="minorHAnsi" w:hAnsiTheme="minorHAnsi" w:cstheme="minorHAnsi"/>
                <w:b/>
                <w:bCs/>
                <w:szCs w:val="24"/>
                <w:lang w:val="en-US"/>
              </w:rPr>
              <w:t>c</w:t>
            </w:r>
            <w:r w:rsidRPr="00CA4E01">
              <w:rPr>
                <w:rFonts w:asciiTheme="minorHAnsi" w:hAnsiTheme="minorHAnsi" w:cstheme="minorHAnsi"/>
                <w:szCs w:val="24"/>
                <w:lang w:val="en-US"/>
              </w:rPr>
              <w:t>.</w:t>
            </w:r>
            <w:r w:rsidRPr="00CA4E01">
              <w:rPr>
                <w:rFonts w:asciiTheme="minorHAnsi" w:hAnsiTheme="minorHAnsi" w:cstheme="minorHAnsi"/>
                <w:szCs w:val="24"/>
                <w:lang w:val="en-US"/>
              </w:rPr>
              <w:tab/>
              <w:t>All work carried out by ITU pursuant to the GCA should be guided by a clear assessment of the needs and objectives of its members</w:t>
            </w:r>
            <w:r w:rsidR="0078724A" w:rsidRPr="00CA4E01">
              <w:rPr>
                <w:rFonts w:asciiTheme="minorHAnsi" w:hAnsiTheme="minorHAnsi" w:cstheme="minorHAnsi"/>
                <w:szCs w:val="24"/>
                <w:lang w:val="en-US"/>
              </w:rPr>
              <w:t xml:space="preserve"> using tools such as the GCI</w:t>
            </w:r>
            <w:r w:rsidRPr="00CA4E01">
              <w:rPr>
                <w:rFonts w:asciiTheme="minorHAnsi" w:hAnsiTheme="minorHAnsi" w:cstheme="minorHAnsi"/>
                <w:szCs w:val="24"/>
                <w:lang w:val="en-US"/>
              </w:rPr>
              <w:t>, the deliverables required to meet them, and in accordance with appropriate metrics and measurements that are designed specifically for this purpose</w:t>
            </w:r>
            <w:r w:rsidRPr="00CA4E01">
              <w:rPr>
                <w:rFonts w:asciiTheme="minorHAnsi" w:hAnsiTheme="minorHAnsi" w:cstheme="minorHAnsi"/>
                <w:szCs w:val="24"/>
              </w:rPr>
              <w:t>.</w:t>
            </w:r>
          </w:p>
          <w:p w14:paraId="1708B727" w14:textId="77777777" w:rsidR="00CA4EDA" w:rsidRPr="00CA4E01" w:rsidRDefault="00CA4EDA" w:rsidP="00FA792E">
            <w:pPr>
              <w:keepNext/>
              <w:keepLines/>
              <w:spacing w:after="120"/>
              <w:jc w:val="both"/>
              <w:rPr>
                <w:rFonts w:asciiTheme="minorHAnsi" w:hAnsiTheme="minorHAnsi" w:cstheme="minorHAnsi"/>
                <w:szCs w:val="24"/>
              </w:rPr>
            </w:pPr>
            <w:r w:rsidRPr="00CA4E01">
              <w:rPr>
                <w:rFonts w:asciiTheme="minorHAnsi" w:hAnsiTheme="minorHAnsi" w:cstheme="minorHAnsi"/>
                <w:b/>
                <w:bCs/>
                <w:szCs w:val="24"/>
              </w:rPr>
              <w:t>d.</w:t>
            </w:r>
            <w:r w:rsidRPr="00CA4E01">
              <w:rPr>
                <w:rFonts w:asciiTheme="minorHAnsi" w:hAnsiTheme="minorHAnsi" w:cstheme="minorHAnsi"/>
                <w:szCs w:val="24"/>
              </w:rPr>
              <w:tab/>
              <w:t xml:space="preserve">ITU should continue to follow the development and use of new and emerging ICTs </w:t>
            </w:r>
            <w:proofErr w:type="gramStart"/>
            <w:r w:rsidRPr="00CA4E01">
              <w:rPr>
                <w:rFonts w:asciiTheme="minorHAnsi" w:hAnsiTheme="minorHAnsi" w:cstheme="minorHAnsi"/>
                <w:szCs w:val="24"/>
              </w:rPr>
              <w:t>in order to</w:t>
            </w:r>
            <w:proofErr w:type="gramEnd"/>
            <w:r w:rsidRPr="00CA4E01">
              <w:rPr>
                <w:rFonts w:asciiTheme="minorHAnsi" w:hAnsiTheme="minorHAnsi" w:cstheme="minorHAnsi"/>
                <w:szCs w:val="24"/>
              </w:rPr>
              <w:t xml:space="preserve"> guide Member States and stakeholders on the security aspects of these technologies</w:t>
            </w:r>
            <w:r w:rsidR="001E1220" w:rsidRPr="00CA4E01">
              <w:rPr>
                <w:rFonts w:asciiTheme="minorHAnsi" w:hAnsiTheme="minorHAnsi" w:cstheme="minorHAnsi"/>
                <w:szCs w:val="24"/>
              </w:rPr>
              <w:t xml:space="preserve"> in areas </w:t>
            </w:r>
            <w:r w:rsidR="001341AA" w:rsidRPr="00CA4E01">
              <w:rPr>
                <w:rFonts w:asciiTheme="minorHAnsi" w:hAnsiTheme="minorHAnsi" w:cstheme="minorHAnsi"/>
                <w:szCs w:val="24"/>
              </w:rPr>
              <w:t xml:space="preserve">within </w:t>
            </w:r>
            <w:r w:rsidR="001E1220" w:rsidRPr="00CA4E01">
              <w:rPr>
                <w:rFonts w:asciiTheme="minorHAnsi" w:hAnsiTheme="minorHAnsi" w:cstheme="minorHAnsi"/>
                <w:szCs w:val="24"/>
              </w:rPr>
              <w:t>its mandate</w:t>
            </w:r>
            <w:r w:rsidRPr="00CA4E01">
              <w:rPr>
                <w:rFonts w:asciiTheme="minorHAnsi" w:hAnsiTheme="minorHAnsi" w:cstheme="minorHAnsi"/>
                <w:szCs w:val="24"/>
              </w:rPr>
              <w:t xml:space="preserve"> and, where relevant, their potential application to counter cyber threats. </w:t>
            </w:r>
          </w:p>
          <w:p w14:paraId="44670BBD" w14:textId="77777777" w:rsidR="00CA4EDA" w:rsidRPr="00CA4E01" w:rsidRDefault="00CA4EDA" w:rsidP="00FA792E">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asciiTheme="minorHAnsi" w:hAnsiTheme="minorHAnsi" w:cstheme="minorHAnsi"/>
                <w:szCs w:val="24"/>
                <w:lang w:eastAsia="zh-CN"/>
              </w:rPr>
            </w:pPr>
            <w:r w:rsidRPr="00CA4E01">
              <w:rPr>
                <w:rFonts w:asciiTheme="minorHAnsi" w:hAnsiTheme="minorHAnsi" w:cstheme="minorHAnsi"/>
                <w:b/>
                <w:bCs/>
                <w:szCs w:val="24"/>
                <w:lang w:eastAsia="zh-CN"/>
              </w:rPr>
              <w:t>e.</w:t>
            </w:r>
            <w:r w:rsidRPr="00CA4E01">
              <w:rPr>
                <w:rFonts w:asciiTheme="minorHAnsi" w:hAnsiTheme="minorHAnsi" w:cstheme="minorHAnsi"/>
                <w:szCs w:val="24"/>
                <w:lang w:eastAsia="zh-CN"/>
              </w:rPr>
              <w:tab/>
            </w:r>
            <w:r w:rsidRPr="00CA4E01">
              <w:rPr>
                <w:rFonts w:asciiTheme="minorHAnsi" w:hAnsiTheme="minorHAnsi" w:cstheme="minorHAnsi"/>
                <w:szCs w:val="24"/>
              </w:rPr>
              <w:t>Given the intrinsically transnational and cross-sectoral impact of</w:t>
            </w:r>
            <w:r w:rsidRPr="00CA4E01">
              <w:rPr>
                <w:rFonts w:asciiTheme="minorHAnsi" w:hAnsiTheme="minorHAnsi" w:cstheme="minorHAnsi"/>
                <w:bCs/>
                <w:iCs/>
                <w:szCs w:val="24"/>
                <w:lang w:val="en-US"/>
              </w:rPr>
              <w:t xml:space="preserve"> cybersecurity, ITU should promote activities, initiatives, and projects that can help Member States foster a whole-of-government approach to tackle the issue.</w:t>
            </w:r>
          </w:p>
        </w:tc>
      </w:tr>
    </w:tbl>
    <w:p w14:paraId="136FB5FE" w14:textId="4E26C3B3" w:rsidR="00CA4EDA" w:rsidRPr="00D2656A" w:rsidRDefault="00D2656A" w:rsidP="00FA792E">
      <w:pPr>
        <w:pStyle w:val="Heading1"/>
        <w:spacing w:before="840"/>
        <w:jc w:val="center"/>
        <w:rPr>
          <w:rFonts w:asciiTheme="minorHAnsi" w:hAnsiTheme="minorHAnsi" w:cstheme="minorHAnsi"/>
          <w:b w:val="0"/>
          <w:bCs/>
          <w:sz w:val="24"/>
          <w:szCs w:val="24"/>
          <w:lang w:val="en-US"/>
        </w:rPr>
      </w:pPr>
      <w:r w:rsidRPr="00D2656A">
        <w:rPr>
          <w:rFonts w:asciiTheme="minorHAnsi" w:hAnsiTheme="minorHAnsi" w:cstheme="minorHAnsi"/>
          <w:b w:val="0"/>
          <w:bCs/>
          <w:sz w:val="24"/>
          <w:szCs w:val="24"/>
          <w:lang w:val="en-US"/>
        </w:rPr>
        <w:t>_________________</w:t>
      </w:r>
    </w:p>
    <w:sectPr w:rsidR="00CA4EDA" w:rsidRPr="00D2656A" w:rsidSect="004D1851">
      <w:headerReference w:type="default" r:id="rId51"/>
      <w:footerReference w:type="default" r:id="rId52"/>
      <w:footerReference w:type="first" r:id="rId5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15664" w14:textId="77777777" w:rsidR="0005371B" w:rsidRDefault="0005371B">
      <w:r>
        <w:separator/>
      </w:r>
    </w:p>
  </w:endnote>
  <w:endnote w:type="continuationSeparator" w:id="0">
    <w:p w14:paraId="110642F5" w14:textId="77777777" w:rsidR="0005371B" w:rsidRDefault="0005371B">
      <w:r>
        <w:continuationSeparator/>
      </w:r>
    </w:p>
  </w:endnote>
  <w:endnote w:type="continuationNotice" w:id="1">
    <w:p w14:paraId="530F3295" w14:textId="77777777" w:rsidR="0005371B" w:rsidRDefault="000537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C2CF" w14:textId="6DAD91F4" w:rsidR="008F24EC" w:rsidRPr="003202FF" w:rsidRDefault="008F24EC">
    <w:pPr>
      <w:pStyle w:val="Footer"/>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BE28" w14:textId="77777777" w:rsidR="008F24EC" w:rsidRDefault="008F24EC" w:rsidP="003202FF">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DE4" w14:textId="77777777" w:rsidR="0005371B" w:rsidRDefault="0005371B">
      <w:r>
        <w:t>____________________</w:t>
      </w:r>
    </w:p>
  </w:footnote>
  <w:footnote w:type="continuationSeparator" w:id="0">
    <w:p w14:paraId="751BEBD3" w14:textId="77777777" w:rsidR="0005371B" w:rsidRDefault="0005371B">
      <w:r>
        <w:continuationSeparator/>
      </w:r>
    </w:p>
  </w:footnote>
  <w:footnote w:type="continuationNotice" w:id="1">
    <w:p w14:paraId="45915AB5" w14:textId="77777777" w:rsidR="0005371B" w:rsidRDefault="0005371B">
      <w:pPr>
        <w:spacing w:before="0"/>
      </w:pPr>
    </w:p>
  </w:footnote>
  <w:footnote w:id="2">
    <w:p w14:paraId="634F061B" w14:textId="77777777" w:rsidR="008F24EC" w:rsidRPr="003872A3" w:rsidRDefault="008F24EC" w:rsidP="009C61CF">
      <w:pPr>
        <w:pStyle w:val="FootnoteText"/>
        <w:tabs>
          <w:tab w:val="clear" w:pos="256"/>
          <w:tab w:val="clear" w:pos="567"/>
          <w:tab w:val="clear" w:pos="1134"/>
          <w:tab w:val="clear" w:pos="1701"/>
          <w:tab w:val="clear" w:pos="2268"/>
          <w:tab w:val="clear" w:pos="2835"/>
        </w:tabs>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Minutes of the Plenipotentiary Seventeenth Plenary Meeting, Dubai, Thursday 15 November 2018</w:t>
      </w:r>
      <w:r>
        <w:rPr>
          <w:rFonts w:asciiTheme="minorHAnsi" w:hAnsiTheme="minorHAnsi" w:cstheme="minorHAnsi"/>
          <w:sz w:val="18"/>
          <w:szCs w:val="18"/>
        </w:rPr>
        <w:t xml:space="preserve">, available at </w:t>
      </w:r>
      <w:hyperlink r:id="rId1" w:history="1">
        <w:r w:rsidRPr="00FA7AD8">
          <w:rPr>
            <w:rStyle w:val="Hyperlink"/>
            <w:rFonts w:asciiTheme="minorHAnsi" w:hAnsiTheme="minorHAnsi" w:cstheme="minorHAnsi"/>
            <w:sz w:val="18"/>
            <w:szCs w:val="18"/>
          </w:rPr>
          <w:t>https://www.itu.int/md/S18-PP-C-0174/en</w:t>
        </w:r>
      </w:hyperlink>
    </w:p>
  </w:footnote>
  <w:footnote w:id="3">
    <w:p w14:paraId="69AA325E" w14:textId="77777777" w:rsidR="008F24EC" w:rsidRPr="003872A3" w:rsidRDefault="008F24EC" w:rsidP="009C61CF">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lang w:val="en-US"/>
        </w:rPr>
        <w:t xml:space="preserve">Transmission of the Report from the former Chairman of GCA High-Level Experts Group (C19/58), ITU, 8 May 2019, </w:t>
      </w:r>
      <w:r>
        <w:rPr>
          <w:rFonts w:asciiTheme="minorHAnsi" w:hAnsiTheme="minorHAnsi" w:cstheme="minorHAnsi"/>
          <w:sz w:val="18"/>
          <w:szCs w:val="18"/>
          <w:lang w:val="en-US"/>
        </w:rPr>
        <w:t xml:space="preserve">available at </w:t>
      </w:r>
      <w:hyperlink r:id="rId2" w:history="1">
        <w:r w:rsidRPr="00EB64FB">
          <w:rPr>
            <w:rStyle w:val="Hyperlink"/>
            <w:rFonts w:asciiTheme="minorHAnsi" w:hAnsiTheme="minorHAnsi" w:cstheme="minorHAnsi"/>
            <w:sz w:val="18"/>
            <w:szCs w:val="18"/>
          </w:rPr>
          <w:t>https://www.itu.int/md/S19-CL-C-0058/en</w:t>
        </w:r>
      </w:hyperlink>
    </w:p>
  </w:footnote>
  <w:footnote w:id="4">
    <w:p w14:paraId="415B23F4" w14:textId="77777777" w:rsidR="008F24EC" w:rsidRPr="003872A3" w:rsidRDefault="008F24EC" w:rsidP="009C61CF">
      <w:pPr>
        <w:pStyle w:val="FootnoteText"/>
        <w:tabs>
          <w:tab w:val="clear" w:pos="256"/>
          <w:tab w:val="clear" w:pos="567"/>
          <w:tab w:val="clear" w:pos="1134"/>
          <w:tab w:val="clear" w:pos="1701"/>
          <w:tab w:val="clear" w:pos="2268"/>
          <w:tab w:val="clear" w:pos="2835"/>
        </w:tabs>
        <w:spacing w:before="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9C61CF">
        <w:rPr>
          <w:rFonts w:asciiTheme="minorHAnsi" w:hAnsiTheme="minorHAnsi" w:cstheme="minorHAnsi"/>
          <w:spacing w:val="-2"/>
          <w:sz w:val="18"/>
          <w:szCs w:val="18"/>
        </w:rPr>
        <w:t xml:space="preserve">Summary record of the sixth Plenary meeting (C19/117), ITU, 20 June 2019, available at </w:t>
      </w:r>
      <w:hyperlink r:id="rId3" w:history="1">
        <w:r w:rsidRPr="009C61CF">
          <w:rPr>
            <w:rStyle w:val="Hyperlink"/>
            <w:rFonts w:asciiTheme="minorHAnsi" w:hAnsiTheme="minorHAnsi" w:cstheme="minorHAnsi"/>
            <w:spacing w:val="-2"/>
            <w:sz w:val="18"/>
            <w:szCs w:val="18"/>
          </w:rPr>
          <w:t>https://www.itu.int/md/S19-CL-C-0117/en</w:t>
        </w:r>
      </w:hyperlink>
    </w:p>
  </w:footnote>
  <w:footnote w:id="5">
    <w:p w14:paraId="607F1F61" w14:textId="73429E4F" w:rsidR="008F24EC" w:rsidRPr="00FA32C2" w:rsidRDefault="008F24EC" w:rsidP="009C61CF">
      <w:pPr>
        <w:pStyle w:val="FootnoteText"/>
        <w:tabs>
          <w:tab w:val="clear" w:pos="256"/>
          <w:tab w:val="clear" w:pos="567"/>
          <w:tab w:val="clear" w:pos="1134"/>
          <w:tab w:val="clear" w:pos="1701"/>
          <w:tab w:val="clear" w:pos="2268"/>
          <w:tab w:val="clear" w:pos="2835"/>
        </w:tabs>
        <w:spacing w:before="0"/>
        <w:ind w:left="284" w:hanging="284"/>
        <w:jc w:val="both"/>
        <w:rPr>
          <w:lang w:val="en-US"/>
        </w:rPr>
      </w:pPr>
      <w:r w:rsidRPr="00286965">
        <w:rPr>
          <w:rStyle w:val="FootnoteReference"/>
          <w:sz w:val="18"/>
          <w:szCs w:val="18"/>
          <w:vertAlign w:val="superscript"/>
        </w:rPr>
        <w:footnoteRef/>
      </w:r>
      <w:r>
        <w:rPr>
          <w:sz w:val="18"/>
          <w:szCs w:val="18"/>
          <w:lang w:val="en-US"/>
        </w:rPr>
        <w:t xml:space="preserve"> For m</w:t>
      </w:r>
      <w:r w:rsidRPr="00FA32C2">
        <w:rPr>
          <w:sz w:val="18"/>
          <w:szCs w:val="18"/>
          <w:lang w:val="en-US"/>
        </w:rPr>
        <w:t>ore information</w:t>
      </w:r>
      <w:r>
        <w:rPr>
          <w:sz w:val="18"/>
          <w:szCs w:val="18"/>
          <w:lang w:val="en-US"/>
        </w:rPr>
        <w:t xml:space="preserve"> on the process, and for inputs received from Member States</w:t>
      </w:r>
      <w:r w:rsidRPr="006B7028">
        <w:rPr>
          <w:sz w:val="18"/>
          <w:szCs w:val="18"/>
          <w:lang w:val="en-US"/>
        </w:rPr>
        <w:t xml:space="preserve"> and other stakeholders</w:t>
      </w:r>
      <w:r>
        <w:rPr>
          <w:sz w:val="18"/>
          <w:szCs w:val="18"/>
          <w:lang w:val="en-US"/>
        </w:rPr>
        <w:t>,</w:t>
      </w:r>
      <w:r w:rsidRPr="00FA32C2">
        <w:rPr>
          <w:sz w:val="18"/>
          <w:szCs w:val="18"/>
          <w:lang w:val="en-US"/>
        </w:rPr>
        <w:t xml:space="preserve"> </w:t>
      </w:r>
      <w:r>
        <w:rPr>
          <w:sz w:val="18"/>
          <w:szCs w:val="18"/>
          <w:lang w:val="en-US"/>
        </w:rPr>
        <w:t xml:space="preserve">please visit: </w:t>
      </w:r>
      <w:hyperlink r:id="rId4" w:history="1">
        <w:r w:rsidRPr="007871B2">
          <w:rPr>
            <w:rStyle w:val="Hyperlink"/>
            <w:sz w:val="18"/>
            <w:szCs w:val="18"/>
          </w:rPr>
          <w:t>https://www.itu.int/en/action/cybersecurity/Pages/gca-guidelines.aspx</w:t>
        </w:r>
      </w:hyperlink>
    </w:p>
  </w:footnote>
  <w:footnote w:id="6">
    <w:p w14:paraId="07E3C0FB" w14:textId="77777777" w:rsidR="008F24EC" w:rsidRPr="002674FC" w:rsidRDefault="008F24EC" w:rsidP="009C61CF">
      <w:pPr>
        <w:pStyle w:val="FootnoteText"/>
        <w:tabs>
          <w:tab w:val="clear" w:pos="256"/>
          <w:tab w:val="clear" w:pos="567"/>
          <w:tab w:val="clear" w:pos="1134"/>
          <w:tab w:val="clear" w:pos="1701"/>
          <w:tab w:val="clear" w:pos="2268"/>
          <w:tab w:val="clear" w:pos="2835"/>
        </w:tabs>
        <w:ind w:left="284" w:hanging="284"/>
        <w:rPr>
          <w:lang w:val="en-US"/>
        </w:rPr>
      </w:pPr>
      <w:r w:rsidRPr="00BB4E2D">
        <w:rPr>
          <w:rStyle w:val="FootnoteReference"/>
          <w:vertAlign w:val="superscript"/>
        </w:rPr>
        <w:footnoteRef/>
      </w:r>
      <w:r w:rsidRPr="00BB4E2D">
        <w:rPr>
          <w:vertAlign w:val="superscript"/>
        </w:rPr>
        <w:t xml:space="preserve"> </w:t>
      </w:r>
      <w:r>
        <w:rPr>
          <w:vertAlign w:val="superscript"/>
        </w:rPr>
        <w:tab/>
      </w:r>
      <w:r w:rsidRPr="002674FC">
        <w:rPr>
          <w:sz w:val="18"/>
          <w:szCs w:val="18"/>
        </w:rPr>
        <w:t xml:space="preserve">WSIS Outcome Documents, 2005, available at </w:t>
      </w:r>
      <w:hyperlink r:id="rId5" w:tooltip="https://www.itu.int/net/wsis/outcome/booklet.pdf" w:history="1">
        <w:r w:rsidRPr="002674FC">
          <w:rPr>
            <w:rStyle w:val="Hyperlink"/>
            <w:sz w:val="18"/>
            <w:szCs w:val="18"/>
          </w:rPr>
          <w:t>https://www.itu.int/net/wsis/outcome/booklet.pdf</w:t>
        </w:r>
      </w:hyperlink>
    </w:p>
  </w:footnote>
  <w:footnote w:id="7">
    <w:p w14:paraId="476F1082" w14:textId="0729643F" w:rsidR="008F24EC" w:rsidRPr="003872A3" w:rsidRDefault="008F24EC" w:rsidP="009C61CF">
      <w:pPr>
        <w:tabs>
          <w:tab w:val="clear" w:pos="567"/>
          <w:tab w:val="clear" w:pos="1134"/>
          <w:tab w:val="clear" w:pos="1701"/>
          <w:tab w:val="clear" w:pos="2268"/>
          <w:tab w:val="clear" w:pos="2835"/>
        </w:tabs>
        <w:spacing w:before="40" w:after="100"/>
        <w:ind w:left="284" w:hanging="284"/>
        <w:rPr>
          <w:rFonts w:asciiTheme="minorHAnsi" w:hAnsiTheme="minorHAnsi" w:cstheme="minorHAnsi"/>
          <w:sz w:val="18"/>
          <w:szCs w:val="18"/>
        </w:rPr>
      </w:pPr>
      <w:r w:rsidRPr="003872A3">
        <w:rPr>
          <w:rFonts w:asciiTheme="minorHAnsi" w:hAnsiTheme="minorHAnsi" w:cstheme="minorHAnsi"/>
          <w:sz w:val="18"/>
          <w:szCs w:val="18"/>
          <w:vertAlign w:val="superscript"/>
        </w:rPr>
        <w:footnoteRef/>
      </w:r>
      <w:r>
        <w:rPr>
          <w:rFonts w:asciiTheme="minorHAnsi" w:hAnsiTheme="minorHAnsi" w:cstheme="minorHAnsi"/>
          <w:sz w:val="18"/>
          <w:szCs w:val="18"/>
        </w:rPr>
        <w:tab/>
      </w:r>
      <w:r w:rsidRPr="003872A3">
        <w:rPr>
          <w:rFonts w:asciiTheme="minorHAnsi" w:hAnsiTheme="minorHAnsi" w:cstheme="minorHAnsi"/>
          <w:sz w:val="18"/>
          <w:szCs w:val="18"/>
        </w:rPr>
        <w:t>Judge Stein Schjolberg: Report from the Chairman of HLEG</w:t>
      </w:r>
      <w:r>
        <w:rPr>
          <w:rFonts w:asciiTheme="minorHAnsi" w:hAnsiTheme="minorHAnsi" w:cstheme="minorHAnsi"/>
          <w:sz w:val="18"/>
          <w:szCs w:val="18"/>
        </w:rPr>
        <w:t xml:space="preserve">, 2008, available at </w:t>
      </w:r>
      <w:hyperlink r:id="rId6" w:history="1">
        <w:r w:rsidRPr="002835C3">
          <w:rPr>
            <w:rStyle w:val="Hyperlink"/>
            <w:rFonts w:asciiTheme="minorHAnsi" w:hAnsiTheme="minorHAnsi" w:cstheme="minorHAnsi"/>
            <w:sz w:val="18"/>
            <w:szCs w:val="18"/>
          </w:rPr>
          <w:t>https://www.itu.int/en/action/cybersecurity/Pages/gca.aspx</w:t>
        </w:r>
      </w:hyperlink>
    </w:p>
  </w:footnote>
  <w:footnote w:id="8">
    <w:p w14:paraId="0AD93554" w14:textId="77777777" w:rsidR="008F24EC" w:rsidRPr="00B762D6" w:rsidRDefault="008F24EC" w:rsidP="00DE6F0B">
      <w:pPr>
        <w:pStyle w:val="FootnoteText"/>
        <w:tabs>
          <w:tab w:val="clear" w:pos="256"/>
          <w:tab w:val="clear" w:pos="567"/>
          <w:tab w:val="clear" w:pos="1134"/>
          <w:tab w:val="clear" w:pos="1701"/>
          <w:tab w:val="clear" w:pos="2268"/>
          <w:tab w:val="clear" w:pos="2835"/>
          <w:tab w:val="left" w:pos="0"/>
        </w:tabs>
        <w:ind w:left="284" w:hanging="284"/>
        <w:jc w:val="both"/>
        <w:rPr>
          <w:vertAlign w:val="superscript"/>
          <w:lang w:val="en-US"/>
        </w:rPr>
      </w:pPr>
      <w:r w:rsidRPr="00057452">
        <w:rPr>
          <w:rStyle w:val="FootnoteReference"/>
          <w:vertAlign w:val="superscript"/>
        </w:rPr>
        <w:footnoteRef/>
      </w:r>
      <w:r>
        <w:rPr>
          <w:vertAlign w:val="superscript"/>
          <w:lang w:val="en-US"/>
        </w:rPr>
        <w:t xml:space="preserve"> </w:t>
      </w:r>
      <w:r>
        <w:rPr>
          <w:vertAlign w:val="superscript"/>
          <w:lang w:val="en-US"/>
        </w:rPr>
        <w:tab/>
      </w:r>
      <w:r w:rsidRPr="00057452">
        <w:rPr>
          <w:rFonts w:asciiTheme="minorHAnsi" w:hAnsiTheme="minorHAnsi" w:cstheme="minorHAnsi"/>
          <w:sz w:val="18"/>
          <w:szCs w:val="18"/>
        </w:rPr>
        <w:t>The recommendations</w:t>
      </w:r>
      <w:r>
        <w:rPr>
          <w:rFonts w:asciiTheme="minorHAnsi" w:hAnsiTheme="minorHAnsi" w:cstheme="minorHAnsi"/>
          <w:sz w:val="18"/>
          <w:szCs w:val="18"/>
        </w:rPr>
        <w:t xml:space="preserve"> in the HLEG Report 2008</w:t>
      </w:r>
      <w:r w:rsidRPr="00057452">
        <w:rPr>
          <w:rFonts w:asciiTheme="minorHAnsi" w:hAnsiTheme="minorHAnsi" w:cstheme="minorHAnsi"/>
          <w:sz w:val="18"/>
          <w:szCs w:val="18"/>
        </w:rPr>
        <w:t xml:space="preserve"> are presented with an annotated summary of the views and discussions during the meeting relating to each Recommendation</w:t>
      </w:r>
      <w:r>
        <w:rPr>
          <w:rFonts w:asciiTheme="minorHAnsi" w:hAnsiTheme="minorHAnsi" w:cstheme="minorHAnsi"/>
          <w:sz w:val="18"/>
          <w:szCs w:val="18"/>
        </w:rPr>
        <w:t xml:space="preserve">. </w:t>
      </w:r>
      <w:r w:rsidRPr="00057452">
        <w:rPr>
          <w:rFonts w:asciiTheme="minorHAnsi" w:hAnsiTheme="minorHAnsi" w:cstheme="minorHAnsi"/>
          <w:sz w:val="18"/>
          <w:szCs w:val="18"/>
        </w:rPr>
        <w:t xml:space="preserve">Although HLEG members did not achieve full consensus </w:t>
      </w:r>
      <w:r>
        <w:rPr>
          <w:rFonts w:asciiTheme="minorHAnsi" w:hAnsiTheme="minorHAnsi" w:cstheme="minorHAnsi"/>
          <w:sz w:val="18"/>
          <w:szCs w:val="18"/>
        </w:rPr>
        <w:t>o</w:t>
      </w:r>
      <w:r w:rsidRPr="00057452">
        <w:rPr>
          <w:rFonts w:asciiTheme="minorHAnsi" w:hAnsiTheme="minorHAnsi" w:cstheme="minorHAnsi"/>
          <w:sz w:val="18"/>
          <w:szCs w:val="18"/>
        </w:rPr>
        <w:t>n every recommendation most of the HLEG experts were nevertheless in broad agreement on many recommendations</w:t>
      </w:r>
      <w:r>
        <w:rPr>
          <w:rFonts w:asciiTheme="minorHAnsi" w:hAnsiTheme="minorHAnsi" w:cstheme="minorHAnsi"/>
          <w:sz w:val="18"/>
          <w:szCs w:val="18"/>
        </w:rPr>
        <w:t>.</w:t>
      </w:r>
    </w:p>
  </w:footnote>
  <w:footnote w:id="9">
    <w:p w14:paraId="49DF92C9" w14:textId="77777777" w:rsidR="008F24EC" w:rsidRPr="003872A3" w:rsidRDefault="008F24EC" w:rsidP="00DE6F0B">
      <w:pPr>
        <w:pStyle w:val="FootnoteText"/>
        <w:tabs>
          <w:tab w:val="clear" w:pos="256"/>
          <w:tab w:val="clear" w:pos="567"/>
          <w:tab w:val="clear" w:pos="1134"/>
          <w:tab w:val="clear" w:pos="1701"/>
          <w:tab w:val="clear" w:pos="2268"/>
          <w:tab w:val="clear" w:pos="2835"/>
        </w:tabs>
        <w:spacing w:before="20"/>
        <w:ind w:left="284" w:hanging="284"/>
        <w:jc w:val="both"/>
        <w:rPr>
          <w:rFonts w:asciiTheme="minorHAnsi" w:hAnsiTheme="minorHAnsi" w:cstheme="minorHAnsi"/>
          <w:sz w:val="18"/>
          <w:szCs w:val="18"/>
          <w:lang w:val="en-US"/>
        </w:rPr>
      </w:pPr>
      <w:r w:rsidRPr="003872A3">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rPr>
        <w:t xml:space="preserve">The </w:t>
      </w:r>
      <w:hyperlink r:id="rId7" w:history="1">
        <w:r w:rsidRPr="004E0F84">
          <w:rPr>
            <w:rStyle w:val="Hyperlink"/>
            <w:rFonts w:asciiTheme="minorHAnsi" w:hAnsiTheme="minorHAnsi" w:cstheme="minorHAnsi"/>
            <w:sz w:val="18"/>
            <w:szCs w:val="18"/>
          </w:rPr>
          <w:t>Directive of the European Parliament and the Council of European Union of August 12, 2013 on attacks against information systems replaced the Council Framework Decision (2005)</w:t>
        </w:r>
      </w:hyperlink>
      <w:r w:rsidRPr="003872A3">
        <w:rPr>
          <w:rFonts w:asciiTheme="minorHAnsi" w:hAnsiTheme="minorHAnsi" w:cstheme="minorHAnsi"/>
          <w:sz w:val="18"/>
          <w:szCs w:val="18"/>
        </w:rPr>
        <w:t xml:space="preserve"> has a definition of critical infrastructure as follows: </w:t>
      </w:r>
      <w:r w:rsidRPr="003872A3">
        <w:rPr>
          <w:rFonts w:asciiTheme="minorHAnsi" w:hAnsiTheme="minorHAnsi" w:cstheme="minorHAnsi"/>
          <w:i/>
          <w:iCs/>
          <w:sz w:val="18"/>
          <w:szCs w:val="18"/>
        </w:rPr>
        <w:t>An asset, system or part thereof located in Member States which is essential for instances for the maintenance of vital societal functions, health, safety, security, economic or social wellbeing of people, and the disruption or destruction of which would have a significant impact in a Member State as a result of the failure to maintain those functions</w:t>
      </w:r>
      <w:r w:rsidRPr="003872A3">
        <w:rPr>
          <w:rFonts w:asciiTheme="minorHAnsi" w:hAnsiTheme="minorHAnsi" w:cstheme="minorHAnsi"/>
          <w:sz w:val="18"/>
          <w:szCs w:val="18"/>
        </w:rPr>
        <w:t>.</w:t>
      </w:r>
    </w:p>
  </w:footnote>
  <w:footnote w:id="10">
    <w:p w14:paraId="210EF67F" w14:textId="3FDCE621" w:rsidR="008F24EC" w:rsidRPr="003872A3" w:rsidRDefault="008F24EC" w:rsidP="00DE6F0B">
      <w:pPr>
        <w:pStyle w:val="FootnoteText"/>
        <w:tabs>
          <w:tab w:val="clear" w:pos="567"/>
          <w:tab w:val="clear" w:pos="1134"/>
          <w:tab w:val="clear" w:pos="1701"/>
          <w:tab w:val="clear" w:pos="2268"/>
          <w:tab w:val="clear" w:pos="2835"/>
        </w:tabs>
        <w:spacing w:before="2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sidRPr="003872A3">
        <w:rPr>
          <w:rFonts w:asciiTheme="minorHAnsi" w:hAnsiTheme="minorHAnsi" w:cstheme="minorHAnsi"/>
          <w:sz w:val="18"/>
          <w:szCs w:val="18"/>
        </w:rPr>
        <w:t>Number of monthly active Facebook users worldwide as of 4</w:t>
      </w:r>
      <w:r w:rsidRPr="003872A3">
        <w:rPr>
          <w:rFonts w:asciiTheme="minorHAnsi" w:hAnsiTheme="minorHAnsi" w:cstheme="minorHAnsi"/>
          <w:sz w:val="18"/>
          <w:szCs w:val="18"/>
          <w:vertAlign w:val="superscript"/>
        </w:rPr>
        <w:t>th</w:t>
      </w:r>
      <w:r w:rsidRPr="003872A3">
        <w:rPr>
          <w:rFonts w:asciiTheme="minorHAnsi" w:hAnsiTheme="minorHAnsi" w:cstheme="minorHAnsi"/>
          <w:sz w:val="18"/>
          <w:szCs w:val="18"/>
        </w:rPr>
        <w:t xml:space="preserve"> quarter </w:t>
      </w:r>
      <w:r w:rsidRPr="003872A3">
        <w:rPr>
          <w:rFonts w:asciiTheme="minorHAnsi" w:hAnsiTheme="minorHAnsi" w:cstheme="minorHAnsi"/>
          <w:sz w:val="18"/>
          <w:szCs w:val="18"/>
        </w:rPr>
        <w:t>20</w:t>
      </w:r>
      <w:r>
        <w:rPr>
          <w:rFonts w:asciiTheme="minorHAnsi" w:hAnsiTheme="minorHAnsi" w:cstheme="minorHAnsi"/>
          <w:sz w:val="18"/>
          <w:szCs w:val="18"/>
        </w:rPr>
        <w:t>20</w:t>
      </w:r>
      <w:r w:rsidRPr="003872A3">
        <w:rPr>
          <w:rFonts w:asciiTheme="minorHAnsi" w:hAnsiTheme="minorHAnsi" w:cstheme="minorHAnsi"/>
          <w:sz w:val="18"/>
          <w:szCs w:val="18"/>
        </w:rPr>
        <w:t xml:space="preserve">, </w:t>
      </w:r>
      <w:r>
        <w:rPr>
          <w:rFonts w:asciiTheme="minorHAnsi" w:hAnsiTheme="minorHAnsi" w:cstheme="minorHAnsi"/>
          <w:sz w:val="18"/>
          <w:szCs w:val="18"/>
        </w:rPr>
        <w:t xml:space="preserve">available at </w:t>
      </w:r>
      <w:hyperlink r:id="rId8" w:history="1">
        <w:r w:rsidRPr="001E4102">
          <w:rPr>
            <w:rStyle w:val="Hyperlink"/>
            <w:rFonts w:asciiTheme="minorHAnsi" w:hAnsiTheme="minorHAnsi" w:cstheme="minorHAnsi"/>
            <w:sz w:val="18"/>
            <w:szCs w:val="18"/>
          </w:rPr>
          <w:t>https://www.statista.com/statistics/264810/number-of-monthly-active-facebook-users-worldwide/</w:t>
        </w:r>
      </w:hyperlink>
    </w:p>
  </w:footnote>
  <w:footnote w:id="11">
    <w:p w14:paraId="561338EE" w14:textId="77777777" w:rsidR="008F24EC" w:rsidRPr="003872A3" w:rsidRDefault="008F24EC" w:rsidP="00DE6F0B">
      <w:pPr>
        <w:pStyle w:val="FootnoteText"/>
        <w:tabs>
          <w:tab w:val="clear" w:pos="567"/>
          <w:tab w:val="clear" w:pos="1134"/>
          <w:tab w:val="clear" w:pos="1701"/>
          <w:tab w:val="clear" w:pos="2268"/>
          <w:tab w:val="clear" w:pos="2835"/>
        </w:tabs>
        <w:spacing w:before="20"/>
        <w:ind w:left="284" w:hanging="284"/>
        <w:jc w:val="both"/>
        <w:rPr>
          <w:sz w:val="18"/>
          <w:szCs w:val="18"/>
          <w:lang w:val="en-US"/>
        </w:rPr>
      </w:pPr>
      <w:r w:rsidRPr="001540A5">
        <w:rPr>
          <w:rStyle w:val="FootnoteReference"/>
          <w:sz w:val="18"/>
          <w:szCs w:val="18"/>
          <w:vertAlign w:val="superscript"/>
        </w:rPr>
        <w:footnoteRef/>
      </w:r>
      <w:r w:rsidRPr="003872A3">
        <w:rPr>
          <w:sz w:val="18"/>
          <w:szCs w:val="18"/>
        </w:rPr>
        <w:t xml:space="preserve"> </w:t>
      </w:r>
      <w:r>
        <w:rPr>
          <w:sz w:val="18"/>
          <w:szCs w:val="18"/>
        </w:rPr>
        <w:tab/>
      </w:r>
      <w:r w:rsidRPr="003872A3">
        <w:rPr>
          <w:sz w:val="18"/>
          <w:szCs w:val="18"/>
        </w:rPr>
        <w:t xml:space="preserve">Mark Zuckerberg: </w:t>
      </w:r>
      <w:r w:rsidRPr="004F08BD">
        <w:rPr>
          <w:i/>
          <w:iCs/>
          <w:sz w:val="18"/>
          <w:szCs w:val="18"/>
        </w:rPr>
        <w:t>The Internet needs new rules. Let’s start in these four areas</w:t>
      </w:r>
      <w:r>
        <w:rPr>
          <w:i/>
          <w:iCs/>
          <w:sz w:val="18"/>
          <w:szCs w:val="18"/>
        </w:rPr>
        <w:t>,</w:t>
      </w:r>
      <w:r w:rsidRPr="003872A3">
        <w:rPr>
          <w:sz w:val="18"/>
          <w:szCs w:val="18"/>
        </w:rPr>
        <w:t xml:space="preserve"> Washington Post, March 30, 2019</w:t>
      </w:r>
      <w:r>
        <w:rPr>
          <w:sz w:val="18"/>
          <w:szCs w:val="18"/>
        </w:rPr>
        <w:t xml:space="preserve">, available at </w:t>
      </w:r>
      <w:hyperlink r:id="rId9" w:history="1">
        <w:r w:rsidRPr="001E4102">
          <w:rPr>
            <w:rStyle w:val="Hyperlink"/>
            <w:sz w:val="18"/>
            <w:szCs w:val="18"/>
          </w:rPr>
          <w:t>https://www.washingtonpost.com/opinions/mark-zuckerberg-the-internet-needs-new-rules-lets-start-in-these-four-areas/2019/03/29/9e6f0504-521a-11e9-a3f7-78b7525a8d5f_story.html</w:t>
        </w:r>
      </w:hyperlink>
    </w:p>
  </w:footnote>
  <w:footnote w:id="12">
    <w:p w14:paraId="3A7BF7A6" w14:textId="77777777" w:rsidR="008F24EC" w:rsidRPr="003872A3" w:rsidRDefault="008F24EC" w:rsidP="009C61CF">
      <w:pPr>
        <w:pStyle w:val="FootnoteText"/>
        <w:tabs>
          <w:tab w:val="clear" w:pos="256"/>
          <w:tab w:val="clear" w:pos="567"/>
          <w:tab w:val="clear" w:pos="1134"/>
          <w:tab w:val="clear" w:pos="1701"/>
          <w:tab w:val="clear" w:pos="2268"/>
          <w:tab w:val="clear" w:pos="2835"/>
        </w:tabs>
        <w:spacing w:before="20"/>
        <w:ind w:left="284" w:hanging="284"/>
        <w:jc w:val="both"/>
        <w:rPr>
          <w:rFonts w:asciiTheme="minorHAnsi" w:hAnsiTheme="minorHAnsi" w:cstheme="minorHAnsi"/>
          <w:sz w:val="18"/>
          <w:szCs w:val="18"/>
          <w:lang w:val="en-US"/>
        </w:rPr>
      </w:pPr>
      <w:r w:rsidRPr="001540A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t>Group of Governmental Experts, available at</w:t>
      </w:r>
      <w:r w:rsidRPr="003872A3">
        <w:rPr>
          <w:rFonts w:asciiTheme="minorHAnsi" w:hAnsiTheme="minorHAnsi" w:cstheme="minorHAnsi"/>
          <w:sz w:val="18"/>
          <w:szCs w:val="18"/>
        </w:rPr>
        <w:t xml:space="preserve"> </w:t>
      </w:r>
      <w:hyperlink r:id="rId10" w:history="1">
        <w:r w:rsidRPr="003872A3">
          <w:rPr>
            <w:rStyle w:val="Hyperlink"/>
            <w:rFonts w:asciiTheme="minorHAnsi" w:hAnsiTheme="minorHAnsi" w:cstheme="minorHAnsi"/>
            <w:sz w:val="18"/>
            <w:szCs w:val="18"/>
          </w:rPr>
          <w:t>https://www.un.org/disarmament/group-of-governmental-experts/</w:t>
        </w:r>
      </w:hyperlink>
      <w:r w:rsidRPr="003872A3">
        <w:rPr>
          <w:rFonts w:asciiTheme="minorHAnsi" w:hAnsiTheme="minorHAnsi" w:cstheme="minorHAnsi"/>
          <w:sz w:val="18"/>
          <w:szCs w:val="18"/>
        </w:rPr>
        <w:t xml:space="preserve">. </w:t>
      </w:r>
    </w:p>
  </w:footnote>
  <w:footnote w:id="13">
    <w:p w14:paraId="40D87871" w14:textId="77777777" w:rsidR="008F24EC" w:rsidRPr="0096288D" w:rsidRDefault="008F24EC" w:rsidP="009C61CF">
      <w:pPr>
        <w:pStyle w:val="FootnoteText"/>
        <w:tabs>
          <w:tab w:val="clear" w:pos="256"/>
          <w:tab w:val="clear" w:pos="567"/>
          <w:tab w:val="clear" w:pos="1134"/>
          <w:tab w:val="clear" w:pos="1701"/>
          <w:tab w:val="clear" w:pos="2268"/>
          <w:tab w:val="clear" w:pos="2835"/>
        </w:tabs>
        <w:spacing w:before="20"/>
        <w:ind w:left="284" w:hanging="284"/>
        <w:rPr>
          <w:vertAlign w:val="superscript"/>
        </w:rPr>
      </w:pPr>
      <w:r w:rsidRPr="003D410B">
        <w:rPr>
          <w:rStyle w:val="FootnoteReference"/>
          <w:rFonts w:asciiTheme="minorHAnsi" w:hAnsiTheme="minorHAnsi" w:cstheme="minorHAnsi"/>
          <w:sz w:val="18"/>
          <w:vertAlign w:val="superscript"/>
        </w:rPr>
        <w:footnoteRef/>
      </w:r>
      <w:r w:rsidRPr="003D410B">
        <w:rPr>
          <w:rStyle w:val="FootnoteReference"/>
          <w:rFonts w:asciiTheme="minorHAnsi" w:hAnsiTheme="minorHAnsi" w:cstheme="minorHAnsi"/>
          <w:sz w:val="18"/>
          <w:vertAlign w:val="superscript"/>
        </w:rPr>
        <w:t xml:space="preserve"> </w:t>
      </w:r>
      <w:r>
        <w:rPr>
          <w:sz w:val="18"/>
          <w:szCs w:val="18"/>
        </w:rPr>
        <w:tab/>
      </w:r>
      <w:r w:rsidRPr="0027082F">
        <w:rPr>
          <w:sz w:val="18"/>
          <w:szCs w:val="18"/>
        </w:rPr>
        <w:t xml:space="preserve">Open-ended Working Group, available at </w:t>
      </w:r>
      <w:hyperlink r:id="rId11" w:history="1">
        <w:r w:rsidRPr="004C7CCA">
          <w:rPr>
            <w:rStyle w:val="Hyperlink"/>
            <w:sz w:val="18"/>
            <w:szCs w:val="18"/>
          </w:rPr>
          <w:t>https://www.un.org/disarmament/open-ended-working-group/</w:t>
        </w:r>
      </w:hyperlink>
      <w:r>
        <w:rPr>
          <w:sz w:val="18"/>
          <w:szCs w:val="18"/>
        </w:rPr>
        <w:t xml:space="preserve"> </w:t>
      </w:r>
    </w:p>
  </w:footnote>
  <w:footnote w:id="14">
    <w:p w14:paraId="4B91586C" w14:textId="77777777" w:rsidR="008F24EC"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sidRPr="001540A5">
        <w:rPr>
          <w:rStyle w:val="FootnoteReference"/>
          <w:rFonts w:asciiTheme="minorHAnsi" w:hAnsiTheme="minorHAnsi" w:cstheme="minorHAnsi"/>
          <w:sz w:val="18"/>
          <w:szCs w:val="18"/>
          <w:vertAlign w:val="superscript"/>
        </w:rPr>
        <w:footnoteRef/>
      </w:r>
      <w:r w:rsidRPr="001540A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Pr>
          <w:rFonts w:asciiTheme="minorHAnsi" w:hAnsiTheme="minorHAnsi" w:cstheme="minorHAnsi"/>
          <w:sz w:val="18"/>
          <w:szCs w:val="18"/>
        </w:rPr>
        <w:t>For more information, please refer to the following:</w:t>
      </w:r>
    </w:p>
    <w:p w14:paraId="21FA0B1E" w14:textId="36537156" w:rsidR="008F24EC"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Pr>
          <w:rFonts w:asciiTheme="minorHAnsi" w:hAnsiTheme="minorHAnsi" w:cstheme="minorHAnsi"/>
          <w:sz w:val="18"/>
          <w:szCs w:val="18"/>
        </w:rPr>
        <w:t>-</w:t>
      </w:r>
      <w:r>
        <w:rPr>
          <w:rFonts w:asciiTheme="minorHAnsi" w:hAnsiTheme="minorHAnsi" w:cstheme="minorHAnsi"/>
          <w:sz w:val="18"/>
          <w:szCs w:val="18"/>
        </w:rPr>
        <w:tab/>
      </w:r>
      <w:r w:rsidRPr="003872A3">
        <w:rPr>
          <w:rFonts w:asciiTheme="minorHAnsi" w:hAnsiTheme="minorHAnsi" w:cstheme="minorHAnsi"/>
          <w:sz w:val="18"/>
          <w:szCs w:val="18"/>
        </w:rPr>
        <w:t xml:space="preserve">ITU’s annual activities report to </w:t>
      </w:r>
      <w:r>
        <w:rPr>
          <w:rFonts w:asciiTheme="minorHAnsi" w:hAnsiTheme="minorHAnsi" w:cstheme="minorHAnsi"/>
          <w:sz w:val="18"/>
          <w:szCs w:val="18"/>
        </w:rPr>
        <w:t xml:space="preserve">the </w:t>
      </w:r>
      <w:r w:rsidRPr="003872A3">
        <w:rPr>
          <w:rFonts w:asciiTheme="minorHAnsi" w:hAnsiTheme="minorHAnsi" w:cstheme="minorHAnsi"/>
          <w:sz w:val="18"/>
          <w:szCs w:val="18"/>
        </w:rPr>
        <w:t>ITU Council on building confidence and security in the use of ICTs</w:t>
      </w:r>
      <w:r>
        <w:rPr>
          <w:rFonts w:asciiTheme="minorHAnsi" w:hAnsiTheme="minorHAnsi" w:cstheme="minorHAnsi"/>
          <w:sz w:val="18"/>
          <w:szCs w:val="18"/>
        </w:rPr>
        <w:t xml:space="preserve">, available at </w:t>
      </w:r>
      <w:hyperlink r:id="rId12" w:history="1">
        <w:r w:rsidRPr="002B0C59">
          <w:rPr>
            <w:rStyle w:val="Hyperlink"/>
            <w:rFonts w:asciiTheme="minorHAnsi" w:hAnsiTheme="minorHAnsi" w:cstheme="minorHAnsi"/>
            <w:sz w:val="18"/>
            <w:szCs w:val="18"/>
          </w:rPr>
          <w:t>https://www.itu.int/en/council/2021/Pages/default.aspx</w:t>
        </w:r>
      </w:hyperlink>
      <w:r>
        <w:rPr>
          <w:rFonts w:asciiTheme="minorHAnsi" w:hAnsiTheme="minorHAnsi" w:cstheme="minorHAnsi"/>
          <w:sz w:val="18"/>
          <w:szCs w:val="18"/>
        </w:rPr>
        <w:t xml:space="preserve"> </w:t>
      </w:r>
    </w:p>
    <w:p w14:paraId="1089363F" w14:textId="57102C5C" w:rsidR="008F24EC" w:rsidRPr="003872A3" w:rsidRDefault="008F24EC" w:rsidP="00412A12">
      <w:pPr>
        <w:pStyle w:val="FootnoteText"/>
        <w:tabs>
          <w:tab w:val="clear" w:pos="256"/>
          <w:tab w:val="clear" w:pos="567"/>
          <w:tab w:val="clear" w:pos="1134"/>
          <w:tab w:val="clear" w:pos="1701"/>
          <w:tab w:val="clear" w:pos="2268"/>
          <w:tab w:val="clear" w:pos="2835"/>
        </w:tabs>
        <w:spacing w:before="20"/>
        <w:jc w:val="both"/>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tab/>
        <w:t>T</w:t>
      </w:r>
      <w:r w:rsidRPr="003872A3">
        <w:rPr>
          <w:rFonts w:asciiTheme="minorHAnsi" w:hAnsiTheme="minorHAnsi" w:cstheme="minorHAnsi"/>
          <w:sz w:val="18"/>
          <w:szCs w:val="18"/>
        </w:rPr>
        <w:t>he report to Council 202</w:t>
      </w:r>
      <w:r>
        <w:rPr>
          <w:rFonts w:asciiTheme="minorHAnsi" w:hAnsiTheme="minorHAnsi" w:cstheme="minorHAnsi"/>
          <w:sz w:val="18"/>
          <w:szCs w:val="18"/>
        </w:rPr>
        <w:t>1</w:t>
      </w:r>
      <w:r w:rsidRPr="003872A3">
        <w:rPr>
          <w:rFonts w:asciiTheme="minorHAnsi" w:hAnsiTheme="minorHAnsi" w:cstheme="minorHAnsi"/>
          <w:sz w:val="18"/>
          <w:szCs w:val="18"/>
        </w:rPr>
        <w:t xml:space="preserve"> on ITU’s utilization of the GCA</w:t>
      </w:r>
      <w:r>
        <w:rPr>
          <w:rFonts w:asciiTheme="minorHAnsi" w:hAnsiTheme="minorHAnsi" w:cstheme="minorHAnsi"/>
          <w:sz w:val="18"/>
          <w:szCs w:val="18"/>
        </w:rPr>
        <w:t xml:space="preserve">, available at </w:t>
      </w:r>
      <w:hyperlink r:id="rId13" w:history="1">
        <w:r w:rsidRPr="002835C3">
          <w:rPr>
            <w:rStyle w:val="Hyperlink"/>
            <w:rFonts w:asciiTheme="minorHAnsi" w:hAnsiTheme="minorHAnsi" w:cstheme="minorHAnsi"/>
            <w:sz w:val="18"/>
            <w:szCs w:val="18"/>
          </w:rPr>
          <w:t>https://www.itu.int/md/S21-CL-C-0036/en</w:t>
        </w:r>
      </w:hyperlink>
      <w:r>
        <w:rPr>
          <w:rFonts w:asciiTheme="minorHAnsi" w:hAnsiTheme="minorHAnsi" w:cstheme="minorHAnsi"/>
          <w:sz w:val="18"/>
          <w:szCs w:val="18"/>
        </w:rPr>
        <w:t xml:space="preserve">. </w:t>
      </w:r>
    </w:p>
  </w:footnote>
  <w:footnote w:id="15">
    <w:p w14:paraId="7AF2D923" w14:textId="77777777" w:rsidR="008F24EC" w:rsidRPr="00022548" w:rsidRDefault="008F24EC" w:rsidP="009C61CF">
      <w:pPr>
        <w:pStyle w:val="FootnoteText"/>
        <w:tabs>
          <w:tab w:val="clear" w:pos="256"/>
          <w:tab w:val="clear" w:pos="1134"/>
          <w:tab w:val="clear" w:pos="1701"/>
          <w:tab w:val="clear" w:pos="2268"/>
          <w:tab w:val="clear" w:pos="2835"/>
        </w:tabs>
        <w:spacing w:before="20"/>
        <w:rPr>
          <w:lang w:val="en-US"/>
        </w:rPr>
      </w:pPr>
      <w:r w:rsidRPr="00C60A1A">
        <w:rPr>
          <w:rStyle w:val="FootnoteReference"/>
          <w:sz w:val="18"/>
          <w:szCs w:val="18"/>
          <w:vertAlign w:val="superscript"/>
        </w:rPr>
        <w:footnoteRef/>
      </w:r>
      <w:r w:rsidRPr="00C60A1A">
        <w:rPr>
          <w:rStyle w:val="FootnoteReference"/>
          <w:sz w:val="18"/>
          <w:szCs w:val="18"/>
        </w:rPr>
        <w:t xml:space="preserve"> </w:t>
      </w:r>
      <w:r>
        <w:rPr>
          <w:sz w:val="18"/>
          <w:szCs w:val="18"/>
        </w:rPr>
        <w:tab/>
      </w:r>
      <w:r>
        <w:rPr>
          <w:sz w:val="18"/>
          <w:szCs w:val="18"/>
          <w:lang w:val="en-US"/>
        </w:rPr>
        <w:t xml:space="preserve">Stein Schjolberg, </w:t>
      </w:r>
      <w:r w:rsidRPr="009B08A1">
        <w:rPr>
          <w:sz w:val="18"/>
          <w:szCs w:val="18"/>
        </w:rPr>
        <w:t>The History of Cybercrime (3</w:t>
      </w:r>
      <w:r w:rsidRPr="004178C3">
        <w:rPr>
          <w:sz w:val="18"/>
          <w:szCs w:val="18"/>
          <w:vertAlign w:val="superscript"/>
        </w:rPr>
        <w:t>rd</w:t>
      </w:r>
      <w:r w:rsidRPr="009B08A1">
        <w:rPr>
          <w:sz w:val="18"/>
          <w:szCs w:val="18"/>
        </w:rPr>
        <w:t xml:space="preserve"> </w:t>
      </w:r>
      <w:r>
        <w:rPr>
          <w:sz w:val="18"/>
          <w:szCs w:val="18"/>
        </w:rPr>
        <w:t>E</w:t>
      </w:r>
      <w:r w:rsidRPr="009B08A1">
        <w:rPr>
          <w:sz w:val="18"/>
          <w:szCs w:val="18"/>
        </w:rPr>
        <w:t>dition</w:t>
      </w:r>
      <w:r>
        <w:rPr>
          <w:sz w:val="18"/>
          <w:szCs w:val="18"/>
        </w:rPr>
        <w:t>,</w:t>
      </w:r>
      <w:r w:rsidRPr="009B08A1">
        <w:rPr>
          <w:sz w:val="18"/>
          <w:szCs w:val="18"/>
        </w:rPr>
        <w:t xml:space="preserve"> February 2020)</w:t>
      </w:r>
    </w:p>
  </w:footnote>
  <w:footnote w:id="16">
    <w:p w14:paraId="51811424" w14:textId="77777777" w:rsidR="008F24EC" w:rsidRPr="003872A3" w:rsidRDefault="008F24EC" w:rsidP="009C61CF">
      <w:pPr>
        <w:pStyle w:val="FootnoteText"/>
        <w:tabs>
          <w:tab w:val="clear" w:pos="256"/>
          <w:tab w:val="clear" w:pos="1134"/>
          <w:tab w:val="clear" w:pos="1701"/>
          <w:tab w:val="clear" w:pos="2268"/>
          <w:tab w:val="clear" w:pos="2835"/>
        </w:tabs>
        <w:spacing w:before="20"/>
        <w:jc w:val="both"/>
        <w:rPr>
          <w:sz w:val="18"/>
          <w:szCs w:val="18"/>
          <w:vertAlign w:val="superscript"/>
          <w:lang w:val="en-US"/>
        </w:rPr>
      </w:pPr>
      <w:r w:rsidRPr="001540A5">
        <w:rPr>
          <w:rStyle w:val="FootnoteReference"/>
          <w:sz w:val="18"/>
          <w:szCs w:val="18"/>
          <w:vertAlign w:val="superscript"/>
        </w:rPr>
        <w:footnoteRef/>
      </w:r>
      <w:r w:rsidRPr="0094265C">
        <w:rPr>
          <w:sz w:val="18"/>
          <w:szCs w:val="18"/>
        </w:rPr>
        <w:t xml:space="preserve"> </w:t>
      </w:r>
      <w:r>
        <w:rPr>
          <w:sz w:val="18"/>
          <w:szCs w:val="18"/>
        </w:rPr>
        <w:tab/>
      </w:r>
      <w:r w:rsidRPr="0094265C">
        <w:rPr>
          <w:sz w:val="18"/>
          <w:szCs w:val="18"/>
          <w:lang w:val="en-US"/>
        </w:rPr>
        <w:t xml:space="preserve">The European Union Commission launched a </w:t>
      </w:r>
      <w:proofErr w:type="spellStart"/>
      <w:r w:rsidRPr="0094265C">
        <w:rPr>
          <w:sz w:val="18"/>
          <w:szCs w:val="18"/>
          <w:lang w:val="en-US"/>
        </w:rPr>
        <w:t>programme</w:t>
      </w:r>
      <w:proofErr w:type="spellEnd"/>
      <w:r w:rsidRPr="0094265C">
        <w:rPr>
          <w:sz w:val="18"/>
          <w:szCs w:val="18"/>
          <w:lang w:val="en-US"/>
        </w:rPr>
        <w:t xml:space="preserve"> called </w:t>
      </w:r>
      <w:hyperlink r:id="rId14" w:history="1">
        <w:r w:rsidRPr="007E0FC5">
          <w:rPr>
            <w:rStyle w:val="Hyperlink"/>
            <w:sz w:val="18"/>
            <w:szCs w:val="18"/>
            <w:lang w:val="en-US"/>
          </w:rPr>
          <w:t>Horizon 2020</w:t>
        </w:r>
      </w:hyperlink>
      <w:r w:rsidRPr="0094265C">
        <w:rPr>
          <w:sz w:val="18"/>
          <w:szCs w:val="18"/>
          <w:lang w:val="en-US"/>
        </w:rPr>
        <w:t xml:space="preserve"> for developing the potential of the Internet of Things, and the work </w:t>
      </w:r>
      <w:proofErr w:type="spellStart"/>
      <w:r w:rsidRPr="0094265C">
        <w:rPr>
          <w:sz w:val="18"/>
          <w:szCs w:val="18"/>
          <w:lang w:val="en-US"/>
        </w:rPr>
        <w:t>programme</w:t>
      </w:r>
      <w:proofErr w:type="spellEnd"/>
      <w:r w:rsidRPr="0094265C">
        <w:rPr>
          <w:sz w:val="18"/>
          <w:szCs w:val="18"/>
          <w:lang w:val="en-US"/>
        </w:rPr>
        <w:t xml:space="preserve"> 2016-2017 for supporting experimentation and innovation. Proposals are invited against several topics, also including: IoT security and privacy. Advanced concepts for end-to-end security in highly distributed, heterogeneous and dynamic IoT environments. Approaches must be holistic and include identification and authentication, data protection</w:t>
      </w:r>
      <w:r>
        <w:rPr>
          <w:sz w:val="18"/>
          <w:szCs w:val="18"/>
          <w:lang w:val="en-US"/>
        </w:rPr>
        <w:t>,</w:t>
      </w:r>
      <w:r w:rsidRPr="0094265C">
        <w:rPr>
          <w:sz w:val="18"/>
          <w:szCs w:val="18"/>
          <w:lang w:val="en-US"/>
        </w:rPr>
        <w:t xml:space="preserve"> and prevention against cyber-attacks at the device and system levels. They should address relevant security and privacy elements such as confidentiality, user data awareness and control, integrity, resilience</w:t>
      </w:r>
      <w:r>
        <w:rPr>
          <w:sz w:val="18"/>
          <w:szCs w:val="18"/>
          <w:lang w:val="en-US"/>
        </w:rPr>
        <w:t>,</w:t>
      </w:r>
      <w:r w:rsidRPr="0094265C">
        <w:rPr>
          <w:sz w:val="18"/>
          <w:szCs w:val="18"/>
          <w:lang w:val="en-US"/>
        </w:rPr>
        <w:t xml:space="preserve"> and </w:t>
      </w:r>
      <w:proofErr w:type="spellStart"/>
      <w:r w:rsidRPr="0094265C">
        <w:rPr>
          <w:sz w:val="18"/>
          <w:szCs w:val="18"/>
          <w:lang w:val="en-US"/>
        </w:rPr>
        <w:t>authorisation</w:t>
      </w:r>
      <w:proofErr w:type="spellEnd"/>
      <w:r w:rsidRPr="0094265C">
        <w:rPr>
          <w:sz w:val="18"/>
          <w:szCs w:val="18"/>
          <w:lang w:val="en-US"/>
        </w:rPr>
        <w:t xml:space="preserve"> (See European Commission Decision C (2015) 6776 of October 13, 2015.)</w:t>
      </w:r>
    </w:p>
  </w:footnote>
  <w:footnote w:id="17">
    <w:p w14:paraId="5FEE8FCE" w14:textId="77777777" w:rsidR="008F24EC" w:rsidRPr="001A45CE" w:rsidRDefault="008F24EC" w:rsidP="00412A12">
      <w:pPr>
        <w:pStyle w:val="FootnoteText"/>
        <w:tabs>
          <w:tab w:val="clear" w:pos="256"/>
          <w:tab w:val="clear" w:pos="567"/>
          <w:tab w:val="clear" w:pos="1134"/>
          <w:tab w:val="clear" w:pos="1701"/>
          <w:tab w:val="clear" w:pos="2268"/>
          <w:tab w:val="clear" w:pos="2835"/>
        </w:tabs>
        <w:spacing w:before="20"/>
        <w:jc w:val="both"/>
        <w:rPr>
          <w:lang w:val="en-US"/>
        </w:rPr>
      </w:pPr>
      <w:r w:rsidRPr="000B1EEA">
        <w:rPr>
          <w:rStyle w:val="FootnoteReference"/>
          <w:sz w:val="18"/>
          <w:szCs w:val="18"/>
          <w:vertAlign w:val="superscript"/>
        </w:rPr>
        <w:footnoteRef/>
      </w:r>
      <w:r>
        <w:rPr>
          <w:sz w:val="18"/>
          <w:szCs w:val="18"/>
        </w:rPr>
        <w:t xml:space="preserve"> </w:t>
      </w:r>
      <w:r>
        <w:rPr>
          <w:sz w:val="18"/>
          <w:szCs w:val="18"/>
        </w:rPr>
        <w:tab/>
        <w:t xml:space="preserve">T. </w:t>
      </w:r>
      <w:proofErr w:type="spellStart"/>
      <w:r w:rsidRPr="000B1EEA">
        <w:rPr>
          <w:sz w:val="18"/>
          <w:szCs w:val="18"/>
        </w:rPr>
        <w:t>Ballell</w:t>
      </w:r>
      <w:proofErr w:type="spellEnd"/>
      <w:r w:rsidRPr="001A45CE">
        <w:rPr>
          <w:sz w:val="18"/>
          <w:szCs w:val="18"/>
        </w:rPr>
        <w:t>,</w:t>
      </w:r>
      <w:r w:rsidRPr="001A45CE">
        <w:rPr>
          <w:i/>
          <w:iCs/>
          <w:sz w:val="18"/>
          <w:szCs w:val="18"/>
        </w:rPr>
        <w:t xml:space="preserve"> Legal challenges of artificial intelligence: modelling the disruptive features of emerging technologies and assessing their possible legal impact</w:t>
      </w:r>
      <w:r w:rsidRPr="001A45CE">
        <w:rPr>
          <w:sz w:val="18"/>
          <w:szCs w:val="18"/>
        </w:rPr>
        <w:t xml:space="preserve">, Uniform Law Review, Volume 24, Issue 2, June 2019, Pages 302–314, available at </w:t>
      </w:r>
      <w:hyperlink r:id="rId15" w:history="1">
        <w:r w:rsidRPr="001A45CE">
          <w:rPr>
            <w:rStyle w:val="Hyperlink"/>
            <w:sz w:val="18"/>
            <w:szCs w:val="18"/>
          </w:rPr>
          <w:t>https://doi.org/10.1093/ulr/unz018</w:t>
        </w:r>
      </w:hyperlink>
    </w:p>
  </w:footnote>
  <w:footnote w:id="18">
    <w:p w14:paraId="5E0FACCC" w14:textId="77777777" w:rsidR="008F24EC" w:rsidRPr="003872A3" w:rsidRDefault="008F24EC" w:rsidP="00412A12">
      <w:pPr>
        <w:pStyle w:val="FootnoteText"/>
        <w:tabs>
          <w:tab w:val="clear" w:pos="256"/>
          <w:tab w:val="clear" w:pos="567"/>
          <w:tab w:val="clear" w:pos="1134"/>
          <w:tab w:val="clear" w:pos="1701"/>
          <w:tab w:val="clear" w:pos="2268"/>
          <w:tab w:val="clear" w:pos="2835"/>
        </w:tabs>
        <w:spacing w:before="20"/>
        <w:jc w:val="both"/>
        <w:rPr>
          <w:sz w:val="18"/>
          <w:szCs w:val="18"/>
          <w:lang w:val="en-US"/>
        </w:rPr>
      </w:pPr>
      <w:r w:rsidRPr="003872A3">
        <w:rPr>
          <w:rStyle w:val="FootnoteReference"/>
          <w:sz w:val="18"/>
          <w:szCs w:val="18"/>
          <w:vertAlign w:val="superscript"/>
        </w:rPr>
        <w:footnoteRef/>
      </w:r>
      <w:r w:rsidRPr="003872A3">
        <w:rPr>
          <w:sz w:val="18"/>
          <w:szCs w:val="18"/>
        </w:rPr>
        <w:t xml:space="preserve"> </w:t>
      </w:r>
      <w:r>
        <w:rPr>
          <w:sz w:val="18"/>
          <w:szCs w:val="18"/>
        </w:rPr>
        <w:tab/>
      </w:r>
      <w:r w:rsidRPr="003872A3">
        <w:rPr>
          <w:sz w:val="18"/>
          <w:szCs w:val="18"/>
        </w:rPr>
        <w:t>A</w:t>
      </w:r>
      <w:r w:rsidRPr="003872A3">
        <w:rPr>
          <w:rFonts w:asciiTheme="minorHAnsi" w:hAnsiTheme="minorHAnsi" w:cstheme="minorHAnsi"/>
          <w:sz w:val="18"/>
          <w:szCs w:val="18"/>
          <w:lang w:val="en-US"/>
        </w:rPr>
        <w:t xml:space="preserve"> model legal framework may be the </w:t>
      </w:r>
      <w:hyperlink r:id="rId16" w:history="1">
        <w:r w:rsidRPr="00AA644F">
          <w:rPr>
            <w:rStyle w:val="Hyperlink"/>
            <w:rFonts w:asciiTheme="minorHAnsi" w:hAnsiTheme="minorHAnsi" w:cstheme="minorHAnsi"/>
            <w:sz w:val="18"/>
            <w:szCs w:val="18"/>
            <w:lang w:val="en-US"/>
          </w:rPr>
          <w:t>Directive 2011/92/EU of the European Parliament and of the Council of December 13, 2011</w:t>
        </w:r>
      </w:hyperlink>
      <w:r w:rsidRPr="003872A3">
        <w:rPr>
          <w:rFonts w:asciiTheme="minorHAnsi" w:hAnsiTheme="minorHAnsi" w:cstheme="minorHAnsi"/>
          <w:sz w:val="18"/>
          <w:szCs w:val="18"/>
          <w:lang w:val="en-US"/>
        </w:rPr>
        <w:t>, on combating the sexual abuse and sexual exploitation of children and child pornography.</w:t>
      </w:r>
    </w:p>
  </w:footnote>
  <w:footnote w:id="19">
    <w:p w14:paraId="1A64FB95" w14:textId="5F8D10F4" w:rsidR="008F24EC" w:rsidRPr="00412A12" w:rsidRDefault="008F24EC" w:rsidP="00412A12">
      <w:pPr>
        <w:pStyle w:val="FootnoteText"/>
        <w:tabs>
          <w:tab w:val="clear" w:pos="256"/>
          <w:tab w:val="clear" w:pos="567"/>
          <w:tab w:val="clear" w:pos="1134"/>
          <w:tab w:val="clear" w:pos="1701"/>
          <w:tab w:val="clear" w:pos="2268"/>
          <w:tab w:val="clear" w:pos="2835"/>
        </w:tabs>
        <w:spacing w:before="20"/>
        <w:rPr>
          <w:sz w:val="18"/>
          <w:szCs w:val="18"/>
          <w:lang w:val="en-US"/>
        </w:rPr>
      </w:pPr>
      <w:r w:rsidRPr="007C1222">
        <w:rPr>
          <w:rStyle w:val="FootnoteReference"/>
          <w:sz w:val="18"/>
          <w:szCs w:val="18"/>
          <w:vertAlign w:val="superscript"/>
        </w:rPr>
        <w:footnoteRef/>
      </w:r>
      <w:r w:rsidRPr="007C1222">
        <w:rPr>
          <w:sz w:val="18"/>
          <w:szCs w:val="18"/>
        </w:rPr>
        <w:t xml:space="preserve"> </w:t>
      </w:r>
      <w:r>
        <w:rPr>
          <w:sz w:val="18"/>
          <w:szCs w:val="18"/>
        </w:rPr>
        <w:tab/>
      </w:r>
      <w:r w:rsidRPr="003872A3">
        <w:rPr>
          <w:sz w:val="18"/>
          <w:szCs w:val="18"/>
          <w:lang w:val="en-US"/>
        </w:rPr>
        <w:t>Judge Stein Schjolberg, 2018 &amp; Judge Stein Schjolberg</w:t>
      </w:r>
      <w:r>
        <w:rPr>
          <w:sz w:val="18"/>
          <w:szCs w:val="18"/>
          <w:lang w:val="en-US"/>
        </w:rPr>
        <w:t xml:space="preserve">, 2019, </w:t>
      </w:r>
      <w:r w:rsidRPr="005F66AC">
        <w:rPr>
          <w:sz w:val="18"/>
          <w:szCs w:val="18"/>
          <w:lang w:val="en-US"/>
        </w:rPr>
        <w:t xml:space="preserve">available at </w:t>
      </w:r>
      <w:hyperlink r:id="rId17" w:tgtFrame="_blank" w:tooltip="https://www.cybercrimelaw.net/cybercrimelaw.html" w:history="1">
        <w:r w:rsidRPr="005F66AC">
          <w:rPr>
            <w:rStyle w:val="Hyperlink"/>
            <w:sz w:val="18"/>
            <w:szCs w:val="18"/>
          </w:rPr>
          <w:t>https://www.cybercrimelaw.net/Cybercrimelaw.html</w:t>
        </w:r>
      </w:hyperlink>
    </w:p>
  </w:footnote>
  <w:footnote w:id="20">
    <w:p w14:paraId="2F144511" w14:textId="41D0377C" w:rsidR="008F24EC" w:rsidRPr="00200270" w:rsidRDefault="008F24EC" w:rsidP="00412A12">
      <w:pPr>
        <w:pStyle w:val="FootnoteText"/>
        <w:spacing w:before="20"/>
        <w:rPr>
          <w:sz w:val="18"/>
          <w:szCs w:val="18"/>
          <w:lang w:val="en-US"/>
        </w:rPr>
      </w:pPr>
      <w:r w:rsidRPr="00C54E13">
        <w:rPr>
          <w:rStyle w:val="FootnoteReference"/>
          <w:sz w:val="12"/>
          <w:szCs w:val="12"/>
        </w:rPr>
        <w:footnoteRef/>
      </w:r>
      <w:r w:rsidRPr="00C54E13">
        <w:rPr>
          <w:sz w:val="18"/>
          <w:szCs w:val="18"/>
        </w:rPr>
        <w:t xml:space="preserve"> </w:t>
      </w:r>
      <w:r>
        <w:rPr>
          <w:sz w:val="18"/>
          <w:szCs w:val="18"/>
        </w:rPr>
        <w:tab/>
      </w:r>
      <w:r w:rsidRPr="00C54E13">
        <w:rPr>
          <w:sz w:val="18"/>
          <w:szCs w:val="18"/>
        </w:rPr>
        <w:t>For instance, https://www.justice.gov/olp/lawful-access</w:t>
      </w:r>
    </w:p>
  </w:footnote>
  <w:footnote w:id="21">
    <w:p w14:paraId="37AA7105" w14:textId="77777777" w:rsidR="008F24EC" w:rsidRPr="003872A3" w:rsidRDefault="008F24EC" w:rsidP="00412A12">
      <w:pPr>
        <w:pStyle w:val="FootnoteText"/>
        <w:spacing w:before="20"/>
        <w:jc w:val="both"/>
        <w:rPr>
          <w:rFonts w:asciiTheme="minorHAnsi" w:hAnsiTheme="minorHAnsi" w:cstheme="minorHAnsi"/>
          <w:sz w:val="18"/>
          <w:szCs w:val="18"/>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sz w:val="18"/>
          <w:szCs w:val="18"/>
        </w:rPr>
        <w:t xml:space="preserve">ITU Standards Landscape, </w:t>
      </w:r>
      <w:r>
        <w:rPr>
          <w:rFonts w:asciiTheme="minorHAnsi" w:hAnsiTheme="minorHAnsi" w:cstheme="minorHAnsi"/>
          <w:sz w:val="18"/>
          <w:szCs w:val="18"/>
        </w:rPr>
        <w:t xml:space="preserve">available at </w:t>
      </w:r>
      <w:r>
        <w:rPr>
          <w:rFonts w:asciiTheme="minorHAnsi" w:hAnsiTheme="minorHAnsi" w:cstheme="minorHAnsi"/>
          <w:sz w:val="18"/>
          <w:szCs w:val="18"/>
        </w:rPr>
        <w:br/>
      </w:r>
      <w:hyperlink r:id="rId18" w:anchor="?topic=0.1&amp;workgroup=1.3935&amp;searchValue=&amp;page=1&amp;sort=Revelance" w:history="1">
        <w:r w:rsidRPr="00914B9C">
          <w:rPr>
            <w:rStyle w:val="Hyperlink"/>
            <w:rFonts w:asciiTheme="minorHAnsi" w:hAnsiTheme="minorHAnsi" w:cstheme="minorHAnsi"/>
            <w:sz w:val="18"/>
            <w:szCs w:val="18"/>
          </w:rPr>
          <w:t>https://www.itu.int/net4/ITU-T/landscape#?topic=0.1&amp;workgroup=1.3935&amp;searchValue=&amp;page=1&amp;sort=Revelance</w:t>
        </w:r>
      </w:hyperlink>
    </w:p>
  </w:footnote>
  <w:footnote w:id="22">
    <w:p w14:paraId="20BEB079" w14:textId="77777777" w:rsidR="008F24EC" w:rsidRPr="002E17A2" w:rsidRDefault="008F24EC" w:rsidP="00412A12">
      <w:pPr>
        <w:pStyle w:val="FootnoteText"/>
        <w:spacing w:before="20"/>
        <w:rPr>
          <w:sz w:val="18"/>
          <w:szCs w:val="18"/>
          <w:lang w:val="en-US"/>
        </w:rPr>
      </w:pPr>
      <w:r w:rsidRPr="0009616B">
        <w:rPr>
          <w:rStyle w:val="FootnoteReference"/>
          <w:vertAlign w:val="superscript"/>
        </w:rPr>
        <w:footnoteRef/>
      </w:r>
      <w:r w:rsidRPr="0009616B">
        <w:rPr>
          <w:vertAlign w:val="superscript"/>
        </w:rPr>
        <w:t xml:space="preserve"> </w:t>
      </w:r>
      <w:r>
        <w:rPr>
          <w:vertAlign w:val="superscript"/>
        </w:rPr>
        <w:tab/>
      </w:r>
      <w:r w:rsidRPr="001E2B95">
        <w:rPr>
          <w:sz w:val="18"/>
          <w:szCs w:val="18"/>
        </w:rPr>
        <w:t>HLEG Report 2008, Para 2.1</w:t>
      </w:r>
      <w:r>
        <w:rPr>
          <w:sz w:val="18"/>
          <w:szCs w:val="18"/>
        </w:rPr>
        <w:t xml:space="preserve">, Page 9, </w:t>
      </w:r>
      <w:r>
        <w:rPr>
          <w:i/>
          <w:iCs/>
          <w:sz w:val="18"/>
          <w:szCs w:val="18"/>
        </w:rPr>
        <w:t xml:space="preserve">id </w:t>
      </w:r>
      <w:r>
        <w:rPr>
          <w:sz w:val="18"/>
          <w:szCs w:val="18"/>
        </w:rPr>
        <w:t>at 6</w:t>
      </w:r>
    </w:p>
  </w:footnote>
  <w:footnote w:id="23">
    <w:p w14:paraId="4E84DBC3" w14:textId="77777777" w:rsidR="008F24EC" w:rsidRPr="0009616B" w:rsidRDefault="008F24EC" w:rsidP="00412A12">
      <w:pPr>
        <w:pStyle w:val="FootnoteText"/>
        <w:spacing w:before="20"/>
        <w:rPr>
          <w:i/>
          <w:iCs/>
          <w:sz w:val="18"/>
          <w:szCs w:val="18"/>
          <w:lang w:val="en-US"/>
        </w:rPr>
      </w:pPr>
      <w:r w:rsidRPr="0009616B">
        <w:rPr>
          <w:rStyle w:val="FootnoteReference"/>
          <w:vertAlign w:val="superscript"/>
        </w:rPr>
        <w:footnoteRef/>
      </w:r>
      <w:r w:rsidRPr="0009616B">
        <w:rPr>
          <w:vertAlign w:val="superscript"/>
        </w:rPr>
        <w:t xml:space="preserve"> </w:t>
      </w:r>
      <w:r>
        <w:rPr>
          <w:vertAlign w:val="superscript"/>
        </w:rPr>
        <w:tab/>
      </w:r>
      <w:r w:rsidRPr="0009616B">
        <w:rPr>
          <w:sz w:val="18"/>
          <w:szCs w:val="18"/>
          <w:lang w:val="en-US"/>
        </w:rPr>
        <w:t xml:space="preserve">HLEG Report 2008, Para 2.2, Page 9, </w:t>
      </w:r>
      <w:r w:rsidRPr="0009616B">
        <w:rPr>
          <w:i/>
          <w:iCs/>
          <w:sz w:val="18"/>
          <w:szCs w:val="18"/>
          <w:lang w:val="en-US"/>
        </w:rPr>
        <w:t xml:space="preserve">id at </w:t>
      </w:r>
      <w:r>
        <w:rPr>
          <w:i/>
          <w:iCs/>
          <w:sz w:val="18"/>
          <w:szCs w:val="18"/>
          <w:lang w:val="en-US"/>
        </w:rPr>
        <w:t>6</w:t>
      </w:r>
    </w:p>
  </w:footnote>
  <w:footnote w:id="24">
    <w:p w14:paraId="59EF9E75" w14:textId="77777777" w:rsidR="008F24EC" w:rsidRPr="00372EE6" w:rsidRDefault="008F24EC" w:rsidP="00412A12">
      <w:pPr>
        <w:pStyle w:val="FootnoteText"/>
        <w:spacing w:before="20"/>
        <w:rPr>
          <w:lang w:val="en-US"/>
        </w:rPr>
      </w:pPr>
      <w:r w:rsidRPr="0009616B">
        <w:rPr>
          <w:rStyle w:val="FootnoteReference"/>
          <w:vertAlign w:val="superscript"/>
        </w:rPr>
        <w:footnoteRef/>
      </w:r>
      <w:r w:rsidRPr="0009616B">
        <w:rPr>
          <w:vertAlign w:val="superscript"/>
        </w:rPr>
        <w:t xml:space="preserve"> </w:t>
      </w:r>
      <w:r>
        <w:rPr>
          <w:vertAlign w:val="superscript"/>
        </w:rPr>
        <w:tab/>
      </w:r>
      <w:r w:rsidRPr="001E2B95">
        <w:rPr>
          <w:sz w:val="18"/>
          <w:szCs w:val="18"/>
        </w:rPr>
        <w:t>HLEG Report 2008, Para 2</w:t>
      </w:r>
      <w:r>
        <w:rPr>
          <w:sz w:val="18"/>
          <w:szCs w:val="18"/>
        </w:rPr>
        <w:t xml:space="preserve">, Page 9, </w:t>
      </w:r>
      <w:r>
        <w:rPr>
          <w:i/>
          <w:iCs/>
          <w:sz w:val="18"/>
          <w:szCs w:val="18"/>
        </w:rPr>
        <w:t xml:space="preserve">id </w:t>
      </w:r>
      <w:r>
        <w:rPr>
          <w:sz w:val="18"/>
          <w:szCs w:val="18"/>
        </w:rPr>
        <w:t>at 6</w:t>
      </w:r>
    </w:p>
  </w:footnote>
  <w:footnote w:id="25">
    <w:p w14:paraId="589EC771" w14:textId="77777777" w:rsidR="008F24EC" w:rsidRPr="003872A3" w:rsidRDefault="008F24EC" w:rsidP="00412A12">
      <w:pPr>
        <w:pStyle w:val="FootnoteText"/>
        <w:spacing w:before="2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747645">
        <w:rPr>
          <w:rFonts w:asciiTheme="minorHAnsi" w:hAnsiTheme="minorHAnsi" w:cstheme="minorHAnsi"/>
          <w:sz w:val="18"/>
          <w:szCs w:val="18"/>
          <w:vertAlign w:val="superscript"/>
        </w:rPr>
        <w:t xml:space="preserve"> </w:t>
      </w:r>
      <w:r>
        <w:rPr>
          <w:rFonts w:asciiTheme="minorHAnsi" w:hAnsiTheme="minorHAnsi" w:cstheme="minorHAnsi"/>
          <w:sz w:val="18"/>
          <w:szCs w:val="18"/>
          <w:vertAlign w:val="superscript"/>
        </w:rPr>
        <w:tab/>
      </w:r>
      <w:r w:rsidRPr="003872A3">
        <w:rPr>
          <w:rFonts w:asciiTheme="minorHAnsi" w:hAnsiTheme="minorHAnsi" w:cstheme="minorHAnsi"/>
          <w:sz w:val="18"/>
          <w:szCs w:val="18"/>
          <w:lang w:val="en-US"/>
        </w:rPr>
        <w:t>National CIRTs, ITU,</w:t>
      </w:r>
      <w:r>
        <w:rPr>
          <w:rFonts w:asciiTheme="minorHAnsi" w:hAnsiTheme="minorHAnsi" w:cstheme="minorHAnsi"/>
          <w:sz w:val="18"/>
          <w:szCs w:val="18"/>
          <w:lang w:val="en-US"/>
        </w:rPr>
        <w:t xml:space="preserve"> available at</w:t>
      </w:r>
      <w:r w:rsidRPr="003872A3">
        <w:rPr>
          <w:rFonts w:asciiTheme="minorHAnsi" w:hAnsiTheme="minorHAnsi" w:cstheme="minorHAnsi"/>
          <w:sz w:val="18"/>
          <w:szCs w:val="18"/>
          <w:lang w:val="en-US"/>
        </w:rPr>
        <w:t xml:space="preserve"> </w:t>
      </w:r>
      <w:hyperlink r:id="rId19" w:history="1">
        <w:r w:rsidRPr="003872A3">
          <w:rPr>
            <w:rStyle w:val="Hyperlink"/>
            <w:rFonts w:asciiTheme="minorHAnsi" w:hAnsiTheme="minorHAnsi" w:cstheme="minorHAnsi"/>
            <w:sz w:val="18"/>
            <w:szCs w:val="18"/>
          </w:rPr>
          <w:t>https://www.itu.int/en/ITU-D/Cybersecurity/Pages/national-CIRT.aspx</w:t>
        </w:r>
      </w:hyperlink>
    </w:p>
  </w:footnote>
  <w:footnote w:id="26">
    <w:p w14:paraId="5E562B31" w14:textId="77777777" w:rsidR="008F24EC" w:rsidRPr="003872A3" w:rsidRDefault="008F24EC" w:rsidP="00412A12">
      <w:pPr>
        <w:pStyle w:val="FootnoteText"/>
        <w:spacing w:before="20"/>
        <w:ind w:left="0" w:firstLine="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i/>
          <w:iCs/>
          <w:sz w:val="18"/>
          <w:szCs w:val="18"/>
          <w:lang w:val="en-US"/>
        </w:rPr>
        <w:t>Ibid</w:t>
      </w:r>
    </w:p>
  </w:footnote>
  <w:footnote w:id="27">
    <w:p w14:paraId="2AC3DB48" w14:textId="77777777" w:rsidR="008F24EC" w:rsidRPr="003872A3" w:rsidRDefault="008F24EC" w:rsidP="00412A12">
      <w:pPr>
        <w:pStyle w:val="FootnoteText"/>
        <w:spacing w:before="20"/>
        <w:jc w:val="both"/>
        <w:rPr>
          <w:rFonts w:asciiTheme="minorHAnsi" w:hAnsiTheme="minorHAnsi" w:cstheme="minorHAnsi"/>
          <w:sz w:val="18"/>
          <w:szCs w:val="18"/>
          <w:lang w:val="en-US"/>
        </w:rPr>
      </w:pPr>
      <w:r w:rsidRPr="00747645">
        <w:rPr>
          <w:rStyle w:val="FootnoteReference"/>
          <w:rFonts w:asciiTheme="minorHAnsi" w:hAnsiTheme="minorHAnsi" w:cstheme="minorHAnsi"/>
          <w:sz w:val="18"/>
          <w:szCs w:val="18"/>
          <w:vertAlign w:val="superscript"/>
        </w:rPr>
        <w:footnoteRef/>
      </w:r>
      <w:r w:rsidRPr="003872A3">
        <w:rPr>
          <w:rFonts w:asciiTheme="minorHAnsi" w:hAnsiTheme="minorHAnsi" w:cstheme="minorHAnsi"/>
          <w:sz w:val="18"/>
          <w:szCs w:val="18"/>
        </w:rPr>
        <w:t xml:space="preserve"> </w:t>
      </w:r>
      <w:r>
        <w:rPr>
          <w:rFonts w:asciiTheme="minorHAnsi" w:hAnsiTheme="minorHAnsi" w:cstheme="minorHAnsi"/>
          <w:sz w:val="18"/>
          <w:szCs w:val="18"/>
        </w:rPr>
        <w:tab/>
      </w:r>
      <w:r w:rsidRPr="003872A3">
        <w:rPr>
          <w:rFonts w:asciiTheme="minorHAnsi" w:hAnsiTheme="minorHAnsi" w:cstheme="minorHAnsi"/>
          <w:i/>
          <w:iCs/>
          <w:sz w:val="18"/>
          <w:szCs w:val="18"/>
          <w:lang w:val="en-US"/>
        </w:rPr>
        <w:t>Ibid</w:t>
      </w:r>
    </w:p>
  </w:footnote>
  <w:footnote w:id="28">
    <w:p w14:paraId="36C022E3" w14:textId="77777777" w:rsidR="008F24EC" w:rsidRPr="003872A3" w:rsidRDefault="008F24EC" w:rsidP="003C12C1">
      <w:pPr>
        <w:pStyle w:val="FootnoteText"/>
        <w:spacing w:before="20"/>
        <w:jc w:val="both"/>
        <w:rPr>
          <w:sz w:val="18"/>
          <w:szCs w:val="18"/>
          <w:lang w:val="en-US"/>
        </w:rPr>
      </w:pPr>
      <w:r w:rsidRPr="00747645">
        <w:rPr>
          <w:rStyle w:val="FootnoteReference"/>
          <w:sz w:val="18"/>
          <w:szCs w:val="18"/>
          <w:vertAlign w:val="superscript"/>
        </w:rPr>
        <w:footnoteRef/>
      </w:r>
      <w:r w:rsidRPr="00747645">
        <w:rPr>
          <w:sz w:val="18"/>
          <w:szCs w:val="18"/>
          <w:vertAlign w:val="superscript"/>
        </w:rPr>
        <w:t xml:space="preserve"> </w:t>
      </w:r>
      <w:r>
        <w:rPr>
          <w:sz w:val="18"/>
          <w:szCs w:val="18"/>
          <w:vertAlign w:val="superscript"/>
        </w:rPr>
        <w:tab/>
      </w:r>
      <w:r w:rsidRPr="003872A3">
        <w:rPr>
          <w:sz w:val="18"/>
          <w:szCs w:val="18"/>
        </w:rPr>
        <w:t>Tim Berners-Lee</w:t>
      </w:r>
      <w:r>
        <w:rPr>
          <w:sz w:val="18"/>
          <w:szCs w:val="18"/>
        </w:rPr>
        <w:t xml:space="preserve">, </w:t>
      </w:r>
      <w:r w:rsidRPr="00F144A2">
        <w:rPr>
          <w:i/>
          <w:iCs/>
          <w:sz w:val="18"/>
          <w:szCs w:val="18"/>
        </w:rPr>
        <w:t>30 years on, what’s next #ForTheWeb?</w:t>
      </w:r>
      <w:r w:rsidRPr="003872A3">
        <w:rPr>
          <w:sz w:val="18"/>
          <w:szCs w:val="18"/>
        </w:rPr>
        <w:t>,</w:t>
      </w:r>
      <w:r>
        <w:rPr>
          <w:sz w:val="18"/>
          <w:szCs w:val="18"/>
        </w:rPr>
        <w:t xml:space="preserve"> </w:t>
      </w:r>
      <w:r w:rsidRPr="003872A3">
        <w:rPr>
          <w:sz w:val="18"/>
          <w:szCs w:val="18"/>
        </w:rPr>
        <w:t>March 12, 2019</w:t>
      </w:r>
      <w:r w:rsidRPr="003872A3">
        <w:rPr>
          <w:sz w:val="18"/>
          <w:szCs w:val="18"/>
          <w:vertAlign w:val="superscript"/>
        </w:rPr>
        <w:t>,</w:t>
      </w:r>
      <w:r w:rsidRPr="003872A3">
        <w:rPr>
          <w:sz w:val="18"/>
          <w:szCs w:val="18"/>
        </w:rPr>
        <w:t xml:space="preserve"> (</w:t>
      </w:r>
      <w:r>
        <w:rPr>
          <w:sz w:val="18"/>
          <w:szCs w:val="18"/>
        </w:rPr>
        <w:t xml:space="preserve">available at </w:t>
      </w:r>
      <w:hyperlink r:id="rId20" w:history="1">
        <w:r w:rsidRPr="00700614">
          <w:rPr>
            <w:rStyle w:val="Hyperlink"/>
            <w:sz w:val="18"/>
            <w:szCs w:val="18"/>
          </w:rPr>
          <w:t>https://webfoundation.org/2019/03/web-birthday-30/</w:t>
        </w:r>
      </w:hyperlink>
      <w:r w:rsidRPr="003872A3">
        <w:rPr>
          <w:sz w:val="18"/>
          <w:szCs w:val="18"/>
        </w:rPr>
        <w:t>) at the 30th anniversary of the Web, in an open letter, stated that</w:t>
      </w:r>
      <w:r w:rsidRPr="003872A3">
        <w:rPr>
          <w:i/>
          <w:sz w:val="18"/>
          <w:szCs w:val="18"/>
        </w:rPr>
        <w:t xml:space="preserve"> while the web has created opportunity, given marginalised groups a voice, and made our daily lives easier, it has also created opportunity for scammers, given a voice to those who spread hatred, and made all kinds of crime easier to commit.</w:t>
      </w:r>
    </w:p>
  </w:footnote>
  <w:footnote w:id="29">
    <w:p w14:paraId="04072E1E" w14:textId="77777777" w:rsidR="008F24EC" w:rsidRPr="00C20193" w:rsidRDefault="008F24EC" w:rsidP="003C12C1">
      <w:pPr>
        <w:pStyle w:val="FootnoteText"/>
        <w:spacing w:before="20"/>
        <w:rPr>
          <w:sz w:val="18"/>
          <w:szCs w:val="18"/>
          <w:lang w:val="en-US"/>
        </w:rPr>
      </w:pPr>
      <w:r w:rsidRPr="00C20193">
        <w:rPr>
          <w:rStyle w:val="FootnoteReference"/>
          <w:vertAlign w:val="superscript"/>
        </w:rPr>
        <w:footnoteRef/>
      </w:r>
      <w:r>
        <w:t xml:space="preserve"> </w:t>
      </w:r>
      <w:r>
        <w:tab/>
      </w:r>
      <w:r w:rsidRPr="00B96E01">
        <w:rPr>
          <w:sz w:val="18"/>
          <w:szCs w:val="18"/>
          <w:lang w:val="en-US"/>
        </w:rPr>
        <w:t xml:space="preserve">S. </w:t>
      </w:r>
      <w:proofErr w:type="spellStart"/>
      <w:r w:rsidRPr="00B96E01">
        <w:rPr>
          <w:sz w:val="18"/>
          <w:szCs w:val="18"/>
          <w:lang w:val="en-US"/>
        </w:rPr>
        <w:t>Ghernaouti</w:t>
      </w:r>
      <w:proofErr w:type="spellEnd"/>
      <w:r w:rsidRPr="00B96E01">
        <w:rPr>
          <w:sz w:val="18"/>
          <w:szCs w:val="18"/>
          <w:lang w:val="en-US"/>
        </w:rPr>
        <w:t xml:space="preserve">, </w:t>
      </w:r>
      <w:proofErr w:type="spellStart"/>
      <w:r w:rsidRPr="00B96E01">
        <w:rPr>
          <w:i/>
          <w:iCs/>
          <w:sz w:val="18"/>
          <w:szCs w:val="18"/>
          <w:lang w:val="en-US"/>
        </w:rPr>
        <w:t>Cyberpower</w:t>
      </w:r>
      <w:proofErr w:type="spellEnd"/>
      <w:r w:rsidRPr="00B96E01">
        <w:rPr>
          <w:i/>
          <w:iCs/>
          <w:sz w:val="18"/>
          <w:szCs w:val="18"/>
          <w:lang w:val="en-US"/>
        </w:rPr>
        <w:t>, Crime, Conflict and Security in Cyberspace,</w:t>
      </w:r>
      <w:r w:rsidRPr="00B96E01">
        <w:rPr>
          <w:sz w:val="18"/>
          <w:szCs w:val="18"/>
          <w:lang w:val="en-US"/>
        </w:rPr>
        <w:t> EPFL Press 2013</w:t>
      </w:r>
    </w:p>
  </w:footnote>
  <w:footnote w:id="30">
    <w:p w14:paraId="2280EB99" w14:textId="77777777" w:rsidR="008F24EC" w:rsidRPr="003872A3" w:rsidRDefault="008F24EC" w:rsidP="003C12C1">
      <w:pPr>
        <w:pStyle w:val="FootnoteText"/>
        <w:spacing w:before="20"/>
        <w:jc w:val="both"/>
        <w:rPr>
          <w:rFonts w:asciiTheme="minorHAnsi" w:hAnsiTheme="minorHAnsi" w:cstheme="minorHAnsi"/>
          <w:sz w:val="18"/>
          <w:szCs w:val="18"/>
          <w:lang w:val="en-US"/>
        </w:rPr>
      </w:pPr>
      <w:r w:rsidRPr="003D410B">
        <w:rPr>
          <w:rStyle w:val="FootnoteReference"/>
          <w:vertAlign w:val="superscript"/>
        </w:rPr>
        <w:footnoteRef/>
      </w:r>
      <w:r w:rsidRPr="003D410B">
        <w:rPr>
          <w:rStyle w:val="FootnoteReference"/>
          <w:vertAlign w:val="superscript"/>
        </w:rPr>
        <w:t xml:space="preserve"> </w:t>
      </w:r>
      <w:r w:rsidRPr="003D410B">
        <w:rPr>
          <w:rStyle w:val="FootnoteReference"/>
          <w:vertAlign w:val="superscript"/>
        </w:rPr>
        <w:tab/>
      </w:r>
      <w:r w:rsidRPr="003872A3">
        <w:rPr>
          <w:rFonts w:asciiTheme="minorHAnsi" w:hAnsiTheme="minorHAnsi" w:cstheme="minorHAnsi"/>
          <w:sz w:val="18"/>
          <w:szCs w:val="18"/>
        </w:rPr>
        <w:t xml:space="preserve">Laurence Bradford, </w:t>
      </w:r>
      <w:r w:rsidRPr="00676FA2">
        <w:rPr>
          <w:rFonts w:asciiTheme="minorHAnsi" w:hAnsiTheme="minorHAnsi" w:cstheme="minorHAnsi"/>
          <w:i/>
          <w:iCs/>
          <w:sz w:val="18"/>
          <w:szCs w:val="18"/>
        </w:rPr>
        <w:t>Cybersecurity needs women: Here’s why</w:t>
      </w:r>
      <w:r w:rsidRPr="003872A3">
        <w:rPr>
          <w:rFonts w:asciiTheme="minorHAnsi" w:hAnsiTheme="minorHAnsi" w:cstheme="minorHAnsi"/>
          <w:sz w:val="18"/>
          <w:szCs w:val="18"/>
        </w:rPr>
        <w:t>, 18 October 2018</w:t>
      </w:r>
      <w:r>
        <w:rPr>
          <w:rFonts w:asciiTheme="minorHAnsi" w:hAnsiTheme="minorHAnsi" w:cstheme="minorHAnsi"/>
          <w:sz w:val="18"/>
          <w:szCs w:val="18"/>
        </w:rPr>
        <w:t>, available at</w:t>
      </w:r>
      <w:r>
        <w:rPr>
          <w:rFonts w:asciiTheme="minorHAnsi" w:hAnsiTheme="minorHAnsi" w:cstheme="minorHAnsi"/>
          <w:sz w:val="18"/>
          <w:szCs w:val="18"/>
        </w:rPr>
        <w:br/>
      </w:r>
      <w:hyperlink r:id="rId21" w:anchor="5a7a3cc447e8" w:history="1">
        <w:r w:rsidRPr="00676FA2">
          <w:rPr>
            <w:rStyle w:val="Hyperlink"/>
            <w:rFonts w:asciiTheme="minorHAnsi" w:hAnsiTheme="minorHAnsi" w:cstheme="minorHAnsi"/>
            <w:sz w:val="18"/>
            <w:szCs w:val="18"/>
          </w:rPr>
          <w:t>https://www.forbes.com/sites/laurencebradford/2018/10/18/cybersecurity-needs-women-heres-why/#5a7a3cc447e8</w:t>
        </w:r>
      </w:hyperlink>
    </w:p>
  </w:footnote>
  <w:footnote w:id="31">
    <w:p w14:paraId="46DB16FC" w14:textId="77777777" w:rsidR="008F24EC" w:rsidRPr="00CD2672" w:rsidRDefault="008F24EC" w:rsidP="003C12C1">
      <w:pPr>
        <w:pStyle w:val="FootnoteText"/>
        <w:spacing w:before="20"/>
        <w:rPr>
          <w:i/>
          <w:iCs/>
          <w:sz w:val="18"/>
          <w:szCs w:val="18"/>
          <w:lang w:val="en-US"/>
        </w:rPr>
      </w:pPr>
      <w:r w:rsidRPr="00CD2672">
        <w:rPr>
          <w:rStyle w:val="FootnoteReference"/>
          <w:sz w:val="18"/>
          <w:szCs w:val="18"/>
          <w:vertAlign w:val="superscript"/>
        </w:rPr>
        <w:footnoteRef/>
      </w:r>
      <w:r w:rsidRPr="00CD2672">
        <w:rPr>
          <w:sz w:val="18"/>
          <w:szCs w:val="18"/>
        </w:rPr>
        <w:t xml:space="preserve"> </w:t>
      </w:r>
      <w:r>
        <w:rPr>
          <w:sz w:val="18"/>
          <w:szCs w:val="18"/>
        </w:rPr>
        <w:tab/>
      </w:r>
      <w:r w:rsidRPr="00CD2672">
        <w:rPr>
          <w:sz w:val="18"/>
          <w:szCs w:val="18"/>
          <w:lang w:val="en-US"/>
        </w:rPr>
        <w:t xml:space="preserve">HLEG Report 2008, Para 1.15, Page 9, </w:t>
      </w:r>
      <w:r w:rsidRPr="00CD2672">
        <w:rPr>
          <w:i/>
          <w:iCs/>
          <w:sz w:val="18"/>
          <w:szCs w:val="18"/>
          <w:lang w:val="en-US"/>
        </w:rPr>
        <w:t xml:space="preserve">id </w:t>
      </w:r>
      <w:r w:rsidRPr="00CD2672">
        <w:rPr>
          <w:sz w:val="18"/>
          <w:szCs w:val="18"/>
          <w:lang w:val="en-US"/>
        </w:rPr>
        <w:t xml:space="preserve">at </w:t>
      </w:r>
      <w:r>
        <w:rPr>
          <w:sz w:val="18"/>
          <w:szCs w:val="18"/>
          <w:lang w:val="en-US"/>
        </w:rPr>
        <w:t>6</w:t>
      </w:r>
    </w:p>
  </w:footnote>
  <w:footnote w:id="32">
    <w:p w14:paraId="5E0DA98C" w14:textId="77777777" w:rsidR="008F24EC" w:rsidRPr="006254F7" w:rsidRDefault="008F24EC" w:rsidP="003C12C1">
      <w:pPr>
        <w:pStyle w:val="FootnoteText"/>
        <w:spacing w:before="20"/>
        <w:rPr>
          <w:lang w:val="en-US"/>
        </w:rPr>
      </w:pPr>
      <w:r w:rsidRPr="003D410B">
        <w:rPr>
          <w:rStyle w:val="FootnoteReference"/>
          <w:sz w:val="18"/>
          <w:szCs w:val="18"/>
          <w:vertAlign w:val="superscript"/>
        </w:rPr>
        <w:footnoteRef/>
      </w:r>
      <w:r>
        <w:t xml:space="preserve"> </w:t>
      </w:r>
      <w:r w:rsidRPr="00643EF6">
        <w:rPr>
          <w:sz w:val="18"/>
          <w:szCs w:val="18"/>
          <w:lang w:val="en-US"/>
        </w:rPr>
        <w:t>More information is available at</w:t>
      </w:r>
      <w:r w:rsidRPr="00F10F2A">
        <w:rPr>
          <w:sz w:val="18"/>
          <w:szCs w:val="18"/>
        </w:rPr>
        <w:t xml:space="preserve"> </w:t>
      </w:r>
      <w:hyperlink r:id="rId22" w:history="1">
        <w:r w:rsidRPr="00DA5F99">
          <w:rPr>
            <w:rStyle w:val="Hyperlink"/>
            <w:sz w:val="18"/>
            <w:szCs w:val="18"/>
          </w:rPr>
          <w:t>https://www.itu.int/en/cop/Pages/partners.aspx</w:t>
        </w:r>
      </w:hyperlink>
      <w:r>
        <w:rPr>
          <w:sz w:val="18"/>
          <w:szCs w:val="18"/>
        </w:rPr>
        <w:t xml:space="preserve"> </w:t>
      </w:r>
    </w:p>
  </w:footnote>
  <w:footnote w:id="33">
    <w:p w14:paraId="4D2E3E32" w14:textId="77777777" w:rsidR="008F24EC" w:rsidRPr="002462CC" w:rsidRDefault="008F24EC" w:rsidP="003C12C1">
      <w:pPr>
        <w:pStyle w:val="FootnoteText"/>
        <w:spacing w:before="20"/>
        <w:rPr>
          <w:sz w:val="18"/>
          <w:szCs w:val="18"/>
        </w:rPr>
      </w:pPr>
      <w:r w:rsidRPr="002462CC">
        <w:rPr>
          <w:rStyle w:val="FootnoteReference"/>
          <w:sz w:val="18"/>
          <w:szCs w:val="18"/>
          <w:vertAlign w:val="superscript"/>
        </w:rPr>
        <w:footnoteRef/>
      </w:r>
      <w:r w:rsidRPr="002462CC">
        <w:rPr>
          <w:sz w:val="18"/>
          <w:szCs w:val="18"/>
        </w:rPr>
        <w:t xml:space="preserve"> </w:t>
      </w:r>
      <w:r>
        <w:rPr>
          <w:sz w:val="18"/>
          <w:szCs w:val="18"/>
        </w:rPr>
        <w:tab/>
        <w:t xml:space="preserve">More information is available at </w:t>
      </w:r>
      <w:hyperlink r:id="rId23" w:history="1">
        <w:r w:rsidRPr="00C66632">
          <w:rPr>
            <w:rStyle w:val="Hyperlink"/>
            <w:sz w:val="18"/>
            <w:szCs w:val="18"/>
          </w:rPr>
          <w:t>https://www.un.org/en/digital-cooperation-panel/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76B" w14:textId="2D8CBB60" w:rsidR="008F24EC" w:rsidRDefault="008F24EC" w:rsidP="00CE433C">
    <w:pPr>
      <w:pStyle w:val="Header"/>
    </w:pPr>
    <w:r>
      <w:fldChar w:fldCharType="begin"/>
    </w:r>
    <w:r>
      <w:instrText>PAGE</w:instrText>
    </w:r>
    <w:r>
      <w:fldChar w:fldCharType="separate"/>
    </w:r>
    <w:r>
      <w:rPr>
        <w:noProof/>
      </w:rPr>
      <w:t>2</w:t>
    </w:r>
    <w:r>
      <w:rPr>
        <w:noProof/>
      </w:rPr>
      <w:fldChar w:fldCharType="end"/>
    </w:r>
  </w:p>
  <w:p w14:paraId="146648A7" w14:textId="7555A36C" w:rsidR="008F24EC" w:rsidRPr="00623AE3" w:rsidRDefault="008F24EC" w:rsidP="00D338E0">
    <w:pPr>
      <w:pStyle w:val="Header"/>
      <w:rPr>
        <w:bCs/>
      </w:rPr>
    </w:pPr>
    <w:r>
      <w:rPr>
        <w:bCs/>
      </w:rPr>
      <w:t>C21</w:t>
    </w:r>
    <w:r w:rsidRPr="00623AE3">
      <w:rPr>
        <w:bCs/>
      </w:rPr>
      <w:t>/</w:t>
    </w:r>
    <w:r>
      <w:rPr>
        <w:bCs/>
      </w:rPr>
      <w:t>71</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448B5"/>
    <w:multiLevelType w:val="hybridMultilevel"/>
    <w:tmpl w:val="215AC8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A4D1A"/>
    <w:multiLevelType w:val="hybridMultilevel"/>
    <w:tmpl w:val="B888ED40"/>
    <w:lvl w:ilvl="0" w:tplc="622CBF1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77F97"/>
    <w:multiLevelType w:val="hybridMultilevel"/>
    <w:tmpl w:val="2B48D112"/>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A54DAA"/>
    <w:multiLevelType w:val="hybridMultilevel"/>
    <w:tmpl w:val="DA602B0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734339"/>
    <w:multiLevelType w:val="multilevel"/>
    <w:tmpl w:val="45507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1422A1"/>
    <w:multiLevelType w:val="hybridMultilevel"/>
    <w:tmpl w:val="7E949B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6BB3A54"/>
    <w:multiLevelType w:val="hybridMultilevel"/>
    <w:tmpl w:val="454E5336"/>
    <w:lvl w:ilvl="0" w:tplc="0164BA14">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8659A1"/>
    <w:multiLevelType w:val="hybridMultilevel"/>
    <w:tmpl w:val="8CB21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360D5"/>
    <w:multiLevelType w:val="hybridMultilevel"/>
    <w:tmpl w:val="41082358"/>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E7E12"/>
    <w:multiLevelType w:val="hybridMultilevel"/>
    <w:tmpl w:val="81B6C62A"/>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9876644"/>
    <w:multiLevelType w:val="multilevel"/>
    <w:tmpl w:val="004A74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2" w15:restartNumberingAfterBreak="0">
    <w:nsid w:val="2D5C6BD2"/>
    <w:multiLevelType w:val="hybridMultilevel"/>
    <w:tmpl w:val="62D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C95265"/>
    <w:multiLevelType w:val="hybridMultilevel"/>
    <w:tmpl w:val="F2A8C2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D1A48F4"/>
    <w:multiLevelType w:val="hybridMultilevel"/>
    <w:tmpl w:val="FC7011BE"/>
    <w:lvl w:ilvl="0" w:tplc="622CBF12">
      <w:start w:val="1"/>
      <w:numFmt w:val="bullet"/>
      <w:lvlText w:val=""/>
      <w:lvlJc w:val="left"/>
      <w:pPr>
        <w:ind w:left="36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24106E6"/>
    <w:multiLevelType w:val="hybridMultilevel"/>
    <w:tmpl w:val="A2309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A5428"/>
    <w:multiLevelType w:val="hybridMultilevel"/>
    <w:tmpl w:val="244E066E"/>
    <w:lvl w:ilvl="0" w:tplc="CB4E2E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203444"/>
    <w:multiLevelType w:val="hybridMultilevel"/>
    <w:tmpl w:val="73062A14"/>
    <w:lvl w:ilvl="0" w:tplc="9D425D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8419B"/>
    <w:multiLevelType w:val="hybridMultilevel"/>
    <w:tmpl w:val="0E24D15A"/>
    <w:lvl w:ilvl="0" w:tplc="98D00834">
      <w:start w:val="1"/>
      <w:numFmt w:val="bullet"/>
      <w:lvlText w:val="-"/>
      <w:lvlJc w:val="left"/>
      <w:pPr>
        <w:ind w:left="720" w:hanging="360"/>
      </w:pPr>
      <w:rPr>
        <w:rFonts w:ascii="Calibri" w:eastAsia="DengXi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002F15"/>
    <w:multiLevelType w:val="hybridMultilevel"/>
    <w:tmpl w:val="FE9EAABC"/>
    <w:lvl w:ilvl="0" w:tplc="8B20CE6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E40350E"/>
    <w:multiLevelType w:val="hybridMultilevel"/>
    <w:tmpl w:val="447800F8"/>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396B55"/>
    <w:multiLevelType w:val="hybridMultilevel"/>
    <w:tmpl w:val="E0CED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066217D"/>
    <w:multiLevelType w:val="hybridMultilevel"/>
    <w:tmpl w:val="582AD6D6"/>
    <w:lvl w:ilvl="0" w:tplc="268C2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6803AC"/>
    <w:multiLevelType w:val="hybridMultilevel"/>
    <w:tmpl w:val="232A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A2152"/>
    <w:multiLevelType w:val="hybridMultilevel"/>
    <w:tmpl w:val="E12624E4"/>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C1491"/>
    <w:multiLevelType w:val="hybridMultilevel"/>
    <w:tmpl w:val="CD105C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BF448D"/>
    <w:multiLevelType w:val="hybridMultilevel"/>
    <w:tmpl w:val="6E506C9C"/>
    <w:lvl w:ilvl="0" w:tplc="126E788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6D25081"/>
    <w:multiLevelType w:val="hybridMultilevel"/>
    <w:tmpl w:val="9426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C93AC9"/>
    <w:multiLevelType w:val="hybridMultilevel"/>
    <w:tmpl w:val="D45E9F6A"/>
    <w:lvl w:ilvl="0" w:tplc="622CBF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2F4275"/>
    <w:multiLevelType w:val="multilevel"/>
    <w:tmpl w:val="6D5A754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0" w15:restartNumberingAfterBreak="0">
    <w:nsid w:val="6E9F29D6"/>
    <w:multiLevelType w:val="hybridMultilevel"/>
    <w:tmpl w:val="3F7CE6C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877898"/>
    <w:multiLevelType w:val="hybridMultilevel"/>
    <w:tmpl w:val="A6324BB8"/>
    <w:lvl w:ilvl="0" w:tplc="8FE6D86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3A2ECC"/>
    <w:multiLevelType w:val="hybridMultilevel"/>
    <w:tmpl w:val="257EA5D2"/>
    <w:lvl w:ilvl="0" w:tplc="6874ACBA">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5341FEC"/>
    <w:multiLevelType w:val="multilevel"/>
    <w:tmpl w:val="AD9A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C5ABC"/>
    <w:multiLevelType w:val="hybridMultilevel"/>
    <w:tmpl w:val="4EBE36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1226AB"/>
    <w:multiLevelType w:val="hybridMultilevel"/>
    <w:tmpl w:val="36B4231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7F595B2E"/>
    <w:multiLevelType w:val="hybridMultilevel"/>
    <w:tmpl w:val="A88C8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1"/>
  </w:num>
  <w:num w:numId="3">
    <w:abstractNumId w:val="16"/>
  </w:num>
  <w:num w:numId="4">
    <w:abstractNumId w:val="4"/>
  </w:num>
  <w:num w:numId="5">
    <w:abstractNumId w:val="28"/>
  </w:num>
  <w:num w:numId="6">
    <w:abstractNumId w:val="8"/>
  </w:num>
  <w:num w:numId="7">
    <w:abstractNumId w:val="36"/>
  </w:num>
  <w:num w:numId="8">
    <w:abstractNumId w:val="22"/>
  </w:num>
  <w:num w:numId="9">
    <w:abstractNumId w:val="17"/>
  </w:num>
  <w:num w:numId="10">
    <w:abstractNumId w:val="31"/>
  </w:num>
  <w:num w:numId="11">
    <w:abstractNumId w:val="30"/>
  </w:num>
  <w:num w:numId="12">
    <w:abstractNumId w:val="10"/>
  </w:num>
  <w:num w:numId="13">
    <w:abstractNumId w:val="32"/>
  </w:num>
  <w:num w:numId="14">
    <w:abstractNumId w:val="20"/>
  </w:num>
  <w:num w:numId="15">
    <w:abstractNumId w:val="23"/>
  </w:num>
  <w:num w:numId="16">
    <w:abstractNumId w:val="2"/>
  </w:num>
  <w:num w:numId="17">
    <w:abstractNumId w:val="26"/>
  </w:num>
  <w:num w:numId="18">
    <w:abstractNumId w:val="19"/>
  </w:num>
  <w:num w:numId="19">
    <w:abstractNumId w:val="15"/>
  </w:num>
  <w:num w:numId="20">
    <w:abstractNumId w:val="12"/>
  </w:num>
  <w:num w:numId="21">
    <w:abstractNumId w:val="29"/>
  </w:num>
  <w:num w:numId="22">
    <w:abstractNumId w:val="34"/>
  </w:num>
  <w:num w:numId="23">
    <w:abstractNumId w:val="24"/>
  </w:num>
  <w:num w:numId="24">
    <w:abstractNumId w:val="9"/>
  </w:num>
  <w:num w:numId="25">
    <w:abstractNumId w:val="14"/>
  </w:num>
  <w:num w:numId="26">
    <w:abstractNumId w:val="3"/>
  </w:num>
  <w:num w:numId="27">
    <w:abstractNumId w:val="7"/>
  </w:num>
  <w:num w:numId="28">
    <w:abstractNumId w:val="35"/>
  </w:num>
  <w:num w:numId="29">
    <w:abstractNumId w:val="6"/>
  </w:num>
  <w:num w:numId="30">
    <w:abstractNumId w:val="21"/>
  </w:num>
  <w:num w:numId="31">
    <w:abstractNumId w:val="1"/>
  </w:num>
  <w:num w:numId="32">
    <w:abstractNumId w:val="13"/>
  </w:num>
  <w:num w:numId="33">
    <w:abstractNumId w:val="25"/>
  </w:num>
  <w:num w:numId="34">
    <w:abstractNumId w:val="27"/>
  </w:num>
  <w:num w:numId="35">
    <w:abstractNumId w:val="33"/>
  </w:num>
  <w:num w:numId="36">
    <w:abstractNumId w:val="18"/>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CH"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1249"/>
    <w:rsid w:val="00005D3C"/>
    <w:rsid w:val="000126A9"/>
    <w:rsid w:val="00013ADD"/>
    <w:rsid w:val="000210D4"/>
    <w:rsid w:val="000279AB"/>
    <w:rsid w:val="00032E8B"/>
    <w:rsid w:val="0005059C"/>
    <w:rsid w:val="0005205C"/>
    <w:rsid w:val="0005371B"/>
    <w:rsid w:val="00056A64"/>
    <w:rsid w:val="00063016"/>
    <w:rsid w:val="0006435F"/>
    <w:rsid w:val="00066795"/>
    <w:rsid w:val="00076AF6"/>
    <w:rsid w:val="00081AFB"/>
    <w:rsid w:val="00085CF2"/>
    <w:rsid w:val="000966F1"/>
    <w:rsid w:val="00097250"/>
    <w:rsid w:val="000A0250"/>
    <w:rsid w:val="000A5E1C"/>
    <w:rsid w:val="000B1705"/>
    <w:rsid w:val="000D75B2"/>
    <w:rsid w:val="00100012"/>
    <w:rsid w:val="00102F11"/>
    <w:rsid w:val="001121F5"/>
    <w:rsid w:val="001329BF"/>
    <w:rsid w:val="00133C97"/>
    <w:rsid w:val="001341AA"/>
    <w:rsid w:val="00134AF8"/>
    <w:rsid w:val="001400DC"/>
    <w:rsid w:val="00140CE1"/>
    <w:rsid w:val="00143BCC"/>
    <w:rsid w:val="00155C38"/>
    <w:rsid w:val="0017539C"/>
    <w:rsid w:val="00175AC2"/>
    <w:rsid w:val="0017609F"/>
    <w:rsid w:val="0019408F"/>
    <w:rsid w:val="001A1D67"/>
    <w:rsid w:val="001A241A"/>
    <w:rsid w:val="001B196D"/>
    <w:rsid w:val="001B5890"/>
    <w:rsid w:val="001C48EE"/>
    <w:rsid w:val="001C628E"/>
    <w:rsid w:val="001E0B72"/>
    <w:rsid w:val="001E0F7B"/>
    <w:rsid w:val="001E1220"/>
    <w:rsid w:val="001E73C0"/>
    <w:rsid w:val="001F2B94"/>
    <w:rsid w:val="001F72A5"/>
    <w:rsid w:val="00200270"/>
    <w:rsid w:val="00200500"/>
    <w:rsid w:val="00211320"/>
    <w:rsid w:val="002119FD"/>
    <w:rsid w:val="002130E0"/>
    <w:rsid w:val="00221FB2"/>
    <w:rsid w:val="0022370D"/>
    <w:rsid w:val="00235365"/>
    <w:rsid w:val="00235D62"/>
    <w:rsid w:val="00252535"/>
    <w:rsid w:val="00264425"/>
    <w:rsid w:val="00265875"/>
    <w:rsid w:val="0027303B"/>
    <w:rsid w:val="0028109B"/>
    <w:rsid w:val="002811DE"/>
    <w:rsid w:val="0028557A"/>
    <w:rsid w:val="0028648E"/>
    <w:rsid w:val="002A2188"/>
    <w:rsid w:val="002A3289"/>
    <w:rsid w:val="002B1F58"/>
    <w:rsid w:val="002C1C7A"/>
    <w:rsid w:val="002C30A6"/>
    <w:rsid w:val="002C7733"/>
    <w:rsid w:val="002D483F"/>
    <w:rsid w:val="002E7F85"/>
    <w:rsid w:val="0030160F"/>
    <w:rsid w:val="003202FF"/>
    <w:rsid w:val="00322D0D"/>
    <w:rsid w:val="003246D4"/>
    <w:rsid w:val="003259C7"/>
    <w:rsid w:val="00336440"/>
    <w:rsid w:val="00337CDD"/>
    <w:rsid w:val="00353BAC"/>
    <w:rsid w:val="003942D4"/>
    <w:rsid w:val="003958A8"/>
    <w:rsid w:val="003A35E8"/>
    <w:rsid w:val="003B5E43"/>
    <w:rsid w:val="003C0696"/>
    <w:rsid w:val="003C12C1"/>
    <w:rsid w:val="003C2533"/>
    <w:rsid w:val="003D410B"/>
    <w:rsid w:val="003D417F"/>
    <w:rsid w:val="003E2D2A"/>
    <w:rsid w:val="003E3949"/>
    <w:rsid w:val="003E7AFF"/>
    <w:rsid w:val="0040435A"/>
    <w:rsid w:val="004061D0"/>
    <w:rsid w:val="00411097"/>
    <w:rsid w:val="00412A12"/>
    <w:rsid w:val="00416A24"/>
    <w:rsid w:val="00431D9E"/>
    <w:rsid w:val="00433CE8"/>
    <w:rsid w:val="00434A5C"/>
    <w:rsid w:val="004368B5"/>
    <w:rsid w:val="004445EC"/>
    <w:rsid w:val="00451C3A"/>
    <w:rsid w:val="004544D9"/>
    <w:rsid w:val="00454E04"/>
    <w:rsid w:val="00490E72"/>
    <w:rsid w:val="00491157"/>
    <w:rsid w:val="004921C8"/>
    <w:rsid w:val="004A12EA"/>
    <w:rsid w:val="004B2603"/>
    <w:rsid w:val="004B4094"/>
    <w:rsid w:val="004C1455"/>
    <w:rsid w:val="004C7CCA"/>
    <w:rsid w:val="004C7EE1"/>
    <w:rsid w:val="004D1851"/>
    <w:rsid w:val="004D599D"/>
    <w:rsid w:val="004E09E2"/>
    <w:rsid w:val="004E2EA5"/>
    <w:rsid w:val="004E3AEB"/>
    <w:rsid w:val="0050223C"/>
    <w:rsid w:val="00510CFC"/>
    <w:rsid w:val="005164B9"/>
    <w:rsid w:val="005243FF"/>
    <w:rsid w:val="00550092"/>
    <w:rsid w:val="00556C16"/>
    <w:rsid w:val="005637F8"/>
    <w:rsid w:val="00564FBC"/>
    <w:rsid w:val="00570D75"/>
    <w:rsid w:val="00582442"/>
    <w:rsid w:val="00583A2A"/>
    <w:rsid w:val="005A0575"/>
    <w:rsid w:val="005A1BA4"/>
    <w:rsid w:val="005B3106"/>
    <w:rsid w:val="005B698A"/>
    <w:rsid w:val="005D4509"/>
    <w:rsid w:val="005E4F46"/>
    <w:rsid w:val="005E7C73"/>
    <w:rsid w:val="005F3269"/>
    <w:rsid w:val="0060076E"/>
    <w:rsid w:val="00623AE3"/>
    <w:rsid w:val="006254F7"/>
    <w:rsid w:val="0064737F"/>
    <w:rsid w:val="006533AC"/>
    <w:rsid w:val="006535F1"/>
    <w:rsid w:val="0065557D"/>
    <w:rsid w:val="00662984"/>
    <w:rsid w:val="00662DC0"/>
    <w:rsid w:val="006716BB"/>
    <w:rsid w:val="0068307C"/>
    <w:rsid w:val="0069595E"/>
    <w:rsid w:val="006A4D68"/>
    <w:rsid w:val="006B6680"/>
    <w:rsid w:val="006B6DCC"/>
    <w:rsid w:val="006B7028"/>
    <w:rsid w:val="006C64E3"/>
    <w:rsid w:val="006D2215"/>
    <w:rsid w:val="006D27C6"/>
    <w:rsid w:val="006E0128"/>
    <w:rsid w:val="006E1F87"/>
    <w:rsid w:val="006F30D5"/>
    <w:rsid w:val="00702DEF"/>
    <w:rsid w:val="00704418"/>
    <w:rsid w:val="00706861"/>
    <w:rsid w:val="00712C34"/>
    <w:rsid w:val="00736521"/>
    <w:rsid w:val="00740FE3"/>
    <w:rsid w:val="0075051B"/>
    <w:rsid w:val="00751DDD"/>
    <w:rsid w:val="007704B9"/>
    <w:rsid w:val="007847F0"/>
    <w:rsid w:val="00784973"/>
    <w:rsid w:val="0078724A"/>
    <w:rsid w:val="00793188"/>
    <w:rsid w:val="00794D34"/>
    <w:rsid w:val="007953B1"/>
    <w:rsid w:val="007972B4"/>
    <w:rsid w:val="007B0EB8"/>
    <w:rsid w:val="007C1FD2"/>
    <w:rsid w:val="007F0259"/>
    <w:rsid w:val="007F26C2"/>
    <w:rsid w:val="007F3C21"/>
    <w:rsid w:val="007F50BB"/>
    <w:rsid w:val="00806F1B"/>
    <w:rsid w:val="00813877"/>
    <w:rsid w:val="00813E5E"/>
    <w:rsid w:val="00814829"/>
    <w:rsid w:val="0083581B"/>
    <w:rsid w:val="00854925"/>
    <w:rsid w:val="00860A6F"/>
    <w:rsid w:val="00864AFF"/>
    <w:rsid w:val="00865ECE"/>
    <w:rsid w:val="0086713B"/>
    <w:rsid w:val="008907A4"/>
    <w:rsid w:val="008A6148"/>
    <w:rsid w:val="008A7552"/>
    <w:rsid w:val="008A7723"/>
    <w:rsid w:val="008B4A6A"/>
    <w:rsid w:val="008C6DE4"/>
    <w:rsid w:val="008C7E27"/>
    <w:rsid w:val="008D3B42"/>
    <w:rsid w:val="008E07E6"/>
    <w:rsid w:val="008E503B"/>
    <w:rsid w:val="008E55B9"/>
    <w:rsid w:val="008F24EC"/>
    <w:rsid w:val="008F486F"/>
    <w:rsid w:val="009130C6"/>
    <w:rsid w:val="00916843"/>
    <w:rsid w:val="00916E60"/>
    <w:rsid w:val="009173EF"/>
    <w:rsid w:val="00932906"/>
    <w:rsid w:val="009438FA"/>
    <w:rsid w:val="00951CEC"/>
    <w:rsid w:val="00961B0B"/>
    <w:rsid w:val="00966382"/>
    <w:rsid w:val="00976297"/>
    <w:rsid w:val="009942A1"/>
    <w:rsid w:val="00997AEA"/>
    <w:rsid w:val="009A35D8"/>
    <w:rsid w:val="009B08EA"/>
    <w:rsid w:val="009B38C3"/>
    <w:rsid w:val="009C2AD9"/>
    <w:rsid w:val="009C61CF"/>
    <w:rsid w:val="009D487C"/>
    <w:rsid w:val="009D69AC"/>
    <w:rsid w:val="009E17BD"/>
    <w:rsid w:val="009E485A"/>
    <w:rsid w:val="009E6817"/>
    <w:rsid w:val="009F3799"/>
    <w:rsid w:val="009F66A3"/>
    <w:rsid w:val="00A0044E"/>
    <w:rsid w:val="00A04CEC"/>
    <w:rsid w:val="00A11610"/>
    <w:rsid w:val="00A1229F"/>
    <w:rsid w:val="00A21CC4"/>
    <w:rsid w:val="00A25A2B"/>
    <w:rsid w:val="00A27CB4"/>
    <w:rsid w:val="00A27F92"/>
    <w:rsid w:val="00A32257"/>
    <w:rsid w:val="00A35FC8"/>
    <w:rsid w:val="00A36D20"/>
    <w:rsid w:val="00A41AE0"/>
    <w:rsid w:val="00A518A1"/>
    <w:rsid w:val="00A55622"/>
    <w:rsid w:val="00A632AD"/>
    <w:rsid w:val="00A76145"/>
    <w:rsid w:val="00A76F4A"/>
    <w:rsid w:val="00A77A56"/>
    <w:rsid w:val="00A8106B"/>
    <w:rsid w:val="00A83502"/>
    <w:rsid w:val="00A8382F"/>
    <w:rsid w:val="00A84ED3"/>
    <w:rsid w:val="00A93652"/>
    <w:rsid w:val="00AB508A"/>
    <w:rsid w:val="00AB630A"/>
    <w:rsid w:val="00AB69D7"/>
    <w:rsid w:val="00AC47C8"/>
    <w:rsid w:val="00AD15B3"/>
    <w:rsid w:val="00AD1D46"/>
    <w:rsid w:val="00AF6E49"/>
    <w:rsid w:val="00B0014B"/>
    <w:rsid w:val="00B03C26"/>
    <w:rsid w:val="00B04A67"/>
    <w:rsid w:val="00B0505E"/>
    <w:rsid w:val="00B0583C"/>
    <w:rsid w:val="00B31C2C"/>
    <w:rsid w:val="00B40A81"/>
    <w:rsid w:val="00B438D6"/>
    <w:rsid w:val="00B44910"/>
    <w:rsid w:val="00B47526"/>
    <w:rsid w:val="00B530FF"/>
    <w:rsid w:val="00B72267"/>
    <w:rsid w:val="00B76EB6"/>
    <w:rsid w:val="00B7737B"/>
    <w:rsid w:val="00B824C8"/>
    <w:rsid w:val="00B86D77"/>
    <w:rsid w:val="00BA245A"/>
    <w:rsid w:val="00BB7204"/>
    <w:rsid w:val="00BC251A"/>
    <w:rsid w:val="00BD032B"/>
    <w:rsid w:val="00BD1968"/>
    <w:rsid w:val="00BD30AB"/>
    <w:rsid w:val="00BD60E7"/>
    <w:rsid w:val="00BE2640"/>
    <w:rsid w:val="00BF2564"/>
    <w:rsid w:val="00BF53AB"/>
    <w:rsid w:val="00BF67C4"/>
    <w:rsid w:val="00C01189"/>
    <w:rsid w:val="00C0525E"/>
    <w:rsid w:val="00C16AB3"/>
    <w:rsid w:val="00C2052F"/>
    <w:rsid w:val="00C374DE"/>
    <w:rsid w:val="00C4395A"/>
    <w:rsid w:val="00C47AD4"/>
    <w:rsid w:val="00C52D81"/>
    <w:rsid w:val="00C54E13"/>
    <w:rsid w:val="00C55198"/>
    <w:rsid w:val="00C63CA4"/>
    <w:rsid w:val="00C72333"/>
    <w:rsid w:val="00C80626"/>
    <w:rsid w:val="00C810E6"/>
    <w:rsid w:val="00C821E4"/>
    <w:rsid w:val="00C87368"/>
    <w:rsid w:val="00CA321C"/>
    <w:rsid w:val="00CA3C63"/>
    <w:rsid w:val="00CA4E01"/>
    <w:rsid w:val="00CA4EDA"/>
    <w:rsid w:val="00CA6393"/>
    <w:rsid w:val="00CB14C2"/>
    <w:rsid w:val="00CB18FF"/>
    <w:rsid w:val="00CD0C08"/>
    <w:rsid w:val="00CD35E4"/>
    <w:rsid w:val="00CD3CDB"/>
    <w:rsid w:val="00CD47A8"/>
    <w:rsid w:val="00CE03FB"/>
    <w:rsid w:val="00CE433C"/>
    <w:rsid w:val="00CE7245"/>
    <w:rsid w:val="00CF33F3"/>
    <w:rsid w:val="00D06183"/>
    <w:rsid w:val="00D16401"/>
    <w:rsid w:val="00D22C42"/>
    <w:rsid w:val="00D2656A"/>
    <w:rsid w:val="00D30C0A"/>
    <w:rsid w:val="00D338E0"/>
    <w:rsid w:val="00D4099A"/>
    <w:rsid w:val="00D41A3D"/>
    <w:rsid w:val="00D65041"/>
    <w:rsid w:val="00D94C31"/>
    <w:rsid w:val="00DB384B"/>
    <w:rsid w:val="00DE0371"/>
    <w:rsid w:val="00DE0DFB"/>
    <w:rsid w:val="00DE6F0B"/>
    <w:rsid w:val="00DF3971"/>
    <w:rsid w:val="00E00A33"/>
    <w:rsid w:val="00E0738A"/>
    <w:rsid w:val="00E10E80"/>
    <w:rsid w:val="00E124F0"/>
    <w:rsid w:val="00E204EF"/>
    <w:rsid w:val="00E259BC"/>
    <w:rsid w:val="00E323D8"/>
    <w:rsid w:val="00E33408"/>
    <w:rsid w:val="00E42A85"/>
    <w:rsid w:val="00E5215E"/>
    <w:rsid w:val="00E53998"/>
    <w:rsid w:val="00E546CB"/>
    <w:rsid w:val="00E54957"/>
    <w:rsid w:val="00E60F04"/>
    <w:rsid w:val="00E6279E"/>
    <w:rsid w:val="00E854E4"/>
    <w:rsid w:val="00E902B0"/>
    <w:rsid w:val="00E9254D"/>
    <w:rsid w:val="00EA7EC8"/>
    <w:rsid w:val="00EB0D6F"/>
    <w:rsid w:val="00EB2232"/>
    <w:rsid w:val="00EC50A7"/>
    <w:rsid w:val="00EC5337"/>
    <w:rsid w:val="00EE0805"/>
    <w:rsid w:val="00EE46E0"/>
    <w:rsid w:val="00EF0DA1"/>
    <w:rsid w:val="00EF5CA6"/>
    <w:rsid w:val="00F00630"/>
    <w:rsid w:val="00F00763"/>
    <w:rsid w:val="00F11FD7"/>
    <w:rsid w:val="00F2150A"/>
    <w:rsid w:val="00F231D8"/>
    <w:rsid w:val="00F462D9"/>
    <w:rsid w:val="00F46C5F"/>
    <w:rsid w:val="00F47557"/>
    <w:rsid w:val="00F51A11"/>
    <w:rsid w:val="00F841FE"/>
    <w:rsid w:val="00F87772"/>
    <w:rsid w:val="00F87DCC"/>
    <w:rsid w:val="00F921CE"/>
    <w:rsid w:val="00F94A63"/>
    <w:rsid w:val="00F955E0"/>
    <w:rsid w:val="00F96FAE"/>
    <w:rsid w:val="00F97440"/>
    <w:rsid w:val="00FA1AE5"/>
    <w:rsid w:val="00FA1C28"/>
    <w:rsid w:val="00FA792E"/>
    <w:rsid w:val="00FB103D"/>
    <w:rsid w:val="00FB1279"/>
    <w:rsid w:val="00FB47A0"/>
    <w:rsid w:val="00FB7596"/>
    <w:rsid w:val="00FB76C2"/>
    <w:rsid w:val="00FC13A1"/>
    <w:rsid w:val="00FC1476"/>
    <w:rsid w:val="00FC3D99"/>
    <w:rsid w:val="00FC551C"/>
    <w:rsid w:val="00FD45C2"/>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94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link w:val="Heading2Char"/>
    <w:uiPriority w:val="9"/>
    <w:qFormat/>
    <w:rsid w:val="00813E5E"/>
    <w:pPr>
      <w:spacing w:before="320"/>
      <w:outlineLvl w:val="1"/>
    </w:pPr>
    <w:rPr>
      <w:sz w:val="24"/>
    </w:rPr>
  </w:style>
  <w:style w:type="paragraph" w:styleId="Heading3">
    <w:name w:val="heading 3"/>
    <w:basedOn w:val="Heading1"/>
    <w:next w:val="Normal"/>
    <w:link w:val="Heading3Char"/>
    <w:uiPriority w:val="9"/>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 + 11 pt,Italic,Appel note de bas de p"/>
    <w:basedOn w:val="DefaultParagraphFont"/>
    <w:rsid w:val="00813E5E"/>
    <w:rPr>
      <w:rFonts w:ascii="Calibri" w:hAnsi="Calibri"/>
      <w:position w:val="6"/>
      <w:sz w:val="16"/>
    </w:rPr>
  </w:style>
  <w:style w:type="paragraph" w:styleId="FootnoteText">
    <w:name w:val="footnote text"/>
    <w:aliases w:val="FA Fußnotentext"/>
    <w:basedOn w:val="Normal"/>
    <w:link w:val="FootnoteTextChar"/>
    <w:uiPriority w:val="99"/>
    <w:qFormat/>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aliases w:val="超级链接"/>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uiPriority w:val="99"/>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TOCHeading">
    <w:name w:val="TOC Heading"/>
    <w:basedOn w:val="Heading1"/>
    <w:next w:val="Normal"/>
    <w:uiPriority w:val="39"/>
    <w:unhideWhenUsed/>
    <w:qFormat/>
    <w:rsid w:val="00CA4EDA"/>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character" w:customStyle="1" w:styleId="FootnoteTextChar">
    <w:name w:val="Footnote Text Char"/>
    <w:aliases w:val="FA Fußnotentext Char"/>
    <w:basedOn w:val="DefaultParagraphFont"/>
    <w:link w:val="FootnoteText"/>
    <w:uiPriority w:val="99"/>
    <w:rsid w:val="00CA4EDA"/>
    <w:rPr>
      <w:rFonts w:ascii="Calibri" w:hAnsi="Calibri"/>
      <w:sz w:val="24"/>
      <w:lang w:val="en-GB" w:eastAsia="en-US"/>
    </w:rPr>
  </w:style>
  <w:style w:type="paragraph" w:styleId="ListParagraph">
    <w:name w:val="List Paragraph"/>
    <w:basedOn w:val="Normal"/>
    <w:link w:val="ListParagraphChar"/>
    <w:uiPriority w:val="34"/>
    <w:qFormat/>
    <w:rsid w:val="00CA4EDA"/>
    <w:pPr>
      <w:ind w:left="720"/>
      <w:contextualSpacing/>
    </w:pPr>
  </w:style>
  <w:style w:type="character" w:customStyle="1" w:styleId="ListParagraphChar">
    <w:name w:val="List Paragraph Char"/>
    <w:basedOn w:val="DefaultParagraphFont"/>
    <w:link w:val="ListParagraph"/>
    <w:uiPriority w:val="34"/>
    <w:locked/>
    <w:rsid w:val="00CA4EDA"/>
    <w:rPr>
      <w:rFonts w:ascii="Calibri" w:hAnsi="Calibri"/>
      <w:sz w:val="24"/>
      <w:lang w:val="en-GB" w:eastAsia="en-US"/>
    </w:rPr>
  </w:style>
  <w:style w:type="character" w:customStyle="1" w:styleId="UnresolvedMention1">
    <w:name w:val="Unresolved Mention1"/>
    <w:basedOn w:val="DefaultParagraphFont"/>
    <w:uiPriority w:val="99"/>
    <w:semiHidden/>
    <w:unhideWhenUsed/>
    <w:rsid w:val="00CA4EDA"/>
    <w:rPr>
      <w:color w:val="605E5C"/>
      <w:shd w:val="clear" w:color="auto" w:fill="E1DFDD"/>
    </w:rPr>
  </w:style>
  <w:style w:type="paragraph" w:styleId="CommentText">
    <w:name w:val="annotation text"/>
    <w:basedOn w:val="Normal"/>
    <w:link w:val="CommentTextChar"/>
    <w:uiPriority w:val="99"/>
    <w:unhideWhenUsed/>
    <w:rsid w:val="00CA4EDA"/>
    <w:rPr>
      <w:sz w:val="20"/>
    </w:rPr>
  </w:style>
  <w:style w:type="character" w:customStyle="1" w:styleId="CommentTextChar">
    <w:name w:val="Comment Text Char"/>
    <w:basedOn w:val="DefaultParagraphFont"/>
    <w:link w:val="CommentText"/>
    <w:uiPriority w:val="99"/>
    <w:rsid w:val="00CA4EDA"/>
    <w:rPr>
      <w:rFonts w:ascii="Calibri" w:hAnsi="Calibri"/>
      <w:lang w:val="en-GB" w:eastAsia="en-US"/>
    </w:rPr>
  </w:style>
  <w:style w:type="character" w:styleId="CommentReference">
    <w:name w:val="annotation reference"/>
    <w:uiPriority w:val="99"/>
    <w:rsid w:val="00CA4EDA"/>
    <w:rPr>
      <w:sz w:val="16"/>
    </w:rPr>
  </w:style>
  <w:style w:type="paragraph" w:styleId="BalloonText">
    <w:name w:val="Balloon Text"/>
    <w:basedOn w:val="Normal"/>
    <w:link w:val="BalloonTextChar"/>
    <w:uiPriority w:val="99"/>
    <w:semiHidden/>
    <w:unhideWhenUsed/>
    <w:rsid w:val="00CA4ED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DA"/>
    <w:rPr>
      <w:rFonts w:ascii="Segoe U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CA4EDA"/>
    <w:rPr>
      <w:b/>
      <w:bCs/>
    </w:rPr>
  </w:style>
  <w:style w:type="character" w:customStyle="1" w:styleId="CommentSubjectChar">
    <w:name w:val="Comment Subject Char"/>
    <w:basedOn w:val="CommentTextChar"/>
    <w:link w:val="CommentSubject"/>
    <w:uiPriority w:val="99"/>
    <w:semiHidden/>
    <w:rsid w:val="00CA4EDA"/>
    <w:rPr>
      <w:rFonts w:ascii="Calibri" w:hAnsi="Calibri"/>
      <w:b/>
      <w:bCs/>
      <w:lang w:val="en-GB" w:eastAsia="en-US"/>
    </w:rPr>
  </w:style>
  <w:style w:type="paragraph" w:customStyle="1" w:styleId="Default">
    <w:name w:val="Default"/>
    <w:rsid w:val="00CA4EDA"/>
    <w:pPr>
      <w:widowControl w:val="0"/>
      <w:autoSpaceDE w:val="0"/>
      <w:autoSpaceDN w:val="0"/>
      <w:adjustRightInd w:val="0"/>
    </w:pPr>
    <w:rPr>
      <w:rFonts w:ascii="Calibri" w:eastAsiaTheme="minorEastAsia" w:hAnsi="Calibri" w:cs="Calibri"/>
      <w:color w:val="000000"/>
      <w:sz w:val="24"/>
      <w:szCs w:val="24"/>
      <w:lang w:val="fr-FR"/>
    </w:rPr>
  </w:style>
  <w:style w:type="character" w:customStyle="1" w:styleId="UnresolvedMention2">
    <w:name w:val="Unresolved Mention2"/>
    <w:basedOn w:val="DefaultParagraphFont"/>
    <w:uiPriority w:val="99"/>
    <w:semiHidden/>
    <w:unhideWhenUsed/>
    <w:rsid w:val="00CA4EDA"/>
    <w:rPr>
      <w:color w:val="605E5C"/>
      <w:shd w:val="clear" w:color="auto" w:fill="E1DFDD"/>
    </w:rPr>
  </w:style>
  <w:style w:type="character" w:customStyle="1" w:styleId="Heading1Char">
    <w:name w:val="Heading 1 Char"/>
    <w:basedOn w:val="DefaultParagraphFont"/>
    <w:link w:val="Heading1"/>
    <w:uiPriority w:val="9"/>
    <w:rsid w:val="00CA4EDA"/>
    <w:rPr>
      <w:rFonts w:ascii="Calibri" w:hAnsi="Calibri"/>
      <w:b/>
      <w:sz w:val="28"/>
      <w:lang w:val="en-GB" w:eastAsia="en-US"/>
    </w:rPr>
  </w:style>
  <w:style w:type="character" w:styleId="Strong">
    <w:name w:val="Strong"/>
    <w:basedOn w:val="DefaultParagraphFont"/>
    <w:uiPriority w:val="22"/>
    <w:qFormat/>
    <w:rsid w:val="00CA4EDA"/>
    <w:rPr>
      <w:b/>
      <w:bCs/>
    </w:rPr>
  </w:style>
  <w:style w:type="character" w:customStyle="1" w:styleId="UnresolvedMention3">
    <w:name w:val="Unresolved Mention3"/>
    <w:basedOn w:val="DefaultParagraphFont"/>
    <w:uiPriority w:val="99"/>
    <w:semiHidden/>
    <w:unhideWhenUsed/>
    <w:rsid w:val="00CA4EDA"/>
    <w:rPr>
      <w:color w:val="605E5C"/>
      <w:shd w:val="clear" w:color="auto" w:fill="E1DFDD"/>
    </w:rPr>
  </w:style>
  <w:style w:type="table" w:styleId="TableGrid">
    <w:name w:val="Table Grid"/>
    <w:basedOn w:val="TableNormal"/>
    <w:uiPriority w:val="39"/>
    <w:rsid w:val="00CA4ED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A4EDA"/>
    <w:rPr>
      <w:rFonts w:ascii="Calibri" w:hAnsi="Calibri"/>
      <w:b/>
      <w:sz w:val="24"/>
      <w:lang w:val="en-GB" w:eastAsia="en-US"/>
    </w:rPr>
  </w:style>
  <w:style w:type="character" w:customStyle="1" w:styleId="Heading3Char">
    <w:name w:val="Heading 3 Char"/>
    <w:basedOn w:val="DefaultParagraphFont"/>
    <w:link w:val="Heading3"/>
    <w:uiPriority w:val="9"/>
    <w:rsid w:val="00CA4EDA"/>
    <w:rPr>
      <w:rFonts w:ascii="Calibri" w:hAnsi="Calibri"/>
      <w:b/>
      <w:sz w:val="24"/>
      <w:lang w:val="en-GB" w:eastAsia="en-US"/>
    </w:rPr>
  </w:style>
  <w:style w:type="character" w:customStyle="1" w:styleId="HeaderChar">
    <w:name w:val="Header Char"/>
    <w:basedOn w:val="DefaultParagraphFont"/>
    <w:link w:val="Header"/>
    <w:uiPriority w:val="99"/>
    <w:rsid w:val="00CA4EDA"/>
    <w:rPr>
      <w:rFonts w:ascii="Calibri" w:hAnsi="Calibri"/>
      <w:sz w:val="18"/>
      <w:lang w:val="en-GB" w:eastAsia="en-US"/>
    </w:rPr>
  </w:style>
  <w:style w:type="character" w:customStyle="1" w:styleId="FooterChar">
    <w:name w:val="Footer Char"/>
    <w:basedOn w:val="DefaultParagraphFont"/>
    <w:link w:val="Footer"/>
    <w:uiPriority w:val="99"/>
    <w:rsid w:val="00CA4EDA"/>
    <w:rPr>
      <w:rFonts w:ascii="Calibri" w:hAnsi="Calibri"/>
      <w:caps/>
      <w:noProof/>
      <w:sz w:val="16"/>
      <w:lang w:val="en-GB" w:eastAsia="en-US"/>
    </w:rPr>
  </w:style>
  <w:style w:type="character" w:customStyle="1" w:styleId="apple-converted-space">
    <w:name w:val="apple-converted-space"/>
    <w:basedOn w:val="DefaultParagraphFont"/>
    <w:rsid w:val="00CA4EDA"/>
  </w:style>
  <w:style w:type="character" w:customStyle="1" w:styleId="UnresolvedMention4">
    <w:name w:val="Unresolved Mention4"/>
    <w:basedOn w:val="DefaultParagraphFont"/>
    <w:uiPriority w:val="99"/>
    <w:semiHidden/>
    <w:unhideWhenUsed/>
    <w:rsid w:val="00CA4EDA"/>
    <w:rPr>
      <w:color w:val="605E5C"/>
      <w:shd w:val="clear" w:color="auto" w:fill="E1DFDD"/>
    </w:rPr>
  </w:style>
  <w:style w:type="character" w:customStyle="1" w:styleId="UnresolvedMention5">
    <w:name w:val="Unresolved Mention5"/>
    <w:basedOn w:val="DefaultParagraphFont"/>
    <w:uiPriority w:val="99"/>
    <w:semiHidden/>
    <w:unhideWhenUsed/>
    <w:rsid w:val="00CA4EDA"/>
    <w:rPr>
      <w:color w:val="605E5C"/>
      <w:shd w:val="clear" w:color="auto" w:fill="E1DFDD"/>
    </w:rPr>
  </w:style>
  <w:style w:type="character" w:customStyle="1" w:styleId="UnresolvedMention6">
    <w:name w:val="Unresolved Mention6"/>
    <w:basedOn w:val="DefaultParagraphFont"/>
    <w:uiPriority w:val="99"/>
    <w:semiHidden/>
    <w:unhideWhenUsed/>
    <w:rsid w:val="00CA4EDA"/>
    <w:rPr>
      <w:color w:val="605E5C"/>
      <w:shd w:val="clear" w:color="auto" w:fill="E1DFDD"/>
    </w:rPr>
  </w:style>
  <w:style w:type="character" w:customStyle="1" w:styleId="UnresolvedMention7">
    <w:name w:val="Unresolved Mention7"/>
    <w:basedOn w:val="DefaultParagraphFont"/>
    <w:uiPriority w:val="99"/>
    <w:semiHidden/>
    <w:unhideWhenUsed/>
    <w:rsid w:val="00CA4EDA"/>
    <w:rPr>
      <w:color w:val="605E5C"/>
      <w:shd w:val="clear" w:color="auto" w:fill="E1DFDD"/>
    </w:rPr>
  </w:style>
  <w:style w:type="character" w:customStyle="1" w:styleId="UnresolvedMention8">
    <w:name w:val="Unresolved Mention8"/>
    <w:basedOn w:val="DefaultParagraphFont"/>
    <w:uiPriority w:val="99"/>
    <w:semiHidden/>
    <w:unhideWhenUsed/>
    <w:rsid w:val="00235365"/>
    <w:rPr>
      <w:color w:val="605E5C"/>
      <w:shd w:val="clear" w:color="auto" w:fill="E1DFDD"/>
    </w:rPr>
  </w:style>
  <w:style w:type="paragraph" w:styleId="Revision">
    <w:name w:val="Revision"/>
    <w:hidden/>
    <w:uiPriority w:val="99"/>
    <w:semiHidden/>
    <w:rsid w:val="006E0128"/>
    <w:rPr>
      <w:rFonts w:ascii="Calibri" w:hAnsi="Calibri"/>
      <w:sz w:val="24"/>
      <w:lang w:val="en-GB" w:eastAsia="en-US"/>
    </w:rPr>
  </w:style>
  <w:style w:type="paragraph" w:styleId="NormalWeb">
    <w:name w:val="Normal (Web)"/>
    <w:basedOn w:val="Normal"/>
    <w:uiPriority w:val="99"/>
    <w:semiHidden/>
    <w:unhideWhenUsed/>
    <w:rsid w:val="006E012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Mention1">
    <w:name w:val="Mention1"/>
    <w:basedOn w:val="DefaultParagraphFont"/>
    <w:uiPriority w:val="99"/>
    <w:unhideWhenUsed/>
    <w:rsid w:val="00F87772"/>
    <w:rPr>
      <w:color w:val="2B579A"/>
      <w:shd w:val="clear" w:color="auto" w:fill="E1DFDD"/>
    </w:rPr>
  </w:style>
  <w:style w:type="paragraph" w:customStyle="1" w:styleId="xmsonormal">
    <w:name w:val="x_msonormal"/>
    <w:basedOn w:val="Normal"/>
    <w:rsid w:val="0070441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UnresolvedMention9">
    <w:name w:val="Unresolved Mention9"/>
    <w:basedOn w:val="DefaultParagraphFont"/>
    <w:uiPriority w:val="99"/>
    <w:semiHidden/>
    <w:unhideWhenUsed/>
    <w:rsid w:val="00916E60"/>
    <w:rPr>
      <w:color w:val="605E5C"/>
      <w:shd w:val="clear" w:color="auto" w:fill="E1DFDD"/>
    </w:rPr>
  </w:style>
  <w:style w:type="character" w:customStyle="1" w:styleId="UnresolvedMention10">
    <w:name w:val="Unresolved Mention10"/>
    <w:basedOn w:val="DefaultParagraphFont"/>
    <w:uiPriority w:val="99"/>
    <w:semiHidden/>
    <w:unhideWhenUsed/>
    <w:rsid w:val="00AD1D46"/>
    <w:rPr>
      <w:color w:val="605E5C"/>
      <w:shd w:val="clear" w:color="auto" w:fill="E1DFDD"/>
    </w:rPr>
  </w:style>
  <w:style w:type="character" w:customStyle="1" w:styleId="UnresolvedMention11">
    <w:name w:val="Unresolved Mention11"/>
    <w:basedOn w:val="DefaultParagraphFont"/>
    <w:uiPriority w:val="99"/>
    <w:semiHidden/>
    <w:unhideWhenUsed/>
    <w:rsid w:val="00CA4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4761">
      <w:bodyDiv w:val="1"/>
      <w:marLeft w:val="0"/>
      <w:marRight w:val="0"/>
      <w:marTop w:val="0"/>
      <w:marBottom w:val="0"/>
      <w:divBdr>
        <w:top w:val="none" w:sz="0" w:space="0" w:color="auto"/>
        <w:left w:val="none" w:sz="0" w:space="0" w:color="auto"/>
        <w:bottom w:val="none" w:sz="0" w:space="0" w:color="auto"/>
        <w:right w:val="none" w:sz="0" w:space="0" w:color="auto"/>
      </w:divBdr>
    </w:div>
    <w:div w:id="470485384">
      <w:bodyDiv w:val="1"/>
      <w:marLeft w:val="0"/>
      <w:marRight w:val="0"/>
      <w:marTop w:val="0"/>
      <w:marBottom w:val="0"/>
      <w:divBdr>
        <w:top w:val="none" w:sz="0" w:space="0" w:color="auto"/>
        <w:left w:val="none" w:sz="0" w:space="0" w:color="auto"/>
        <w:bottom w:val="none" w:sz="0" w:space="0" w:color="auto"/>
        <w:right w:val="none" w:sz="0" w:space="0" w:color="auto"/>
      </w:divBdr>
    </w:div>
    <w:div w:id="631790751">
      <w:bodyDiv w:val="1"/>
      <w:marLeft w:val="0"/>
      <w:marRight w:val="0"/>
      <w:marTop w:val="0"/>
      <w:marBottom w:val="0"/>
      <w:divBdr>
        <w:top w:val="none" w:sz="0" w:space="0" w:color="auto"/>
        <w:left w:val="none" w:sz="0" w:space="0" w:color="auto"/>
        <w:bottom w:val="none" w:sz="0" w:space="0" w:color="auto"/>
        <w:right w:val="none" w:sz="0" w:space="0" w:color="auto"/>
      </w:divBdr>
    </w:div>
    <w:div w:id="725178126">
      <w:bodyDiv w:val="1"/>
      <w:marLeft w:val="0"/>
      <w:marRight w:val="0"/>
      <w:marTop w:val="0"/>
      <w:marBottom w:val="0"/>
      <w:divBdr>
        <w:top w:val="none" w:sz="0" w:space="0" w:color="auto"/>
        <w:left w:val="none" w:sz="0" w:space="0" w:color="auto"/>
        <w:bottom w:val="none" w:sz="0" w:space="0" w:color="auto"/>
        <w:right w:val="none" w:sz="0" w:space="0" w:color="auto"/>
      </w:divBdr>
    </w:div>
    <w:div w:id="771827763">
      <w:bodyDiv w:val="1"/>
      <w:marLeft w:val="0"/>
      <w:marRight w:val="0"/>
      <w:marTop w:val="0"/>
      <w:marBottom w:val="0"/>
      <w:divBdr>
        <w:top w:val="none" w:sz="0" w:space="0" w:color="auto"/>
        <w:left w:val="none" w:sz="0" w:space="0" w:color="auto"/>
        <w:bottom w:val="none" w:sz="0" w:space="0" w:color="auto"/>
        <w:right w:val="none" w:sz="0" w:space="0" w:color="auto"/>
      </w:divBdr>
    </w:div>
    <w:div w:id="850292428">
      <w:bodyDiv w:val="1"/>
      <w:marLeft w:val="0"/>
      <w:marRight w:val="0"/>
      <w:marTop w:val="0"/>
      <w:marBottom w:val="0"/>
      <w:divBdr>
        <w:top w:val="none" w:sz="0" w:space="0" w:color="auto"/>
        <w:left w:val="none" w:sz="0" w:space="0" w:color="auto"/>
        <w:bottom w:val="none" w:sz="0" w:space="0" w:color="auto"/>
        <w:right w:val="none" w:sz="0" w:space="0" w:color="auto"/>
      </w:divBdr>
    </w:div>
    <w:div w:id="1437826120">
      <w:bodyDiv w:val="1"/>
      <w:marLeft w:val="0"/>
      <w:marRight w:val="0"/>
      <w:marTop w:val="0"/>
      <w:marBottom w:val="0"/>
      <w:divBdr>
        <w:top w:val="none" w:sz="0" w:space="0" w:color="auto"/>
        <w:left w:val="none" w:sz="0" w:space="0" w:color="auto"/>
        <w:bottom w:val="none" w:sz="0" w:space="0" w:color="auto"/>
        <w:right w:val="none" w:sz="0" w:space="0" w:color="auto"/>
      </w:divBdr>
    </w:div>
    <w:div w:id="1445345288">
      <w:bodyDiv w:val="1"/>
      <w:marLeft w:val="0"/>
      <w:marRight w:val="0"/>
      <w:marTop w:val="0"/>
      <w:marBottom w:val="0"/>
      <w:divBdr>
        <w:top w:val="none" w:sz="0" w:space="0" w:color="auto"/>
        <w:left w:val="none" w:sz="0" w:space="0" w:color="auto"/>
        <w:bottom w:val="none" w:sz="0" w:space="0" w:color="auto"/>
        <w:right w:val="none" w:sz="0" w:space="0" w:color="auto"/>
      </w:divBdr>
    </w:div>
    <w:div w:id="1678652385">
      <w:bodyDiv w:val="1"/>
      <w:marLeft w:val="0"/>
      <w:marRight w:val="0"/>
      <w:marTop w:val="0"/>
      <w:marBottom w:val="0"/>
      <w:divBdr>
        <w:top w:val="none" w:sz="0" w:space="0" w:color="auto"/>
        <w:left w:val="none" w:sz="0" w:space="0" w:color="auto"/>
        <w:bottom w:val="none" w:sz="0" w:space="0" w:color="auto"/>
        <w:right w:val="none" w:sz="0" w:space="0" w:color="auto"/>
      </w:divBdr>
    </w:div>
    <w:div w:id="206740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65/en" TargetMode="External"/><Relationship Id="rId18" Type="http://schemas.openxmlformats.org/officeDocument/2006/relationships/hyperlink" Target="https://www.itu.int/en/action/cybersecurity/Pages/gca.aspx" TargetMode="External"/><Relationship Id="rId26" Type="http://schemas.openxmlformats.org/officeDocument/2006/relationships/hyperlink" Target="https://www.itu.int/md/S20-SG-CIR-0055/en" TargetMode="External"/><Relationship Id="rId39" Type="http://schemas.openxmlformats.org/officeDocument/2006/relationships/hyperlink" Target="https://www.itu.int/en/ITU-D/Cybersecurity/Pages/cybersecurity-national-strategies.aspx" TargetMode="External"/><Relationship Id="rId21" Type="http://schemas.openxmlformats.org/officeDocument/2006/relationships/hyperlink" Target="http://www.coe.int/en/web/conventions/full-list/-/conventions/treaty/185" TargetMode="External"/><Relationship Id="rId34" Type="http://schemas.openxmlformats.org/officeDocument/2006/relationships/hyperlink" Target="https://www.ohchr.org/EN/ProfessionalInterest/Pages/OPSCCRC.aspx" TargetMode="External"/><Relationship Id="rId42" Type="http://schemas.openxmlformats.org/officeDocument/2006/relationships/hyperlink" Target="https://www.itu.int/en/ITU-D/Cybersecurity/Documents/worldbank-combating-cybercrime-toolkit.pdf" TargetMode="External"/><Relationship Id="rId47" Type="http://schemas.openxmlformats.org/officeDocument/2006/relationships/hyperlink" Target="https://www.itu.int/en/ITU-D/Cybersecurity/Pages/global-cybersecurity-index.aspx" TargetMode="External"/><Relationship Id="rId50" Type="http://schemas.openxmlformats.org/officeDocument/2006/relationships/hyperlink" Target="https://front.un-arm.org/wp-content/uploads/2021/03/Final-report-A-AC.290-2021-CRP.2.pdf"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36/en" TargetMode="External"/><Relationship Id="rId29" Type="http://schemas.openxmlformats.org/officeDocument/2006/relationships/hyperlink" Target="https://www.un.org/disarmament/open-ended-working-group/" TargetMode="External"/><Relationship Id="rId11" Type="http://schemas.openxmlformats.org/officeDocument/2006/relationships/hyperlink" Target="https://www.itu.int/md/S19-CL-C-0058/en" TargetMode="External"/><Relationship Id="rId24" Type="http://schemas.openxmlformats.org/officeDocument/2006/relationships/hyperlink" Target="https://www.itu.int/en/action/cybersecurity/Pages/gca-guidelines.aspx" TargetMode="External"/><Relationship Id="rId32" Type="http://schemas.openxmlformats.org/officeDocument/2006/relationships/hyperlink" Target="https://www.gifct.org/about/" TargetMode="External"/><Relationship Id="rId37" Type="http://schemas.openxmlformats.org/officeDocument/2006/relationships/hyperlink" Target="https://sherloc.unodc.org/cld/v3/sherloc/index.jspx?tmpl=cybrepo" TargetMode="External"/><Relationship Id="rId40" Type="http://schemas.openxmlformats.org/officeDocument/2006/relationships/hyperlink" Target="https://thegfce.org/" TargetMode="External"/><Relationship Id="rId45" Type="http://schemas.openxmlformats.org/officeDocument/2006/relationships/hyperlink" Target="https://www.itu.int/pub/D-STR-SECU-2006"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itu.int/md/S19-CL-C-0117/en" TargetMode="External"/><Relationship Id="rId19" Type="http://schemas.openxmlformats.org/officeDocument/2006/relationships/hyperlink" Target="https://www.itu.int/md/S20-SG-CIR-0055/en" TargetMode="External"/><Relationship Id="rId31" Type="http://schemas.openxmlformats.org/officeDocument/2006/relationships/hyperlink" Target="https://undocs.org/pdf?symbol=en/A/RES/74/247" TargetMode="External"/><Relationship Id="rId44" Type="http://schemas.openxmlformats.org/officeDocument/2006/relationships/hyperlink" Target="https://www.weforum.org/centre-for-cybersecurity/"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action/cybersecurity/Pages/gca.aspx" TargetMode="External"/><Relationship Id="rId14" Type="http://schemas.openxmlformats.org/officeDocument/2006/relationships/hyperlink" Target="https://www.itu.int/en/council/Documents/basic-texts/RES-130-E.pdf" TargetMode="External"/><Relationship Id="rId22" Type="http://schemas.openxmlformats.org/officeDocument/2006/relationships/hyperlink" Target="http://eng.sectsco.org/documents/" TargetMode="External"/><Relationship Id="rId27" Type="http://schemas.openxmlformats.org/officeDocument/2006/relationships/hyperlink" Target="https://www.un.org/disarmament/group-of-governmental-experts/" TargetMode="External"/><Relationship Id="rId30" Type="http://schemas.openxmlformats.org/officeDocument/2006/relationships/hyperlink" Target="https://front.un-arm.org/wp-content/uploads/2021/03/Final-report-A-AC.290-2021-CRP.2.pdf" TargetMode="External"/><Relationship Id="rId35" Type="http://schemas.openxmlformats.org/officeDocument/2006/relationships/hyperlink" Target="https://tbinternet.ohchr.org/_layouts/15/treatybodyexternal/Download.aspx?symbolno=CRC/C/GC/25&amp;Lang=en" TargetMode="External"/><Relationship Id="rId43" Type="http://schemas.openxmlformats.org/officeDocument/2006/relationships/hyperlink" Target="https://www.interpol.int/en/News-and-Events/News/2014/INTERPOL-Global-Complex-for-Innovation-opens-its-doors" TargetMode="External"/><Relationship Id="rId48" Type="http://schemas.openxmlformats.org/officeDocument/2006/relationships/hyperlink" Target="https://www.itu.int/net4/wsis/forum/2020/" TargetMode="Externa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itu.int/md/S20-SG-CIR-0055/en" TargetMode="External"/><Relationship Id="rId17" Type="http://schemas.openxmlformats.org/officeDocument/2006/relationships/hyperlink" Target="https://www.itu.int/en/council/Documents/basic-texts/RES-130-E.pdf" TargetMode="External"/><Relationship Id="rId25" Type="http://schemas.openxmlformats.org/officeDocument/2006/relationships/hyperlink" Target="https://www.itu.int/md/S20-SG-CIR-0018/en" TargetMode="External"/><Relationship Id="rId33" Type="http://schemas.openxmlformats.org/officeDocument/2006/relationships/hyperlink" Target="https://www.ohchr.org/en/professionalinterest/pages/crc.aspx" TargetMode="External"/><Relationship Id="rId38" Type="http://schemas.openxmlformats.org/officeDocument/2006/relationships/hyperlink" Target="https://www.oxfordmartin.ox.ac.uk/cyber-security/" TargetMode="External"/><Relationship Id="rId46" Type="http://schemas.openxmlformats.org/officeDocument/2006/relationships/hyperlink" Target="https://www.itu.int/en/ITU-D/Cybersecurity/Pages/global-cybersecurity-index.aspx" TargetMode="External"/><Relationship Id="rId20" Type="http://schemas.openxmlformats.org/officeDocument/2006/relationships/hyperlink" Target="https://www.itu.int/en/action/cybersecurity/Pages/gca-guidelines.aspx" TargetMode="External"/><Relationship Id="rId41" Type="http://schemas.openxmlformats.org/officeDocument/2006/relationships/hyperlink" Target="https://cybilportal.org/projects/csirt-maturity-initiative-3/"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en/action/cybersecurity/Pages/gca.aspx" TargetMode="External"/><Relationship Id="rId23" Type="http://schemas.openxmlformats.org/officeDocument/2006/relationships/hyperlink" Target="https://au.int/en/treaties/african-union-convention-cyber-security-and-personal-data-protection" TargetMode="External"/><Relationship Id="rId28" Type="http://schemas.openxmlformats.org/officeDocument/2006/relationships/hyperlink" Target="https://dig.watch/instruments/resolution-ares73266-advancing-responsible-state-behaviour-cyberspace-context-international" TargetMode="External"/><Relationship Id="rId36" Type="http://schemas.openxmlformats.org/officeDocument/2006/relationships/hyperlink" Target="http://www.itu.int/ITU-D/cyb/cybersecurity/legislation.html" TargetMode="External"/><Relationship Id="rId49" Type="http://schemas.openxmlformats.org/officeDocument/2006/relationships/hyperlink" Target="https://www.intgovforum.org/multilingu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statista.com/statistics/264810/number-of-monthly-active-facebook-users-worldwide/" TargetMode="External"/><Relationship Id="rId13" Type="http://schemas.openxmlformats.org/officeDocument/2006/relationships/hyperlink" Target="https://www.itu.int/md/S21-CL-C-0036/en" TargetMode="External"/><Relationship Id="rId18" Type="http://schemas.openxmlformats.org/officeDocument/2006/relationships/hyperlink" Target="https://www.itu.int/net4/ITU-T/landscape" TargetMode="External"/><Relationship Id="rId3" Type="http://schemas.openxmlformats.org/officeDocument/2006/relationships/hyperlink" Target="https://www.itu.int/md/S19-CL-C-0117/en" TargetMode="External"/><Relationship Id="rId21" Type="http://schemas.openxmlformats.org/officeDocument/2006/relationships/hyperlink" Target="https://www.forbes.com/sites/laurencebradford/2018/10/18/cybersecurity-needs-women-heres-why/" TargetMode="External"/><Relationship Id="rId7" Type="http://schemas.openxmlformats.org/officeDocument/2006/relationships/hyperlink" Target="https://eur-lex.europa.eu/legal-content/EN/ALL/?uri=CELEX%3A32013L0040" TargetMode="External"/><Relationship Id="rId12" Type="http://schemas.openxmlformats.org/officeDocument/2006/relationships/hyperlink" Target="https://www.itu.int/en/council/2021/Pages/default.aspx" TargetMode="External"/><Relationship Id="rId17" Type="http://schemas.openxmlformats.org/officeDocument/2006/relationships/hyperlink" Target="https://www.cybercrimelaw.net/Cybercrimelaw.html" TargetMode="External"/><Relationship Id="rId2" Type="http://schemas.openxmlformats.org/officeDocument/2006/relationships/hyperlink" Target="https://www.itu.int/md/S19-CL-C-0058/en" TargetMode="External"/><Relationship Id="rId16" Type="http://schemas.openxmlformats.org/officeDocument/2006/relationships/hyperlink" Target="https://ec.europa.eu/anti-trafficking/legislation-and-case-law-eu-legislation-criminal-law/directive-201192eu_en" TargetMode="External"/><Relationship Id="rId20" Type="http://schemas.openxmlformats.org/officeDocument/2006/relationships/hyperlink" Target="https://webfoundation.org/2019/03/web-birthday-30/" TargetMode="External"/><Relationship Id="rId1" Type="http://schemas.openxmlformats.org/officeDocument/2006/relationships/hyperlink" Target="https://www.itu.int/md/S18-PP-C-0174/en" TargetMode="External"/><Relationship Id="rId6" Type="http://schemas.openxmlformats.org/officeDocument/2006/relationships/hyperlink" Target="https://www.itu.int/en/action/cybersecurity/Pages/gca.aspx" TargetMode="External"/><Relationship Id="rId11" Type="http://schemas.openxmlformats.org/officeDocument/2006/relationships/hyperlink" Target="https://www.un.org/disarmament/open-ended-working-group/" TargetMode="External"/><Relationship Id="rId5" Type="http://schemas.openxmlformats.org/officeDocument/2006/relationships/hyperlink" Target="https://www.itu.int/net/wsis/outcome/booklet.pdf" TargetMode="External"/><Relationship Id="rId15" Type="http://schemas.openxmlformats.org/officeDocument/2006/relationships/hyperlink" Target="https://doi.org/10.1093/ulr/unz018" TargetMode="External"/><Relationship Id="rId23" Type="http://schemas.openxmlformats.org/officeDocument/2006/relationships/hyperlink" Target="https://www.un.org/en/digital-cooperation-panel/" TargetMode="External"/><Relationship Id="rId10" Type="http://schemas.openxmlformats.org/officeDocument/2006/relationships/hyperlink" Target="https://www.un.org/disarmament/group-of-governmental-experts/" TargetMode="External"/><Relationship Id="rId19" Type="http://schemas.openxmlformats.org/officeDocument/2006/relationships/hyperlink" Target="https://www.itu.int/en/ITU-D/Cybersecurity/Pages/national-CIRT.aspx" TargetMode="External"/><Relationship Id="rId4" Type="http://schemas.openxmlformats.org/officeDocument/2006/relationships/hyperlink" Target="https://www.itu.int/en/action/cybersecurity/Pages/gca-guidelines.aspx" TargetMode="External"/><Relationship Id="rId9" Type="http://schemas.openxmlformats.org/officeDocument/2006/relationships/hyperlink" Target="https://www.washingtonpost.com/opinions/mark-zuckerberg-the-internet-needs-new-rules-lets-start-in-these-four-areas/2019/03/29/9e6f0504-521a-11e9-a3f7-78b7525a8d5f_story.html" TargetMode="External"/><Relationship Id="rId14" Type="http://schemas.openxmlformats.org/officeDocument/2006/relationships/hyperlink" Target="https://ec.europa.eu/programmes/horizon2020/en" TargetMode="External"/><Relationship Id="rId22" Type="http://schemas.openxmlformats.org/officeDocument/2006/relationships/hyperlink" Target="https://www.itu.int/en/cop/Pages/partne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932C7-1855-4B36-91D9-7AE2E2F04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9862</Words>
  <Characters>62548</Characters>
  <Application>Microsoft Office Word</Application>
  <DocSecurity>0</DocSecurity>
  <Lines>521</Lines>
  <Paragraphs>144</Paragraphs>
  <ScaleCrop>false</ScaleCrop>
  <HeadingPairs>
    <vt:vector size="2" baseType="variant">
      <vt:variant>
        <vt:lpstr>Title</vt:lpstr>
      </vt:variant>
      <vt:variant>
        <vt:i4>1</vt:i4>
      </vt:variant>
    </vt:vector>
  </HeadingPairs>
  <TitlesOfParts>
    <vt:vector size="1" baseType="lpstr">
      <vt:lpstr>Guidelines for the utilization of the GCA by ITU</vt:lpstr>
    </vt:vector>
  </TitlesOfParts>
  <Manager/>
  <Company/>
  <LinksUpToDate>false</LinksUpToDate>
  <CharactersWithSpaces>72266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utilization of the GCA by ITU</dc:title>
  <dc:subject>Council 2021, Virtual consultation of councillors</dc:subject>
  <dc:creator/>
  <cp:keywords>C2021, C21, VCC, C21-VCC-1</cp:keywords>
  <dc:description/>
  <cp:lastModifiedBy/>
  <cp:revision>1</cp:revision>
  <dcterms:created xsi:type="dcterms:W3CDTF">2021-04-29T08:33:00Z</dcterms:created>
  <dcterms:modified xsi:type="dcterms:W3CDTF">2021-04-29T08:33:00Z</dcterms:modified>
  <cp:category/>
</cp:coreProperties>
</file>