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0B0D00" w14:paraId="1EE179E5" w14:textId="77777777">
        <w:trPr>
          <w:cantSplit/>
        </w:trPr>
        <w:tc>
          <w:tcPr>
            <w:tcW w:w="6912" w:type="dxa"/>
          </w:tcPr>
          <w:p w14:paraId="45D89353" w14:textId="1DA07170" w:rsidR="00093EEB" w:rsidRPr="000B0D00" w:rsidRDefault="00093EEB" w:rsidP="00C2727F">
            <w:pPr>
              <w:spacing w:before="360"/>
              <w:rPr>
                <w:szCs w:val="24"/>
              </w:rPr>
            </w:pPr>
            <w:bookmarkStart w:id="0" w:name="dc06"/>
            <w:bookmarkStart w:id="1" w:name="dbluepink" w:colFirst="0" w:colLast="0"/>
            <w:bookmarkEnd w:id="0"/>
            <w:r w:rsidRPr="00093EEB">
              <w:rPr>
                <w:b/>
                <w:bCs/>
                <w:sz w:val="30"/>
                <w:szCs w:val="30"/>
              </w:rPr>
              <w:t>Consejo 20</w:t>
            </w:r>
            <w:r w:rsidR="007955DA">
              <w:rPr>
                <w:b/>
                <w:bCs/>
                <w:sz w:val="30"/>
                <w:szCs w:val="30"/>
              </w:rPr>
              <w:t>2</w:t>
            </w:r>
            <w:r w:rsidR="000007D1">
              <w:rPr>
                <w:b/>
                <w:bCs/>
                <w:sz w:val="30"/>
                <w:szCs w:val="30"/>
              </w:rPr>
              <w:t>1</w:t>
            </w:r>
            <w:r w:rsidRPr="00093EEB">
              <w:rPr>
                <w:b/>
                <w:bCs/>
                <w:sz w:val="26"/>
                <w:szCs w:val="26"/>
              </w:rPr>
              <w:br/>
            </w:r>
            <w:bookmarkStart w:id="2" w:name="lt_pId446"/>
            <w:r w:rsidR="000007D1" w:rsidRPr="00C47343">
              <w:rPr>
                <w:b/>
                <w:bCs/>
                <w:sz w:val="28"/>
                <w:szCs w:val="28"/>
              </w:rPr>
              <w:t xml:space="preserve">Consulta virtual de los </w:t>
            </w:r>
            <w:r w:rsidR="002A1502">
              <w:rPr>
                <w:b/>
                <w:bCs/>
                <w:sz w:val="28"/>
                <w:szCs w:val="28"/>
              </w:rPr>
              <w:t>c</w:t>
            </w:r>
            <w:r w:rsidR="000007D1" w:rsidRPr="00C47343">
              <w:rPr>
                <w:b/>
                <w:bCs/>
                <w:sz w:val="28"/>
                <w:szCs w:val="28"/>
              </w:rPr>
              <w:t>onsejeros</w:t>
            </w:r>
            <w:bookmarkEnd w:id="2"/>
            <w:r w:rsidRPr="00C47343">
              <w:rPr>
                <w:b/>
                <w:bCs/>
                <w:sz w:val="28"/>
                <w:szCs w:val="28"/>
              </w:rPr>
              <w:t xml:space="preserve">, </w:t>
            </w:r>
            <w:r w:rsidR="000007D1" w:rsidRPr="00C47343">
              <w:rPr>
                <w:b/>
                <w:bCs/>
                <w:sz w:val="28"/>
                <w:szCs w:val="28"/>
              </w:rPr>
              <w:t>8</w:t>
            </w:r>
            <w:r w:rsidRPr="00C47343">
              <w:rPr>
                <w:b/>
                <w:bCs/>
                <w:sz w:val="28"/>
                <w:szCs w:val="28"/>
              </w:rPr>
              <w:t>-</w:t>
            </w:r>
            <w:r w:rsidR="007955DA" w:rsidRPr="00C47343">
              <w:rPr>
                <w:b/>
                <w:bCs/>
                <w:sz w:val="28"/>
                <w:szCs w:val="28"/>
              </w:rPr>
              <w:t>1</w:t>
            </w:r>
            <w:r w:rsidR="000007D1" w:rsidRPr="00C47343">
              <w:rPr>
                <w:b/>
                <w:bCs/>
                <w:sz w:val="28"/>
                <w:szCs w:val="28"/>
              </w:rPr>
              <w:t>8</w:t>
            </w:r>
            <w:r w:rsidRPr="00C47343">
              <w:rPr>
                <w:b/>
                <w:bCs/>
                <w:sz w:val="28"/>
                <w:szCs w:val="28"/>
              </w:rPr>
              <w:t xml:space="preserve"> de </w:t>
            </w:r>
            <w:r w:rsidR="00C2727F" w:rsidRPr="00C47343">
              <w:rPr>
                <w:b/>
                <w:bCs/>
                <w:sz w:val="28"/>
                <w:szCs w:val="28"/>
              </w:rPr>
              <w:t>junio</w:t>
            </w:r>
            <w:r w:rsidRPr="00C47343">
              <w:rPr>
                <w:b/>
                <w:bCs/>
                <w:sz w:val="28"/>
                <w:szCs w:val="28"/>
              </w:rPr>
              <w:t xml:space="preserve"> de 20</w:t>
            </w:r>
            <w:r w:rsidR="007955DA" w:rsidRPr="00C47343">
              <w:rPr>
                <w:b/>
                <w:bCs/>
                <w:sz w:val="28"/>
                <w:szCs w:val="28"/>
              </w:rPr>
              <w:t>2</w:t>
            </w:r>
            <w:r w:rsidR="000007D1" w:rsidRPr="00C47343">
              <w:rPr>
                <w:b/>
                <w:bCs/>
                <w:sz w:val="28"/>
                <w:szCs w:val="28"/>
              </w:rPr>
              <w:t>1</w:t>
            </w:r>
          </w:p>
        </w:tc>
        <w:tc>
          <w:tcPr>
            <w:tcW w:w="3261" w:type="dxa"/>
          </w:tcPr>
          <w:p w14:paraId="2098BEEE" w14:textId="77777777" w:rsidR="00093EEB" w:rsidRPr="000B0D00" w:rsidRDefault="007955DA" w:rsidP="007955DA">
            <w:pPr>
              <w:spacing w:before="0"/>
              <w:rPr>
                <w:szCs w:val="24"/>
              </w:rPr>
            </w:pPr>
            <w:bookmarkStart w:id="3" w:name="ditulogo"/>
            <w:bookmarkEnd w:id="3"/>
            <w:r>
              <w:rPr>
                <w:noProof/>
                <w:lang w:eastAsia="zh-CN"/>
              </w:rPr>
              <w:drawing>
                <wp:inline distT="0" distB="0" distL="0" distR="0" wp14:anchorId="7304552E" wp14:editId="0844BC40">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093EEB" w:rsidRPr="000B0D00" w14:paraId="723B6646" w14:textId="77777777">
        <w:trPr>
          <w:cantSplit/>
          <w:trHeight w:val="20"/>
        </w:trPr>
        <w:tc>
          <w:tcPr>
            <w:tcW w:w="10173" w:type="dxa"/>
            <w:gridSpan w:val="2"/>
            <w:tcBorders>
              <w:bottom w:val="single" w:sz="12" w:space="0" w:color="auto"/>
            </w:tcBorders>
          </w:tcPr>
          <w:p w14:paraId="4B0DF9F7" w14:textId="77777777" w:rsidR="00093EEB" w:rsidRPr="00EB1212" w:rsidRDefault="00093EEB">
            <w:pPr>
              <w:spacing w:before="0"/>
              <w:rPr>
                <w:b/>
                <w:bCs/>
                <w:szCs w:val="24"/>
              </w:rPr>
            </w:pPr>
          </w:p>
        </w:tc>
      </w:tr>
      <w:tr w:rsidR="00093EEB" w:rsidRPr="000B0D00" w14:paraId="33972DBA" w14:textId="77777777">
        <w:trPr>
          <w:cantSplit/>
          <w:trHeight w:val="20"/>
        </w:trPr>
        <w:tc>
          <w:tcPr>
            <w:tcW w:w="6912" w:type="dxa"/>
            <w:tcBorders>
              <w:top w:val="single" w:sz="12" w:space="0" w:color="auto"/>
            </w:tcBorders>
          </w:tcPr>
          <w:p w14:paraId="6BCF7AB2" w14:textId="77777777" w:rsidR="00093EEB" w:rsidRPr="000B0D00"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14:paraId="11A2F4D4" w14:textId="77777777" w:rsidR="00093EEB" w:rsidRPr="000B0D00" w:rsidRDefault="00093EEB">
            <w:pPr>
              <w:spacing w:before="0"/>
              <w:rPr>
                <w:b/>
                <w:bCs/>
                <w:szCs w:val="24"/>
              </w:rPr>
            </w:pPr>
          </w:p>
        </w:tc>
      </w:tr>
      <w:tr w:rsidR="00093EEB" w:rsidRPr="000B0D00" w14:paraId="40CD48B3" w14:textId="77777777">
        <w:trPr>
          <w:cantSplit/>
          <w:trHeight w:val="20"/>
        </w:trPr>
        <w:tc>
          <w:tcPr>
            <w:tcW w:w="6912" w:type="dxa"/>
            <w:shd w:val="clear" w:color="auto" w:fill="auto"/>
          </w:tcPr>
          <w:p w14:paraId="49C201B3" w14:textId="4FF6340E" w:rsidR="00093EEB" w:rsidRPr="00093EEB" w:rsidRDefault="00C46D31">
            <w:pPr>
              <w:tabs>
                <w:tab w:val="clear" w:pos="2268"/>
                <w:tab w:val="left" w:pos="1560"/>
                <w:tab w:val="left" w:pos="2269"/>
                <w:tab w:val="left" w:pos="3544"/>
                <w:tab w:val="left" w:pos="3969"/>
              </w:tabs>
              <w:spacing w:before="0" w:line="240" w:lineRule="atLeast"/>
              <w:rPr>
                <w:rFonts w:cs="Times"/>
                <w:b/>
                <w:szCs w:val="24"/>
              </w:rPr>
            </w:pPr>
            <w:bookmarkStart w:id="4" w:name="dnum" w:colFirst="1" w:colLast="1"/>
            <w:bookmarkStart w:id="5" w:name="dmeeting" w:colFirst="0" w:colLast="0"/>
            <w:r w:rsidRPr="003C2997">
              <w:rPr>
                <w:b/>
              </w:rPr>
              <w:t>Punto del orden del día: ADM 35</w:t>
            </w:r>
          </w:p>
        </w:tc>
        <w:tc>
          <w:tcPr>
            <w:tcW w:w="3261" w:type="dxa"/>
          </w:tcPr>
          <w:p w14:paraId="32C814A8" w14:textId="292DBA4A" w:rsidR="00093EEB" w:rsidRPr="00093EEB" w:rsidRDefault="00093EEB" w:rsidP="00C2727F">
            <w:pPr>
              <w:spacing w:before="0"/>
              <w:rPr>
                <w:b/>
                <w:bCs/>
                <w:szCs w:val="24"/>
              </w:rPr>
            </w:pPr>
            <w:r>
              <w:rPr>
                <w:b/>
                <w:bCs/>
                <w:szCs w:val="24"/>
              </w:rPr>
              <w:t>Documento C</w:t>
            </w:r>
            <w:r w:rsidR="007955DA">
              <w:rPr>
                <w:b/>
                <w:bCs/>
                <w:szCs w:val="24"/>
              </w:rPr>
              <w:t>2</w:t>
            </w:r>
            <w:r w:rsidR="000007D1">
              <w:rPr>
                <w:b/>
                <w:bCs/>
                <w:szCs w:val="24"/>
              </w:rPr>
              <w:t>1</w:t>
            </w:r>
            <w:r>
              <w:rPr>
                <w:b/>
                <w:bCs/>
                <w:szCs w:val="24"/>
              </w:rPr>
              <w:t>/</w:t>
            </w:r>
            <w:r w:rsidR="00C47343">
              <w:rPr>
                <w:b/>
                <w:bCs/>
                <w:szCs w:val="24"/>
              </w:rPr>
              <w:t>70</w:t>
            </w:r>
            <w:r>
              <w:rPr>
                <w:b/>
                <w:bCs/>
                <w:szCs w:val="24"/>
              </w:rPr>
              <w:t>-S</w:t>
            </w:r>
          </w:p>
        </w:tc>
      </w:tr>
      <w:tr w:rsidR="00093EEB" w:rsidRPr="000B0D00" w14:paraId="46D5D413" w14:textId="77777777">
        <w:trPr>
          <w:cantSplit/>
          <w:trHeight w:val="20"/>
        </w:trPr>
        <w:tc>
          <w:tcPr>
            <w:tcW w:w="6912" w:type="dxa"/>
            <w:shd w:val="clear" w:color="auto" w:fill="auto"/>
          </w:tcPr>
          <w:p w14:paraId="1E6AC270" w14:textId="77777777" w:rsidR="00093EEB" w:rsidRPr="000B0D00" w:rsidRDefault="00093EEB">
            <w:pPr>
              <w:shd w:val="solid" w:color="FFFFFF" w:fill="FFFFFF"/>
              <w:spacing w:before="0"/>
              <w:rPr>
                <w:smallCaps/>
                <w:szCs w:val="24"/>
              </w:rPr>
            </w:pPr>
            <w:bookmarkStart w:id="6" w:name="ddate" w:colFirst="1" w:colLast="1"/>
            <w:bookmarkEnd w:id="4"/>
            <w:bookmarkEnd w:id="5"/>
          </w:p>
        </w:tc>
        <w:tc>
          <w:tcPr>
            <w:tcW w:w="3261" w:type="dxa"/>
          </w:tcPr>
          <w:p w14:paraId="00B1FA23" w14:textId="66966CAC" w:rsidR="00093EEB" w:rsidRPr="00093EEB" w:rsidRDefault="00C47343" w:rsidP="00C2727F">
            <w:pPr>
              <w:spacing w:before="0"/>
              <w:rPr>
                <w:b/>
                <w:bCs/>
                <w:szCs w:val="24"/>
              </w:rPr>
            </w:pPr>
            <w:r>
              <w:rPr>
                <w:b/>
                <w:bCs/>
                <w:szCs w:val="24"/>
              </w:rPr>
              <w:t>23 de marzo</w:t>
            </w:r>
            <w:r w:rsidR="00093EEB">
              <w:rPr>
                <w:b/>
                <w:bCs/>
                <w:szCs w:val="24"/>
              </w:rPr>
              <w:t xml:space="preserve"> de 20</w:t>
            </w:r>
            <w:r w:rsidR="007955DA">
              <w:rPr>
                <w:b/>
                <w:bCs/>
                <w:szCs w:val="24"/>
              </w:rPr>
              <w:t>2</w:t>
            </w:r>
            <w:r w:rsidR="000007D1">
              <w:rPr>
                <w:b/>
                <w:bCs/>
                <w:szCs w:val="24"/>
              </w:rPr>
              <w:t>1</w:t>
            </w:r>
          </w:p>
        </w:tc>
      </w:tr>
      <w:tr w:rsidR="00093EEB" w:rsidRPr="000B0D00" w14:paraId="76ED8FC1" w14:textId="77777777">
        <w:trPr>
          <w:cantSplit/>
          <w:trHeight w:val="20"/>
        </w:trPr>
        <w:tc>
          <w:tcPr>
            <w:tcW w:w="6912" w:type="dxa"/>
            <w:shd w:val="clear" w:color="auto" w:fill="auto"/>
          </w:tcPr>
          <w:p w14:paraId="1435C20F" w14:textId="77777777" w:rsidR="00093EEB" w:rsidRPr="000B0D00" w:rsidRDefault="00093EEB">
            <w:pPr>
              <w:shd w:val="solid" w:color="FFFFFF" w:fill="FFFFFF"/>
              <w:spacing w:before="0"/>
              <w:rPr>
                <w:smallCaps/>
                <w:szCs w:val="24"/>
              </w:rPr>
            </w:pPr>
            <w:bookmarkStart w:id="7" w:name="dorlang" w:colFirst="1" w:colLast="1"/>
            <w:bookmarkEnd w:id="6"/>
          </w:p>
        </w:tc>
        <w:tc>
          <w:tcPr>
            <w:tcW w:w="3261" w:type="dxa"/>
          </w:tcPr>
          <w:p w14:paraId="6D6280A1" w14:textId="77777777" w:rsidR="00093EEB" w:rsidRPr="00093EEB" w:rsidRDefault="00093EEB" w:rsidP="00093EEB">
            <w:pPr>
              <w:spacing w:before="0"/>
              <w:rPr>
                <w:b/>
                <w:bCs/>
                <w:szCs w:val="24"/>
              </w:rPr>
            </w:pPr>
            <w:r>
              <w:rPr>
                <w:b/>
                <w:bCs/>
                <w:szCs w:val="24"/>
              </w:rPr>
              <w:t>Original: inglés</w:t>
            </w:r>
          </w:p>
        </w:tc>
      </w:tr>
      <w:tr w:rsidR="00093EEB" w:rsidRPr="000B0D00" w14:paraId="24F2C981" w14:textId="77777777">
        <w:trPr>
          <w:cantSplit/>
        </w:trPr>
        <w:tc>
          <w:tcPr>
            <w:tcW w:w="10173" w:type="dxa"/>
            <w:gridSpan w:val="2"/>
          </w:tcPr>
          <w:p w14:paraId="12B0D547" w14:textId="727428CF" w:rsidR="00093EEB" w:rsidRPr="000B0D00" w:rsidRDefault="00C46D31" w:rsidP="00C46D31">
            <w:pPr>
              <w:pStyle w:val="Source"/>
              <w:spacing w:before="720"/>
            </w:pPr>
            <w:bookmarkStart w:id="8" w:name="dsource" w:colFirst="0" w:colLast="0"/>
            <w:bookmarkEnd w:id="1"/>
            <w:bookmarkEnd w:id="7"/>
            <w:r w:rsidRPr="003C2997">
              <w:t>Informe del Secretario General</w:t>
            </w:r>
          </w:p>
        </w:tc>
      </w:tr>
      <w:tr w:rsidR="00093EEB" w:rsidRPr="000B0D00" w14:paraId="72304EE6" w14:textId="77777777">
        <w:trPr>
          <w:cantSplit/>
        </w:trPr>
        <w:tc>
          <w:tcPr>
            <w:tcW w:w="10173" w:type="dxa"/>
            <w:gridSpan w:val="2"/>
          </w:tcPr>
          <w:p w14:paraId="112922FF" w14:textId="025F1F44" w:rsidR="00093EEB" w:rsidRPr="000B0D00" w:rsidRDefault="00C46D31">
            <w:pPr>
              <w:pStyle w:val="Title1"/>
            </w:pPr>
            <w:bookmarkStart w:id="9" w:name="dtitle1" w:colFirst="0" w:colLast="0"/>
            <w:bookmarkEnd w:id="8"/>
            <w:r>
              <w:t>iniciativa de t</w:t>
            </w:r>
            <w:r w:rsidRPr="003C2997">
              <w:t>RANSFORMACIÓN DIGITAL (DT-I)</w:t>
            </w:r>
          </w:p>
        </w:tc>
      </w:tr>
      <w:bookmarkEnd w:id="9"/>
    </w:tbl>
    <w:p w14:paraId="424FCB96" w14:textId="77777777" w:rsidR="00093EEB" w:rsidRPr="000B0D00" w:rsidRDefault="00093EEB"/>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0B0D00" w14:paraId="7036EE69" w14:textId="77777777" w:rsidTr="00C46D31">
        <w:trPr>
          <w:trHeight w:val="397"/>
        </w:trPr>
        <w:tc>
          <w:tcPr>
            <w:tcW w:w="8080" w:type="dxa"/>
            <w:tcBorders>
              <w:top w:val="single" w:sz="12" w:space="0" w:color="auto"/>
              <w:left w:val="single" w:sz="12" w:space="0" w:color="auto"/>
              <w:bottom w:val="single" w:sz="12" w:space="0" w:color="auto"/>
              <w:right w:val="single" w:sz="12" w:space="0" w:color="auto"/>
            </w:tcBorders>
          </w:tcPr>
          <w:p w14:paraId="55998DD5" w14:textId="77777777" w:rsidR="00C46D31" w:rsidRPr="003C2997" w:rsidRDefault="00C46D31" w:rsidP="00C46D31">
            <w:pPr>
              <w:pStyle w:val="Headingb"/>
              <w:keepNext w:val="0"/>
              <w:keepLines w:val="0"/>
              <w:spacing w:before="120" w:after="120"/>
              <w:rPr>
                <w:szCs w:val="24"/>
              </w:rPr>
            </w:pPr>
            <w:r w:rsidRPr="003C2997">
              <w:rPr>
                <w:szCs w:val="24"/>
              </w:rPr>
              <w:t>Resumen</w:t>
            </w:r>
          </w:p>
          <w:p w14:paraId="7EE2F97E" w14:textId="77777777" w:rsidR="00C46D31" w:rsidRPr="003C2997" w:rsidRDefault="00C46D31" w:rsidP="00C46D31">
            <w:pPr>
              <w:spacing w:after="120"/>
              <w:jc w:val="both"/>
              <w:rPr>
                <w:rFonts w:asciiTheme="minorHAnsi" w:hAnsiTheme="minorHAnsi" w:cstheme="minorHAnsi"/>
                <w:szCs w:val="24"/>
              </w:rPr>
            </w:pPr>
            <w:r>
              <w:rPr>
                <w:rFonts w:asciiTheme="minorHAnsi" w:hAnsiTheme="minorHAnsi" w:cstheme="minorHAnsi"/>
                <w:szCs w:val="24"/>
              </w:rPr>
              <w:t>En</w:t>
            </w:r>
            <w:r w:rsidRPr="003C2997">
              <w:rPr>
                <w:rFonts w:asciiTheme="minorHAnsi" w:hAnsiTheme="minorHAnsi" w:cstheme="minorHAnsi"/>
                <w:szCs w:val="24"/>
              </w:rPr>
              <w:t xml:space="preserve"> 2020, </w:t>
            </w:r>
            <w:r>
              <w:rPr>
                <w:rFonts w:asciiTheme="minorHAnsi" w:hAnsiTheme="minorHAnsi" w:cstheme="minorHAnsi"/>
                <w:szCs w:val="24"/>
              </w:rPr>
              <w:t xml:space="preserve">a raíz de la pandemia de </w:t>
            </w:r>
            <w:r w:rsidRPr="003C2997">
              <w:rPr>
                <w:rFonts w:asciiTheme="minorHAnsi" w:hAnsiTheme="minorHAnsi" w:cstheme="minorHAnsi"/>
                <w:szCs w:val="24"/>
              </w:rPr>
              <w:t xml:space="preserve">Covid-19 </w:t>
            </w:r>
            <w:r>
              <w:rPr>
                <w:rFonts w:asciiTheme="minorHAnsi" w:hAnsiTheme="minorHAnsi" w:cstheme="minorHAnsi"/>
                <w:szCs w:val="24"/>
              </w:rPr>
              <w:t>cobró impulsó</w:t>
            </w:r>
            <w:r w:rsidRPr="003C2997">
              <w:rPr>
                <w:rFonts w:asciiTheme="minorHAnsi" w:hAnsiTheme="minorHAnsi" w:cstheme="minorHAnsi"/>
                <w:szCs w:val="24"/>
              </w:rPr>
              <w:t xml:space="preserve"> la digitalización de procesos y la provisión de tecnologías de apoyo </w:t>
            </w:r>
            <w:r>
              <w:rPr>
                <w:rFonts w:asciiTheme="minorHAnsi" w:hAnsiTheme="minorHAnsi" w:cstheme="minorHAnsi"/>
                <w:szCs w:val="24"/>
              </w:rPr>
              <w:t>a</w:t>
            </w:r>
            <w:r w:rsidRPr="003C2997">
              <w:rPr>
                <w:rFonts w:asciiTheme="minorHAnsi" w:hAnsiTheme="minorHAnsi" w:cstheme="minorHAnsi"/>
                <w:szCs w:val="24"/>
              </w:rPr>
              <w:t xml:space="preserve"> </w:t>
            </w:r>
            <w:r>
              <w:rPr>
                <w:rFonts w:asciiTheme="minorHAnsi" w:hAnsiTheme="minorHAnsi" w:cstheme="minorHAnsi"/>
                <w:szCs w:val="24"/>
              </w:rPr>
              <w:t>los miembros del personal</w:t>
            </w:r>
            <w:r w:rsidRPr="003C2997">
              <w:rPr>
                <w:rFonts w:asciiTheme="minorHAnsi" w:hAnsiTheme="minorHAnsi" w:cstheme="minorHAnsi"/>
                <w:szCs w:val="24"/>
              </w:rPr>
              <w:t xml:space="preserve"> </w:t>
            </w:r>
            <w:r>
              <w:rPr>
                <w:rFonts w:asciiTheme="minorHAnsi" w:hAnsiTheme="minorHAnsi" w:cstheme="minorHAnsi"/>
                <w:szCs w:val="24"/>
              </w:rPr>
              <w:t xml:space="preserve">y a </w:t>
            </w:r>
            <w:r w:rsidRPr="003C2997">
              <w:rPr>
                <w:rFonts w:asciiTheme="minorHAnsi" w:hAnsiTheme="minorHAnsi" w:cstheme="minorHAnsi"/>
                <w:szCs w:val="24"/>
              </w:rPr>
              <w:t xml:space="preserve">los delegados que </w:t>
            </w:r>
            <w:r>
              <w:rPr>
                <w:rFonts w:asciiTheme="minorHAnsi" w:hAnsiTheme="minorHAnsi" w:cstheme="minorHAnsi"/>
                <w:szCs w:val="24"/>
              </w:rPr>
              <w:t>participan</w:t>
            </w:r>
            <w:r w:rsidRPr="003C2997">
              <w:rPr>
                <w:rFonts w:asciiTheme="minorHAnsi" w:hAnsiTheme="minorHAnsi" w:cstheme="minorHAnsi"/>
                <w:szCs w:val="24"/>
              </w:rPr>
              <w:t xml:space="preserve"> </w:t>
            </w:r>
            <w:r>
              <w:rPr>
                <w:rFonts w:asciiTheme="minorHAnsi" w:hAnsiTheme="minorHAnsi" w:cstheme="minorHAnsi"/>
                <w:szCs w:val="24"/>
              </w:rPr>
              <w:t>en</w:t>
            </w:r>
            <w:r w:rsidRPr="003C2997">
              <w:rPr>
                <w:rFonts w:asciiTheme="minorHAnsi" w:hAnsiTheme="minorHAnsi" w:cstheme="minorHAnsi"/>
                <w:szCs w:val="24"/>
              </w:rPr>
              <w:t xml:space="preserve"> eventos.</w:t>
            </w:r>
            <w:r>
              <w:rPr>
                <w:rFonts w:asciiTheme="minorHAnsi" w:hAnsiTheme="minorHAnsi" w:cstheme="minorHAnsi"/>
                <w:szCs w:val="24"/>
              </w:rPr>
              <w:t xml:space="preserve"> Cabe esperar</w:t>
            </w:r>
            <w:r w:rsidRPr="003C2997">
              <w:rPr>
                <w:rFonts w:asciiTheme="minorHAnsi" w:hAnsiTheme="minorHAnsi" w:cstheme="minorHAnsi"/>
                <w:szCs w:val="24"/>
              </w:rPr>
              <w:t xml:space="preserve"> que el teletrabajo y </w:t>
            </w:r>
            <w:r>
              <w:rPr>
                <w:rFonts w:asciiTheme="minorHAnsi" w:hAnsiTheme="minorHAnsi" w:cstheme="minorHAnsi"/>
                <w:szCs w:val="24"/>
              </w:rPr>
              <w:t>la organización de</w:t>
            </w:r>
            <w:r w:rsidRPr="003C2997">
              <w:rPr>
                <w:rFonts w:asciiTheme="minorHAnsi" w:hAnsiTheme="minorHAnsi" w:cstheme="minorHAnsi"/>
                <w:szCs w:val="24"/>
              </w:rPr>
              <w:t xml:space="preserve"> reuniones virtuales </w:t>
            </w:r>
            <w:r>
              <w:rPr>
                <w:rFonts w:asciiTheme="minorHAnsi" w:hAnsiTheme="minorHAnsi" w:cstheme="minorHAnsi"/>
                <w:szCs w:val="24"/>
              </w:rPr>
              <w:t>prosigan</w:t>
            </w:r>
            <w:r w:rsidRPr="003C2997">
              <w:rPr>
                <w:rFonts w:asciiTheme="minorHAnsi" w:hAnsiTheme="minorHAnsi" w:cstheme="minorHAnsi"/>
                <w:szCs w:val="24"/>
              </w:rPr>
              <w:t xml:space="preserve"> en 2022 y en adelante, </w:t>
            </w:r>
            <w:r>
              <w:rPr>
                <w:rFonts w:asciiTheme="minorHAnsi" w:hAnsiTheme="minorHAnsi" w:cstheme="minorHAnsi"/>
                <w:szCs w:val="24"/>
              </w:rPr>
              <w:t xml:space="preserve">habida cuenta de la necesidad de reubicar a los miembros del </w:t>
            </w:r>
            <w:r w:rsidRPr="003C2997">
              <w:rPr>
                <w:rFonts w:asciiTheme="minorHAnsi" w:hAnsiTheme="minorHAnsi" w:cstheme="minorHAnsi"/>
                <w:szCs w:val="24"/>
              </w:rPr>
              <w:t xml:space="preserve">personal </w:t>
            </w:r>
            <w:r>
              <w:rPr>
                <w:rFonts w:asciiTheme="minorHAnsi" w:hAnsiTheme="minorHAnsi" w:cstheme="minorHAnsi"/>
                <w:szCs w:val="24"/>
              </w:rPr>
              <w:t>en el marco</w:t>
            </w:r>
            <w:r w:rsidRPr="003C2997">
              <w:rPr>
                <w:rFonts w:asciiTheme="minorHAnsi" w:hAnsiTheme="minorHAnsi" w:cstheme="minorHAnsi"/>
                <w:szCs w:val="24"/>
              </w:rPr>
              <w:t xml:space="preserve"> </w:t>
            </w:r>
            <w:r>
              <w:rPr>
                <w:rFonts w:asciiTheme="minorHAnsi" w:hAnsiTheme="minorHAnsi" w:cstheme="minorHAnsi"/>
                <w:szCs w:val="24"/>
              </w:rPr>
              <w:t>d</w:t>
            </w:r>
            <w:r w:rsidRPr="003C2997">
              <w:rPr>
                <w:rFonts w:asciiTheme="minorHAnsi" w:hAnsiTheme="minorHAnsi" w:cstheme="minorHAnsi"/>
                <w:szCs w:val="24"/>
              </w:rPr>
              <w:t>el proyecto de</w:t>
            </w:r>
            <w:r>
              <w:rPr>
                <w:rFonts w:asciiTheme="minorHAnsi" w:hAnsiTheme="minorHAnsi" w:cstheme="minorHAnsi"/>
                <w:szCs w:val="24"/>
              </w:rPr>
              <w:t xml:space="preserve"> construcción del</w:t>
            </w:r>
            <w:r w:rsidRPr="003C2997">
              <w:rPr>
                <w:rFonts w:asciiTheme="minorHAnsi" w:hAnsiTheme="minorHAnsi" w:cstheme="minorHAnsi"/>
                <w:szCs w:val="24"/>
              </w:rPr>
              <w:t xml:space="preserve"> nuevo edificio. </w:t>
            </w:r>
            <w:r>
              <w:rPr>
                <w:rFonts w:asciiTheme="minorHAnsi" w:hAnsiTheme="minorHAnsi" w:cstheme="minorHAnsi"/>
                <w:szCs w:val="24"/>
              </w:rPr>
              <w:t>Ello</w:t>
            </w:r>
            <w:r w:rsidRPr="003C2997">
              <w:rPr>
                <w:rFonts w:asciiTheme="minorHAnsi" w:hAnsiTheme="minorHAnsi" w:cstheme="minorHAnsi"/>
                <w:szCs w:val="24"/>
              </w:rPr>
              <w:t xml:space="preserve"> requerirá una amplia transformación digital de los procesos, sistemas y servicios de la UIT.</w:t>
            </w:r>
          </w:p>
          <w:p w14:paraId="648A6429" w14:textId="570D3CA0" w:rsidR="00C46D31" w:rsidRPr="003C2997" w:rsidRDefault="00C46D31" w:rsidP="00C46D31">
            <w:pPr>
              <w:spacing w:after="120"/>
              <w:jc w:val="both"/>
              <w:rPr>
                <w:rFonts w:asciiTheme="minorHAnsi" w:hAnsiTheme="minorHAnsi" w:cstheme="minorHAnsi"/>
                <w:szCs w:val="24"/>
              </w:rPr>
            </w:pPr>
            <w:r w:rsidRPr="003C2997">
              <w:rPr>
                <w:rFonts w:asciiTheme="minorHAnsi" w:hAnsiTheme="minorHAnsi" w:cstheme="minorHAnsi"/>
                <w:szCs w:val="24"/>
              </w:rPr>
              <w:t xml:space="preserve">En marzo de 2021, el Comité de Coordinación </w:t>
            </w:r>
            <w:r>
              <w:rPr>
                <w:rFonts w:asciiTheme="minorHAnsi" w:hAnsiTheme="minorHAnsi" w:cstheme="minorHAnsi"/>
                <w:szCs w:val="24"/>
              </w:rPr>
              <w:t>aprobó</w:t>
            </w:r>
            <w:r w:rsidRPr="003C2997">
              <w:rPr>
                <w:rFonts w:asciiTheme="minorHAnsi" w:hAnsiTheme="minorHAnsi" w:cstheme="minorHAnsi"/>
                <w:szCs w:val="24"/>
              </w:rPr>
              <w:t xml:space="preserve"> </w:t>
            </w:r>
            <w:r>
              <w:rPr>
                <w:rFonts w:asciiTheme="minorHAnsi" w:hAnsiTheme="minorHAnsi" w:cstheme="minorHAnsi"/>
                <w:szCs w:val="24"/>
              </w:rPr>
              <w:t xml:space="preserve">la puesta </w:t>
            </w:r>
            <w:r w:rsidRPr="003C2997">
              <w:rPr>
                <w:rFonts w:asciiTheme="minorHAnsi" w:hAnsiTheme="minorHAnsi" w:cstheme="minorHAnsi"/>
                <w:szCs w:val="24"/>
              </w:rPr>
              <w:t>en marcha</w:t>
            </w:r>
            <w:r>
              <w:rPr>
                <w:rFonts w:asciiTheme="minorHAnsi" w:hAnsiTheme="minorHAnsi" w:cstheme="minorHAnsi"/>
                <w:szCs w:val="24"/>
              </w:rPr>
              <w:t xml:space="preserve"> de una</w:t>
            </w:r>
            <w:r w:rsidRPr="003C2997">
              <w:rPr>
                <w:rFonts w:asciiTheme="minorHAnsi" w:hAnsiTheme="minorHAnsi" w:cstheme="minorHAnsi"/>
                <w:szCs w:val="24"/>
              </w:rPr>
              <w:t xml:space="preserve"> Iniciativa de </w:t>
            </w:r>
            <w:r>
              <w:rPr>
                <w:rFonts w:asciiTheme="minorHAnsi" w:hAnsiTheme="minorHAnsi" w:cstheme="minorHAnsi"/>
                <w:szCs w:val="24"/>
              </w:rPr>
              <w:t>t</w:t>
            </w:r>
            <w:r w:rsidRPr="003C2997">
              <w:rPr>
                <w:rFonts w:asciiTheme="minorHAnsi" w:hAnsiTheme="minorHAnsi" w:cstheme="minorHAnsi"/>
                <w:szCs w:val="24"/>
              </w:rPr>
              <w:t xml:space="preserve">ransformación </w:t>
            </w:r>
            <w:r>
              <w:rPr>
                <w:rFonts w:asciiTheme="minorHAnsi" w:hAnsiTheme="minorHAnsi" w:cstheme="minorHAnsi"/>
                <w:szCs w:val="24"/>
              </w:rPr>
              <w:t>d</w:t>
            </w:r>
            <w:r w:rsidRPr="003C2997">
              <w:rPr>
                <w:rFonts w:asciiTheme="minorHAnsi" w:hAnsiTheme="minorHAnsi" w:cstheme="minorHAnsi"/>
                <w:szCs w:val="24"/>
              </w:rPr>
              <w:t xml:space="preserve">igital (DT-I) con </w:t>
            </w:r>
            <w:r>
              <w:rPr>
                <w:rFonts w:asciiTheme="minorHAnsi" w:hAnsiTheme="minorHAnsi" w:cstheme="minorHAnsi"/>
                <w:szCs w:val="24"/>
              </w:rPr>
              <w:t>objeto de</w:t>
            </w:r>
            <w:r w:rsidRPr="003C2997">
              <w:rPr>
                <w:rFonts w:asciiTheme="minorHAnsi" w:hAnsiTheme="minorHAnsi" w:cstheme="minorHAnsi"/>
                <w:szCs w:val="24"/>
              </w:rPr>
              <w:t xml:space="preserve"> mejorar los principales </w:t>
            </w:r>
            <w:r>
              <w:rPr>
                <w:rFonts w:asciiTheme="minorHAnsi" w:hAnsiTheme="minorHAnsi" w:cstheme="minorHAnsi"/>
                <w:szCs w:val="24"/>
              </w:rPr>
              <w:t>productos finales</w:t>
            </w:r>
            <w:r w:rsidRPr="003C2997">
              <w:rPr>
                <w:rFonts w:asciiTheme="minorHAnsi" w:hAnsiTheme="minorHAnsi" w:cstheme="minorHAnsi"/>
                <w:szCs w:val="24"/>
              </w:rPr>
              <w:t xml:space="preserve"> de la UIT, </w:t>
            </w:r>
            <w:r>
              <w:rPr>
                <w:rFonts w:asciiTheme="minorHAnsi" w:hAnsiTheme="minorHAnsi" w:cstheme="minorHAnsi"/>
                <w:szCs w:val="24"/>
              </w:rPr>
              <w:t xml:space="preserve">habida cuenta de los efectos </w:t>
            </w:r>
            <w:r w:rsidRPr="003C2997">
              <w:rPr>
                <w:rFonts w:asciiTheme="minorHAnsi" w:hAnsiTheme="minorHAnsi" w:cstheme="minorHAnsi"/>
                <w:szCs w:val="24"/>
              </w:rPr>
              <w:t xml:space="preserve">de la COVID-19 en </w:t>
            </w:r>
            <w:r>
              <w:rPr>
                <w:rFonts w:asciiTheme="minorHAnsi" w:hAnsiTheme="minorHAnsi" w:cstheme="minorHAnsi"/>
                <w:szCs w:val="24"/>
              </w:rPr>
              <w:t>la labor</w:t>
            </w:r>
            <w:r w:rsidRPr="003C2997">
              <w:rPr>
                <w:rFonts w:asciiTheme="minorHAnsi" w:hAnsiTheme="minorHAnsi" w:cstheme="minorHAnsi"/>
                <w:szCs w:val="24"/>
              </w:rPr>
              <w:t xml:space="preserve"> de la </w:t>
            </w:r>
            <w:r>
              <w:rPr>
                <w:rFonts w:asciiTheme="minorHAnsi" w:hAnsiTheme="minorHAnsi" w:cstheme="minorHAnsi"/>
                <w:szCs w:val="24"/>
              </w:rPr>
              <w:t>Unión, según se</w:t>
            </w:r>
            <w:r w:rsidRPr="003C2997">
              <w:rPr>
                <w:rFonts w:asciiTheme="minorHAnsi" w:hAnsiTheme="minorHAnsi" w:cstheme="minorHAnsi"/>
                <w:szCs w:val="24"/>
              </w:rPr>
              <w:t xml:space="preserve"> </w:t>
            </w:r>
            <w:r>
              <w:rPr>
                <w:rFonts w:asciiTheme="minorHAnsi" w:hAnsiTheme="minorHAnsi" w:cstheme="minorHAnsi"/>
                <w:szCs w:val="24"/>
              </w:rPr>
              <w:t>señala</w:t>
            </w:r>
            <w:r w:rsidRPr="003C2997">
              <w:rPr>
                <w:rFonts w:asciiTheme="minorHAnsi" w:hAnsiTheme="minorHAnsi" w:cstheme="minorHAnsi"/>
                <w:szCs w:val="24"/>
              </w:rPr>
              <w:t xml:space="preserve"> al Consejo y al </w:t>
            </w:r>
            <w:r>
              <w:rPr>
                <w:rFonts w:asciiTheme="minorHAnsi" w:hAnsiTheme="minorHAnsi" w:cstheme="minorHAnsi"/>
                <w:szCs w:val="24"/>
              </w:rPr>
              <w:t>GTC</w:t>
            </w:r>
            <w:r w:rsidRPr="003C2997">
              <w:rPr>
                <w:rFonts w:asciiTheme="minorHAnsi" w:hAnsiTheme="minorHAnsi" w:cstheme="minorHAnsi"/>
                <w:szCs w:val="24"/>
              </w:rPr>
              <w:t xml:space="preserve"> en el Documento</w:t>
            </w:r>
            <w:r w:rsidR="005C6686">
              <w:rPr>
                <w:rFonts w:asciiTheme="minorHAnsi" w:hAnsiTheme="minorHAnsi" w:cstheme="minorHAnsi"/>
                <w:szCs w:val="24"/>
              </w:rPr>
              <w:t> </w:t>
            </w:r>
            <w:r w:rsidRPr="003C2997">
              <w:rPr>
                <w:rFonts w:asciiTheme="minorHAnsi" w:hAnsiTheme="minorHAnsi" w:cstheme="minorHAnsi"/>
                <w:szCs w:val="24"/>
              </w:rPr>
              <w:t xml:space="preserve">VC/13(Rev.1), los </w:t>
            </w:r>
            <w:r>
              <w:rPr>
                <w:rFonts w:asciiTheme="minorHAnsi" w:hAnsiTheme="minorHAnsi" w:cstheme="minorHAnsi"/>
                <w:szCs w:val="24"/>
              </w:rPr>
              <w:t>avances</w:t>
            </w:r>
            <w:r w:rsidRPr="003C2997">
              <w:rPr>
                <w:rFonts w:asciiTheme="minorHAnsi" w:hAnsiTheme="minorHAnsi" w:cstheme="minorHAnsi"/>
                <w:szCs w:val="24"/>
              </w:rPr>
              <w:t xml:space="preserve"> </w:t>
            </w:r>
            <w:r>
              <w:rPr>
                <w:rFonts w:asciiTheme="minorHAnsi" w:hAnsiTheme="minorHAnsi" w:cstheme="minorHAnsi"/>
                <w:szCs w:val="24"/>
              </w:rPr>
              <w:t xml:space="preserve">en </w:t>
            </w:r>
            <w:r w:rsidRPr="003C2997">
              <w:rPr>
                <w:rFonts w:asciiTheme="minorHAnsi" w:hAnsiTheme="minorHAnsi" w:cstheme="minorHAnsi"/>
                <w:szCs w:val="24"/>
              </w:rPr>
              <w:t xml:space="preserve">los sistemas de las Naciones Unidas </w:t>
            </w:r>
            <w:r>
              <w:rPr>
                <w:rFonts w:asciiTheme="minorHAnsi" w:hAnsiTheme="minorHAnsi" w:cstheme="minorHAnsi"/>
                <w:szCs w:val="24"/>
              </w:rPr>
              <w:t>respecto del</w:t>
            </w:r>
            <w:r w:rsidRPr="003C2997">
              <w:rPr>
                <w:rFonts w:asciiTheme="minorHAnsi" w:hAnsiTheme="minorHAnsi" w:cstheme="minorHAnsi"/>
                <w:szCs w:val="24"/>
              </w:rPr>
              <w:t xml:space="preserve"> "futuro del trabajo" y </w:t>
            </w:r>
            <w:r>
              <w:rPr>
                <w:rFonts w:asciiTheme="minorHAnsi" w:hAnsiTheme="minorHAnsi" w:cstheme="minorHAnsi"/>
                <w:szCs w:val="24"/>
              </w:rPr>
              <w:t>la incidencia</w:t>
            </w:r>
            <w:r w:rsidRPr="003C2997">
              <w:rPr>
                <w:rFonts w:asciiTheme="minorHAnsi" w:hAnsiTheme="minorHAnsi" w:cstheme="minorHAnsi"/>
                <w:szCs w:val="24"/>
              </w:rPr>
              <w:t xml:space="preserve"> en </w:t>
            </w:r>
            <w:r>
              <w:rPr>
                <w:rFonts w:asciiTheme="minorHAnsi" w:hAnsiTheme="minorHAnsi" w:cstheme="minorHAnsi"/>
                <w:szCs w:val="24"/>
              </w:rPr>
              <w:t>el personal, incluido el de reciente contratación</w:t>
            </w:r>
            <w:r w:rsidRPr="003C2997">
              <w:rPr>
                <w:rFonts w:asciiTheme="minorHAnsi" w:hAnsiTheme="minorHAnsi" w:cstheme="minorHAnsi"/>
                <w:szCs w:val="24"/>
              </w:rPr>
              <w:t>. El mandato de la</w:t>
            </w:r>
            <w:r>
              <w:rPr>
                <w:rFonts w:asciiTheme="minorHAnsi" w:hAnsiTheme="minorHAnsi" w:cstheme="minorHAnsi"/>
                <w:szCs w:val="24"/>
              </w:rPr>
              <w:t xml:space="preserve"> citada I</w:t>
            </w:r>
            <w:r w:rsidRPr="003C2997">
              <w:rPr>
                <w:rFonts w:asciiTheme="minorHAnsi" w:hAnsiTheme="minorHAnsi" w:cstheme="minorHAnsi"/>
                <w:szCs w:val="24"/>
              </w:rPr>
              <w:t xml:space="preserve">niciativa de transformación digital consiste en </w:t>
            </w:r>
            <w:r>
              <w:rPr>
                <w:rFonts w:asciiTheme="minorHAnsi" w:hAnsiTheme="minorHAnsi" w:cstheme="minorHAnsi"/>
                <w:szCs w:val="24"/>
              </w:rPr>
              <w:t>garantizar</w:t>
            </w:r>
            <w:r w:rsidRPr="003C2997">
              <w:rPr>
                <w:rFonts w:asciiTheme="minorHAnsi" w:hAnsiTheme="minorHAnsi" w:cstheme="minorHAnsi"/>
                <w:szCs w:val="24"/>
              </w:rPr>
              <w:t xml:space="preserve"> que la UIT adopte un enfoque holístico y </w:t>
            </w:r>
            <w:r>
              <w:rPr>
                <w:rFonts w:asciiTheme="minorHAnsi" w:hAnsiTheme="minorHAnsi" w:cstheme="minorHAnsi"/>
                <w:szCs w:val="24"/>
              </w:rPr>
              <w:t>priorice</w:t>
            </w:r>
            <w:r w:rsidRPr="003C2997">
              <w:rPr>
                <w:rFonts w:asciiTheme="minorHAnsi" w:hAnsiTheme="minorHAnsi" w:cstheme="minorHAnsi"/>
                <w:szCs w:val="24"/>
              </w:rPr>
              <w:t xml:space="preserve"> </w:t>
            </w:r>
            <w:r>
              <w:rPr>
                <w:rFonts w:asciiTheme="minorHAnsi" w:hAnsiTheme="minorHAnsi" w:cstheme="minorHAnsi"/>
                <w:szCs w:val="24"/>
              </w:rPr>
              <w:t xml:space="preserve">determinadas </w:t>
            </w:r>
            <w:r w:rsidRPr="003C2997">
              <w:rPr>
                <w:rFonts w:asciiTheme="minorHAnsi" w:hAnsiTheme="minorHAnsi" w:cstheme="minorHAnsi"/>
                <w:szCs w:val="24"/>
              </w:rPr>
              <w:t>opciones estratégicas,</w:t>
            </w:r>
            <w:r>
              <w:rPr>
                <w:rFonts w:asciiTheme="minorHAnsi" w:hAnsiTheme="minorHAnsi" w:cstheme="minorHAnsi"/>
                <w:szCs w:val="24"/>
              </w:rPr>
              <w:t xml:space="preserve"> así como los </w:t>
            </w:r>
            <w:r w:rsidRPr="003C2997">
              <w:rPr>
                <w:rFonts w:asciiTheme="minorHAnsi" w:hAnsiTheme="minorHAnsi" w:cstheme="minorHAnsi"/>
                <w:szCs w:val="24"/>
              </w:rPr>
              <w:t>resultados de proyectos y</w:t>
            </w:r>
            <w:r>
              <w:rPr>
                <w:rFonts w:asciiTheme="minorHAnsi" w:hAnsiTheme="minorHAnsi" w:cstheme="minorHAnsi"/>
                <w:szCs w:val="24"/>
              </w:rPr>
              <w:t xml:space="preserve"> los </w:t>
            </w:r>
            <w:r w:rsidRPr="003C2997">
              <w:rPr>
                <w:rFonts w:asciiTheme="minorHAnsi" w:hAnsiTheme="minorHAnsi" w:cstheme="minorHAnsi"/>
                <w:szCs w:val="24"/>
              </w:rPr>
              <w:t>recursos financieros y humano</w:t>
            </w:r>
            <w:r>
              <w:rPr>
                <w:rFonts w:asciiTheme="minorHAnsi" w:hAnsiTheme="minorHAnsi" w:cstheme="minorHAnsi"/>
                <w:szCs w:val="24"/>
              </w:rPr>
              <w:t>s pertinentes</w:t>
            </w:r>
            <w:r w:rsidRPr="003C2997">
              <w:rPr>
                <w:rFonts w:asciiTheme="minorHAnsi" w:hAnsiTheme="minorHAnsi" w:cstheme="minorHAnsi"/>
                <w:szCs w:val="24"/>
              </w:rPr>
              <w:t xml:space="preserve">. </w:t>
            </w:r>
          </w:p>
          <w:p w14:paraId="2C316FCF" w14:textId="40E6D5AF" w:rsidR="00C46D31" w:rsidRPr="003C2997" w:rsidRDefault="00C46D31" w:rsidP="00C46D31">
            <w:pPr>
              <w:pStyle w:val="Headingb"/>
              <w:keepNext w:val="0"/>
              <w:keepLines w:val="0"/>
              <w:spacing w:before="120" w:after="120"/>
              <w:rPr>
                <w:szCs w:val="24"/>
              </w:rPr>
            </w:pPr>
            <w:r w:rsidRPr="003C2997">
              <w:rPr>
                <w:szCs w:val="24"/>
              </w:rPr>
              <w:t>Acción solicitada</w:t>
            </w:r>
          </w:p>
          <w:p w14:paraId="7F9B15C9" w14:textId="77777777" w:rsidR="00C46D31" w:rsidRPr="005C517B" w:rsidRDefault="00C46D31" w:rsidP="00C46D31">
            <w:pPr>
              <w:spacing w:after="120"/>
              <w:rPr>
                <w:rFonts w:cs="Calibri"/>
                <w:szCs w:val="24"/>
              </w:rPr>
            </w:pPr>
            <w:r w:rsidRPr="005C517B">
              <w:rPr>
                <w:rFonts w:cs="Calibri"/>
                <w:szCs w:val="24"/>
              </w:rPr>
              <w:t xml:space="preserve">Se invita al Consejo a </w:t>
            </w:r>
            <w:r w:rsidRPr="005C517B">
              <w:rPr>
                <w:rFonts w:cs="Calibri"/>
                <w:b/>
                <w:bCs/>
                <w:szCs w:val="24"/>
              </w:rPr>
              <w:t xml:space="preserve">formular observaciones </w:t>
            </w:r>
            <w:r w:rsidRPr="005C517B">
              <w:rPr>
                <w:rFonts w:cs="Calibri"/>
                <w:szCs w:val="24"/>
              </w:rPr>
              <w:t xml:space="preserve">y </w:t>
            </w:r>
            <w:r>
              <w:rPr>
                <w:rFonts w:cs="Calibri"/>
                <w:szCs w:val="24"/>
              </w:rPr>
              <w:t xml:space="preserve">a </w:t>
            </w:r>
            <w:r>
              <w:rPr>
                <w:rFonts w:cs="Calibri"/>
                <w:b/>
                <w:bCs/>
                <w:szCs w:val="24"/>
              </w:rPr>
              <w:t>proporcionar orientaciones</w:t>
            </w:r>
            <w:r w:rsidRPr="005C517B">
              <w:rPr>
                <w:rFonts w:cs="Calibri"/>
                <w:szCs w:val="24"/>
              </w:rPr>
              <w:t xml:space="preserve"> </w:t>
            </w:r>
            <w:r>
              <w:rPr>
                <w:rFonts w:cs="Calibri"/>
                <w:szCs w:val="24"/>
              </w:rPr>
              <w:t>en relación con esta Iniciativa</w:t>
            </w:r>
            <w:r w:rsidRPr="005C517B">
              <w:rPr>
                <w:rFonts w:cs="Calibri"/>
                <w:szCs w:val="24"/>
              </w:rPr>
              <w:t>.</w:t>
            </w:r>
          </w:p>
          <w:p w14:paraId="7B9FCC0F" w14:textId="77777777" w:rsidR="00C46D31" w:rsidRPr="003C2997" w:rsidRDefault="00C46D31" w:rsidP="00C46D31">
            <w:pPr>
              <w:spacing w:after="120"/>
              <w:jc w:val="center"/>
              <w:rPr>
                <w:rFonts w:cs="Calibri"/>
                <w:szCs w:val="24"/>
              </w:rPr>
            </w:pPr>
            <w:r w:rsidRPr="003C2997">
              <w:rPr>
                <w:rFonts w:cs="Calibri"/>
                <w:szCs w:val="24"/>
              </w:rPr>
              <w:t>______________</w:t>
            </w:r>
          </w:p>
          <w:p w14:paraId="3C644805" w14:textId="77777777" w:rsidR="00C46D31" w:rsidRPr="003C2997" w:rsidRDefault="00C46D31" w:rsidP="00C46D31">
            <w:pPr>
              <w:pStyle w:val="Headingb"/>
              <w:keepNext w:val="0"/>
              <w:keepLines w:val="0"/>
              <w:spacing w:before="120" w:after="120"/>
            </w:pPr>
            <w:r w:rsidRPr="003C2997">
              <w:t>Referencias</w:t>
            </w:r>
          </w:p>
          <w:p w14:paraId="6E2BC94C" w14:textId="7B76C91C" w:rsidR="00C46D31" w:rsidRPr="006F4349" w:rsidRDefault="00C46D31" w:rsidP="00C46D31">
            <w:pPr>
              <w:spacing w:after="40"/>
              <w:rPr>
                <w:rStyle w:val="Hyperlink"/>
                <w:i/>
                <w:iCs/>
                <w:color w:val="0000FF" w:themeColor="hyperlink"/>
                <w:sz w:val="22"/>
                <w:szCs w:val="22"/>
              </w:rPr>
            </w:pPr>
            <w:r w:rsidRPr="006F4349">
              <w:rPr>
                <w:sz w:val="22"/>
                <w:szCs w:val="22"/>
              </w:rPr>
              <w:t xml:space="preserve">Documentos del Consejo </w:t>
            </w:r>
            <w:hyperlink r:id="rId8" w:history="1">
              <w:r w:rsidRPr="006F4349">
                <w:rPr>
                  <w:rStyle w:val="Hyperlink"/>
                  <w:rFonts w:cs="Calibri"/>
                  <w:i/>
                  <w:iCs/>
                  <w:sz w:val="22"/>
                  <w:szCs w:val="22"/>
                </w:rPr>
                <w:t>C20/15</w:t>
              </w:r>
            </w:hyperlink>
            <w:r w:rsidRPr="006F4349">
              <w:rPr>
                <w:rFonts w:cs="Calibri"/>
                <w:sz w:val="22"/>
                <w:szCs w:val="22"/>
              </w:rPr>
              <w:t xml:space="preserve"> </w:t>
            </w:r>
            <w:r w:rsidRPr="006F4349">
              <w:rPr>
                <w:rFonts w:cs="Calibri"/>
                <w:i/>
                <w:iCs/>
                <w:sz w:val="22"/>
                <w:szCs w:val="22"/>
              </w:rPr>
              <w:t>(Sistema de Gestión de la Resiliencia Institucional (</w:t>
            </w:r>
            <w:r w:rsidRPr="00015C64">
              <w:rPr>
                <w:rFonts w:cs="Calibri"/>
                <w:i/>
                <w:iCs/>
                <w:sz w:val="22"/>
                <w:szCs w:val="22"/>
              </w:rPr>
              <w:t>SGRI</w:t>
            </w:r>
            <w:r w:rsidRPr="00015C64">
              <w:rPr>
                <w:rStyle w:val="Hyperlink"/>
                <w:rFonts w:cs="Calibri"/>
                <w:color w:val="auto"/>
                <w:sz w:val="22"/>
                <w:szCs w:val="22"/>
                <w:u w:val="none"/>
              </w:rPr>
              <w:t>);</w:t>
            </w:r>
            <w:r w:rsidRPr="00015C64">
              <w:t xml:space="preserve"> </w:t>
            </w:r>
            <w:hyperlink r:id="rId9" w:history="1">
              <w:r w:rsidRPr="006F4349">
                <w:rPr>
                  <w:rStyle w:val="Hyperlink"/>
                  <w:rFonts w:cs="Calibri"/>
                  <w:i/>
                  <w:iCs/>
                  <w:sz w:val="22"/>
                  <w:szCs w:val="22"/>
                </w:rPr>
                <w:t>C20/53</w:t>
              </w:r>
            </w:hyperlink>
            <w:r w:rsidRPr="006F4349">
              <w:rPr>
                <w:rFonts w:cs="Calibri"/>
                <w:i/>
                <w:iCs/>
                <w:sz w:val="22"/>
                <w:szCs w:val="22"/>
              </w:rPr>
              <w:t xml:space="preserve"> (Continuidad de las acti</w:t>
            </w:r>
            <w:r>
              <w:rPr>
                <w:rFonts w:cs="Calibri"/>
                <w:i/>
                <w:iCs/>
                <w:sz w:val="22"/>
                <w:szCs w:val="22"/>
              </w:rPr>
              <w:t>vidades</w:t>
            </w:r>
            <w:r w:rsidRPr="006F4349">
              <w:rPr>
                <w:rFonts w:cs="Calibri"/>
                <w:i/>
                <w:iCs/>
                <w:sz w:val="22"/>
                <w:szCs w:val="22"/>
              </w:rPr>
              <w:t>: modelo para la gestión de la información</w:t>
            </w:r>
            <w:r w:rsidRPr="00015C64">
              <w:rPr>
                <w:rStyle w:val="Hyperlink"/>
                <w:rFonts w:cs="Calibri"/>
                <w:i/>
                <w:iCs/>
                <w:color w:val="auto"/>
                <w:sz w:val="22"/>
                <w:szCs w:val="22"/>
                <w:u w:val="none"/>
              </w:rPr>
              <w:t xml:space="preserve">); </w:t>
            </w:r>
            <w:hyperlink r:id="rId10" w:history="1">
              <w:r w:rsidRPr="006F4349">
                <w:rPr>
                  <w:rStyle w:val="Hyperlink"/>
                  <w:sz w:val="22"/>
                  <w:szCs w:val="22"/>
                </w:rPr>
                <w:t>CWG-FHR12/3</w:t>
              </w:r>
            </w:hyperlink>
            <w:r w:rsidRPr="006F4349">
              <w:rPr>
                <w:sz w:val="22"/>
                <w:szCs w:val="22"/>
              </w:rPr>
              <w:t xml:space="preserve"> (</w:t>
            </w:r>
            <w:r w:rsidRPr="006F4349">
              <w:rPr>
                <w:i/>
                <w:iCs/>
                <w:sz w:val="22"/>
                <w:szCs w:val="22"/>
              </w:rPr>
              <w:t>Continuidad de las actividades</w:t>
            </w:r>
            <w:r>
              <w:rPr>
                <w:i/>
                <w:iCs/>
                <w:sz w:val="22"/>
                <w:szCs w:val="22"/>
              </w:rPr>
              <w:t>:</w:t>
            </w:r>
            <w:r w:rsidRPr="006F4349">
              <w:rPr>
                <w:i/>
                <w:iCs/>
                <w:sz w:val="22"/>
                <w:szCs w:val="22"/>
              </w:rPr>
              <w:t xml:space="preserve"> gestión de la información); </w:t>
            </w:r>
            <w:hyperlink r:id="rId11" w:history="1">
              <w:r w:rsidRPr="006F4349">
                <w:rPr>
                  <w:rStyle w:val="Hyperlink"/>
                  <w:rFonts w:cs="Calibri"/>
                  <w:i/>
                  <w:iCs/>
                  <w:sz w:val="22"/>
                  <w:szCs w:val="22"/>
                </w:rPr>
                <w:t>VC/13 (Rev.1)</w:t>
              </w:r>
            </w:hyperlink>
            <w:r w:rsidRPr="006F4349">
              <w:rPr>
                <w:rFonts w:cs="Calibri"/>
                <w:i/>
                <w:iCs/>
                <w:sz w:val="22"/>
                <w:szCs w:val="22"/>
              </w:rPr>
              <w:t xml:space="preserve"> (</w:t>
            </w:r>
            <w:r>
              <w:rPr>
                <w:rFonts w:cs="Calibri"/>
                <w:i/>
                <w:iCs/>
                <w:sz w:val="22"/>
                <w:szCs w:val="22"/>
              </w:rPr>
              <w:t>Repercusiones de la pandemia de Covid-19 sobre el funcionamiento y las actividades de la UIT</w:t>
            </w:r>
            <w:r w:rsidRPr="00015C64">
              <w:rPr>
                <w:rStyle w:val="Hyperlink"/>
                <w:rFonts w:cs="Calibri"/>
                <w:i/>
                <w:iCs/>
                <w:color w:val="auto"/>
                <w:sz w:val="22"/>
                <w:szCs w:val="22"/>
                <w:u w:val="none"/>
              </w:rPr>
              <w:t xml:space="preserve">); </w:t>
            </w:r>
            <w:hyperlink r:id="rId12" w:history="1">
              <w:r w:rsidRPr="006F4349">
                <w:rPr>
                  <w:rStyle w:val="Hyperlink"/>
                  <w:rFonts w:cs="Calibri"/>
                  <w:bCs/>
                  <w:i/>
                  <w:iCs/>
                  <w:sz w:val="22"/>
                  <w:szCs w:val="22"/>
                </w:rPr>
                <w:t>VC-2/INF.22</w:t>
              </w:r>
            </w:hyperlink>
            <w:r w:rsidRPr="00015C64">
              <w:rPr>
                <w:rStyle w:val="Hyperlink"/>
                <w:rFonts w:cs="Calibri"/>
                <w:i/>
                <w:iCs/>
                <w:color w:val="auto"/>
                <w:sz w:val="22"/>
                <w:szCs w:val="22"/>
                <w:u w:val="none"/>
              </w:rPr>
              <w:t xml:space="preserve"> (Situación de las plataformas de reuniones virtuales y apoyo a las mismas);</w:t>
            </w:r>
            <w:r w:rsidRPr="00015C64">
              <w:rPr>
                <w:rStyle w:val="Hyperlink"/>
                <w:rFonts w:cs="Calibri"/>
                <w:i/>
                <w:iCs/>
                <w:color w:val="auto"/>
                <w:sz w:val="22"/>
                <w:szCs w:val="22"/>
              </w:rPr>
              <w:t xml:space="preserve"> </w:t>
            </w:r>
            <w:hyperlink r:id="rId13" w:history="1">
              <w:r w:rsidRPr="006F4349">
                <w:rPr>
                  <w:rStyle w:val="Hyperlink"/>
                  <w:i/>
                  <w:iCs/>
                  <w:sz w:val="22"/>
                  <w:szCs w:val="22"/>
                </w:rPr>
                <w:t>C20/INF/19</w:t>
              </w:r>
            </w:hyperlink>
            <w:r w:rsidRPr="00015C64">
              <w:rPr>
                <w:rStyle w:val="Hyperlink"/>
                <w:i/>
                <w:iCs/>
                <w:color w:val="auto"/>
                <w:sz w:val="22"/>
                <w:szCs w:val="22"/>
                <w:u w:val="none"/>
              </w:rPr>
              <w:t xml:space="preserve"> (Tareas y funciones del Vicesecretario General).</w:t>
            </w:r>
          </w:p>
          <w:p w14:paraId="40289708" w14:textId="20D64E84" w:rsidR="00093EEB" w:rsidRPr="000B0D00" w:rsidRDefault="00AD57CC" w:rsidP="00C46D31">
            <w:pPr>
              <w:spacing w:after="120"/>
              <w:rPr>
                <w:i/>
                <w:iCs/>
                <w:lang w:val="es-ES"/>
              </w:rPr>
            </w:pPr>
            <w:hyperlink r:id="rId14" w:history="1">
              <w:r w:rsidR="00C46D31" w:rsidRPr="000F0B27">
                <w:rPr>
                  <w:rStyle w:val="Hyperlink"/>
                  <w:sz w:val="22"/>
                  <w:szCs w:val="22"/>
                </w:rPr>
                <w:t xml:space="preserve">Estrategia </w:t>
              </w:r>
              <w:r w:rsidR="00C46D31">
                <w:rPr>
                  <w:rStyle w:val="Hyperlink"/>
                  <w:sz w:val="22"/>
                  <w:szCs w:val="22"/>
                </w:rPr>
                <w:t>del</w:t>
              </w:r>
              <w:r w:rsidR="00C46D31" w:rsidRPr="000F0B27">
                <w:rPr>
                  <w:rStyle w:val="Hyperlink"/>
                  <w:sz w:val="22"/>
                  <w:szCs w:val="22"/>
                </w:rPr>
                <w:t xml:space="preserve"> SG</w:t>
              </w:r>
              <w:r w:rsidR="00C46D31">
                <w:rPr>
                  <w:rStyle w:val="Hyperlink"/>
                  <w:sz w:val="22"/>
                  <w:szCs w:val="22"/>
                </w:rPr>
                <w:t xml:space="preserve"> de la </w:t>
              </w:r>
              <w:r w:rsidR="00C46D31" w:rsidRPr="000F0B27">
                <w:rPr>
                  <w:rStyle w:val="Hyperlink"/>
                  <w:sz w:val="22"/>
                  <w:szCs w:val="22"/>
                </w:rPr>
                <w:t xml:space="preserve">ONU </w:t>
              </w:r>
              <w:r w:rsidR="00C46D31">
                <w:rPr>
                  <w:rStyle w:val="Hyperlink"/>
                  <w:sz w:val="22"/>
                  <w:szCs w:val="22"/>
                </w:rPr>
                <w:t>en materia de</w:t>
              </w:r>
              <w:r w:rsidR="00C46D31" w:rsidRPr="000F0B27">
                <w:rPr>
                  <w:rStyle w:val="Hyperlink"/>
                  <w:sz w:val="22"/>
                  <w:szCs w:val="22"/>
                </w:rPr>
                <w:t xml:space="preserve"> datos</w:t>
              </w:r>
            </w:hyperlink>
          </w:p>
        </w:tc>
      </w:tr>
    </w:tbl>
    <w:p w14:paraId="29C9DD59" w14:textId="77777777" w:rsidR="00C46D31" w:rsidRPr="000F0B27" w:rsidRDefault="00C46D31" w:rsidP="00015C64">
      <w:pPr>
        <w:pStyle w:val="Heading1"/>
      </w:pPr>
      <w:bookmarkStart w:id="10" w:name="_Hlk33605448"/>
      <w:r w:rsidRPr="000F0B27">
        <w:lastRenderedPageBreak/>
        <w:t>1</w:t>
      </w:r>
      <w:r w:rsidRPr="000F0B27">
        <w:tab/>
      </w:r>
      <w:proofErr w:type="gramStart"/>
      <w:r w:rsidRPr="00015C64">
        <w:t>Introducción</w:t>
      </w:r>
      <w:proofErr w:type="gramEnd"/>
    </w:p>
    <w:p w14:paraId="403D6A8F" w14:textId="31DBB4A5" w:rsidR="00C46D31" w:rsidRPr="000F0B27" w:rsidRDefault="00C46D31" w:rsidP="00015C64">
      <w:r>
        <w:t>En el anexo que se adjunta a la presente</w:t>
      </w:r>
      <w:r w:rsidR="005C6686">
        <w:t>,</w:t>
      </w:r>
      <w:r>
        <w:t xml:space="preserve"> figura el</w:t>
      </w:r>
      <w:r w:rsidRPr="000F0B27">
        <w:t xml:space="preserve"> documento aprobado por el Comité de Coordinación el 2 de marzo de 2021, </w:t>
      </w:r>
      <w:r>
        <w:t>en</w:t>
      </w:r>
      <w:r w:rsidRPr="000F0B27">
        <w:t xml:space="preserve"> </w:t>
      </w:r>
      <w:r>
        <w:t>virtud del cual</w:t>
      </w:r>
      <w:r w:rsidRPr="000F0B27">
        <w:t xml:space="preserve"> se </w:t>
      </w:r>
      <w:r>
        <w:t>pone en marcha</w:t>
      </w:r>
      <w:r w:rsidRPr="000F0B27">
        <w:t xml:space="preserve"> </w:t>
      </w:r>
      <w:r>
        <w:t>una</w:t>
      </w:r>
      <w:r w:rsidRPr="000F0B27">
        <w:t xml:space="preserve"> Iniciativa de </w:t>
      </w:r>
      <w:r>
        <w:t>t</w:t>
      </w:r>
      <w:r w:rsidRPr="000F0B27">
        <w:t xml:space="preserve">ransformación </w:t>
      </w:r>
      <w:r>
        <w:t>d</w:t>
      </w:r>
      <w:r w:rsidRPr="000F0B27">
        <w:t xml:space="preserve">igital (DT-I) con </w:t>
      </w:r>
      <w:r>
        <w:t>objeto de</w:t>
      </w:r>
      <w:r w:rsidRPr="000F0B27">
        <w:t xml:space="preserve"> mejorar los principales </w:t>
      </w:r>
      <w:r>
        <w:t>productos finales</w:t>
      </w:r>
      <w:r w:rsidRPr="000F0B27">
        <w:t xml:space="preserve"> de la UIT</w:t>
      </w:r>
      <w:r>
        <w:t>, habida cuenta de los efectos de la</w:t>
      </w:r>
      <w:r w:rsidRPr="000F0B27">
        <w:t xml:space="preserve"> COVID-19 y </w:t>
      </w:r>
      <w:r>
        <w:t>de los avances en los</w:t>
      </w:r>
      <w:r w:rsidRPr="000F0B27">
        <w:t xml:space="preserve"> sistemas de las Naciones Unidas </w:t>
      </w:r>
      <w:r>
        <w:t>respecto d</w:t>
      </w:r>
      <w:r w:rsidRPr="000F0B27">
        <w:t xml:space="preserve">el "futuro del trabajo" y </w:t>
      </w:r>
      <w:r>
        <w:t>la incidencia</w:t>
      </w:r>
      <w:r w:rsidRPr="000F0B27">
        <w:t xml:space="preserve"> en </w:t>
      </w:r>
      <w:r>
        <w:t xml:space="preserve">el personal, </w:t>
      </w:r>
      <w:r w:rsidRPr="00C85ED9">
        <w:t>incluido el de reciente contratación</w:t>
      </w:r>
      <w:r w:rsidRPr="000F0B27">
        <w:t xml:space="preserve">. </w:t>
      </w:r>
      <w:r>
        <w:t>El objetivo de la</w:t>
      </w:r>
      <w:r w:rsidRPr="000F0B27">
        <w:t xml:space="preserve"> Iniciativa de </w:t>
      </w:r>
      <w:r>
        <w:t>t</w:t>
      </w:r>
      <w:r w:rsidRPr="000F0B27">
        <w:t xml:space="preserve">ransformación </w:t>
      </w:r>
      <w:r>
        <w:t>d</w:t>
      </w:r>
      <w:r w:rsidRPr="000F0B27">
        <w:t xml:space="preserve">igital </w:t>
      </w:r>
      <w:r>
        <w:t>es</w:t>
      </w:r>
      <w:r w:rsidRPr="000F0B27">
        <w:t xml:space="preserve"> </w:t>
      </w:r>
      <w:r>
        <w:t>garantizar</w:t>
      </w:r>
      <w:r w:rsidRPr="000F0B27">
        <w:t xml:space="preserve"> que la UIT adopte un enfoque holístico y </w:t>
      </w:r>
      <w:r>
        <w:t>priorice determinadas</w:t>
      </w:r>
      <w:r w:rsidRPr="000F0B27">
        <w:t xml:space="preserve"> opciones estratégicas, </w:t>
      </w:r>
      <w:r w:rsidRPr="006F563D">
        <w:t>así como los resultados de proyectos y los recursos financieros y humanos pertinentes</w:t>
      </w:r>
      <w:r w:rsidRPr="000F0B27">
        <w:t xml:space="preserve">. </w:t>
      </w:r>
    </w:p>
    <w:p w14:paraId="0F2DD7E1" w14:textId="77777777" w:rsidR="00C46D31" w:rsidRPr="000F0B27" w:rsidRDefault="00C46D31" w:rsidP="00015C64">
      <w:pPr>
        <w:pStyle w:val="Heading1"/>
        <w:rPr>
          <w:rFonts w:asciiTheme="minorHAnsi" w:hAnsiTheme="minorHAnsi" w:cstheme="minorHAnsi"/>
          <w:b w:val="0"/>
          <w:bCs/>
          <w:szCs w:val="24"/>
        </w:rPr>
      </w:pPr>
      <w:r w:rsidRPr="000F0B27">
        <w:rPr>
          <w:rFonts w:asciiTheme="minorHAnsi" w:hAnsiTheme="minorHAnsi" w:cstheme="minorHAnsi"/>
          <w:bCs/>
          <w:szCs w:val="24"/>
        </w:rPr>
        <w:t>2</w:t>
      </w:r>
      <w:r w:rsidRPr="000F0B27">
        <w:rPr>
          <w:rFonts w:asciiTheme="minorHAnsi" w:hAnsiTheme="minorHAnsi" w:cstheme="minorHAnsi"/>
          <w:bCs/>
          <w:szCs w:val="24"/>
        </w:rPr>
        <w:tab/>
      </w:r>
      <w:proofErr w:type="gramStart"/>
      <w:r w:rsidRPr="00015C64">
        <w:t>Recomendación</w:t>
      </w:r>
      <w:proofErr w:type="gramEnd"/>
    </w:p>
    <w:p w14:paraId="6CBF83BD" w14:textId="77777777" w:rsidR="00C46D31" w:rsidRPr="000F0B27" w:rsidRDefault="00C46D31" w:rsidP="00015C64">
      <w:r w:rsidRPr="000F0B27">
        <w:t xml:space="preserve">Se invita al Consejo a </w:t>
      </w:r>
      <w:r>
        <w:t>formular observaciones y a proporcionar orientaciones en relación con</w:t>
      </w:r>
      <w:r w:rsidRPr="000F0B27">
        <w:t xml:space="preserve"> esta iniciativa.</w:t>
      </w:r>
    </w:p>
    <w:p w14:paraId="0A2DE1EC" w14:textId="77777777" w:rsidR="00C46D31" w:rsidRPr="000F0B27" w:rsidRDefault="00C46D31" w:rsidP="00C46D31">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rPr>
      </w:pPr>
      <w:r w:rsidRPr="000F0B27">
        <w:rPr>
          <w:rFonts w:asciiTheme="minorHAnsi" w:hAnsiTheme="minorHAnsi" w:cstheme="minorHAnsi"/>
          <w:szCs w:val="24"/>
        </w:rPr>
        <w:br w:type="page"/>
      </w:r>
    </w:p>
    <w:p w14:paraId="1D40E2BE" w14:textId="77777777" w:rsidR="00C46D31" w:rsidRPr="00887D9D" w:rsidRDefault="00C46D31" w:rsidP="00C46D31">
      <w:pPr>
        <w:pStyle w:val="ArtNo"/>
      </w:pPr>
      <w:r w:rsidRPr="00887D9D">
        <w:lastRenderedPageBreak/>
        <w:t>AnEXO</w:t>
      </w:r>
    </w:p>
    <w:bookmarkEnd w:id="10"/>
    <w:p w14:paraId="5D475BDA" w14:textId="77777777" w:rsidR="00C46D31" w:rsidRPr="00887D9D" w:rsidRDefault="00C46D31" w:rsidP="00C46D31">
      <w:pPr>
        <w:jc w:val="both"/>
        <w:rPr>
          <w:rFonts w:asciiTheme="minorHAnsi" w:eastAsiaTheme="minorEastAsia" w:hAnsiTheme="minorHAnsi" w:cstheme="minorHAnsi"/>
          <w:sz w:val="22"/>
          <w:szCs w:val="22"/>
          <w:lang w:eastAsia="zh-CN"/>
        </w:rPr>
      </w:pPr>
    </w:p>
    <w:p w14:paraId="159BA951" w14:textId="3C335211" w:rsidR="00C46D31" w:rsidRPr="00887D9D" w:rsidRDefault="00C46D31" w:rsidP="00C46D31">
      <w:pPr>
        <w:tabs>
          <w:tab w:val="left" w:pos="7938"/>
        </w:tabs>
        <w:ind w:right="-1034"/>
        <w:rPr>
          <w:b/>
          <w:bCs/>
          <w:sz w:val="26"/>
          <w:szCs w:val="26"/>
        </w:rPr>
      </w:pPr>
      <w:bookmarkStart w:id="11" w:name="_Toc54363460"/>
      <w:bookmarkStart w:id="12" w:name="_Toc148522385"/>
      <w:bookmarkStart w:id="13" w:name="_Toc172093032"/>
      <w:bookmarkStart w:id="14" w:name="_Toc172093071"/>
      <w:bookmarkStart w:id="15" w:name="_Toc172093072"/>
      <w:bookmarkStart w:id="16" w:name="_Toc198006717"/>
      <w:bookmarkStart w:id="17" w:name="_Toc496800028"/>
      <w:bookmarkStart w:id="18" w:name="_Toc496800089"/>
      <w:bookmarkStart w:id="19" w:name="_Toc496800385"/>
      <w:bookmarkStart w:id="20" w:name="_Toc496800503"/>
      <w:bookmarkStart w:id="21" w:name="_Toc496800535"/>
      <w:bookmarkStart w:id="22" w:name="_Toc496800645"/>
      <w:bookmarkStart w:id="23" w:name="_Toc496803628"/>
      <w:bookmarkStart w:id="24" w:name="_Toc496803713"/>
      <w:bookmarkStart w:id="25" w:name="_Toc496803774"/>
      <w:r w:rsidRPr="00887D9D">
        <w:rPr>
          <w:sz w:val="26"/>
          <w:szCs w:val="26"/>
        </w:rPr>
        <w:t>UNIÓN INTERNACIONAL DE TELECOMUNICACIONES</w:t>
      </w:r>
    </w:p>
    <w:p w14:paraId="0FBB4A37" w14:textId="6B4A5541" w:rsidR="00C46D31" w:rsidRPr="00887D9D" w:rsidRDefault="00C46D31" w:rsidP="00E117D1">
      <w:pPr>
        <w:tabs>
          <w:tab w:val="left" w:pos="3402"/>
          <w:tab w:val="left" w:pos="7938"/>
        </w:tabs>
        <w:ind w:right="-1034"/>
        <w:rPr>
          <w:sz w:val="26"/>
          <w:szCs w:val="26"/>
        </w:rPr>
      </w:pPr>
      <w:r w:rsidRPr="00887D9D">
        <w:rPr>
          <w:b/>
          <w:sz w:val="26"/>
          <w:szCs w:val="26"/>
        </w:rPr>
        <w:t>COMITÉ DE COORDINACIÓN</w:t>
      </w:r>
      <w:r w:rsidR="00E117D1">
        <w:rPr>
          <w:b/>
          <w:sz w:val="26"/>
          <w:szCs w:val="26"/>
        </w:rPr>
        <w:tab/>
      </w:r>
      <w:r w:rsidRPr="00887D9D">
        <w:rPr>
          <w:b/>
          <w:bCs/>
          <w:sz w:val="26"/>
          <w:szCs w:val="26"/>
          <w:u w:val="single"/>
        </w:rPr>
        <w:t>Documento 1014/5</w:t>
      </w:r>
    </w:p>
    <w:p w14:paraId="1F1AE5E4" w14:textId="77777777" w:rsidR="00C46D31" w:rsidRPr="00887D9D" w:rsidRDefault="00C46D31" w:rsidP="00E117D1">
      <w:pPr>
        <w:pBdr>
          <w:bottom w:val="single" w:sz="12" w:space="1" w:color="auto"/>
        </w:pBdr>
        <w:tabs>
          <w:tab w:val="clear" w:pos="567"/>
          <w:tab w:val="clear" w:pos="1134"/>
          <w:tab w:val="clear" w:pos="1701"/>
          <w:tab w:val="clear" w:pos="2268"/>
          <w:tab w:val="clear" w:pos="2835"/>
          <w:tab w:val="left" w:pos="3402"/>
          <w:tab w:val="left" w:pos="7938"/>
        </w:tabs>
        <w:ind w:right="-1037"/>
        <w:rPr>
          <w:sz w:val="26"/>
          <w:szCs w:val="26"/>
        </w:rPr>
      </w:pPr>
      <w:r w:rsidRPr="00887D9D">
        <w:rPr>
          <w:sz w:val="26"/>
          <w:szCs w:val="26"/>
        </w:rPr>
        <w:tab/>
        <w:t>1 de marzo de 2021</w:t>
      </w:r>
    </w:p>
    <w:p w14:paraId="65F2215C" w14:textId="77777777" w:rsidR="00C46D31" w:rsidRPr="00887D9D" w:rsidRDefault="00C46D31" w:rsidP="00C46D31">
      <w:pPr>
        <w:pStyle w:val="Heading1"/>
        <w:spacing w:before="600"/>
        <w:jc w:val="center"/>
      </w:pPr>
      <w:r w:rsidRPr="00887D9D">
        <w:t>Propuesta de iniciativa de transformación digital (DT-I)</w:t>
      </w:r>
      <w:bookmarkStart w:id="26" w:name="_Toc54363461"/>
      <w:bookmarkEnd w:id="11"/>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14F6B5D8" w14:textId="77777777" w:rsidR="00C46D31" w:rsidRPr="00887D9D" w:rsidRDefault="00C46D31" w:rsidP="00C46D31">
      <w:pPr>
        <w:pStyle w:val="Heading1"/>
        <w:spacing w:after="240"/>
        <w:rPr>
          <w:rFonts w:ascii="Calibri Light" w:hAnsi="Calibri Light"/>
          <w:b w:val="0"/>
          <w:bCs/>
          <w:color w:val="2E74B5"/>
        </w:rPr>
      </w:pPr>
      <w:r w:rsidRPr="00887D9D">
        <w:rPr>
          <w:rFonts w:ascii="Calibri Light" w:hAnsi="Calibri Light"/>
          <w:b w:val="0"/>
          <w:color w:val="2E74B5"/>
        </w:rPr>
        <w:t>VISIÓN GENERAL</w:t>
      </w:r>
    </w:p>
    <w:p w14:paraId="57AAD6C4" w14:textId="77777777" w:rsidR="00C46D31" w:rsidRPr="00887D9D" w:rsidRDefault="00C46D31" w:rsidP="00E117D1">
      <w:bookmarkStart w:id="27" w:name="_Toc172093073"/>
      <w:bookmarkStart w:id="28" w:name="_Toc198006718"/>
      <w:bookmarkStart w:id="29" w:name="_Toc496800029"/>
      <w:bookmarkStart w:id="30" w:name="_Toc496800090"/>
      <w:bookmarkStart w:id="31" w:name="_Toc496800386"/>
      <w:bookmarkStart w:id="32" w:name="_Toc496800504"/>
      <w:bookmarkStart w:id="33" w:name="_Toc496800536"/>
      <w:bookmarkStart w:id="34" w:name="_Toc496800646"/>
      <w:bookmarkStart w:id="35" w:name="_Toc496803629"/>
      <w:bookmarkStart w:id="36" w:name="_Toc496803714"/>
      <w:bookmarkStart w:id="37" w:name="_Toc496803775"/>
      <w:bookmarkStart w:id="38" w:name="_Toc148522386"/>
      <w:r>
        <w:t>La</w:t>
      </w:r>
      <w:r w:rsidRPr="00887D9D">
        <w:t xml:space="preserve"> transformación digital de forma holística y </w:t>
      </w:r>
      <w:r>
        <w:t>debidamente</w:t>
      </w:r>
      <w:r w:rsidRPr="00887D9D">
        <w:t xml:space="preserve"> organizada en la UIT</w:t>
      </w:r>
      <w:r>
        <w:t xml:space="preserve"> reviste suma importancia</w:t>
      </w:r>
      <w:r w:rsidRPr="00887D9D">
        <w:t xml:space="preserve">. </w:t>
      </w:r>
      <w:r>
        <w:t>No obstante</w:t>
      </w:r>
      <w:r w:rsidRPr="00887D9D">
        <w:t xml:space="preserve">, </w:t>
      </w:r>
      <w:r>
        <w:t>la transformación de una organización que abarca</w:t>
      </w:r>
      <w:r w:rsidRPr="00887D9D">
        <w:t xml:space="preserve"> tres Sectores </w:t>
      </w:r>
      <w:r>
        <w:t>con</w:t>
      </w:r>
      <w:r w:rsidRPr="00887D9D">
        <w:t xml:space="preserve"> mandatos específicos y una Secretaría General, requiere un enfoque </w:t>
      </w:r>
      <w:r>
        <w:t>escalonado en el</w:t>
      </w:r>
      <w:r w:rsidRPr="00887D9D">
        <w:t xml:space="preserve"> que </w:t>
      </w:r>
      <w:r>
        <w:t>se especifique</w:t>
      </w:r>
      <w:r w:rsidRPr="00887D9D">
        <w:t xml:space="preserve"> claramente </w:t>
      </w:r>
      <w:r w:rsidRPr="005C6686">
        <w:rPr>
          <w:i/>
          <w:iCs/>
        </w:rPr>
        <w:t>qué es necesario transformar</w:t>
      </w:r>
      <w:r w:rsidRPr="00887D9D">
        <w:t xml:space="preserve"> y</w:t>
      </w:r>
      <w:r>
        <w:t xml:space="preserve"> </w:t>
      </w:r>
      <w:r w:rsidRPr="005C6686">
        <w:rPr>
          <w:i/>
          <w:iCs/>
        </w:rPr>
        <w:t>la forma de hacerlo</w:t>
      </w:r>
      <w:r w:rsidRPr="00887D9D">
        <w:t xml:space="preserve">. </w:t>
      </w:r>
    </w:p>
    <w:p w14:paraId="4FFDF8FD" w14:textId="77777777" w:rsidR="00C46D31" w:rsidRPr="00887D9D" w:rsidRDefault="00C46D31" w:rsidP="00E117D1">
      <w:r>
        <w:t>A fin de</w:t>
      </w:r>
      <w:r w:rsidRPr="00887D9D">
        <w:t xml:space="preserve"> garantizar que la iniciativa </w:t>
      </w:r>
      <w:r>
        <w:t>permita realizar mejoras en toda</w:t>
      </w:r>
      <w:r w:rsidRPr="00887D9D">
        <w:t xml:space="preserve"> la UIT, </w:t>
      </w:r>
      <w:r>
        <w:t>es necesario hacer hincapié en los</w:t>
      </w:r>
      <w:r w:rsidRPr="00887D9D">
        <w:t xml:space="preserve"> procesos, </w:t>
      </w:r>
      <w:r>
        <w:t xml:space="preserve">las </w:t>
      </w:r>
      <w:r w:rsidRPr="00887D9D">
        <w:t xml:space="preserve">competencias y </w:t>
      </w:r>
      <w:r>
        <w:t xml:space="preserve">las </w:t>
      </w:r>
      <w:r w:rsidRPr="00887D9D">
        <w:t>funciones habilitantes que</w:t>
      </w:r>
      <w:r>
        <w:t>, previa optimización,</w:t>
      </w:r>
      <w:r w:rsidRPr="00887D9D">
        <w:t xml:space="preserve"> </w:t>
      </w:r>
      <w:r>
        <w:t>faciliten</w:t>
      </w:r>
      <w:r w:rsidRPr="00887D9D">
        <w:t xml:space="preserve"> </w:t>
      </w:r>
      <w:r>
        <w:t>el cumplimiento</w:t>
      </w:r>
      <w:r w:rsidRPr="00887D9D">
        <w:t xml:space="preserve"> de los mandatos específicos de la UIT. </w:t>
      </w:r>
      <w:r>
        <w:t>Por lo general, l</w:t>
      </w:r>
      <w:r w:rsidRPr="00887D9D">
        <w:t xml:space="preserve">os procesos y </w:t>
      </w:r>
      <w:r>
        <w:t xml:space="preserve">las </w:t>
      </w:r>
      <w:r w:rsidRPr="00887D9D">
        <w:t xml:space="preserve">funciones habilitantes </w:t>
      </w:r>
      <w:r>
        <w:t>son competencia de</w:t>
      </w:r>
      <w:r w:rsidRPr="00887D9D">
        <w:t xml:space="preserve"> los departamentos de la Secretaría General, </w:t>
      </w:r>
      <w:r>
        <w:t>y abarcan asimismo</w:t>
      </w:r>
      <w:r w:rsidRPr="00887D9D">
        <w:t xml:space="preserve"> </w:t>
      </w:r>
      <w:r>
        <w:t xml:space="preserve">las </w:t>
      </w:r>
      <w:r w:rsidRPr="00887D9D">
        <w:t xml:space="preserve">iniciativas intersectoriales y </w:t>
      </w:r>
      <w:r w:rsidRPr="00CB15F3">
        <w:rPr>
          <w:color w:val="000000" w:themeColor="text1"/>
        </w:rPr>
        <w:t xml:space="preserve">los procesos de </w:t>
      </w:r>
      <w:r>
        <w:rPr>
          <w:color w:val="000000" w:themeColor="text1"/>
        </w:rPr>
        <w:t>las O</w:t>
      </w:r>
      <w:r w:rsidRPr="00CB15F3">
        <w:rPr>
          <w:color w:val="000000" w:themeColor="text1"/>
        </w:rPr>
        <w:t>ficina</w:t>
      </w:r>
      <w:r>
        <w:rPr>
          <w:color w:val="000000" w:themeColor="text1"/>
        </w:rPr>
        <w:t>s</w:t>
      </w:r>
      <w:r w:rsidRPr="00CB15F3">
        <w:rPr>
          <w:color w:val="000000" w:themeColor="text1"/>
        </w:rPr>
        <w:t xml:space="preserve"> </w:t>
      </w:r>
      <w:r>
        <w:t>con repercusión orgánica</w:t>
      </w:r>
      <w:r w:rsidRPr="00887D9D">
        <w:t>.</w:t>
      </w:r>
    </w:p>
    <w:p w14:paraId="5D45EF4E" w14:textId="05825AC4" w:rsidR="00C46D31" w:rsidRPr="00887D9D" w:rsidRDefault="00C46D31" w:rsidP="00E117D1">
      <w:r w:rsidRPr="00887D9D">
        <w:t xml:space="preserve">Este </w:t>
      </w:r>
      <w:r>
        <w:t>destacado</w:t>
      </w:r>
      <w:r w:rsidRPr="00887D9D">
        <w:t xml:space="preserve"> proyecto, </w:t>
      </w:r>
      <w:r>
        <w:t>implantado mediante</w:t>
      </w:r>
      <w:r w:rsidRPr="00887D9D">
        <w:t xml:space="preserve"> un enfoque </w:t>
      </w:r>
      <w:r>
        <w:t>escalonado</w:t>
      </w:r>
      <w:r w:rsidRPr="00887D9D">
        <w:t xml:space="preserve">, </w:t>
      </w:r>
      <w:r>
        <w:t>dará comienzo</w:t>
      </w:r>
      <w:r w:rsidRPr="00887D9D">
        <w:t xml:space="preserve"> </w:t>
      </w:r>
      <w:r>
        <w:t>en</w:t>
      </w:r>
      <w:r w:rsidRPr="00887D9D">
        <w:t xml:space="preserve"> </w:t>
      </w:r>
      <w:r>
        <w:t>su</w:t>
      </w:r>
      <w:r w:rsidRPr="00887D9D">
        <w:t xml:space="preserve"> Fase</w:t>
      </w:r>
      <w:r w:rsidR="007D50A7">
        <w:t> </w:t>
      </w:r>
      <w:r w:rsidRPr="00887D9D">
        <w:t>1</w:t>
      </w:r>
      <w:r>
        <w:t xml:space="preserve">, en la que se determinará y priorizará </w:t>
      </w:r>
      <w:r w:rsidR="007D50A7">
        <w:t>"</w:t>
      </w:r>
      <w:r>
        <w:t>lo que hay que transformar</w:t>
      </w:r>
      <w:r w:rsidR="007D50A7">
        <w:t>"</w:t>
      </w:r>
      <w:r w:rsidRPr="00887D9D">
        <w:t xml:space="preserve">. </w:t>
      </w:r>
      <w:r>
        <w:t>La</w:t>
      </w:r>
      <w:r w:rsidRPr="00887D9D">
        <w:t xml:space="preserve"> Fase 2</w:t>
      </w:r>
      <w:r>
        <w:t>, en la que</w:t>
      </w:r>
      <w:r w:rsidRPr="00887D9D">
        <w:t xml:space="preserve"> </w:t>
      </w:r>
      <w:r>
        <w:t>se</w:t>
      </w:r>
      <w:r w:rsidRPr="00887D9D">
        <w:t xml:space="preserve"> </w:t>
      </w:r>
      <w:r>
        <w:t>establecerá</w:t>
      </w:r>
      <w:r w:rsidRPr="00887D9D">
        <w:t xml:space="preserve"> un enfoque </w:t>
      </w:r>
      <w:r>
        <w:t>eficaz</w:t>
      </w:r>
      <w:r w:rsidRPr="00887D9D">
        <w:t xml:space="preserve"> y rentable </w:t>
      </w:r>
      <w:r>
        <w:t xml:space="preserve">sobre </w:t>
      </w:r>
      <w:r w:rsidR="007D50A7">
        <w:t>"</w:t>
      </w:r>
      <w:r>
        <w:t>la forma de</w:t>
      </w:r>
      <w:r w:rsidRPr="00887D9D">
        <w:t xml:space="preserve"> </w:t>
      </w:r>
      <w:r>
        <w:t>llevar a cabo esa transformación</w:t>
      </w:r>
      <w:r w:rsidRPr="00887D9D">
        <w:t>"</w:t>
      </w:r>
      <w:r>
        <w:t>,</w:t>
      </w:r>
      <w:r w:rsidRPr="00887D9D">
        <w:t xml:space="preserve"> comenzará </w:t>
      </w:r>
      <w:r>
        <w:t xml:space="preserve">una vez que se haya identificado </w:t>
      </w:r>
      <w:r w:rsidRPr="00887D9D">
        <w:t xml:space="preserve">el problema, </w:t>
      </w:r>
      <w:r>
        <w:t>habida cuenta de que</w:t>
      </w:r>
      <w:r w:rsidRPr="00887D9D">
        <w:t xml:space="preserve"> la solución </w:t>
      </w:r>
      <w:r>
        <w:t>de</w:t>
      </w:r>
      <w:r w:rsidRPr="00887D9D">
        <w:t xml:space="preserve"> un problema </w:t>
      </w:r>
      <w:r>
        <w:t>viene dada por el grado de comprensión que se tenga del mismo</w:t>
      </w:r>
      <w:r w:rsidRPr="00887D9D">
        <w:t>.</w:t>
      </w:r>
    </w:p>
    <w:p w14:paraId="5EFA64AB" w14:textId="2EBDB430" w:rsidR="00C46D31" w:rsidRPr="00887D9D" w:rsidRDefault="00C46D31" w:rsidP="00E117D1">
      <w:r>
        <w:t>Puesto</w:t>
      </w:r>
      <w:r w:rsidRPr="00887D9D">
        <w:t xml:space="preserve"> que la UIT ha encargado varios estudios e iniciativas </w:t>
      </w:r>
      <w:r>
        <w:t>con el fin de</w:t>
      </w:r>
      <w:r w:rsidRPr="00887D9D">
        <w:t xml:space="preserve"> propone</w:t>
      </w:r>
      <w:r>
        <w:t>r</w:t>
      </w:r>
      <w:r w:rsidRPr="00887D9D">
        <w:t xml:space="preserve"> acciones </w:t>
      </w:r>
      <w:r>
        <w:t>de carácter transformador</w:t>
      </w:r>
      <w:r w:rsidRPr="00887D9D">
        <w:t xml:space="preserve">, </w:t>
      </w:r>
      <w:r>
        <w:t>conviene</w:t>
      </w:r>
      <w:r w:rsidRPr="00887D9D">
        <w:t xml:space="preserve"> que los objetivos de esta iniciativa </w:t>
      </w:r>
      <w:r>
        <w:t>sirvan, en particular, para</w:t>
      </w:r>
      <w:r w:rsidRPr="00887D9D">
        <w:t xml:space="preserve"> complementar o aprovechar los resultados de los </w:t>
      </w:r>
      <w:r>
        <w:t>demás</w:t>
      </w:r>
      <w:r w:rsidRPr="00887D9D">
        <w:t xml:space="preserve"> proyectos. </w:t>
      </w:r>
      <w:r>
        <w:t xml:space="preserve">A </w:t>
      </w:r>
      <w:r w:rsidR="005C6686">
        <w:t>continuación,</w:t>
      </w:r>
      <w:r>
        <w:t xml:space="preserve"> se enumeran l</w:t>
      </w:r>
      <w:r w:rsidRPr="00887D9D">
        <w:t xml:space="preserve">os </w:t>
      </w:r>
      <w:r>
        <w:t xml:space="preserve">principales </w:t>
      </w:r>
      <w:r w:rsidRPr="00887D9D">
        <w:t xml:space="preserve">estudios </w:t>
      </w:r>
      <w:r w:rsidR="005C6686">
        <w:t>e</w:t>
      </w:r>
      <w:r>
        <w:t xml:space="preserve"> </w:t>
      </w:r>
      <w:r w:rsidRPr="00887D9D">
        <w:t>iniciativas complementari</w:t>
      </w:r>
      <w:r w:rsidR="005C6686">
        <w:t>a</w:t>
      </w:r>
      <w:r w:rsidRPr="00887D9D">
        <w:t xml:space="preserve">s que </w:t>
      </w:r>
      <w:r>
        <w:t>cabe tener</w:t>
      </w:r>
      <w:r w:rsidRPr="00887D9D">
        <w:t xml:space="preserve"> en cuenta:</w:t>
      </w:r>
    </w:p>
    <w:p w14:paraId="46F4CC16" w14:textId="3E500AD2" w:rsidR="00C46D31" w:rsidRPr="00B41BDB" w:rsidRDefault="00E117D1" w:rsidP="00E117D1">
      <w:pPr>
        <w:pStyle w:val="enumlev1"/>
      </w:pPr>
      <w:r>
        <w:t>•</w:t>
      </w:r>
      <w:r>
        <w:tab/>
      </w:r>
      <w:r w:rsidR="00C46D31">
        <w:t xml:space="preserve">Análisis </w:t>
      </w:r>
      <w:r w:rsidR="00C46D31" w:rsidRPr="00B41BDB">
        <w:t>de la presencia regional</w:t>
      </w:r>
      <w:r w:rsidR="00C46D31">
        <w:t>, incluidas las</w:t>
      </w:r>
      <w:r w:rsidR="00C46D31" w:rsidRPr="00B41BDB">
        <w:t xml:space="preserve"> recomendaciones </w:t>
      </w:r>
      <w:r w:rsidR="00C46D31">
        <w:t xml:space="preserve">al respecto, </w:t>
      </w:r>
      <w:r w:rsidR="00C46D31" w:rsidRPr="00B41BDB">
        <w:t>de Price Waterhouse Cooper</w:t>
      </w:r>
      <w:r>
        <w:t>.</w:t>
      </w:r>
    </w:p>
    <w:p w14:paraId="38464B46" w14:textId="0AA52FBD" w:rsidR="00C46D31" w:rsidRPr="00B41BDB" w:rsidRDefault="00E117D1" w:rsidP="00E117D1">
      <w:pPr>
        <w:pStyle w:val="enumlev1"/>
      </w:pPr>
      <w:r>
        <w:t>•</w:t>
      </w:r>
      <w:r>
        <w:tab/>
      </w:r>
      <w:r w:rsidR="00C46D31" w:rsidRPr="00B41BDB">
        <w:t>"</w:t>
      </w:r>
      <w:r w:rsidR="00C46D31">
        <w:t>E</w:t>
      </w:r>
      <w:r w:rsidR="00C46D31" w:rsidRPr="00B41BDB">
        <w:t>studio de viabilidad para crear un instituto de formación de la UIT"</w:t>
      </w:r>
      <w:r w:rsidR="00C46D31">
        <w:t>,</w:t>
      </w:r>
      <w:r w:rsidR="00C46D31" w:rsidRPr="00B41BDB">
        <w:t xml:space="preserve"> de </w:t>
      </w:r>
      <w:proofErr w:type="spellStart"/>
      <w:r w:rsidR="00C46D31" w:rsidRPr="00B41BDB">
        <w:t>JigSaw</w:t>
      </w:r>
      <w:proofErr w:type="spellEnd"/>
      <w:r>
        <w:t>.</w:t>
      </w:r>
    </w:p>
    <w:p w14:paraId="7BC289C1" w14:textId="1EDB87FB" w:rsidR="00C46D31" w:rsidRPr="00B41BDB" w:rsidRDefault="00E117D1" w:rsidP="00E117D1">
      <w:pPr>
        <w:pStyle w:val="enumlev1"/>
      </w:pPr>
      <w:r>
        <w:t>•</w:t>
      </w:r>
      <w:r>
        <w:tab/>
      </w:r>
      <w:r w:rsidR="00C46D31">
        <w:t>A</w:t>
      </w:r>
      <w:r w:rsidR="00C46D31" w:rsidRPr="00B41BDB">
        <w:t xml:space="preserve">nálisis cultural de McKinsey </w:t>
      </w:r>
      <w:r w:rsidR="00C46D31">
        <w:t>sobre</w:t>
      </w:r>
      <w:r w:rsidR="00C46D31" w:rsidRPr="00B41BDB">
        <w:t xml:space="preserve"> la brecha </w:t>
      </w:r>
      <w:r w:rsidR="00C46D31">
        <w:t>en materia de</w:t>
      </w:r>
      <w:r w:rsidR="00C46D31" w:rsidRPr="00B41BDB">
        <w:t xml:space="preserve"> competencias y liderazgo</w:t>
      </w:r>
      <w:r>
        <w:t>.</w:t>
      </w:r>
    </w:p>
    <w:p w14:paraId="712B9C55" w14:textId="7CF5D5CD" w:rsidR="00C46D31" w:rsidRPr="00B41BDB" w:rsidRDefault="00E117D1" w:rsidP="00E117D1">
      <w:pPr>
        <w:pStyle w:val="enumlev1"/>
      </w:pPr>
      <w:r>
        <w:t>•</w:t>
      </w:r>
      <w:r>
        <w:tab/>
      </w:r>
      <w:r w:rsidR="00C46D31" w:rsidRPr="00B41BDB">
        <w:t xml:space="preserve">Grupo </w:t>
      </w:r>
      <w:r w:rsidR="00C46D31">
        <w:t>especial</w:t>
      </w:r>
      <w:r w:rsidR="00C46D31" w:rsidRPr="00B41BDB">
        <w:t xml:space="preserve"> sobre participación a distancia</w:t>
      </w:r>
      <w:r>
        <w:t>.</w:t>
      </w:r>
    </w:p>
    <w:p w14:paraId="31196663" w14:textId="7CC35D6B" w:rsidR="00C46D31" w:rsidRPr="00B41BDB" w:rsidRDefault="00E117D1" w:rsidP="00E117D1">
      <w:pPr>
        <w:pStyle w:val="enumlev1"/>
      </w:pPr>
      <w:r>
        <w:t>•</w:t>
      </w:r>
      <w:r>
        <w:tab/>
      </w:r>
      <w:r w:rsidR="00C46D31">
        <w:t>A</w:t>
      </w:r>
      <w:r w:rsidR="00C46D31" w:rsidRPr="00B41BDB">
        <w:t xml:space="preserve">genda </w:t>
      </w:r>
      <w:r w:rsidR="00C46D31">
        <w:t>d</w:t>
      </w:r>
      <w:r w:rsidR="00C46D31" w:rsidRPr="00B41BDB">
        <w:t>igital de</w:t>
      </w:r>
      <w:r w:rsidR="00C46D31">
        <w:t>l</w:t>
      </w:r>
      <w:r w:rsidR="00C46D31" w:rsidRPr="00B41BDB">
        <w:t xml:space="preserve"> SPM, </w:t>
      </w:r>
      <w:r w:rsidR="00C46D31">
        <w:t>establecida con</w:t>
      </w:r>
      <w:r w:rsidR="00C46D31" w:rsidRPr="00B41BDB">
        <w:t xml:space="preserve"> apoyo de Ernst &amp; Young</w:t>
      </w:r>
      <w:r>
        <w:t>.</w:t>
      </w:r>
    </w:p>
    <w:p w14:paraId="3679A108" w14:textId="59ED5E67" w:rsidR="00C46D31" w:rsidRPr="00B41BDB" w:rsidRDefault="00E117D1" w:rsidP="00E117D1">
      <w:pPr>
        <w:pStyle w:val="enumlev1"/>
      </w:pPr>
      <w:r>
        <w:t>•</w:t>
      </w:r>
      <w:r>
        <w:tab/>
      </w:r>
      <w:r w:rsidR="00C46D31" w:rsidRPr="00B41BDB">
        <w:t xml:space="preserve">Proyecto del nuevo edificio de la sede, incluida la planificación </w:t>
      </w:r>
      <w:r w:rsidR="00C46D31">
        <w:t>de</w:t>
      </w:r>
      <w:r w:rsidR="00C46D31" w:rsidRPr="00B41BDB">
        <w:t xml:space="preserve"> espacio </w:t>
      </w:r>
      <w:r w:rsidR="00C46D31">
        <w:t xml:space="preserve">en el </w:t>
      </w:r>
      <w:r w:rsidR="00C46D31" w:rsidRPr="00B41BDB">
        <w:t>futuro y su</w:t>
      </w:r>
      <w:r w:rsidR="00C46D31">
        <w:t>s repercusiones</w:t>
      </w:r>
      <w:r>
        <w:t>.</w:t>
      </w:r>
    </w:p>
    <w:p w14:paraId="73238B2B" w14:textId="0745806B" w:rsidR="00C46D31" w:rsidRPr="00F77D4B" w:rsidRDefault="00E117D1" w:rsidP="00E117D1">
      <w:pPr>
        <w:pStyle w:val="enumlev1"/>
      </w:pPr>
      <w:r>
        <w:t>•</w:t>
      </w:r>
      <w:r>
        <w:tab/>
      </w:r>
      <w:r w:rsidR="00C46D31" w:rsidRPr="00F77D4B">
        <w:t>Centro Internacional de Innovación Digital (I-</w:t>
      </w:r>
      <w:proofErr w:type="spellStart"/>
      <w:r w:rsidR="00C46D31" w:rsidRPr="00F77D4B">
        <w:t>CoDI</w:t>
      </w:r>
      <w:proofErr w:type="spellEnd"/>
      <w:r w:rsidR="00C46D31" w:rsidRPr="00F77D4B">
        <w:t>)</w:t>
      </w:r>
      <w:r>
        <w:t>.</w:t>
      </w:r>
    </w:p>
    <w:p w14:paraId="359ED39A" w14:textId="77777777" w:rsidR="00C46D31" w:rsidRPr="00F77D4B" w:rsidRDefault="00C46D31" w:rsidP="00E117D1">
      <w:r>
        <w:t>S</w:t>
      </w:r>
      <w:r w:rsidRPr="00F77D4B">
        <w:t xml:space="preserve">e </w:t>
      </w:r>
      <w:r>
        <w:t>examinarán los efectos de la</w:t>
      </w:r>
      <w:r w:rsidRPr="00F77D4B">
        <w:t xml:space="preserve"> COVID-19 en </w:t>
      </w:r>
      <w:r>
        <w:t>la labor</w:t>
      </w:r>
      <w:r w:rsidRPr="00F77D4B">
        <w:t xml:space="preserve"> de la UIT, </w:t>
      </w:r>
      <w:r>
        <w:t>a tenor de la información proporcionada al</w:t>
      </w:r>
      <w:r w:rsidRPr="00F77D4B">
        <w:t xml:space="preserve"> Consejo y al </w:t>
      </w:r>
      <w:r>
        <w:t>GTC</w:t>
      </w:r>
      <w:r w:rsidRPr="00F77D4B">
        <w:t xml:space="preserve">, </w:t>
      </w:r>
      <w:r>
        <w:t>así como</w:t>
      </w:r>
      <w:r w:rsidRPr="00F77D4B">
        <w:t xml:space="preserve"> los </w:t>
      </w:r>
      <w:r>
        <w:t xml:space="preserve">avances en </w:t>
      </w:r>
      <w:r w:rsidRPr="00F77D4B">
        <w:t xml:space="preserve">los sistemas de la ONU </w:t>
      </w:r>
      <w:r>
        <w:t>respecto d</w:t>
      </w:r>
      <w:r w:rsidRPr="00F77D4B">
        <w:t xml:space="preserve">el </w:t>
      </w:r>
      <w:r w:rsidRPr="00F77D4B">
        <w:lastRenderedPageBreak/>
        <w:t xml:space="preserve">"futuro del trabajo" y </w:t>
      </w:r>
      <w:r>
        <w:t>la incidencia</w:t>
      </w:r>
      <w:r w:rsidRPr="00F77D4B">
        <w:t xml:space="preserve"> en </w:t>
      </w:r>
      <w:r>
        <w:t xml:space="preserve">el personal, </w:t>
      </w:r>
      <w:r w:rsidRPr="00C85ED9">
        <w:t xml:space="preserve">incluido el de reciente contratación </w:t>
      </w:r>
      <w:r w:rsidRPr="00F77D4B">
        <w:t xml:space="preserve">(por ejemplo, </w:t>
      </w:r>
      <w:r>
        <w:t xml:space="preserve">en materia de </w:t>
      </w:r>
      <w:r w:rsidRPr="00F77D4B">
        <w:t xml:space="preserve">teletrabajo y </w:t>
      </w:r>
      <w:r>
        <w:t>relación</w:t>
      </w:r>
      <w:r w:rsidRPr="00F77D4B">
        <w:t xml:space="preserve"> contractual).</w:t>
      </w:r>
    </w:p>
    <w:p w14:paraId="292892D7" w14:textId="77777777" w:rsidR="00C46D31" w:rsidRPr="00F77D4B" w:rsidRDefault="00C46D31" w:rsidP="00E117D1">
      <w:r w:rsidRPr="00F77D4B">
        <w:t xml:space="preserve">El nuevo mandato del Grupo de Transformación Digital (DT-G) debe garantizar que la UIT adopte un enfoque holístico y priorice </w:t>
      </w:r>
      <w:r>
        <w:t>determinadas</w:t>
      </w:r>
      <w:r w:rsidRPr="00F77D4B">
        <w:t xml:space="preserve"> opciones estratégicas,</w:t>
      </w:r>
      <w:r>
        <w:t xml:space="preserve"> </w:t>
      </w:r>
      <w:r w:rsidRPr="00F745FF">
        <w:t>así como los resultados de proyectos y los recursos financieros y humanos pertinentes</w:t>
      </w:r>
      <w:r w:rsidRPr="00F77D4B">
        <w:t xml:space="preserve">, e informe periódicamente al </w:t>
      </w:r>
      <w:r>
        <w:t xml:space="preserve">GCG o al </w:t>
      </w:r>
      <w:r w:rsidRPr="00F77D4B">
        <w:t>Co</w:t>
      </w:r>
      <w:r>
        <w:t>mité de Coordinación,</w:t>
      </w:r>
      <w:r w:rsidRPr="00F77D4B">
        <w:t xml:space="preserve"> según corresponda.</w:t>
      </w:r>
    </w:p>
    <w:p w14:paraId="1495F80F" w14:textId="77777777" w:rsidR="00C46D31" w:rsidRPr="00F7164C" w:rsidRDefault="00C46D31" w:rsidP="00C46D31">
      <w:pPr>
        <w:pStyle w:val="Heading1"/>
        <w:rPr>
          <w:rFonts w:ascii="Calibri Light" w:hAnsi="Calibri Light"/>
          <w:b w:val="0"/>
          <w:bCs/>
          <w:color w:val="2E74B5"/>
        </w:rPr>
      </w:pPr>
      <w:r w:rsidRPr="00F7164C">
        <w:rPr>
          <w:rFonts w:ascii="Calibri Light" w:hAnsi="Calibri Light"/>
          <w:b w:val="0"/>
          <w:color w:val="2E74B5"/>
        </w:rPr>
        <w:t>OBJETIVOS</w:t>
      </w:r>
    </w:p>
    <w:p w14:paraId="585A0288" w14:textId="77777777" w:rsidR="00C46D31" w:rsidRPr="00F7164C" w:rsidRDefault="00C46D31" w:rsidP="00E117D1">
      <w:r>
        <w:t>L</w:t>
      </w:r>
      <w:r w:rsidRPr="00F7164C">
        <w:t xml:space="preserve">a nueva Iniciativa de </w:t>
      </w:r>
      <w:r>
        <w:t>t</w:t>
      </w:r>
      <w:r w:rsidRPr="00F7164C">
        <w:t xml:space="preserve">ransformación </w:t>
      </w:r>
      <w:r>
        <w:t>d</w:t>
      </w:r>
      <w:r w:rsidRPr="00F7164C">
        <w:t xml:space="preserve">igital (DT-I) debe </w:t>
      </w:r>
      <w:r>
        <w:t>propiciar la mejora de</w:t>
      </w:r>
      <w:r w:rsidRPr="00F7164C">
        <w:t xml:space="preserve"> los </w:t>
      </w:r>
      <w:r>
        <w:t>productos finales</w:t>
      </w:r>
      <w:r w:rsidRPr="00F7164C">
        <w:t xml:space="preserve"> de la UIT,</w:t>
      </w:r>
      <w:r>
        <w:t xml:space="preserve"> aumentar</w:t>
      </w:r>
      <w:r w:rsidRPr="00F7164C">
        <w:t xml:space="preserve"> la eficiencia de los procesos </w:t>
      </w:r>
      <w:r>
        <w:t>de trabajo</w:t>
      </w:r>
      <w:r w:rsidRPr="00F7164C">
        <w:t xml:space="preserve"> internos, y </w:t>
      </w:r>
      <w:r>
        <w:t>garantizar</w:t>
      </w:r>
      <w:r w:rsidRPr="00F7164C">
        <w:t xml:space="preserve"> que la UIT </w:t>
      </w:r>
      <w:r>
        <w:t>sea un empleador de primera calidad</w:t>
      </w:r>
      <w:r w:rsidRPr="00F7164C">
        <w:t>.</w:t>
      </w:r>
    </w:p>
    <w:p w14:paraId="10200642" w14:textId="118CC10A" w:rsidR="00C46D31" w:rsidRPr="00F7164C" w:rsidRDefault="00C46D31" w:rsidP="00E117D1">
      <w:pPr>
        <w:rPr>
          <w:rFonts w:asciiTheme="minorHAnsi" w:hAnsiTheme="minorHAnsi" w:cstheme="minorHAnsi"/>
          <w:szCs w:val="24"/>
        </w:rPr>
      </w:pPr>
      <w:r>
        <w:t xml:space="preserve">A </w:t>
      </w:r>
      <w:r w:rsidR="00DC656D">
        <w:t>continuación,</w:t>
      </w:r>
      <w:r>
        <w:t xml:space="preserve"> se enumeran l</w:t>
      </w:r>
      <w:r w:rsidRPr="00F7164C">
        <w:t>os objetivos de la DT-I</w:t>
      </w:r>
      <w:r w:rsidRPr="00F7164C">
        <w:rPr>
          <w:rFonts w:asciiTheme="minorHAnsi" w:hAnsiTheme="minorHAnsi" w:cstheme="minorHAnsi"/>
          <w:szCs w:val="24"/>
        </w:rPr>
        <w:t>:</w:t>
      </w:r>
    </w:p>
    <w:p w14:paraId="379CC634" w14:textId="1AF1CBAC" w:rsidR="00C46D31" w:rsidRPr="00F1782B" w:rsidRDefault="005A3217" w:rsidP="005A3217">
      <w:pPr>
        <w:pStyle w:val="enumlev1"/>
      </w:pPr>
      <w:r>
        <w:t>–</w:t>
      </w:r>
      <w:r>
        <w:tab/>
        <w:t>A</w:t>
      </w:r>
      <w:r w:rsidR="00C46D31">
        <w:t>umentar</w:t>
      </w:r>
      <w:r w:rsidR="00C46D31" w:rsidRPr="00F1782B">
        <w:t xml:space="preserve"> la eficiencia de los procesos </w:t>
      </w:r>
      <w:r w:rsidR="00C46D31">
        <w:t>de trabajo</w:t>
      </w:r>
      <w:r w:rsidR="00C46D31" w:rsidRPr="00F1782B">
        <w:t xml:space="preserve"> internos y </w:t>
      </w:r>
      <w:r w:rsidR="00C46D31">
        <w:t xml:space="preserve">mejorar </w:t>
      </w:r>
      <w:r w:rsidR="00C46D31" w:rsidRPr="00F1782B">
        <w:t xml:space="preserve">la gestión, </w:t>
      </w:r>
      <w:r w:rsidR="00C46D31">
        <w:t xml:space="preserve">así como </w:t>
      </w:r>
      <w:r w:rsidR="00C46D31" w:rsidRPr="00F1782B">
        <w:t>racionalizar y digitalizar los flujos de trabajo (D</w:t>
      </w:r>
      <w:r w:rsidR="00C46D31">
        <w:t>o</w:t>
      </w:r>
      <w:r w:rsidR="00C46D31" w:rsidRPr="00F1782B">
        <w:t>c</w:t>
      </w:r>
      <w:r w:rsidR="00C46D31">
        <w:t>.</w:t>
      </w:r>
      <w:r w:rsidR="00C46D31" w:rsidRPr="00F1782B">
        <w:t xml:space="preserve"> 5/Anexo 2)</w:t>
      </w:r>
      <w:r>
        <w:t>.</w:t>
      </w:r>
    </w:p>
    <w:p w14:paraId="146C8386" w14:textId="4A74122D" w:rsidR="00C46D31" w:rsidRPr="00F1782B" w:rsidRDefault="005A3217" w:rsidP="005A3217">
      <w:pPr>
        <w:pStyle w:val="enumlev1"/>
      </w:pPr>
      <w:r>
        <w:t>–</w:t>
      </w:r>
      <w:r>
        <w:tab/>
        <w:t>F</w:t>
      </w:r>
      <w:r w:rsidR="00C46D31">
        <w:t>acilitar al usuario la utilización de servicios</w:t>
      </w:r>
      <w:r w:rsidR="00C46D31" w:rsidRPr="00F1782B">
        <w:t xml:space="preserve"> (en reuniones, conferencias y eventos</w:t>
      </w:r>
      <w:r w:rsidR="00C46D31">
        <w:t>,</w:t>
      </w:r>
      <w:r w:rsidR="00C46D31" w:rsidRPr="00F1782B">
        <w:t xml:space="preserve"> con </w:t>
      </w:r>
      <w:r w:rsidR="00C46D31">
        <w:t>respecto a los</w:t>
      </w:r>
      <w:r w:rsidR="00C46D31" w:rsidRPr="00F1782B">
        <w:t xml:space="preserve"> miembros y otras partes interesadas</w:t>
      </w:r>
      <w:r w:rsidR="00C46D31">
        <w:t>;</w:t>
      </w:r>
      <w:r w:rsidR="00C46D31" w:rsidRPr="00F1782B">
        <w:t xml:space="preserve"> </w:t>
      </w:r>
      <w:r w:rsidR="00C46D31">
        <w:t>el uso de</w:t>
      </w:r>
      <w:r w:rsidR="00C46D31" w:rsidRPr="00F1782B">
        <w:t xml:space="preserve"> aplicaciones y plataformas </w:t>
      </w:r>
      <w:r w:rsidR="00C46D31">
        <w:t>destinadas</w:t>
      </w:r>
      <w:r w:rsidR="00C46D31" w:rsidRPr="00F1782B">
        <w:t xml:space="preserve"> a los miembros y al público</w:t>
      </w:r>
      <w:r w:rsidR="00C46D31">
        <w:t>;</w:t>
      </w:r>
      <w:r w:rsidR="00C46D31" w:rsidRPr="00F1782B">
        <w:t xml:space="preserve"> y </w:t>
      </w:r>
      <w:r w:rsidR="00C46D31">
        <w:t>con respecto a los titulares</w:t>
      </w:r>
      <w:r w:rsidR="00C46D31" w:rsidRPr="00F1782B">
        <w:t xml:space="preserve"> de contenido</w:t>
      </w:r>
      <w:r w:rsidR="00C46D31">
        <w:t xml:space="preserve"> o de actividades a nivel interno</w:t>
      </w:r>
      <w:r w:rsidR="00C46D31" w:rsidRPr="00F1782B">
        <w:t>)</w:t>
      </w:r>
      <w:r>
        <w:t>.</w:t>
      </w:r>
    </w:p>
    <w:p w14:paraId="21FE5BDC" w14:textId="6C962F79" w:rsidR="00C46D31" w:rsidRPr="00F1782B" w:rsidRDefault="005A3217" w:rsidP="005A3217">
      <w:pPr>
        <w:pStyle w:val="enumlev1"/>
      </w:pPr>
      <w:r>
        <w:t>–</w:t>
      </w:r>
      <w:r>
        <w:tab/>
        <w:t>A</w:t>
      </w:r>
      <w:r w:rsidR="00C46D31">
        <w:t>umentar la</w:t>
      </w:r>
      <w:r w:rsidR="00C46D31" w:rsidRPr="00F1782B">
        <w:t xml:space="preserve"> capacidad </w:t>
      </w:r>
      <w:r w:rsidR="00C46D31">
        <w:t xml:space="preserve">para recabar información </w:t>
      </w:r>
      <w:r w:rsidR="00C46D31" w:rsidRPr="00F1782B">
        <w:t xml:space="preserve">del personal, </w:t>
      </w:r>
      <w:r w:rsidR="00C46D31">
        <w:t xml:space="preserve">así como de </w:t>
      </w:r>
      <w:r w:rsidR="00C46D31" w:rsidRPr="00F1782B">
        <w:t xml:space="preserve">los </w:t>
      </w:r>
      <w:r w:rsidR="00C46D31">
        <w:t>miembros</w:t>
      </w:r>
      <w:r w:rsidR="00C46D31" w:rsidRPr="00F1782B">
        <w:t xml:space="preserve"> y los </w:t>
      </w:r>
      <w:r w:rsidR="00C46D31">
        <w:t>asociados</w:t>
      </w:r>
      <w:r w:rsidR="00C46D31" w:rsidRPr="00F1782B">
        <w:t xml:space="preserve">. </w:t>
      </w:r>
    </w:p>
    <w:p w14:paraId="3616D8E5" w14:textId="2666289F" w:rsidR="00C46D31" w:rsidRPr="00F1782B" w:rsidRDefault="005A3217" w:rsidP="005A3217">
      <w:pPr>
        <w:pStyle w:val="enumlev1"/>
      </w:pPr>
      <w:r>
        <w:t>–</w:t>
      </w:r>
      <w:r>
        <w:tab/>
        <w:t>P</w:t>
      </w:r>
      <w:r w:rsidR="00C46D31">
        <w:t>roporcionar</w:t>
      </w:r>
      <w:r w:rsidR="00C46D31" w:rsidRPr="00F1782B">
        <w:t xml:space="preserve"> información, documentos y datos </w:t>
      </w:r>
      <w:r w:rsidR="00C46D31">
        <w:t>fidedignos</w:t>
      </w:r>
      <w:r w:rsidR="00C46D31" w:rsidRPr="00F1782B">
        <w:t xml:space="preserve"> y cualitativos para </w:t>
      </w:r>
      <w:r w:rsidR="00C46D31">
        <w:t xml:space="preserve">facilitar </w:t>
      </w:r>
      <w:r w:rsidR="00C46D31" w:rsidRPr="00F1782B">
        <w:t xml:space="preserve">una toma de decisiones </w:t>
      </w:r>
      <w:r w:rsidR="00C46D31">
        <w:t>fundada</w:t>
      </w:r>
      <w:r w:rsidR="00C46D31" w:rsidRPr="00F1782B">
        <w:t xml:space="preserve">, </w:t>
      </w:r>
      <w:r w:rsidR="00C46D31">
        <w:t>respaldada por</w:t>
      </w:r>
      <w:r w:rsidR="00C46D31" w:rsidRPr="00F1782B">
        <w:t xml:space="preserve"> una gestión </w:t>
      </w:r>
      <w:r w:rsidR="00C46D31">
        <w:t>eficaz</w:t>
      </w:r>
      <w:r w:rsidR="00C46D31" w:rsidRPr="00F1782B">
        <w:t xml:space="preserve"> de la información (</w:t>
      </w:r>
      <w:r w:rsidR="00C46D31">
        <w:t>recopilación</w:t>
      </w:r>
      <w:r w:rsidR="00C46D31" w:rsidRPr="00F1782B">
        <w:t>, proces</w:t>
      </w:r>
      <w:r w:rsidR="00C46D31">
        <w:t>amiento, análisis y difusión</w:t>
      </w:r>
      <w:r w:rsidR="00C46D31" w:rsidRPr="00F1782B">
        <w:t>)</w:t>
      </w:r>
      <w:r>
        <w:t>.</w:t>
      </w:r>
    </w:p>
    <w:p w14:paraId="258B9818" w14:textId="4EA39780" w:rsidR="00C46D31" w:rsidRPr="00F1782B" w:rsidRDefault="005A3217" w:rsidP="005A3217">
      <w:pPr>
        <w:pStyle w:val="enumlev1"/>
      </w:pPr>
      <w:r>
        <w:t>–</w:t>
      </w:r>
      <w:r>
        <w:tab/>
        <w:t>A</w:t>
      </w:r>
      <w:r w:rsidR="00C46D31">
        <w:t>umentar</w:t>
      </w:r>
      <w:r w:rsidR="00C46D31" w:rsidRPr="00F1782B">
        <w:t xml:space="preserve"> la capacidad </w:t>
      </w:r>
      <w:r w:rsidR="00C46D31">
        <w:t>operacional</w:t>
      </w:r>
      <w:r w:rsidR="00C46D31" w:rsidRPr="00F1782B">
        <w:t xml:space="preserve">, </w:t>
      </w:r>
      <w:r w:rsidR="00C46D31">
        <w:t>facilitar las labores de adquisición y asignación dinámica de personal</w:t>
      </w:r>
      <w:r w:rsidR="00C46D31" w:rsidRPr="00F1782B">
        <w:t xml:space="preserve"> y recursos</w:t>
      </w:r>
      <w:r w:rsidR="00C46D31">
        <w:t>, de ser</w:t>
      </w:r>
      <w:r w:rsidR="00C46D31" w:rsidRPr="00F1782B">
        <w:t xml:space="preserve"> necesario, </w:t>
      </w:r>
      <w:r w:rsidR="00C46D31">
        <w:t>sobre la base de</w:t>
      </w:r>
      <w:r w:rsidR="00C46D31" w:rsidRPr="00F1782B">
        <w:t xml:space="preserve"> la política de movilidad de la UIT, y </w:t>
      </w:r>
      <w:r w:rsidR="00C46D31">
        <w:t>aumentar todo lo posible</w:t>
      </w:r>
      <w:r w:rsidR="00C46D31" w:rsidRPr="00F1782B">
        <w:t xml:space="preserve"> la capacidad </w:t>
      </w:r>
      <w:r w:rsidR="00C46D31">
        <w:t>para</w:t>
      </w:r>
      <w:r w:rsidR="00C46D31" w:rsidRPr="00F1782B">
        <w:t xml:space="preserve"> </w:t>
      </w:r>
      <w:r w:rsidR="00C46D31">
        <w:t>adquirir conocimientos</w:t>
      </w:r>
      <w:r w:rsidR="00C46D31" w:rsidRPr="00F1782B">
        <w:t xml:space="preserve"> y adaptarse </w:t>
      </w:r>
      <w:r w:rsidR="00C46D31">
        <w:t>en todo momento</w:t>
      </w:r>
      <w:r w:rsidR="00C46D31" w:rsidRPr="00F1782B">
        <w:t>.</w:t>
      </w:r>
    </w:p>
    <w:p w14:paraId="77568E75" w14:textId="27FAA1AF" w:rsidR="00C46D31" w:rsidRPr="00F1782B" w:rsidRDefault="005A3217" w:rsidP="005A3217">
      <w:pPr>
        <w:pStyle w:val="enumlev1"/>
      </w:pPr>
      <w:r>
        <w:t>–</w:t>
      </w:r>
      <w:r>
        <w:tab/>
        <w:t>F</w:t>
      </w:r>
      <w:r w:rsidR="00C46D31" w:rsidRPr="00F1782B">
        <w:t xml:space="preserve">omentar la innovación y </w:t>
      </w:r>
      <w:r w:rsidR="00C46D31">
        <w:t>aumentar la</w:t>
      </w:r>
      <w:r w:rsidR="00C46D31" w:rsidRPr="00F1782B">
        <w:t xml:space="preserve"> capacidad</w:t>
      </w:r>
      <w:r w:rsidR="00C46D31">
        <w:t>, y</w:t>
      </w:r>
      <w:r w:rsidR="00C46D31" w:rsidRPr="00F1782B">
        <w:t xml:space="preserve"> </w:t>
      </w:r>
      <w:r w:rsidR="00C46D31">
        <w:t>facilitar la transformación</w:t>
      </w:r>
      <w:r w:rsidR="00C46D31" w:rsidRPr="00F1782B">
        <w:t xml:space="preserve"> cultural </w:t>
      </w:r>
      <w:r w:rsidR="00C46D31">
        <w:t>mediante</w:t>
      </w:r>
      <w:r w:rsidR="00C46D31" w:rsidRPr="00F1782B">
        <w:t xml:space="preserve"> nuevas soluciones digitales, </w:t>
      </w:r>
      <w:r w:rsidR="00C46D31">
        <w:t>siempre y cuando ello sea útil</w:t>
      </w:r>
      <w:r>
        <w:t>.</w:t>
      </w:r>
    </w:p>
    <w:p w14:paraId="4EA4121E" w14:textId="45F02B62" w:rsidR="00C46D31" w:rsidRPr="00F1782B" w:rsidRDefault="005A3217" w:rsidP="005A3217">
      <w:pPr>
        <w:pStyle w:val="enumlev1"/>
      </w:pPr>
      <w:r>
        <w:t>–</w:t>
      </w:r>
      <w:r>
        <w:tab/>
        <w:t>V</w:t>
      </w:r>
      <w:r w:rsidR="00C46D31">
        <w:t>elar por el</w:t>
      </w:r>
      <w:r w:rsidR="00C46D31" w:rsidRPr="00F1782B">
        <w:t xml:space="preserve"> </w:t>
      </w:r>
      <w:r w:rsidR="00C46D31">
        <w:t>desarrollo y la implantación</w:t>
      </w:r>
      <w:r w:rsidR="00C46D31" w:rsidRPr="00F1782B">
        <w:t xml:space="preserve"> </w:t>
      </w:r>
      <w:r w:rsidR="00C46D31">
        <w:t xml:space="preserve">de </w:t>
      </w:r>
      <w:r w:rsidR="00C46D31" w:rsidRPr="00F1782B">
        <w:t xml:space="preserve">un marco eficaz </w:t>
      </w:r>
      <w:r w:rsidR="00C46D31">
        <w:t>para la</w:t>
      </w:r>
      <w:r w:rsidR="00C46D31" w:rsidRPr="00F1782B">
        <w:t xml:space="preserve"> gestión del cambio, incluida</w:t>
      </w:r>
      <w:r w:rsidR="00C46D31">
        <w:t>s las actividades de</w:t>
      </w:r>
      <w:r w:rsidR="00C46D31" w:rsidRPr="00F1782B">
        <w:t xml:space="preserve"> formación (</w:t>
      </w:r>
      <w:r w:rsidR="00C46D31">
        <w:t>habida cuenta de</w:t>
      </w:r>
      <w:r w:rsidR="00C46D31" w:rsidRPr="00F1782B">
        <w:t xml:space="preserve"> las actividades enumeradas anteriormente), </w:t>
      </w:r>
      <w:r w:rsidR="00C46D31">
        <w:t>a fin de</w:t>
      </w:r>
      <w:r w:rsidR="00C46D31" w:rsidRPr="00F1782B">
        <w:t xml:space="preserve"> </w:t>
      </w:r>
      <w:r w:rsidR="00C46D31">
        <w:t>facilitar la aplicación</w:t>
      </w:r>
      <w:r w:rsidR="00C46D31" w:rsidRPr="00F1782B">
        <w:t xml:space="preserve"> de la estrategia de transformación digital</w:t>
      </w:r>
      <w:r>
        <w:t>.</w:t>
      </w:r>
    </w:p>
    <w:p w14:paraId="0757ED3B" w14:textId="5B0FAE57" w:rsidR="00C46D31" w:rsidRPr="00F1782B" w:rsidRDefault="005A3217" w:rsidP="005A3217">
      <w:pPr>
        <w:pStyle w:val="enumlev1"/>
      </w:pPr>
      <w:r>
        <w:t>–</w:t>
      </w:r>
      <w:r>
        <w:tab/>
        <w:t>F</w:t>
      </w:r>
      <w:r w:rsidR="00C46D31">
        <w:t>ormular</w:t>
      </w:r>
      <w:r w:rsidR="00C46D31" w:rsidRPr="00F1782B">
        <w:t xml:space="preserve"> y aplicar un marco o directrices </w:t>
      </w:r>
      <w:r w:rsidR="00C46D31">
        <w:t>de</w:t>
      </w:r>
      <w:r w:rsidR="00C46D31" w:rsidRPr="00F1782B">
        <w:t xml:space="preserve"> </w:t>
      </w:r>
      <w:r w:rsidR="00C46D31">
        <w:t>conformidad</w:t>
      </w:r>
      <w:r w:rsidR="00C46D31" w:rsidRPr="00F1782B">
        <w:t xml:space="preserve"> y gobernanza </w:t>
      </w:r>
      <w:r w:rsidR="00C46D31">
        <w:t>en materia de</w:t>
      </w:r>
      <w:r w:rsidR="00C46D31" w:rsidRPr="00F1782B">
        <w:t xml:space="preserve"> información digital </w:t>
      </w:r>
      <w:r w:rsidR="00C46D31">
        <w:t>a fin de</w:t>
      </w:r>
      <w:r w:rsidR="00C46D31" w:rsidRPr="00F1782B">
        <w:t xml:space="preserve"> evitar la pérdida de información.</w:t>
      </w:r>
    </w:p>
    <w:p w14:paraId="5334AC3A" w14:textId="77777777" w:rsidR="00C46D31" w:rsidRPr="007A1776" w:rsidRDefault="00C46D31" w:rsidP="00C46D31">
      <w:pPr>
        <w:pStyle w:val="Heading1"/>
        <w:jc w:val="both"/>
        <w:rPr>
          <w:rFonts w:ascii="Calibri Light" w:hAnsi="Calibri Light"/>
          <w:b w:val="0"/>
          <w:bCs/>
          <w:color w:val="2E74B5"/>
        </w:rPr>
      </w:pPr>
      <w:r w:rsidRPr="007A1776">
        <w:rPr>
          <w:rFonts w:ascii="Calibri Light" w:hAnsi="Calibri Light"/>
          <w:b w:val="0"/>
          <w:color w:val="2E74B5"/>
        </w:rPr>
        <w:t>ESTRATEGIA</w:t>
      </w:r>
    </w:p>
    <w:p w14:paraId="26C004F7" w14:textId="77777777" w:rsidR="00C46D31" w:rsidRPr="007A1776" w:rsidRDefault="00C46D31" w:rsidP="00D24A78">
      <w:r>
        <w:t>L</w:t>
      </w:r>
      <w:r w:rsidRPr="007A1776">
        <w:t xml:space="preserve">a transformación digital </w:t>
      </w:r>
      <w:r>
        <w:t>conlleva</w:t>
      </w:r>
      <w:r w:rsidRPr="007A1776">
        <w:t xml:space="preserve"> </w:t>
      </w:r>
      <w:r>
        <w:t>aplicar y modernizar</w:t>
      </w:r>
      <w:r w:rsidRPr="007A1776">
        <w:t xml:space="preserve"> la tecnología que utilizamos, </w:t>
      </w:r>
      <w:r>
        <w:t>y</w:t>
      </w:r>
      <w:r w:rsidRPr="007A1776">
        <w:t xml:space="preserve"> </w:t>
      </w:r>
      <w:r>
        <w:t>fomentar</w:t>
      </w:r>
      <w:r w:rsidRPr="007A1776">
        <w:t xml:space="preserve"> una cultura </w:t>
      </w:r>
      <w:r>
        <w:t xml:space="preserve">orgánica </w:t>
      </w:r>
      <w:r w:rsidRPr="007A1776">
        <w:t xml:space="preserve">que incorpore las nuevas tecnologías digitales que </w:t>
      </w:r>
      <w:r>
        <w:t>permiten aumentar</w:t>
      </w:r>
      <w:r w:rsidRPr="007A1776">
        <w:t xml:space="preserve"> la eficiencia y la eficacia de la organización; adquirir </w:t>
      </w:r>
      <w:r>
        <w:t>conocimientos y competencias</w:t>
      </w:r>
      <w:r w:rsidRPr="007A1776">
        <w:t xml:space="preserve"> </w:t>
      </w:r>
      <w:r>
        <w:t>digitales ininterrumpidamente, cuya utilidad venga determinada</w:t>
      </w:r>
      <w:r w:rsidRPr="007A1776">
        <w:t xml:space="preserve"> por la </w:t>
      </w:r>
      <w:r>
        <w:t xml:space="preserve">amplia </w:t>
      </w:r>
      <w:r w:rsidRPr="007A1776">
        <w:t>satisfacción de las necesidades de los clientes</w:t>
      </w:r>
      <w:r>
        <w:t xml:space="preserve">, los </w:t>
      </w:r>
      <w:r w:rsidRPr="007A1776">
        <w:t>miembros</w:t>
      </w:r>
      <w:r>
        <w:t xml:space="preserve"> y los </w:t>
      </w:r>
      <w:r w:rsidRPr="007A1776">
        <w:t>usuarios</w:t>
      </w:r>
      <w:r>
        <w:t xml:space="preserve"> en todo momento</w:t>
      </w:r>
      <w:r w:rsidRPr="007A1776">
        <w:t xml:space="preserve">; </w:t>
      </w:r>
      <w:r>
        <w:t>adoptar</w:t>
      </w:r>
      <w:r w:rsidRPr="007A1776">
        <w:t xml:space="preserve"> decisiones </w:t>
      </w:r>
      <w:r>
        <w:t>fundadas</w:t>
      </w:r>
      <w:r w:rsidRPr="007A1776">
        <w:t xml:space="preserve"> </w:t>
      </w:r>
      <w:r>
        <w:t>con arreglo a</w:t>
      </w:r>
      <w:r w:rsidRPr="007A1776">
        <w:t xml:space="preserve"> los datos pertinentes y su análisis </w:t>
      </w:r>
      <w:r>
        <w:t>pormenorizado</w:t>
      </w:r>
      <w:r w:rsidRPr="007A1776">
        <w:t xml:space="preserve">; </w:t>
      </w:r>
      <w:r>
        <w:t>tener flexibilidad</w:t>
      </w:r>
      <w:r w:rsidRPr="007A1776">
        <w:t xml:space="preserve">; y </w:t>
      </w:r>
      <w:r>
        <w:lastRenderedPageBreak/>
        <w:t>lograr resultados eficaces,</w:t>
      </w:r>
      <w:r w:rsidRPr="007A1776">
        <w:t xml:space="preserve"> responsable</w:t>
      </w:r>
      <w:r>
        <w:t>s</w:t>
      </w:r>
      <w:r w:rsidRPr="007A1776">
        <w:t>, transparente</w:t>
      </w:r>
      <w:r>
        <w:t>s</w:t>
      </w:r>
      <w:r w:rsidRPr="007A1776">
        <w:t xml:space="preserve"> y auditable</w:t>
      </w:r>
      <w:r>
        <w:t>s</w:t>
      </w:r>
      <w:r w:rsidRPr="007A1776">
        <w:t xml:space="preserve"> </w:t>
      </w:r>
      <w:r>
        <w:t xml:space="preserve">que redunden </w:t>
      </w:r>
      <w:r w:rsidRPr="007A1776">
        <w:t>en beneficio de todas las partes interesadas de la UIT.</w:t>
      </w:r>
    </w:p>
    <w:p w14:paraId="2F8B2DAE" w14:textId="77777777" w:rsidR="00C46D31" w:rsidRPr="00E35D58" w:rsidRDefault="00C46D31" w:rsidP="00D24A78">
      <w:r>
        <w:t>Habida cuenta de ello</w:t>
      </w:r>
      <w:r w:rsidRPr="00E35D58">
        <w:t xml:space="preserve">, </w:t>
      </w:r>
      <w:r>
        <w:t>cabe proponer un enfoque escalonado</w:t>
      </w:r>
      <w:r w:rsidRPr="00E35D58">
        <w:t>.</w:t>
      </w:r>
    </w:p>
    <w:p w14:paraId="09643DA9" w14:textId="77777777" w:rsidR="00C46D31" w:rsidRPr="00E35D58" w:rsidRDefault="00C46D31" w:rsidP="00D24A78">
      <w:r w:rsidRPr="00442773">
        <w:t xml:space="preserve">Fase 1 del proyecto (determinar qué es necesario transformar): examinar pormenorizadamente todos los procesos, procedimientos y métodos de trabajo pertinentes, en particular en materia de recursos humanos (incluidos los procesos de contratación) e inscripciones, a fin de tener una comprensión cabal de sus características y de sus efectos en la capacidad de la UIT para cumplir sus objetivos estratégicos, determinar los objetivos de rendimiento que deben fijarse para aprovechar las ventajas asociadas al proceso de transformación, identificar las partes encargadas de la realización de cambios, determinar los recursos necesarios, incluido un equipo de gestión de proyectos, y fijar los plazos para llevar a cabo los cambios necesarios. Algunos </w:t>
      </w:r>
      <w:r w:rsidRPr="00E35D58">
        <w:t xml:space="preserve">procesos </w:t>
      </w:r>
      <w:r>
        <w:t xml:space="preserve">orgánicos de la UIT </w:t>
      </w:r>
      <w:r w:rsidRPr="00E35D58">
        <w:t xml:space="preserve">están relacionados </w:t>
      </w:r>
      <w:r>
        <w:t xml:space="preserve">entre sí </w:t>
      </w:r>
      <w:r w:rsidRPr="00E35D58">
        <w:t xml:space="preserve">y </w:t>
      </w:r>
      <w:r>
        <w:t>son mutuamente dependientes</w:t>
      </w:r>
      <w:r w:rsidRPr="00E35D58">
        <w:t xml:space="preserve">. </w:t>
      </w:r>
      <w:r>
        <w:t>La transformación de un proceso</w:t>
      </w:r>
      <w:r w:rsidRPr="00E35D58">
        <w:t xml:space="preserve"> podría </w:t>
      </w:r>
      <w:r>
        <w:t>repercutir en otros</w:t>
      </w:r>
      <w:r w:rsidRPr="00E35D58">
        <w:t xml:space="preserve"> proceso</w:t>
      </w:r>
      <w:r>
        <w:t>s dependientes del primero</w:t>
      </w:r>
      <w:r w:rsidRPr="00E35D58">
        <w:t xml:space="preserve">. </w:t>
      </w:r>
      <w:r>
        <w:t>En consecuencia</w:t>
      </w:r>
      <w:r w:rsidRPr="00E35D58">
        <w:t xml:space="preserve">, en esta fase es necesario </w:t>
      </w:r>
      <w:r>
        <w:t>disponer de</w:t>
      </w:r>
      <w:r w:rsidRPr="00E35D58">
        <w:t xml:space="preserve"> conocimiento</w:t>
      </w:r>
      <w:r>
        <w:t>s pormenorizados</w:t>
      </w:r>
      <w:r w:rsidRPr="00E35D58">
        <w:t xml:space="preserve"> basado</w:t>
      </w:r>
      <w:r>
        <w:t>s</w:t>
      </w:r>
      <w:r w:rsidRPr="00E35D58">
        <w:t xml:space="preserve"> en un enfoque ascendente que incluya el análisis </w:t>
      </w:r>
      <w:r>
        <w:t>de los procesos de trabajo</w:t>
      </w:r>
      <w:r w:rsidRPr="00E35D58">
        <w:t xml:space="preserve">. </w:t>
      </w:r>
    </w:p>
    <w:p w14:paraId="659E40E1" w14:textId="77777777" w:rsidR="00C46D31" w:rsidRPr="00E35D58" w:rsidRDefault="00C46D31" w:rsidP="00D24A78">
      <w:r w:rsidRPr="00E35D58">
        <w:t>Fase 2 (</w:t>
      </w:r>
      <w:r>
        <w:t>establecer la forma de llevar a cabo la transformación</w:t>
      </w:r>
      <w:r w:rsidRPr="00E35D58">
        <w:t xml:space="preserve">): abordar </w:t>
      </w:r>
      <w:r>
        <w:t>las necesidades</w:t>
      </w:r>
      <w:r w:rsidRPr="00E35D58">
        <w:t xml:space="preserve"> y las estrategias de aplicación</w:t>
      </w:r>
      <w:r>
        <w:t xml:space="preserve"> pertinentes</w:t>
      </w:r>
      <w:r w:rsidRPr="00E35D58">
        <w:t xml:space="preserve"> </w:t>
      </w:r>
      <w:r>
        <w:t>para llevar a cabo</w:t>
      </w:r>
      <w:r w:rsidRPr="00E35D58">
        <w:t xml:space="preserve"> la transformación.</w:t>
      </w:r>
    </w:p>
    <w:p w14:paraId="032BD255" w14:textId="77777777" w:rsidR="00C46D31" w:rsidRPr="00E35D58" w:rsidRDefault="00C46D31" w:rsidP="00D24A78">
      <w:r>
        <w:t>Conviene</w:t>
      </w:r>
      <w:r w:rsidRPr="00E35D58">
        <w:t xml:space="preserve"> </w:t>
      </w:r>
      <w:r>
        <w:t>distinguir</w:t>
      </w:r>
      <w:r w:rsidRPr="00E35D58">
        <w:t xml:space="preserve"> </w:t>
      </w:r>
      <w:r>
        <w:t>ambas</w:t>
      </w:r>
      <w:r w:rsidRPr="00E35D58">
        <w:t xml:space="preserve"> fases </w:t>
      </w:r>
      <w:r>
        <w:t>con objeto de</w:t>
      </w:r>
      <w:r w:rsidRPr="00E35D58">
        <w:t xml:space="preserve"> identificar </w:t>
      </w:r>
      <w:r>
        <w:t>debidamente</w:t>
      </w:r>
      <w:r w:rsidRPr="00E35D58">
        <w:t xml:space="preserve"> </w:t>
      </w:r>
      <w:r>
        <w:t xml:space="preserve">sus respectivos </w:t>
      </w:r>
      <w:r w:rsidRPr="00E35D58">
        <w:t xml:space="preserve">requisitos y </w:t>
      </w:r>
      <w:r>
        <w:t>formular</w:t>
      </w:r>
      <w:r w:rsidRPr="00E35D58">
        <w:t xml:space="preserve"> estrategias </w:t>
      </w:r>
      <w:r>
        <w:t>a los efectos de</w:t>
      </w:r>
      <w:r w:rsidRPr="00E35D58">
        <w:t xml:space="preserve"> aplicación.</w:t>
      </w:r>
    </w:p>
    <w:p w14:paraId="4330AB25" w14:textId="77777777" w:rsidR="00C46D31" w:rsidRPr="00E35D58" w:rsidRDefault="00C46D31" w:rsidP="00D24A78">
      <w:r w:rsidRPr="00E35D58">
        <w:t xml:space="preserve">Una vez concluida la </w:t>
      </w:r>
      <w:r>
        <w:t>F</w:t>
      </w:r>
      <w:r w:rsidRPr="00E35D58">
        <w:t xml:space="preserve">ase 1, se dispondrá de la información necesaria para </w:t>
      </w:r>
      <w:r>
        <w:t>determinar</w:t>
      </w:r>
      <w:r w:rsidRPr="00E35D58">
        <w:t xml:space="preserve"> los requisitos de la </w:t>
      </w:r>
      <w:r>
        <w:t>F</w:t>
      </w:r>
      <w:r w:rsidRPr="00E35D58">
        <w:t xml:space="preserve">ase 2, </w:t>
      </w:r>
      <w:r>
        <w:t>con inclusión de</w:t>
      </w:r>
      <w:r w:rsidRPr="00E35D58">
        <w:t xml:space="preserve"> la revisión del documento </w:t>
      </w:r>
      <w:r>
        <w:t>en curso</w:t>
      </w:r>
      <w:r w:rsidRPr="00E35D58">
        <w:t xml:space="preserve"> y </w:t>
      </w:r>
      <w:r>
        <w:t>la mejora y</w:t>
      </w:r>
      <w:r w:rsidRPr="00E35D58">
        <w:t xml:space="preserve"> elaboración de estrategias </w:t>
      </w:r>
      <w:r>
        <w:t>de</w:t>
      </w:r>
      <w:r w:rsidRPr="00E35D58">
        <w:t xml:space="preserve"> aplicación. </w:t>
      </w:r>
    </w:p>
    <w:p w14:paraId="3D2280FD" w14:textId="77777777" w:rsidR="00C46D31" w:rsidRPr="00E35D58" w:rsidRDefault="00C46D31" w:rsidP="00D24A78">
      <w:r w:rsidRPr="00E35D58">
        <w:t xml:space="preserve">La </w:t>
      </w:r>
      <w:r>
        <w:t xml:space="preserve">implantación de la </w:t>
      </w:r>
      <w:r w:rsidRPr="00E35D58">
        <w:t xml:space="preserve">iniciativa </w:t>
      </w:r>
      <w:r>
        <w:t xml:space="preserve">y la coordinación de las actividades intersectoriales pertinentes </w:t>
      </w:r>
      <w:r w:rsidRPr="00E35D58">
        <w:t>necesitará</w:t>
      </w:r>
      <w:r>
        <w:t>n</w:t>
      </w:r>
      <w:r w:rsidRPr="00E35D58">
        <w:t xml:space="preserve"> recurso</w:t>
      </w:r>
      <w:r>
        <w:t>s</w:t>
      </w:r>
      <w:r w:rsidRPr="00E35D58">
        <w:t xml:space="preserve"> específico</w:t>
      </w:r>
      <w:r>
        <w:t>s</w:t>
      </w:r>
      <w:r w:rsidRPr="00E35D58">
        <w:t>.</w:t>
      </w:r>
    </w:p>
    <w:bookmarkEnd w:id="27"/>
    <w:bookmarkEnd w:id="28"/>
    <w:bookmarkEnd w:id="29"/>
    <w:bookmarkEnd w:id="30"/>
    <w:bookmarkEnd w:id="31"/>
    <w:bookmarkEnd w:id="32"/>
    <w:bookmarkEnd w:id="33"/>
    <w:bookmarkEnd w:id="34"/>
    <w:bookmarkEnd w:id="35"/>
    <w:bookmarkEnd w:id="36"/>
    <w:bookmarkEnd w:id="37"/>
    <w:bookmarkEnd w:id="38"/>
    <w:p w14:paraId="6FBB2C85" w14:textId="77777777" w:rsidR="00C46D31" w:rsidRPr="002D3284" w:rsidRDefault="00C46D31" w:rsidP="00C46D31">
      <w:pPr>
        <w:pStyle w:val="Heading1"/>
        <w:rPr>
          <w:rFonts w:ascii="Calibri Light" w:hAnsi="Calibri Light"/>
          <w:b w:val="0"/>
          <w:bCs/>
          <w:color w:val="2E74B5"/>
        </w:rPr>
      </w:pPr>
      <w:r w:rsidRPr="002D3284">
        <w:rPr>
          <w:rFonts w:ascii="Calibri Light" w:hAnsi="Calibri Light"/>
          <w:b w:val="0"/>
          <w:color w:val="2E74B5"/>
        </w:rPr>
        <w:t>ALCANCE</w:t>
      </w:r>
    </w:p>
    <w:p w14:paraId="7AA7D682" w14:textId="1365EAF1" w:rsidR="00C46D31" w:rsidRPr="002D3284" w:rsidRDefault="00C46D31" w:rsidP="00D24A78">
      <w:pPr>
        <w:pStyle w:val="Headingb"/>
      </w:pPr>
      <w:r w:rsidRPr="002D3284">
        <w:t>Fase 1</w:t>
      </w:r>
    </w:p>
    <w:p w14:paraId="13DD4485" w14:textId="77777777" w:rsidR="00C46D31" w:rsidRPr="002D3284" w:rsidRDefault="00C46D31" w:rsidP="00D24A78">
      <w:r>
        <w:t>La</w:t>
      </w:r>
      <w:r w:rsidRPr="002D3284">
        <w:t xml:space="preserve"> DT-I debe </w:t>
      </w:r>
      <w:r>
        <w:t>hacer hincapié e</w:t>
      </w:r>
      <w:r w:rsidRPr="002D3284">
        <w:t xml:space="preserve">n los cambios </w:t>
      </w:r>
      <w:r>
        <w:t xml:space="preserve">de índole cultural y </w:t>
      </w:r>
      <w:r w:rsidRPr="002D3284">
        <w:t xml:space="preserve">de gestión necesarios </w:t>
      </w:r>
      <w:r>
        <w:t>para lograr resultados satisfactorios</w:t>
      </w:r>
      <w:r w:rsidRPr="002D3284">
        <w:t xml:space="preserve">, racionalizados con </w:t>
      </w:r>
      <w:r>
        <w:t xml:space="preserve">respecto a </w:t>
      </w:r>
      <w:r w:rsidRPr="002D3284">
        <w:t xml:space="preserve">los proyectos pertinentes ya en marcha. </w:t>
      </w:r>
      <w:r>
        <w:t>Posteriormente es necesario</w:t>
      </w:r>
      <w:r w:rsidRPr="002D3284">
        <w:t xml:space="preserve"> tener en cuenta las prioridades </w:t>
      </w:r>
      <w:r>
        <w:t>de las actividades</w:t>
      </w:r>
      <w:r w:rsidRPr="002D3284">
        <w:t xml:space="preserve"> de la UIT, así como la forma </w:t>
      </w:r>
      <w:r>
        <w:t>de lograr</w:t>
      </w:r>
      <w:r w:rsidRPr="002D3284">
        <w:t xml:space="preserve"> procesos administrativos internos más eficaces. </w:t>
      </w:r>
    </w:p>
    <w:p w14:paraId="2A9A6F92" w14:textId="77777777" w:rsidR="00C46D31" w:rsidRPr="002D3284" w:rsidRDefault="00C46D31" w:rsidP="00D24A78">
      <w:r w:rsidRPr="002D3284">
        <w:t xml:space="preserve">Un marco de alto nivel para la gestión y gobernanza de la información digital </w:t>
      </w:r>
      <w:r>
        <w:t>servirá de orientación a lo largo d</w:t>
      </w:r>
      <w:r w:rsidRPr="002D3284">
        <w:t>el proceso y evitará la pérdida de información.</w:t>
      </w:r>
    </w:p>
    <w:p w14:paraId="01B6F1EF" w14:textId="758FAA66" w:rsidR="00C46D31" w:rsidRPr="002D3284" w:rsidRDefault="00C46D31" w:rsidP="00D24A78">
      <w:r>
        <w:t>En el marco de la</w:t>
      </w:r>
      <w:r w:rsidRPr="002D3284">
        <w:t xml:space="preserve"> DT-I debe</w:t>
      </w:r>
      <w:r>
        <w:t>n</w:t>
      </w:r>
      <w:r w:rsidRPr="002D3284">
        <w:t xml:space="preserve"> identificar</w:t>
      </w:r>
      <w:r>
        <w:t>se</w:t>
      </w:r>
      <w:r w:rsidRPr="002D3284">
        <w:t xml:space="preserve"> soluciones </w:t>
      </w:r>
      <w:r>
        <w:t>eficaces para</w:t>
      </w:r>
      <w:r w:rsidRPr="002D3284">
        <w:t xml:space="preserve"> obtener resultados </w:t>
      </w:r>
      <w:r>
        <w:t>específicos</w:t>
      </w:r>
      <w:r w:rsidRPr="002D3284">
        <w:t xml:space="preserve"> </w:t>
      </w:r>
      <w:r>
        <w:t>que permitan abordar</w:t>
      </w:r>
      <w:r w:rsidRPr="002D3284">
        <w:t xml:space="preserve"> las necesidades </w:t>
      </w:r>
      <w:r>
        <w:t>más acuciantes</w:t>
      </w:r>
      <w:r w:rsidRPr="002D3284">
        <w:t xml:space="preserve"> de las Oficinas y los Departamentos de la</w:t>
      </w:r>
      <w:r w:rsidR="00D24A78">
        <w:t> </w:t>
      </w:r>
      <w:r w:rsidRPr="002D3284">
        <w:t xml:space="preserve">SG. </w:t>
      </w:r>
    </w:p>
    <w:p w14:paraId="626C12A6" w14:textId="77777777" w:rsidR="00C46D31" w:rsidRPr="002D3284" w:rsidRDefault="00C46D31" w:rsidP="00D24A78">
      <w:r>
        <w:t>La</w:t>
      </w:r>
      <w:r w:rsidRPr="002D3284">
        <w:t xml:space="preserve"> DT-I deberá </w:t>
      </w:r>
      <w:r>
        <w:t>facilitar asimismo la elaboración de</w:t>
      </w:r>
      <w:r w:rsidRPr="002D3284">
        <w:t xml:space="preserve"> un proyecto de </w:t>
      </w:r>
      <w:r>
        <w:t xml:space="preserve">documento o producto de </w:t>
      </w:r>
      <w:r w:rsidRPr="002D3284">
        <w:t xml:space="preserve">alto nivel </w:t>
      </w:r>
      <w:r>
        <w:t xml:space="preserve">con objeto de formular </w:t>
      </w:r>
      <w:r w:rsidRPr="002D3284">
        <w:t xml:space="preserve">una estrategia de transformación digital integral y sostenida con </w:t>
      </w:r>
      <w:r>
        <w:t>arreglo a objetivos</w:t>
      </w:r>
      <w:r w:rsidRPr="002D3284">
        <w:t xml:space="preserve"> realistas, </w:t>
      </w:r>
      <w:r>
        <w:t>habida cuenta de</w:t>
      </w:r>
      <w:r w:rsidRPr="002D3284">
        <w:t xml:space="preserve"> los recursos humanos y financieros disponibles o </w:t>
      </w:r>
      <w:r>
        <w:t>los que se hayan proporcionado</w:t>
      </w:r>
      <w:r w:rsidRPr="002D3284">
        <w:t xml:space="preserve">, así como </w:t>
      </w:r>
      <w:r>
        <w:t>restricciones</w:t>
      </w:r>
      <w:r w:rsidRPr="002D3284">
        <w:t xml:space="preserve"> internas </w:t>
      </w:r>
      <w:r>
        <w:t>o</w:t>
      </w:r>
      <w:r w:rsidRPr="002D3284">
        <w:t xml:space="preserve"> externas. </w:t>
      </w:r>
    </w:p>
    <w:p w14:paraId="67144651" w14:textId="77777777" w:rsidR="00C46D31" w:rsidRPr="002D3284" w:rsidRDefault="00C46D31" w:rsidP="00D24A78">
      <w:r>
        <w:lastRenderedPageBreak/>
        <w:t>Por último, la</w:t>
      </w:r>
      <w:r w:rsidRPr="002D3284">
        <w:t xml:space="preserve"> DT-I debe</w:t>
      </w:r>
      <w:r>
        <w:t xml:space="preserve"> permitir la identificación de</w:t>
      </w:r>
      <w:r w:rsidRPr="002D3284">
        <w:t xml:space="preserve"> los recursos necesarios para </w:t>
      </w:r>
      <w:r>
        <w:t>impulsar</w:t>
      </w:r>
      <w:r w:rsidRPr="002D3284">
        <w:t xml:space="preserve"> </w:t>
      </w:r>
      <w:r>
        <w:t>la</w:t>
      </w:r>
      <w:r w:rsidRPr="002D3284">
        <w:t xml:space="preserve"> iniciativa y coordinar las actividades intersectoriales, </w:t>
      </w:r>
      <w:r>
        <w:t>incluida</w:t>
      </w:r>
      <w:r w:rsidRPr="002D3284">
        <w:t xml:space="preserve"> la identificación de la posible financiación.</w:t>
      </w:r>
    </w:p>
    <w:p w14:paraId="0FDA845E" w14:textId="6716769F" w:rsidR="00C46D31" w:rsidRPr="00300515" w:rsidRDefault="00C46D31" w:rsidP="00D24A78">
      <w:pPr>
        <w:pStyle w:val="Headingb"/>
      </w:pPr>
      <w:r w:rsidRPr="00300515">
        <w:t>Fase 2</w:t>
      </w:r>
    </w:p>
    <w:p w14:paraId="4D14D60D" w14:textId="77777777" w:rsidR="00C46D31" w:rsidRPr="00300515" w:rsidRDefault="00C46D31" w:rsidP="00D24A78">
      <w:pPr>
        <w:rPr>
          <w:rFonts w:cs="Arial"/>
        </w:rPr>
      </w:pPr>
      <w:r>
        <w:t>La</w:t>
      </w:r>
      <w:r w:rsidRPr="00300515">
        <w:t xml:space="preserve"> DT-I debe proporcionar una orientación holística para la </w:t>
      </w:r>
      <w:r>
        <w:t>implantación de la</w:t>
      </w:r>
      <w:r w:rsidRPr="00300515">
        <w:t xml:space="preserve"> DT en toda la organización y abordar las cuestiones </w:t>
      </w:r>
      <w:r>
        <w:t xml:space="preserve">pertinentes </w:t>
      </w:r>
      <w:r w:rsidRPr="00300515">
        <w:t xml:space="preserve">para garantizar una gobernanza adecuada. </w:t>
      </w:r>
      <w:r>
        <w:t>Ello</w:t>
      </w:r>
      <w:r w:rsidRPr="00300515">
        <w:t xml:space="preserve"> requiere la participación y </w:t>
      </w:r>
      <w:r>
        <w:t>la colaboración</w:t>
      </w:r>
      <w:r w:rsidRPr="00300515">
        <w:t xml:space="preserve"> de las tres Oficinas y de todos los Departamentos de la SG. </w:t>
      </w:r>
      <w:r>
        <w:t>La</w:t>
      </w:r>
      <w:r w:rsidRPr="00300515">
        <w:t xml:space="preserve"> DT-I también proporcionará orientación para </w:t>
      </w:r>
      <w:r>
        <w:t>armonizar esa labor</w:t>
      </w:r>
      <w:r w:rsidRPr="00300515">
        <w:t xml:space="preserve"> con el Plan Estratégico y la Agenda Conectar 2030</w:t>
      </w:r>
      <w:r>
        <w:t>, a tenor de</w:t>
      </w:r>
      <w:r w:rsidRPr="00300515">
        <w:t xml:space="preserve"> las necesidades de los miembros.</w:t>
      </w:r>
    </w:p>
    <w:p w14:paraId="33648AA3" w14:textId="77777777" w:rsidR="00C46D31" w:rsidRPr="00CF134B" w:rsidRDefault="00C46D31" w:rsidP="00C46D31">
      <w:pPr>
        <w:spacing w:before="840"/>
        <w:jc w:val="center"/>
        <w:rPr>
          <w:rFonts w:cstheme="minorHAnsi"/>
        </w:rPr>
      </w:pPr>
      <w:r w:rsidRPr="008D77AF">
        <w:rPr>
          <w:rFonts w:cstheme="minorHAnsi"/>
        </w:rPr>
        <w:t>_______________</w:t>
      </w:r>
    </w:p>
    <w:p w14:paraId="0665308D" w14:textId="77777777" w:rsidR="007955DA" w:rsidRDefault="007955DA" w:rsidP="000B0D00"/>
    <w:sectPr w:rsidR="007955DA" w:rsidSect="006710F6">
      <w:headerReference w:type="default" r:id="rId15"/>
      <w:footerReference w:type="default" r:id="rId16"/>
      <w:footerReference w:type="first" r:id="rId1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6AC48" w14:textId="77777777" w:rsidR="00AD57CC" w:rsidRDefault="00AD57CC">
      <w:r>
        <w:separator/>
      </w:r>
    </w:p>
  </w:endnote>
  <w:endnote w:type="continuationSeparator" w:id="0">
    <w:p w14:paraId="27353E11" w14:textId="77777777" w:rsidR="00AD57CC" w:rsidRDefault="00AD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D1532" w14:textId="415C4C58" w:rsidR="00760F1C" w:rsidRPr="004F5AD3" w:rsidRDefault="00AD57CC">
    <w:pPr>
      <w:pStyle w:val="Footer"/>
      <w:rPr>
        <w:lang w:val="fr-FR"/>
      </w:rPr>
    </w:pPr>
    <w:r>
      <w:fldChar w:fldCharType="begin"/>
    </w:r>
    <w:r w:rsidRPr="004F5AD3">
      <w:rPr>
        <w:lang w:val="fr-FR"/>
      </w:rPr>
      <w:instrText xml:space="preserve"> FILENAME \p \* MERGEFORMAT </w:instrText>
    </w:r>
    <w:r>
      <w:fldChar w:fldCharType="separate"/>
    </w:r>
    <w:r w:rsidR="000A7FED" w:rsidRPr="004F5AD3">
      <w:rPr>
        <w:lang w:val="fr-FR"/>
      </w:rPr>
      <w:t>P:\ESP\SG\CONSEIL\C21\000\070S.docx</w:t>
    </w:r>
    <w:r>
      <w:fldChar w:fldCharType="end"/>
    </w:r>
    <w:r w:rsidR="000A7FED" w:rsidRPr="004F5AD3">
      <w:rPr>
        <w:lang w:val="fr-FR"/>
      </w:rPr>
      <w:t xml:space="preserve"> (485192)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7373" w14:textId="77777777" w:rsidR="00760F1C" w:rsidRDefault="00760F1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E8785" w14:textId="77777777" w:rsidR="00AD57CC" w:rsidRDefault="00AD57CC">
      <w:r>
        <w:t>____________________</w:t>
      </w:r>
    </w:p>
  </w:footnote>
  <w:footnote w:type="continuationSeparator" w:id="0">
    <w:p w14:paraId="5F0A53DB" w14:textId="77777777" w:rsidR="00AD57CC" w:rsidRDefault="00AD5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D54F8" w14:textId="77777777" w:rsidR="00760F1C" w:rsidRDefault="000B7C15" w:rsidP="007657F0">
    <w:pPr>
      <w:pStyle w:val="Header"/>
    </w:pPr>
    <w:r>
      <w:fldChar w:fldCharType="begin"/>
    </w:r>
    <w:r>
      <w:instrText>PAGE</w:instrText>
    </w:r>
    <w:r>
      <w:fldChar w:fldCharType="separate"/>
    </w:r>
    <w:r w:rsidR="00C2727F">
      <w:rPr>
        <w:noProof/>
      </w:rPr>
      <w:t>2</w:t>
    </w:r>
    <w:r>
      <w:rPr>
        <w:noProof/>
      </w:rPr>
      <w:fldChar w:fldCharType="end"/>
    </w:r>
  </w:p>
  <w:p w14:paraId="5B31A441" w14:textId="621D2C16" w:rsidR="00760F1C" w:rsidRDefault="00760F1C" w:rsidP="00C2727F">
    <w:pPr>
      <w:pStyle w:val="Header"/>
    </w:pPr>
    <w:r>
      <w:t>C</w:t>
    </w:r>
    <w:r w:rsidR="007955DA">
      <w:t>2</w:t>
    </w:r>
    <w:r w:rsidR="000007D1">
      <w:t>1</w:t>
    </w:r>
    <w:r>
      <w:t>/</w:t>
    </w:r>
    <w:r w:rsidR="000A7FED">
      <w:t>70</w:t>
    </w:r>
    <w: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F2505"/>
    <w:multiLevelType w:val="hybridMultilevel"/>
    <w:tmpl w:val="B090F91E"/>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 w15:restartNumberingAfterBreak="0">
    <w:nsid w:val="598C14C2"/>
    <w:multiLevelType w:val="hybridMultilevel"/>
    <w:tmpl w:val="63C6147C"/>
    <w:lvl w:ilvl="0" w:tplc="39EEDB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43"/>
    <w:rsid w:val="000007D1"/>
    <w:rsid w:val="00015C64"/>
    <w:rsid w:val="00093EEB"/>
    <w:rsid w:val="000A7FED"/>
    <w:rsid w:val="000B0D00"/>
    <w:rsid w:val="000B7C15"/>
    <w:rsid w:val="000D1D0F"/>
    <w:rsid w:val="000F2A5D"/>
    <w:rsid w:val="000F5290"/>
    <w:rsid w:val="0010165C"/>
    <w:rsid w:val="00146BFB"/>
    <w:rsid w:val="001F14A2"/>
    <w:rsid w:val="002801AA"/>
    <w:rsid w:val="002A1502"/>
    <w:rsid w:val="002C4676"/>
    <w:rsid w:val="002C70B0"/>
    <w:rsid w:val="002F3CC4"/>
    <w:rsid w:val="004F5AD3"/>
    <w:rsid w:val="00513630"/>
    <w:rsid w:val="00560125"/>
    <w:rsid w:val="00585553"/>
    <w:rsid w:val="005A3217"/>
    <w:rsid w:val="005B34D9"/>
    <w:rsid w:val="005C6686"/>
    <w:rsid w:val="005D0CCF"/>
    <w:rsid w:val="005F3BCB"/>
    <w:rsid w:val="005F410F"/>
    <w:rsid w:val="0060149A"/>
    <w:rsid w:val="00601924"/>
    <w:rsid w:val="006447EA"/>
    <w:rsid w:val="0064731F"/>
    <w:rsid w:val="006573D1"/>
    <w:rsid w:val="00664572"/>
    <w:rsid w:val="006710F6"/>
    <w:rsid w:val="006C1B56"/>
    <w:rsid w:val="006D4761"/>
    <w:rsid w:val="00726872"/>
    <w:rsid w:val="00760F1C"/>
    <w:rsid w:val="007657F0"/>
    <w:rsid w:val="0077252D"/>
    <w:rsid w:val="007955DA"/>
    <w:rsid w:val="007D50A7"/>
    <w:rsid w:val="007E5DD3"/>
    <w:rsid w:val="007F350B"/>
    <w:rsid w:val="00820BE4"/>
    <w:rsid w:val="008451E8"/>
    <w:rsid w:val="00913B9C"/>
    <w:rsid w:val="00956E77"/>
    <w:rsid w:val="009E56F5"/>
    <w:rsid w:val="009F4811"/>
    <w:rsid w:val="00AA390C"/>
    <w:rsid w:val="00AD57CC"/>
    <w:rsid w:val="00B0200A"/>
    <w:rsid w:val="00B574DB"/>
    <w:rsid w:val="00B826C2"/>
    <w:rsid w:val="00B8298E"/>
    <w:rsid w:val="00BD0723"/>
    <w:rsid w:val="00BD2518"/>
    <w:rsid w:val="00BF1D1C"/>
    <w:rsid w:val="00C20C59"/>
    <w:rsid w:val="00C2727F"/>
    <w:rsid w:val="00C46D31"/>
    <w:rsid w:val="00C47343"/>
    <w:rsid w:val="00C55B1F"/>
    <w:rsid w:val="00C629ED"/>
    <w:rsid w:val="00CF1A67"/>
    <w:rsid w:val="00D24A78"/>
    <w:rsid w:val="00D2750E"/>
    <w:rsid w:val="00D62446"/>
    <w:rsid w:val="00DA4EA2"/>
    <w:rsid w:val="00DC3D3E"/>
    <w:rsid w:val="00DC656D"/>
    <w:rsid w:val="00DE2C90"/>
    <w:rsid w:val="00DE3B24"/>
    <w:rsid w:val="00E06947"/>
    <w:rsid w:val="00E117D1"/>
    <w:rsid w:val="00E3592D"/>
    <w:rsid w:val="00E92DE8"/>
    <w:rsid w:val="00EB1212"/>
    <w:rsid w:val="00ED65AB"/>
    <w:rsid w:val="00F12850"/>
    <w:rsid w:val="00F33BF4"/>
    <w:rsid w:val="00F7105E"/>
    <w:rsid w:val="00F75F57"/>
    <w:rsid w:val="00F82FEE"/>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33854"/>
  <w15:docId w15:val="{E3B23046-1C0E-4977-9B26-05A5F4B4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styleId="ListParagraph">
    <w:name w:val="List Paragraph"/>
    <w:basedOn w:val="Normal"/>
    <w:link w:val="ListParagraphChar"/>
    <w:uiPriority w:val="34"/>
    <w:qFormat/>
    <w:rsid w:val="00C46D31"/>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EastAsia" w:hAnsiTheme="minorHAnsi" w:cstheme="minorBidi"/>
      <w:sz w:val="22"/>
      <w:szCs w:val="22"/>
      <w:lang w:val="en-US" w:eastAsia="zh-CN"/>
    </w:rPr>
  </w:style>
  <w:style w:type="character" w:customStyle="1" w:styleId="ListParagraphChar">
    <w:name w:val="List Paragraph Char"/>
    <w:link w:val="ListParagraph"/>
    <w:uiPriority w:val="34"/>
    <w:locked/>
    <w:rsid w:val="00C46D31"/>
    <w:rPr>
      <w:rFonts w:asciiTheme="minorHAnsi" w:eastAsiaTheme="minorEastAsia" w:hAnsiTheme="minorHAnsi" w:cstheme="minorBidi"/>
      <w:sz w:val="22"/>
      <w:szCs w:val="22"/>
    </w:rPr>
  </w:style>
  <w:style w:type="paragraph" w:styleId="CommentText">
    <w:name w:val="annotation text"/>
    <w:basedOn w:val="Normal"/>
    <w:link w:val="CommentTextChar"/>
    <w:uiPriority w:val="99"/>
    <w:rsid w:val="00C46D31"/>
    <w:pPr>
      <w:tabs>
        <w:tab w:val="clear" w:pos="567"/>
        <w:tab w:val="clear" w:pos="1134"/>
        <w:tab w:val="clear" w:pos="1701"/>
        <w:tab w:val="clear" w:pos="2268"/>
        <w:tab w:val="clear" w:pos="2835"/>
      </w:tabs>
      <w:overflowPunct/>
      <w:autoSpaceDE/>
      <w:autoSpaceDN/>
      <w:adjustRightInd/>
      <w:spacing w:before="0"/>
      <w:textAlignment w:val="auto"/>
    </w:pPr>
    <w:rPr>
      <w:rFonts w:ascii="Arial" w:eastAsia="Batang" w:hAnsi="Arial"/>
      <w:sz w:val="20"/>
      <w:lang w:val="en-GB"/>
    </w:rPr>
  </w:style>
  <w:style w:type="character" w:customStyle="1" w:styleId="CommentTextChar">
    <w:name w:val="Comment Text Char"/>
    <w:basedOn w:val="DefaultParagraphFont"/>
    <w:link w:val="CommentText"/>
    <w:uiPriority w:val="99"/>
    <w:rsid w:val="00C46D31"/>
    <w:rPr>
      <w:rFonts w:ascii="Arial" w:eastAsia="Batang"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0-CL-C-0015/es" TargetMode="External"/><Relationship Id="rId13" Type="http://schemas.openxmlformats.org/officeDocument/2006/relationships/hyperlink" Target="https://www.itu.int/md/S20-CL-INF-0019/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tu.int/dms_pub/itu-s/md/20/cl/inf/S20-CL-INF-0022!!MSW-E.doc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0-CLVC-C-0013/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tu.int/dms_pub/itu-s/md/20/cl/inf/S20-CL-INF-0022!!MSW-E.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tu.int/md/S20-CL-C-0053/es" TargetMode="External"/><Relationship Id="rId14" Type="http://schemas.openxmlformats.org/officeDocument/2006/relationships/hyperlink" Target="https://www.un.org/en/content/datastrategy/images/pdf/UN_SG_Data-Strategy.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lano\AppData\Roaming\Microsoft\Templates\POOL%20S%20-%20ITU\PS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PS_C21.dotx</Template>
  <TotalTime>87</TotalTime>
  <Pages>6</Pages>
  <Words>1935</Words>
  <Characters>11035</Characters>
  <Application>Microsoft Office Word</Application>
  <DocSecurity>0</DocSecurity>
  <Lines>91</Lines>
  <Paragraphs>25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12945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Iniciativa de Transformación Digital (DT-I)</dc:title>
  <dc:subject>Consejo 2021, Virtual consultation of councillors</dc:subject>
  <dc:creator>Catalano Moreira, Rossana</dc:creator>
  <cp:keywords>C2021, C21, VCC, C21-VCC-1</cp:keywords>
  <dc:description/>
  <cp:lastModifiedBy>Mendoza-Pinto, Yelitza</cp:lastModifiedBy>
  <cp:revision>15</cp:revision>
  <cp:lastPrinted>2006-03-24T09:51:00Z</cp:lastPrinted>
  <dcterms:created xsi:type="dcterms:W3CDTF">2021-04-14T14:10:00Z</dcterms:created>
  <dcterms:modified xsi:type="dcterms:W3CDTF">2021-04-27T15:33:00Z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