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B4B46AC" w14:textId="77777777" w:rsidTr="006C7CC0">
        <w:trPr>
          <w:cantSplit/>
          <w:trHeight w:val="20"/>
        </w:trPr>
        <w:tc>
          <w:tcPr>
            <w:tcW w:w="6620" w:type="dxa"/>
          </w:tcPr>
          <w:p w14:paraId="3628AC2B" w14:textId="792544E6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75B8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161AD89" w14:textId="77777777" w:rsidR="00290728" w:rsidRPr="00290728" w:rsidRDefault="006A793B" w:rsidP="00093860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639C510" wp14:editId="3149DA9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601B14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1E30F8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ED755C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F5456C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9FB757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ED653A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C74CC1" w:rsidRPr="00290728" w14:paraId="123867AB" w14:textId="77777777" w:rsidTr="009F66A8">
        <w:trPr>
          <w:cantSplit/>
        </w:trPr>
        <w:tc>
          <w:tcPr>
            <w:tcW w:w="6620" w:type="dxa"/>
            <w:vMerge w:val="restart"/>
          </w:tcPr>
          <w:p w14:paraId="11920F13" w14:textId="30EA7285" w:rsidR="00C74CC1" w:rsidRPr="002F71D8" w:rsidRDefault="00C74CC1" w:rsidP="00DA3306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bookmarkStart w:id="1" w:name="lt_pId007"/>
            <w:r w:rsidR="00DA3306" w:rsidRPr="00DA3306">
              <w:rPr>
                <w:b/>
                <w:bCs/>
                <w:lang w:val="en-GB" w:bidi="ar-EG"/>
              </w:rPr>
              <w:t>ADM 35</w:t>
            </w:r>
            <w:bookmarkEnd w:id="1"/>
          </w:p>
        </w:tc>
        <w:tc>
          <w:tcPr>
            <w:tcW w:w="3052" w:type="dxa"/>
            <w:vAlign w:val="center"/>
          </w:tcPr>
          <w:p w14:paraId="2B590C44" w14:textId="4D4F5F15" w:rsidR="00C74CC1" w:rsidRPr="002F71D8" w:rsidRDefault="00C74CC1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DA3306">
              <w:rPr>
                <w:b/>
                <w:bCs/>
                <w:lang w:bidi="ar-SY"/>
              </w:rPr>
              <w:t>70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C74CC1" w:rsidRPr="00290728" w14:paraId="7B6D875A" w14:textId="77777777" w:rsidTr="009F66A8">
        <w:trPr>
          <w:cantSplit/>
        </w:trPr>
        <w:tc>
          <w:tcPr>
            <w:tcW w:w="6620" w:type="dxa"/>
            <w:vMerge/>
          </w:tcPr>
          <w:p w14:paraId="18EDD23B" w14:textId="77777777" w:rsidR="00C74CC1" w:rsidRPr="002F71D8" w:rsidRDefault="00C74CC1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6A6E35E" w14:textId="7773A328" w:rsidR="00C74CC1" w:rsidRPr="002F71D8" w:rsidRDefault="00C74CC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DA3306">
              <w:rPr>
                <w:b/>
                <w:bCs/>
                <w:lang w:bidi="ar-SY"/>
              </w:rPr>
              <w:t>3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A3306">
              <w:rPr>
                <w:rFonts w:hint="cs"/>
                <w:b/>
                <w:bCs/>
                <w:rtl/>
                <w:lang w:bidi="ar-EG"/>
              </w:rPr>
              <w:t>مارس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1</w:t>
            </w:r>
          </w:p>
        </w:tc>
      </w:tr>
      <w:tr w:rsidR="00C74CC1" w:rsidRPr="00290728" w14:paraId="755D87E5" w14:textId="77777777" w:rsidTr="009F66A8">
        <w:trPr>
          <w:cantSplit/>
        </w:trPr>
        <w:tc>
          <w:tcPr>
            <w:tcW w:w="6620" w:type="dxa"/>
            <w:vMerge/>
          </w:tcPr>
          <w:p w14:paraId="33EE91CA" w14:textId="77777777" w:rsidR="00C74CC1" w:rsidRPr="002F71D8" w:rsidRDefault="00C74CC1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25BC33B" w14:textId="77777777" w:rsidR="00C74CC1" w:rsidRPr="002F71D8" w:rsidRDefault="00C74CC1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75B8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CBA2874" w14:textId="77777777" w:rsidTr="009F66A8">
        <w:trPr>
          <w:cantSplit/>
        </w:trPr>
        <w:tc>
          <w:tcPr>
            <w:tcW w:w="9672" w:type="dxa"/>
            <w:gridSpan w:val="2"/>
          </w:tcPr>
          <w:p w14:paraId="203357C0" w14:textId="0BAABD5D" w:rsidR="00290728" w:rsidRPr="00290728" w:rsidRDefault="00C75B84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1C66EEE5" w14:textId="77777777" w:rsidTr="009F66A8">
        <w:trPr>
          <w:cantSplit/>
        </w:trPr>
        <w:tc>
          <w:tcPr>
            <w:tcW w:w="9672" w:type="dxa"/>
            <w:gridSpan w:val="2"/>
          </w:tcPr>
          <w:p w14:paraId="3CAEE3D3" w14:textId="2323B70F" w:rsidR="00290728" w:rsidRPr="00964690" w:rsidRDefault="00DA3306" w:rsidP="00DA3306">
            <w:pPr>
              <w:pStyle w:val="Title1"/>
              <w:rPr>
                <w:rtl/>
                <w:lang w:bidi="ar-EG"/>
              </w:rPr>
            </w:pPr>
            <w:r w:rsidRPr="00DA3306">
              <w:rPr>
                <w:rFonts w:hint="cs"/>
                <w:rtl/>
                <w:lang w:bidi="ar-EG"/>
              </w:rPr>
              <w:t xml:space="preserve">مبادرة التحول الرقمي </w:t>
            </w:r>
            <w:r w:rsidRPr="00DA3306">
              <w:t>(DT-I)</w:t>
            </w:r>
          </w:p>
        </w:tc>
      </w:tr>
    </w:tbl>
    <w:p w14:paraId="01C1D771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8F2832D" w14:textId="77777777" w:rsidTr="00952F86">
        <w:trPr>
          <w:jc w:val="center"/>
        </w:trPr>
        <w:tc>
          <w:tcPr>
            <w:tcW w:w="8080" w:type="dxa"/>
          </w:tcPr>
          <w:p w14:paraId="0472CB9E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46EDDAF" w14:textId="4DAF7A04" w:rsidR="00DA3306" w:rsidRPr="005A1F6F" w:rsidRDefault="00B07962" w:rsidP="00964690">
            <w:pPr>
              <w:rPr>
                <w:spacing w:val="-2"/>
                <w:rtl/>
                <w:lang w:bidi="ar-EG"/>
              </w:rPr>
            </w:pPr>
            <w:r>
              <w:rPr>
                <w:rFonts w:hint="cs"/>
                <w:spacing w:val="-2"/>
                <w:rtl/>
              </w:rPr>
              <w:t xml:space="preserve">في عام </w:t>
            </w:r>
            <w:r>
              <w:rPr>
                <w:spacing w:val="-2"/>
                <w:lang w:val="en-GB"/>
              </w:rPr>
              <w:t>2020</w:t>
            </w:r>
            <w:r>
              <w:rPr>
                <w:rFonts w:hint="cs"/>
                <w:spacing w:val="-2"/>
                <w:rtl/>
                <w:lang w:val="en-GB"/>
              </w:rPr>
              <w:t xml:space="preserve">، </w:t>
            </w:r>
            <w:r w:rsidR="005A1F6F">
              <w:rPr>
                <w:rFonts w:hint="cs"/>
                <w:spacing w:val="-2"/>
                <w:rtl/>
                <w:lang w:val="en-GB"/>
              </w:rPr>
              <w:t>أسهم</w:t>
            </w:r>
            <w:r w:rsidR="00140112">
              <w:rPr>
                <w:rFonts w:hint="cs"/>
                <w:spacing w:val="-2"/>
                <w:rtl/>
                <w:lang w:val="en-GB"/>
              </w:rPr>
              <w:t xml:space="preserve"> تفشي</w:t>
            </w:r>
            <w:r w:rsidR="005A1F6F">
              <w:rPr>
                <w:rFonts w:hint="cs"/>
                <w:spacing w:val="-2"/>
                <w:rtl/>
                <w:lang w:val="en-GB"/>
              </w:rPr>
              <w:t xml:space="preserve"> جائحة فيروس كورونا </w:t>
            </w:r>
            <w:r w:rsidR="005A1F6F">
              <w:rPr>
                <w:spacing w:val="-2"/>
                <w:lang w:val="en-GB"/>
              </w:rPr>
              <w:t>(Covid-19)</w:t>
            </w:r>
            <w:r w:rsidR="005A1F6F">
              <w:rPr>
                <w:rFonts w:hint="cs"/>
                <w:spacing w:val="-2"/>
                <w:rtl/>
                <w:lang w:val="en-GB" w:bidi="ar-EG"/>
              </w:rPr>
              <w:t xml:space="preserve"> في تسريع وتيرة </w:t>
            </w:r>
            <w:proofErr w:type="spellStart"/>
            <w:r w:rsidR="005A1F6F">
              <w:rPr>
                <w:rFonts w:hint="cs"/>
                <w:spacing w:val="-2"/>
                <w:rtl/>
                <w:lang w:val="en-GB" w:bidi="ar-EG"/>
              </w:rPr>
              <w:t>الرقمنة</w:t>
            </w:r>
            <w:proofErr w:type="spellEnd"/>
            <w:r w:rsidR="005A1F6F">
              <w:rPr>
                <w:rFonts w:hint="cs"/>
                <w:spacing w:val="-2"/>
                <w:rtl/>
                <w:lang w:val="en-GB" w:bidi="ar-EG"/>
              </w:rPr>
              <w:t xml:space="preserve"> وعملية تقديم التكنولوجيات الداعمة إلى الموظفين العاملين والمندوبين الح</w:t>
            </w:r>
            <w:r w:rsidR="00F237FE">
              <w:rPr>
                <w:rFonts w:hint="cs"/>
                <w:spacing w:val="-2"/>
                <w:rtl/>
                <w:lang w:val="en-GB" w:bidi="ar-EG"/>
              </w:rPr>
              <w:t xml:space="preserve">اضرين </w:t>
            </w:r>
            <w:r w:rsidR="005A1F6F">
              <w:rPr>
                <w:rFonts w:hint="cs"/>
                <w:spacing w:val="-2"/>
                <w:rtl/>
                <w:lang w:val="en-GB" w:bidi="ar-EG"/>
              </w:rPr>
              <w:t xml:space="preserve">في أحداث. ومن المتوقع أن تتواصل زيادة العمل عن بُعد واستخدام النسق الافتراضي لعقد الاجتماعات حتى عام </w:t>
            </w:r>
            <w:r w:rsidR="0050524B">
              <w:rPr>
                <w:spacing w:val="-2"/>
                <w:lang w:val="en-GB" w:bidi="ar-EG"/>
              </w:rPr>
              <w:t>2022</w:t>
            </w:r>
            <w:r w:rsidR="0050524B">
              <w:rPr>
                <w:rFonts w:hint="cs"/>
                <w:spacing w:val="-2"/>
                <w:rtl/>
                <w:lang w:val="en-GB" w:bidi="ar-EG"/>
              </w:rPr>
              <w:t xml:space="preserve"> </w:t>
            </w:r>
            <w:r w:rsidR="00472115">
              <w:rPr>
                <w:rFonts w:hint="cs"/>
                <w:spacing w:val="-2"/>
                <w:rtl/>
                <w:lang w:val="en-GB" w:bidi="ar-EG"/>
              </w:rPr>
              <w:t>وما بعده</w:t>
            </w:r>
            <w:r w:rsidR="0050524B">
              <w:rPr>
                <w:rFonts w:hint="cs"/>
                <w:spacing w:val="-2"/>
                <w:rtl/>
                <w:lang w:val="en-GB" w:bidi="ar-EG"/>
              </w:rPr>
              <w:t xml:space="preserve"> </w:t>
            </w:r>
            <w:r w:rsidR="00472115">
              <w:rPr>
                <w:rFonts w:hint="cs"/>
                <w:spacing w:val="-2"/>
                <w:rtl/>
                <w:lang w:val="en-GB" w:bidi="ar-EG"/>
              </w:rPr>
              <w:t>عند انتقال</w:t>
            </w:r>
            <w:r w:rsidR="0050524B">
              <w:rPr>
                <w:rFonts w:hint="cs"/>
                <w:spacing w:val="-2"/>
                <w:rtl/>
                <w:lang w:val="en-GB" w:bidi="ar-EG"/>
              </w:rPr>
              <w:t xml:space="preserve"> الموظفين في سياق مش</w:t>
            </w:r>
            <w:r w:rsidR="00EA7920">
              <w:rPr>
                <w:rFonts w:hint="cs"/>
                <w:spacing w:val="-2"/>
                <w:rtl/>
                <w:lang w:val="en-GB" w:bidi="ar-EG"/>
              </w:rPr>
              <w:t>ر</w:t>
            </w:r>
            <w:r w:rsidR="0050524B">
              <w:rPr>
                <w:rFonts w:hint="cs"/>
                <w:spacing w:val="-2"/>
                <w:rtl/>
                <w:lang w:val="en-GB" w:bidi="ar-EG"/>
              </w:rPr>
              <w:t>وع المبنى الجديد</w:t>
            </w:r>
            <w:r w:rsidR="00EA7920">
              <w:rPr>
                <w:rFonts w:hint="cs"/>
                <w:spacing w:val="-2"/>
                <w:rtl/>
                <w:lang w:val="en-GB" w:bidi="ar-EG"/>
              </w:rPr>
              <w:t xml:space="preserve">، الأمر الذي سيستلزم تحوّلا رقمياً شاملاً لعمليات الاتحاد الدولي للاتصالات </w:t>
            </w:r>
            <w:r w:rsidR="00EA7920">
              <w:rPr>
                <w:spacing w:val="-2"/>
                <w:lang w:val="en-GB" w:bidi="ar-EG"/>
              </w:rPr>
              <w:t>(ITU)</w:t>
            </w:r>
            <w:r w:rsidR="00EA7920">
              <w:rPr>
                <w:rFonts w:hint="cs"/>
                <w:spacing w:val="-2"/>
                <w:rtl/>
                <w:lang w:val="en-GB" w:bidi="ar-EG"/>
              </w:rPr>
              <w:t xml:space="preserve"> وأنظمته وخدماته.</w:t>
            </w:r>
          </w:p>
          <w:p w14:paraId="064881D3" w14:textId="467EEA86" w:rsidR="00DA3306" w:rsidRPr="00D402D8" w:rsidRDefault="00F237FE" w:rsidP="00713121">
            <w:pPr>
              <w:rPr>
                <w:spacing w:val="-2"/>
                <w:rtl/>
                <w:lang w:bidi="ar-EG"/>
              </w:rPr>
            </w:pPr>
            <w:r>
              <w:rPr>
                <w:rFonts w:hint="cs"/>
                <w:spacing w:val="-2"/>
                <w:rtl/>
                <w:lang w:bidi="ar-EG"/>
              </w:rPr>
              <w:t xml:space="preserve">وفي مارس </w:t>
            </w:r>
            <w:r>
              <w:rPr>
                <w:spacing w:val="-2"/>
                <w:lang w:val="en-GB" w:bidi="ar-EG"/>
              </w:rPr>
              <w:t>2021</w:t>
            </w:r>
            <w:r>
              <w:rPr>
                <w:rFonts w:hint="cs"/>
                <w:spacing w:val="-2"/>
                <w:rtl/>
                <w:lang w:val="en-GB" w:bidi="ar-EG"/>
              </w:rPr>
              <w:t>، اتفقت لجنة التنسيق على اتخاذ مبادرة باسم</w:t>
            </w:r>
            <w:proofErr w:type="gramStart"/>
            <w:r>
              <w:rPr>
                <w:rFonts w:hint="cs"/>
                <w:spacing w:val="-2"/>
                <w:rtl/>
                <w:lang w:val="en-GB" w:bidi="ar-EG"/>
              </w:rPr>
              <w:t xml:space="preserve"> ’مبادرة</w:t>
            </w:r>
            <w:proofErr w:type="gramEnd"/>
            <w:r>
              <w:rPr>
                <w:rFonts w:hint="cs"/>
                <w:spacing w:val="-2"/>
                <w:rtl/>
                <w:lang w:val="en-GB" w:bidi="ar-EG"/>
              </w:rPr>
              <w:t xml:space="preserve"> التحول الرقمي‘ </w:t>
            </w:r>
            <w:r>
              <w:rPr>
                <w:spacing w:val="-2"/>
                <w:lang w:val="en-GB" w:bidi="ar-EG"/>
              </w:rPr>
              <w:t>(DT-</w:t>
            </w:r>
            <w:r w:rsidR="00A80A96">
              <w:rPr>
                <w:spacing w:val="-2"/>
                <w:lang w:val="en-GB" w:bidi="ar-EG"/>
              </w:rPr>
              <w:t>I</w:t>
            </w:r>
            <w:r>
              <w:rPr>
                <w:spacing w:val="-2"/>
                <w:lang w:val="en-GB" w:bidi="ar-EG"/>
              </w:rPr>
              <w:t>)</w:t>
            </w:r>
            <w:r>
              <w:rPr>
                <w:rFonts w:hint="cs"/>
                <w:spacing w:val="-2"/>
                <w:rtl/>
                <w:lang w:val="en-GB" w:bidi="ar-EG"/>
              </w:rPr>
              <w:t xml:space="preserve"> </w:t>
            </w:r>
            <w:r w:rsidR="00E96771">
              <w:rPr>
                <w:rFonts w:hint="cs"/>
                <w:spacing w:val="-2"/>
                <w:rtl/>
                <w:lang w:val="en-GB" w:bidi="ar-EG"/>
              </w:rPr>
              <w:t xml:space="preserve">بهدف تحسين مستوى النواتج الرئيسية التي يحققها الاتحاد، مع </w:t>
            </w:r>
            <w:r w:rsidR="009831C4">
              <w:rPr>
                <w:rFonts w:hint="cs"/>
                <w:spacing w:val="-2"/>
                <w:rtl/>
                <w:lang w:val="en-GB" w:bidi="ar-EG"/>
              </w:rPr>
              <w:t>مراعاة</w:t>
            </w:r>
            <w:r w:rsidR="00860C59">
              <w:rPr>
                <w:rFonts w:hint="cs"/>
                <w:spacing w:val="-2"/>
                <w:rtl/>
                <w:lang w:val="en-GB" w:bidi="ar-EG"/>
              </w:rPr>
              <w:t xml:space="preserve"> </w:t>
            </w:r>
            <w:r w:rsidR="00E96771">
              <w:rPr>
                <w:rFonts w:hint="cs"/>
                <w:spacing w:val="-2"/>
                <w:rtl/>
                <w:lang w:val="en-GB" w:bidi="ar-EG"/>
              </w:rPr>
              <w:t xml:space="preserve">تأثير جائحة فيروس كورونا على أعماله </w:t>
            </w:r>
            <w:r w:rsidR="009831C4">
              <w:rPr>
                <w:rFonts w:hint="cs"/>
                <w:spacing w:val="-2"/>
                <w:rtl/>
                <w:lang w:val="en-GB" w:bidi="ar-EG"/>
              </w:rPr>
              <w:t xml:space="preserve">على النحو الوارد </w:t>
            </w:r>
            <w:r w:rsidR="00E96771">
              <w:rPr>
                <w:rFonts w:hint="cs"/>
                <w:spacing w:val="-2"/>
                <w:rtl/>
                <w:lang w:val="en-GB" w:bidi="ar-EG"/>
              </w:rPr>
              <w:t xml:space="preserve">في التقرير المقدم إلى المجلس وفريق العمل التابع له </w:t>
            </w:r>
            <w:r w:rsidR="00E96771">
              <w:rPr>
                <w:spacing w:val="-2"/>
                <w:lang w:val="en-GB" w:bidi="ar-EG"/>
              </w:rPr>
              <w:t>(CWG)</w:t>
            </w:r>
            <w:r w:rsidR="00E96771">
              <w:rPr>
                <w:rFonts w:hint="cs"/>
                <w:spacing w:val="-2"/>
                <w:rtl/>
                <w:lang w:val="en-GB" w:bidi="ar-EG"/>
              </w:rPr>
              <w:t xml:space="preserve"> في الوثيقة </w:t>
            </w:r>
            <w:r w:rsidR="00E96771" w:rsidRPr="0091580C">
              <w:rPr>
                <w:rFonts w:asciiTheme="minorHAnsi" w:hAnsiTheme="minorHAnsi" w:cstheme="minorHAnsi"/>
                <w:szCs w:val="24"/>
              </w:rPr>
              <w:t>VC/13(Rev.1)</w:t>
            </w:r>
            <w:r w:rsidR="00E96771">
              <w:rPr>
                <w:rFonts w:hint="cs"/>
                <w:spacing w:val="-2"/>
                <w:rtl/>
                <w:lang w:val="en-GB" w:bidi="ar-EG"/>
              </w:rPr>
              <w:t xml:space="preserve">، والتطورات </w:t>
            </w:r>
            <w:r w:rsidR="009A0F02">
              <w:rPr>
                <w:rFonts w:hint="cs"/>
                <w:spacing w:val="-2"/>
                <w:rtl/>
                <w:lang w:val="en-GB" w:bidi="ar-EG"/>
              </w:rPr>
              <w:t xml:space="preserve">المستجدة </w:t>
            </w:r>
            <w:r w:rsidR="00B64605">
              <w:rPr>
                <w:rFonts w:hint="cs"/>
                <w:spacing w:val="-2"/>
                <w:rtl/>
                <w:lang w:val="en-GB" w:bidi="ar-EG"/>
              </w:rPr>
              <w:t>داخل</w:t>
            </w:r>
            <w:r w:rsidR="009A0F02">
              <w:rPr>
                <w:rFonts w:hint="cs"/>
                <w:spacing w:val="-2"/>
                <w:rtl/>
                <w:lang w:val="en-GB" w:bidi="ar-EG"/>
              </w:rPr>
              <w:t xml:space="preserve"> منظومة الأمم المتحدة </w:t>
            </w:r>
            <w:r w:rsidR="00BA2141">
              <w:rPr>
                <w:rFonts w:hint="cs"/>
                <w:spacing w:val="-2"/>
                <w:rtl/>
                <w:lang w:val="en-GB" w:bidi="ar-EG"/>
              </w:rPr>
              <w:t>فيما يخص</w:t>
            </w:r>
            <w:r w:rsidR="009A0F02">
              <w:rPr>
                <w:rFonts w:hint="cs"/>
                <w:spacing w:val="-2"/>
                <w:rtl/>
                <w:lang w:val="en-GB" w:bidi="ar-EG"/>
              </w:rPr>
              <w:t xml:space="preserve"> "مستقبل العمل" وتأثيره</w:t>
            </w:r>
            <w:r w:rsidR="00334FD5">
              <w:rPr>
                <w:rFonts w:hint="cs"/>
                <w:spacing w:val="-2"/>
                <w:rtl/>
                <w:lang w:val="en-GB" w:bidi="ar-EG"/>
              </w:rPr>
              <w:t>ا</w:t>
            </w:r>
            <w:r w:rsidR="009A0F02">
              <w:rPr>
                <w:rFonts w:hint="cs"/>
                <w:spacing w:val="-2"/>
                <w:rtl/>
                <w:lang w:val="en-GB" w:bidi="ar-EG"/>
              </w:rPr>
              <w:t xml:space="preserve"> على القوى </w:t>
            </w:r>
            <w:r w:rsidR="009A0F02" w:rsidRPr="00860C59">
              <w:rPr>
                <w:rFonts w:hint="cs"/>
                <w:spacing w:val="-4"/>
                <w:rtl/>
                <w:lang w:val="en-GB" w:bidi="ar-EG"/>
              </w:rPr>
              <w:t xml:space="preserve">العاملة الحالية والجديدة. </w:t>
            </w:r>
            <w:r w:rsidR="00713121" w:rsidRPr="00860C59">
              <w:rPr>
                <w:rFonts w:hint="cs"/>
                <w:spacing w:val="-4"/>
                <w:rtl/>
                <w:lang w:val="en-GB" w:bidi="ar-EG"/>
              </w:rPr>
              <w:t xml:space="preserve">وتتجلى ولاية مبادرة التحول الرقمي في ضمان أن ينتهج الاتحاد نهجاً شمولياً </w:t>
            </w:r>
            <w:r w:rsidR="006A22CA" w:rsidRPr="00860C59">
              <w:rPr>
                <w:rFonts w:hint="cs"/>
                <w:spacing w:val="-4"/>
                <w:rtl/>
                <w:lang w:val="en-GB" w:bidi="ar-EG"/>
              </w:rPr>
              <w:t>في</w:t>
            </w:r>
            <w:r w:rsidR="00860C59" w:rsidRPr="00860C59">
              <w:rPr>
                <w:rFonts w:hint="eastAsia"/>
                <w:spacing w:val="-4"/>
                <w:rtl/>
                <w:lang w:val="en-GB" w:bidi="ar-EG"/>
              </w:rPr>
              <w:t> </w:t>
            </w:r>
            <w:r w:rsidR="006A22CA" w:rsidRPr="00860C59">
              <w:rPr>
                <w:rFonts w:hint="cs"/>
                <w:spacing w:val="-4"/>
                <w:rtl/>
                <w:lang w:val="en-GB" w:bidi="ar-EG"/>
              </w:rPr>
              <w:t xml:space="preserve">تنفيذ عملية التحول الرقمي </w:t>
            </w:r>
            <w:r w:rsidR="00713121" w:rsidRPr="00860C59">
              <w:rPr>
                <w:rFonts w:hint="cs"/>
                <w:spacing w:val="-4"/>
                <w:rtl/>
                <w:lang w:val="en-GB" w:bidi="ar-EG"/>
              </w:rPr>
              <w:t>ويولي الأولوية للخيارات</w:t>
            </w:r>
            <w:r w:rsidR="00A43F09" w:rsidRPr="00860C59">
              <w:rPr>
                <w:rFonts w:hint="cs"/>
                <w:spacing w:val="-4"/>
                <w:rtl/>
                <w:lang w:val="en-GB" w:bidi="ar-EG"/>
              </w:rPr>
              <w:t xml:space="preserve"> </w:t>
            </w:r>
            <w:proofErr w:type="gramStart"/>
            <w:r w:rsidR="00713121" w:rsidRPr="00860C59">
              <w:rPr>
                <w:rFonts w:hint="cs"/>
                <w:spacing w:val="-4"/>
                <w:rtl/>
                <w:lang w:val="en-GB" w:bidi="ar-EG"/>
              </w:rPr>
              <w:t>الاستراتيجية</w:t>
            </w:r>
            <w:proofErr w:type="gramEnd"/>
            <w:r w:rsidR="00713121" w:rsidRPr="00860C59">
              <w:rPr>
                <w:rFonts w:hint="cs"/>
                <w:spacing w:val="-4"/>
                <w:rtl/>
                <w:lang w:val="en-GB" w:bidi="ar-EG"/>
              </w:rPr>
              <w:t xml:space="preserve"> ونواتج المشاريع والموارد المالية والبشرية.</w:t>
            </w:r>
          </w:p>
          <w:p w14:paraId="1046E15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A3E69A5" w14:textId="113DCB21" w:rsidR="00290728" w:rsidRPr="00FC7C10" w:rsidRDefault="00C12A85" w:rsidP="007D1F4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يُدعى المجلس إلى </w:t>
            </w:r>
            <w:r w:rsidR="00C822F8">
              <w:rPr>
                <w:rFonts w:hint="cs"/>
                <w:b/>
                <w:bCs/>
                <w:rtl/>
                <w:lang w:bidi="ar-EG"/>
              </w:rPr>
              <w:t xml:space="preserve">تقديم تعليقات </w:t>
            </w:r>
            <w:r>
              <w:rPr>
                <w:rFonts w:hint="cs"/>
                <w:rtl/>
                <w:lang w:bidi="ar-EG"/>
              </w:rPr>
              <w:t>و</w:t>
            </w:r>
            <w:r w:rsidRPr="00C12A85">
              <w:rPr>
                <w:rFonts w:hint="cs"/>
                <w:b/>
                <w:bCs/>
                <w:rtl/>
                <w:lang w:bidi="ar-EG"/>
              </w:rPr>
              <w:t xml:space="preserve">إسداء المشورة </w:t>
            </w:r>
            <w:r>
              <w:rPr>
                <w:rFonts w:hint="cs"/>
                <w:rtl/>
                <w:lang w:bidi="ar-EG"/>
              </w:rPr>
              <w:t>بشأن</w:t>
            </w:r>
            <w:r w:rsidR="00C822F8">
              <w:rPr>
                <w:rFonts w:hint="cs"/>
                <w:rtl/>
                <w:lang w:bidi="ar-EG"/>
              </w:rPr>
              <w:t xml:space="preserve"> هذه المبادرة.</w:t>
            </w:r>
          </w:p>
          <w:p w14:paraId="17679F88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D5FEDE8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53336CC" w14:textId="6BA8D95B" w:rsidR="00DA3306" w:rsidRPr="00A80A96" w:rsidRDefault="00DA3306" w:rsidP="00A80A96">
            <w:pPr>
              <w:rPr>
                <w:i/>
                <w:iCs/>
                <w:u w:val="single"/>
                <w:lang w:val="en-GB"/>
              </w:rPr>
            </w:pP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وثائق المجلس </w:t>
            </w:r>
            <w:hyperlink r:id="rId9" w:history="1">
              <w:r w:rsidRPr="00A80A96">
                <w:rPr>
                  <w:rStyle w:val="Hyperlink"/>
                  <w:i/>
                  <w:iCs/>
                  <w:lang w:val="en-GB"/>
                </w:rPr>
                <w:t>C20/15</w:t>
              </w:r>
            </w:hyperlink>
            <w:r w:rsidRPr="00A80A96">
              <w:rPr>
                <w:rFonts w:hint="cs"/>
                <w:i/>
                <w:iCs/>
                <w:rtl/>
                <w:lang w:val="en-GB"/>
              </w:rPr>
              <w:t xml:space="preserve"> </w:t>
            </w:r>
            <w:r w:rsidR="00D6569F" w:rsidRPr="00A80A96">
              <w:rPr>
                <w:rFonts w:hint="cs"/>
                <w:i/>
                <w:iCs/>
                <w:rtl/>
                <w:lang w:val="en-GB"/>
              </w:rPr>
              <w:t>(</w:t>
            </w:r>
            <w:r w:rsidRPr="00A80A96">
              <w:rPr>
                <w:rFonts w:hint="cs"/>
                <w:i/>
                <w:iCs/>
                <w:rtl/>
                <w:lang w:val="en-GB" w:bidi="ar-EG"/>
              </w:rPr>
              <w:t xml:space="preserve">نظام إدارة المرونة في المنظمة </w:t>
            </w:r>
            <w:r w:rsidRPr="00A80A96">
              <w:rPr>
                <w:i/>
                <w:iCs/>
              </w:rPr>
              <w:t>(ORMS)</w:t>
            </w:r>
            <w:r w:rsidR="00D6569F" w:rsidRPr="00A80A96">
              <w:rPr>
                <w:rFonts w:hint="cs"/>
                <w:i/>
                <w:iCs/>
                <w:rtl/>
              </w:rPr>
              <w:t>)</w:t>
            </w: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؛ </w:t>
            </w:r>
            <w:hyperlink r:id="rId10" w:history="1">
              <w:r w:rsidRPr="00A80A96">
                <w:rPr>
                  <w:rStyle w:val="Hyperlink"/>
                  <w:i/>
                  <w:iCs/>
                  <w:lang w:val="en-GB"/>
                </w:rPr>
                <w:t>C20/53</w:t>
              </w:r>
            </w:hyperlink>
            <w:r w:rsidR="00D6569F" w:rsidRPr="00A80A96">
              <w:rPr>
                <w:rFonts w:hint="cs"/>
                <w:i/>
                <w:iCs/>
                <w:rtl/>
                <w:lang w:val="en-GB"/>
              </w:rPr>
              <w:t xml:space="preserve"> (استمرارية الأعمال </w:t>
            </w:r>
            <w:r w:rsidR="00C12A85" w:rsidRPr="00A80A96">
              <w:rPr>
                <w:i/>
                <w:iCs/>
                <w:rtl/>
                <w:lang w:val="en-GB"/>
              </w:rPr>
              <w:t>–</w:t>
            </w:r>
            <w:r w:rsidR="00D6569F" w:rsidRPr="00A80A96">
              <w:rPr>
                <w:rFonts w:hint="cs"/>
                <w:i/>
                <w:iCs/>
                <w:rtl/>
                <w:lang w:val="en-GB"/>
              </w:rPr>
              <w:t xml:space="preserve"> </w:t>
            </w:r>
            <w:r w:rsidR="00C12A85" w:rsidRPr="00A80A96">
              <w:rPr>
                <w:rFonts w:hint="cs"/>
                <w:i/>
                <w:iCs/>
                <w:rtl/>
                <w:lang w:val="en-GB" w:bidi="ar-EG"/>
              </w:rPr>
              <w:t xml:space="preserve">حالة الأعمال </w:t>
            </w:r>
            <w:r w:rsidR="00D66E38" w:rsidRPr="00A80A96">
              <w:rPr>
                <w:rFonts w:hint="cs"/>
                <w:i/>
                <w:iCs/>
                <w:rtl/>
                <w:lang w:val="en-GB" w:bidi="ar-EG"/>
              </w:rPr>
              <w:t>في سياق</w:t>
            </w:r>
            <w:r w:rsidR="00C12A85" w:rsidRPr="00A80A96">
              <w:rPr>
                <w:rFonts w:hint="cs"/>
                <w:i/>
                <w:iCs/>
                <w:rtl/>
                <w:lang w:val="en-GB" w:bidi="ar-EG"/>
              </w:rPr>
              <w:t xml:space="preserve"> </w:t>
            </w:r>
            <w:r w:rsidR="00D6569F" w:rsidRPr="00A80A96">
              <w:rPr>
                <w:rFonts w:hint="cs"/>
                <w:i/>
                <w:iCs/>
                <w:rtl/>
                <w:lang w:val="en-GB" w:bidi="ar-EG"/>
              </w:rPr>
              <w:t>إدارة المعلومات)</w:t>
            </w: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؛ </w:t>
            </w:r>
            <w:hyperlink r:id="rId11" w:history="1">
              <w:r w:rsidRPr="00A80A96">
                <w:rPr>
                  <w:rStyle w:val="Hyperlink"/>
                  <w:i/>
                  <w:iCs/>
                  <w:lang w:val="en-GB"/>
                </w:rPr>
                <w:t>CWG-FHR12/3</w:t>
              </w:r>
            </w:hyperlink>
            <w:r w:rsidR="00D6569F" w:rsidRPr="00A80A96">
              <w:rPr>
                <w:rFonts w:hint="cs"/>
                <w:i/>
                <w:iCs/>
                <w:rtl/>
                <w:lang w:val="en-GB"/>
              </w:rPr>
              <w:t xml:space="preserve"> (استمرارية الأعمال - </w:t>
            </w:r>
            <w:r w:rsidR="00D6569F" w:rsidRPr="00A80A96">
              <w:rPr>
                <w:rFonts w:hint="cs"/>
                <w:i/>
                <w:iCs/>
                <w:rtl/>
                <w:lang w:val="en-GB" w:bidi="ar-EG"/>
              </w:rPr>
              <w:t>إدارة المعلومات)</w:t>
            </w: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؛ </w:t>
            </w:r>
            <w:hyperlink r:id="rId12" w:history="1">
              <w:r w:rsidRPr="00A80A96">
                <w:rPr>
                  <w:rStyle w:val="Hyperlink"/>
                  <w:i/>
                  <w:iCs/>
                  <w:lang w:val="en-GB"/>
                </w:rPr>
                <w:t>VC/13 (Rev.1)</w:t>
              </w:r>
            </w:hyperlink>
            <w:r w:rsidR="00D6569F" w:rsidRPr="00A80A96">
              <w:rPr>
                <w:rFonts w:hint="cs"/>
                <w:i/>
                <w:iCs/>
                <w:rtl/>
                <w:lang w:val="en-GB"/>
              </w:rPr>
              <w:t xml:space="preserve"> (</w:t>
            </w:r>
            <w:r w:rsidR="00D6569F" w:rsidRPr="00A80A96">
              <w:rPr>
                <w:i/>
                <w:iCs/>
                <w:rtl/>
                <w:lang w:val="en-GB"/>
              </w:rPr>
              <w:t>تأثير جائحة فيروس كورونا</w:t>
            </w:r>
            <w:r w:rsidR="00D6569F" w:rsidRPr="00A80A96">
              <w:rPr>
                <w:i/>
                <w:iCs/>
              </w:rPr>
              <w:t xml:space="preserve"> (COVID-19) </w:t>
            </w:r>
            <w:r w:rsidR="00D6569F" w:rsidRPr="00A80A96">
              <w:rPr>
                <w:i/>
                <w:iCs/>
                <w:rtl/>
                <w:lang w:val="en-GB"/>
              </w:rPr>
              <w:t>على سير أعمال الاتحاد وأنشطته</w:t>
            </w:r>
            <w:r w:rsidR="00D6569F" w:rsidRPr="00A80A96">
              <w:rPr>
                <w:rFonts w:hint="cs"/>
                <w:i/>
                <w:iCs/>
                <w:rtl/>
                <w:lang w:val="en-GB"/>
              </w:rPr>
              <w:t>)</w:t>
            </w: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؛ </w:t>
            </w:r>
            <w:hyperlink r:id="rId13" w:history="1">
              <w:r w:rsidRPr="00A80A96">
                <w:rPr>
                  <w:rStyle w:val="Hyperlink"/>
                  <w:bCs/>
                  <w:i/>
                  <w:iCs/>
                  <w:lang w:val="en-GB"/>
                </w:rPr>
                <w:t>VC</w:t>
              </w:r>
              <w:r w:rsidR="00860C59" w:rsidRPr="00A80A96">
                <w:rPr>
                  <w:rStyle w:val="Hyperlink"/>
                  <w:bCs/>
                  <w:i/>
                  <w:iCs/>
                  <w:lang w:val="en-GB"/>
                </w:rPr>
                <w:noBreakHyphen/>
              </w:r>
              <w:r w:rsidRPr="00A80A96">
                <w:rPr>
                  <w:rStyle w:val="Hyperlink"/>
                  <w:bCs/>
                  <w:i/>
                  <w:iCs/>
                  <w:lang w:val="en-GB"/>
                </w:rPr>
                <w:t>2/INF.22</w:t>
              </w:r>
            </w:hyperlink>
            <w:r w:rsidR="00D6569F" w:rsidRPr="00A80A96">
              <w:rPr>
                <w:rFonts w:hint="cs"/>
                <w:i/>
                <w:iCs/>
                <w:rtl/>
              </w:rPr>
              <w:t xml:space="preserve"> (</w:t>
            </w:r>
            <w:r w:rsidR="00D6569F" w:rsidRPr="00A80A96">
              <w:rPr>
                <w:rFonts w:hint="cs"/>
                <w:i/>
                <w:iCs/>
                <w:rtl/>
                <w:lang w:val="en-GB"/>
              </w:rPr>
              <w:t>حالة منصات الاجتماعات الافتراضية وتقديم الدعم)</w:t>
            </w:r>
            <w:r w:rsidRPr="00A80A96">
              <w:rPr>
                <w:rFonts w:hint="cs"/>
                <w:i/>
                <w:iCs/>
                <w:rtl/>
                <w:lang w:val="en-GB"/>
              </w:rPr>
              <w:t xml:space="preserve">؛ </w:t>
            </w:r>
            <w:hyperlink r:id="rId14" w:history="1">
              <w:r w:rsidRPr="00A80A96">
                <w:rPr>
                  <w:rStyle w:val="Hyperlink"/>
                  <w:i/>
                  <w:iCs/>
                  <w:lang w:val="en-GB"/>
                </w:rPr>
                <w:t>C20/INF/19</w:t>
              </w:r>
            </w:hyperlink>
            <w:r w:rsidR="00D6569F" w:rsidRPr="00A80A96">
              <w:rPr>
                <w:rFonts w:hint="cs"/>
                <w:i/>
                <w:iCs/>
                <w:rtl/>
                <w:lang w:val="en-GB"/>
              </w:rPr>
              <w:t xml:space="preserve"> (</w:t>
            </w:r>
            <w:proofErr w:type="spellStart"/>
            <w:r w:rsidR="00D6569F" w:rsidRPr="00A80A96">
              <w:rPr>
                <w:i/>
                <w:iCs/>
                <w:rtl/>
                <w:lang w:val="en-GB"/>
              </w:rPr>
              <w:t>ال‍مهام</w:t>
            </w:r>
            <w:proofErr w:type="spellEnd"/>
            <w:r w:rsidR="00D6569F" w:rsidRPr="00A80A96">
              <w:rPr>
                <w:i/>
                <w:iCs/>
                <w:rtl/>
                <w:lang w:val="en-GB"/>
              </w:rPr>
              <w:t xml:space="preserve"> والوظائف </w:t>
            </w:r>
            <w:proofErr w:type="spellStart"/>
            <w:r w:rsidR="00D6569F" w:rsidRPr="00A80A96">
              <w:rPr>
                <w:i/>
                <w:iCs/>
                <w:rtl/>
                <w:lang w:val="en-GB"/>
              </w:rPr>
              <w:t>ال‍منوطة</w:t>
            </w:r>
            <w:proofErr w:type="spellEnd"/>
            <w:r w:rsidR="00D6569F" w:rsidRPr="00A80A96">
              <w:rPr>
                <w:i/>
                <w:iCs/>
                <w:rtl/>
                <w:lang w:val="en-GB"/>
              </w:rPr>
              <w:t xml:space="preserve"> بنائب الأمين العام</w:t>
            </w:r>
            <w:r w:rsidR="00D6569F" w:rsidRPr="00A80A96">
              <w:rPr>
                <w:rFonts w:hint="cs"/>
                <w:i/>
                <w:iCs/>
                <w:rtl/>
                <w:lang w:val="en-GB"/>
              </w:rPr>
              <w:t>)</w:t>
            </w:r>
          </w:p>
          <w:p w14:paraId="6436E4C0" w14:textId="47A75B7D" w:rsidR="00290728" w:rsidRPr="00D6569F" w:rsidRDefault="00C63881" w:rsidP="00A80A96">
            <w:pPr>
              <w:spacing w:before="0" w:after="120"/>
              <w:jc w:val="left"/>
              <w:rPr>
                <w:rtl/>
              </w:rPr>
            </w:pPr>
            <w:hyperlink r:id="rId15" w:history="1">
              <w:r w:rsidR="00DA3306" w:rsidRPr="00DA3306">
                <w:rPr>
                  <w:rStyle w:val="Hyperlink"/>
                  <w:lang w:val="en-GB"/>
                </w:rPr>
                <w:t>UN SG Data Strategy</w:t>
              </w:r>
            </w:hyperlink>
          </w:p>
        </w:tc>
      </w:tr>
    </w:tbl>
    <w:p w14:paraId="0E229FC1" w14:textId="735F2AA4" w:rsidR="00695B36" w:rsidRDefault="00695B36" w:rsidP="00695B36">
      <w:pPr>
        <w:rPr>
          <w:rtl/>
        </w:rPr>
      </w:pPr>
      <w:r>
        <w:rPr>
          <w:rtl/>
        </w:rPr>
        <w:br w:type="page"/>
      </w:r>
    </w:p>
    <w:p w14:paraId="24F3CFCA" w14:textId="755B3F3B" w:rsidR="00695B36" w:rsidRDefault="00695B36" w:rsidP="00695B36">
      <w:pPr>
        <w:pStyle w:val="Heading1"/>
        <w:rPr>
          <w:rtl/>
          <w:lang w:bidi="ar-EG"/>
        </w:rPr>
      </w:pPr>
      <w: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5FC564BC" w14:textId="4D24FC8D" w:rsidR="00B95656" w:rsidRPr="00B95656" w:rsidRDefault="00472115" w:rsidP="00B95656">
      <w:pPr>
        <w:pStyle w:val="Heading1"/>
        <w:tabs>
          <w:tab w:val="clear" w:pos="794"/>
          <w:tab w:val="left" w:pos="9"/>
        </w:tabs>
        <w:ind w:left="9" w:hanging="9"/>
        <w:rPr>
          <w:spacing w:val="-2"/>
          <w:rtl/>
          <w:lang w:val="en-GB" w:bidi="ar-EG"/>
        </w:rPr>
      </w:pPr>
      <w:r w:rsidRPr="00472115">
        <w:rPr>
          <w:rFonts w:hint="cs"/>
          <w:b w:val="0"/>
          <w:bCs w:val="0"/>
          <w:sz w:val="22"/>
          <w:szCs w:val="22"/>
          <w:rtl/>
        </w:rPr>
        <w:t>يورد الملحق المرفق طي</w:t>
      </w:r>
      <w:r w:rsidR="00B64605">
        <w:rPr>
          <w:rFonts w:hint="cs"/>
          <w:b w:val="0"/>
          <w:bCs w:val="0"/>
          <w:sz w:val="22"/>
          <w:szCs w:val="22"/>
          <w:rtl/>
        </w:rPr>
        <w:t>ّ</w:t>
      </w:r>
      <w:r w:rsidRPr="00472115">
        <w:rPr>
          <w:rFonts w:hint="cs"/>
          <w:b w:val="0"/>
          <w:bCs w:val="0"/>
          <w:sz w:val="22"/>
          <w:szCs w:val="22"/>
          <w:rtl/>
        </w:rPr>
        <w:t>ه الوثيق</w:t>
      </w:r>
      <w:r w:rsidR="00B95656">
        <w:rPr>
          <w:rFonts w:hint="cs"/>
          <w:b w:val="0"/>
          <w:bCs w:val="0"/>
          <w:sz w:val="22"/>
          <w:szCs w:val="22"/>
          <w:rtl/>
        </w:rPr>
        <w:t>ة</w:t>
      </w:r>
      <w:r w:rsidRPr="00472115">
        <w:rPr>
          <w:rFonts w:hint="cs"/>
          <w:b w:val="0"/>
          <w:bCs w:val="0"/>
          <w:sz w:val="22"/>
          <w:szCs w:val="22"/>
          <w:rtl/>
        </w:rPr>
        <w:t xml:space="preserve"> التي وافقت عليها لجنة التنسيق في </w:t>
      </w:r>
      <w:r w:rsidRPr="00472115">
        <w:rPr>
          <w:b w:val="0"/>
          <w:bCs w:val="0"/>
          <w:sz w:val="22"/>
          <w:szCs w:val="22"/>
          <w:lang w:val="en-GB"/>
        </w:rPr>
        <w:t>2</w:t>
      </w:r>
      <w:r w:rsidRPr="00472115">
        <w:rPr>
          <w:rFonts w:hint="cs"/>
          <w:b w:val="0"/>
          <w:bCs w:val="0"/>
          <w:sz w:val="22"/>
          <w:szCs w:val="22"/>
          <w:rtl/>
          <w:lang w:bidi="ar-EG"/>
        </w:rPr>
        <w:t xml:space="preserve"> مارس </w:t>
      </w:r>
      <w:r w:rsidRPr="00472115">
        <w:rPr>
          <w:b w:val="0"/>
          <w:bCs w:val="0"/>
          <w:sz w:val="22"/>
          <w:szCs w:val="22"/>
          <w:lang w:val="en-GB" w:bidi="ar-EG"/>
        </w:rPr>
        <w:t>2021</w:t>
      </w:r>
      <w:r w:rsidRPr="00472115">
        <w:rPr>
          <w:rFonts w:hint="cs"/>
          <w:b w:val="0"/>
          <w:bCs w:val="0"/>
          <w:sz w:val="22"/>
          <w:szCs w:val="22"/>
          <w:rtl/>
          <w:lang w:bidi="ar-EG"/>
        </w:rPr>
        <w:t xml:space="preserve">، المنشئة </w:t>
      </w:r>
      <w:r w:rsidRPr="0047211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لمبادرة التحول الرقمي </w:t>
      </w:r>
      <w:r w:rsidRPr="00472115">
        <w:rPr>
          <w:b w:val="0"/>
          <w:bCs w:val="0"/>
          <w:spacing w:val="-2"/>
          <w:sz w:val="22"/>
          <w:szCs w:val="22"/>
          <w:lang w:val="en-GB" w:bidi="ar-EG"/>
        </w:rPr>
        <w:t>(DT-</w:t>
      </w:r>
      <w:r w:rsidR="00A80A96">
        <w:rPr>
          <w:b w:val="0"/>
          <w:bCs w:val="0"/>
          <w:spacing w:val="-2"/>
          <w:sz w:val="22"/>
          <w:szCs w:val="22"/>
          <w:lang w:val="en-GB" w:bidi="ar-EG"/>
        </w:rPr>
        <w:t>I</w:t>
      </w:r>
      <w:r w:rsidRPr="00472115">
        <w:rPr>
          <w:b w:val="0"/>
          <w:bCs w:val="0"/>
          <w:spacing w:val="-2"/>
          <w:sz w:val="22"/>
          <w:szCs w:val="22"/>
          <w:lang w:val="en-GB" w:bidi="ar-EG"/>
        </w:rPr>
        <w:t>)</w:t>
      </w:r>
      <w:r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</w:t>
      </w:r>
      <w:r w:rsidR="00B6460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بهدف</w:t>
      </w:r>
      <w:r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تحسين مستوى النواتج الرئيسية التي يحققها الاتحاد، مع </w:t>
      </w:r>
      <w:r w:rsidR="009831C4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مراعاة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تأثير جائحة فيروس كورونا</w:t>
      </w:r>
      <w:r w:rsidR="00C615EA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</w:t>
      </w:r>
      <w:r w:rsidR="00B64605">
        <w:rPr>
          <w:b w:val="0"/>
          <w:bCs w:val="0"/>
          <w:spacing w:val="-2"/>
          <w:sz w:val="22"/>
          <w:szCs w:val="22"/>
          <w:lang w:val="en-GB" w:bidi="ar-EG"/>
        </w:rPr>
        <w:t>(COVID-19)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</w:t>
      </w:r>
      <w:r w:rsidR="00C615EA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على أعماله 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والتطورات المستجدة</w:t>
      </w:r>
      <w:r w:rsidR="00B6460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داخل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منظومة الأمم المتحدة </w:t>
      </w:r>
      <w:r w:rsidR="00BA2141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فيما يخص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"مستقبل العمل" وتأثيره</w:t>
      </w:r>
      <w:r w:rsidR="00334FD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ا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على القوى العاملة الحالية والجديدة.</w:t>
      </w:r>
      <w:r w:rsid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وت</w:t>
      </w:r>
      <w:r w:rsidR="00B6460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رمي</w:t>
      </w:r>
      <w:r w:rsid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مبادرة التحول الرقمي</w:t>
      </w:r>
      <w:r w:rsidR="00B64605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إلى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ضمان أن ينتهج الاتحاد نهجاً شمولياً </w:t>
      </w:r>
      <w:r w:rsidR="006A22CA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في تنفيذ عملية التحول الرقمي </w:t>
      </w:r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ويولي الأولوية للخيارات </w:t>
      </w:r>
      <w:proofErr w:type="gramStart"/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>الاستراتيجية</w:t>
      </w:r>
      <w:proofErr w:type="gramEnd"/>
      <w:r w:rsidR="00B95656" w:rsidRPr="00B95656">
        <w:rPr>
          <w:rFonts w:hint="cs"/>
          <w:b w:val="0"/>
          <w:bCs w:val="0"/>
          <w:spacing w:val="-2"/>
          <w:sz w:val="22"/>
          <w:szCs w:val="22"/>
          <w:rtl/>
          <w:lang w:val="en-GB" w:bidi="ar-EG"/>
        </w:rPr>
        <w:t xml:space="preserve"> ونواتج المشاريع والموارد المالية والبشرية.</w:t>
      </w:r>
    </w:p>
    <w:p w14:paraId="06EC18A5" w14:textId="38173897" w:rsidR="00695B36" w:rsidRDefault="00695B36" w:rsidP="00695B36">
      <w:pPr>
        <w:pStyle w:val="Heading1"/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 w:rsidR="00472115">
        <w:rPr>
          <w:rFonts w:hint="cs"/>
          <w:rtl/>
          <w:lang w:bidi="ar-EG"/>
        </w:rPr>
        <w:t>التوصية</w:t>
      </w:r>
    </w:p>
    <w:p w14:paraId="58987A88" w14:textId="77777777" w:rsidR="00472115" w:rsidRPr="00FC7C10" w:rsidRDefault="00472115" w:rsidP="00472115">
      <w:pPr>
        <w:rPr>
          <w:rtl/>
          <w:lang w:bidi="ar-EG"/>
        </w:rPr>
      </w:pPr>
      <w:r w:rsidRPr="006D055F">
        <w:rPr>
          <w:rFonts w:hint="cs"/>
          <w:rtl/>
          <w:lang w:bidi="ar-EG"/>
        </w:rPr>
        <w:t>يُدعى المجلس إلى تقديم تعليقات وإسداء المشورة بشأن هذه المبادرة</w:t>
      </w:r>
      <w:r>
        <w:rPr>
          <w:rFonts w:hint="cs"/>
          <w:rtl/>
          <w:lang w:bidi="ar-EG"/>
        </w:rPr>
        <w:t>.</w:t>
      </w:r>
    </w:p>
    <w:p w14:paraId="28279F54" w14:textId="139BEE82" w:rsidR="00695B36" w:rsidRDefault="00695B36" w:rsidP="00695B36">
      <w:pPr>
        <w:rPr>
          <w:rtl/>
        </w:rPr>
      </w:pPr>
      <w:r>
        <w:rPr>
          <w:rtl/>
        </w:rPr>
        <w:br w:type="page"/>
      </w:r>
    </w:p>
    <w:p w14:paraId="6019A740" w14:textId="10483F55" w:rsidR="00695B36" w:rsidRDefault="00DD19C4" w:rsidP="00695B36">
      <w:pPr>
        <w:pStyle w:val="AnnexNo"/>
        <w:rPr>
          <w:rtl/>
        </w:rPr>
      </w:pPr>
      <w:r>
        <w:rPr>
          <w:rFonts w:hint="cs"/>
          <w:rtl/>
        </w:rPr>
        <w:lastRenderedPageBreak/>
        <w:t>ال</w:t>
      </w:r>
      <w:r w:rsidR="00695B36">
        <w:rPr>
          <w:rFonts w:hint="cs"/>
          <w:rtl/>
        </w:rPr>
        <w:t>ملحق</w:t>
      </w:r>
    </w:p>
    <w:p w14:paraId="27D2AC39" w14:textId="77777777" w:rsidR="00695B36" w:rsidRDefault="00695B36" w:rsidP="00370DBE">
      <w:pPr>
        <w:jc w:val="left"/>
        <w:rPr>
          <w:rFonts w:asciiTheme="minorHAnsi" w:hAnsiTheme="minorHAnsi" w:cstheme="minorHAnsi"/>
        </w:rPr>
      </w:pPr>
    </w:p>
    <w:p w14:paraId="5825D874" w14:textId="072076D1" w:rsidR="00695B36" w:rsidRPr="00A80A96" w:rsidRDefault="00370DBE" w:rsidP="00370DBE">
      <w:pPr>
        <w:tabs>
          <w:tab w:val="left" w:pos="7938"/>
        </w:tabs>
        <w:ind w:right="-1034"/>
        <w:jc w:val="left"/>
        <w:rPr>
          <w:b/>
          <w:bCs/>
          <w:sz w:val="26"/>
          <w:szCs w:val="26"/>
        </w:rPr>
      </w:pPr>
      <w:bookmarkStart w:id="2" w:name="_Toc54363460"/>
      <w:bookmarkStart w:id="3" w:name="_Toc148522385"/>
      <w:bookmarkStart w:id="4" w:name="_Toc172093032"/>
      <w:bookmarkStart w:id="5" w:name="_Toc172093071"/>
      <w:bookmarkStart w:id="6" w:name="_Toc172093072"/>
      <w:bookmarkStart w:id="7" w:name="_Toc198006717"/>
      <w:bookmarkStart w:id="8" w:name="_Toc496800028"/>
      <w:bookmarkStart w:id="9" w:name="_Toc496800089"/>
      <w:bookmarkStart w:id="10" w:name="_Toc496800385"/>
      <w:bookmarkStart w:id="11" w:name="_Toc496800503"/>
      <w:bookmarkStart w:id="12" w:name="_Toc496800535"/>
      <w:bookmarkStart w:id="13" w:name="_Toc496800645"/>
      <w:bookmarkStart w:id="14" w:name="_Toc496803628"/>
      <w:bookmarkStart w:id="15" w:name="_Toc496803713"/>
      <w:bookmarkStart w:id="16" w:name="_Toc496803774"/>
      <w:r w:rsidRPr="00A80A96">
        <w:rPr>
          <w:rFonts w:hint="cs"/>
          <w:b/>
          <w:bCs/>
          <w:sz w:val="26"/>
          <w:szCs w:val="26"/>
          <w:rtl/>
        </w:rPr>
        <w:t>الاتحاد الدولي للاتصالات</w:t>
      </w:r>
    </w:p>
    <w:p w14:paraId="3EEDBA80" w14:textId="2C0456B2" w:rsidR="00695B36" w:rsidRPr="00A80A96" w:rsidRDefault="00A80A96" w:rsidP="00A80A96">
      <w:pPr>
        <w:tabs>
          <w:tab w:val="clear" w:pos="794"/>
          <w:tab w:val="left" w:pos="992"/>
        </w:tabs>
        <w:ind w:right="-1034"/>
        <w:jc w:val="left"/>
        <w:rPr>
          <w:sz w:val="24"/>
          <w:szCs w:val="24"/>
        </w:rPr>
      </w:pPr>
      <w:r w:rsidRPr="00A80A96">
        <w:rPr>
          <w:rFonts w:hint="cs"/>
          <w:bCs/>
          <w:sz w:val="24"/>
          <w:szCs w:val="24"/>
          <w:rtl/>
        </w:rPr>
        <w:t>التنسيق</w:t>
      </w:r>
      <w:r w:rsidR="00695B36" w:rsidRPr="00A80A96">
        <w:rPr>
          <w:bCs/>
          <w:sz w:val="24"/>
          <w:szCs w:val="24"/>
        </w:rPr>
        <w:tab/>
      </w:r>
      <w:bookmarkStart w:id="17" w:name="lt_pId043"/>
      <w:r w:rsidR="00370DBE" w:rsidRPr="00A80A96">
        <w:rPr>
          <w:rFonts w:hint="cs"/>
          <w:b/>
          <w:bCs/>
          <w:sz w:val="24"/>
          <w:szCs w:val="24"/>
          <w:u w:val="single"/>
          <w:rtl/>
        </w:rPr>
        <w:t xml:space="preserve">الوثيقة </w:t>
      </w:r>
      <w:r w:rsidR="00695B36" w:rsidRPr="00A80A96">
        <w:rPr>
          <w:b/>
          <w:bCs/>
          <w:sz w:val="24"/>
          <w:szCs w:val="24"/>
          <w:u w:val="single"/>
        </w:rPr>
        <w:t>1014/5</w:t>
      </w:r>
      <w:bookmarkEnd w:id="17"/>
    </w:p>
    <w:p w14:paraId="41188A9B" w14:textId="214D42B1" w:rsidR="00695B36" w:rsidRPr="00A80A96" w:rsidRDefault="00A80A96" w:rsidP="00A80A96">
      <w:pPr>
        <w:pBdr>
          <w:bottom w:val="single" w:sz="12" w:space="1" w:color="auto"/>
        </w:pBdr>
        <w:tabs>
          <w:tab w:val="clear" w:pos="794"/>
          <w:tab w:val="left" w:pos="992"/>
        </w:tabs>
        <w:ind w:right="-1037"/>
        <w:jc w:val="left"/>
        <w:rPr>
          <w:sz w:val="24"/>
          <w:szCs w:val="24"/>
        </w:rPr>
      </w:pPr>
      <w:r w:rsidRPr="00A80A96">
        <w:rPr>
          <w:rFonts w:hint="cs"/>
          <w:bCs/>
          <w:sz w:val="24"/>
          <w:szCs w:val="24"/>
          <w:rtl/>
        </w:rPr>
        <w:t>لجنة</w:t>
      </w:r>
      <w:r w:rsidR="00F51E43" w:rsidRPr="00A80A96">
        <w:rPr>
          <w:bCs/>
          <w:sz w:val="24"/>
          <w:szCs w:val="24"/>
          <w:rtl/>
        </w:rPr>
        <w:tab/>
      </w:r>
      <w:bookmarkStart w:id="18" w:name="lt_pId045"/>
      <w:r w:rsidR="00370DBE" w:rsidRPr="00A80A96">
        <w:rPr>
          <w:sz w:val="24"/>
          <w:szCs w:val="24"/>
        </w:rPr>
        <w:t>1</w:t>
      </w:r>
      <w:r w:rsidR="00370DBE" w:rsidRPr="00A80A96">
        <w:rPr>
          <w:rFonts w:hint="cs"/>
          <w:sz w:val="24"/>
          <w:szCs w:val="24"/>
          <w:rtl/>
          <w:lang w:bidi="ar-EG"/>
        </w:rPr>
        <w:t xml:space="preserve"> مارس </w:t>
      </w:r>
      <w:r w:rsidR="00695B36" w:rsidRPr="00A80A96">
        <w:rPr>
          <w:sz w:val="24"/>
          <w:szCs w:val="24"/>
        </w:rPr>
        <w:t>2021</w:t>
      </w:r>
      <w:bookmarkEnd w:id="18"/>
    </w:p>
    <w:p w14:paraId="658A286F" w14:textId="3114C1C7" w:rsidR="00695B36" w:rsidRPr="00370DBE" w:rsidRDefault="00370DBE" w:rsidP="00370DBE">
      <w:pPr>
        <w:pStyle w:val="Heading1"/>
        <w:spacing w:before="600"/>
        <w:jc w:val="center"/>
        <w:rPr>
          <w:rFonts w:cs="Calibri"/>
          <w:sz w:val="22"/>
        </w:rPr>
      </w:pPr>
      <w:bookmarkStart w:id="19" w:name="_Toc54363461"/>
      <w:bookmarkEnd w:id="2"/>
      <w:r w:rsidRPr="00370DBE">
        <w:rPr>
          <w:rFonts w:hint="cs"/>
          <w:rtl/>
          <w:lang w:bidi="ar-EG"/>
        </w:rPr>
        <w:t xml:space="preserve">مبادرة التحول الرقمي </w:t>
      </w:r>
      <w:r w:rsidRPr="00370DBE">
        <w:t>(DT-I)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9"/>
    <w:p w14:paraId="003E1926" w14:textId="5785BAEA" w:rsidR="00695B36" w:rsidRPr="00360760" w:rsidRDefault="00F51E43" w:rsidP="00A80A96">
      <w:pPr>
        <w:pStyle w:val="Heading1"/>
        <w:spacing w:after="120"/>
        <w:rPr>
          <w:rFonts w:ascii="Calibri Light" w:hAnsi="Calibri Light"/>
          <w:b w:val="0"/>
          <w:bCs w:val="0"/>
          <w:color w:val="2E74B5"/>
        </w:rPr>
      </w:pPr>
      <w:r>
        <w:rPr>
          <w:rFonts w:ascii="Calibri Light" w:hAnsi="Calibri Light" w:hint="cs"/>
          <w:b w:val="0"/>
          <w:color w:val="2E74B5"/>
          <w:rtl/>
        </w:rPr>
        <w:t>لمحة عامة</w:t>
      </w:r>
    </w:p>
    <w:p w14:paraId="1ADCECD1" w14:textId="2568229C" w:rsidR="00370DBE" w:rsidRPr="007153C5" w:rsidRDefault="007153C5" w:rsidP="00FC2C55">
      <w:pPr>
        <w:rPr>
          <w:rtl/>
          <w:lang w:bidi="ar-EG"/>
        </w:rPr>
      </w:pPr>
      <w:r>
        <w:rPr>
          <w:rFonts w:hint="cs"/>
          <w:rtl/>
        </w:rPr>
        <w:t>إن تأكيد أهمية تنفيذ التحول الرقمي تنفيذاً شمولياً وح</w:t>
      </w:r>
      <w:r w:rsidR="008C495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C495B">
        <w:rPr>
          <w:rFonts w:hint="cs"/>
          <w:rtl/>
        </w:rPr>
        <w:t>َ</w:t>
      </w:r>
      <w:r>
        <w:rPr>
          <w:rFonts w:hint="cs"/>
          <w:rtl/>
        </w:rPr>
        <w:t xml:space="preserve">ن التنظيم داخل منظمة مثل الاتحاد الدولي للاتصالات </w:t>
      </w:r>
      <w:r>
        <w:rPr>
          <w:lang w:val="en-GB"/>
        </w:rPr>
        <w:t>(ITU)</w:t>
      </w:r>
      <w:r>
        <w:rPr>
          <w:rFonts w:hint="cs"/>
          <w:rtl/>
          <w:lang w:bidi="ar-EG"/>
        </w:rPr>
        <w:t xml:space="preserve"> لا يمكن أن يكون ضرباً من المبالغة. غير أن إحداث تغييرات في كيان ما</w:t>
      </w:r>
      <w:r w:rsidR="00B4632E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وخاصة داخل منظمة مؤلفة من</w:t>
      </w:r>
      <w:r w:rsidR="00B4632E">
        <w:rPr>
          <w:rFonts w:hint="cs"/>
          <w:rtl/>
          <w:lang w:bidi="ar-EG"/>
        </w:rPr>
        <w:t xml:space="preserve"> أمانة عامة</w:t>
      </w:r>
      <w:r>
        <w:rPr>
          <w:rFonts w:hint="cs"/>
          <w:rtl/>
          <w:lang w:bidi="ar-EG"/>
        </w:rPr>
        <w:t xml:space="preserve"> </w:t>
      </w:r>
      <w:r w:rsidR="00B4632E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ثلاثة قطاعات لكل منها ولاية محددة</w:t>
      </w:r>
      <w:r w:rsidR="00B4632E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ي</w:t>
      </w:r>
      <w:r w:rsidR="00204D5E">
        <w:rPr>
          <w:rFonts w:hint="cs"/>
          <w:rtl/>
          <w:lang w:bidi="ar-EG"/>
        </w:rPr>
        <w:t xml:space="preserve">قتضي </w:t>
      </w:r>
      <w:r w:rsidR="000C3254">
        <w:rPr>
          <w:rFonts w:hint="cs"/>
          <w:rtl/>
          <w:lang w:bidi="ar-EG"/>
        </w:rPr>
        <w:t>اعتماد</w:t>
      </w:r>
      <w:r>
        <w:rPr>
          <w:rFonts w:hint="cs"/>
          <w:rtl/>
          <w:lang w:bidi="ar-EG"/>
        </w:rPr>
        <w:t xml:space="preserve"> نهج مرحلي يميز بوضوح بين </w:t>
      </w:r>
      <w:r>
        <w:rPr>
          <w:lang w:val="en-GB" w:bidi="ar-EG"/>
        </w:rPr>
        <w:t>-1</w:t>
      </w:r>
      <w:r>
        <w:rPr>
          <w:rFonts w:hint="cs"/>
          <w:rtl/>
          <w:lang w:bidi="ar-EG"/>
        </w:rPr>
        <w:t xml:space="preserve"> </w:t>
      </w:r>
      <w:r w:rsidR="00A0447C">
        <w:rPr>
          <w:rFonts w:hint="cs"/>
          <w:i/>
          <w:iCs/>
          <w:rtl/>
          <w:lang w:bidi="ar-EG"/>
        </w:rPr>
        <w:t>موضوع التحوّل</w:t>
      </w:r>
      <w:r>
        <w:rPr>
          <w:rFonts w:hint="cs"/>
          <w:rtl/>
          <w:lang w:bidi="ar-EG"/>
        </w:rPr>
        <w:t xml:space="preserve"> و</w:t>
      </w:r>
      <w:r>
        <w:rPr>
          <w:lang w:val="en-GB" w:bidi="ar-EG"/>
        </w:rPr>
        <w:t>-2</w:t>
      </w:r>
      <w:r>
        <w:rPr>
          <w:rFonts w:hint="cs"/>
          <w:rtl/>
          <w:lang w:bidi="ar-EG"/>
        </w:rPr>
        <w:t xml:space="preserve"> </w:t>
      </w:r>
      <w:r w:rsidRPr="007153C5">
        <w:rPr>
          <w:rFonts w:hint="cs"/>
          <w:i/>
          <w:iCs/>
          <w:rtl/>
          <w:lang w:bidi="ar-EG"/>
        </w:rPr>
        <w:t>كيفية تحويله</w:t>
      </w:r>
      <w:r>
        <w:rPr>
          <w:rFonts w:hint="cs"/>
          <w:rtl/>
          <w:lang w:bidi="ar-EG"/>
        </w:rPr>
        <w:t>.</w:t>
      </w:r>
    </w:p>
    <w:p w14:paraId="61CB3A78" w14:textId="35DAD35E" w:rsidR="00370DBE" w:rsidRDefault="00282F3A" w:rsidP="00073401">
      <w:pPr>
        <w:rPr>
          <w:rtl/>
        </w:rPr>
      </w:pPr>
      <w:r>
        <w:rPr>
          <w:rFonts w:hint="cs"/>
          <w:rtl/>
        </w:rPr>
        <w:t xml:space="preserve">ولضمان أن تُثمر هذه المبادرة تحسينات على نطاق الاتحاد، ينبغي أن ينصب تركيزها على العمليات والمهارات والمهام التمكينية التي، إن </w:t>
      </w:r>
      <w:r w:rsidR="00B4632E">
        <w:rPr>
          <w:rFonts w:hint="cs"/>
          <w:rtl/>
        </w:rPr>
        <w:t>تبلغ</w:t>
      </w:r>
      <w:r>
        <w:rPr>
          <w:rFonts w:hint="cs"/>
          <w:rtl/>
        </w:rPr>
        <w:t xml:space="preserve"> مستوياتها المثلى، تيسر على الاتحاد تحقيق ولاياته المحددة. </w:t>
      </w:r>
      <w:r w:rsidR="005079FD">
        <w:rPr>
          <w:rFonts w:hint="cs"/>
          <w:rtl/>
        </w:rPr>
        <w:t>وتضطلع دوائر الأمانة العامة، بوجه عام، بالعمليات والمهام التمكينية، وتشمل هذه العمليات والمهام أيضاً المبادرات المشتركة بين القطاعات، وعمليات المكاتب المؤثرة على</w:t>
      </w:r>
      <w:r w:rsidR="004D7906">
        <w:rPr>
          <w:rFonts w:hint="eastAsia"/>
          <w:rtl/>
        </w:rPr>
        <w:t> </w:t>
      </w:r>
      <w:r w:rsidR="005079FD">
        <w:rPr>
          <w:rFonts w:hint="cs"/>
          <w:rtl/>
        </w:rPr>
        <w:t>المنظمة.</w:t>
      </w:r>
    </w:p>
    <w:p w14:paraId="5D2B83D0" w14:textId="3576EBD1" w:rsidR="005B134C" w:rsidRDefault="005079FD" w:rsidP="00DE2B2A">
      <w:pPr>
        <w:rPr>
          <w:rtl/>
          <w:lang w:bidi="ar-EG"/>
        </w:rPr>
      </w:pPr>
      <w:r>
        <w:rPr>
          <w:rFonts w:hint="cs"/>
          <w:rtl/>
        </w:rPr>
        <w:t>ويبدأ هذا المشروع</w:t>
      </w:r>
      <w:r w:rsidR="001A029D">
        <w:rPr>
          <w:rFonts w:hint="cs"/>
          <w:rtl/>
        </w:rPr>
        <w:t xml:space="preserve"> المهم</w:t>
      </w:r>
      <w:r>
        <w:rPr>
          <w:rFonts w:hint="cs"/>
          <w:rtl/>
        </w:rPr>
        <w:t xml:space="preserve">، الذي </w:t>
      </w:r>
      <w:r w:rsidR="00355DEE">
        <w:rPr>
          <w:rFonts w:hint="cs"/>
          <w:rtl/>
        </w:rPr>
        <w:t xml:space="preserve">سينفّذ بنهج </w:t>
      </w:r>
      <w:r w:rsidR="000C3254">
        <w:rPr>
          <w:rFonts w:hint="cs"/>
          <w:rtl/>
          <w:lang w:bidi="ar-EG"/>
        </w:rPr>
        <w:t>مرحلي</w:t>
      </w:r>
      <w:r>
        <w:rPr>
          <w:rFonts w:hint="cs"/>
          <w:rtl/>
        </w:rPr>
        <w:t xml:space="preserve">، بالمرحلة </w:t>
      </w:r>
      <w:r>
        <w:rPr>
          <w:lang w:val="en-GB"/>
        </w:rPr>
        <w:t>1</w:t>
      </w:r>
      <w:r>
        <w:rPr>
          <w:rFonts w:hint="cs"/>
          <w:rtl/>
          <w:lang w:val="en-GB" w:bidi="ar-EG"/>
        </w:rPr>
        <w:t xml:space="preserve"> </w:t>
      </w:r>
      <w:r w:rsidR="00014C41">
        <w:rPr>
          <w:rFonts w:hint="cs"/>
          <w:rtl/>
          <w:lang w:val="en-GB" w:bidi="ar-EG"/>
        </w:rPr>
        <w:t>المتعلقة ب</w:t>
      </w:r>
      <w:r>
        <w:rPr>
          <w:rFonts w:hint="cs"/>
          <w:rtl/>
          <w:lang w:val="en-GB" w:bidi="ar-EG"/>
        </w:rPr>
        <w:t>تحديد "</w:t>
      </w:r>
      <w:r w:rsidR="00A0447C">
        <w:rPr>
          <w:rFonts w:hint="cs"/>
          <w:rtl/>
          <w:lang w:val="en-GB" w:bidi="ar-EG"/>
        </w:rPr>
        <w:t>موضوع التحول" وتحديد أولوية تحويله. أما</w:t>
      </w:r>
      <w:r w:rsidR="004D7906">
        <w:rPr>
          <w:rFonts w:hint="eastAsia"/>
          <w:rtl/>
          <w:lang w:val="en-GB" w:bidi="ar-EG"/>
        </w:rPr>
        <w:t> </w:t>
      </w:r>
      <w:r w:rsidR="00A0447C">
        <w:rPr>
          <w:rFonts w:hint="cs"/>
          <w:rtl/>
          <w:lang w:val="en-GB" w:bidi="ar-EG"/>
        </w:rPr>
        <w:t xml:space="preserve">المرحلة </w:t>
      </w:r>
      <w:r w:rsidR="00A0447C">
        <w:rPr>
          <w:lang w:val="en-GB" w:bidi="ar-EG"/>
        </w:rPr>
        <w:t>2</w:t>
      </w:r>
      <w:r w:rsidR="00A0447C">
        <w:rPr>
          <w:rFonts w:hint="cs"/>
          <w:rtl/>
          <w:lang w:bidi="ar-EG"/>
        </w:rPr>
        <w:t xml:space="preserve"> المتعلقة بتحديد نهج </w:t>
      </w:r>
      <w:r w:rsidR="00014C41">
        <w:rPr>
          <w:rFonts w:hint="cs"/>
          <w:rtl/>
          <w:lang w:bidi="ar-EG"/>
        </w:rPr>
        <w:t>"</w:t>
      </w:r>
      <w:r w:rsidR="00A0447C">
        <w:rPr>
          <w:rFonts w:hint="cs"/>
          <w:rtl/>
          <w:lang w:bidi="ar-EG"/>
        </w:rPr>
        <w:t>لكيفية تحويله</w:t>
      </w:r>
      <w:r w:rsidR="00014C41">
        <w:rPr>
          <w:rFonts w:hint="cs"/>
          <w:rtl/>
          <w:lang w:bidi="ar-EG"/>
        </w:rPr>
        <w:t>"</w:t>
      </w:r>
      <w:r w:rsidR="00A0447C">
        <w:rPr>
          <w:rFonts w:hint="cs"/>
          <w:rtl/>
          <w:lang w:bidi="ar-EG"/>
        </w:rPr>
        <w:t xml:space="preserve"> يمتاز بالكفاءة</w:t>
      </w:r>
      <w:r w:rsidR="005E6B2A">
        <w:rPr>
          <w:rFonts w:hint="cs"/>
          <w:rtl/>
          <w:lang w:bidi="ar-EG"/>
        </w:rPr>
        <w:t xml:space="preserve"> و</w:t>
      </w:r>
      <w:r w:rsidR="00A0447C">
        <w:rPr>
          <w:rFonts w:hint="cs"/>
          <w:rtl/>
          <w:lang w:bidi="ar-EG"/>
        </w:rPr>
        <w:t>فعالية</w:t>
      </w:r>
      <w:r w:rsidR="00B4632E">
        <w:rPr>
          <w:rFonts w:hint="cs"/>
          <w:rtl/>
          <w:lang w:bidi="ar-EG"/>
        </w:rPr>
        <w:t xml:space="preserve"> </w:t>
      </w:r>
      <w:r w:rsidR="00A0447C">
        <w:rPr>
          <w:rFonts w:hint="cs"/>
          <w:rtl/>
          <w:lang w:bidi="ar-EG"/>
        </w:rPr>
        <w:t xml:space="preserve">التكلفة، فسيُشرع في تنفيذها عند الانتهاء من تحديد المشكلة، مع مراعاة أن حل </w:t>
      </w:r>
      <w:r w:rsidR="001A029D">
        <w:rPr>
          <w:rFonts w:hint="cs"/>
          <w:rtl/>
          <w:lang w:bidi="ar-EG"/>
        </w:rPr>
        <w:t>ال</w:t>
      </w:r>
      <w:r w:rsidR="00A0447C">
        <w:rPr>
          <w:rFonts w:hint="cs"/>
          <w:rtl/>
          <w:lang w:bidi="ar-EG"/>
        </w:rPr>
        <w:t>مشكلة</w:t>
      </w:r>
      <w:r w:rsidR="001A029D">
        <w:rPr>
          <w:rFonts w:hint="cs"/>
          <w:rtl/>
          <w:lang w:bidi="ar-EG"/>
        </w:rPr>
        <w:t xml:space="preserve"> المحددة</w:t>
      </w:r>
      <w:r w:rsidR="00A0447C">
        <w:rPr>
          <w:rFonts w:hint="cs"/>
          <w:rtl/>
          <w:lang w:bidi="ar-EG"/>
        </w:rPr>
        <w:t xml:space="preserve"> يعتمد على مدى إجادة فهمها.</w:t>
      </w:r>
    </w:p>
    <w:p w14:paraId="065FD11A" w14:textId="2E418FF0" w:rsidR="005B134C" w:rsidRDefault="00EC1B45" w:rsidP="004D790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وبالنظر إلى أن الاتحاد قد أجاز </w:t>
      </w:r>
      <w:r w:rsidR="009831C4">
        <w:rPr>
          <w:rFonts w:hint="cs"/>
          <w:rtl/>
          <w:lang w:bidi="ar-EG"/>
        </w:rPr>
        <w:t xml:space="preserve">إجراء </w:t>
      </w:r>
      <w:r>
        <w:rPr>
          <w:rFonts w:hint="cs"/>
          <w:rtl/>
          <w:lang w:bidi="ar-EG"/>
        </w:rPr>
        <w:t xml:space="preserve">عدة دراسات ومبادرات تقترح تنفيذ </w:t>
      </w:r>
      <w:r w:rsidR="009831C4">
        <w:rPr>
          <w:rFonts w:hint="cs"/>
          <w:rtl/>
          <w:lang w:bidi="ar-EG"/>
        </w:rPr>
        <w:t xml:space="preserve">تدابير </w:t>
      </w:r>
      <w:r>
        <w:rPr>
          <w:rFonts w:hint="cs"/>
          <w:rtl/>
          <w:lang w:bidi="ar-EG"/>
        </w:rPr>
        <w:t>ذات طبيعة تحويلية، فمن المهم أن ترك</w:t>
      </w:r>
      <w:r w:rsidR="00271C26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ز غايات هذه المبادرة على تكميل نتائج </w:t>
      </w:r>
      <w:r w:rsidR="00C615EA">
        <w:rPr>
          <w:rFonts w:hint="cs"/>
          <w:rtl/>
          <w:lang w:bidi="ar-EG"/>
        </w:rPr>
        <w:t xml:space="preserve">سائر المشاريع ذات الصلة </w:t>
      </w:r>
      <w:r>
        <w:rPr>
          <w:rFonts w:hint="cs"/>
          <w:rtl/>
          <w:lang w:bidi="ar-EG"/>
        </w:rPr>
        <w:t>والاستفادة منها. و</w:t>
      </w:r>
      <w:r w:rsidR="00C615EA">
        <w:rPr>
          <w:rFonts w:hint="cs"/>
          <w:rtl/>
          <w:lang w:bidi="ar-EG"/>
        </w:rPr>
        <w:t>من بين</w:t>
      </w:r>
      <w:r>
        <w:rPr>
          <w:rFonts w:hint="cs"/>
          <w:rtl/>
          <w:lang w:bidi="ar-EG"/>
        </w:rPr>
        <w:t xml:space="preserve"> الدراسات والمبادرات التكميلية التي يتعين أخذها في الحسبان ما يلي، على سبيل المثال، لا الحصر:</w:t>
      </w:r>
    </w:p>
    <w:p w14:paraId="64A78D7D" w14:textId="1FF3BF39" w:rsidR="00370DBE" w:rsidRPr="004D7906" w:rsidRDefault="00370DBE" w:rsidP="00370DBE">
      <w:pPr>
        <w:pStyle w:val="enumlev1"/>
        <w:rPr>
          <w:rtl/>
        </w:rPr>
      </w:pPr>
      <w:r w:rsidRPr="004D7906">
        <w:rPr>
          <w:rFonts w:ascii="Calibri" w:hAnsi="Calibri" w:cs="Calibri"/>
          <w:rtl/>
        </w:rPr>
        <w:t>•</w:t>
      </w:r>
      <w:r w:rsidRPr="004D7906">
        <w:rPr>
          <w:rtl/>
        </w:rPr>
        <w:tab/>
      </w:r>
      <w:r w:rsidR="00E137FC" w:rsidRPr="004D7906">
        <w:rPr>
          <w:rFonts w:hint="cs"/>
          <w:rtl/>
        </w:rPr>
        <w:t>استعراض ا</w:t>
      </w:r>
      <w:r w:rsidR="007833A5" w:rsidRPr="004D7906">
        <w:rPr>
          <w:rFonts w:hint="cs"/>
          <w:rtl/>
        </w:rPr>
        <w:t xml:space="preserve">لحضور الإقليمي </w:t>
      </w:r>
      <w:r w:rsidR="00E137FC" w:rsidRPr="004D7906">
        <w:rPr>
          <w:rFonts w:hint="cs"/>
          <w:rtl/>
        </w:rPr>
        <w:t>الذي أجرته</w:t>
      </w:r>
      <w:r w:rsidR="007833A5" w:rsidRPr="004D7906">
        <w:rPr>
          <w:rFonts w:hint="cs"/>
          <w:rtl/>
        </w:rPr>
        <w:t xml:space="preserve"> شر</w:t>
      </w:r>
      <w:r w:rsidR="00AF1BCC" w:rsidRPr="004D7906">
        <w:rPr>
          <w:rFonts w:hint="cs"/>
          <w:rtl/>
        </w:rPr>
        <w:t>ك</w:t>
      </w:r>
      <w:r w:rsidR="007833A5" w:rsidRPr="004D7906">
        <w:rPr>
          <w:rFonts w:hint="cs"/>
          <w:rtl/>
        </w:rPr>
        <w:t xml:space="preserve">ة </w:t>
      </w:r>
      <w:r w:rsidR="007833A5" w:rsidRPr="004D7906">
        <w:rPr>
          <w:rFonts w:cstheme="minorHAnsi"/>
          <w:lang w:val="en-GB"/>
        </w:rPr>
        <w:t>Price Waterhouse Cooper</w:t>
      </w:r>
      <w:r w:rsidR="00E137FC" w:rsidRPr="004D7906">
        <w:rPr>
          <w:rFonts w:hint="cs"/>
          <w:rtl/>
        </w:rPr>
        <w:t xml:space="preserve"> الاستشارية والتوصيات التي قدمتها بشأن هذا الحضور؛</w:t>
      </w:r>
    </w:p>
    <w:p w14:paraId="45B2AE36" w14:textId="0953AC36" w:rsidR="00370DBE" w:rsidRPr="00A649B2" w:rsidRDefault="00370DBE" w:rsidP="00370DBE">
      <w:pPr>
        <w:pStyle w:val="enumlev1"/>
        <w:rPr>
          <w:rtl/>
          <w:lang w:bidi="ar-EG"/>
        </w:rPr>
      </w:pPr>
      <w:r>
        <w:rPr>
          <w:rFonts w:ascii="Calibri" w:hAnsi="Calibri" w:cs="Calibri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>"</w:t>
      </w:r>
      <w:r w:rsidRPr="00370DBE">
        <w:rPr>
          <w:rFonts w:hint="cs"/>
          <w:rtl/>
        </w:rPr>
        <w:t>دراسة جدوى</w:t>
      </w:r>
      <w:r w:rsidR="00EC1B45">
        <w:rPr>
          <w:rFonts w:hint="cs"/>
          <w:rtl/>
        </w:rPr>
        <w:t xml:space="preserve"> مشروع</w:t>
      </w:r>
      <w:r w:rsidRPr="00370DBE">
        <w:rPr>
          <w:rFonts w:hint="cs"/>
          <w:rtl/>
        </w:rPr>
        <w:t xml:space="preserve"> إنشاء معهد تدريب</w:t>
      </w:r>
      <w:r w:rsidR="00EC1B45">
        <w:rPr>
          <w:rFonts w:hint="cs"/>
          <w:rtl/>
        </w:rPr>
        <w:t xml:space="preserve"> يتبع</w:t>
      </w:r>
      <w:r w:rsidRPr="00370DBE">
        <w:rPr>
          <w:rFonts w:hint="cs"/>
          <w:rtl/>
        </w:rPr>
        <w:t xml:space="preserve"> </w:t>
      </w:r>
      <w:r w:rsidR="00EC1B45">
        <w:rPr>
          <w:rFonts w:hint="cs"/>
          <w:rtl/>
        </w:rPr>
        <w:t>ا</w:t>
      </w:r>
      <w:r w:rsidRPr="00370DBE">
        <w:rPr>
          <w:rFonts w:hint="cs"/>
          <w:rtl/>
        </w:rPr>
        <w:t>لاتحاد</w:t>
      </w:r>
      <w:r>
        <w:rPr>
          <w:rFonts w:hint="cs"/>
          <w:rtl/>
        </w:rPr>
        <w:t>"</w:t>
      </w:r>
      <w:r w:rsidR="00EC1B45">
        <w:rPr>
          <w:rFonts w:hint="cs"/>
          <w:rtl/>
        </w:rPr>
        <w:t xml:space="preserve"> </w:t>
      </w:r>
      <w:r w:rsidR="008003CE">
        <w:rPr>
          <w:rFonts w:hint="cs"/>
          <w:rtl/>
        </w:rPr>
        <w:t xml:space="preserve">التي أجرتها </w:t>
      </w:r>
      <w:r w:rsidR="00A649B2">
        <w:rPr>
          <w:rFonts w:hint="cs"/>
          <w:rtl/>
        </w:rPr>
        <w:t xml:space="preserve">شركة </w:t>
      </w:r>
      <w:proofErr w:type="spellStart"/>
      <w:r w:rsidR="00A649B2">
        <w:rPr>
          <w:lang w:val="en-GB"/>
        </w:rPr>
        <w:t>JigSaw</w:t>
      </w:r>
      <w:proofErr w:type="spellEnd"/>
      <w:r w:rsidR="00A649B2">
        <w:rPr>
          <w:rFonts w:hint="cs"/>
          <w:rtl/>
          <w:lang w:bidi="ar-EG"/>
        </w:rPr>
        <w:t xml:space="preserve"> الاستشارية؛</w:t>
      </w:r>
    </w:p>
    <w:p w14:paraId="2B74EAC6" w14:textId="3ECBB642" w:rsidR="00370DBE" w:rsidRPr="00A649B2" w:rsidRDefault="00370DBE" w:rsidP="00370DBE">
      <w:pPr>
        <w:pStyle w:val="enumlev1"/>
        <w:rPr>
          <w:rtl/>
          <w:lang w:bidi="ar-EG"/>
        </w:rPr>
      </w:pPr>
      <w:r>
        <w:rPr>
          <w:rFonts w:ascii="Calibri" w:hAnsi="Calibri" w:cs="Calibri"/>
          <w:rtl/>
        </w:rPr>
        <w:t>•</w:t>
      </w:r>
      <w:r>
        <w:rPr>
          <w:rtl/>
        </w:rPr>
        <w:tab/>
      </w:r>
      <w:r w:rsidR="00A649B2">
        <w:rPr>
          <w:rFonts w:hint="cs"/>
          <w:rtl/>
        </w:rPr>
        <w:t xml:space="preserve">التحليل الثقافي للثغرات في المهارات وللقيادة الذي أجراه معهد </w:t>
      </w:r>
      <w:r w:rsidR="00A649B2">
        <w:rPr>
          <w:lang w:val="en-GB"/>
        </w:rPr>
        <w:t>McKinsey</w:t>
      </w:r>
      <w:r w:rsidR="00A649B2">
        <w:rPr>
          <w:rFonts w:hint="cs"/>
          <w:rtl/>
          <w:lang w:bidi="ar-EG"/>
        </w:rPr>
        <w:t xml:space="preserve"> العالمي؛</w:t>
      </w:r>
    </w:p>
    <w:p w14:paraId="3F5F7A78" w14:textId="2935E050" w:rsidR="00370DBE" w:rsidRDefault="00370DBE" w:rsidP="00370DBE">
      <w:pPr>
        <w:pStyle w:val="enumlev1"/>
        <w:rPr>
          <w:rtl/>
        </w:rPr>
      </w:pPr>
      <w:r>
        <w:rPr>
          <w:rFonts w:ascii="Calibri" w:hAnsi="Calibri" w:cs="Calibri"/>
          <w:rtl/>
        </w:rPr>
        <w:t>•</w:t>
      </w:r>
      <w:r>
        <w:rPr>
          <w:rtl/>
        </w:rPr>
        <w:tab/>
      </w:r>
      <w:r w:rsidR="002045F1">
        <w:rPr>
          <w:rFonts w:hint="cs"/>
          <w:rtl/>
          <w:lang w:bidi="ar-EG"/>
        </w:rPr>
        <w:t>فريق المهام</w:t>
      </w:r>
      <w:r w:rsidR="00A649B2">
        <w:rPr>
          <w:rFonts w:hint="cs"/>
          <w:rtl/>
        </w:rPr>
        <w:t xml:space="preserve"> المعني بالمشاركة عن بُعد</w:t>
      </w:r>
      <w:r>
        <w:rPr>
          <w:rFonts w:hint="cs"/>
          <w:rtl/>
        </w:rPr>
        <w:t>؛</w:t>
      </w:r>
    </w:p>
    <w:p w14:paraId="4CEA34B2" w14:textId="2B5D9D59" w:rsidR="00370DBE" w:rsidRPr="004D7906" w:rsidRDefault="00370DBE" w:rsidP="00370DBE">
      <w:pPr>
        <w:pStyle w:val="enumlev1"/>
        <w:rPr>
          <w:spacing w:val="-4"/>
          <w:rtl/>
          <w:lang w:val="en-GB" w:bidi="ar-EG"/>
        </w:rPr>
      </w:pPr>
      <w:r w:rsidRPr="004D7906">
        <w:rPr>
          <w:rFonts w:ascii="Calibri" w:hAnsi="Calibri" w:cs="Calibri"/>
          <w:spacing w:val="-4"/>
          <w:rtl/>
        </w:rPr>
        <w:t>•</w:t>
      </w:r>
      <w:r w:rsidRPr="004D7906">
        <w:rPr>
          <w:spacing w:val="-4"/>
          <w:rtl/>
        </w:rPr>
        <w:tab/>
      </w:r>
      <w:r w:rsidR="009831C4" w:rsidRPr="004D7906">
        <w:rPr>
          <w:rFonts w:hint="cs"/>
          <w:spacing w:val="-4"/>
          <w:rtl/>
          <w:lang w:bidi="ar-EG"/>
        </w:rPr>
        <w:t xml:space="preserve">البرنامج </w:t>
      </w:r>
      <w:r w:rsidR="00484514" w:rsidRPr="004D7906">
        <w:rPr>
          <w:rFonts w:hint="cs"/>
          <w:spacing w:val="-4"/>
          <w:rtl/>
          <w:lang w:bidi="ar-EG"/>
        </w:rPr>
        <w:t>الرقمي</w:t>
      </w:r>
      <w:r w:rsidR="009831C4" w:rsidRPr="004D7906">
        <w:rPr>
          <w:rFonts w:hint="cs"/>
          <w:spacing w:val="-4"/>
          <w:rtl/>
          <w:lang w:bidi="ar-EG"/>
        </w:rPr>
        <w:t xml:space="preserve"> </w:t>
      </w:r>
      <w:r w:rsidR="00484514" w:rsidRPr="004D7906">
        <w:rPr>
          <w:rFonts w:hint="cs"/>
          <w:spacing w:val="-4"/>
          <w:rtl/>
          <w:lang w:bidi="ar-EG"/>
        </w:rPr>
        <w:t>لدائرة التخطيط الاستراتيجي و</w:t>
      </w:r>
      <w:r w:rsidR="002045F1" w:rsidRPr="004D7906">
        <w:rPr>
          <w:rFonts w:hint="cs"/>
          <w:spacing w:val="-4"/>
          <w:rtl/>
          <w:lang w:bidi="ar-EG"/>
        </w:rPr>
        <w:t xml:space="preserve">شؤون </w:t>
      </w:r>
      <w:r w:rsidR="00484514" w:rsidRPr="004D7906">
        <w:rPr>
          <w:rFonts w:hint="cs"/>
          <w:spacing w:val="-4"/>
          <w:rtl/>
          <w:lang w:bidi="ar-EG"/>
        </w:rPr>
        <w:t xml:space="preserve">الأعضاء </w:t>
      </w:r>
      <w:r w:rsidR="00484514" w:rsidRPr="004D7906">
        <w:rPr>
          <w:spacing w:val="-4"/>
          <w:lang w:val="en-GB" w:bidi="ar-EG"/>
        </w:rPr>
        <w:t>(SPM)</w:t>
      </w:r>
      <w:r w:rsidR="00484514" w:rsidRPr="004D7906">
        <w:rPr>
          <w:rFonts w:hint="cs"/>
          <w:spacing w:val="-4"/>
          <w:rtl/>
          <w:lang w:bidi="ar-EG"/>
        </w:rPr>
        <w:t>، المستحدث</w:t>
      </w:r>
      <w:r w:rsidR="009831C4" w:rsidRPr="004D7906">
        <w:rPr>
          <w:rFonts w:hint="cs"/>
          <w:spacing w:val="-4"/>
          <w:rtl/>
          <w:lang w:bidi="ar-EG"/>
        </w:rPr>
        <w:t xml:space="preserve"> </w:t>
      </w:r>
      <w:r w:rsidR="00484514" w:rsidRPr="004D7906">
        <w:rPr>
          <w:rFonts w:hint="cs"/>
          <w:spacing w:val="-4"/>
          <w:rtl/>
          <w:lang w:bidi="ar-EG"/>
        </w:rPr>
        <w:t xml:space="preserve">بدعم من </w:t>
      </w:r>
      <w:r w:rsidR="009831C4" w:rsidRPr="004D7906">
        <w:rPr>
          <w:rFonts w:hint="cs"/>
          <w:spacing w:val="-4"/>
          <w:rtl/>
          <w:lang w:bidi="ar-EG"/>
        </w:rPr>
        <w:t xml:space="preserve">شركة </w:t>
      </w:r>
      <w:r w:rsidR="00484514" w:rsidRPr="004D7906">
        <w:rPr>
          <w:spacing w:val="-4"/>
          <w:lang w:val="en-GB" w:bidi="ar-EG"/>
        </w:rPr>
        <w:t>Ernst &amp; Young</w:t>
      </w:r>
      <w:r w:rsidR="00484514" w:rsidRPr="004D7906">
        <w:rPr>
          <w:rFonts w:hint="cs"/>
          <w:spacing w:val="-4"/>
          <w:rtl/>
          <w:lang w:val="en-GB" w:bidi="ar-EG"/>
        </w:rPr>
        <w:t>؛</w:t>
      </w:r>
    </w:p>
    <w:p w14:paraId="4FF4681B" w14:textId="15AA793B" w:rsidR="00370DBE" w:rsidRDefault="00370DBE" w:rsidP="00370DBE">
      <w:pPr>
        <w:pStyle w:val="enumlev1"/>
        <w:rPr>
          <w:rtl/>
        </w:rPr>
      </w:pPr>
      <w:r>
        <w:rPr>
          <w:rFonts w:ascii="Calibri" w:hAnsi="Calibri" w:cs="Calibri"/>
          <w:rtl/>
        </w:rPr>
        <w:t>•</w:t>
      </w:r>
      <w:r>
        <w:rPr>
          <w:rtl/>
        </w:rPr>
        <w:tab/>
      </w:r>
      <w:r w:rsidR="00F8609C">
        <w:rPr>
          <w:rFonts w:hint="cs"/>
          <w:rtl/>
        </w:rPr>
        <w:t xml:space="preserve">مشروع </w:t>
      </w:r>
      <w:r w:rsidR="00125258">
        <w:rPr>
          <w:rFonts w:hint="cs"/>
          <w:rtl/>
        </w:rPr>
        <w:t>المبنى</w:t>
      </w:r>
      <w:r w:rsidR="00F8609C">
        <w:rPr>
          <w:rFonts w:hint="cs"/>
          <w:rtl/>
        </w:rPr>
        <w:t xml:space="preserve"> الجديد للمقر، بما في ذلك تخطيط المساحات </w:t>
      </w:r>
      <w:r w:rsidR="00E137FC">
        <w:rPr>
          <w:rFonts w:hint="cs"/>
          <w:rtl/>
        </w:rPr>
        <w:t xml:space="preserve">المستقبلي </w:t>
      </w:r>
      <w:r w:rsidR="00F8609C">
        <w:rPr>
          <w:rFonts w:hint="cs"/>
          <w:rtl/>
        </w:rPr>
        <w:t>وآثاره</w:t>
      </w:r>
      <w:r>
        <w:rPr>
          <w:rFonts w:hint="cs"/>
          <w:rtl/>
        </w:rPr>
        <w:t>؛</w:t>
      </w:r>
    </w:p>
    <w:p w14:paraId="16240B54" w14:textId="243BA9F4" w:rsidR="005B134C" w:rsidRDefault="00370DBE" w:rsidP="004D7906">
      <w:pPr>
        <w:pStyle w:val="enumlev1"/>
        <w:rPr>
          <w:rtl/>
          <w:lang w:bidi="ar-EG"/>
        </w:rPr>
      </w:pPr>
      <w:r>
        <w:rPr>
          <w:rFonts w:ascii="Calibri" w:hAnsi="Calibri" w:cs="Calibri"/>
          <w:rtl/>
        </w:rPr>
        <w:t>•</w:t>
      </w:r>
      <w:r>
        <w:rPr>
          <w:rtl/>
        </w:rPr>
        <w:tab/>
      </w:r>
      <w:r w:rsidRPr="00370DBE">
        <w:rPr>
          <w:rFonts w:hint="cs"/>
          <w:rtl/>
        </w:rPr>
        <w:t xml:space="preserve">المركز الدولي للابتكار </w:t>
      </w:r>
      <w:r w:rsidR="00F23F13">
        <w:rPr>
          <w:rFonts w:hint="cs"/>
          <w:rtl/>
        </w:rPr>
        <w:t>الرقمي</w:t>
      </w:r>
      <w:r w:rsidRPr="00370DBE">
        <w:rPr>
          <w:rFonts w:hint="cs"/>
          <w:rtl/>
        </w:rPr>
        <w:t xml:space="preserve"> </w:t>
      </w:r>
      <w:r w:rsidRPr="00370DBE">
        <w:t>(I-</w:t>
      </w:r>
      <w:proofErr w:type="spellStart"/>
      <w:r w:rsidRPr="00370DBE">
        <w:t>CoDI</w:t>
      </w:r>
      <w:proofErr w:type="spellEnd"/>
      <w:r w:rsidRPr="00370DBE">
        <w:t>)</w:t>
      </w:r>
      <w:r>
        <w:rPr>
          <w:rFonts w:hint="cs"/>
          <w:rtl/>
          <w:lang w:bidi="ar-EG"/>
        </w:rPr>
        <w:t>.</w:t>
      </w:r>
    </w:p>
    <w:p w14:paraId="78364642" w14:textId="6AB96500" w:rsidR="005B134C" w:rsidRDefault="00334FD5" w:rsidP="004D7906">
      <w:pPr>
        <w:rPr>
          <w:rtl/>
        </w:rPr>
      </w:pPr>
      <w:r>
        <w:rPr>
          <w:rFonts w:hint="cs"/>
          <w:rtl/>
        </w:rPr>
        <w:t xml:space="preserve">وسيُؤخذ في الاعتبار </w:t>
      </w:r>
      <w:r>
        <w:rPr>
          <w:rFonts w:hint="cs"/>
          <w:spacing w:val="-2"/>
          <w:rtl/>
          <w:lang w:val="en-GB" w:bidi="ar-EG"/>
        </w:rPr>
        <w:t xml:space="preserve">تأثير جائحة فيروس كورونا </w:t>
      </w:r>
      <w:r>
        <w:rPr>
          <w:spacing w:val="-2"/>
          <w:lang w:val="en-GB" w:bidi="ar-EG"/>
        </w:rPr>
        <w:t>(COVID-19)</w:t>
      </w:r>
      <w:r>
        <w:rPr>
          <w:rFonts w:hint="cs"/>
          <w:spacing w:val="-2"/>
          <w:rtl/>
          <w:lang w:val="en-GB" w:bidi="ar-EG"/>
        </w:rPr>
        <w:t xml:space="preserve"> على أعمال</w:t>
      </w:r>
      <w:r>
        <w:rPr>
          <w:rFonts w:hint="cs"/>
          <w:spacing w:val="-2"/>
          <w:rtl/>
          <w:lang w:bidi="ar-EG"/>
        </w:rPr>
        <w:t xml:space="preserve"> الاتحاد</w:t>
      </w:r>
      <w:r w:rsidR="009831C4">
        <w:rPr>
          <w:rFonts w:hint="cs"/>
          <w:spacing w:val="-2"/>
          <w:rtl/>
          <w:lang w:bidi="ar-EG"/>
        </w:rPr>
        <w:t>،</w:t>
      </w:r>
      <w:r>
        <w:rPr>
          <w:rFonts w:hint="cs"/>
          <w:spacing w:val="-2"/>
          <w:rtl/>
          <w:lang w:val="en-GB" w:bidi="ar-EG"/>
        </w:rPr>
        <w:t xml:space="preserve"> </w:t>
      </w:r>
      <w:r w:rsidR="009831C4">
        <w:rPr>
          <w:rFonts w:hint="cs"/>
          <w:spacing w:val="-2"/>
          <w:rtl/>
          <w:lang w:val="en-GB" w:bidi="ar-EG"/>
        </w:rPr>
        <w:t xml:space="preserve">كما ورد </w:t>
      </w:r>
      <w:r>
        <w:rPr>
          <w:rFonts w:hint="cs"/>
          <w:spacing w:val="-2"/>
          <w:rtl/>
          <w:lang w:val="en-GB" w:bidi="ar-EG"/>
        </w:rPr>
        <w:t>في التقرير</w:t>
      </w:r>
      <w:r w:rsidR="00F40B10">
        <w:rPr>
          <w:rFonts w:hint="cs"/>
          <w:spacing w:val="-2"/>
          <w:rtl/>
          <w:lang w:val="en-GB" w:bidi="ar-EG"/>
        </w:rPr>
        <w:t xml:space="preserve"> ذي الصلة</w:t>
      </w:r>
      <w:r>
        <w:rPr>
          <w:rFonts w:hint="cs"/>
          <w:spacing w:val="-2"/>
          <w:rtl/>
          <w:lang w:val="en-GB" w:bidi="ar-EG"/>
        </w:rPr>
        <w:t xml:space="preserve"> المقدم إلى المجلس وفريق العمل التابع له </w:t>
      </w:r>
      <w:r>
        <w:rPr>
          <w:spacing w:val="-2"/>
          <w:lang w:val="en-GB" w:bidi="ar-EG"/>
        </w:rPr>
        <w:t>(CWG)</w:t>
      </w:r>
      <w:r>
        <w:rPr>
          <w:rFonts w:hint="cs"/>
          <w:spacing w:val="-2"/>
          <w:rtl/>
          <w:lang w:val="en-GB" w:bidi="ar-EG"/>
        </w:rPr>
        <w:t xml:space="preserve">، والتطورات المستجدة داخل منظومة الأمم المتحدة </w:t>
      </w:r>
      <w:r w:rsidR="00016877">
        <w:rPr>
          <w:rFonts w:hint="cs"/>
          <w:spacing w:val="-2"/>
          <w:rtl/>
          <w:lang w:val="en-GB" w:bidi="ar-EG"/>
        </w:rPr>
        <w:t>بشأن</w:t>
      </w:r>
      <w:r>
        <w:rPr>
          <w:rFonts w:hint="cs"/>
          <w:spacing w:val="-2"/>
          <w:rtl/>
          <w:lang w:val="en-GB" w:bidi="ar-EG"/>
        </w:rPr>
        <w:t xml:space="preserve"> "مستقبل العمل" وتأثيرها على القوى العاملة الحالية والجديدة (مثل العمل عن بُعد وال</w:t>
      </w:r>
      <w:r w:rsidR="00B67BCE">
        <w:rPr>
          <w:rFonts w:hint="cs"/>
          <w:spacing w:val="-2"/>
          <w:rtl/>
          <w:lang w:val="en-GB" w:bidi="ar-EG"/>
        </w:rPr>
        <w:t>ترتيبات</w:t>
      </w:r>
      <w:r>
        <w:rPr>
          <w:rFonts w:hint="cs"/>
          <w:spacing w:val="-2"/>
          <w:rtl/>
          <w:lang w:val="en-GB" w:bidi="ar-EG"/>
        </w:rPr>
        <w:t xml:space="preserve"> التعاقدية).</w:t>
      </w:r>
    </w:p>
    <w:p w14:paraId="65DA8368" w14:textId="16BC6A63" w:rsidR="005B134C" w:rsidRDefault="00546F69" w:rsidP="00E51579">
      <w:pPr>
        <w:rPr>
          <w:rtl/>
          <w:lang w:bidi="ar-EG"/>
        </w:rPr>
      </w:pPr>
      <w:r>
        <w:rPr>
          <w:rFonts w:hint="cs"/>
          <w:rtl/>
        </w:rPr>
        <w:t xml:space="preserve">وينبغي أن تضمن ولاية الفريق الجديد المعني بالتحول الرقمي </w:t>
      </w:r>
      <w:r>
        <w:rPr>
          <w:lang w:val="en-GB"/>
        </w:rPr>
        <w:t>(DT-G)</w:t>
      </w:r>
      <w:r>
        <w:rPr>
          <w:rFonts w:hint="cs"/>
          <w:rtl/>
          <w:lang w:bidi="ar-EG"/>
        </w:rPr>
        <w:t xml:space="preserve"> أن ينتهج الاتحاد نهجاً شمولياً في تنفيذ عملية التحول الرقمي، ويولي الأولوية للخيارات الاستراتيجية ونواتج المشاريع والموارد المالية والبشرية، ويقدم</w:t>
      </w:r>
      <w:r w:rsidR="0033638D">
        <w:rPr>
          <w:rFonts w:hint="cs"/>
          <w:rtl/>
          <w:lang w:bidi="ar-EG"/>
        </w:rPr>
        <w:t xml:space="preserve"> بانتظام</w:t>
      </w:r>
      <w:r>
        <w:rPr>
          <w:rFonts w:hint="cs"/>
          <w:rtl/>
          <w:lang w:bidi="ar-EG"/>
        </w:rPr>
        <w:t xml:space="preserve"> تقارير إلى فريق </w:t>
      </w:r>
      <w:r w:rsidR="00753F70">
        <w:rPr>
          <w:rFonts w:hint="cs"/>
          <w:rtl/>
          <w:lang w:bidi="ar-EG"/>
        </w:rPr>
        <w:t>تنسيق الإدارة</w:t>
      </w:r>
      <w:r w:rsidR="00423AB8">
        <w:rPr>
          <w:rFonts w:hint="cs"/>
          <w:rtl/>
          <w:lang w:bidi="ar-EG"/>
        </w:rPr>
        <w:t xml:space="preserve"> التابع ل</w:t>
      </w:r>
      <w:r>
        <w:rPr>
          <w:rFonts w:hint="cs"/>
          <w:rtl/>
          <w:lang w:bidi="ar-EG"/>
        </w:rPr>
        <w:t xml:space="preserve">لجنة التنسيق </w:t>
      </w:r>
      <w:r>
        <w:rPr>
          <w:lang w:val="en-GB" w:bidi="ar-EG"/>
        </w:rPr>
        <w:t>(MCG/</w:t>
      </w:r>
      <w:proofErr w:type="spellStart"/>
      <w:r>
        <w:rPr>
          <w:lang w:val="en-GB" w:bidi="ar-EG"/>
        </w:rPr>
        <w:t>CoCo</w:t>
      </w:r>
      <w:proofErr w:type="spellEnd"/>
      <w:r>
        <w:rPr>
          <w:lang w:val="en-GB" w:bidi="ar-EG"/>
        </w:rPr>
        <w:t>)</w:t>
      </w:r>
      <w:r>
        <w:rPr>
          <w:rFonts w:hint="cs"/>
          <w:rtl/>
          <w:lang w:bidi="ar-EG"/>
        </w:rPr>
        <w:t xml:space="preserve"> حسب الاقتضاء.</w:t>
      </w:r>
    </w:p>
    <w:p w14:paraId="5515CB49" w14:textId="5590048A" w:rsidR="001A2EE5" w:rsidRPr="00360760" w:rsidRDefault="005B134C" w:rsidP="00A80A96">
      <w:pPr>
        <w:pStyle w:val="Heading1"/>
        <w:spacing w:after="120"/>
        <w:rPr>
          <w:rFonts w:ascii="Calibri Light" w:hAnsi="Calibri Light"/>
          <w:b w:val="0"/>
          <w:bCs w:val="0"/>
          <w:color w:val="2E74B5"/>
        </w:rPr>
      </w:pPr>
      <w:r>
        <w:rPr>
          <w:rFonts w:ascii="Calibri Light" w:hAnsi="Calibri Light" w:hint="cs"/>
          <w:b w:val="0"/>
          <w:color w:val="2E74B5"/>
          <w:rtl/>
        </w:rPr>
        <w:lastRenderedPageBreak/>
        <w:t>الأهداف</w:t>
      </w:r>
    </w:p>
    <w:p w14:paraId="5FCED56C" w14:textId="6F15C1B8" w:rsidR="001A2EE5" w:rsidRPr="00837C4D" w:rsidRDefault="00837C4D" w:rsidP="00A3427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ينبغي أن </w:t>
      </w:r>
      <w:r w:rsidR="00D6683C">
        <w:rPr>
          <w:rFonts w:hint="cs"/>
          <w:rtl/>
          <w:lang w:bidi="ar-EG"/>
        </w:rPr>
        <w:t xml:space="preserve">تفضي </w:t>
      </w:r>
      <w:r>
        <w:rPr>
          <w:rFonts w:hint="cs"/>
          <w:rtl/>
          <w:lang w:bidi="ar-EG"/>
        </w:rPr>
        <w:t xml:space="preserve">مبادرة التحول الرقمي </w:t>
      </w:r>
      <w:r>
        <w:rPr>
          <w:lang w:val="en-GB" w:bidi="ar-EG"/>
        </w:rPr>
        <w:t>(DT-</w:t>
      </w:r>
      <w:r w:rsidR="00A80A96">
        <w:rPr>
          <w:lang w:val="en-GB" w:bidi="ar-EG"/>
        </w:rPr>
        <w:t>I</w:t>
      </w:r>
      <w:r>
        <w:rPr>
          <w:lang w:val="en-GB" w:bidi="ar-EG"/>
        </w:rPr>
        <w:t>)</w:t>
      </w:r>
      <w:r>
        <w:rPr>
          <w:rFonts w:hint="cs"/>
          <w:rtl/>
          <w:lang w:bidi="ar-EG"/>
        </w:rPr>
        <w:t xml:space="preserve"> </w:t>
      </w:r>
      <w:r w:rsidR="009831C4">
        <w:rPr>
          <w:rFonts w:hint="cs"/>
          <w:rtl/>
          <w:lang w:bidi="ar-EG"/>
        </w:rPr>
        <w:t xml:space="preserve">الجديدة </w:t>
      </w:r>
      <w:r w:rsidR="00D6683C">
        <w:rPr>
          <w:rFonts w:hint="cs"/>
          <w:rtl/>
          <w:lang w:bidi="ar-EG"/>
        </w:rPr>
        <w:t>إلى تحسّن</w:t>
      </w:r>
      <w:r>
        <w:rPr>
          <w:rFonts w:hint="cs"/>
          <w:rtl/>
          <w:lang w:bidi="ar-EG"/>
        </w:rPr>
        <w:t xml:space="preserve"> مستوى النواتج الرئيسية التي ي</w:t>
      </w:r>
      <w:r w:rsidR="0009309D">
        <w:rPr>
          <w:rFonts w:hint="cs"/>
          <w:rtl/>
          <w:lang w:bidi="ar-EG"/>
        </w:rPr>
        <w:t>ُحرزها</w:t>
      </w:r>
      <w:r>
        <w:rPr>
          <w:rFonts w:hint="cs"/>
          <w:rtl/>
          <w:lang w:bidi="ar-EG"/>
        </w:rPr>
        <w:t xml:space="preserve"> الاتحاد، وكذلك مستوى كفاء</w:t>
      </w:r>
      <w:r w:rsidR="00C27926">
        <w:rPr>
          <w:rFonts w:hint="cs"/>
          <w:rtl/>
          <w:lang w:bidi="ar-EG"/>
        </w:rPr>
        <w:t>ة عمليات الأعمال</w:t>
      </w:r>
      <w:r>
        <w:rPr>
          <w:rFonts w:hint="cs"/>
          <w:rtl/>
          <w:lang w:bidi="ar-EG"/>
        </w:rPr>
        <w:t xml:space="preserve"> الداخلية، وتضمن أن يصبح الاتحاد ربّ</w:t>
      </w:r>
      <w:r w:rsidR="008D3B8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عمل </w:t>
      </w:r>
      <w:r w:rsidR="00F23D2C">
        <w:rPr>
          <w:rFonts w:hint="cs"/>
          <w:rtl/>
          <w:lang w:bidi="ar-EG"/>
        </w:rPr>
        <w:t>يختار</w:t>
      </w:r>
      <w:r w:rsidR="00A34275">
        <w:rPr>
          <w:rFonts w:hint="cs"/>
          <w:rtl/>
          <w:lang w:bidi="ar-EG"/>
        </w:rPr>
        <w:t>ه العاملون المتميزون.</w:t>
      </w:r>
    </w:p>
    <w:p w14:paraId="0D673294" w14:textId="69871368" w:rsidR="001A2EE5" w:rsidRDefault="00DC69B5" w:rsidP="00370DBE">
      <w:pPr>
        <w:rPr>
          <w:rtl/>
        </w:rPr>
      </w:pPr>
      <w:r>
        <w:rPr>
          <w:rFonts w:hint="cs"/>
          <w:rtl/>
          <w:lang w:bidi="ar-EG"/>
        </w:rPr>
        <w:t>ف</w:t>
      </w:r>
      <w:r w:rsidR="0005086E">
        <w:rPr>
          <w:rFonts w:hint="cs"/>
          <w:rtl/>
        </w:rPr>
        <w:t>ينبغي أن ت</w:t>
      </w:r>
      <w:r w:rsidR="0070478E">
        <w:rPr>
          <w:rFonts w:hint="cs"/>
          <w:rtl/>
        </w:rPr>
        <w:t>رمي</w:t>
      </w:r>
      <w:r w:rsidR="0005086E">
        <w:rPr>
          <w:rFonts w:hint="cs"/>
          <w:rtl/>
        </w:rPr>
        <w:t xml:space="preserve"> المبادرة </w:t>
      </w:r>
      <w:r w:rsidR="0070478E">
        <w:rPr>
          <w:rFonts w:hint="cs"/>
          <w:rtl/>
        </w:rPr>
        <w:t>إلى تحقيق</w:t>
      </w:r>
      <w:r w:rsidR="009831C4">
        <w:rPr>
          <w:rFonts w:hint="cs"/>
          <w:rtl/>
        </w:rPr>
        <w:t xml:space="preserve"> الغايات التالية</w:t>
      </w:r>
      <w:r w:rsidR="001A2EE5">
        <w:rPr>
          <w:rFonts w:hint="cs"/>
          <w:rtl/>
        </w:rPr>
        <w:t>:</w:t>
      </w:r>
    </w:p>
    <w:p w14:paraId="1D3746D1" w14:textId="7E007676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2446AC">
        <w:rPr>
          <w:rFonts w:hint="cs"/>
          <w:rtl/>
        </w:rPr>
        <w:t xml:space="preserve">رفع مستوى كفاءة عمليات </w:t>
      </w:r>
      <w:r w:rsidR="00DC69B5">
        <w:rPr>
          <w:rFonts w:hint="cs"/>
          <w:rtl/>
        </w:rPr>
        <w:t xml:space="preserve">الأعمال الداخلية، والإدارة الداخلية، وتبسيط </w:t>
      </w:r>
      <w:r w:rsidR="009831C4">
        <w:rPr>
          <w:rFonts w:hint="cs"/>
          <w:rtl/>
        </w:rPr>
        <w:t xml:space="preserve">سير </w:t>
      </w:r>
      <w:r w:rsidR="00DC69B5">
        <w:rPr>
          <w:rFonts w:hint="cs"/>
          <w:rtl/>
        </w:rPr>
        <w:t xml:space="preserve">الأعمال </w:t>
      </w:r>
      <w:proofErr w:type="spellStart"/>
      <w:r w:rsidR="00DC69B5">
        <w:rPr>
          <w:rFonts w:hint="cs"/>
          <w:rtl/>
        </w:rPr>
        <w:t>ورقمنتها</w:t>
      </w:r>
      <w:proofErr w:type="spellEnd"/>
      <w:r w:rsidR="00DC69B5">
        <w:rPr>
          <w:rFonts w:hint="cs"/>
          <w:rtl/>
        </w:rPr>
        <w:t xml:space="preserve"> (</w:t>
      </w:r>
      <w:r w:rsidR="00DC69B5">
        <w:rPr>
          <w:rFonts w:hint="cs"/>
          <w:rtl/>
          <w:lang w:bidi="ar-EG"/>
        </w:rPr>
        <w:t xml:space="preserve">المقرَّر </w:t>
      </w:r>
      <w:r w:rsidR="00DC69B5">
        <w:rPr>
          <w:lang w:val="en-GB" w:bidi="ar-EG"/>
        </w:rPr>
        <w:t>5</w:t>
      </w:r>
      <w:r w:rsidR="00DC69B5">
        <w:rPr>
          <w:rFonts w:hint="cs"/>
          <w:rtl/>
        </w:rPr>
        <w:t xml:space="preserve">/الملحق </w:t>
      </w:r>
      <w:r w:rsidR="00DC69B5">
        <w:rPr>
          <w:lang w:val="en-GB"/>
        </w:rPr>
        <w:t>2</w:t>
      </w:r>
      <w:r w:rsidR="00DC69B5">
        <w:rPr>
          <w:rFonts w:hint="cs"/>
          <w:rtl/>
        </w:rPr>
        <w:t>)</w:t>
      </w:r>
      <w:r w:rsidR="0029749D">
        <w:rPr>
          <w:rFonts w:hint="cs"/>
          <w:rtl/>
        </w:rPr>
        <w:t>.</w:t>
      </w:r>
    </w:p>
    <w:p w14:paraId="24C82E1F" w14:textId="415F98B5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DC69B5">
        <w:rPr>
          <w:rFonts w:hint="cs"/>
          <w:rtl/>
        </w:rPr>
        <w:t xml:space="preserve">تحسين تجربة المستخدِم (في الاجتماعات والمؤتمرات والأحداث التي يحضرها الأعضاء وغيرهم من أصحاب المصلحة)؛ </w:t>
      </w:r>
      <w:r w:rsidR="00FA665E">
        <w:rPr>
          <w:rFonts w:hint="cs"/>
          <w:rtl/>
        </w:rPr>
        <w:t>ولدى</w:t>
      </w:r>
      <w:r w:rsidR="00DC69B5">
        <w:rPr>
          <w:rFonts w:hint="cs"/>
          <w:rtl/>
        </w:rPr>
        <w:t xml:space="preserve"> استعمال التطبيقات والمنصّات الموجهة إلى الأعضاء وإلى الجمهور؛ </w:t>
      </w:r>
      <w:r w:rsidR="00FA665E">
        <w:rPr>
          <w:rFonts w:hint="cs"/>
          <w:rtl/>
        </w:rPr>
        <w:t>وفيما يتعلق بالمحتوى الداخلي/أصحاب الأعمال).</w:t>
      </w:r>
    </w:p>
    <w:p w14:paraId="2E9E2F08" w14:textId="37DD9A4A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433A04">
        <w:rPr>
          <w:rFonts w:hint="cs"/>
          <w:rtl/>
        </w:rPr>
        <w:t xml:space="preserve">تعزيز القدرة على </w:t>
      </w:r>
      <w:r w:rsidR="00433A04">
        <w:rPr>
          <w:rFonts w:hint="cs"/>
          <w:rtl/>
          <w:lang w:bidi="ar-EG"/>
        </w:rPr>
        <w:t>جذب</w:t>
      </w:r>
      <w:r w:rsidR="00433A04">
        <w:rPr>
          <w:rFonts w:hint="cs"/>
          <w:rtl/>
        </w:rPr>
        <w:t xml:space="preserve"> الأفكار المتبصِّرة من الموظفين والأعضاء والشركاء.</w:t>
      </w:r>
    </w:p>
    <w:p w14:paraId="057F2299" w14:textId="44F210D7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433A04">
        <w:rPr>
          <w:rFonts w:hint="cs"/>
          <w:rtl/>
        </w:rPr>
        <w:t xml:space="preserve">ضمان </w:t>
      </w:r>
      <w:r w:rsidR="004E39C5">
        <w:rPr>
          <w:rFonts w:hint="cs"/>
          <w:rtl/>
        </w:rPr>
        <w:t xml:space="preserve">توفر </w:t>
      </w:r>
      <w:r w:rsidR="0090001B">
        <w:rPr>
          <w:rFonts w:hint="cs"/>
          <w:rtl/>
        </w:rPr>
        <w:t xml:space="preserve">معلومات ووثائق وبيانات </w:t>
      </w:r>
      <w:r w:rsidR="00B9685B">
        <w:rPr>
          <w:rFonts w:hint="cs"/>
          <w:rtl/>
        </w:rPr>
        <w:t>نوعية موثوقة</w:t>
      </w:r>
      <w:r w:rsidR="004E39C5">
        <w:rPr>
          <w:rFonts w:hint="cs"/>
          <w:rtl/>
        </w:rPr>
        <w:t xml:space="preserve"> من أجل اتخاذ قرارات مستنيرة </w:t>
      </w:r>
      <w:r w:rsidR="00814EA4">
        <w:rPr>
          <w:rFonts w:hint="cs"/>
          <w:rtl/>
        </w:rPr>
        <w:t>و</w:t>
      </w:r>
      <w:r w:rsidR="004E39C5">
        <w:rPr>
          <w:rFonts w:hint="cs"/>
          <w:rtl/>
        </w:rPr>
        <w:t xml:space="preserve">مدعومة </w:t>
      </w:r>
      <w:r w:rsidR="0090001B">
        <w:rPr>
          <w:rFonts w:hint="cs"/>
          <w:rtl/>
        </w:rPr>
        <w:t>بنظام لإدارة المعلومات يمتاز بالكفاءة (عمليات الجمع والمعالجة والتحليل والنشر)</w:t>
      </w:r>
      <w:r w:rsidR="0029749D">
        <w:rPr>
          <w:rFonts w:hint="cs"/>
          <w:rtl/>
        </w:rPr>
        <w:t>.</w:t>
      </w:r>
    </w:p>
    <w:p w14:paraId="795EEF24" w14:textId="1C23D518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052E28">
        <w:rPr>
          <w:rFonts w:hint="cs"/>
          <w:rtl/>
        </w:rPr>
        <w:t>تعزيز القدرة التنفيذية، وبناء القدرة على جذب الموارد</w:t>
      </w:r>
      <w:r w:rsidR="009831C4">
        <w:rPr>
          <w:rFonts w:hint="cs"/>
          <w:rtl/>
        </w:rPr>
        <w:t xml:space="preserve"> البشرية وغيرها من الموارد وتوزيعها بشكل دينامي</w:t>
      </w:r>
      <w:r w:rsidR="006D085D">
        <w:rPr>
          <w:rFonts w:hint="cs"/>
          <w:rtl/>
        </w:rPr>
        <w:t xml:space="preserve">، </w:t>
      </w:r>
      <w:r w:rsidR="00AF4CCC">
        <w:rPr>
          <w:rFonts w:hint="cs"/>
          <w:rtl/>
        </w:rPr>
        <w:t>متى لزم الأمر</w:t>
      </w:r>
      <w:r w:rsidR="006D085D">
        <w:rPr>
          <w:rFonts w:hint="cs"/>
          <w:rtl/>
        </w:rPr>
        <w:t xml:space="preserve">، مع </w:t>
      </w:r>
      <w:r w:rsidR="009831C4">
        <w:rPr>
          <w:rFonts w:hint="cs"/>
          <w:rtl/>
        </w:rPr>
        <w:t xml:space="preserve">مراعاة </w:t>
      </w:r>
      <w:r w:rsidR="006D085D">
        <w:rPr>
          <w:rFonts w:hint="cs"/>
          <w:rtl/>
        </w:rPr>
        <w:t>سياسة تنقل الموظفين في الاتحاد والاستفادة منها، وبلوغ أقصى قدرة على مواصلة التعلم والتكيّف.</w:t>
      </w:r>
    </w:p>
    <w:p w14:paraId="4A0934AF" w14:textId="5BC73D5A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>
        <w:rPr>
          <w:rtl/>
        </w:rPr>
        <w:tab/>
      </w:r>
      <w:r w:rsidR="00670B61">
        <w:rPr>
          <w:rFonts w:hint="cs"/>
          <w:rtl/>
        </w:rPr>
        <w:t>حفز الابتكار والقدرات والتغيير الثقافي باستخدام الحلول التقنية</w:t>
      </w:r>
      <w:r w:rsidR="00322956">
        <w:rPr>
          <w:rFonts w:hint="cs"/>
          <w:rtl/>
        </w:rPr>
        <w:t xml:space="preserve"> الجديدة كلما كان ذلك مفيداً.</w:t>
      </w:r>
    </w:p>
    <w:p w14:paraId="5E36FA1C" w14:textId="2A470999" w:rsidR="001A2EE5" w:rsidRDefault="001A2EE5" w:rsidP="001A2EE5">
      <w:pPr>
        <w:pStyle w:val="enumlev1"/>
        <w:rPr>
          <w:rtl/>
        </w:rPr>
      </w:pPr>
      <w:r>
        <w:rPr>
          <w:rFonts w:hint="cs"/>
          <w:rtl/>
        </w:rPr>
        <w:t>–</w:t>
      </w:r>
      <w:r w:rsidR="00322956">
        <w:rPr>
          <w:rtl/>
        </w:rPr>
        <w:tab/>
      </w:r>
      <w:r w:rsidR="00322956">
        <w:rPr>
          <w:rFonts w:hint="cs"/>
          <w:rtl/>
        </w:rPr>
        <w:t xml:space="preserve">ضمان وضع ونشر إطار فعال لإدارة التغيير، يشمل التدريب (مع </w:t>
      </w:r>
      <w:r w:rsidR="00DF4C08">
        <w:rPr>
          <w:rFonts w:hint="cs"/>
          <w:rtl/>
        </w:rPr>
        <w:t>أخذ</w:t>
      </w:r>
      <w:r w:rsidR="00322956">
        <w:rPr>
          <w:rFonts w:hint="cs"/>
          <w:rtl/>
        </w:rPr>
        <w:t xml:space="preserve"> الأنشطة المسرودة أعلاه</w:t>
      </w:r>
      <w:r w:rsidR="00DF4C08">
        <w:rPr>
          <w:rFonts w:hint="cs"/>
          <w:rtl/>
        </w:rPr>
        <w:t xml:space="preserve"> في ال</w:t>
      </w:r>
      <w:r w:rsidR="00D00BB0">
        <w:rPr>
          <w:rFonts w:hint="cs"/>
          <w:rtl/>
          <w:lang w:bidi="ar-EG"/>
        </w:rPr>
        <w:t>حسبان</w:t>
      </w:r>
      <w:r w:rsidR="00322956">
        <w:rPr>
          <w:rFonts w:hint="cs"/>
          <w:rtl/>
        </w:rPr>
        <w:t>)، لدعم نجاح استراتيجية التحول الرقمي.</w:t>
      </w:r>
    </w:p>
    <w:p w14:paraId="4680EE28" w14:textId="0FB4FB3A" w:rsidR="00695B36" w:rsidRDefault="001A2EE5" w:rsidP="002B4E4D">
      <w:pPr>
        <w:pStyle w:val="enumlev1"/>
      </w:pPr>
      <w:r>
        <w:rPr>
          <w:rFonts w:hint="cs"/>
          <w:rtl/>
        </w:rPr>
        <w:t>–</w:t>
      </w:r>
      <w:r>
        <w:rPr>
          <w:rtl/>
        </w:rPr>
        <w:tab/>
      </w:r>
      <w:r w:rsidR="00322956">
        <w:rPr>
          <w:rFonts w:hint="cs"/>
          <w:rtl/>
        </w:rPr>
        <w:t>وضع</w:t>
      </w:r>
      <w:r w:rsidR="009831C4">
        <w:rPr>
          <w:rFonts w:hint="cs"/>
          <w:rtl/>
        </w:rPr>
        <w:t xml:space="preserve"> وتنفيذ</w:t>
      </w:r>
      <w:r w:rsidR="00322956">
        <w:rPr>
          <w:rFonts w:hint="cs"/>
          <w:rtl/>
        </w:rPr>
        <w:t xml:space="preserve"> إطار أو مبادئ توجيهية</w:t>
      </w:r>
      <w:r w:rsidR="009831C4">
        <w:rPr>
          <w:rFonts w:hint="cs"/>
          <w:rtl/>
        </w:rPr>
        <w:t xml:space="preserve"> لإدارة</w:t>
      </w:r>
      <w:r w:rsidR="00322956">
        <w:rPr>
          <w:rFonts w:hint="cs"/>
          <w:rtl/>
        </w:rPr>
        <w:t xml:space="preserve"> المعلومات الرقمية</w:t>
      </w:r>
      <w:r w:rsidR="009831C4">
        <w:rPr>
          <w:rFonts w:hint="cs"/>
          <w:rtl/>
        </w:rPr>
        <w:t xml:space="preserve"> والامتثال</w:t>
      </w:r>
      <w:r w:rsidR="005E36D3">
        <w:rPr>
          <w:rFonts w:hint="cs"/>
          <w:rtl/>
        </w:rPr>
        <w:t xml:space="preserve">، </w:t>
      </w:r>
      <w:r w:rsidR="004B419E">
        <w:rPr>
          <w:rFonts w:hint="cs"/>
          <w:rtl/>
        </w:rPr>
        <w:t>تلافياً لفقدان</w:t>
      </w:r>
      <w:r w:rsidR="005E36D3">
        <w:rPr>
          <w:rFonts w:hint="cs"/>
          <w:rtl/>
        </w:rPr>
        <w:t xml:space="preserve"> المعلومات.</w:t>
      </w:r>
    </w:p>
    <w:p w14:paraId="7AB8F7CF" w14:textId="753359CC" w:rsidR="001A2EE5" w:rsidRPr="00360760" w:rsidRDefault="005B134C" w:rsidP="00A80A96">
      <w:pPr>
        <w:pStyle w:val="Heading1"/>
        <w:spacing w:after="120"/>
        <w:rPr>
          <w:rFonts w:ascii="Calibri Light" w:hAnsi="Calibri Light"/>
          <w:b w:val="0"/>
          <w:bCs w:val="0"/>
          <w:color w:val="2E74B5"/>
        </w:rPr>
      </w:pPr>
      <w:r>
        <w:rPr>
          <w:rFonts w:ascii="Calibri Light" w:hAnsi="Calibri Light" w:hint="cs"/>
          <w:b w:val="0"/>
          <w:color w:val="2E74B5"/>
          <w:rtl/>
        </w:rPr>
        <w:t>الاستراتيجية</w:t>
      </w:r>
    </w:p>
    <w:p w14:paraId="1ED9AB8F" w14:textId="1C2695B5" w:rsidR="008C495B" w:rsidRDefault="008C495B" w:rsidP="00DD19C4">
      <w:pPr>
        <w:rPr>
          <w:rtl/>
          <w:lang w:bidi="ar-EG"/>
        </w:rPr>
      </w:pPr>
      <w:r>
        <w:rPr>
          <w:rFonts w:hint="cs"/>
          <w:rtl/>
        </w:rPr>
        <w:t>إن</w:t>
      </w:r>
      <w:r w:rsidR="00557F54">
        <w:rPr>
          <w:rFonts w:hint="cs"/>
          <w:rtl/>
        </w:rPr>
        <w:t xml:space="preserve"> </w:t>
      </w:r>
      <w:r>
        <w:rPr>
          <w:rFonts w:hint="cs"/>
          <w:rtl/>
        </w:rPr>
        <w:t>التحول الرقمي لا ي</w:t>
      </w:r>
      <w:r w:rsidR="00AF6E40">
        <w:rPr>
          <w:rFonts w:hint="cs"/>
          <w:rtl/>
        </w:rPr>
        <w:t>قتصر</w:t>
      </w:r>
      <w:r w:rsidR="00DD19C4" w:rsidRPr="00DD19C4">
        <w:rPr>
          <w:rFonts w:hint="cs"/>
          <w:rtl/>
        </w:rPr>
        <w:t xml:space="preserve"> </w:t>
      </w:r>
      <w:r w:rsidR="00AF6E40">
        <w:rPr>
          <w:rFonts w:hint="cs"/>
          <w:rtl/>
        </w:rPr>
        <w:t xml:space="preserve">على </w:t>
      </w:r>
      <w:r w:rsidR="00DD19C4" w:rsidRPr="00DD19C4">
        <w:rPr>
          <w:rFonts w:hint="cs"/>
          <w:rtl/>
        </w:rPr>
        <w:t>تطبيق و/أو تحديث التكنولوجيا التي ن</w:t>
      </w:r>
      <w:r>
        <w:rPr>
          <w:rFonts w:hint="cs"/>
          <w:rtl/>
        </w:rPr>
        <w:t>ستخدمها</w:t>
      </w:r>
      <w:r w:rsidR="00D56EE0">
        <w:rPr>
          <w:rFonts w:hint="cs"/>
          <w:rtl/>
          <w:lang w:bidi="ar-EG"/>
        </w:rPr>
        <w:t xml:space="preserve"> فحسب</w:t>
      </w:r>
      <w:r>
        <w:rPr>
          <w:rFonts w:hint="cs"/>
          <w:rtl/>
        </w:rPr>
        <w:t>، وإنما ي</w:t>
      </w:r>
      <w:r w:rsidR="00AF6E40">
        <w:rPr>
          <w:rFonts w:hint="cs"/>
          <w:rtl/>
        </w:rPr>
        <w:t xml:space="preserve">نطوي </w:t>
      </w:r>
      <w:r w:rsidR="00D56EE0">
        <w:rPr>
          <w:rFonts w:hint="cs"/>
          <w:rtl/>
        </w:rPr>
        <w:t>كذلك</w:t>
      </w:r>
      <w:r>
        <w:rPr>
          <w:rFonts w:hint="cs"/>
          <w:rtl/>
        </w:rPr>
        <w:t xml:space="preserve"> </w:t>
      </w:r>
      <w:r w:rsidR="00DD19C4" w:rsidRPr="00DD19C4">
        <w:rPr>
          <w:rFonts w:hint="cs"/>
          <w:rtl/>
        </w:rPr>
        <w:t>على</w:t>
      </w:r>
      <w:r w:rsidR="00557F54">
        <w:rPr>
          <w:rFonts w:hint="cs"/>
          <w:rtl/>
        </w:rPr>
        <w:t xml:space="preserve"> ما يلي</w:t>
      </w:r>
      <w:r w:rsidR="00AF6E40">
        <w:rPr>
          <w:rFonts w:hint="cs"/>
          <w:rtl/>
        </w:rPr>
        <w:t>:</w:t>
      </w:r>
      <w:r w:rsidR="00DD19C4" w:rsidRPr="00DD19C4">
        <w:rPr>
          <w:rFonts w:hint="cs"/>
          <w:rtl/>
        </w:rPr>
        <w:t xml:space="preserve"> بناء ثقافة </w:t>
      </w:r>
      <w:r w:rsidR="00AF6E40">
        <w:rPr>
          <w:rFonts w:hint="cs"/>
          <w:rtl/>
        </w:rPr>
        <w:t xml:space="preserve">للمنظمة </w:t>
      </w:r>
      <w:r w:rsidR="00337CC3">
        <w:rPr>
          <w:rFonts w:hint="cs"/>
          <w:rtl/>
        </w:rPr>
        <w:t>تعتمد</w:t>
      </w:r>
      <w:r w:rsidR="00557F54">
        <w:rPr>
          <w:rFonts w:hint="cs"/>
          <w:rtl/>
        </w:rPr>
        <w:t xml:space="preserve"> </w:t>
      </w:r>
      <w:r w:rsidR="00DD19C4" w:rsidRPr="00DD19C4">
        <w:rPr>
          <w:rFonts w:hint="cs"/>
          <w:rtl/>
        </w:rPr>
        <w:t xml:space="preserve">التكنولوجيات الرقمية الجديدة </w:t>
      </w:r>
      <w:r w:rsidR="00AF6E40">
        <w:rPr>
          <w:rFonts w:hint="cs"/>
          <w:rtl/>
        </w:rPr>
        <w:t xml:space="preserve">المعزِّزة لكفاءة المنظمة وفعاليتها؛ </w:t>
      </w:r>
      <w:r w:rsidR="00557F54">
        <w:rPr>
          <w:rFonts w:hint="cs"/>
          <w:rtl/>
        </w:rPr>
        <w:t>و</w:t>
      </w:r>
      <w:r w:rsidR="00AF6E40">
        <w:rPr>
          <w:rFonts w:hint="cs"/>
          <w:rtl/>
        </w:rPr>
        <w:t xml:space="preserve">مواصلة تعلم واكتساب المهارات الرقمية </w:t>
      </w:r>
      <w:r w:rsidR="00557F54">
        <w:rPr>
          <w:rFonts w:hint="cs"/>
          <w:rtl/>
        </w:rPr>
        <w:t xml:space="preserve">التي تتحدَّد قيمتها بقدرتها على تلبية احتياجات العملاء/الأعضاء/المستخدِمين المتزايدة أو تجاوزها؛ واتخاذ قرارات سليمة تسترشد بالبيانات </w:t>
      </w:r>
      <w:r w:rsidR="007C64C3">
        <w:rPr>
          <w:rFonts w:hint="cs"/>
          <w:rtl/>
        </w:rPr>
        <w:t>المهمة</w:t>
      </w:r>
      <w:r w:rsidR="00557F54">
        <w:rPr>
          <w:rFonts w:hint="cs"/>
          <w:rtl/>
        </w:rPr>
        <w:t xml:space="preserve"> وتحليلها المدروس؛ </w:t>
      </w:r>
      <w:r w:rsidR="00854947">
        <w:rPr>
          <w:rFonts w:hint="cs"/>
          <w:rtl/>
          <w:lang w:bidi="ar-EG"/>
        </w:rPr>
        <w:t>و</w:t>
      </w:r>
      <w:r w:rsidR="007A4797">
        <w:rPr>
          <w:rFonts w:hint="cs"/>
          <w:rtl/>
          <w:lang w:bidi="ar-EG"/>
        </w:rPr>
        <w:t xml:space="preserve">الاتسام بالمرونة؛ </w:t>
      </w:r>
      <w:r w:rsidR="00407FDA">
        <w:rPr>
          <w:rFonts w:hint="cs"/>
          <w:rtl/>
          <w:lang w:bidi="ar-EG"/>
        </w:rPr>
        <w:t>وإتاحة كفاءة الأداء وشفافيته وإمكانية</w:t>
      </w:r>
      <w:r w:rsidR="009831C4">
        <w:rPr>
          <w:rFonts w:hint="cs"/>
          <w:rtl/>
          <w:lang w:bidi="ar-EG"/>
        </w:rPr>
        <w:t xml:space="preserve"> إخضاعه للمساءلة</w:t>
      </w:r>
      <w:r w:rsidR="00407FDA">
        <w:rPr>
          <w:rFonts w:hint="cs"/>
          <w:rtl/>
          <w:lang w:bidi="ar-EG"/>
        </w:rPr>
        <w:t xml:space="preserve"> وتدقيقه</w:t>
      </w:r>
      <w:r w:rsidR="009831C4">
        <w:rPr>
          <w:rFonts w:hint="cs"/>
          <w:rtl/>
          <w:lang w:bidi="ar-EG"/>
        </w:rPr>
        <w:t xml:space="preserve"> </w:t>
      </w:r>
      <w:r w:rsidR="007A4797">
        <w:rPr>
          <w:rFonts w:hint="cs"/>
          <w:rtl/>
          <w:lang w:bidi="ar-EG"/>
        </w:rPr>
        <w:t>لفائدة جميع أصحاب المصلحة في الاتحاد.</w:t>
      </w:r>
    </w:p>
    <w:p w14:paraId="1EAE61B8" w14:textId="0F49F8BB" w:rsidR="001A2EE5" w:rsidRDefault="00666C6F" w:rsidP="007609D7">
      <w:pPr>
        <w:rPr>
          <w:rtl/>
        </w:rPr>
      </w:pPr>
      <w:r>
        <w:rPr>
          <w:rFonts w:hint="cs"/>
          <w:rtl/>
        </w:rPr>
        <w:t xml:space="preserve">وبأخذ ما تقدَّم في الاعتبار، يُقترح </w:t>
      </w:r>
      <w:r w:rsidR="00A5102E">
        <w:rPr>
          <w:rFonts w:hint="cs"/>
          <w:rtl/>
        </w:rPr>
        <w:t>اتباع</w:t>
      </w:r>
      <w:r>
        <w:rPr>
          <w:rFonts w:hint="cs"/>
          <w:rtl/>
        </w:rPr>
        <w:t xml:space="preserve"> نهج مرحلي.</w:t>
      </w:r>
    </w:p>
    <w:p w14:paraId="5D192C42" w14:textId="438A8A02" w:rsidR="00DD19C4" w:rsidRDefault="00666C6F" w:rsidP="00A80A96">
      <w:pPr>
        <w:rPr>
          <w:rtl/>
        </w:rPr>
      </w:pPr>
      <w:r>
        <w:rPr>
          <w:rFonts w:hint="cs"/>
          <w:rtl/>
        </w:rPr>
        <w:t xml:space="preserve">المرحلة </w:t>
      </w:r>
      <w:r>
        <w:rPr>
          <w:lang w:val="en-GB"/>
        </w:rPr>
        <w:t>1</w:t>
      </w:r>
      <w:r>
        <w:rPr>
          <w:rFonts w:hint="cs"/>
          <w:rtl/>
          <w:lang w:val="en-GB"/>
        </w:rPr>
        <w:t xml:space="preserve"> (موضوع التحول)</w:t>
      </w:r>
      <w:r w:rsidR="000F4793">
        <w:rPr>
          <w:rFonts w:hint="cs"/>
          <w:rtl/>
          <w:lang w:val="en-GB"/>
        </w:rPr>
        <w:t xml:space="preserve"> من المشروع</w:t>
      </w:r>
      <w:r>
        <w:rPr>
          <w:rFonts w:hint="cs"/>
          <w:rtl/>
          <w:lang w:bidi="ar-EG"/>
        </w:rPr>
        <w:t xml:space="preserve">: </w:t>
      </w:r>
      <w:r w:rsidR="007C64C3">
        <w:rPr>
          <w:rFonts w:hint="cs"/>
          <w:rtl/>
          <w:lang w:bidi="ar-EG"/>
        </w:rPr>
        <w:t xml:space="preserve">حصر جميع </w:t>
      </w:r>
      <w:r w:rsidR="002A605F">
        <w:rPr>
          <w:rFonts w:hint="cs"/>
          <w:rtl/>
          <w:lang w:bidi="ar-EG"/>
        </w:rPr>
        <w:t>العمليات والإجراءات و</w:t>
      </w:r>
      <w:r w:rsidR="00FA02C9">
        <w:rPr>
          <w:rFonts w:hint="cs"/>
          <w:rtl/>
          <w:lang w:bidi="ar-EG"/>
        </w:rPr>
        <w:t>أساليب العمل</w:t>
      </w:r>
      <w:r w:rsidR="003429A8">
        <w:rPr>
          <w:rFonts w:hint="cs"/>
          <w:rtl/>
          <w:lang w:bidi="ar-EG"/>
        </w:rPr>
        <w:t xml:space="preserve"> القائمة</w:t>
      </w:r>
      <w:r w:rsidR="00FA02C9">
        <w:rPr>
          <w:rFonts w:hint="cs"/>
          <w:rtl/>
          <w:lang w:bidi="ar-EG"/>
        </w:rPr>
        <w:t xml:space="preserve"> </w:t>
      </w:r>
      <w:r w:rsidR="003429A8">
        <w:rPr>
          <w:rFonts w:hint="cs"/>
          <w:rtl/>
          <w:lang w:bidi="ar-EG"/>
        </w:rPr>
        <w:t>و</w:t>
      </w:r>
      <w:r w:rsidR="00FA02C9">
        <w:rPr>
          <w:rFonts w:hint="cs"/>
          <w:rtl/>
          <w:lang w:bidi="ar-EG"/>
        </w:rPr>
        <w:t>ذات الصلة</w:t>
      </w:r>
      <w:r w:rsidR="003429A8">
        <w:rPr>
          <w:rFonts w:hint="cs"/>
          <w:rtl/>
          <w:lang w:bidi="ar-EG"/>
        </w:rPr>
        <w:t>، بما فيها عمليات الموارد البشرية (ولا سيما عمليات التوظيف) والتسجيل، لفهم طبيعتها بما في ذلك تأثيرها على قدرة الاتحاد على بلوغ أهدافه الاستراتيجية، و</w:t>
      </w:r>
      <w:r w:rsidR="00A26DE8">
        <w:rPr>
          <w:rFonts w:hint="cs"/>
          <w:rtl/>
          <w:lang w:bidi="ar-EG"/>
        </w:rPr>
        <w:t>فهم</w:t>
      </w:r>
      <w:r w:rsidR="009831C4">
        <w:rPr>
          <w:rFonts w:hint="cs"/>
          <w:rtl/>
          <w:lang w:bidi="ar-EG"/>
        </w:rPr>
        <w:t xml:space="preserve"> المقاصد</w:t>
      </w:r>
      <w:r w:rsidR="003429A8">
        <w:rPr>
          <w:rFonts w:hint="cs"/>
          <w:rtl/>
          <w:lang w:bidi="ar-EG"/>
        </w:rPr>
        <w:t xml:space="preserve"> المتصلة بالأداء التي ينبغي تحديدها لتحقيق الفوائد المرجوة من تحولها، إلى جانب </w:t>
      </w:r>
      <w:r w:rsidR="00A26DE8">
        <w:rPr>
          <w:rFonts w:hint="cs"/>
          <w:rtl/>
          <w:lang w:bidi="ar-EG"/>
        </w:rPr>
        <w:t xml:space="preserve">تحديد الجهة التي يمكنها تغييرها، </w:t>
      </w:r>
      <w:r w:rsidR="009831C4">
        <w:rPr>
          <w:rFonts w:hint="cs"/>
          <w:rtl/>
          <w:lang w:bidi="ar-EG"/>
        </w:rPr>
        <w:t>و</w:t>
      </w:r>
      <w:r w:rsidR="00A26DE8">
        <w:rPr>
          <w:rFonts w:hint="cs"/>
          <w:rtl/>
          <w:lang w:bidi="ar-EG"/>
        </w:rPr>
        <w:t xml:space="preserve">الموارد اللازمة لذلك، كفرق إدارة المشاريع، والموعد الممكن لتغييرها. وحتى في منظمة كالاتحاد، تكون بعض العمليات متصلة ومترابطة، فأي تغيير في </w:t>
      </w:r>
      <w:r w:rsidR="004878D0">
        <w:rPr>
          <w:rFonts w:hint="cs"/>
          <w:rtl/>
          <w:lang w:bidi="ar-EG"/>
        </w:rPr>
        <w:t>إ</w:t>
      </w:r>
      <w:r w:rsidR="00A26DE8">
        <w:rPr>
          <w:rFonts w:hint="cs"/>
          <w:rtl/>
          <w:lang w:bidi="ar-EG"/>
        </w:rPr>
        <w:t>حداها قد يؤثر على</w:t>
      </w:r>
      <w:r w:rsidR="008E7884">
        <w:rPr>
          <w:rFonts w:hint="cs"/>
          <w:rtl/>
          <w:lang w:bidi="ar-EG"/>
        </w:rPr>
        <w:t xml:space="preserve"> </w:t>
      </w:r>
      <w:r w:rsidR="00A26DE8">
        <w:rPr>
          <w:rFonts w:hint="cs"/>
          <w:rtl/>
          <w:lang w:bidi="ar-EG"/>
        </w:rPr>
        <w:t>التالية.</w:t>
      </w:r>
      <w:r w:rsidR="004878D0">
        <w:rPr>
          <w:rFonts w:hint="cs"/>
          <w:rtl/>
          <w:lang w:bidi="ar-EG"/>
        </w:rPr>
        <w:t xml:space="preserve"> لذا، </w:t>
      </w:r>
      <w:r w:rsidR="003A4D21">
        <w:rPr>
          <w:rFonts w:hint="cs"/>
          <w:rtl/>
          <w:lang w:bidi="ar-EG"/>
        </w:rPr>
        <w:t xml:space="preserve">لا بد </w:t>
      </w:r>
      <w:r w:rsidR="004878D0">
        <w:rPr>
          <w:rFonts w:hint="cs"/>
          <w:rtl/>
          <w:lang w:bidi="ar-EG"/>
        </w:rPr>
        <w:t>في هذه المرحلة</w:t>
      </w:r>
      <w:r w:rsidR="003A4D21">
        <w:rPr>
          <w:rFonts w:hint="cs"/>
          <w:rtl/>
          <w:lang w:bidi="ar-EG"/>
        </w:rPr>
        <w:t xml:space="preserve"> من</w:t>
      </w:r>
      <w:r w:rsidR="004878D0">
        <w:rPr>
          <w:rFonts w:hint="cs"/>
          <w:rtl/>
          <w:lang w:bidi="ar-EG"/>
        </w:rPr>
        <w:t xml:space="preserve"> فهم العمليات فهماً وافياً باتباع نهج </w:t>
      </w:r>
      <w:r w:rsidR="009831C4">
        <w:rPr>
          <w:rFonts w:hint="cs"/>
          <w:rtl/>
          <w:lang w:bidi="ar-EG"/>
        </w:rPr>
        <w:t xml:space="preserve">من القاعدة إلى أعلى </w:t>
      </w:r>
      <w:r w:rsidR="004878D0">
        <w:rPr>
          <w:rFonts w:hint="cs"/>
          <w:rtl/>
          <w:lang w:bidi="ar-EG"/>
        </w:rPr>
        <w:t>يتضمن تحليل الأعمال.</w:t>
      </w:r>
    </w:p>
    <w:p w14:paraId="4637B15C" w14:textId="0DB90862" w:rsidR="00DD19C4" w:rsidRPr="00EE1952" w:rsidRDefault="00EE1952" w:rsidP="007609D7">
      <w:pPr>
        <w:spacing w:before="240"/>
        <w:rPr>
          <w:rtl/>
          <w:lang w:bidi="ar-EG"/>
        </w:rPr>
      </w:pPr>
      <w:r>
        <w:rPr>
          <w:rFonts w:hint="cs"/>
          <w:rtl/>
        </w:rPr>
        <w:t xml:space="preserve">المرحلة </w:t>
      </w:r>
      <w:r>
        <w:rPr>
          <w:lang w:val="en-GB"/>
        </w:rPr>
        <w:t>2</w:t>
      </w:r>
      <w:r>
        <w:rPr>
          <w:rFonts w:hint="cs"/>
          <w:rtl/>
          <w:lang w:bidi="ar-EG"/>
        </w:rPr>
        <w:t xml:space="preserve"> (كيفية التحويل): بحث متطلبات التحويل واستراتيجيات تنفيذه.</w:t>
      </w:r>
    </w:p>
    <w:p w14:paraId="484402CE" w14:textId="3DB6637D" w:rsidR="00DD19C4" w:rsidRDefault="00462066" w:rsidP="007609D7">
      <w:pPr>
        <w:rPr>
          <w:rtl/>
        </w:rPr>
      </w:pPr>
      <w:r>
        <w:rPr>
          <w:rFonts w:hint="cs"/>
          <w:rtl/>
        </w:rPr>
        <w:t xml:space="preserve">ومن المهم أن تكون هاتان المرحلتان </w:t>
      </w:r>
      <w:r w:rsidR="00C30629">
        <w:rPr>
          <w:rFonts w:hint="cs"/>
          <w:rtl/>
          <w:lang w:bidi="ar-EG"/>
        </w:rPr>
        <w:t>واضحتين</w:t>
      </w:r>
      <w:r>
        <w:rPr>
          <w:rFonts w:hint="cs"/>
          <w:rtl/>
        </w:rPr>
        <w:t xml:space="preserve"> ليتسنى تحديد متطلباتهما الخاصة على النحو السليم، ووضع استراتيجيات لتنفيذها.</w:t>
      </w:r>
    </w:p>
    <w:p w14:paraId="43FE9A1A" w14:textId="421B5640" w:rsidR="00DD19C4" w:rsidRDefault="00040E9C" w:rsidP="00582262">
      <w:pPr>
        <w:rPr>
          <w:rtl/>
          <w:lang w:bidi="ar-EG"/>
        </w:rPr>
      </w:pPr>
      <w:r>
        <w:rPr>
          <w:rFonts w:hint="cs"/>
          <w:rtl/>
        </w:rPr>
        <w:t xml:space="preserve">وبعد انتهاء المرحلة </w:t>
      </w:r>
      <w:r>
        <w:rPr>
          <w:lang w:val="en-GB"/>
        </w:rPr>
        <w:t>1</w:t>
      </w:r>
      <w:r>
        <w:rPr>
          <w:rFonts w:hint="cs"/>
          <w:rtl/>
          <w:lang w:bidi="ar-EG"/>
        </w:rPr>
        <w:t xml:space="preserve">، ستُتاح عندئذ المعلومات اللازمة لبحث المتطلبات في المرحلة </w:t>
      </w:r>
      <w:r>
        <w:rPr>
          <w:lang w:val="en-GB" w:bidi="ar-EG"/>
        </w:rPr>
        <w:t>2</w:t>
      </w:r>
      <w:r>
        <w:rPr>
          <w:rFonts w:hint="cs"/>
          <w:rtl/>
          <w:lang w:bidi="ar-EG"/>
        </w:rPr>
        <w:t xml:space="preserve"> بما يشمل مراجعة هذه الوثيقة ووضع استراتيجيات التنفيذ وتحسينها.</w:t>
      </w:r>
    </w:p>
    <w:p w14:paraId="2C933588" w14:textId="3CF5184D" w:rsidR="00DD19C4" w:rsidRDefault="00EE1952" w:rsidP="00695B36">
      <w:pPr>
        <w:rPr>
          <w:rtl/>
        </w:rPr>
      </w:pPr>
      <w:r>
        <w:rPr>
          <w:rFonts w:hint="cs"/>
          <w:rtl/>
        </w:rPr>
        <w:t xml:space="preserve">وسيلزم رصد موارد للمبادرة </w:t>
      </w:r>
      <w:r w:rsidR="0021093B">
        <w:rPr>
          <w:rFonts w:hint="cs"/>
          <w:rtl/>
        </w:rPr>
        <w:t>لإحراز تقدم فيها</w:t>
      </w:r>
      <w:r>
        <w:rPr>
          <w:rFonts w:hint="cs"/>
          <w:rtl/>
        </w:rPr>
        <w:t xml:space="preserve"> وتنسيق الأنشطة فيما بين </w:t>
      </w:r>
      <w:r w:rsidR="00563D0D">
        <w:rPr>
          <w:rFonts w:hint="cs"/>
          <w:rtl/>
        </w:rPr>
        <w:t>جميع</w:t>
      </w:r>
      <w:r>
        <w:rPr>
          <w:rFonts w:hint="cs"/>
          <w:rtl/>
        </w:rPr>
        <w:t xml:space="preserve"> القطاعات.</w:t>
      </w:r>
    </w:p>
    <w:p w14:paraId="3376B8B7" w14:textId="65042FFF" w:rsidR="00DD19C4" w:rsidRPr="00360760" w:rsidRDefault="005B134C" w:rsidP="00A80A96">
      <w:pPr>
        <w:pStyle w:val="Heading1"/>
        <w:spacing w:after="120"/>
        <w:rPr>
          <w:rFonts w:ascii="Calibri Light" w:hAnsi="Calibri Light"/>
          <w:b w:val="0"/>
          <w:bCs w:val="0"/>
          <w:color w:val="2E74B5"/>
        </w:rPr>
      </w:pPr>
      <w:r>
        <w:rPr>
          <w:rFonts w:ascii="Calibri Light" w:hAnsi="Calibri Light" w:hint="cs"/>
          <w:b w:val="0"/>
          <w:color w:val="2E74B5"/>
          <w:rtl/>
        </w:rPr>
        <w:lastRenderedPageBreak/>
        <w:t>مجال العمل</w:t>
      </w:r>
      <w:r w:rsidR="00A513AC">
        <w:rPr>
          <w:rFonts w:ascii="Calibri Light" w:hAnsi="Calibri Light"/>
          <w:b w:val="0"/>
          <w:color w:val="2E74B5"/>
        </w:rPr>
        <w:t xml:space="preserve"> </w:t>
      </w:r>
    </w:p>
    <w:p w14:paraId="62896249" w14:textId="20E5BEB0" w:rsidR="001A2EE5" w:rsidRDefault="009A4D0E" w:rsidP="007609D7">
      <w:pPr>
        <w:pStyle w:val="Headingb"/>
        <w:rPr>
          <w:rtl/>
        </w:rPr>
      </w:pPr>
      <w:r>
        <w:rPr>
          <w:rFonts w:hint="cs"/>
          <w:rtl/>
        </w:rPr>
        <w:t>ا</w:t>
      </w:r>
      <w:r w:rsidRPr="007609D7">
        <w:rPr>
          <w:rFonts w:hint="cs"/>
          <w:rtl/>
        </w:rPr>
        <w:t>لمرحلة</w:t>
      </w:r>
      <w:r w:rsidR="00DD19C4" w:rsidRPr="007609D7">
        <w:rPr>
          <w:rFonts w:hint="cs"/>
          <w:rtl/>
        </w:rPr>
        <w:t xml:space="preserve"> </w:t>
      </w:r>
      <w:r w:rsidR="00DD19C4" w:rsidRPr="007609D7">
        <w:t>1</w:t>
      </w:r>
      <w:r w:rsidR="00DD19C4" w:rsidRPr="007609D7">
        <w:rPr>
          <w:rFonts w:hint="cs"/>
          <w:rtl/>
        </w:rPr>
        <w:t>:</w:t>
      </w:r>
    </w:p>
    <w:p w14:paraId="5DFD38D8" w14:textId="191385BC" w:rsidR="00DD19C4" w:rsidRDefault="00ED231E" w:rsidP="009A4D0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ينبغي أن ينصب </w:t>
      </w:r>
      <w:r w:rsidR="004918A1">
        <w:rPr>
          <w:rFonts w:hint="cs"/>
          <w:rtl/>
          <w:lang w:bidi="ar-EG"/>
        </w:rPr>
        <w:t>ال</w:t>
      </w:r>
      <w:r w:rsidR="00821740">
        <w:rPr>
          <w:rFonts w:hint="cs"/>
          <w:rtl/>
          <w:lang w:bidi="ar-EG"/>
        </w:rPr>
        <w:t>تركيز</w:t>
      </w:r>
      <w:r w:rsidR="004918A1">
        <w:rPr>
          <w:rFonts w:hint="cs"/>
          <w:rtl/>
          <w:lang w:bidi="ar-EG"/>
        </w:rPr>
        <w:t xml:space="preserve"> الأساسي</w:t>
      </w:r>
      <w:r>
        <w:rPr>
          <w:rFonts w:hint="cs"/>
          <w:rtl/>
          <w:lang w:bidi="ar-EG"/>
        </w:rPr>
        <w:t xml:space="preserve"> </w:t>
      </w:r>
      <w:r w:rsidR="004918A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مبادرة التحول الرقمي</w:t>
      </w:r>
      <w:r w:rsidR="0082174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إحداث التغييرات الثقافية والإدارية اللازمة </w:t>
      </w:r>
      <w:r w:rsidR="005E15D2">
        <w:rPr>
          <w:rFonts w:hint="cs"/>
          <w:rtl/>
          <w:lang w:bidi="ar-EG"/>
        </w:rPr>
        <w:t xml:space="preserve">لتحقيق النجاح، </w:t>
      </w:r>
      <w:r w:rsidR="00821740">
        <w:rPr>
          <w:rFonts w:hint="cs"/>
          <w:rtl/>
          <w:lang w:bidi="ar-EG"/>
        </w:rPr>
        <w:t>التي رُشِّدت في المشاريع</w:t>
      </w:r>
      <w:r w:rsidR="005E15D2">
        <w:rPr>
          <w:rFonts w:hint="cs"/>
          <w:rtl/>
          <w:lang w:bidi="ar-EG"/>
        </w:rPr>
        <w:t xml:space="preserve"> ذات الصلة الجاري تنفيذها بالفعل.</w:t>
      </w:r>
      <w:r w:rsidR="001914A1">
        <w:rPr>
          <w:rFonts w:hint="cs"/>
          <w:rtl/>
          <w:lang w:bidi="ar-EG"/>
        </w:rPr>
        <w:t xml:space="preserve"> ثم ينبغي أن تنظر في أولويات أعمال الاتحاد، وكذلك في كيفية تحول العمليات الإدارية الداخلية إلى عوامل تمكينية ت</w:t>
      </w:r>
      <w:r w:rsidR="00B51852">
        <w:rPr>
          <w:rFonts w:hint="cs"/>
          <w:rtl/>
          <w:lang w:bidi="ar-EG"/>
        </w:rPr>
        <w:t>متاز</w:t>
      </w:r>
      <w:r w:rsidR="001914A1">
        <w:rPr>
          <w:rFonts w:hint="cs"/>
          <w:rtl/>
          <w:lang w:bidi="ar-EG"/>
        </w:rPr>
        <w:t xml:space="preserve"> ب</w:t>
      </w:r>
      <w:r w:rsidR="00B51852">
        <w:rPr>
          <w:rFonts w:hint="cs"/>
          <w:rtl/>
          <w:lang w:bidi="ar-EG"/>
        </w:rPr>
        <w:t>كفاءتها</w:t>
      </w:r>
      <w:r w:rsidR="006103D8">
        <w:rPr>
          <w:rFonts w:hint="cs"/>
          <w:rtl/>
          <w:lang w:bidi="ar-EG"/>
        </w:rPr>
        <w:t>.</w:t>
      </w:r>
    </w:p>
    <w:p w14:paraId="5F9904B1" w14:textId="34DD5468" w:rsidR="00DD19C4" w:rsidRDefault="001914A1" w:rsidP="007609D7">
      <w:pPr>
        <w:rPr>
          <w:rtl/>
        </w:rPr>
      </w:pPr>
      <w:r>
        <w:rPr>
          <w:rFonts w:hint="cs"/>
          <w:rtl/>
        </w:rPr>
        <w:t>وستسترشد هذه العملية بإطار رفيع المستوى لإدارة المعلومات الرقمية</w:t>
      </w:r>
      <w:r w:rsidR="009831C4">
        <w:rPr>
          <w:rFonts w:hint="cs"/>
          <w:rtl/>
        </w:rPr>
        <w:t xml:space="preserve"> والإشراف عليها،</w:t>
      </w:r>
      <w:r w:rsidR="00821740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4918A1">
        <w:rPr>
          <w:rFonts w:hint="cs"/>
          <w:rtl/>
        </w:rPr>
        <w:t>حول دون</w:t>
      </w:r>
      <w:r>
        <w:rPr>
          <w:rFonts w:hint="cs"/>
          <w:rtl/>
        </w:rPr>
        <w:t xml:space="preserve"> فقدان المعلومات.</w:t>
      </w:r>
    </w:p>
    <w:p w14:paraId="571065DE" w14:textId="1E4CDF4C" w:rsidR="00DD19C4" w:rsidRDefault="00C709C2" w:rsidP="007609D7">
      <w:pPr>
        <w:rPr>
          <w:rtl/>
        </w:rPr>
      </w:pPr>
      <w:r>
        <w:rPr>
          <w:rFonts w:hint="cs"/>
          <w:rtl/>
        </w:rPr>
        <w:t>كما ينبغي أن تحدد المبادرة حلولاً سريعة ت</w:t>
      </w:r>
      <w:r w:rsidR="00E3459F">
        <w:rPr>
          <w:rFonts w:hint="cs"/>
          <w:rtl/>
        </w:rPr>
        <w:t>رمي إلى</w:t>
      </w:r>
      <w:r>
        <w:rPr>
          <w:rFonts w:hint="cs"/>
          <w:rtl/>
        </w:rPr>
        <w:t xml:space="preserve"> تحقيق نتائج في مرحلة مبكرة لتلبية الاحتياجات الملح</w:t>
      </w:r>
      <w:r w:rsidR="004918A1">
        <w:rPr>
          <w:rFonts w:hint="cs"/>
          <w:rtl/>
        </w:rPr>
        <w:t>ّ</w:t>
      </w:r>
      <w:r>
        <w:rPr>
          <w:rFonts w:hint="cs"/>
          <w:rtl/>
        </w:rPr>
        <w:t>ة في المكاتب ودوائر الأمانة العامة.</w:t>
      </w:r>
    </w:p>
    <w:p w14:paraId="42E90DD9" w14:textId="77777777" w:rsidR="00A80A96" w:rsidRDefault="00B866B6" w:rsidP="009B7AFF">
      <w:pPr>
        <w:tabs>
          <w:tab w:val="right" w:pos="6039"/>
        </w:tabs>
        <w:rPr>
          <w:rtl/>
        </w:rPr>
      </w:pPr>
      <w:r>
        <w:rPr>
          <w:rFonts w:hint="cs"/>
          <w:rtl/>
        </w:rPr>
        <w:t xml:space="preserve">بعدئذ، ينبغي أن </w:t>
      </w:r>
      <w:r w:rsidR="00BA3B09">
        <w:rPr>
          <w:rFonts w:hint="cs"/>
          <w:rtl/>
        </w:rPr>
        <w:t>تصوغ</w:t>
      </w:r>
      <w:r>
        <w:rPr>
          <w:rFonts w:hint="cs"/>
          <w:rtl/>
        </w:rPr>
        <w:t xml:space="preserve"> المبادرة مشروع</w:t>
      </w:r>
      <w:r w:rsidR="00E3459F">
        <w:rPr>
          <w:rFonts w:hint="cs"/>
          <w:rtl/>
        </w:rPr>
        <w:t>اً رفيع المستوى لمجال عمل/نات</w:t>
      </w:r>
      <w:r w:rsidR="00EF5E8C">
        <w:rPr>
          <w:rFonts w:hint="cs"/>
          <w:rtl/>
        </w:rPr>
        <w:t xml:space="preserve">ج </w:t>
      </w:r>
      <w:r w:rsidR="00BA3B09">
        <w:rPr>
          <w:rFonts w:hint="cs"/>
          <w:rtl/>
        </w:rPr>
        <w:t>يتعلق بوضع استراتيجية</w:t>
      </w:r>
      <w:r w:rsidR="00F93EA9">
        <w:rPr>
          <w:rFonts w:hint="cs"/>
          <w:rtl/>
        </w:rPr>
        <w:t xml:space="preserve"> مستمرة وشاملة ومعقولة التوقعات للتحول الرقمي، تأخذ في الاعتبار الموارد البشرية والمالية المتاحة أو </w:t>
      </w:r>
      <w:r w:rsidR="0080228A">
        <w:rPr>
          <w:rFonts w:hint="cs"/>
          <w:rtl/>
        </w:rPr>
        <w:t>الم</w:t>
      </w:r>
      <w:r w:rsidR="00162314">
        <w:rPr>
          <w:rFonts w:hint="cs"/>
          <w:rtl/>
          <w:lang w:bidi="ar-EG"/>
        </w:rPr>
        <w:t>قرر</w:t>
      </w:r>
      <w:r w:rsidR="0080228A">
        <w:rPr>
          <w:rFonts w:hint="cs"/>
          <w:rtl/>
        </w:rPr>
        <w:t xml:space="preserve"> إتاحتها</w:t>
      </w:r>
      <w:r w:rsidR="00F93EA9">
        <w:rPr>
          <w:rFonts w:hint="cs"/>
          <w:rtl/>
        </w:rPr>
        <w:t>، وكذلك أي</w:t>
      </w:r>
      <w:r w:rsidR="0080228A">
        <w:rPr>
          <w:rFonts w:hint="cs"/>
          <w:rtl/>
        </w:rPr>
        <w:t xml:space="preserve"> قيود داخلية أو خارجية.</w:t>
      </w:r>
    </w:p>
    <w:p w14:paraId="258B1729" w14:textId="432A2563" w:rsidR="00DD19C4" w:rsidRDefault="0080228A" w:rsidP="009B7AFF">
      <w:pPr>
        <w:tabs>
          <w:tab w:val="right" w:pos="6039"/>
        </w:tabs>
        <w:rPr>
          <w:rtl/>
        </w:rPr>
      </w:pPr>
      <w:r>
        <w:rPr>
          <w:rFonts w:hint="cs"/>
          <w:rtl/>
        </w:rPr>
        <w:t xml:space="preserve">وينبغي أن تحدد المبادرة ما يمكن رصده من موارد لازمة لإحراز تقدم فيها وتنسيق الأنشطة فيما بين جميع القطاعات، ومن ذلك تحديد </w:t>
      </w:r>
      <w:r w:rsidR="00D26094">
        <w:rPr>
          <w:rFonts w:hint="cs"/>
          <w:rtl/>
        </w:rPr>
        <w:t>سبل</w:t>
      </w:r>
      <w:r>
        <w:rPr>
          <w:rFonts w:hint="cs"/>
          <w:rtl/>
        </w:rPr>
        <w:t xml:space="preserve"> تمويلها الممكنة.</w:t>
      </w:r>
    </w:p>
    <w:p w14:paraId="2075E0E8" w14:textId="235C5E05" w:rsidR="00DD19C4" w:rsidRPr="007609D7" w:rsidRDefault="009A4D0E" w:rsidP="007609D7">
      <w:pPr>
        <w:pStyle w:val="Headingb"/>
        <w:rPr>
          <w:rtl/>
        </w:rPr>
      </w:pPr>
      <w:r w:rsidRPr="007609D7">
        <w:rPr>
          <w:rtl/>
        </w:rPr>
        <w:t>المرحلة</w:t>
      </w:r>
      <w:r w:rsidR="00DD19C4" w:rsidRPr="007609D7">
        <w:rPr>
          <w:rtl/>
        </w:rPr>
        <w:t xml:space="preserve"> </w:t>
      </w:r>
      <w:r w:rsidR="00DD19C4" w:rsidRPr="007609D7">
        <w:t>2</w:t>
      </w:r>
      <w:r w:rsidR="00DD19C4" w:rsidRPr="007609D7">
        <w:rPr>
          <w:rtl/>
        </w:rPr>
        <w:t>:</w:t>
      </w:r>
    </w:p>
    <w:p w14:paraId="3802825F" w14:textId="29FBDFEA" w:rsidR="001A2EE5" w:rsidRDefault="00BE5D74" w:rsidP="003434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ينبغي أن </w:t>
      </w:r>
      <w:r w:rsidR="00A1729A">
        <w:rPr>
          <w:rFonts w:hint="cs"/>
          <w:rtl/>
          <w:lang w:bidi="ar-EG"/>
        </w:rPr>
        <w:t xml:space="preserve">تقدم مبادرة التحول الرقمي التوجيه الشامل لعملية تنفيذها على نطاق المنظمة ككل وتعالج </w:t>
      </w:r>
      <w:r w:rsidR="00075C79">
        <w:rPr>
          <w:rFonts w:hint="cs"/>
          <w:rtl/>
          <w:lang w:bidi="ar-EG"/>
        </w:rPr>
        <w:t>ما قد ينشأ من مشاكل</w:t>
      </w:r>
      <w:r w:rsidR="00A1729A">
        <w:rPr>
          <w:rFonts w:hint="cs"/>
          <w:rtl/>
          <w:lang w:bidi="ar-EG"/>
        </w:rPr>
        <w:t xml:space="preserve"> لضمان </w:t>
      </w:r>
      <w:r w:rsidR="009831C4">
        <w:rPr>
          <w:rFonts w:hint="cs"/>
          <w:rtl/>
          <w:lang w:bidi="ar-EG"/>
        </w:rPr>
        <w:t xml:space="preserve">الإدارة </w:t>
      </w:r>
      <w:r w:rsidR="00A1729A">
        <w:rPr>
          <w:rFonts w:hint="cs"/>
          <w:rtl/>
          <w:lang w:bidi="ar-EG"/>
        </w:rPr>
        <w:t xml:space="preserve">السليمة، </w:t>
      </w:r>
      <w:r w:rsidR="00075C79">
        <w:rPr>
          <w:rFonts w:hint="cs"/>
          <w:rtl/>
          <w:lang w:bidi="ar-EG"/>
        </w:rPr>
        <w:t>وهو ما</w:t>
      </w:r>
      <w:r w:rsidR="00A1729A">
        <w:rPr>
          <w:rFonts w:hint="cs"/>
          <w:rtl/>
          <w:lang w:bidi="ar-EG"/>
        </w:rPr>
        <w:t xml:space="preserve"> ي</w:t>
      </w:r>
      <w:r w:rsidR="00204D5E">
        <w:rPr>
          <w:rFonts w:hint="cs"/>
          <w:rtl/>
          <w:lang w:bidi="ar-EG"/>
        </w:rPr>
        <w:t>قتضي</w:t>
      </w:r>
      <w:r w:rsidR="00A1729A">
        <w:rPr>
          <w:rFonts w:hint="cs"/>
          <w:rtl/>
          <w:lang w:bidi="ar-EG"/>
        </w:rPr>
        <w:t xml:space="preserve"> مشاركة المكاتب الثلاثة وجميع دوائر الأمانة </w:t>
      </w:r>
      <w:r w:rsidR="000E3C29">
        <w:rPr>
          <w:rFonts w:hint="cs"/>
          <w:rtl/>
          <w:lang w:bidi="ar-EG"/>
        </w:rPr>
        <w:t>العامة والتزامها. كما ينبغي أن تقدم المبادرة التوجيه اللازم لمواءمتها مع الخطة الاستراتيجية و</w:t>
      </w:r>
      <w:r w:rsidR="003434FC">
        <w:rPr>
          <w:rFonts w:hint="cs"/>
          <w:rtl/>
          <w:lang w:bidi="ar-EG"/>
        </w:rPr>
        <w:t xml:space="preserve">برنامج التوصيل </w:t>
      </w:r>
      <w:r w:rsidR="000E3C29">
        <w:rPr>
          <w:rFonts w:hint="cs"/>
          <w:rtl/>
          <w:lang w:bidi="ar-EG"/>
        </w:rPr>
        <w:t xml:space="preserve">لعام </w:t>
      </w:r>
      <w:r w:rsidR="000E3C29">
        <w:rPr>
          <w:lang w:bidi="ar-EG"/>
        </w:rPr>
        <w:t>2030</w:t>
      </w:r>
      <w:r w:rsidR="000E3C29">
        <w:rPr>
          <w:rFonts w:hint="cs"/>
          <w:rtl/>
          <w:lang w:bidi="ar-EG"/>
        </w:rPr>
        <w:t xml:space="preserve"> بهدف مراعاة احتياجات الأعضاء وتلبيتها.</w:t>
      </w:r>
    </w:p>
    <w:p w14:paraId="0ECC1477" w14:textId="77777777" w:rsidR="00BB7213" w:rsidRDefault="00BB7213" w:rsidP="007609D7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490B" w14:textId="77777777" w:rsidR="002874E9" w:rsidRDefault="002874E9" w:rsidP="006C3242">
      <w:pPr>
        <w:spacing w:before="0" w:line="240" w:lineRule="auto"/>
      </w:pPr>
      <w:r>
        <w:separator/>
      </w:r>
    </w:p>
  </w:endnote>
  <w:endnote w:type="continuationSeparator" w:id="0">
    <w:p w14:paraId="5E6A6C1B" w14:textId="77777777" w:rsidR="002874E9" w:rsidRDefault="002874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BB98" w14:textId="0306FE5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63881">
      <w:rPr>
        <w:color w:val="F2F2F2" w:themeColor="background1" w:themeShade="F2"/>
        <w:sz w:val="16"/>
        <w:szCs w:val="16"/>
        <w:lang w:val="fr-FR"/>
      </w:rPr>
      <w:fldChar w:fldCharType="begin"/>
    </w:r>
    <w:r w:rsidRPr="00C6388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63881">
      <w:rPr>
        <w:color w:val="F2F2F2" w:themeColor="background1" w:themeShade="F2"/>
        <w:sz w:val="16"/>
        <w:szCs w:val="16"/>
        <w:lang w:val="fr-FR"/>
      </w:rPr>
      <w:fldChar w:fldCharType="separate"/>
    </w:r>
    <w:r w:rsidR="00860C59" w:rsidRPr="00C63881">
      <w:rPr>
        <w:noProof/>
        <w:color w:val="F2F2F2" w:themeColor="background1" w:themeShade="F2"/>
        <w:sz w:val="16"/>
        <w:szCs w:val="16"/>
        <w:lang w:val="fr-FR"/>
      </w:rPr>
      <w:t>P:\ARA\SG\CONSEIL\C21\000\070A.docx</w:t>
    </w:r>
    <w:r w:rsidRPr="00C63881">
      <w:rPr>
        <w:color w:val="F2F2F2" w:themeColor="background1" w:themeShade="F2"/>
        <w:sz w:val="16"/>
        <w:szCs w:val="16"/>
      </w:rPr>
      <w:fldChar w:fldCharType="end"/>
    </w:r>
    <w:r w:rsidRPr="00C63881">
      <w:rPr>
        <w:color w:val="F2F2F2" w:themeColor="background1" w:themeShade="F2"/>
        <w:sz w:val="16"/>
        <w:szCs w:val="16"/>
        <w:lang w:val="fr-CH"/>
      </w:rPr>
      <w:t xml:space="preserve">  </w:t>
    </w:r>
    <w:r w:rsidRPr="00C63881">
      <w:rPr>
        <w:color w:val="F2F2F2" w:themeColor="background1" w:themeShade="F2"/>
        <w:sz w:val="16"/>
        <w:szCs w:val="16"/>
        <w:lang w:val="fr-FR"/>
      </w:rPr>
      <w:t xml:space="preserve"> (</w:t>
    </w:r>
    <w:r w:rsidR="00DA3306" w:rsidRPr="00C63881">
      <w:rPr>
        <w:color w:val="F2F2F2" w:themeColor="background1" w:themeShade="F2"/>
        <w:sz w:val="16"/>
        <w:szCs w:val="16"/>
        <w:lang w:val="fr-FR"/>
      </w:rPr>
      <w:t>485192</w:t>
    </w:r>
    <w:r w:rsidRPr="00C63881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F74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6C4E" w14:textId="77777777" w:rsidR="002874E9" w:rsidRDefault="002874E9" w:rsidP="006C3242">
      <w:pPr>
        <w:spacing w:before="0" w:line="240" w:lineRule="auto"/>
      </w:pPr>
      <w:r>
        <w:separator/>
      </w:r>
    </w:p>
  </w:footnote>
  <w:footnote w:type="continuationSeparator" w:id="0">
    <w:p w14:paraId="2FCCD104" w14:textId="77777777" w:rsidR="002874E9" w:rsidRDefault="002874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C87E" w14:textId="6292F711" w:rsidR="00447F32" w:rsidRPr="00447F32" w:rsidRDefault="00C6388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06">
          <w:rPr>
            <w:rFonts w:cs="Calibri"/>
            <w:noProof/>
            <w:sz w:val="20"/>
            <w:szCs w:val="20"/>
          </w:rPr>
          <w:t>70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2F"/>
    <w:rsid w:val="00014C41"/>
    <w:rsid w:val="00016877"/>
    <w:rsid w:val="00034200"/>
    <w:rsid w:val="00040E9C"/>
    <w:rsid w:val="0005086E"/>
    <w:rsid w:val="00052E28"/>
    <w:rsid w:val="00073401"/>
    <w:rsid w:val="00075C79"/>
    <w:rsid w:val="00090574"/>
    <w:rsid w:val="0009309D"/>
    <w:rsid w:val="00093860"/>
    <w:rsid w:val="000939BD"/>
    <w:rsid w:val="000C1C0E"/>
    <w:rsid w:val="000C3254"/>
    <w:rsid w:val="000C41F8"/>
    <w:rsid w:val="000C548A"/>
    <w:rsid w:val="000C6503"/>
    <w:rsid w:val="000E3C29"/>
    <w:rsid w:val="000F4793"/>
    <w:rsid w:val="0010131B"/>
    <w:rsid w:val="00125258"/>
    <w:rsid w:val="0014008C"/>
    <w:rsid w:val="00140112"/>
    <w:rsid w:val="00162314"/>
    <w:rsid w:val="001914A1"/>
    <w:rsid w:val="001919F3"/>
    <w:rsid w:val="001A029D"/>
    <w:rsid w:val="001A2EE5"/>
    <w:rsid w:val="001A4CD4"/>
    <w:rsid w:val="001C0169"/>
    <w:rsid w:val="001C7600"/>
    <w:rsid w:val="001D1D50"/>
    <w:rsid w:val="001D6745"/>
    <w:rsid w:val="001E1E20"/>
    <w:rsid w:val="001E446E"/>
    <w:rsid w:val="001F5B1E"/>
    <w:rsid w:val="002045F1"/>
    <w:rsid w:val="00204D5E"/>
    <w:rsid w:val="0021093B"/>
    <w:rsid w:val="002154EE"/>
    <w:rsid w:val="00216BEE"/>
    <w:rsid w:val="002276D2"/>
    <w:rsid w:val="0023283D"/>
    <w:rsid w:val="002446AC"/>
    <w:rsid w:val="0026373E"/>
    <w:rsid w:val="00265E0C"/>
    <w:rsid w:val="00271C26"/>
    <w:rsid w:val="00271C43"/>
    <w:rsid w:val="00274506"/>
    <w:rsid w:val="00282F3A"/>
    <w:rsid w:val="002874E9"/>
    <w:rsid w:val="00290728"/>
    <w:rsid w:val="0029749D"/>
    <w:rsid w:val="002978F4"/>
    <w:rsid w:val="002A605F"/>
    <w:rsid w:val="002B028D"/>
    <w:rsid w:val="002B4E4D"/>
    <w:rsid w:val="002C4273"/>
    <w:rsid w:val="002D1C75"/>
    <w:rsid w:val="002E6541"/>
    <w:rsid w:val="002F71D8"/>
    <w:rsid w:val="00322956"/>
    <w:rsid w:val="00330CA2"/>
    <w:rsid w:val="00334924"/>
    <w:rsid w:val="00334FD5"/>
    <w:rsid w:val="0033638D"/>
    <w:rsid w:val="00337CC3"/>
    <w:rsid w:val="003409BC"/>
    <w:rsid w:val="003429A8"/>
    <w:rsid w:val="003434FC"/>
    <w:rsid w:val="00355DEE"/>
    <w:rsid w:val="00357185"/>
    <w:rsid w:val="003663D1"/>
    <w:rsid w:val="00370DBE"/>
    <w:rsid w:val="003813A0"/>
    <w:rsid w:val="00383829"/>
    <w:rsid w:val="00396F3E"/>
    <w:rsid w:val="003A4D21"/>
    <w:rsid w:val="003C6B4F"/>
    <w:rsid w:val="003F332F"/>
    <w:rsid w:val="003F4B29"/>
    <w:rsid w:val="00402204"/>
    <w:rsid w:val="00407FDA"/>
    <w:rsid w:val="00423AB8"/>
    <w:rsid w:val="0042686F"/>
    <w:rsid w:val="004317D8"/>
    <w:rsid w:val="00433A04"/>
    <w:rsid w:val="00434183"/>
    <w:rsid w:val="0044081D"/>
    <w:rsid w:val="00443869"/>
    <w:rsid w:val="00447F32"/>
    <w:rsid w:val="00462066"/>
    <w:rsid w:val="004708B3"/>
    <w:rsid w:val="00472115"/>
    <w:rsid w:val="00484514"/>
    <w:rsid w:val="004878D0"/>
    <w:rsid w:val="004918A1"/>
    <w:rsid w:val="004B0805"/>
    <w:rsid w:val="004B419E"/>
    <w:rsid w:val="004C0A4D"/>
    <w:rsid w:val="004D7906"/>
    <w:rsid w:val="004E11DC"/>
    <w:rsid w:val="004E39C5"/>
    <w:rsid w:val="0050524B"/>
    <w:rsid w:val="005079FD"/>
    <w:rsid w:val="00537F79"/>
    <w:rsid w:val="005409AC"/>
    <w:rsid w:val="00546F69"/>
    <w:rsid w:val="0055516A"/>
    <w:rsid w:val="00557F54"/>
    <w:rsid w:val="00563D0D"/>
    <w:rsid w:val="00582262"/>
    <w:rsid w:val="0058491B"/>
    <w:rsid w:val="00592EA5"/>
    <w:rsid w:val="005A1F6F"/>
    <w:rsid w:val="005A3170"/>
    <w:rsid w:val="005B134C"/>
    <w:rsid w:val="005B1652"/>
    <w:rsid w:val="005E15D2"/>
    <w:rsid w:val="005E36D3"/>
    <w:rsid w:val="005E6B2A"/>
    <w:rsid w:val="005F7EB5"/>
    <w:rsid w:val="006103D8"/>
    <w:rsid w:val="00614855"/>
    <w:rsid w:val="00666C6F"/>
    <w:rsid w:val="00670B61"/>
    <w:rsid w:val="00677396"/>
    <w:rsid w:val="0069200F"/>
    <w:rsid w:val="00694992"/>
    <w:rsid w:val="00695B36"/>
    <w:rsid w:val="006A22CA"/>
    <w:rsid w:val="006A65CB"/>
    <w:rsid w:val="006A793B"/>
    <w:rsid w:val="006B30BA"/>
    <w:rsid w:val="006C3242"/>
    <w:rsid w:val="006C7CC0"/>
    <w:rsid w:val="006D0415"/>
    <w:rsid w:val="006D055F"/>
    <w:rsid w:val="006D085D"/>
    <w:rsid w:val="006F63F7"/>
    <w:rsid w:val="007025C7"/>
    <w:rsid w:val="0070478E"/>
    <w:rsid w:val="00706D7A"/>
    <w:rsid w:val="00713121"/>
    <w:rsid w:val="007153C5"/>
    <w:rsid w:val="00722F0D"/>
    <w:rsid w:val="0074420E"/>
    <w:rsid w:val="007444E2"/>
    <w:rsid w:val="00753F70"/>
    <w:rsid w:val="0075759A"/>
    <w:rsid w:val="007609D7"/>
    <w:rsid w:val="007833A5"/>
    <w:rsid w:val="00783E26"/>
    <w:rsid w:val="0079341A"/>
    <w:rsid w:val="007A4797"/>
    <w:rsid w:val="007C3BC7"/>
    <w:rsid w:val="007C3BCD"/>
    <w:rsid w:val="007C64C3"/>
    <w:rsid w:val="007D1F44"/>
    <w:rsid w:val="007D4ACF"/>
    <w:rsid w:val="007F0787"/>
    <w:rsid w:val="007F2BA0"/>
    <w:rsid w:val="008003CE"/>
    <w:rsid w:val="0080228A"/>
    <w:rsid w:val="00810B7B"/>
    <w:rsid w:val="00810EFA"/>
    <w:rsid w:val="00814EA4"/>
    <w:rsid w:val="00821740"/>
    <w:rsid w:val="0082358A"/>
    <w:rsid w:val="008235CD"/>
    <w:rsid w:val="008247DE"/>
    <w:rsid w:val="00832A6A"/>
    <w:rsid w:val="00837C4D"/>
    <w:rsid w:val="00840B10"/>
    <w:rsid w:val="008513CB"/>
    <w:rsid w:val="00854947"/>
    <w:rsid w:val="00854ABF"/>
    <w:rsid w:val="00860C59"/>
    <w:rsid w:val="00867532"/>
    <w:rsid w:val="00881DEA"/>
    <w:rsid w:val="008941EC"/>
    <w:rsid w:val="008A2186"/>
    <w:rsid w:val="008A7F84"/>
    <w:rsid w:val="008C495B"/>
    <w:rsid w:val="008D3B86"/>
    <w:rsid w:val="008E7884"/>
    <w:rsid w:val="0090001B"/>
    <w:rsid w:val="0091702E"/>
    <w:rsid w:val="00923B0C"/>
    <w:rsid w:val="009251BA"/>
    <w:rsid w:val="0092700C"/>
    <w:rsid w:val="009274F6"/>
    <w:rsid w:val="0094021C"/>
    <w:rsid w:val="00952F86"/>
    <w:rsid w:val="00964690"/>
    <w:rsid w:val="00982B28"/>
    <w:rsid w:val="009831C4"/>
    <w:rsid w:val="009A0F02"/>
    <w:rsid w:val="009A4D0E"/>
    <w:rsid w:val="009B7AFF"/>
    <w:rsid w:val="009D313F"/>
    <w:rsid w:val="00A018BA"/>
    <w:rsid w:val="00A0447C"/>
    <w:rsid w:val="00A1729A"/>
    <w:rsid w:val="00A26DE8"/>
    <w:rsid w:val="00A34275"/>
    <w:rsid w:val="00A43F09"/>
    <w:rsid w:val="00A44A05"/>
    <w:rsid w:val="00A47A5A"/>
    <w:rsid w:val="00A5102E"/>
    <w:rsid w:val="00A513AC"/>
    <w:rsid w:val="00A649B2"/>
    <w:rsid w:val="00A6683B"/>
    <w:rsid w:val="00A80A96"/>
    <w:rsid w:val="00A97F94"/>
    <w:rsid w:val="00AE3F98"/>
    <w:rsid w:val="00AF1BCC"/>
    <w:rsid w:val="00AF4CCC"/>
    <w:rsid w:val="00AF6E40"/>
    <w:rsid w:val="00B03099"/>
    <w:rsid w:val="00B05BC8"/>
    <w:rsid w:val="00B07962"/>
    <w:rsid w:val="00B113B6"/>
    <w:rsid w:val="00B320CC"/>
    <w:rsid w:val="00B42F99"/>
    <w:rsid w:val="00B45664"/>
    <w:rsid w:val="00B4632E"/>
    <w:rsid w:val="00B46886"/>
    <w:rsid w:val="00B51852"/>
    <w:rsid w:val="00B64605"/>
    <w:rsid w:val="00B64B47"/>
    <w:rsid w:val="00B67BCE"/>
    <w:rsid w:val="00B866B6"/>
    <w:rsid w:val="00B95656"/>
    <w:rsid w:val="00B9685B"/>
    <w:rsid w:val="00BA2141"/>
    <w:rsid w:val="00BA3B09"/>
    <w:rsid w:val="00BB7213"/>
    <w:rsid w:val="00BE2F90"/>
    <w:rsid w:val="00BE5D74"/>
    <w:rsid w:val="00C002DE"/>
    <w:rsid w:val="00C12A85"/>
    <w:rsid w:val="00C27926"/>
    <w:rsid w:val="00C30629"/>
    <w:rsid w:val="00C52EB4"/>
    <w:rsid w:val="00C53BF8"/>
    <w:rsid w:val="00C566BA"/>
    <w:rsid w:val="00C615EA"/>
    <w:rsid w:val="00C63881"/>
    <w:rsid w:val="00C66157"/>
    <w:rsid w:val="00C674FE"/>
    <w:rsid w:val="00C67501"/>
    <w:rsid w:val="00C709C2"/>
    <w:rsid w:val="00C74CC1"/>
    <w:rsid w:val="00C75633"/>
    <w:rsid w:val="00C75B84"/>
    <w:rsid w:val="00C822F8"/>
    <w:rsid w:val="00C87FA4"/>
    <w:rsid w:val="00CD2578"/>
    <w:rsid w:val="00CE2EE1"/>
    <w:rsid w:val="00CE3349"/>
    <w:rsid w:val="00CE36E5"/>
    <w:rsid w:val="00CE3AC6"/>
    <w:rsid w:val="00CF27F5"/>
    <w:rsid w:val="00CF3FFD"/>
    <w:rsid w:val="00D00BB0"/>
    <w:rsid w:val="00D10CCF"/>
    <w:rsid w:val="00D26094"/>
    <w:rsid w:val="00D402D8"/>
    <w:rsid w:val="00D51C32"/>
    <w:rsid w:val="00D56287"/>
    <w:rsid w:val="00D56EE0"/>
    <w:rsid w:val="00D652FC"/>
    <w:rsid w:val="00D6569F"/>
    <w:rsid w:val="00D6683C"/>
    <w:rsid w:val="00D66E38"/>
    <w:rsid w:val="00D76A93"/>
    <w:rsid w:val="00D77D0F"/>
    <w:rsid w:val="00D87BA1"/>
    <w:rsid w:val="00DA1CF0"/>
    <w:rsid w:val="00DA3306"/>
    <w:rsid w:val="00DA3A0E"/>
    <w:rsid w:val="00DC1E02"/>
    <w:rsid w:val="00DC24B4"/>
    <w:rsid w:val="00DC5FB0"/>
    <w:rsid w:val="00DC69B5"/>
    <w:rsid w:val="00DD19C4"/>
    <w:rsid w:val="00DE2B2A"/>
    <w:rsid w:val="00DF16DC"/>
    <w:rsid w:val="00DF4C08"/>
    <w:rsid w:val="00DF6F7A"/>
    <w:rsid w:val="00E137FC"/>
    <w:rsid w:val="00E17305"/>
    <w:rsid w:val="00E17D89"/>
    <w:rsid w:val="00E3459F"/>
    <w:rsid w:val="00E37661"/>
    <w:rsid w:val="00E45211"/>
    <w:rsid w:val="00E473C5"/>
    <w:rsid w:val="00E51579"/>
    <w:rsid w:val="00E92863"/>
    <w:rsid w:val="00E96771"/>
    <w:rsid w:val="00EA22FD"/>
    <w:rsid w:val="00EA36EB"/>
    <w:rsid w:val="00EA7920"/>
    <w:rsid w:val="00EB796D"/>
    <w:rsid w:val="00EC1B45"/>
    <w:rsid w:val="00EC2D97"/>
    <w:rsid w:val="00ED231E"/>
    <w:rsid w:val="00EE1952"/>
    <w:rsid w:val="00EF5E8C"/>
    <w:rsid w:val="00F058DC"/>
    <w:rsid w:val="00F237FE"/>
    <w:rsid w:val="00F23D2C"/>
    <w:rsid w:val="00F23F13"/>
    <w:rsid w:val="00F24FC4"/>
    <w:rsid w:val="00F2676C"/>
    <w:rsid w:val="00F364DC"/>
    <w:rsid w:val="00F40A0B"/>
    <w:rsid w:val="00F40B10"/>
    <w:rsid w:val="00F44559"/>
    <w:rsid w:val="00F51E43"/>
    <w:rsid w:val="00F84366"/>
    <w:rsid w:val="00F85089"/>
    <w:rsid w:val="00F8609C"/>
    <w:rsid w:val="00F93EA9"/>
    <w:rsid w:val="00F974C5"/>
    <w:rsid w:val="00FA02C9"/>
    <w:rsid w:val="00FA11E2"/>
    <w:rsid w:val="00FA665E"/>
    <w:rsid w:val="00FA6F46"/>
    <w:rsid w:val="00FC2C55"/>
    <w:rsid w:val="00FC7C1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E123639"/>
  <w15:chartTrackingRefBased/>
  <w15:docId w15:val="{85A0E607-AA93-47A7-9BC4-006FAE2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18BA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964690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964690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964690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rsid w:val="00964690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964690"/>
    <w:rPr>
      <w:rFonts w:ascii="Dubai" w:hAnsi="Dubai" w:cs="Dubai"/>
      <w:b/>
      <w:bCs/>
      <w:sz w:val="28"/>
      <w:szCs w:val="28"/>
      <w:lang w:bidi="ar-SY"/>
    </w:rPr>
  </w:style>
  <w:style w:type="character" w:styleId="CommentReference">
    <w:name w:val="annotation reference"/>
    <w:basedOn w:val="DefaultParagraphFont"/>
    <w:uiPriority w:val="99"/>
    <w:semiHidden/>
    <w:unhideWhenUsed/>
    <w:rsid w:val="00C2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26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26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dms_pub/itu-s/md/20/cl/inf/S20-CL-INF-0022!!MSW-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VC-C-001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/itu-s/md/20/cl/inf/S20-CL-INF-0022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/en/content/datastrategy/images/pdf/UN_SG_Data-Strategy.pdf" TargetMode="Externa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5/en" TargetMode="External"/><Relationship Id="rId14" Type="http://schemas.openxmlformats.org/officeDocument/2006/relationships/hyperlink" Target="https://www.itu.int/md/S20-CL-INF-001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1456</Words>
  <Characters>8300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Initiative (DT-I)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2021-06-07T15:48:00Z</dcterms:created>
  <dcterms:modified xsi:type="dcterms:W3CDTF">2021-06-07T15:48:00Z</dcterms:modified>
</cp:coreProperties>
</file>