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722CEEAF" w:rsidR="002A2188" w:rsidRPr="00813E5E" w:rsidRDefault="002A2188" w:rsidP="009F66A3">
            <w:pPr>
              <w:spacing w:before="360" w:after="48" w:line="240" w:lineRule="atLeast"/>
              <w:rPr>
                <w:position w:val="6"/>
              </w:rPr>
            </w:pPr>
            <w:bookmarkStart w:id="0" w:name="dc06"/>
            <w:bookmarkEnd w:id="0"/>
            <w:r w:rsidRPr="00DE4373">
              <w:rPr>
                <w:b/>
                <w:bCs/>
                <w:position w:val="6"/>
                <w:sz w:val="30"/>
                <w:szCs w:val="30"/>
              </w:rPr>
              <w:t>C</w:t>
            </w:r>
            <w:r w:rsidR="009F66A3" w:rsidRPr="00DE4373">
              <w:rPr>
                <w:b/>
                <w:bCs/>
                <w:position w:val="6"/>
                <w:sz w:val="30"/>
                <w:szCs w:val="30"/>
              </w:rPr>
              <w:t>ouncil 202</w:t>
            </w:r>
            <w:r w:rsidR="00F56668" w:rsidRPr="00DE4373">
              <w:rPr>
                <w:b/>
                <w:bCs/>
                <w:position w:val="6"/>
                <w:sz w:val="30"/>
                <w:szCs w:val="30"/>
              </w:rPr>
              <w:t>1</w:t>
            </w:r>
            <w:r w:rsidR="00F56668" w:rsidRPr="00DE4373">
              <w:rPr>
                <w:b/>
                <w:bCs/>
                <w:position w:val="6"/>
                <w:sz w:val="30"/>
                <w:szCs w:val="30"/>
              </w:rPr>
              <w:br/>
            </w:r>
            <w:r w:rsidR="00EA2120" w:rsidRPr="00DE4373">
              <w:rPr>
                <w:b/>
                <w:bCs/>
                <w:position w:val="6"/>
                <w:sz w:val="28"/>
                <w:szCs w:val="28"/>
              </w:rPr>
              <w:t>Virtual consultation of councillors</w:t>
            </w:r>
            <w:r w:rsidR="00F56668" w:rsidRPr="00DE4373">
              <w:rPr>
                <w:b/>
                <w:bCs/>
                <w:position w:val="6"/>
                <w:sz w:val="28"/>
                <w:szCs w:val="28"/>
              </w:rPr>
              <w:t xml:space="preserve">, </w:t>
            </w:r>
            <w:r w:rsidR="00F56668" w:rsidRPr="00722181">
              <w:rPr>
                <w:b/>
                <w:bCs/>
                <w:position w:val="6"/>
                <w:sz w:val="28"/>
                <w:szCs w:val="28"/>
              </w:rPr>
              <w:t>8-18 June</w:t>
            </w:r>
            <w:r w:rsidR="00F56668" w:rsidRPr="00DE4373">
              <w:rPr>
                <w:b/>
                <w:bCs/>
                <w:position w:val="6"/>
                <w:sz w:val="28"/>
                <w:szCs w:val="28"/>
              </w:rPr>
              <w:t xml:space="preserve"> 2021</w:t>
            </w:r>
          </w:p>
        </w:tc>
        <w:tc>
          <w:tcPr>
            <w:tcW w:w="3120" w:type="dxa"/>
            <w:vAlign w:val="center"/>
          </w:tcPr>
          <w:p w14:paraId="049BF09C" w14:textId="77777777" w:rsidR="002A2188" w:rsidRPr="00813E5E" w:rsidRDefault="009F66A3" w:rsidP="009F66A3">
            <w:pPr>
              <w:spacing w:before="0" w:line="240" w:lineRule="atLeast"/>
            </w:pPr>
            <w:bookmarkStart w:id="1" w:name="ditulogo"/>
            <w:bookmarkEnd w:id="1"/>
            <w:r>
              <w:rPr>
                <w:noProof/>
                <w:lang w:eastAsia="zh-CN"/>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822076">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822076">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822076">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822076">
            <w:pPr>
              <w:spacing w:before="0" w:line="240" w:lineRule="atLeast"/>
              <w:rPr>
                <w:szCs w:val="24"/>
              </w:rPr>
            </w:pPr>
          </w:p>
        </w:tc>
      </w:tr>
      <w:tr w:rsidR="002A2188" w:rsidRPr="00813E5E" w14:paraId="6804D83E" w14:textId="77777777" w:rsidTr="00464B6C">
        <w:trPr>
          <w:cantSplit/>
          <w:trHeight w:val="23"/>
        </w:trPr>
        <w:tc>
          <w:tcPr>
            <w:tcW w:w="6911" w:type="dxa"/>
            <w:vMerge w:val="restart"/>
          </w:tcPr>
          <w:p w14:paraId="42A03540" w14:textId="74DC1B58" w:rsidR="002A2188" w:rsidRPr="00E85629" w:rsidRDefault="00DE4373" w:rsidP="00822076">
            <w:pPr>
              <w:tabs>
                <w:tab w:val="left" w:pos="851"/>
              </w:tabs>
              <w:spacing w:before="0" w:line="240" w:lineRule="atLeast"/>
              <w:rPr>
                <w:b/>
              </w:rPr>
            </w:pPr>
            <w:bookmarkStart w:id="2" w:name="dmeeting" w:colFirst="0" w:colLast="0"/>
            <w:bookmarkStart w:id="3" w:name="dnum" w:colFirst="1" w:colLast="1"/>
            <w:r>
              <w:rPr>
                <w:b/>
              </w:rPr>
              <w:t xml:space="preserve">Agenda item: </w:t>
            </w:r>
            <w:r w:rsidR="00743A74">
              <w:rPr>
                <w:b/>
              </w:rPr>
              <w:t xml:space="preserve">ADM </w:t>
            </w:r>
            <w:r w:rsidR="006B2A67">
              <w:rPr>
                <w:b/>
              </w:rPr>
              <w:t>28</w:t>
            </w:r>
          </w:p>
        </w:tc>
        <w:tc>
          <w:tcPr>
            <w:tcW w:w="3120" w:type="dxa"/>
          </w:tcPr>
          <w:p w14:paraId="1727AC2C" w14:textId="4BC55AEB" w:rsidR="002A2188" w:rsidRPr="00E85629" w:rsidRDefault="009F66A3" w:rsidP="00822076">
            <w:pPr>
              <w:tabs>
                <w:tab w:val="left" w:pos="851"/>
              </w:tabs>
              <w:spacing w:before="0" w:line="240" w:lineRule="atLeast"/>
              <w:rPr>
                <w:b/>
              </w:rPr>
            </w:pPr>
            <w:r>
              <w:rPr>
                <w:b/>
              </w:rPr>
              <w:t>Document C2</w:t>
            </w:r>
            <w:r w:rsidR="00F56668">
              <w:rPr>
                <w:b/>
              </w:rPr>
              <w:t>1</w:t>
            </w:r>
            <w:r w:rsidR="002A2188">
              <w:rPr>
                <w:b/>
              </w:rPr>
              <w:t>/</w:t>
            </w:r>
            <w:r w:rsidR="0087470C">
              <w:rPr>
                <w:b/>
              </w:rPr>
              <w:t>69</w:t>
            </w:r>
            <w:r w:rsidR="002A2188">
              <w:rPr>
                <w:b/>
              </w:rPr>
              <w:t>-E</w:t>
            </w:r>
          </w:p>
        </w:tc>
      </w:tr>
      <w:tr w:rsidR="002A2188" w:rsidRPr="00813E5E" w14:paraId="6B217E52" w14:textId="77777777" w:rsidTr="00464B6C">
        <w:trPr>
          <w:cantSplit/>
          <w:trHeight w:val="23"/>
        </w:trPr>
        <w:tc>
          <w:tcPr>
            <w:tcW w:w="6911" w:type="dxa"/>
            <w:vMerge/>
          </w:tcPr>
          <w:p w14:paraId="1CE8AE93" w14:textId="77777777" w:rsidR="002A2188" w:rsidRPr="00813E5E" w:rsidRDefault="002A2188" w:rsidP="00822076">
            <w:pPr>
              <w:tabs>
                <w:tab w:val="left" w:pos="851"/>
              </w:tabs>
              <w:spacing w:before="0" w:line="240" w:lineRule="atLeast"/>
              <w:rPr>
                <w:b/>
              </w:rPr>
            </w:pPr>
            <w:bookmarkStart w:id="4" w:name="ddate" w:colFirst="1" w:colLast="1"/>
            <w:bookmarkEnd w:id="2"/>
            <w:bookmarkEnd w:id="3"/>
          </w:p>
        </w:tc>
        <w:tc>
          <w:tcPr>
            <w:tcW w:w="3120" w:type="dxa"/>
          </w:tcPr>
          <w:p w14:paraId="257DEE08" w14:textId="2C565924" w:rsidR="002A2188" w:rsidRPr="00E85629" w:rsidRDefault="00822076" w:rsidP="00822076">
            <w:pPr>
              <w:tabs>
                <w:tab w:val="left" w:pos="993"/>
              </w:tabs>
              <w:spacing w:before="0"/>
              <w:rPr>
                <w:b/>
              </w:rPr>
            </w:pPr>
            <w:r>
              <w:rPr>
                <w:b/>
              </w:rPr>
              <w:t>9 March</w:t>
            </w:r>
            <w:r w:rsidR="002A2188">
              <w:rPr>
                <w:b/>
              </w:rPr>
              <w:t xml:space="preserve"> 20</w:t>
            </w:r>
            <w:r w:rsidR="009F66A3">
              <w:rPr>
                <w:b/>
              </w:rPr>
              <w:t>2</w:t>
            </w:r>
            <w:r w:rsidR="00F56668">
              <w:rPr>
                <w:b/>
              </w:rPr>
              <w:t>1</w:t>
            </w:r>
          </w:p>
        </w:tc>
      </w:tr>
      <w:tr w:rsidR="002A2188" w:rsidRPr="00813E5E" w14:paraId="10D36551" w14:textId="77777777" w:rsidTr="00464B6C">
        <w:trPr>
          <w:cantSplit/>
          <w:trHeight w:val="23"/>
        </w:trPr>
        <w:tc>
          <w:tcPr>
            <w:tcW w:w="6911" w:type="dxa"/>
            <w:vMerge/>
          </w:tcPr>
          <w:p w14:paraId="7EF812AF" w14:textId="77777777" w:rsidR="002A2188" w:rsidRPr="00813E5E" w:rsidRDefault="002A2188" w:rsidP="00822076">
            <w:pPr>
              <w:tabs>
                <w:tab w:val="left" w:pos="851"/>
              </w:tabs>
              <w:spacing w:before="0" w:line="240" w:lineRule="atLeast"/>
              <w:rPr>
                <w:b/>
              </w:rPr>
            </w:pPr>
            <w:bookmarkStart w:id="5" w:name="dorlang" w:colFirst="1" w:colLast="1"/>
            <w:bookmarkEnd w:id="4"/>
          </w:p>
        </w:tc>
        <w:tc>
          <w:tcPr>
            <w:tcW w:w="3120" w:type="dxa"/>
          </w:tcPr>
          <w:p w14:paraId="0DF1D05E" w14:textId="3B429F99" w:rsidR="002A2188" w:rsidRPr="00E85629" w:rsidRDefault="002A2188" w:rsidP="00822076">
            <w:pPr>
              <w:tabs>
                <w:tab w:val="left" w:pos="993"/>
              </w:tabs>
              <w:spacing w:before="0"/>
              <w:rPr>
                <w:b/>
              </w:rPr>
            </w:pPr>
            <w:r>
              <w:rPr>
                <w:b/>
              </w:rPr>
              <w:t xml:space="preserve">Original: </w:t>
            </w:r>
            <w:r w:rsidR="00DE4373">
              <w:rPr>
                <w:b/>
              </w:rPr>
              <w:t>English</w:t>
            </w:r>
          </w:p>
        </w:tc>
      </w:tr>
      <w:tr w:rsidR="002A2188" w:rsidRPr="00813E5E" w14:paraId="46399271" w14:textId="77777777" w:rsidTr="00464B6C">
        <w:trPr>
          <w:cantSplit/>
        </w:trPr>
        <w:tc>
          <w:tcPr>
            <w:tcW w:w="10031" w:type="dxa"/>
            <w:gridSpan w:val="2"/>
          </w:tcPr>
          <w:p w14:paraId="18E28CA0" w14:textId="0D248F37" w:rsidR="00EA2120" w:rsidRPr="00DE4373" w:rsidRDefault="00F15275" w:rsidP="00722181">
            <w:pPr>
              <w:pStyle w:val="Source"/>
            </w:pPr>
            <w:bookmarkStart w:id="6" w:name="dsource" w:colFirst="0" w:colLast="0"/>
            <w:bookmarkEnd w:id="5"/>
            <w:r>
              <w:t>Report by the Secretary-General</w:t>
            </w:r>
          </w:p>
        </w:tc>
      </w:tr>
      <w:tr w:rsidR="002A2188" w:rsidRPr="00813E5E" w14:paraId="73F317E2" w14:textId="77777777" w:rsidTr="00464B6C">
        <w:trPr>
          <w:cantSplit/>
        </w:trPr>
        <w:tc>
          <w:tcPr>
            <w:tcW w:w="10031" w:type="dxa"/>
            <w:gridSpan w:val="2"/>
          </w:tcPr>
          <w:p w14:paraId="29B3DB5C" w14:textId="162C7488" w:rsidR="002A2188" w:rsidRPr="00813E5E" w:rsidRDefault="00F15275" w:rsidP="00464B6C">
            <w:pPr>
              <w:pStyle w:val="Title1"/>
            </w:pPr>
            <w:bookmarkStart w:id="7" w:name="dtitle1" w:colFirst="0" w:colLast="0"/>
            <w:bookmarkEnd w:id="6"/>
            <w:r>
              <w:t xml:space="preserve">Participation of ITU in </w:t>
            </w:r>
            <w:r w:rsidR="009706D4">
              <w:t xml:space="preserve">the </w:t>
            </w:r>
            <w:r>
              <w:t>un pension board</w:t>
            </w:r>
          </w:p>
        </w:tc>
      </w:tr>
      <w:bookmarkEnd w:id="7"/>
    </w:tbl>
    <w:p w14:paraId="4FE83389"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4E4C3AF4"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1A0DE11E" w14:textId="77777777" w:rsidR="002A2188" w:rsidRPr="00CF5A9F" w:rsidRDefault="002A2188" w:rsidP="00464B6C">
            <w:pPr>
              <w:pStyle w:val="Headingb"/>
              <w:rPr>
                <w:szCs w:val="24"/>
              </w:rPr>
            </w:pPr>
            <w:r w:rsidRPr="00CF5A9F">
              <w:rPr>
                <w:szCs w:val="24"/>
              </w:rPr>
              <w:t>Summary</w:t>
            </w:r>
          </w:p>
          <w:p w14:paraId="06C7BCB5" w14:textId="5FA3B5AA" w:rsidR="00CF5A9F" w:rsidRPr="00CF5A9F" w:rsidRDefault="00F15275" w:rsidP="00404E11">
            <w:pPr>
              <w:spacing w:after="120"/>
              <w:jc w:val="both"/>
              <w:rPr>
                <w:szCs w:val="24"/>
              </w:rPr>
            </w:pPr>
            <w:r>
              <w:rPr>
                <w:szCs w:val="24"/>
              </w:rPr>
              <w:t xml:space="preserve">At the Virtual </w:t>
            </w:r>
            <w:r w:rsidR="006F5F82">
              <w:rPr>
                <w:szCs w:val="24"/>
              </w:rPr>
              <w:t>C</w:t>
            </w:r>
            <w:r>
              <w:rPr>
                <w:szCs w:val="24"/>
              </w:rPr>
              <w:t xml:space="preserve">onsultation of </w:t>
            </w:r>
            <w:r w:rsidR="006F5F82">
              <w:rPr>
                <w:szCs w:val="24"/>
              </w:rPr>
              <w:t>C</w:t>
            </w:r>
            <w:r>
              <w:rPr>
                <w:szCs w:val="24"/>
              </w:rPr>
              <w:t xml:space="preserve">ouncillors </w:t>
            </w:r>
            <w:r w:rsidR="007703CE">
              <w:rPr>
                <w:szCs w:val="24"/>
              </w:rPr>
              <w:t>second</w:t>
            </w:r>
            <w:r>
              <w:rPr>
                <w:szCs w:val="24"/>
              </w:rPr>
              <w:t xml:space="preserve"> meeting, held on Wednesday, 18</w:t>
            </w:r>
            <w:r w:rsidR="00484AAA">
              <w:rPr>
                <w:szCs w:val="24"/>
              </w:rPr>
              <w:t> </w:t>
            </w:r>
            <w:r>
              <w:rPr>
                <w:szCs w:val="24"/>
              </w:rPr>
              <w:t xml:space="preserve">November 2020, </w:t>
            </w:r>
            <w:r w:rsidR="00484AAA">
              <w:rPr>
                <w:szCs w:val="24"/>
              </w:rPr>
              <w:t>as</w:t>
            </w:r>
            <w:r>
              <w:rPr>
                <w:szCs w:val="24"/>
              </w:rPr>
              <w:t xml:space="preserve"> noted in point 6 of the summary record, </w:t>
            </w:r>
            <w:r w:rsidR="00484AAA">
              <w:rPr>
                <w:szCs w:val="24"/>
              </w:rPr>
              <w:t xml:space="preserve">a </w:t>
            </w:r>
            <w:r w:rsidR="006F5F82">
              <w:rPr>
                <w:szCs w:val="24"/>
              </w:rPr>
              <w:t>C</w:t>
            </w:r>
            <w:r>
              <w:rPr>
                <w:szCs w:val="24"/>
              </w:rPr>
              <w:t>ouncillor and member of the ITU Staff Pension Committee</w:t>
            </w:r>
            <w:r w:rsidR="00946109">
              <w:rPr>
                <w:szCs w:val="24"/>
              </w:rPr>
              <w:t xml:space="preserve"> (SPC)</w:t>
            </w:r>
            <w:r>
              <w:rPr>
                <w:szCs w:val="24"/>
              </w:rPr>
              <w:t xml:space="preserve"> informed the </w:t>
            </w:r>
            <w:r w:rsidR="006F5F82">
              <w:rPr>
                <w:szCs w:val="24"/>
              </w:rPr>
              <w:t>C</w:t>
            </w:r>
            <w:r>
              <w:rPr>
                <w:szCs w:val="24"/>
              </w:rPr>
              <w:t xml:space="preserve">ouncillors that ITU </w:t>
            </w:r>
            <w:r w:rsidR="00483244">
              <w:rPr>
                <w:szCs w:val="24"/>
              </w:rPr>
              <w:t>ha</w:t>
            </w:r>
            <w:r w:rsidR="00404E11">
              <w:rPr>
                <w:szCs w:val="24"/>
              </w:rPr>
              <w:t>d</w:t>
            </w:r>
            <w:r w:rsidR="00483244">
              <w:rPr>
                <w:szCs w:val="24"/>
              </w:rPr>
              <w:t xml:space="preserve"> lost</w:t>
            </w:r>
            <w:r>
              <w:rPr>
                <w:szCs w:val="24"/>
              </w:rPr>
              <w:t xml:space="preserve"> </w:t>
            </w:r>
            <w:r w:rsidR="006F5F82">
              <w:rPr>
                <w:szCs w:val="24"/>
              </w:rPr>
              <w:t xml:space="preserve">one </w:t>
            </w:r>
            <w:r>
              <w:rPr>
                <w:szCs w:val="24"/>
              </w:rPr>
              <w:t>half of its votes</w:t>
            </w:r>
            <w:r w:rsidR="0032599A">
              <w:rPr>
                <w:szCs w:val="24"/>
              </w:rPr>
              <w:t xml:space="preserve"> in the UN Joint Staff Pension Board</w:t>
            </w:r>
            <w:r w:rsidR="00484AAA">
              <w:rPr>
                <w:szCs w:val="24"/>
              </w:rPr>
              <w:t xml:space="preserve"> </w:t>
            </w:r>
            <w:r w:rsidR="006F5F82">
              <w:rPr>
                <w:szCs w:val="24"/>
              </w:rPr>
              <w:t>(it held a total of 1.5 votes)</w:t>
            </w:r>
            <w:r>
              <w:rPr>
                <w:szCs w:val="24"/>
              </w:rPr>
              <w:t xml:space="preserve">. The </w:t>
            </w:r>
            <w:r w:rsidR="006F5F82">
              <w:rPr>
                <w:szCs w:val="24"/>
              </w:rPr>
              <w:t>C</w:t>
            </w:r>
            <w:r>
              <w:rPr>
                <w:szCs w:val="24"/>
              </w:rPr>
              <w:t xml:space="preserve">ouncil took note that they would be </w:t>
            </w:r>
            <w:r w:rsidR="0050378B">
              <w:rPr>
                <w:szCs w:val="24"/>
              </w:rPr>
              <w:t xml:space="preserve">kept </w:t>
            </w:r>
            <w:r>
              <w:rPr>
                <w:szCs w:val="24"/>
              </w:rPr>
              <w:t xml:space="preserve">informed and implications of </w:t>
            </w:r>
            <w:r w:rsidR="0050378B">
              <w:rPr>
                <w:szCs w:val="24"/>
              </w:rPr>
              <w:t>any</w:t>
            </w:r>
            <w:r>
              <w:rPr>
                <w:szCs w:val="24"/>
              </w:rPr>
              <w:t xml:space="preserve"> change.</w:t>
            </w:r>
            <w:r w:rsidR="00657905">
              <w:rPr>
                <w:szCs w:val="24"/>
              </w:rPr>
              <w:t xml:space="preserve"> This document therefore serves to provide a background to the </w:t>
            </w:r>
            <w:r w:rsidR="00484AAA">
              <w:rPr>
                <w:szCs w:val="24"/>
              </w:rPr>
              <w:t>C</w:t>
            </w:r>
            <w:r w:rsidR="00657905">
              <w:rPr>
                <w:szCs w:val="24"/>
              </w:rPr>
              <w:t>ouncil of the events that led up to ITU</w:t>
            </w:r>
            <w:r w:rsidR="006F5F82">
              <w:rPr>
                <w:szCs w:val="24"/>
              </w:rPr>
              <w:t>’</w:t>
            </w:r>
            <w:r w:rsidR="00657905">
              <w:rPr>
                <w:szCs w:val="24"/>
              </w:rPr>
              <w:t xml:space="preserve">s loss of half a seat </w:t>
            </w:r>
            <w:r w:rsidR="006F5F82">
              <w:rPr>
                <w:szCs w:val="24"/>
              </w:rPr>
              <w:t>on the</w:t>
            </w:r>
            <w:r w:rsidR="00657905">
              <w:rPr>
                <w:szCs w:val="24"/>
              </w:rPr>
              <w:t xml:space="preserve"> Pension Board, as well as to invite the </w:t>
            </w:r>
            <w:r w:rsidR="006F5F82">
              <w:rPr>
                <w:szCs w:val="24"/>
              </w:rPr>
              <w:t>C</w:t>
            </w:r>
            <w:r w:rsidR="00657905">
              <w:rPr>
                <w:szCs w:val="24"/>
              </w:rPr>
              <w:t>ouncil to take note of the continued work of the ITU SPC in this respect.</w:t>
            </w:r>
          </w:p>
          <w:p w14:paraId="145DFE4B" w14:textId="77777777" w:rsidR="002A2188" w:rsidRPr="00CF5A9F" w:rsidRDefault="002A2188" w:rsidP="00CF134B">
            <w:pPr>
              <w:pStyle w:val="Headingb"/>
              <w:spacing w:before="120" w:after="120"/>
              <w:rPr>
                <w:szCs w:val="24"/>
              </w:rPr>
            </w:pPr>
            <w:r w:rsidRPr="00CF5A9F">
              <w:rPr>
                <w:szCs w:val="24"/>
              </w:rPr>
              <w:t xml:space="preserve">Action </w:t>
            </w:r>
            <w:proofErr w:type="gramStart"/>
            <w:r w:rsidRPr="00CF5A9F">
              <w:rPr>
                <w:szCs w:val="24"/>
              </w:rPr>
              <w:t>required</w:t>
            </w:r>
            <w:proofErr w:type="gramEnd"/>
          </w:p>
          <w:p w14:paraId="74F1525E" w14:textId="2871BD3A" w:rsidR="002A2188" w:rsidRPr="00CF134B" w:rsidRDefault="00F15275" w:rsidP="00CF134B">
            <w:pPr>
              <w:spacing w:after="120"/>
              <w:jc w:val="both"/>
              <w:rPr>
                <w:rFonts w:asciiTheme="minorHAnsi" w:hAnsiTheme="minorHAnsi"/>
                <w:szCs w:val="24"/>
                <w:lang w:val="en-US"/>
              </w:rPr>
            </w:pPr>
            <w:r>
              <w:rPr>
                <w:rFonts w:asciiTheme="minorHAnsi" w:hAnsiTheme="minorHAnsi"/>
                <w:szCs w:val="24"/>
                <w:lang w:val="en-US"/>
              </w:rPr>
              <w:t xml:space="preserve">The Council is invited to </w:t>
            </w:r>
            <w:r w:rsidRPr="0087470C">
              <w:rPr>
                <w:rFonts w:asciiTheme="minorHAnsi" w:hAnsiTheme="minorHAnsi"/>
                <w:b/>
                <w:bCs/>
                <w:szCs w:val="24"/>
                <w:lang w:val="en-US"/>
              </w:rPr>
              <w:t>take note</w:t>
            </w:r>
            <w:r>
              <w:rPr>
                <w:rFonts w:asciiTheme="minorHAnsi" w:hAnsiTheme="minorHAnsi"/>
                <w:szCs w:val="24"/>
                <w:lang w:val="en-US"/>
              </w:rPr>
              <w:t xml:space="preserve"> of </w:t>
            </w:r>
            <w:r w:rsidR="00886A4E">
              <w:rPr>
                <w:rFonts w:asciiTheme="minorHAnsi" w:hAnsiTheme="minorHAnsi"/>
                <w:szCs w:val="24"/>
                <w:lang w:val="en-US"/>
              </w:rPr>
              <w:t xml:space="preserve">this </w:t>
            </w:r>
            <w:r>
              <w:rPr>
                <w:rFonts w:asciiTheme="minorHAnsi" w:hAnsiTheme="minorHAnsi"/>
                <w:szCs w:val="24"/>
                <w:lang w:val="en-US"/>
              </w:rPr>
              <w:t>document.</w:t>
            </w:r>
          </w:p>
          <w:p w14:paraId="68F1D928" w14:textId="77777777" w:rsidR="002A2188" w:rsidRPr="00CF5A9F" w:rsidRDefault="002A2188" w:rsidP="00CF134B">
            <w:pPr>
              <w:pStyle w:val="Table"/>
              <w:keepNext w:val="0"/>
              <w:spacing w:before="120"/>
              <w:rPr>
                <w:rFonts w:ascii="Calibri" w:hAnsi="Calibri"/>
                <w:caps w:val="0"/>
                <w:szCs w:val="24"/>
              </w:rPr>
            </w:pPr>
            <w:r w:rsidRPr="00CF5A9F">
              <w:rPr>
                <w:rFonts w:ascii="Calibri" w:hAnsi="Calibri"/>
                <w:caps w:val="0"/>
                <w:szCs w:val="24"/>
              </w:rPr>
              <w:t>____________</w:t>
            </w:r>
          </w:p>
          <w:p w14:paraId="2124BADC" w14:textId="3E47A8F3" w:rsidR="002A2188" w:rsidRDefault="002A2188" w:rsidP="00CF134B">
            <w:pPr>
              <w:pStyle w:val="Headingb"/>
              <w:spacing w:before="120" w:after="120"/>
              <w:rPr>
                <w:szCs w:val="24"/>
              </w:rPr>
            </w:pPr>
            <w:r w:rsidRPr="00CF5A9F">
              <w:rPr>
                <w:szCs w:val="24"/>
              </w:rPr>
              <w:t>References</w:t>
            </w:r>
          </w:p>
          <w:p w14:paraId="2E0343C9" w14:textId="257D0C63" w:rsidR="00DE4373" w:rsidRPr="00CF5A9F" w:rsidRDefault="00F15275" w:rsidP="00822076">
            <w:pPr>
              <w:pStyle w:val="NoSpacing"/>
              <w:spacing w:before="120" w:after="120"/>
              <w:rPr>
                <w:sz w:val="24"/>
                <w:szCs w:val="24"/>
              </w:rPr>
            </w:pPr>
            <w:r>
              <w:rPr>
                <w:sz w:val="24"/>
                <w:szCs w:val="24"/>
              </w:rPr>
              <w:t xml:space="preserve">Document </w:t>
            </w:r>
            <w:hyperlink r:id="rId9" w:history="1">
              <w:r w:rsidRPr="00822076">
                <w:rPr>
                  <w:rStyle w:val="Hyperlink"/>
                  <w:sz w:val="24"/>
                  <w:szCs w:val="24"/>
                </w:rPr>
                <w:t>VC-2\12</w:t>
              </w:r>
            </w:hyperlink>
          </w:p>
        </w:tc>
      </w:tr>
    </w:tbl>
    <w:p w14:paraId="5D7E80AD" w14:textId="77777777" w:rsidR="00264425" w:rsidRDefault="00264425" w:rsidP="00DB384B">
      <w:pPr>
        <w:rPr>
          <w:lang w:val="en-US"/>
        </w:rPr>
      </w:pPr>
      <w:bookmarkStart w:id="8" w:name="dstart"/>
      <w:bookmarkStart w:id="9" w:name="dbreak"/>
      <w:bookmarkEnd w:id="8"/>
      <w:bookmarkEnd w:id="9"/>
    </w:p>
    <w:p w14:paraId="591B451D" w14:textId="77777777" w:rsidR="00D338E0" w:rsidRDefault="00D338E0">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br w:type="page"/>
      </w:r>
    </w:p>
    <w:p w14:paraId="1C25DAA9" w14:textId="2D8CBAC4" w:rsidR="00E24470" w:rsidRPr="00C567A6" w:rsidRDefault="00E8193B" w:rsidP="00251EF0">
      <w:pPr>
        <w:spacing w:before="840"/>
        <w:jc w:val="both"/>
        <w:rPr>
          <w:rFonts w:cstheme="minorHAnsi"/>
          <w:b/>
          <w:bCs/>
          <w:sz w:val="26"/>
          <w:szCs w:val="26"/>
        </w:rPr>
      </w:pPr>
      <w:r w:rsidRPr="00C567A6">
        <w:rPr>
          <w:rFonts w:cstheme="minorHAnsi"/>
          <w:b/>
          <w:bCs/>
          <w:sz w:val="26"/>
          <w:szCs w:val="26"/>
        </w:rPr>
        <w:lastRenderedPageBreak/>
        <w:t xml:space="preserve">ITU representation on the </w:t>
      </w:r>
      <w:r w:rsidR="009706D4" w:rsidRPr="00C567A6">
        <w:rPr>
          <w:rFonts w:cstheme="minorHAnsi"/>
          <w:b/>
          <w:bCs/>
          <w:sz w:val="26"/>
          <w:szCs w:val="26"/>
        </w:rPr>
        <w:t>U</w:t>
      </w:r>
      <w:r w:rsidR="00EC6572" w:rsidRPr="00C567A6">
        <w:rPr>
          <w:rFonts w:cstheme="minorHAnsi"/>
          <w:b/>
          <w:bCs/>
          <w:sz w:val="26"/>
          <w:szCs w:val="26"/>
        </w:rPr>
        <w:t xml:space="preserve">nited </w:t>
      </w:r>
      <w:r w:rsidR="009706D4" w:rsidRPr="00C567A6">
        <w:rPr>
          <w:rFonts w:cstheme="minorHAnsi"/>
          <w:b/>
          <w:bCs/>
          <w:sz w:val="26"/>
          <w:szCs w:val="26"/>
        </w:rPr>
        <w:t>N</w:t>
      </w:r>
      <w:r w:rsidR="00EC6572" w:rsidRPr="00C567A6">
        <w:rPr>
          <w:rFonts w:cstheme="minorHAnsi"/>
          <w:b/>
          <w:bCs/>
          <w:sz w:val="26"/>
          <w:szCs w:val="26"/>
        </w:rPr>
        <w:t>ations</w:t>
      </w:r>
      <w:r w:rsidR="009706D4" w:rsidRPr="00C567A6">
        <w:rPr>
          <w:rFonts w:cstheme="minorHAnsi"/>
          <w:b/>
          <w:bCs/>
          <w:sz w:val="26"/>
          <w:szCs w:val="26"/>
        </w:rPr>
        <w:t xml:space="preserve"> Pension </w:t>
      </w:r>
      <w:r w:rsidRPr="00C567A6">
        <w:rPr>
          <w:rFonts w:cstheme="minorHAnsi"/>
          <w:b/>
          <w:bCs/>
          <w:sz w:val="26"/>
          <w:szCs w:val="26"/>
        </w:rPr>
        <w:t>Board and allocation of seats</w:t>
      </w:r>
    </w:p>
    <w:p w14:paraId="303CB7B4" w14:textId="2E7534CF" w:rsidR="005B7CFC" w:rsidRPr="00C567A6" w:rsidRDefault="00215A09" w:rsidP="0087470C">
      <w:pPr>
        <w:pStyle w:val="ListParagraph"/>
        <w:numPr>
          <w:ilvl w:val="0"/>
          <w:numId w:val="13"/>
        </w:numPr>
        <w:spacing w:before="120" w:after="120" w:line="240" w:lineRule="auto"/>
        <w:ind w:left="0" w:firstLine="0"/>
        <w:contextualSpacing w:val="0"/>
        <w:jc w:val="both"/>
        <w:rPr>
          <w:rFonts w:cstheme="minorHAnsi"/>
          <w:sz w:val="23"/>
          <w:szCs w:val="23"/>
        </w:rPr>
      </w:pPr>
      <w:r w:rsidRPr="00C567A6">
        <w:rPr>
          <w:rFonts w:cstheme="minorHAnsi"/>
          <w:sz w:val="23"/>
          <w:szCs w:val="23"/>
        </w:rPr>
        <w:t>T</w:t>
      </w:r>
      <w:r w:rsidR="005B7CFC" w:rsidRPr="00C567A6">
        <w:rPr>
          <w:rFonts w:cstheme="minorHAnsi"/>
          <w:sz w:val="23"/>
          <w:szCs w:val="23"/>
        </w:rPr>
        <w:t>he</w:t>
      </w:r>
      <w:r w:rsidR="00B54A41" w:rsidRPr="00C567A6">
        <w:rPr>
          <w:rFonts w:cstheme="minorHAnsi"/>
          <w:sz w:val="23"/>
          <w:szCs w:val="23"/>
        </w:rPr>
        <w:t xml:space="preserve"> United Nations</w:t>
      </w:r>
      <w:r w:rsidR="005B7CFC" w:rsidRPr="00C567A6">
        <w:rPr>
          <w:rFonts w:cstheme="minorHAnsi"/>
          <w:sz w:val="23"/>
          <w:szCs w:val="23"/>
        </w:rPr>
        <w:t xml:space="preserve"> General Assembly</w:t>
      </w:r>
      <w:r w:rsidR="000B6A57" w:rsidRPr="00C567A6">
        <w:rPr>
          <w:rFonts w:cstheme="minorHAnsi"/>
          <w:sz w:val="23"/>
          <w:szCs w:val="23"/>
        </w:rPr>
        <w:t xml:space="preserve"> (GA)</w:t>
      </w:r>
      <w:r w:rsidR="005B7CFC" w:rsidRPr="00C567A6">
        <w:rPr>
          <w:rFonts w:cstheme="minorHAnsi"/>
          <w:sz w:val="23"/>
          <w:szCs w:val="23"/>
        </w:rPr>
        <w:t xml:space="preserve"> </w:t>
      </w:r>
      <w:bookmarkStart w:id="10" w:name="_Hlk65748267"/>
      <w:r w:rsidR="0032599A" w:rsidRPr="00C567A6">
        <w:rPr>
          <w:rFonts w:cstheme="minorHAnsi"/>
          <w:sz w:val="23"/>
          <w:szCs w:val="23"/>
        </w:rPr>
        <w:t xml:space="preserve">adopted </w:t>
      </w:r>
      <w:hyperlink r:id="rId10" w:history="1">
        <w:r w:rsidR="005B7CFC" w:rsidRPr="00C567A6">
          <w:rPr>
            <w:rStyle w:val="Hyperlink"/>
            <w:rFonts w:cstheme="minorHAnsi"/>
            <w:sz w:val="23"/>
            <w:szCs w:val="23"/>
          </w:rPr>
          <w:t>Resolution</w:t>
        </w:r>
        <w:r w:rsidR="00B93152" w:rsidRPr="00C567A6">
          <w:rPr>
            <w:rStyle w:val="Hyperlink"/>
            <w:rFonts w:cstheme="minorHAnsi"/>
            <w:sz w:val="23"/>
            <w:szCs w:val="23"/>
          </w:rPr>
          <w:t xml:space="preserve"> 72/262</w:t>
        </w:r>
      </w:hyperlink>
      <w:r w:rsidR="005B7CFC" w:rsidRPr="00C567A6">
        <w:rPr>
          <w:rFonts w:cstheme="minorHAnsi"/>
          <w:sz w:val="23"/>
          <w:szCs w:val="23"/>
        </w:rPr>
        <w:t xml:space="preserve"> </w:t>
      </w:r>
      <w:bookmarkEnd w:id="10"/>
      <w:r w:rsidR="005B7CFC" w:rsidRPr="00C567A6">
        <w:rPr>
          <w:rFonts w:cstheme="minorHAnsi"/>
          <w:sz w:val="23"/>
          <w:szCs w:val="23"/>
        </w:rPr>
        <w:t xml:space="preserve">in 2018 whereby it requested the UN Secretary-General to entrust </w:t>
      </w:r>
      <w:r w:rsidR="000B6A57" w:rsidRPr="00C567A6">
        <w:rPr>
          <w:rFonts w:cstheme="minorHAnsi"/>
          <w:sz w:val="23"/>
          <w:szCs w:val="23"/>
        </w:rPr>
        <w:t xml:space="preserve">the </w:t>
      </w:r>
      <w:r w:rsidR="005B7CFC" w:rsidRPr="00C567A6">
        <w:rPr>
          <w:rFonts w:cstheme="minorHAnsi"/>
          <w:sz w:val="23"/>
          <w:szCs w:val="23"/>
        </w:rPr>
        <w:t xml:space="preserve">Office of Internal Oversight (OIOS) with the conduct of a comprehensive audit of the governance structure of the </w:t>
      </w:r>
      <w:r w:rsidR="00417ED0" w:rsidRPr="00C567A6">
        <w:rPr>
          <w:sz w:val="23"/>
          <w:szCs w:val="23"/>
        </w:rPr>
        <w:t xml:space="preserve">United Nations Joint Staff </w:t>
      </w:r>
      <w:r w:rsidR="005B7CFC" w:rsidRPr="00C567A6">
        <w:rPr>
          <w:rFonts w:cstheme="minorHAnsi"/>
          <w:sz w:val="23"/>
          <w:szCs w:val="23"/>
        </w:rPr>
        <w:t>Pension Board.</w:t>
      </w:r>
    </w:p>
    <w:p w14:paraId="1B0EB8D1" w14:textId="2C6764DC" w:rsidR="005B7CFC" w:rsidRPr="00C567A6" w:rsidRDefault="005B7CFC" w:rsidP="0087470C">
      <w:pPr>
        <w:pStyle w:val="ListParagraph"/>
        <w:numPr>
          <w:ilvl w:val="0"/>
          <w:numId w:val="13"/>
        </w:numPr>
        <w:spacing w:before="120" w:after="120" w:line="240" w:lineRule="auto"/>
        <w:ind w:left="0" w:firstLine="0"/>
        <w:contextualSpacing w:val="0"/>
        <w:jc w:val="both"/>
        <w:rPr>
          <w:rFonts w:cstheme="minorHAnsi"/>
          <w:sz w:val="23"/>
          <w:szCs w:val="23"/>
        </w:rPr>
      </w:pPr>
      <w:r w:rsidRPr="00C567A6">
        <w:rPr>
          <w:rFonts w:cstheme="minorHAnsi"/>
          <w:sz w:val="23"/>
          <w:szCs w:val="23"/>
        </w:rPr>
        <w:t xml:space="preserve">Following the OIOS report of 2018 and the related issues of governance brought up in that report, </w:t>
      </w:r>
      <w:r w:rsidR="000B6A57" w:rsidRPr="00C567A6">
        <w:rPr>
          <w:rFonts w:cstheme="minorHAnsi"/>
          <w:sz w:val="23"/>
          <w:szCs w:val="23"/>
        </w:rPr>
        <w:t xml:space="preserve">at its </w:t>
      </w:r>
      <w:r w:rsidR="00B54A41" w:rsidRPr="00C567A6">
        <w:rPr>
          <w:rFonts w:cstheme="minorHAnsi"/>
          <w:sz w:val="23"/>
          <w:szCs w:val="23"/>
        </w:rPr>
        <w:t>2019</w:t>
      </w:r>
      <w:r w:rsidR="000B6A57" w:rsidRPr="00C567A6">
        <w:rPr>
          <w:rFonts w:cstheme="minorHAnsi"/>
          <w:sz w:val="23"/>
          <w:szCs w:val="23"/>
        </w:rPr>
        <w:t xml:space="preserve"> session, the</w:t>
      </w:r>
      <w:r w:rsidR="00B54A41" w:rsidRPr="00C567A6">
        <w:rPr>
          <w:rFonts w:cstheme="minorHAnsi"/>
          <w:sz w:val="23"/>
          <w:szCs w:val="23"/>
        </w:rPr>
        <w:t xml:space="preserve"> </w:t>
      </w:r>
      <w:r w:rsidRPr="00C567A6">
        <w:rPr>
          <w:rFonts w:cstheme="minorHAnsi"/>
          <w:sz w:val="23"/>
          <w:szCs w:val="23"/>
        </w:rPr>
        <w:t>Board established a Governance Working Group</w:t>
      </w:r>
      <w:r w:rsidR="00B54A41" w:rsidRPr="00C567A6">
        <w:rPr>
          <w:rFonts w:cstheme="minorHAnsi"/>
          <w:sz w:val="23"/>
          <w:szCs w:val="23"/>
        </w:rPr>
        <w:t xml:space="preserve"> (GWG)</w:t>
      </w:r>
      <w:r w:rsidRPr="00C567A6">
        <w:rPr>
          <w:rFonts w:cstheme="minorHAnsi"/>
          <w:sz w:val="23"/>
          <w:szCs w:val="23"/>
        </w:rPr>
        <w:t xml:space="preserve">. </w:t>
      </w:r>
    </w:p>
    <w:p w14:paraId="1ED4FB13" w14:textId="344615C3" w:rsidR="005B7CFC" w:rsidRPr="00C567A6" w:rsidRDefault="005B7CFC" w:rsidP="0087470C">
      <w:pPr>
        <w:pStyle w:val="ListParagraph"/>
        <w:numPr>
          <w:ilvl w:val="0"/>
          <w:numId w:val="13"/>
        </w:numPr>
        <w:spacing w:before="120" w:after="120" w:line="240" w:lineRule="auto"/>
        <w:ind w:left="0" w:firstLine="0"/>
        <w:contextualSpacing w:val="0"/>
        <w:jc w:val="both"/>
        <w:rPr>
          <w:rFonts w:cstheme="minorHAnsi"/>
          <w:sz w:val="23"/>
          <w:szCs w:val="23"/>
        </w:rPr>
      </w:pPr>
      <w:r w:rsidRPr="00C567A6">
        <w:rPr>
          <w:rFonts w:cstheme="minorHAnsi"/>
          <w:sz w:val="23"/>
          <w:szCs w:val="23"/>
        </w:rPr>
        <w:t xml:space="preserve">The composition of the </w:t>
      </w:r>
      <w:r w:rsidR="000B6A57" w:rsidRPr="00C567A6">
        <w:rPr>
          <w:rFonts w:cstheme="minorHAnsi"/>
          <w:sz w:val="23"/>
          <w:szCs w:val="23"/>
        </w:rPr>
        <w:t>GWG</w:t>
      </w:r>
      <w:r w:rsidRPr="00C567A6">
        <w:rPr>
          <w:rFonts w:cstheme="minorHAnsi"/>
          <w:sz w:val="23"/>
          <w:szCs w:val="23"/>
        </w:rPr>
        <w:t xml:space="preserve"> </w:t>
      </w:r>
      <w:r w:rsidR="006F5F82" w:rsidRPr="00C567A6">
        <w:rPr>
          <w:rFonts w:cstheme="minorHAnsi"/>
          <w:sz w:val="23"/>
          <w:szCs w:val="23"/>
        </w:rPr>
        <w:t>reflect</w:t>
      </w:r>
      <w:r w:rsidR="00484AAA" w:rsidRPr="00C567A6">
        <w:rPr>
          <w:rFonts w:cstheme="minorHAnsi"/>
          <w:sz w:val="23"/>
          <w:szCs w:val="23"/>
        </w:rPr>
        <w:t>s</w:t>
      </w:r>
      <w:r w:rsidR="006F5F82" w:rsidRPr="00C567A6">
        <w:rPr>
          <w:rFonts w:cstheme="minorHAnsi"/>
          <w:sz w:val="23"/>
          <w:szCs w:val="23"/>
        </w:rPr>
        <w:t xml:space="preserve"> </w:t>
      </w:r>
      <w:r w:rsidRPr="00C567A6">
        <w:rPr>
          <w:rFonts w:cstheme="minorHAnsi"/>
          <w:sz w:val="23"/>
          <w:szCs w:val="23"/>
        </w:rPr>
        <w:t>the tripartite n</w:t>
      </w:r>
      <w:r w:rsidR="00B54A41" w:rsidRPr="00C567A6">
        <w:rPr>
          <w:rFonts w:cstheme="minorHAnsi"/>
          <w:sz w:val="23"/>
          <w:szCs w:val="23"/>
        </w:rPr>
        <w:t xml:space="preserve">ature </w:t>
      </w:r>
      <w:r w:rsidRPr="00C567A6">
        <w:rPr>
          <w:rFonts w:cstheme="minorHAnsi"/>
          <w:sz w:val="23"/>
          <w:szCs w:val="23"/>
        </w:rPr>
        <w:t>of the Board</w:t>
      </w:r>
      <w:r w:rsidR="006F5F82" w:rsidRPr="00C567A6">
        <w:rPr>
          <w:rFonts w:cstheme="minorHAnsi"/>
          <w:sz w:val="23"/>
          <w:szCs w:val="23"/>
        </w:rPr>
        <w:t xml:space="preserve"> with</w:t>
      </w:r>
      <w:r w:rsidRPr="00C567A6">
        <w:rPr>
          <w:rFonts w:cstheme="minorHAnsi"/>
          <w:sz w:val="23"/>
          <w:szCs w:val="23"/>
        </w:rPr>
        <w:t xml:space="preserve"> two representatives from each </w:t>
      </w:r>
      <w:r w:rsidR="006F5F82" w:rsidRPr="00C567A6">
        <w:rPr>
          <w:rFonts w:cstheme="minorHAnsi"/>
          <w:sz w:val="23"/>
          <w:szCs w:val="23"/>
        </w:rPr>
        <w:t xml:space="preserve">constituency </w:t>
      </w:r>
      <w:r w:rsidRPr="00C567A6">
        <w:rPr>
          <w:rFonts w:cstheme="minorHAnsi"/>
          <w:sz w:val="23"/>
          <w:szCs w:val="23"/>
        </w:rPr>
        <w:t>group (E</w:t>
      </w:r>
      <w:r w:rsidR="00215A09" w:rsidRPr="00C567A6">
        <w:rPr>
          <w:rFonts w:cstheme="minorHAnsi"/>
          <w:sz w:val="23"/>
          <w:szCs w:val="23"/>
        </w:rPr>
        <w:t xml:space="preserve">xecutive </w:t>
      </w:r>
      <w:r w:rsidRPr="00C567A6">
        <w:rPr>
          <w:rFonts w:cstheme="minorHAnsi"/>
          <w:sz w:val="23"/>
          <w:szCs w:val="23"/>
        </w:rPr>
        <w:t>H</w:t>
      </w:r>
      <w:r w:rsidR="00215A09" w:rsidRPr="00C567A6">
        <w:rPr>
          <w:rFonts w:cstheme="minorHAnsi"/>
          <w:sz w:val="23"/>
          <w:szCs w:val="23"/>
        </w:rPr>
        <w:t>ead</w:t>
      </w:r>
      <w:r w:rsidR="006F5F82" w:rsidRPr="00C567A6">
        <w:rPr>
          <w:rFonts w:cstheme="minorHAnsi"/>
          <w:sz w:val="23"/>
          <w:szCs w:val="23"/>
        </w:rPr>
        <w:t>s</w:t>
      </w:r>
      <w:r w:rsidRPr="00C567A6">
        <w:rPr>
          <w:rFonts w:cstheme="minorHAnsi"/>
          <w:sz w:val="23"/>
          <w:szCs w:val="23"/>
        </w:rPr>
        <w:t>, G</w:t>
      </w:r>
      <w:r w:rsidR="00215A09" w:rsidRPr="00C567A6">
        <w:rPr>
          <w:rFonts w:cstheme="minorHAnsi"/>
          <w:sz w:val="23"/>
          <w:szCs w:val="23"/>
        </w:rPr>
        <w:t xml:space="preserve">overning </w:t>
      </w:r>
      <w:r w:rsidRPr="00C567A6">
        <w:rPr>
          <w:rFonts w:cstheme="minorHAnsi"/>
          <w:sz w:val="23"/>
          <w:szCs w:val="23"/>
        </w:rPr>
        <w:t>B</w:t>
      </w:r>
      <w:r w:rsidR="00215A09" w:rsidRPr="00C567A6">
        <w:rPr>
          <w:rFonts w:cstheme="minorHAnsi"/>
          <w:sz w:val="23"/>
          <w:szCs w:val="23"/>
        </w:rPr>
        <w:t>od</w:t>
      </w:r>
      <w:r w:rsidR="006F5F82" w:rsidRPr="00C567A6">
        <w:rPr>
          <w:rFonts w:cstheme="minorHAnsi"/>
          <w:sz w:val="23"/>
          <w:szCs w:val="23"/>
        </w:rPr>
        <w:t>ies</w:t>
      </w:r>
      <w:r w:rsidRPr="00C567A6">
        <w:rPr>
          <w:rFonts w:cstheme="minorHAnsi"/>
          <w:sz w:val="23"/>
          <w:szCs w:val="23"/>
        </w:rPr>
        <w:t>, P</w:t>
      </w:r>
      <w:r w:rsidR="00215A09" w:rsidRPr="00C567A6">
        <w:rPr>
          <w:rFonts w:cstheme="minorHAnsi"/>
          <w:sz w:val="23"/>
          <w:szCs w:val="23"/>
        </w:rPr>
        <w:t xml:space="preserve">articipant </w:t>
      </w:r>
      <w:r w:rsidRPr="00C567A6">
        <w:rPr>
          <w:rFonts w:cstheme="minorHAnsi"/>
          <w:sz w:val="23"/>
          <w:szCs w:val="23"/>
        </w:rPr>
        <w:t>R</w:t>
      </w:r>
      <w:r w:rsidR="00215A09" w:rsidRPr="00C567A6">
        <w:rPr>
          <w:rFonts w:cstheme="minorHAnsi"/>
          <w:sz w:val="23"/>
          <w:szCs w:val="23"/>
        </w:rPr>
        <w:t>epresentative</w:t>
      </w:r>
      <w:r w:rsidR="006F5F82" w:rsidRPr="00C567A6">
        <w:rPr>
          <w:rFonts w:cstheme="minorHAnsi"/>
          <w:sz w:val="23"/>
          <w:szCs w:val="23"/>
        </w:rPr>
        <w:t>s</w:t>
      </w:r>
      <w:r w:rsidRPr="00C567A6">
        <w:rPr>
          <w:rFonts w:cstheme="minorHAnsi"/>
          <w:sz w:val="23"/>
          <w:szCs w:val="23"/>
        </w:rPr>
        <w:t>) as well as two members from FAFICS</w:t>
      </w:r>
      <w:r w:rsidR="00417ED0" w:rsidRPr="00C567A6">
        <w:rPr>
          <w:rFonts w:cstheme="minorHAnsi"/>
          <w:sz w:val="23"/>
          <w:szCs w:val="23"/>
        </w:rPr>
        <w:t xml:space="preserve"> (Federation of Associations of Former International Civil Servants)</w:t>
      </w:r>
      <w:r w:rsidR="006F5F82" w:rsidRPr="00C567A6">
        <w:rPr>
          <w:rFonts w:cstheme="minorHAnsi"/>
          <w:sz w:val="23"/>
          <w:szCs w:val="23"/>
        </w:rPr>
        <w:t xml:space="preserve"> representing retirees</w:t>
      </w:r>
      <w:r w:rsidRPr="00C567A6">
        <w:rPr>
          <w:rFonts w:cstheme="minorHAnsi"/>
          <w:sz w:val="23"/>
          <w:szCs w:val="23"/>
        </w:rPr>
        <w:t xml:space="preserve">. </w:t>
      </w:r>
    </w:p>
    <w:p w14:paraId="42CD8AE7" w14:textId="2BA40996" w:rsidR="002B42EB" w:rsidRPr="0087470C" w:rsidRDefault="005B7CFC" w:rsidP="0087470C">
      <w:pPr>
        <w:pStyle w:val="ListParagraph"/>
        <w:numPr>
          <w:ilvl w:val="0"/>
          <w:numId w:val="13"/>
        </w:numPr>
        <w:spacing w:before="120" w:after="120" w:line="240" w:lineRule="auto"/>
        <w:ind w:left="0" w:firstLine="0"/>
        <w:contextualSpacing w:val="0"/>
        <w:jc w:val="both"/>
        <w:rPr>
          <w:sz w:val="23"/>
          <w:szCs w:val="23"/>
        </w:rPr>
      </w:pPr>
      <w:r w:rsidRPr="0087470C">
        <w:rPr>
          <w:rFonts w:cstheme="minorHAnsi"/>
          <w:sz w:val="23"/>
          <w:szCs w:val="23"/>
        </w:rPr>
        <w:t xml:space="preserve">The GWG </w:t>
      </w:r>
      <w:r w:rsidR="00BD67DE" w:rsidRPr="0087470C">
        <w:rPr>
          <w:rFonts w:cstheme="minorHAnsi"/>
          <w:sz w:val="23"/>
          <w:szCs w:val="23"/>
        </w:rPr>
        <w:t>made</w:t>
      </w:r>
      <w:r w:rsidRPr="0087470C">
        <w:rPr>
          <w:rFonts w:cstheme="minorHAnsi"/>
          <w:sz w:val="23"/>
          <w:szCs w:val="23"/>
        </w:rPr>
        <w:t xml:space="preserve"> 18 recommendations in total, </w:t>
      </w:r>
      <w:r w:rsidR="00BD67DE" w:rsidRPr="0087470C">
        <w:rPr>
          <w:rFonts w:cstheme="minorHAnsi"/>
          <w:sz w:val="23"/>
          <w:szCs w:val="23"/>
        </w:rPr>
        <w:t>some</w:t>
      </w:r>
      <w:r w:rsidR="00417ED0" w:rsidRPr="0087470C">
        <w:rPr>
          <w:rFonts w:cstheme="minorHAnsi"/>
          <w:sz w:val="23"/>
          <w:szCs w:val="23"/>
        </w:rPr>
        <w:t xml:space="preserve"> </w:t>
      </w:r>
      <w:r w:rsidR="00B54A41" w:rsidRPr="0087470C">
        <w:rPr>
          <w:rFonts w:cstheme="minorHAnsi"/>
          <w:sz w:val="23"/>
          <w:szCs w:val="23"/>
        </w:rPr>
        <w:t xml:space="preserve">of which </w:t>
      </w:r>
      <w:r w:rsidR="00417ED0" w:rsidRPr="0087470C">
        <w:rPr>
          <w:rFonts w:cstheme="minorHAnsi"/>
          <w:sz w:val="23"/>
          <w:szCs w:val="23"/>
        </w:rPr>
        <w:t xml:space="preserve">concerned </w:t>
      </w:r>
      <w:r w:rsidRPr="0087470C">
        <w:rPr>
          <w:rFonts w:cstheme="minorHAnsi"/>
          <w:sz w:val="23"/>
          <w:szCs w:val="23"/>
        </w:rPr>
        <w:t>the size and composition of the Board.</w:t>
      </w:r>
      <w:r w:rsidR="00B54A41" w:rsidRPr="0087470C">
        <w:rPr>
          <w:rFonts w:cstheme="minorHAnsi"/>
          <w:sz w:val="23"/>
          <w:szCs w:val="23"/>
        </w:rPr>
        <w:t xml:space="preserve"> </w:t>
      </w:r>
      <w:r w:rsidRPr="0087470C">
        <w:rPr>
          <w:sz w:val="23"/>
          <w:szCs w:val="23"/>
        </w:rPr>
        <w:t xml:space="preserve">In </w:t>
      </w:r>
      <w:r w:rsidR="00A158E0" w:rsidRPr="0087470C">
        <w:rPr>
          <w:sz w:val="23"/>
          <w:szCs w:val="23"/>
        </w:rPr>
        <w:t xml:space="preserve">the 2019 </w:t>
      </w:r>
      <w:r w:rsidRPr="0087470C">
        <w:rPr>
          <w:sz w:val="23"/>
          <w:szCs w:val="23"/>
        </w:rPr>
        <w:t xml:space="preserve">Board </w:t>
      </w:r>
      <w:r w:rsidR="00215A09" w:rsidRPr="0087470C">
        <w:rPr>
          <w:sz w:val="23"/>
          <w:szCs w:val="23"/>
        </w:rPr>
        <w:t>session</w:t>
      </w:r>
      <w:r w:rsidR="00417ED0" w:rsidRPr="0087470C">
        <w:rPr>
          <w:sz w:val="23"/>
          <w:szCs w:val="23"/>
        </w:rPr>
        <w:t>,</w:t>
      </w:r>
      <w:r w:rsidR="00215A09" w:rsidRPr="0087470C">
        <w:rPr>
          <w:sz w:val="23"/>
          <w:szCs w:val="23"/>
        </w:rPr>
        <w:t xml:space="preserve"> </w:t>
      </w:r>
      <w:r w:rsidR="006F5F82" w:rsidRPr="0087470C">
        <w:rPr>
          <w:sz w:val="23"/>
          <w:szCs w:val="23"/>
        </w:rPr>
        <w:t>various</w:t>
      </w:r>
      <w:r w:rsidRPr="0087470C">
        <w:rPr>
          <w:sz w:val="23"/>
          <w:szCs w:val="23"/>
        </w:rPr>
        <w:t xml:space="preserve"> options related to the size and composition of the Board </w:t>
      </w:r>
      <w:r w:rsidR="00417ED0" w:rsidRPr="0087470C">
        <w:rPr>
          <w:sz w:val="23"/>
          <w:szCs w:val="23"/>
        </w:rPr>
        <w:t xml:space="preserve">were </w:t>
      </w:r>
      <w:r w:rsidRPr="0087470C">
        <w:rPr>
          <w:sz w:val="23"/>
          <w:szCs w:val="23"/>
        </w:rPr>
        <w:t xml:space="preserve">discussed. The </w:t>
      </w:r>
      <w:r w:rsidR="00C2093E" w:rsidRPr="0087470C">
        <w:rPr>
          <w:sz w:val="23"/>
          <w:szCs w:val="23"/>
        </w:rPr>
        <w:t>B</w:t>
      </w:r>
      <w:r w:rsidRPr="0087470C">
        <w:rPr>
          <w:sz w:val="23"/>
          <w:szCs w:val="23"/>
        </w:rPr>
        <w:t xml:space="preserve">oard finally recommended </w:t>
      </w:r>
      <w:r w:rsidR="006F5F82" w:rsidRPr="0087470C">
        <w:rPr>
          <w:sz w:val="23"/>
          <w:szCs w:val="23"/>
        </w:rPr>
        <w:t>an option</w:t>
      </w:r>
      <w:r w:rsidRPr="0087470C">
        <w:rPr>
          <w:sz w:val="23"/>
          <w:szCs w:val="23"/>
        </w:rPr>
        <w:t xml:space="preserve"> which would maintain the total number of the Board seats as </w:t>
      </w:r>
      <w:r w:rsidR="0002672C" w:rsidRPr="0087470C">
        <w:rPr>
          <w:sz w:val="23"/>
          <w:szCs w:val="23"/>
        </w:rPr>
        <w:t>it</w:t>
      </w:r>
      <w:r w:rsidRPr="0087470C">
        <w:rPr>
          <w:sz w:val="23"/>
          <w:szCs w:val="23"/>
        </w:rPr>
        <w:t xml:space="preserve"> </w:t>
      </w:r>
      <w:r w:rsidR="006F5F82" w:rsidRPr="0087470C">
        <w:rPr>
          <w:sz w:val="23"/>
          <w:szCs w:val="23"/>
        </w:rPr>
        <w:t xml:space="preserve">was and is </w:t>
      </w:r>
      <w:r w:rsidRPr="0087470C">
        <w:rPr>
          <w:sz w:val="23"/>
          <w:szCs w:val="23"/>
        </w:rPr>
        <w:t>now (33 seats)</w:t>
      </w:r>
      <w:r w:rsidR="00C2093E" w:rsidRPr="0087470C">
        <w:rPr>
          <w:sz w:val="23"/>
          <w:szCs w:val="23"/>
        </w:rPr>
        <w:t xml:space="preserve"> and to allocate one seat to IOM</w:t>
      </w:r>
      <w:r w:rsidR="000B6A57" w:rsidRPr="0087470C">
        <w:rPr>
          <w:sz w:val="23"/>
          <w:szCs w:val="23"/>
        </w:rPr>
        <w:t xml:space="preserve">, </w:t>
      </w:r>
      <w:r w:rsidR="006F5F82" w:rsidRPr="0087470C">
        <w:rPr>
          <w:sz w:val="23"/>
          <w:szCs w:val="23"/>
        </w:rPr>
        <w:t>an IGO member organization</w:t>
      </w:r>
      <w:r w:rsidR="0032599A" w:rsidRPr="0087470C">
        <w:rPr>
          <w:sz w:val="23"/>
          <w:szCs w:val="23"/>
        </w:rPr>
        <w:t xml:space="preserve"> (MO)</w:t>
      </w:r>
      <w:r w:rsidR="006F5F82" w:rsidRPr="0087470C">
        <w:rPr>
          <w:sz w:val="23"/>
          <w:szCs w:val="23"/>
        </w:rPr>
        <w:t xml:space="preserve"> which had joined the Fund in 2007</w:t>
      </w:r>
      <w:r w:rsidR="002B42EB" w:rsidRPr="0087470C">
        <w:rPr>
          <w:sz w:val="23"/>
          <w:szCs w:val="23"/>
        </w:rPr>
        <w:t>,</w:t>
      </w:r>
      <w:r w:rsidR="006F5F82" w:rsidRPr="0087470C">
        <w:rPr>
          <w:sz w:val="23"/>
          <w:szCs w:val="23"/>
        </w:rPr>
        <w:t xml:space="preserve"> </w:t>
      </w:r>
      <w:r w:rsidR="000B6A57" w:rsidRPr="0087470C">
        <w:rPr>
          <w:sz w:val="23"/>
          <w:szCs w:val="23"/>
        </w:rPr>
        <w:t xml:space="preserve">with over </w:t>
      </w:r>
      <w:r w:rsidR="002B42EB" w:rsidRPr="0087470C">
        <w:rPr>
          <w:sz w:val="23"/>
          <w:szCs w:val="23"/>
        </w:rPr>
        <w:t>50</w:t>
      </w:r>
      <w:r w:rsidR="000B6A57" w:rsidRPr="0087470C">
        <w:rPr>
          <w:sz w:val="23"/>
          <w:szCs w:val="23"/>
        </w:rPr>
        <w:t xml:space="preserve">00 participants </w:t>
      </w:r>
      <w:r w:rsidR="002B42EB" w:rsidRPr="0087470C">
        <w:rPr>
          <w:sz w:val="23"/>
          <w:szCs w:val="23"/>
        </w:rPr>
        <w:t>without a voting</w:t>
      </w:r>
      <w:r w:rsidR="000B6A57" w:rsidRPr="0087470C">
        <w:rPr>
          <w:sz w:val="23"/>
          <w:szCs w:val="23"/>
        </w:rPr>
        <w:t xml:space="preserve"> seat allocation on the Board</w:t>
      </w:r>
      <w:r w:rsidRPr="0087470C">
        <w:rPr>
          <w:sz w:val="23"/>
          <w:szCs w:val="23"/>
        </w:rPr>
        <w:t xml:space="preserve">. </w:t>
      </w:r>
      <w:r w:rsidR="002B42EB" w:rsidRPr="0087470C">
        <w:rPr>
          <w:sz w:val="23"/>
          <w:szCs w:val="23"/>
        </w:rPr>
        <w:t xml:space="preserve">IOM was at the time appropriately represented through a non-voting representative with </w:t>
      </w:r>
      <w:r w:rsidR="0032599A" w:rsidRPr="0087470C">
        <w:rPr>
          <w:sz w:val="23"/>
          <w:szCs w:val="23"/>
        </w:rPr>
        <w:t xml:space="preserve">right to speak </w:t>
      </w:r>
      <w:r w:rsidR="002B42EB" w:rsidRPr="0087470C">
        <w:rPr>
          <w:sz w:val="23"/>
          <w:szCs w:val="23"/>
        </w:rPr>
        <w:t>but no</w:t>
      </w:r>
      <w:r w:rsidR="0032599A" w:rsidRPr="0087470C">
        <w:rPr>
          <w:sz w:val="23"/>
          <w:szCs w:val="23"/>
        </w:rPr>
        <w:t xml:space="preserve"> right to</w:t>
      </w:r>
      <w:r w:rsidR="002B42EB" w:rsidRPr="0087470C">
        <w:rPr>
          <w:sz w:val="23"/>
          <w:szCs w:val="23"/>
        </w:rPr>
        <w:t xml:space="preserve"> vote on the Board, in accordance with the Regulations of the </w:t>
      </w:r>
      <w:r w:rsidR="0032599A" w:rsidRPr="0087470C">
        <w:rPr>
          <w:sz w:val="23"/>
          <w:szCs w:val="23"/>
        </w:rPr>
        <w:t>F</w:t>
      </w:r>
      <w:r w:rsidR="002B42EB" w:rsidRPr="0087470C">
        <w:rPr>
          <w:sz w:val="23"/>
          <w:szCs w:val="23"/>
        </w:rPr>
        <w:t xml:space="preserve">und promulgated in 1987, which set the current iteration of the Board and made provision for such MOs to be represented. </w:t>
      </w:r>
    </w:p>
    <w:p w14:paraId="0A717678" w14:textId="2C9E6A80" w:rsidR="002B42EB" w:rsidRPr="0087470C" w:rsidRDefault="002B42EB" w:rsidP="0087470C">
      <w:pPr>
        <w:pStyle w:val="ListParagraph"/>
        <w:numPr>
          <w:ilvl w:val="0"/>
          <w:numId w:val="13"/>
        </w:numPr>
        <w:spacing w:before="120" w:after="120" w:line="240" w:lineRule="auto"/>
        <w:ind w:left="0" w:firstLine="0"/>
        <w:contextualSpacing w:val="0"/>
        <w:jc w:val="both"/>
        <w:rPr>
          <w:sz w:val="23"/>
          <w:szCs w:val="23"/>
        </w:rPr>
      </w:pPr>
      <w:r w:rsidRPr="0087470C">
        <w:rPr>
          <w:rFonts w:cstheme="minorHAnsi"/>
          <w:sz w:val="23"/>
          <w:szCs w:val="23"/>
        </w:rPr>
        <w:t xml:space="preserve">It should be noted that upon IOM’s admission </w:t>
      </w:r>
      <w:r w:rsidR="0032599A" w:rsidRPr="0087470C">
        <w:rPr>
          <w:rFonts w:cstheme="minorHAnsi"/>
          <w:sz w:val="23"/>
          <w:szCs w:val="23"/>
        </w:rPr>
        <w:t xml:space="preserve">to </w:t>
      </w:r>
      <w:r w:rsidRPr="0087470C">
        <w:rPr>
          <w:rFonts w:cstheme="minorHAnsi"/>
          <w:sz w:val="23"/>
          <w:szCs w:val="23"/>
        </w:rPr>
        <w:t xml:space="preserve">the Fund in 2007, </w:t>
      </w:r>
      <w:r w:rsidR="00484AAA" w:rsidRPr="0087470C">
        <w:rPr>
          <w:rFonts w:cstheme="minorHAnsi"/>
          <w:sz w:val="23"/>
          <w:szCs w:val="23"/>
        </w:rPr>
        <w:t>there</w:t>
      </w:r>
      <w:r w:rsidRPr="0087470C">
        <w:rPr>
          <w:rFonts w:cstheme="minorHAnsi"/>
          <w:sz w:val="23"/>
          <w:szCs w:val="23"/>
        </w:rPr>
        <w:t xml:space="preserve"> was no mention of it having rights to voting seat</w:t>
      </w:r>
      <w:r w:rsidR="00484AAA" w:rsidRPr="0087470C">
        <w:rPr>
          <w:rFonts w:cstheme="minorHAnsi"/>
          <w:sz w:val="23"/>
          <w:szCs w:val="23"/>
        </w:rPr>
        <w:t>s</w:t>
      </w:r>
      <w:r w:rsidRPr="0087470C">
        <w:rPr>
          <w:rFonts w:cstheme="minorHAnsi"/>
          <w:sz w:val="23"/>
          <w:szCs w:val="23"/>
        </w:rPr>
        <w:t xml:space="preserve"> either at that point or in the future, either in the Board Report recommending its admission to the Fund or in the subsequent GA Resolution approving it. ITU was part of the consensus that recommended the admission of IOM, a consensus which made no mention of the possibility of any existing MO at the time losing seats either then or at any point in the future, in </w:t>
      </w:r>
      <w:r w:rsidR="00EC6572" w:rsidRPr="0087470C">
        <w:rPr>
          <w:rFonts w:cstheme="minorHAnsi"/>
          <w:sz w:val="23"/>
          <w:szCs w:val="23"/>
        </w:rPr>
        <w:t>favor</w:t>
      </w:r>
      <w:r w:rsidRPr="0087470C">
        <w:rPr>
          <w:rFonts w:cstheme="minorHAnsi"/>
          <w:sz w:val="23"/>
          <w:szCs w:val="23"/>
        </w:rPr>
        <w:t xml:space="preserve"> of IOM.</w:t>
      </w:r>
    </w:p>
    <w:p w14:paraId="14099400" w14:textId="3DF12D15" w:rsidR="002B42EB" w:rsidRPr="0087470C" w:rsidRDefault="00C2093E" w:rsidP="0087470C">
      <w:pPr>
        <w:pStyle w:val="ListParagraph"/>
        <w:numPr>
          <w:ilvl w:val="0"/>
          <w:numId w:val="13"/>
        </w:numPr>
        <w:spacing w:before="120" w:after="120" w:line="240" w:lineRule="auto"/>
        <w:ind w:left="0" w:firstLine="0"/>
        <w:contextualSpacing w:val="0"/>
        <w:jc w:val="both"/>
        <w:rPr>
          <w:sz w:val="23"/>
          <w:szCs w:val="23"/>
        </w:rPr>
      </w:pPr>
      <w:r w:rsidRPr="0087470C">
        <w:rPr>
          <w:sz w:val="23"/>
          <w:szCs w:val="23"/>
        </w:rPr>
        <w:t>However,</w:t>
      </w:r>
      <w:r w:rsidR="00215A09" w:rsidRPr="0087470C">
        <w:rPr>
          <w:sz w:val="23"/>
          <w:szCs w:val="23"/>
        </w:rPr>
        <w:t xml:space="preserve"> to </w:t>
      </w:r>
      <w:r w:rsidR="005B7CFC" w:rsidRPr="0087470C">
        <w:rPr>
          <w:sz w:val="23"/>
          <w:szCs w:val="23"/>
        </w:rPr>
        <w:t xml:space="preserve">allocate a seat to IOM, </w:t>
      </w:r>
      <w:r w:rsidR="00215A09" w:rsidRPr="0087470C">
        <w:rPr>
          <w:sz w:val="23"/>
          <w:szCs w:val="23"/>
        </w:rPr>
        <w:t>the</w:t>
      </w:r>
      <w:r w:rsidR="005B7CFC" w:rsidRPr="0087470C">
        <w:rPr>
          <w:sz w:val="23"/>
          <w:szCs w:val="23"/>
        </w:rPr>
        <w:t xml:space="preserve"> seats allocated to ITU and UNIDO </w:t>
      </w:r>
      <w:r w:rsidR="00484AAA" w:rsidRPr="0087470C">
        <w:rPr>
          <w:sz w:val="23"/>
          <w:szCs w:val="23"/>
        </w:rPr>
        <w:t>were reduced</w:t>
      </w:r>
      <w:r w:rsidR="005B7CFC" w:rsidRPr="0087470C">
        <w:rPr>
          <w:sz w:val="23"/>
          <w:szCs w:val="23"/>
        </w:rPr>
        <w:t xml:space="preserve"> from 1.5 to 1</w:t>
      </w:r>
      <w:r w:rsidR="000B6A57" w:rsidRPr="0087470C">
        <w:rPr>
          <w:sz w:val="23"/>
          <w:szCs w:val="23"/>
        </w:rPr>
        <w:t xml:space="preserve"> </w:t>
      </w:r>
      <w:r w:rsidR="00484AAA" w:rsidRPr="0087470C">
        <w:rPr>
          <w:sz w:val="23"/>
          <w:szCs w:val="23"/>
        </w:rPr>
        <w:t xml:space="preserve">seat </w:t>
      </w:r>
      <w:r w:rsidR="000B6A57" w:rsidRPr="0087470C">
        <w:rPr>
          <w:sz w:val="23"/>
          <w:szCs w:val="23"/>
        </w:rPr>
        <w:t>for each organization</w:t>
      </w:r>
      <w:r w:rsidRPr="0087470C">
        <w:rPr>
          <w:sz w:val="23"/>
          <w:szCs w:val="23"/>
        </w:rPr>
        <w:t>.</w:t>
      </w:r>
    </w:p>
    <w:p w14:paraId="6F861114" w14:textId="4E448274" w:rsidR="005B7CFC" w:rsidRPr="00C567A6" w:rsidRDefault="001215A3"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 xml:space="preserve">The GWG proposed reducing seats without consulting </w:t>
      </w:r>
      <w:r w:rsidR="00483244" w:rsidRPr="00C567A6">
        <w:rPr>
          <w:sz w:val="23"/>
          <w:szCs w:val="23"/>
        </w:rPr>
        <w:t xml:space="preserve">the respective SPCs of </w:t>
      </w:r>
      <w:r w:rsidRPr="00C567A6">
        <w:rPr>
          <w:sz w:val="23"/>
          <w:szCs w:val="23"/>
        </w:rPr>
        <w:t>ITU</w:t>
      </w:r>
      <w:r w:rsidR="002B42EB" w:rsidRPr="00C567A6">
        <w:rPr>
          <w:sz w:val="23"/>
          <w:szCs w:val="23"/>
        </w:rPr>
        <w:t xml:space="preserve"> or UNIDO. ITU and UNIDO only learned of the recommendation a short time before the July 2019 Board session</w:t>
      </w:r>
      <w:r w:rsidRPr="00C567A6">
        <w:rPr>
          <w:sz w:val="23"/>
          <w:szCs w:val="23"/>
        </w:rPr>
        <w:t>.</w:t>
      </w:r>
    </w:p>
    <w:p w14:paraId="6329E1A8" w14:textId="685B6547" w:rsidR="00215A09" w:rsidRPr="00C567A6" w:rsidRDefault="00E8193B"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In November 2019, the</w:t>
      </w:r>
      <w:r w:rsidR="00215A09" w:rsidRPr="00C567A6">
        <w:rPr>
          <w:sz w:val="23"/>
          <w:szCs w:val="23"/>
        </w:rPr>
        <w:t xml:space="preserve"> ITU S</w:t>
      </w:r>
      <w:r w:rsidR="000B6A57" w:rsidRPr="00C567A6">
        <w:rPr>
          <w:sz w:val="23"/>
          <w:szCs w:val="23"/>
        </w:rPr>
        <w:t xml:space="preserve">taff </w:t>
      </w:r>
      <w:r w:rsidR="00215A09" w:rsidRPr="00C567A6">
        <w:rPr>
          <w:sz w:val="23"/>
          <w:szCs w:val="23"/>
        </w:rPr>
        <w:t>P</w:t>
      </w:r>
      <w:r w:rsidR="000B6A57" w:rsidRPr="00C567A6">
        <w:rPr>
          <w:sz w:val="23"/>
          <w:szCs w:val="23"/>
        </w:rPr>
        <w:t xml:space="preserve">ension </w:t>
      </w:r>
      <w:r w:rsidR="00215A09" w:rsidRPr="00C567A6">
        <w:rPr>
          <w:sz w:val="23"/>
          <w:szCs w:val="23"/>
        </w:rPr>
        <w:t>C</w:t>
      </w:r>
      <w:r w:rsidR="000B6A57" w:rsidRPr="00C567A6">
        <w:rPr>
          <w:sz w:val="23"/>
          <w:szCs w:val="23"/>
        </w:rPr>
        <w:t>ommittee</w:t>
      </w:r>
      <w:r w:rsidR="00215A09" w:rsidRPr="00C567A6">
        <w:rPr>
          <w:sz w:val="23"/>
          <w:szCs w:val="23"/>
        </w:rPr>
        <w:t xml:space="preserve"> sent a communication to the Chair of the Pension Board proposing a different way of allocating this seat to IOM without ITU and UNIDO decreasing their seat allocation. Th</w:t>
      </w:r>
      <w:r w:rsidR="00BD67DE" w:rsidRPr="00C567A6">
        <w:rPr>
          <w:sz w:val="23"/>
          <w:szCs w:val="23"/>
        </w:rPr>
        <w:t xml:space="preserve">e Chair and the Fund failed to reply to </w:t>
      </w:r>
      <w:r w:rsidR="00484AAA" w:rsidRPr="00C567A6">
        <w:rPr>
          <w:sz w:val="23"/>
          <w:szCs w:val="23"/>
        </w:rPr>
        <w:t>ITU SPC’s request</w:t>
      </w:r>
      <w:r w:rsidR="00215A09" w:rsidRPr="00C567A6">
        <w:rPr>
          <w:sz w:val="23"/>
          <w:szCs w:val="23"/>
        </w:rPr>
        <w:t xml:space="preserve">. </w:t>
      </w:r>
    </w:p>
    <w:p w14:paraId="4F0FE22D" w14:textId="1B202F27" w:rsidR="00BA1FF1" w:rsidRPr="00C567A6" w:rsidRDefault="007014FD"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D</w:t>
      </w:r>
      <w:r w:rsidR="002B42EB" w:rsidRPr="00C567A6">
        <w:rPr>
          <w:sz w:val="23"/>
          <w:szCs w:val="23"/>
        </w:rPr>
        <w:t xml:space="preserve">espite receiving the GWG’s report, </w:t>
      </w:r>
      <w:r w:rsidR="00BA1FF1" w:rsidRPr="00C567A6">
        <w:rPr>
          <w:sz w:val="23"/>
          <w:szCs w:val="23"/>
        </w:rPr>
        <w:t>the GA</w:t>
      </w:r>
      <w:r w:rsidRPr="00C567A6">
        <w:rPr>
          <w:sz w:val="23"/>
          <w:szCs w:val="23"/>
        </w:rPr>
        <w:t xml:space="preserve"> in 2019</w:t>
      </w:r>
      <w:r w:rsidR="00BA1FF1" w:rsidRPr="00C567A6">
        <w:rPr>
          <w:sz w:val="23"/>
          <w:szCs w:val="23"/>
        </w:rPr>
        <w:t xml:space="preserve"> requested an independent external entity with expertise in pension fund governance matters </w:t>
      </w:r>
      <w:r w:rsidR="00C2093E" w:rsidRPr="00C567A6">
        <w:rPr>
          <w:sz w:val="23"/>
          <w:szCs w:val="23"/>
        </w:rPr>
        <w:t xml:space="preserve">to </w:t>
      </w:r>
      <w:r w:rsidR="00BA1FF1" w:rsidRPr="00C567A6">
        <w:rPr>
          <w:sz w:val="23"/>
          <w:szCs w:val="23"/>
        </w:rPr>
        <w:t xml:space="preserve">conduct a comprehensive and objective analysis of the governance of the </w:t>
      </w:r>
      <w:r w:rsidR="00597E2A" w:rsidRPr="00C567A6">
        <w:rPr>
          <w:sz w:val="23"/>
          <w:szCs w:val="23"/>
        </w:rPr>
        <w:t>Fund</w:t>
      </w:r>
      <w:r w:rsidR="00BA1FF1" w:rsidRPr="00C567A6">
        <w:rPr>
          <w:sz w:val="23"/>
          <w:szCs w:val="23"/>
        </w:rPr>
        <w:t xml:space="preserve">. The objective of the analysis was to make recommendations on, among other things, the Board </w:t>
      </w:r>
      <w:r w:rsidR="00C2093E" w:rsidRPr="00C567A6">
        <w:rPr>
          <w:sz w:val="23"/>
          <w:szCs w:val="23"/>
        </w:rPr>
        <w:t>s</w:t>
      </w:r>
      <w:r w:rsidR="00BA1FF1" w:rsidRPr="00C567A6">
        <w:rPr>
          <w:sz w:val="23"/>
          <w:szCs w:val="23"/>
        </w:rPr>
        <w:t xml:space="preserve">tructure, size, </w:t>
      </w:r>
      <w:r w:rsidR="00C2093E" w:rsidRPr="00C567A6">
        <w:rPr>
          <w:sz w:val="23"/>
          <w:szCs w:val="23"/>
        </w:rPr>
        <w:t>composition,</w:t>
      </w:r>
      <w:r w:rsidR="00BA1FF1" w:rsidRPr="00C567A6">
        <w:rPr>
          <w:sz w:val="23"/>
          <w:szCs w:val="23"/>
        </w:rPr>
        <w:t xml:space="preserve"> and allocation of seats. </w:t>
      </w:r>
    </w:p>
    <w:p w14:paraId="1C3BE8E3" w14:textId="2E2364B0" w:rsidR="00215A09" w:rsidRPr="00C567A6" w:rsidRDefault="00E8193B" w:rsidP="0087470C">
      <w:pPr>
        <w:pStyle w:val="ListParagraph"/>
        <w:numPr>
          <w:ilvl w:val="0"/>
          <w:numId w:val="13"/>
        </w:numPr>
        <w:spacing w:before="120" w:after="120" w:line="240" w:lineRule="auto"/>
        <w:ind w:left="0" w:firstLine="0"/>
        <w:contextualSpacing w:val="0"/>
        <w:jc w:val="both"/>
        <w:rPr>
          <w:sz w:val="23"/>
          <w:szCs w:val="23"/>
        </w:rPr>
      </w:pPr>
      <w:bookmarkStart w:id="11" w:name="_Hlk65771000"/>
      <w:r w:rsidRPr="00C567A6">
        <w:rPr>
          <w:sz w:val="23"/>
          <w:szCs w:val="23"/>
        </w:rPr>
        <w:t>In May 2020 u</w:t>
      </w:r>
      <w:r w:rsidR="00215A09" w:rsidRPr="00C567A6">
        <w:rPr>
          <w:sz w:val="23"/>
          <w:szCs w:val="23"/>
        </w:rPr>
        <w:t xml:space="preserve">pon receipt of a circular letter from the </w:t>
      </w:r>
      <w:r w:rsidRPr="00C567A6">
        <w:rPr>
          <w:sz w:val="23"/>
          <w:szCs w:val="23"/>
        </w:rPr>
        <w:t>F</w:t>
      </w:r>
      <w:r w:rsidR="00215A09" w:rsidRPr="00C567A6">
        <w:rPr>
          <w:sz w:val="23"/>
          <w:szCs w:val="23"/>
        </w:rPr>
        <w:t xml:space="preserve">und, the ITU SPC noted with </w:t>
      </w:r>
      <w:r w:rsidRPr="00C567A6">
        <w:rPr>
          <w:sz w:val="23"/>
          <w:szCs w:val="23"/>
        </w:rPr>
        <w:t>dismay that the Pension Fund had amended the Rules of Procedure to remove one-half seat from ITU and UNIDO, without this being explicitly or implicitly approved by the General Assembly, and without due consultation with ITU</w:t>
      </w:r>
      <w:r w:rsidR="0050378B" w:rsidRPr="00C567A6">
        <w:rPr>
          <w:sz w:val="23"/>
          <w:szCs w:val="23"/>
        </w:rPr>
        <w:t>’s</w:t>
      </w:r>
      <w:r w:rsidRPr="00C567A6">
        <w:rPr>
          <w:sz w:val="23"/>
          <w:szCs w:val="23"/>
        </w:rPr>
        <w:t xml:space="preserve"> Governing Body.</w:t>
      </w:r>
    </w:p>
    <w:bookmarkEnd w:id="11"/>
    <w:p w14:paraId="69FA9038" w14:textId="7925A120" w:rsidR="008E0D34" w:rsidRPr="00C567A6" w:rsidRDefault="00BA1FF1"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In July 2020, the ITU SPC requested</w:t>
      </w:r>
      <w:r w:rsidR="000B6A57" w:rsidRPr="00C567A6">
        <w:rPr>
          <w:sz w:val="23"/>
          <w:szCs w:val="23"/>
        </w:rPr>
        <w:t xml:space="preserve"> to the Fund</w:t>
      </w:r>
      <w:r w:rsidRPr="00C567A6">
        <w:rPr>
          <w:sz w:val="23"/>
          <w:szCs w:val="23"/>
        </w:rPr>
        <w:t xml:space="preserve"> that the seat</w:t>
      </w:r>
      <w:r w:rsidR="00BD67DE" w:rsidRPr="00C567A6">
        <w:rPr>
          <w:sz w:val="23"/>
          <w:szCs w:val="23"/>
        </w:rPr>
        <w:t xml:space="preserve"> that had been removed </w:t>
      </w:r>
      <w:r w:rsidRPr="00C567A6">
        <w:rPr>
          <w:sz w:val="23"/>
          <w:szCs w:val="23"/>
        </w:rPr>
        <w:t xml:space="preserve">be </w:t>
      </w:r>
      <w:r w:rsidR="00C2093E" w:rsidRPr="00C567A6">
        <w:rPr>
          <w:sz w:val="23"/>
          <w:szCs w:val="23"/>
        </w:rPr>
        <w:t>reintegrated</w:t>
      </w:r>
      <w:r w:rsidRPr="00C567A6">
        <w:rPr>
          <w:sz w:val="23"/>
          <w:szCs w:val="23"/>
        </w:rPr>
        <w:t xml:space="preserve"> pending the review process of the independent external expert requested by the GA.</w:t>
      </w:r>
      <w:r w:rsidR="008E0D34" w:rsidRPr="00C567A6">
        <w:rPr>
          <w:sz w:val="23"/>
          <w:szCs w:val="23"/>
        </w:rPr>
        <w:t xml:space="preserve"> </w:t>
      </w:r>
      <w:r w:rsidR="00BD67DE" w:rsidRPr="00C567A6">
        <w:rPr>
          <w:sz w:val="23"/>
          <w:szCs w:val="23"/>
        </w:rPr>
        <w:t xml:space="preserve">Once </w:t>
      </w:r>
      <w:r w:rsidR="0099568B" w:rsidRPr="00C567A6">
        <w:rPr>
          <w:sz w:val="23"/>
          <w:szCs w:val="23"/>
        </w:rPr>
        <w:t>again,</w:t>
      </w:r>
      <w:r w:rsidR="00BD67DE" w:rsidRPr="00C567A6">
        <w:rPr>
          <w:sz w:val="23"/>
          <w:szCs w:val="23"/>
        </w:rPr>
        <w:t xml:space="preserve"> the Pension Board failed to </w:t>
      </w:r>
      <w:r w:rsidR="00B41BBA" w:rsidRPr="00C567A6">
        <w:rPr>
          <w:sz w:val="23"/>
          <w:szCs w:val="23"/>
        </w:rPr>
        <w:t>act</w:t>
      </w:r>
      <w:r w:rsidR="00BD67DE" w:rsidRPr="00C567A6">
        <w:rPr>
          <w:sz w:val="23"/>
          <w:szCs w:val="23"/>
        </w:rPr>
        <w:t xml:space="preserve"> on the ITU SPC</w:t>
      </w:r>
      <w:r w:rsidR="0050378B" w:rsidRPr="00C567A6">
        <w:rPr>
          <w:sz w:val="23"/>
          <w:szCs w:val="23"/>
        </w:rPr>
        <w:t>’</w:t>
      </w:r>
      <w:r w:rsidR="00BD67DE" w:rsidRPr="00C567A6">
        <w:rPr>
          <w:sz w:val="23"/>
          <w:szCs w:val="23"/>
        </w:rPr>
        <w:t>s request</w:t>
      </w:r>
      <w:r w:rsidR="008E0D34" w:rsidRPr="00C567A6">
        <w:rPr>
          <w:sz w:val="23"/>
          <w:szCs w:val="23"/>
        </w:rPr>
        <w:t>.</w:t>
      </w:r>
    </w:p>
    <w:p w14:paraId="774BB5F4" w14:textId="7E9CDD08" w:rsidR="008E0D34" w:rsidRPr="00C567A6" w:rsidRDefault="008E0D34"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lastRenderedPageBreak/>
        <w:t xml:space="preserve">As the situation stands today, the independent external </w:t>
      </w:r>
      <w:r w:rsidR="00BD67DE" w:rsidRPr="00C567A6">
        <w:rPr>
          <w:sz w:val="23"/>
          <w:szCs w:val="23"/>
        </w:rPr>
        <w:t>expert</w:t>
      </w:r>
      <w:r w:rsidRPr="00C567A6">
        <w:rPr>
          <w:sz w:val="23"/>
          <w:szCs w:val="23"/>
        </w:rPr>
        <w:t xml:space="preserve"> provided a report which was discussed in </w:t>
      </w:r>
      <w:r w:rsidR="002B42EB" w:rsidRPr="00C567A6">
        <w:rPr>
          <w:sz w:val="23"/>
          <w:szCs w:val="23"/>
        </w:rPr>
        <w:t>a Special Session of the</w:t>
      </w:r>
      <w:r w:rsidRPr="00C567A6">
        <w:rPr>
          <w:sz w:val="23"/>
          <w:szCs w:val="23"/>
        </w:rPr>
        <w:t xml:space="preserve"> Pension Board in February 202</w:t>
      </w:r>
      <w:r w:rsidR="00C2093E" w:rsidRPr="00C567A6">
        <w:rPr>
          <w:sz w:val="23"/>
          <w:szCs w:val="23"/>
        </w:rPr>
        <w:t>1</w:t>
      </w:r>
      <w:bookmarkStart w:id="12" w:name="_Hlk65771085"/>
      <w:bookmarkStart w:id="13" w:name="_Hlk65771054"/>
      <w:r w:rsidRPr="00C567A6">
        <w:rPr>
          <w:sz w:val="23"/>
          <w:szCs w:val="23"/>
        </w:rPr>
        <w:t>. The Board agree</w:t>
      </w:r>
      <w:r w:rsidR="00C2093E" w:rsidRPr="00C567A6">
        <w:rPr>
          <w:sz w:val="23"/>
          <w:szCs w:val="23"/>
        </w:rPr>
        <w:t>d</w:t>
      </w:r>
      <w:r w:rsidRPr="00C567A6">
        <w:rPr>
          <w:sz w:val="23"/>
          <w:szCs w:val="23"/>
        </w:rPr>
        <w:t xml:space="preserve"> to ask the </w:t>
      </w:r>
      <w:r w:rsidR="00484AAA" w:rsidRPr="00C567A6">
        <w:rPr>
          <w:sz w:val="23"/>
          <w:szCs w:val="23"/>
        </w:rPr>
        <w:t>GWG</w:t>
      </w:r>
      <w:r w:rsidRPr="00C567A6">
        <w:rPr>
          <w:sz w:val="23"/>
          <w:szCs w:val="23"/>
        </w:rPr>
        <w:t xml:space="preserve"> to provide concrete options regarding size and composition for consideration by the Board at its 69th session in July 2021</w:t>
      </w:r>
      <w:bookmarkEnd w:id="12"/>
      <w:r w:rsidRPr="00C567A6">
        <w:rPr>
          <w:sz w:val="23"/>
          <w:szCs w:val="23"/>
        </w:rPr>
        <w:t xml:space="preserve">. </w:t>
      </w:r>
      <w:bookmarkEnd w:id="13"/>
    </w:p>
    <w:p w14:paraId="16B3E815" w14:textId="5328929B" w:rsidR="00E8193B" w:rsidRPr="00C567A6" w:rsidRDefault="00E8193B" w:rsidP="00C567A6">
      <w:pPr>
        <w:keepNext/>
        <w:spacing w:before="360" w:after="120"/>
        <w:jc w:val="both"/>
        <w:rPr>
          <w:b/>
          <w:bCs/>
          <w:sz w:val="26"/>
          <w:szCs w:val="26"/>
        </w:rPr>
      </w:pPr>
      <w:r w:rsidRPr="00C567A6">
        <w:rPr>
          <w:b/>
          <w:bCs/>
          <w:sz w:val="26"/>
          <w:szCs w:val="26"/>
        </w:rPr>
        <w:t>Position of the ITU SPC</w:t>
      </w:r>
      <w:r w:rsidR="000B6A57" w:rsidRPr="00C567A6">
        <w:rPr>
          <w:b/>
          <w:bCs/>
          <w:sz w:val="26"/>
          <w:szCs w:val="26"/>
        </w:rPr>
        <w:t xml:space="preserve"> and implications for the ITU and ITU Member States</w:t>
      </w:r>
    </w:p>
    <w:p w14:paraId="689C725F" w14:textId="62D86F25" w:rsidR="008E0D34" w:rsidRPr="00C567A6" w:rsidRDefault="000B6A57"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 xml:space="preserve">The </w:t>
      </w:r>
      <w:r w:rsidR="00E8193B" w:rsidRPr="00C567A6">
        <w:rPr>
          <w:sz w:val="23"/>
          <w:szCs w:val="23"/>
        </w:rPr>
        <w:t xml:space="preserve">ITU </w:t>
      </w:r>
      <w:r w:rsidRPr="00C567A6">
        <w:rPr>
          <w:sz w:val="23"/>
          <w:szCs w:val="23"/>
        </w:rPr>
        <w:t xml:space="preserve">SPC </w:t>
      </w:r>
      <w:r w:rsidR="00E8193B" w:rsidRPr="00C567A6">
        <w:rPr>
          <w:sz w:val="23"/>
          <w:szCs w:val="23"/>
        </w:rPr>
        <w:t xml:space="preserve">fully supports appropriate representation on the Board for every </w:t>
      </w:r>
      <w:r w:rsidR="00886A4E" w:rsidRPr="00C567A6">
        <w:rPr>
          <w:sz w:val="23"/>
          <w:szCs w:val="23"/>
        </w:rPr>
        <w:t xml:space="preserve">new </w:t>
      </w:r>
      <w:r w:rsidR="00484AAA" w:rsidRPr="00C567A6">
        <w:rPr>
          <w:sz w:val="23"/>
          <w:szCs w:val="23"/>
        </w:rPr>
        <w:t>MO</w:t>
      </w:r>
      <w:r w:rsidR="00E8193B" w:rsidRPr="00C567A6">
        <w:rPr>
          <w:sz w:val="23"/>
          <w:szCs w:val="23"/>
        </w:rPr>
        <w:t xml:space="preserve"> of the Fund, particularly those that (a) may have </w:t>
      </w:r>
      <w:r w:rsidR="0080527F" w:rsidRPr="00C567A6">
        <w:rPr>
          <w:sz w:val="23"/>
          <w:szCs w:val="23"/>
        </w:rPr>
        <w:t>many</w:t>
      </w:r>
      <w:r w:rsidR="00E8193B" w:rsidRPr="00C567A6">
        <w:rPr>
          <w:sz w:val="23"/>
          <w:szCs w:val="23"/>
        </w:rPr>
        <w:t xml:space="preserve"> contributing participants; (b) are engaged appropriately with the Fund in pursuit of the purposes for which the Fund was established; and (c) are engaged, with a properly constituted SPC, in full accordance with the Regulations of the Fund. However, this should not and need not affect the rights of </w:t>
      </w:r>
      <w:r w:rsidR="00886A4E" w:rsidRPr="00C567A6">
        <w:rPr>
          <w:sz w:val="23"/>
          <w:szCs w:val="23"/>
        </w:rPr>
        <w:t xml:space="preserve">current “historical” </w:t>
      </w:r>
      <w:proofErr w:type="spellStart"/>
      <w:r w:rsidR="00484AAA" w:rsidRPr="00C567A6">
        <w:rPr>
          <w:sz w:val="23"/>
          <w:szCs w:val="23"/>
        </w:rPr>
        <w:t>MOs</w:t>
      </w:r>
      <w:r w:rsidR="00E8193B" w:rsidRPr="00C567A6">
        <w:rPr>
          <w:sz w:val="23"/>
          <w:szCs w:val="23"/>
        </w:rPr>
        <w:t>.</w:t>
      </w:r>
      <w:proofErr w:type="spellEnd"/>
      <w:r w:rsidR="00E8193B" w:rsidRPr="00C567A6">
        <w:rPr>
          <w:sz w:val="23"/>
          <w:szCs w:val="23"/>
        </w:rPr>
        <w:t xml:space="preserve"> </w:t>
      </w:r>
    </w:p>
    <w:p w14:paraId="3A250F96" w14:textId="291D68A9" w:rsidR="00251EF0" w:rsidRPr="00C567A6" w:rsidRDefault="00BD67DE"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 xml:space="preserve">Before the reallocation of seats, the ITU’s voting right according to its 1.5 seats was </w:t>
      </w:r>
      <w:r w:rsidR="00886A4E" w:rsidRPr="00C567A6">
        <w:rPr>
          <w:sz w:val="23"/>
          <w:szCs w:val="23"/>
        </w:rPr>
        <w:t xml:space="preserve">distributed </w:t>
      </w:r>
      <w:r w:rsidRPr="00C567A6">
        <w:rPr>
          <w:sz w:val="23"/>
          <w:szCs w:val="23"/>
        </w:rPr>
        <w:t xml:space="preserve">in </w:t>
      </w:r>
      <w:r w:rsidR="00251EF0" w:rsidRPr="00C567A6">
        <w:rPr>
          <w:sz w:val="23"/>
          <w:szCs w:val="23"/>
        </w:rPr>
        <w:t>a rotational manner, one year with one vote</w:t>
      </w:r>
      <w:r w:rsidR="000B6A57" w:rsidRPr="00C567A6">
        <w:rPr>
          <w:sz w:val="23"/>
          <w:szCs w:val="23"/>
        </w:rPr>
        <w:t xml:space="preserve"> and</w:t>
      </w:r>
      <w:r w:rsidR="00251EF0" w:rsidRPr="00C567A6">
        <w:rPr>
          <w:sz w:val="23"/>
          <w:szCs w:val="23"/>
        </w:rPr>
        <w:t xml:space="preserve"> another year with two</w:t>
      </w:r>
      <w:r w:rsidR="00597E2A" w:rsidRPr="00C567A6">
        <w:rPr>
          <w:sz w:val="23"/>
          <w:szCs w:val="23"/>
        </w:rPr>
        <w:t xml:space="preserve">. As </w:t>
      </w:r>
      <w:r w:rsidR="00251EF0" w:rsidRPr="00C567A6">
        <w:rPr>
          <w:sz w:val="23"/>
          <w:szCs w:val="23"/>
        </w:rPr>
        <w:t>it stands today ITU has one seat and should there be a further evaluation on the allocation of seats,</w:t>
      </w:r>
      <w:r w:rsidR="002E7C72" w:rsidRPr="00C567A6">
        <w:rPr>
          <w:sz w:val="23"/>
          <w:szCs w:val="23"/>
        </w:rPr>
        <w:t xml:space="preserve"> </w:t>
      </w:r>
      <w:r w:rsidR="00251EF0" w:rsidRPr="00C567A6">
        <w:rPr>
          <w:sz w:val="23"/>
          <w:szCs w:val="23"/>
        </w:rPr>
        <w:t>ITU could indeed lose again</w:t>
      </w:r>
      <w:r w:rsidR="00484AAA" w:rsidRPr="00C567A6">
        <w:rPr>
          <w:sz w:val="23"/>
          <w:szCs w:val="23"/>
        </w:rPr>
        <w:t xml:space="preserve"> meaning that ITU may have no representation at all. This would severely inhibit ITU’s ability to mitigate the deficiency payment risk by providing an </w:t>
      </w:r>
      <w:r w:rsidR="00635AC3" w:rsidRPr="00C567A6">
        <w:rPr>
          <w:sz w:val="23"/>
          <w:szCs w:val="23"/>
        </w:rPr>
        <w:t>in</w:t>
      </w:r>
      <w:r w:rsidR="00484AAA" w:rsidRPr="00C567A6">
        <w:rPr>
          <w:sz w:val="23"/>
          <w:szCs w:val="23"/>
        </w:rPr>
        <w:t>appropriate level of informed oversight.</w:t>
      </w:r>
      <w:r w:rsidR="002E7C72" w:rsidRPr="00C567A6">
        <w:rPr>
          <w:sz w:val="23"/>
          <w:szCs w:val="23"/>
        </w:rPr>
        <w:t xml:space="preserve"> </w:t>
      </w:r>
    </w:p>
    <w:p w14:paraId="5C1734BB" w14:textId="2FDE7291" w:rsidR="0080527F" w:rsidRPr="00C567A6" w:rsidRDefault="008E0D34"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 xml:space="preserve">It should be noted that ITU has a vested interest in </w:t>
      </w:r>
      <w:r w:rsidR="00BD67DE" w:rsidRPr="00C567A6">
        <w:rPr>
          <w:sz w:val="23"/>
          <w:szCs w:val="23"/>
        </w:rPr>
        <w:t xml:space="preserve">retaining its </w:t>
      </w:r>
      <w:r w:rsidRPr="00C567A6">
        <w:rPr>
          <w:sz w:val="23"/>
          <w:szCs w:val="23"/>
        </w:rPr>
        <w:t>voting rights on the Board of the Pension Fund</w:t>
      </w:r>
      <w:r w:rsidR="00BD67DE" w:rsidRPr="00C567A6">
        <w:rPr>
          <w:sz w:val="23"/>
          <w:szCs w:val="23"/>
        </w:rPr>
        <w:t>,</w:t>
      </w:r>
      <w:r w:rsidR="0080527F" w:rsidRPr="00C567A6">
        <w:rPr>
          <w:sz w:val="23"/>
          <w:szCs w:val="23"/>
        </w:rPr>
        <w:t xml:space="preserve"> which oversees not only the management of the Fund but the actuarial valuations, and financial health of the Fund. </w:t>
      </w:r>
    </w:p>
    <w:p w14:paraId="6B6085BE" w14:textId="68BADCC4" w:rsidR="00BD67DE" w:rsidRPr="00C567A6" w:rsidRDefault="0080527F"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Th</w:t>
      </w:r>
      <w:r w:rsidR="00BD67DE" w:rsidRPr="00C567A6">
        <w:rPr>
          <w:sz w:val="23"/>
          <w:szCs w:val="23"/>
        </w:rPr>
        <w:t>is interest is twofold</w:t>
      </w:r>
      <w:r w:rsidRPr="00C567A6">
        <w:rPr>
          <w:sz w:val="23"/>
          <w:szCs w:val="23"/>
        </w:rPr>
        <w:t xml:space="preserve">, </w:t>
      </w:r>
      <w:r w:rsidR="002E7C72" w:rsidRPr="00C567A6">
        <w:rPr>
          <w:sz w:val="23"/>
          <w:szCs w:val="23"/>
        </w:rPr>
        <w:t>first the</w:t>
      </w:r>
      <w:r w:rsidR="00BD67DE" w:rsidRPr="00C567A6">
        <w:rPr>
          <w:sz w:val="23"/>
          <w:szCs w:val="23"/>
        </w:rPr>
        <w:t xml:space="preserve"> </w:t>
      </w:r>
      <w:r w:rsidRPr="00C567A6">
        <w:rPr>
          <w:sz w:val="23"/>
          <w:szCs w:val="23"/>
        </w:rPr>
        <w:t>ITU has</w:t>
      </w:r>
      <w:r w:rsidR="008E0D34" w:rsidRPr="00C567A6">
        <w:rPr>
          <w:sz w:val="23"/>
          <w:szCs w:val="23"/>
        </w:rPr>
        <w:t xml:space="preserve"> contributed towards the Fund since 1960</w:t>
      </w:r>
      <w:r w:rsidRPr="00C567A6">
        <w:rPr>
          <w:sz w:val="23"/>
          <w:szCs w:val="23"/>
        </w:rPr>
        <w:t xml:space="preserve"> and the Fund entered maturity in 1994, when benefit payments first exceeded receipts from contributions. The organization that seeks seats at the expense of ITU joined in 2007, thirteen years after the Fund entered maturity</w:t>
      </w:r>
      <w:r w:rsidR="00BD67DE" w:rsidRPr="00C567A6">
        <w:rPr>
          <w:sz w:val="23"/>
          <w:szCs w:val="23"/>
        </w:rPr>
        <w:t xml:space="preserve"> and 47 years after the ITU made its first contribution</w:t>
      </w:r>
      <w:r w:rsidRPr="00C567A6">
        <w:rPr>
          <w:sz w:val="23"/>
          <w:szCs w:val="23"/>
        </w:rPr>
        <w:t>.</w:t>
      </w:r>
      <w:r w:rsidR="002E7C72" w:rsidRPr="00C567A6">
        <w:rPr>
          <w:sz w:val="23"/>
          <w:szCs w:val="23"/>
        </w:rPr>
        <w:t xml:space="preserve"> </w:t>
      </w:r>
    </w:p>
    <w:p w14:paraId="4A599F52" w14:textId="7BDDCB35" w:rsidR="0080527F" w:rsidRPr="00C567A6" w:rsidRDefault="002E7C72"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 xml:space="preserve">Second, </w:t>
      </w:r>
      <w:r w:rsidR="0080527F" w:rsidRPr="00C567A6">
        <w:rPr>
          <w:sz w:val="23"/>
          <w:szCs w:val="23"/>
        </w:rPr>
        <w:t xml:space="preserve">Article 26 of the Fund Rules and Regulations stipulates </w:t>
      </w:r>
      <w:r w:rsidR="0080527F" w:rsidRPr="00C567A6">
        <w:rPr>
          <w:i/>
          <w:iCs/>
          <w:sz w:val="23"/>
          <w:szCs w:val="23"/>
        </w:rPr>
        <w:t>“In the event that an actuarial valuation of the Fund shows that its assets may not be sufficient to meet its liabilities under these Regulations, there shall be paid into the Fund by each member organization the sum necessary to make good the deficiency”</w:t>
      </w:r>
      <w:r w:rsidR="0080527F" w:rsidRPr="00C567A6">
        <w:rPr>
          <w:sz w:val="23"/>
          <w:szCs w:val="23"/>
        </w:rPr>
        <w:t>.</w:t>
      </w:r>
      <w:r w:rsidRPr="00C567A6">
        <w:rPr>
          <w:sz w:val="23"/>
          <w:szCs w:val="23"/>
        </w:rPr>
        <w:t xml:space="preserve"> This </w:t>
      </w:r>
      <w:r w:rsidR="00BD67DE" w:rsidRPr="00C567A6">
        <w:rPr>
          <w:sz w:val="23"/>
          <w:szCs w:val="23"/>
        </w:rPr>
        <w:t xml:space="preserve">highlights that ITU has an interest </w:t>
      </w:r>
      <w:r w:rsidR="0099568B" w:rsidRPr="00C567A6">
        <w:rPr>
          <w:sz w:val="23"/>
          <w:szCs w:val="23"/>
        </w:rPr>
        <w:t>in being part of every decision-making process in what relates to the Fund’</w:t>
      </w:r>
      <w:r w:rsidR="0050378B" w:rsidRPr="00C567A6">
        <w:rPr>
          <w:sz w:val="23"/>
          <w:szCs w:val="23"/>
        </w:rPr>
        <w:t>s</w:t>
      </w:r>
      <w:r w:rsidR="0099568B" w:rsidRPr="00C567A6">
        <w:rPr>
          <w:sz w:val="23"/>
          <w:szCs w:val="23"/>
        </w:rPr>
        <w:t xml:space="preserve"> assets and liabilities, as well as the Fund</w:t>
      </w:r>
      <w:r w:rsidR="0050378B" w:rsidRPr="00C567A6">
        <w:rPr>
          <w:sz w:val="23"/>
          <w:szCs w:val="23"/>
        </w:rPr>
        <w:t>’</w:t>
      </w:r>
      <w:r w:rsidR="0099568B" w:rsidRPr="00C567A6">
        <w:rPr>
          <w:sz w:val="23"/>
          <w:szCs w:val="23"/>
        </w:rPr>
        <w:t xml:space="preserve">s overall Financial health, as in the event of the Fund becoming deficit, ITU will need to </w:t>
      </w:r>
      <w:r w:rsidR="0050378B" w:rsidRPr="00C567A6">
        <w:rPr>
          <w:sz w:val="23"/>
          <w:szCs w:val="23"/>
        </w:rPr>
        <w:t>f</w:t>
      </w:r>
      <w:r w:rsidR="0099568B" w:rsidRPr="00C567A6">
        <w:rPr>
          <w:sz w:val="23"/>
          <w:szCs w:val="23"/>
        </w:rPr>
        <w:t>und part of that deficit alongside all the other organizations</w:t>
      </w:r>
      <w:r w:rsidRPr="00C567A6">
        <w:rPr>
          <w:sz w:val="23"/>
          <w:szCs w:val="23"/>
        </w:rPr>
        <w:t>.</w:t>
      </w:r>
    </w:p>
    <w:p w14:paraId="4BF7DC8F" w14:textId="3BE707A7" w:rsidR="00F350DD" w:rsidRPr="00C567A6" w:rsidRDefault="00F350DD"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It should be noted that the allocation of seats generally falls under the Rules of Procedure of the Fund, which can be amended by the Board. However, it is the view of the SPC that such a fundamental change which impacts o</w:t>
      </w:r>
      <w:r w:rsidR="00886A4E" w:rsidRPr="00C567A6">
        <w:rPr>
          <w:sz w:val="23"/>
          <w:szCs w:val="23"/>
        </w:rPr>
        <w:t>n</w:t>
      </w:r>
      <w:r w:rsidRPr="00C567A6">
        <w:rPr>
          <w:sz w:val="23"/>
          <w:szCs w:val="23"/>
        </w:rPr>
        <w:t xml:space="preserve"> the ability of the governing body of a sovereign and autonomous organization in the UN System to mitigate the deficiency payment risk with might arise warrants direct consultation with the affected governing body and their executive head prior to implementation. It should also be noted that during the last iteration of the Board in 1987</w:t>
      </w:r>
      <w:r w:rsidR="00346A52" w:rsidRPr="00C567A6">
        <w:rPr>
          <w:sz w:val="23"/>
          <w:szCs w:val="23"/>
        </w:rPr>
        <w:t xml:space="preserve">, a consultative process took place with </w:t>
      </w:r>
      <w:proofErr w:type="spellStart"/>
      <w:r w:rsidR="00346A52" w:rsidRPr="00C567A6">
        <w:rPr>
          <w:sz w:val="23"/>
          <w:szCs w:val="23"/>
        </w:rPr>
        <w:t>MOs.</w:t>
      </w:r>
      <w:proofErr w:type="spellEnd"/>
      <w:r w:rsidR="00346A52" w:rsidRPr="00C567A6">
        <w:rPr>
          <w:sz w:val="23"/>
          <w:szCs w:val="23"/>
        </w:rPr>
        <w:t xml:space="preserve"> T</w:t>
      </w:r>
      <w:r w:rsidRPr="00C567A6">
        <w:rPr>
          <w:sz w:val="23"/>
          <w:szCs w:val="23"/>
        </w:rPr>
        <w:t>he UNGA invited MOs to review the size and composition of the Board</w:t>
      </w:r>
      <w:r w:rsidR="00346A52" w:rsidRPr="00C567A6">
        <w:rPr>
          <w:sz w:val="23"/>
          <w:szCs w:val="23"/>
        </w:rPr>
        <w:t xml:space="preserve"> and</w:t>
      </w:r>
      <w:r w:rsidRPr="00C567A6">
        <w:rPr>
          <w:sz w:val="23"/>
          <w:szCs w:val="23"/>
        </w:rPr>
        <w:t xml:space="preserve"> ITU submitted its views (see Annex). </w:t>
      </w:r>
    </w:p>
    <w:p w14:paraId="38C93892" w14:textId="5407E762" w:rsidR="007014FD" w:rsidRPr="00C567A6" w:rsidRDefault="008E0D34" w:rsidP="0087470C">
      <w:pPr>
        <w:pStyle w:val="ListParagraph"/>
        <w:numPr>
          <w:ilvl w:val="0"/>
          <w:numId w:val="13"/>
        </w:numPr>
        <w:spacing w:before="120" w:after="120" w:line="240" w:lineRule="auto"/>
        <w:ind w:left="0" w:firstLine="0"/>
        <w:contextualSpacing w:val="0"/>
        <w:jc w:val="both"/>
        <w:rPr>
          <w:sz w:val="23"/>
          <w:szCs w:val="23"/>
        </w:rPr>
      </w:pPr>
      <w:r w:rsidRPr="00C567A6">
        <w:rPr>
          <w:sz w:val="23"/>
          <w:szCs w:val="23"/>
        </w:rPr>
        <w:t xml:space="preserve">The ITU SPC would like to inform the </w:t>
      </w:r>
      <w:r w:rsidR="00886A4E" w:rsidRPr="00C567A6">
        <w:rPr>
          <w:sz w:val="23"/>
          <w:szCs w:val="23"/>
        </w:rPr>
        <w:t>Council</w:t>
      </w:r>
      <w:r w:rsidR="00483244" w:rsidRPr="00C567A6">
        <w:rPr>
          <w:sz w:val="23"/>
          <w:szCs w:val="23"/>
        </w:rPr>
        <w:t xml:space="preserve"> </w:t>
      </w:r>
      <w:r w:rsidRPr="00C567A6">
        <w:rPr>
          <w:sz w:val="23"/>
          <w:szCs w:val="23"/>
        </w:rPr>
        <w:t>of the above situation</w:t>
      </w:r>
      <w:r w:rsidR="00E8193B" w:rsidRPr="00C567A6">
        <w:rPr>
          <w:sz w:val="23"/>
          <w:szCs w:val="23"/>
        </w:rPr>
        <w:t>.</w:t>
      </w:r>
      <w:r w:rsidR="00597E2A" w:rsidRPr="00C567A6">
        <w:rPr>
          <w:sz w:val="23"/>
          <w:szCs w:val="23"/>
        </w:rPr>
        <w:t xml:space="preserve"> The Council is invited to take note of the document, as well as of the continuation of ITU SPC’s struggle to keep its position in the Fund and the Board.</w:t>
      </w:r>
      <w:r w:rsidR="007014FD" w:rsidRPr="00C567A6">
        <w:rPr>
          <w:sz w:val="23"/>
          <w:szCs w:val="23"/>
        </w:rPr>
        <w:br w:type="page"/>
      </w:r>
    </w:p>
    <w:p w14:paraId="38B81F04" w14:textId="5D30EB8C" w:rsidR="00F350DD" w:rsidRPr="00C567A6" w:rsidRDefault="00F350DD" w:rsidP="00F350DD">
      <w:pPr>
        <w:spacing w:line="256" w:lineRule="auto"/>
        <w:jc w:val="center"/>
        <w:rPr>
          <w:sz w:val="28"/>
          <w:szCs w:val="28"/>
        </w:rPr>
      </w:pPr>
      <w:r w:rsidRPr="00C567A6">
        <w:rPr>
          <w:sz w:val="28"/>
          <w:szCs w:val="28"/>
        </w:rPr>
        <w:lastRenderedPageBreak/>
        <w:t>ANNEX</w:t>
      </w:r>
    </w:p>
    <w:p w14:paraId="32E59D6A" w14:textId="187FCEAC" w:rsidR="00F350DD" w:rsidRPr="007703CE" w:rsidRDefault="00F350DD" w:rsidP="007703CE">
      <w:pPr>
        <w:spacing w:line="256" w:lineRule="auto"/>
        <w:jc w:val="center"/>
        <w:rPr>
          <w:b/>
          <w:bCs/>
        </w:rPr>
      </w:pPr>
      <w:r w:rsidRPr="007703CE">
        <w:rPr>
          <w:b/>
          <w:bCs/>
        </w:rPr>
        <w:t xml:space="preserve">Views of ITU on the composition of the </w:t>
      </w:r>
      <w:r w:rsidR="00552247">
        <w:rPr>
          <w:b/>
          <w:bCs/>
        </w:rPr>
        <w:t xml:space="preserve">Pension </w:t>
      </w:r>
      <w:r w:rsidRPr="007703CE">
        <w:rPr>
          <w:b/>
          <w:bCs/>
        </w:rPr>
        <w:t xml:space="preserve">Board submitted in </w:t>
      </w:r>
      <w:r w:rsidR="00346A52" w:rsidRPr="007703CE">
        <w:rPr>
          <w:b/>
          <w:bCs/>
        </w:rPr>
        <w:t xml:space="preserve">response </w:t>
      </w:r>
      <w:r w:rsidR="00346A52" w:rsidRPr="007703CE">
        <w:rPr>
          <w:b/>
          <w:bCs/>
        </w:rPr>
        <w:br/>
        <w:t>to the request made in GA Resolution 40/245</w:t>
      </w:r>
    </w:p>
    <w:p w14:paraId="06664E16" w14:textId="77777777" w:rsidR="00F350DD" w:rsidRDefault="00F350DD" w:rsidP="00F350DD">
      <w:pPr>
        <w:spacing w:line="256" w:lineRule="auto"/>
        <w:jc w:val="both"/>
      </w:pPr>
    </w:p>
    <w:p w14:paraId="50850ED1" w14:textId="0A8AB59F" w:rsidR="00F350DD" w:rsidRDefault="00F350DD" w:rsidP="00F350DD">
      <w:pPr>
        <w:spacing w:line="256" w:lineRule="auto"/>
        <w:jc w:val="both"/>
      </w:pPr>
      <w:r>
        <w:t>From report of the 42</w:t>
      </w:r>
      <w:r w:rsidRPr="007703CE">
        <w:rPr>
          <w:vertAlign w:val="superscript"/>
        </w:rPr>
        <w:t>nd</w:t>
      </w:r>
      <w:r>
        <w:t xml:space="preserve"> UN Joint Staff Pension Board  </w:t>
      </w:r>
    </w:p>
    <w:p w14:paraId="6E1DF11B" w14:textId="77777777" w:rsidR="00F350DD" w:rsidRDefault="00F350DD" w:rsidP="00F350DD">
      <w:pPr>
        <w:spacing w:line="256" w:lineRule="auto"/>
        <w:jc w:val="both"/>
      </w:pPr>
    </w:p>
    <w:p w14:paraId="7E5B6BCE" w14:textId="1B963FE5" w:rsidR="00F350DD" w:rsidRDefault="00F350DD" w:rsidP="007703CE">
      <w:pPr>
        <w:spacing w:line="256" w:lineRule="auto"/>
        <w:jc w:val="both"/>
      </w:pPr>
      <w:r>
        <w:rPr>
          <w:noProof/>
        </w:rPr>
        <w:drawing>
          <wp:inline distT="0" distB="0" distL="0" distR="0" wp14:anchorId="0CD995BB" wp14:editId="6F5F36C5">
            <wp:extent cx="6120765" cy="3122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122930"/>
                    </a:xfrm>
                    <a:prstGeom prst="rect">
                      <a:avLst/>
                    </a:prstGeom>
                  </pic:spPr>
                </pic:pic>
              </a:graphicData>
            </a:graphic>
          </wp:inline>
        </w:drawing>
      </w:r>
    </w:p>
    <w:p w14:paraId="40975FDC" w14:textId="24605174" w:rsidR="00CF134B" w:rsidRPr="00CF134B" w:rsidRDefault="00CF134B" w:rsidP="00251EF0">
      <w:pPr>
        <w:spacing w:before="840"/>
        <w:jc w:val="center"/>
        <w:rPr>
          <w:rFonts w:cstheme="minorHAnsi"/>
        </w:rPr>
      </w:pPr>
      <w:r w:rsidRPr="008D77AF">
        <w:rPr>
          <w:rFonts w:cstheme="minorHAnsi"/>
        </w:rPr>
        <w:t>_______________</w:t>
      </w:r>
    </w:p>
    <w:sectPr w:rsidR="00CF134B" w:rsidRPr="00CF134B" w:rsidSect="004D1851">
      <w:head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F6010" w14:textId="77777777" w:rsidR="00762B3A" w:rsidRDefault="00762B3A">
      <w:r>
        <w:separator/>
      </w:r>
    </w:p>
  </w:endnote>
  <w:endnote w:type="continuationSeparator" w:id="0">
    <w:p w14:paraId="6F27DB23" w14:textId="77777777" w:rsidR="00762B3A" w:rsidRDefault="0076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CDDD" w14:textId="71E8601E" w:rsidR="00322D0D" w:rsidRDefault="00322D0D" w:rsidP="00CF134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BADC1" w14:textId="77777777" w:rsidR="00762B3A" w:rsidRDefault="00762B3A">
      <w:r>
        <w:t>____________________</w:t>
      </w:r>
    </w:p>
  </w:footnote>
  <w:footnote w:type="continuationSeparator" w:id="0">
    <w:p w14:paraId="25D95048" w14:textId="77777777" w:rsidR="00762B3A" w:rsidRDefault="0076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C43F" w14:textId="77777777" w:rsidR="00322D0D" w:rsidRDefault="006535F1" w:rsidP="00CE433C">
    <w:pPr>
      <w:pStyle w:val="Header"/>
    </w:pPr>
    <w:r>
      <w:fldChar w:fldCharType="begin"/>
    </w:r>
    <w:r>
      <w:instrText>PAGE</w:instrText>
    </w:r>
    <w:r>
      <w:fldChar w:fldCharType="separate"/>
    </w:r>
    <w:r w:rsidR="00D338E0">
      <w:rPr>
        <w:noProof/>
      </w:rPr>
      <w:t>2</w:t>
    </w:r>
    <w:r>
      <w:rPr>
        <w:noProof/>
      </w:rPr>
      <w:fldChar w:fldCharType="end"/>
    </w:r>
  </w:p>
  <w:p w14:paraId="34EC98F4" w14:textId="708258B9" w:rsidR="00322D0D" w:rsidRPr="00623AE3" w:rsidRDefault="00D338E0" w:rsidP="00D338E0">
    <w:pPr>
      <w:pStyle w:val="Header"/>
      <w:rPr>
        <w:bCs/>
      </w:rPr>
    </w:pPr>
    <w:r w:rsidRPr="00F56668">
      <w:rPr>
        <w:bCs/>
      </w:rPr>
      <w:t>C2</w:t>
    </w:r>
    <w:r w:rsidR="00F56668" w:rsidRPr="00F56668">
      <w:rPr>
        <w:bCs/>
      </w:rPr>
      <w:t>1</w:t>
    </w:r>
    <w:r w:rsidR="00623AE3" w:rsidRPr="00F56668">
      <w:rPr>
        <w:bCs/>
      </w:rPr>
      <w:t>/</w:t>
    </w:r>
    <w:r w:rsidR="0087470C">
      <w:rPr>
        <w:bCs/>
      </w:rPr>
      <w:t>69</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1B67B5"/>
    <w:multiLevelType w:val="hybridMultilevel"/>
    <w:tmpl w:val="745451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518B6"/>
    <w:multiLevelType w:val="hybridMultilevel"/>
    <w:tmpl w:val="ACE4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tTA0Nzc1tDA1MzVQ0lEKTi0uzszPAykwrAUAP8rJeSwAAAA="/>
  </w:docVars>
  <w:rsids>
    <w:rsidRoot w:val="005F3269"/>
    <w:rsid w:val="000056BC"/>
    <w:rsid w:val="000210D4"/>
    <w:rsid w:val="000258D2"/>
    <w:rsid w:val="0002672C"/>
    <w:rsid w:val="000332A8"/>
    <w:rsid w:val="00063016"/>
    <w:rsid w:val="00066795"/>
    <w:rsid w:val="00076AF6"/>
    <w:rsid w:val="00085CF2"/>
    <w:rsid w:val="000B1705"/>
    <w:rsid w:val="000B6A57"/>
    <w:rsid w:val="000D75B2"/>
    <w:rsid w:val="000E057F"/>
    <w:rsid w:val="001121F5"/>
    <w:rsid w:val="001215A3"/>
    <w:rsid w:val="001400DC"/>
    <w:rsid w:val="00140CE1"/>
    <w:rsid w:val="0017539C"/>
    <w:rsid w:val="00175AC2"/>
    <w:rsid w:val="0017609F"/>
    <w:rsid w:val="00177824"/>
    <w:rsid w:val="001873C8"/>
    <w:rsid w:val="00190504"/>
    <w:rsid w:val="001A1A2C"/>
    <w:rsid w:val="001C2040"/>
    <w:rsid w:val="001C628E"/>
    <w:rsid w:val="001E0F7B"/>
    <w:rsid w:val="002119FD"/>
    <w:rsid w:val="002130E0"/>
    <w:rsid w:val="00214243"/>
    <w:rsid w:val="00215A09"/>
    <w:rsid w:val="00251EF0"/>
    <w:rsid w:val="00264425"/>
    <w:rsid w:val="00265875"/>
    <w:rsid w:val="0027303B"/>
    <w:rsid w:val="0028109B"/>
    <w:rsid w:val="002A2188"/>
    <w:rsid w:val="002B1F58"/>
    <w:rsid w:val="002B42EB"/>
    <w:rsid w:val="002C1C7A"/>
    <w:rsid w:val="002E39C5"/>
    <w:rsid w:val="002E7C72"/>
    <w:rsid w:val="0030160F"/>
    <w:rsid w:val="00322D0D"/>
    <w:rsid w:val="0032599A"/>
    <w:rsid w:val="00346A52"/>
    <w:rsid w:val="003942D4"/>
    <w:rsid w:val="003958A8"/>
    <w:rsid w:val="003C2533"/>
    <w:rsid w:val="0040435A"/>
    <w:rsid w:val="00404E11"/>
    <w:rsid w:val="00416A24"/>
    <w:rsid w:val="00417ED0"/>
    <w:rsid w:val="00423DD4"/>
    <w:rsid w:val="00431D9E"/>
    <w:rsid w:val="00433CE8"/>
    <w:rsid w:val="00434A5C"/>
    <w:rsid w:val="004544D9"/>
    <w:rsid w:val="00483244"/>
    <w:rsid w:val="00484AAA"/>
    <w:rsid w:val="00490E72"/>
    <w:rsid w:val="00491157"/>
    <w:rsid w:val="004921C8"/>
    <w:rsid w:val="00494694"/>
    <w:rsid w:val="004D086D"/>
    <w:rsid w:val="004D1851"/>
    <w:rsid w:val="004D599D"/>
    <w:rsid w:val="004E2EA5"/>
    <w:rsid w:val="004E3AEB"/>
    <w:rsid w:val="0050223C"/>
    <w:rsid w:val="0050378B"/>
    <w:rsid w:val="005243FF"/>
    <w:rsid w:val="00552247"/>
    <w:rsid w:val="00564FBC"/>
    <w:rsid w:val="00582442"/>
    <w:rsid w:val="00597E2A"/>
    <w:rsid w:val="005A4D52"/>
    <w:rsid w:val="005B7CFC"/>
    <w:rsid w:val="005D17A6"/>
    <w:rsid w:val="005F3269"/>
    <w:rsid w:val="00623AE3"/>
    <w:rsid w:val="00635AC3"/>
    <w:rsid w:val="00643133"/>
    <w:rsid w:val="0064737F"/>
    <w:rsid w:val="006535F1"/>
    <w:rsid w:val="0065557D"/>
    <w:rsid w:val="00657905"/>
    <w:rsid w:val="00662984"/>
    <w:rsid w:val="006716BB"/>
    <w:rsid w:val="006848DD"/>
    <w:rsid w:val="006B2A67"/>
    <w:rsid w:val="006B6680"/>
    <w:rsid w:val="006B6DCC"/>
    <w:rsid w:val="006F5F82"/>
    <w:rsid w:val="007014FD"/>
    <w:rsid w:val="00702DEF"/>
    <w:rsid w:val="00706861"/>
    <w:rsid w:val="00722181"/>
    <w:rsid w:val="00740A10"/>
    <w:rsid w:val="00740FE3"/>
    <w:rsid w:val="00743A74"/>
    <w:rsid w:val="0075051B"/>
    <w:rsid w:val="00762B3A"/>
    <w:rsid w:val="007703CE"/>
    <w:rsid w:val="00793188"/>
    <w:rsid w:val="00794D34"/>
    <w:rsid w:val="0080527F"/>
    <w:rsid w:val="00813E5E"/>
    <w:rsid w:val="00822076"/>
    <w:rsid w:val="0083581B"/>
    <w:rsid w:val="00864AFF"/>
    <w:rsid w:val="0087470C"/>
    <w:rsid w:val="0088295E"/>
    <w:rsid w:val="00886A4E"/>
    <w:rsid w:val="008A7FCC"/>
    <w:rsid w:val="008B4A6A"/>
    <w:rsid w:val="008C7E27"/>
    <w:rsid w:val="008E0D34"/>
    <w:rsid w:val="009173EF"/>
    <w:rsid w:val="00932906"/>
    <w:rsid w:val="00946109"/>
    <w:rsid w:val="00961B0B"/>
    <w:rsid w:val="009706D4"/>
    <w:rsid w:val="0099568B"/>
    <w:rsid w:val="009B38C3"/>
    <w:rsid w:val="009C3E39"/>
    <w:rsid w:val="009E17BD"/>
    <w:rsid w:val="009E485A"/>
    <w:rsid w:val="009F66A3"/>
    <w:rsid w:val="00A04CEC"/>
    <w:rsid w:val="00A158E0"/>
    <w:rsid w:val="00A27F92"/>
    <w:rsid w:val="00A32257"/>
    <w:rsid w:val="00A36D20"/>
    <w:rsid w:val="00A55622"/>
    <w:rsid w:val="00A83502"/>
    <w:rsid w:val="00A8382F"/>
    <w:rsid w:val="00A934BF"/>
    <w:rsid w:val="00A93619"/>
    <w:rsid w:val="00AC47C8"/>
    <w:rsid w:val="00AD15B3"/>
    <w:rsid w:val="00AD39A0"/>
    <w:rsid w:val="00AF6E49"/>
    <w:rsid w:val="00B04A67"/>
    <w:rsid w:val="00B0583C"/>
    <w:rsid w:val="00B40A81"/>
    <w:rsid w:val="00B41BBA"/>
    <w:rsid w:val="00B44910"/>
    <w:rsid w:val="00B51121"/>
    <w:rsid w:val="00B54A41"/>
    <w:rsid w:val="00B72267"/>
    <w:rsid w:val="00B76EB6"/>
    <w:rsid w:val="00B7737B"/>
    <w:rsid w:val="00B824C8"/>
    <w:rsid w:val="00B93152"/>
    <w:rsid w:val="00BA1FF1"/>
    <w:rsid w:val="00BC251A"/>
    <w:rsid w:val="00BD032B"/>
    <w:rsid w:val="00BD67DE"/>
    <w:rsid w:val="00BE2640"/>
    <w:rsid w:val="00C01189"/>
    <w:rsid w:val="00C2093E"/>
    <w:rsid w:val="00C374DE"/>
    <w:rsid w:val="00C47AD4"/>
    <w:rsid w:val="00C52D81"/>
    <w:rsid w:val="00C55198"/>
    <w:rsid w:val="00C567A6"/>
    <w:rsid w:val="00CA6393"/>
    <w:rsid w:val="00CB18FF"/>
    <w:rsid w:val="00CD0C08"/>
    <w:rsid w:val="00CE03FB"/>
    <w:rsid w:val="00CE433C"/>
    <w:rsid w:val="00CE62EF"/>
    <w:rsid w:val="00CF134B"/>
    <w:rsid w:val="00CF33F3"/>
    <w:rsid w:val="00CF5A9F"/>
    <w:rsid w:val="00CF6552"/>
    <w:rsid w:val="00D06183"/>
    <w:rsid w:val="00D22C42"/>
    <w:rsid w:val="00D338E0"/>
    <w:rsid w:val="00D65041"/>
    <w:rsid w:val="00D671B9"/>
    <w:rsid w:val="00D8774A"/>
    <w:rsid w:val="00DB384B"/>
    <w:rsid w:val="00DE4373"/>
    <w:rsid w:val="00E10E80"/>
    <w:rsid w:val="00E124F0"/>
    <w:rsid w:val="00E24470"/>
    <w:rsid w:val="00E257BB"/>
    <w:rsid w:val="00E60F04"/>
    <w:rsid w:val="00E8193B"/>
    <w:rsid w:val="00E854E4"/>
    <w:rsid w:val="00EA2120"/>
    <w:rsid w:val="00EB0D6F"/>
    <w:rsid w:val="00EB2232"/>
    <w:rsid w:val="00EC5337"/>
    <w:rsid w:val="00EC6572"/>
    <w:rsid w:val="00F15275"/>
    <w:rsid w:val="00F17AA2"/>
    <w:rsid w:val="00F2150A"/>
    <w:rsid w:val="00F231D8"/>
    <w:rsid w:val="00F350DD"/>
    <w:rsid w:val="00F46C5F"/>
    <w:rsid w:val="00F56668"/>
    <w:rsid w:val="00F66D8C"/>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uiPriority w:val="99"/>
    <w:rsid w:val="00CF134B"/>
    <w:rPr>
      <w:rFonts w:ascii="Calibri" w:hAnsi="Calibri"/>
      <w:sz w:val="24"/>
      <w:lang w:val="en-GB" w:eastAsia="en-US"/>
    </w:rPr>
  </w:style>
  <w:style w:type="character" w:styleId="UnresolvedMention">
    <w:name w:val="Unresolved Mention"/>
    <w:basedOn w:val="DefaultParagraphFont"/>
    <w:uiPriority w:val="99"/>
    <w:semiHidden/>
    <w:unhideWhenUsed/>
    <w:rsid w:val="006848DD"/>
    <w:rPr>
      <w:color w:val="605E5C"/>
      <w:shd w:val="clear" w:color="auto" w:fill="E1DFDD"/>
    </w:rPr>
  </w:style>
  <w:style w:type="paragraph" w:styleId="ListParagraph">
    <w:name w:val="List Paragraph"/>
    <w:basedOn w:val="Normal"/>
    <w:uiPriority w:val="34"/>
    <w:qFormat/>
    <w:rsid w:val="00E8193B"/>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styleId="CommentReference">
    <w:name w:val="annotation reference"/>
    <w:basedOn w:val="DefaultParagraphFont"/>
    <w:semiHidden/>
    <w:unhideWhenUsed/>
    <w:rsid w:val="00417ED0"/>
    <w:rPr>
      <w:sz w:val="16"/>
      <w:szCs w:val="16"/>
    </w:rPr>
  </w:style>
  <w:style w:type="paragraph" w:styleId="CommentText">
    <w:name w:val="annotation text"/>
    <w:basedOn w:val="Normal"/>
    <w:link w:val="CommentTextChar"/>
    <w:semiHidden/>
    <w:unhideWhenUsed/>
    <w:rsid w:val="00417ED0"/>
    <w:rPr>
      <w:sz w:val="20"/>
    </w:rPr>
  </w:style>
  <w:style w:type="character" w:customStyle="1" w:styleId="CommentTextChar">
    <w:name w:val="Comment Text Char"/>
    <w:basedOn w:val="DefaultParagraphFont"/>
    <w:link w:val="CommentText"/>
    <w:semiHidden/>
    <w:rsid w:val="00417ED0"/>
    <w:rPr>
      <w:rFonts w:ascii="Calibri" w:hAnsi="Calibri"/>
      <w:lang w:val="en-GB" w:eastAsia="en-US"/>
    </w:rPr>
  </w:style>
  <w:style w:type="paragraph" w:styleId="CommentSubject">
    <w:name w:val="annotation subject"/>
    <w:basedOn w:val="CommentText"/>
    <w:next w:val="CommentText"/>
    <w:link w:val="CommentSubjectChar"/>
    <w:semiHidden/>
    <w:unhideWhenUsed/>
    <w:rsid w:val="00417ED0"/>
    <w:rPr>
      <w:b/>
      <w:bCs/>
    </w:rPr>
  </w:style>
  <w:style w:type="character" w:customStyle="1" w:styleId="CommentSubjectChar">
    <w:name w:val="Comment Subject Char"/>
    <w:basedOn w:val="CommentTextChar"/>
    <w:link w:val="CommentSubject"/>
    <w:semiHidden/>
    <w:rsid w:val="00417ED0"/>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630891">
      <w:bodyDiv w:val="1"/>
      <w:marLeft w:val="0"/>
      <w:marRight w:val="0"/>
      <w:marTop w:val="0"/>
      <w:marBottom w:val="0"/>
      <w:divBdr>
        <w:top w:val="none" w:sz="0" w:space="0" w:color="auto"/>
        <w:left w:val="none" w:sz="0" w:space="0" w:color="auto"/>
        <w:bottom w:val="none" w:sz="0" w:space="0" w:color="auto"/>
        <w:right w:val="none" w:sz="0" w:space="0" w:color="auto"/>
      </w:divBdr>
    </w:div>
    <w:div w:id="20398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docs.org/en/A/RES/72/262" TargetMode="External"/><Relationship Id="rId4" Type="http://schemas.openxmlformats.org/officeDocument/2006/relationships/settings" Target="settings.xml"/><Relationship Id="rId9" Type="http://schemas.openxmlformats.org/officeDocument/2006/relationships/hyperlink" Target="https://www.itu.int/md/S20-CLVC2-C-0012/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963E-0BE0-44B2-8BB2-30F5427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1449</Words>
  <Characters>7151</Characters>
  <Application>Microsoft Office Word</Application>
  <DocSecurity>0</DocSecurity>
  <Lines>59</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C21 Template</vt:lpstr>
      <vt:lpstr>C21 Template</vt:lpstr>
    </vt:vector>
  </TitlesOfParts>
  <Manager>General Secretariat - Pool</Manager>
  <Company>International Telecommunication Union (ITU)</Company>
  <LinksUpToDate>false</LinksUpToDate>
  <CharactersWithSpaces>8583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ITU in the UN Pension Board</dc:title>
  <dc:subject>Council 2021, Virtual consultation of councillors</dc:subject>
  <dc:creator>Brouard, Ricarda</dc:creator>
  <cp:keywords>C2021, C21, VCC</cp:keywords>
  <dc:description/>
  <cp:lastModifiedBy>Brouard, Ricarda</cp:lastModifiedBy>
  <cp:revision>8</cp:revision>
  <cp:lastPrinted>2000-07-18T13:30:00Z</cp:lastPrinted>
  <dcterms:created xsi:type="dcterms:W3CDTF">2021-03-05T16:56:00Z</dcterms:created>
  <dcterms:modified xsi:type="dcterms:W3CDTF">2021-03-12T08:09:00Z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