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852D0" w14:paraId="7CED0DD8" w14:textId="77777777">
        <w:trPr>
          <w:cantSplit/>
        </w:trPr>
        <w:tc>
          <w:tcPr>
            <w:tcW w:w="6912" w:type="dxa"/>
          </w:tcPr>
          <w:p w14:paraId="29C3A6B5" w14:textId="77777777" w:rsidR="00520F36" w:rsidRPr="001852D0" w:rsidRDefault="00520F36" w:rsidP="009A5A2A">
            <w:pPr>
              <w:spacing w:before="360"/>
            </w:pPr>
            <w:bookmarkStart w:id="0" w:name="dc06"/>
            <w:bookmarkEnd w:id="0"/>
            <w:r w:rsidRPr="001852D0">
              <w:rPr>
                <w:b/>
                <w:bCs/>
                <w:sz w:val="30"/>
                <w:szCs w:val="30"/>
              </w:rPr>
              <w:t>Conseil 20</w:t>
            </w:r>
            <w:r w:rsidR="009C353C" w:rsidRPr="001852D0">
              <w:rPr>
                <w:b/>
                <w:bCs/>
                <w:sz w:val="30"/>
                <w:szCs w:val="30"/>
              </w:rPr>
              <w:t>2</w:t>
            </w:r>
            <w:r w:rsidR="004D1D50" w:rsidRPr="001852D0">
              <w:rPr>
                <w:b/>
                <w:bCs/>
                <w:sz w:val="30"/>
                <w:szCs w:val="30"/>
              </w:rPr>
              <w:t>1</w:t>
            </w:r>
            <w:r w:rsidRPr="001852D0">
              <w:rPr>
                <w:rFonts w:ascii="Verdana" w:hAnsi="Verdana"/>
                <w:b/>
                <w:bCs/>
                <w:sz w:val="26"/>
                <w:szCs w:val="26"/>
              </w:rPr>
              <w:br/>
            </w:r>
            <w:r w:rsidR="004D1D50" w:rsidRPr="001852D0">
              <w:rPr>
                <w:b/>
                <w:bCs/>
                <w:sz w:val="28"/>
                <w:szCs w:val="28"/>
              </w:rPr>
              <w:t>Consultation virtuelle des Conseillers</w:t>
            </w:r>
            <w:r w:rsidRPr="001852D0">
              <w:rPr>
                <w:b/>
                <w:bCs/>
                <w:sz w:val="28"/>
                <w:szCs w:val="28"/>
              </w:rPr>
              <w:t xml:space="preserve">, </w:t>
            </w:r>
            <w:r w:rsidR="004D1D50" w:rsidRPr="001852D0">
              <w:rPr>
                <w:b/>
                <w:bCs/>
                <w:sz w:val="28"/>
                <w:szCs w:val="28"/>
              </w:rPr>
              <w:t>8</w:t>
            </w:r>
            <w:r w:rsidRPr="001852D0">
              <w:rPr>
                <w:b/>
                <w:bCs/>
                <w:sz w:val="28"/>
                <w:szCs w:val="28"/>
              </w:rPr>
              <w:t>-</w:t>
            </w:r>
            <w:r w:rsidR="009C353C" w:rsidRPr="001852D0">
              <w:rPr>
                <w:b/>
                <w:bCs/>
                <w:sz w:val="28"/>
                <w:szCs w:val="28"/>
              </w:rPr>
              <w:t>1</w:t>
            </w:r>
            <w:r w:rsidR="004D1D50" w:rsidRPr="001852D0">
              <w:rPr>
                <w:b/>
                <w:bCs/>
                <w:sz w:val="28"/>
                <w:szCs w:val="28"/>
              </w:rPr>
              <w:t>8</w:t>
            </w:r>
            <w:r w:rsidR="00106B19" w:rsidRPr="001852D0">
              <w:rPr>
                <w:b/>
                <w:bCs/>
                <w:sz w:val="28"/>
                <w:szCs w:val="28"/>
              </w:rPr>
              <w:t xml:space="preserve"> juin</w:t>
            </w:r>
            <w:r w:rsidRPr="001852D0">
              <w:rPr>
                <w:b/>
                <w:bCs/>
                <w:sz w:val="28"/>
                <w:szCs w:val="28"/>
              </w:rPr>
              <w:t xml:space="preserve"> 20</w:t>
            </w:r>
            <w:r w:rsidR="009C353C" w:rsidRPr="001852D0">
              <w:rPr>
                <w:b/>
                <w:bCs/>
                <w:sz w:val="28"/>
                <w:szCs w:val="28"/>
              </w:rPr>
              <w:t>2</w:t>
            </w:r>
            <w:r w:rsidR="004D1D50" w:rsidRPr="001852D0">
              <w:rPr>
                <w:b/>
                <w:bCs/>
                <w:sz w:val="28"/>
                <w:szCs w:val="28"/>
              </w:rPr>
              <w:t>1</w:t>
            </w:r>
          </w:p>
        </w:tc>
        <w:tc>
          <w:tcPr>
            <w:tcW w:w="3261" w:type="dxa"/>
          </w:tcPr>
          <w:p w14:paraId="51DF41D3" w14:textId="77777777" w:rsidR="00520F36" w:rsidRPr="001852D0" w:rsidRDefault="009C353C" w:rsidP="009A5A2A">
            <w:pPr>
              <w:spacing w:before="0"/>
            </w:pPr>
            <w:bookmarkStart w:id="1" w:name="ditulogo"/>
            <w:bookmarkEnd w:id="1"/>
            <w:r w:rsidRPr="001852D0">
              <w:rPr>
                <w:noProof/>
                <w:lang w:eastAsia="zh-CN"/>
              </w:rPr>
              <w:drawing>
                <wp:inline distT="0" distB="0" distL="0" distR="0" wp14:anchorId="54CED503" wp14:editId="1DCEC0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852D0" w14:paraId="4E0B2261" w14:textId="77777777" w:rsidTr="00EF41DD">
        <w:trPr>
          <w:cantSplit/>
          <w:trHeight w:val="20"/>
        </w:trPr>
        <w:tc>
          <w:tcPr>
            <w:tcW w:w="6912" w:type="dxa"/>
            <w:tcBorders>
              <w:bottom w:val="single" w:sz="12" w:space="0" w:color="auto"/>
            </w:tcBorders>
            <w:vAlign w:val="center"/>
          </w:tcPr>
          <w:p w14:paraId="2D3921A3" w14:textId="77777777" w:rsidR="00520F36" w:rsidRPr="001852D0" w:rsidRDefault="00520F36" w:rsidP="009A5A2A">
            <w:pPr>
              <w:spacing w:before="0"/>
              <w:rPr>
                <w:b/>
                <w:bCs/>
                <w:sz w:val="26"/>
                <w:szCs w:val="26"/>
              </w:rPr>
            </w:pPr>
          </w:p>
        </w:tc>
        <w:tc>
          <w:tcPr>
            <w:tcW w:w="3261" w:type="dxa"/>
            <w:tcBorders>
              <w:bottom w:val="single" w:sz="12" w:space="0" w:color="auto"/>
            </w:tcBorders>
          </w:tcPr>
          <w:p w14:paraId="03CC41F6" w14:textId="77777777" w:rsidR="00520F36" w:rsidRPr="001852D0" w:rsidRDefault="00520F36" w:rsidP="009A5A2A">
            <w:pPr>
              <w:spacing w:before="0"/>
              <w:rPr>
                <w:b/>
                <w:bCs/>
              </w:rPr>
            </w:pPr>
          </w:p>
        </w:tc>
      </w:tr>
      <w:tr w:rsidR="00520F36" w:rsidRPr="001852D0" w14:paraId="08A1F1CD" w14:textId="77777777">
        <w:trPr>
          <w:cantSplit/>
          <w:trHeight w:val="20"/>
        </w:trPr>
        <w:tc>
          <w:tcPr>
            <w:tcW w:w="6912" w:type="dxa"/>
            <w:tcBorders>
              <w:top w:val="single" w:sz="12" w:space="0" w:color="auto"/>
            </w:tcBorders>
          </w:tcPr>
          <w:p w14:paraId="1C32BCEE" w14:textId="77777777" w:rsidR="00520F36" w:rsidRPr="001852D0" w:rsidRDefault="00520F36" w:rsidP="009A5A2A">
            <w:pPr>
              <w:spacing w:before="0"/>
              <w:rPr>
                <w:smallCaps/>
                <w:sz w:val="22"/>
              </w:rPr>
            </w:pPr>
          </w:p>
        </w:tc>
        <w:tc>
          <w:tcPr>
            <w:tcW w:w="3261" w:type="dxa"/>
            <w:tcBorders>
              <w:top w:val="single" w:sz="12" w:space="0" w:color="auto"/>
            </w:tcBorders>
          </w:tcPr>
          <w:p w14:paraId="6186BA32" w14:textId="77777777" w:rsidR="00520F36" w:rsidRPr="001852D0" w:rsidRDefault="00520F36" w:rsidP="009A5A2A">
            <w:pPr>
              <w:spacing w:before="0"/>
              <w:rPr>
                <w:b/>
                <w:bCs/>
              </w:rPr>
            </w:pPr>
          </w:p>
        </w:tc>
      </w:tr>
      <w:tr w:rsidR="00520F36" w:rsidRPr="001852D0" w14:paraId="41FB2AB5" w14:textId="77777777">
        <w:trPr>
          <w:cantSplit/>
          <w:trHeight w:val="20"/>
        </w:trPr>
        <w:tc>
          <w:tcPr>
            <w:tcW w:w="6912" w:type="dxa"/>
            <w:vMerge w:val="restart"/>
          </w:tcPr>
          <w:p w14:paraId="47C5EC96" w14:textId="71B9D1BF" w:rsidR="00520F36" w:rsidRPr="001852D0" w:rsidRDefault="004C5F34" w:rsidP="009A5A2A">
            <w:pPr>
              <w:spacing w:before="0"/>
              <w:rPr>
                <w:rFonts w:cs="Times"/>
                <w:b/>
                <w:bCs/>
                <w:szCs w:val="24"/>
              </w:rPr>
            </w:pPr>
            <w:bookmarkStart w:id="2" w:name="dnum" w:colFirst="1" w:colLast="1"/>
            <w:bookmarkStart w:id="3" w:name="dmeeting" w:colFirst="0" w:colLast="0"/>
            <w:r w:rsidRPr="001852D0">
              <w:rPr>
                <w:rFonts w:cs="Times"/>
                <w:b/>
                <w:bCs/>
                <w:szCs w:val="24"/>
              </w:rPr>
              <w:t>Point de l'ordre de jour: ADM 24</w:t>
            </w:r>
          </w:p>
        </w:tc>
        <w:tc>
          <w:tcPr>
            <w:tcW w:w="3261" w:type="dxa"/>
          </w:tcPr>
          <w:p w14:paraId="0F12094B" w14:textId="348A971F" w:rsidR="00520F36" w:rsidRPr="001852D0" w:rsidRDefault="00520F36" w:rsidP="009A5A2A">
            <w:pPr>
              <w:spacing w:before="0"/>
              <w:rPr>
                <w:b/>
                <w:bCs/>
              </w:rPr>
            </w:pPr>
            <w:r w:rsidRPr="001852D0">
              <w:rPr>
                <w:b/>
                <w:bCs/>
              </w:rPr>
              <w:t>Document C</w:t>
            </w:r>
            <w:r w:rsidR="009C353C" w:rsidRPr="001852D0">
              <w:rPr>
                <w:b/>
                <w:bCs/>
              </w:rPr>
              <w:t>2</w:t>
            </w:r>
            <w:r w:rsidR="004D1D50" w:rsidRPr="001852D0">
              <w:rPr>
                <w:b/>
                <w:bCs/>
              </w:rPr>
              <w:t>1</w:t>
            </w:r>
            <w:r w:rsidRPr="001852D0">
              <w:rPr>
                <w:b/>
                <w:bCs/>
              </w:rPr>
              <w:t>/</w:t>
            </w:r>
            <w:r w:rsidR="004C5F34" w:rsidRPr="001852D0">
              <w:rPr>
                <w:b/>
                <w:bCs/>
              </w:rPr>
              <w:t>67</w:t>
            </w:r>
            <w:r w:rsidRPr="001852D0">
              <w:rPr>
                <w:b/>
                <w:bCs/>
              </w:rPr>
              <w:t>-F</w:t>
            </w:r>
          </w:p>
        </w:tc>
      </w:tr>
      <w:tr w:rsidR="00520F36" w:rsidRPr="001852D0" w14:paraId="70B6C267" w14:textId="77777777">
        <w:trPr>
          <w:cantSplit/>
          <w:trHeight w:val="20"/>
        </w:trPr>
        <w:tc>
          <w:tcPr>
            <w:tcW w:w="6912" w:type="dxa"/>
            <w:vMerge/>
          </w:tcPr>
          <w:p w14:paraId="5BA23EE3" w14:textId="77777777" w:rsidR="00520F36" w:rsidRPr="001852D0" w:rsidRDefault="00520F36" w:rsidP="009A5A2A">
            <w:pPr>
              <w:shd w:val="solid" w:color="FFFFFF" w:fill="FFFFFF"/>
              <w:spacing w:before="180"/>
              <w:rPr>
                <w:smallCaps/>
              </w:rPr>
            </w:pPr>
            <w:bookmarkStart w:id="4" w:name="ddate" w:colFirst="1" w:colLast="1"/>
            <w:bookmarkEnd w:id="2"/>
            <w:bookmarkEnd w:id="3"/>
          </w:p>
        </w:tc>
        <w:tc>
          <w:tcPr>
            <w:tcW w:w="3261" w:type="dxa"/>
          </w:tcPr>
          <w:p w14:paraId="7A538232" w14:textId="0C7FCF1A" w:rsidR="00520F36" w:rsidRPr="001852D0" w:rsidRDefault="004C5F34" w:rsidP="009A5A2A">
            <w:pPr>
              <w:spacing w:before="0"/>
              <w:rPr>
                <w:b/>
                <w:bCs/>
              </w:rPr>
            </w:pPr>
            <w:r w:rsidRPr="001852D0">
              <w:rPr>
                <w:b/>
                <w:bCs/>
              </w:rPr>
              <w:t>9 mars</w:t>
            </w:r>
            <w:r w:rsidR="00520F36" w:rsidRPr="001852D0">
              <w:rPr>
                <w:b/>
                <w:bCs/>
              </w:rPr>
              <w:t xml:space="preserve"> 20</w:t>
            </w:r>
            <w:r w:rsidR="009C353C" w:rsidRPr="001852D0">
              <w:rPr>
                <w:b/>
                <w:bCs/>
              </w:rPr>
              <w:t>2</w:t>
            </w:r>
            <w:r w:rsidRPr="001852D0">
              <w:rPr>
                <w:b/>
                <w:bCs/>
              </w:rPr>
              <w:t>1</w:t>
            </w:r>
          </w:p>
        </w:tc>
      </w:tr>
      <w:tr w:rsidR="00520F36" w:rsidRPr="001852D0" w14:paraId="4F7D8A5E" w14:textId="77777777">
        <w:trPr>
          <w:cantSplit/>
          <w:trHeight w:val="20"/>
        </w:trPr>
        <w:tc>
          <w:tcPr>
            <w:tcW w:w="6912" w:type="dxa"/>
            <w:vMerge/>
          </w:tcPr>
          <w:p w14:paraId="2E4CEE91" w14:textId="77777777" w:rsidR="00520F36" w:rsidRPr="001852D0" w:rsidRDefault="00520F36" w:rsidP="009A5A2A">
            <w:pPr>
              <w:shd w:val="solid" w:color="FFFFFF" w:fill="FFFFFF"/>
              <w:spacing w:before="180"/>
              <w:rPr>
                <w:smallCaps/>
              </w:rPr>
            </w:pPr>
            <w:bookmarkStart w:id="5" w:name="dorlang" w:colFirst="1" w:colLast="1"/>
            <w:bookmarkEnd w:id="4"/>
          </w:p>
        </w:tc>
        <w:tc>
          <w:tcPr>
            <w:tcW w:w="3261" w:type="dxa"/>
          </w:tcPr>
          <w:p w14:paraId="586901F9" w14:textId="77777777" w:rsidR="00520F36" w:rsidRPr="001852D0" w:rsidRDefault="00520F36" w:rsidP="009A5A2A">
            <w:pPr>
              <w:spacing w:before="0"/>
              <w:rPr>
                <w:b/>
                <w:bCs/>
              </w:rPr>
            </w:pPr>
            <w:r w:rsidRPr="001852D0">
              <w:rPr>
                <w:b/>
                <w:bCs/>
              </w:rPr>
              <w:t>Original: anglais</w:t>
            </w:r>
          </w:p>
        </w:tc>
      </w:tr>
      <w:tr w:rsidR="00520F36" w:rsidRPr="001852D0" w14:paraId="0341D911" w14:textId="77777777">
        <w:trPr>
          <w:cantSplit/>
        </w:trPr>
        <w:tc>
          <w:tcPr>
            <w:tcW w:w="10173" w:type="dxa"/>
            <w:gridSpan w:val="2"/>
          </w:tcPr>
          <w:p w14:paraId="1E321AFB" w14:textId="37438691" w:rsidR="00520F36" w:rsidRPr="001852D0" w:rsidRDefault="004C5F34" w:rsidP="009A5A2A">
            <w:pPr>
              <w:pStyle w:val="Source"/>
            </w:pPr>
            <w:bookmarkStart w:id="6" w:name="dsource" w:colFirst="0" w:colLast="0"/>
            <w:bookmarkEnd w:id="5"/>
            <w:r w:rsidRPr="001852D0">
              <w:t>Rapport du Secrétaire général</w:t>
            </w:r>
          </w:p>
        </w:tc>
      </w:tr>
      <w:tr w:rsidR="00520F36" w:rsidRPr="001852D0" w14:paraId="4681D5E0" w14:textId="77777777">
        <w:trPr>
          <w:cantSplit/>
        </w:trPr>
        <w:tc>
          <w:tcPr>
            <w:tcW w:w="10173" w:type="dxa"/>
            <w:gridSpan w:val="2"/>
          </w:tcPr>
          <w:p w14:paraId="10311867" w14:textId="4D1194A9" w:rsidR="00520F36" w:rsidRPr="001852D0" w:rsidRDefault="004C5F34" w:rsidP="009A5A2A">
            <w:pPr>
              <w:pStyle w:val="Title1"/>
            </w:pPr>
            <w:bookmarkStart w:id="7" w:name="dtitle1" w:colFirst="0" w:colLast="0"/>
            <w:bookmarkEnd w:id="6"/>
            <w:r w:rsidRPr="001852D0">
              <w:t>Résultats de la cMR-19 ayant des incidences financières</w:t>
            </w:r>
          </w:p>
        </w:tc>
      </w:tr>
      <w:bookmarkEnd w:id="7"/>
    </w:tbl>
    <w:p w14:paraId="7DF6D487" w14:textId="77777777" w:rsidR="00520F36" w:rsidRPr="001852D0" w:rsidRDefault="00520F36" w:rsidP="009A5A2A">
      <w:pPr>
        <w:rPr>
          <w:sz w:val="2"/>
          <w:szCs w:val="2"/>
        </w:rPr>
      </w:pPr>
    </w:p>
    <w:tbl>
      <w:tblPr>
        <w:tblW w:w="8788"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520F36" w:rsidRPr="001852D0" w14:paraId="32204A5D" w14:textId="77777777" w:rsidTr="001B50F8">
        <w:trPr>
          <w:trHeight w:val="3372"/>
        </w:trPr>
        <w:tc>
          <w:tcPr>
            <w:tcW w:w="8788" w:type="dxa"/>
            <w:tcBorders>
              <w:top w:val="single" w:sz="12" w:space="0" w:color="auto"/>
              <w:left w:val="single" w:sz="12" w:space="0" w:color="auto"/>
              <w:bottom w:val="single" w:sz="12" w:space="0" w:color="auto"/>
              <w:right w:val="single" w:sz="12" w:space="0" w:color="auto"/>
            </w:tcBorders>
          </w:tcPr>
          <w:p w14:paraId="01443D4D" w14:textId="77777777" w:rsidR="00520F36" w:rsidRPr="001852D0" w:rsidRDefault="00520F36" w:rsidP="001B50F8">
            <w:pPr>
              <w:pStyle w:val="Headingb"/>
              <w:keepNext w:val="0"/>
              <w:keepLines w:val="0"/>
              <w:spacing w:before="60"/>
            </w:pPr>
            <w:r w:rsidRPr="001852D0">
              <w:t>Résumé</w:t>
            </w:r>
          </w:p>
          <w:p w14:paraId="106F5BD5" w14:textId="4D741894" w:rsidR="004C5F34" w:rsidRPr="001852D0" w:rsidRDefault="004C5F34" w:rsidP="009A5A2A">
            <w:r w:rsidRPr="001852D0">
              <w:t>La Conférence mondiale des radiocommunications (CMR-19), qui s'est tenue à Charm</w:t>
            </w:r>
            <w:r w:rsidR="001B50F8" w:rsidRPr="001852D0">
              <w:t> </w:t>
            </w:r>
            <w:r w:rsidRPr="001852D0">
              <w:t>el-Cheikh (Égypte) du 28 octobre au 22 novembre 2019, a adopté un certain nombre de décisions, notamment en ce qui concerne des programmes de travail, et a défini des Questions supplémentaires qui seront étudiées au cours de la nouvelle période d'études.</w:t>
            </w:r>
          </w:p>
          <w:p w14:paraId="159E2E0E" w14:textId="48C1AC5A" w:rsidR="004C5F34" w:rsidRPr="001852D0" w:rsidRDefault="004C5F34" w:rsidP="009A5A2A">
            <w:r w:rsidRPr="001852D0">
              <w:t>Comme indiqué dans le Rapport de la Commission de contrôle budgétaire (</w:t>
            </w:r>
            <w:hyperlink r:id="rId7" w:history="1">
              <w:r w:rsidRPr="001852D0">
                <w:rPr>
                  <w:rStyle w:val="Hyperlink"/>
                </w:rPr>
                <w:t>Document</w:t>
              </w:r>
              <w:r w:rsidR="001B50F8" w:rsidRPr="001852D0">
                <w:rPr>
                  <w:rStyle w:val="Hyperlink"/>
                </w:rPr>
                <w:t> </w:t>
              </w:r>
              <w:r w:rsidRPr="001852D0">
                <w:rPr>
                  <w:rStyle w:val="Hyperlink"/>
                </w:rPr>
                <w:t>337</w:t>
              </w:r>
              <w:r w:rsidRPr="001852D0">
                <w:rPr>
                  <w:rStyle w:val="Hyperlink"/>
                </w:rPr>
                <w:t>(</w:t>
              </w:r>
              <w:r w:rsidRPr="001852D0">
                <w:rPr>
                  <w:rStyle w:val="Hyperlink"/>
                </w:rPr>
                <w:t>Rév.2)</w:t>
              </w:r>
            </w:hyperlink>
            <w:r w:rsidRPr="001852D0">
              <w:t>, Commission 3) de la CMR-19, dans le cadre de ses travaux, la Conférence a identifié des domaines nécessitant des activités</w:t>
            </w:r>
            <w:r w:rsidR="001C0396" w:rsidRPr="001852D0">
              <w:t>,</w:t>
            </w:r>
            <w:r w:rsidRPr="001852D0">
              <w:t xml:space="preserve"> des études et un travail de conception de logiciels supplémentaires, en vue de la mise en œuvre de ses décisions. </w:t>
            </w:r>
            <w:r w:rsidR="009A5A2A" w:rsidRPr="001852D0">
              <w:t xml:space="preserve">Le </w:t>
            </w:r>
            <w:r w:rsidR="000D046A" w:rsidRPr="001852D0">
              <w:t xml:space="preserve">montant </w:t>
            </w:r>
            <w:r w:rsidR="009A5A2A" w:rsidRPr="001852D0">
              <w:t xml:space="preserve">total </w:t>
            </w:r>
            <w:r w:rsidR="000D046A" w:rsidRPr="001852D0">
              <w:t xml:space="preserve">des coûts </w:t>
            </w:r>
            <w:r w:rsidR="009A5A2A" w:rsidRPr="001852D0">
              <w:t xml:space="preserve">pour la réalisation de ces nouveaux travaux a été estimé à </w:t>
            </w:r>
            <w:r w:rsidRPr="001852D0">
              <w:t>1 721 000</w:t>
            </w:r>
            <w:r w:rsidR="009A5A2A" w:rsidRPr="001852D0">
              <w:t xml:space="preserve"> CHF</w:t>
            </w:r>
            <w:r w:rsidRPr="001852D0">
              <w:t xml:space="preserve">. </w:t>
            </w:r>
          </w:p>
          <w:p w14:paraId="5B5EFFF3" w14:textId="1792B150" w:rsidR="00520F36" w:rsidRPr="001852D0" w:rsidRDefault="009A5A2A" w:rsidP="00A80524">
            <w:r w:rsidRPr="001852D0">
              <w:t xml:space="preserve">Les participants à la </w:t>
            </w:r>
            <w:r w:rsidR="004C5F34" w:rsidRPr="001852D0">
              <w:t xml:space="preserve">consultation </w:t>
            </w:r>
            <w:r w:rsidRPr="001852D0">
              <w:t>virtuelle des Conseillers ont examiné le Document</w:t>
            </w:r>
            <w:r w:rsidR="001B50F8" w:rsidRPr="001852D0">
              <w:t> </w:t>
            </w:r>
            <w:r w:rsidR="004C5F34" w:rsidRPr="001852D0">
              <w:t xml:space="preserve">C20/56, </w:t>
            </w:r>
            <w:r w:rsidR="00A80524" w:rsidRPr="001852D0">
              <w:t xml:space="preserve">dans lequel figure la demande de financement formulée par le Secrétaire général </w:t>
            </w:r>
            <w:r w:rsidR="009979E3" w:rsidRPr="001852D0">
              <w:t xml:space="preserve">en vue de </w:t>
            </w:r>
            <w:r w:rsidR="00A80524" w:rsidRPr="001852D0">
              <w:t>la mise en œuvre des décisions de la CMR-19</w:t>
            </w:r>
            <w:r w:rsidR="004C5F34" w:rsidRPr="001852D0">
              <w:t xml:space="preserve">. </w:t>
            </w:r>
            <w:r w:rsidR="00A80524" w:rsidRPr="001852D0">
              <w:t>À ce moment-là,</w:t>
            </w:r>
            <w:r w:rsidR="004C5F34" w:rsidRPr="001852D0">
              <w:t xml:space="preserve"> </w:t>
            </w:r>
            <w:r w:rsidR="00A80524" w:rsidRPr="001852D0">
              <w:t>l</w:t>
            </w:r>
            <w:r w:rsidR="004C5F34" w:rsidRPr="001852D0">
              <w:t xml:space="preserve">e Chef du Département de la gestion des ressources financières </w:t>
            </w:r>
            <w:r w:rsidR="00A80524" w:rsidRPr="001852D0">
              <w:t xml:space="preserve">a </w:t>
            </w:r>
            <w:r w:rsidR="004C5F34" w:rsidRPr="001852D0">
              <w:t>indiqu</w:t>
            </w:r>
            <w:r w:rsidR="00A80524" w:rsidRPr="001852D0">
              <w:t>é</w:t>
            </w:r>
            <w:r w:rsidR="004C5F34" w:rsidRPr="001852D0">
              <w:t xml:space="preserve"> qu'il n'</w:t>
            </w:r>
            <w:r w:rsidR="00A80524" w:rsidRPr="001852D0">
              <w:t xml:space="preserve">était </w:t>
            </w:r>
            <w:r w:rsidR="004C5F34" w:rsidRPr="001852D0">
              <w:t xml:space="preserve">pas nécessaire d'obtenir une décision urgente du Conseil pour permettre le déblocage des économies car le Secrétaire général </w:t>
            </w:r>
            <w:r w:rsidR="00A80524" w:rsidRPr="001852D0">
              <w:t xml:space="preserve">était </w:t>
            </w:r>
            <w:r w:rsidR="004C5F34" w:rsidRPr="001852D0">
              <w:t>autorisé</w:t>
            </w:r>
            <w:r w:rsidR="00A80524" w:rsidRPr="001852D0">
              <w:t xml:space="preserve"> dans l'intérêt de l'Union</w:t>
            </w:r>
            <w:r w:rsidR="004C5F34" w:rsidRPr="001852D0">
              <w:t xml:space="preserve">, en vertu de l'Article 12 du Règlement financier et des Règles financières, à prendre certaines décisions financières dans la limite des ressources disponibles. </w:t>
            </w:r>
            <w:r w:rsidR="00A80524" w:rsidRPr="001852D0">
              <w:t xml:space="preserve">Il a donc été décidé de proposer que le Conseil, à sa prochaine réunion, envisage d'autoriser </w:t>
            </w:r>
            <w:r w:rsidR="004C5F34" w:rsidRPr="001852D0">
              <w:t xml:space="preserve">le Secrétaire général à prendre </w:t>
            </w:r>
            <w:r w:rsidR="00A80524" w:rsidRPr="001852D0">
              <w:t xml:space="preserve">en priorité </w:t>
            </w:r>
            <w:r w:rsidR="004C5F34" w:rsidRPr="001852D0">
              <w:t xml:space="preserve">les mesures </w:t>
            </w:r>
            <w:r w:rsidR="00A80524" w:rsidRPr="001852D0">
              <w:t xml:space="preserve">pertinentes pour allouer </w:t>
            </w:r>
            <w:r w:rsidR="004C5F34" w:rsidRPr="001852D0">
              <w:t xml:space="preserve">des fonds </w:t>
            </w:r>
            <w:r w:rsidR="00A80524" w:rsidRPr="001852D0">
              <w:t xml:space="preserve">provenant des </w:t>
            </w:r>
            <w:r w:rsidR="004C5F34" w:rsidRPr="001852D0">
              <w:t>économies annuelles réalisées dans la mise en œuvre du budget en 202</w:t>
            </w:r>
            <w:r w:rsidR="00A80524" w:rsidRPr="001852D0">
              <w:t>1,</w:t>
            </w:r>
            <w:r w:rsidR="004C5F34" w:rsidRPr="001852D0">
              <w:t xml:space="preserve"> ou </w:t>
            </w:r>
            <w:r w:rsidR="002857A7" w:rsidRPr="001852D0">
              <w:t xml:space="preserve">à </w:t>
            </w:r>
            <w:r w:rsidR="00A80524" w:rsidRPr="001852D0">
              <w:t xml:space="preserve">solliciter des </w:t>
            </w:r>
            <w:r w:rsidR="004C5F34" w:rsidRPr="001852D0">
              <w:t xml:space="preserve">contributions volontaires, </w:t>
            </w:r>
            <w:r w:rsidR="00A80524" w:rsidRPr="001852D0">
              <w:t xml:space="preserve">mais pas à </w:t>
            </w:r>
            <w:r w:rsidR="004C5F34" w:rsidRPr="001852D0">
              <w:t xml:space="preserve">faire </w:t>
            </w:r>
            <w:r w:rsidR="00A80524" w:rsidRPr="001852D0">
              <w:t xml:space="preserve">de </w:t>
            </w:r>
            <w:r w:rsidR="004C5F34" w:rsidRPr="001852D0">
              <w:t>prélèvement sur le Fonds de réserve.</w:t>
            </w:r>
          </w:p>
          <w:p w14:paraId="0200B9F8" w14:textId="4D6B2472" w:rsidR="004C5F34" w:rsidRPr="001852D0" w:rsidRDefault="004C5F34" w:rsidP="009A5A2A">
            <w:pPr>
              <w:rPr>
                <w:b/>
                <w:bCs/>
              </w:rPr>
            </w:pPr>
            <w:r w:rsidRPr="001852D0">
              <w:rPr>
                <w:b/>
                <w:bCs/>
              </w:rPr>
              <w:t>Suite à donner</w:t>
            </w:r>
          </w:p>
          <w:p w14:paraId="262C7F0C" w14:textId="3AAEEE3B" w:rsidR="00A80524" w:rsidRPr="001852D0" w:rsidRDefault="00A80524" w:rsidP="009A5A2A">
            <w:r w:rsidRPr="001852D0">
              <w:t xml:space="preserve">Le Conseil est invité à </w:t>
            </w:r>
            <w:r w:rsidRPr="001852D0">
              <w:rPr>
                <w:b/>
                <w:bCs/>
              </w:rPr>
              <w:t>prendre note</w:t>
            </w:r>
            <w:r w:rsidRPr="001852D0">
              <w:t xml:space="preserve"> du présent rapport et de la possibilité pour le Secrétaire général de soumettre une demande révisée au Conseil à sa session de 2022.</w:t>
            </w:r>
          </w:p>
          <w:p w14:paraId="668DF700" w14:textId="77777777" w:rsidR="00520F36" w:rsidRPr="001852D0" w:rsidRDefault="00520F36" w:rsidP="009A5A2A">
            <w:pPr>
              <w:pStyle w:val="Table"/>
              <w:keepNext w:val="0"/>
              <w:spacing w:before="0" w:after="0"/>
              <w:rPr>
                <w:rFonts w:ascii="Calibri" w:hAnsi="Calibri"/>
                <w:caps w:val="0"/>
                <w:sz w:val="22"/>
                <w:lang w:val="fr-FR"/>
              </w:rPr>
            </w:pPr>
            <w:r w:rsidRPr="001852D0">
              <w:rPr>
                <w:rFonts w:ascii="Calibri" w:hAnsi="Calibri"/>
                <w:caps w:val="0"/>
                <w:sz w:val="22"/>
                <w:lang w:val="fr-FR"/>
              </w:rPr>
              <w:t>____________</w:t>
            </w:r>
          </w:p>
          <w:p w14:paraId="6F49A027" w14:textId="77777777" w:rsidR="00520F36" w:rsidRPr="001852D0" w:rsidRDefault="00520F36" w:rsidP="001B50F8">
            <w:pPr>
              <w:pStyle w:val="Headingb"/>
              <w:spacing w:before="120"/>
            </w:pPr>
            <w:r w:rsidRPr="001852D0">
              <w:t>Références</w:t>
            </w:r>
          </w:p>
          <w:p w14:paraId="546E9A3F" w14:textId="7EF20EE2" w:rsidR="00520F36" w:rsidRPr="001852D0" w:rsidRDefault="001852D0" w:rsidP="001B50F8">
            <w:pPr>
              <w:spacing w:after="60"/>
              <w:rPr>
                <w:i/>
                <w:iCs/>
              </w:rPr>
            </w:pPr>
            <w:hyperlink r:id="rId8" w:history="1">
              <w:r w:rsidR="004C5F34" w:rsidRPr="001852D0">
                <w:rPr>
                  <w:rStyle w:val="Hyperlink"/>
                  <w:i/>
                  <w:iCs/>
                </w:rPr>
                <w:t>Document 337(</w:t>
              </w:r>
              <w:r w:rsidR="004C5F34" w:rsidRPr="001852D0">
                <w:rPr>
                  <w:rStyle w:val="Hyperlink"/>
                  <w:i/>
                  <w:iCs/>
                </w:rPr>
                <w:t>R</w:t>
              </w:r>
              <w:r w:rsidR="009A5A2A" w:rsidRPr="001852D0">
                <w:rPr>
                  <w:rStyle w:val="Hyperlink"/>
                  <w:i/>
                  <w:iCs/>
                </w:rPr>
                <w:t>é</w:t>
              </w:r>
              <w:r w:rsidR="004C5F34" w:rsidRPr="001852D0">
                <w:rPr>
                  <w:rStyle w:val="Hyperlink"/>
                  <w:i/>
                  <w:iCs/>
                </w:rPr>
                <w:t>v.2)</w:t>
              </w:r>
            </w:hyperlink>
            <w:r w:rsidR="009A5A2A" w:rsidRPr="001852D0">
              <w:rPr>
                <w:rStyle w:val="Hyperlink"/>
                <w:i/>
                <w:iCs/>
              </w:rPr>
              <w:t xml:space="preserve"> de la CMR-19</w:t>
            </w:r>
            <w:r w:rsidR="004C5F34" w:rsidRPr="001852D0">
              <w:rPr>
                <w:i/>
                <w:iCs/>
              </w:rPr>
              <w:t xml:space="preserve">, </w:t>
            </w:r>
            <w:hyperlink r:id="rId9" w:history="1">
              <w:r w:rsidR="004C5F34" w:rsidRPr="001852D0">
                <w:rPr>
                  <w:rStyle w:val="Hyperlink"/>
                  <w:i/>
                  <w:iCs/>
                </w:rPr>
                <w:t>CWG</w:t>
              </w:r>
              <w:r w:rsidR="004C5F34" w:rsidRPr="001852D0">
                <w:rPr>
                  <w:rStyle w:val="Hyperlink"/>
                  <w:i/>
                  <w:iCs/>
                </w:rPr>
                <w:t>-</w:t>
              </w:r>
              <w:r w:rsidR="004C5F34" w:rsidRPr="001852D0">
                <w:rPr>
                  <w:rStyle w:val="Hyperlink"/>
                  <w:i/>
                  <w:iCs/>
                </w:rPr>
                <w:t>FHR-11/5</w:t>
              </w:r>
            </w:hyperlink>
            <w:r w:rsidR="004C5F34" w:rsidRPr="001852D0">
              <w:rPr>
                <w:i/>
                <w:iCs/>
              </w:rPr>
              <w:t xml:space="preserve">, </w:t>
            </w:r>
            <w:hyperlink r:id="rId10" w:history="1">
              <w:r w:rsidR="004C5F34" w:rsidRPr="001852D0">
                <w:rPr>
                  <w:rStyle w:val="Hyperlink"/>
                  <w:i/>
                  <w:iCs/>
                </w:rPr>
                <w:t>C2</w:t>
              </w:r>
              <w:r w:rsidR="004C5F34" w:rsidRPr="001852D0">
                <w:rPr>
                  <w:rStyle w:val="Hyperlink"/>
                  <w:i/>
                  <w:iCs/>
                </w:rPr>
                <w:t>0</w:t>
              </w:r>
              <w:r w:rsidR="004C5F34" w:rsidRPr="001852D0">
                <w:rPr>
                  <w:rStyle w:val="Hyperlink"/>
                  <w:i/>
                  <w:iCs/>
                </w:rPr>
                <w:t>/56</w:t>
              </w:r>
            </w:hyperlink>
          </w:p>
        </w:tc>
      </w:tr>
    </w:tbl>
    <w:p w14:paraId="0487CBD8" w14:textId="6F7EF592" w:rsidR="00814A38" w:rsidRPr="001852D0" w:rsidRDefault="00814A38" w:rsidP="009A5A2A">
      <w:pPr>
        <w:pStyle w:val="Heading1"/>
        <w:rPr>
          <w:i/>
          <w:iCs/>
        </w:rPr>
      </w:pPr>
      <w:bookmarkStart w:id="8" w:name="lt_pId315"/>
      <w:r w:rsidRPr="001852D0">
        <w:lastRenderedPageBreak/>
        <w:t>1</w:t>
      </w:r>
      <w:r w:rsidRPr="001852D0">
        <w:tab/>
      </w:r>
      <w:bookmarkEnd w:id="8"/>
      <w:r w:rsidRPr="001852D0">
        <w:t>Introduction</w:t>
      </w:r>
    </w:p>
    <w:p w14:paraId="68A3D30A" w14:textId="7CE66CB4" w:rsidR="00814A38" w:rsidRPr="001852D0" w:rsidRDefault="00814A38" w:rsidP="009A5A2A">
      <w:bookmarkStart w:id="9" w:name="lt_pId316"/>
      <w:r w:rsidRPr="001852D0">
        <w:t>1.1</w:t>
      </w:r>
      <w:r w:rsidRPr="001852D0">
        <w:tab/>
        <w:t xml:space="preserve">La CMR-19 a identifié </w:t>
      </w:r>
      <w:r w:rsidR="000D046A" w:rsidRPr="001852D0">
        <w:t xml:space="preserve">des domaines nécessitant des activités, des études et un travail de conception de logiciels supplémentaires, en vue de la mise en œuvre de ses </w:t>
      </w:r>
      <w:r w:rsidRPr="001852D0">
        <w:t>décisions.</w:t>
      </w:r>
      <w:bookmarkEnd w:id="9"/>
      <w:r w:rsidRPr="001852D0">
        <w:t xml:space="preserve"> </w:t>
      </w:r>
      <w:bookmarkStart w:id="10" w:name="lt_pId317"/>
      <w:r w:rsidRPr="001852D0">
        <w:t>Les coûts estimés pour la réalisation de ces nouveaux travaux sont de l'ordre de 1,721 million CHF.</w:t>
      </w:r>
      <w:bookmarkEnd w:id="10"/>
      <w:r w:rsidRPr="001852D0">
        <w:t xml:space="preserve"> </w:t>
      </w:r>
      <w:bookmarkStart w:id="11" w:name="lt_pId318"/>
      <w:r w:rsidRPr="001852D0">
        <w:t xml:space="preserve">La répartition des coûts telle qu'elle est estimée est reproduite dans le </w:t>
      </w:r>
      <w:r w:rsidRPr="001852D0">
        <w:rPr>
          <w:b/>
        </w:rPr>
        <w:t>Tableau 1</w:t>
      </w:r>
      <w:r w:rsidRPr="001852D0">
        <w:t>.</w:t>
      </w:r>
      <w:bookmarkEnd w:id="11"/>
    </w:p>
    <w:p w14:paraId="6FE421F6" w14:textId="42AC7735" w:rsidR="00814A38" w:rsidRPr="001852D0" w:rsidRDefault="00814A38" w:rsidP="009A5A2A">
      <w:bookmarkStart w:id="12" w:name="lt_pId319"/>
      <w:r w:rsidRPr="001852D0">
        <w:t>1.2</w:t>
      </w:r>
      <w:r w:rsidRPr="001852D0">
        <w:tab/>
        <w:t>La CMR-19 a prié le Secrétaire général de porter cette question à l'attention de la session de 2020 du Conseil, afin d'examiner la méthode la plus efficace pour financer ces activités, celles-ci devant être menées à bien avant la prochaine Conférence mondiale des radiocommunications, qui se tiendra en 2023.</w:t>
      </w:r>
      <w:bookmarkEnd w:id="12"/>
    </w:p>
    <w:p w14:paraId="6D6609B0" w14:textId="7F364871" w:rsidR="00814A38" w:rsidRPr="001852D0" w:rsidRDefault="00814A38" w:rsidP="009A5A2A">
      <w:pPr>
        <w:pStyle w:val="Heading1"/>
      </w:pPr>
      <w:r w:rsidRPr="001852D0">
        <w:t>2</w:t>
      </w:r>
      <w:r w:rsidRPr="001852D0">
        <w:tab/>
      </w:r>
      <w:r w:rsidR="002857A7" w:rsidRPr="001852D0">
        <w:t>Examen par la c</w:t>
      </w:r>
      <w:r w:rsidRPr="001852D0">
        <w:t xml:space="preserve">onsultation </w:t>
      </w:r>
      <w:r w:rsidR="002857A7" w:rsidRPr="001852D0">
        <w:t>virtuelle des Conseillers</w:t>
      </w:r>
    </w:p>
    <w:p w14:paraId="1DF7D9D3" w14:textId="66677B67" w:rsidR="00814A38" w:rsidRPr="001852D0" w:rsidRDefault="00814A38" w:rsidP="009A5A2A">
      <w:r w:rsidRPr="001852D0">
        <w:t>2.1</w:t>
      </w:r>
      <w:r w:rsidRPr="001852D0">
        <w:tab/>
        <w:t xml:space="preserve">Compte tenu de la pandémie de COVID-19, aucune réunion du Conseil de l'UIT ne s'est tenue en présentiel en 2020. Les participants à la première consultation virtuelle des Conseillers, qui s'est déroulée du 9 au 12 juin 2020, ont procédé à l'examen des financements demandés pour la mise en œuvre des résultats de la CMR-19, qui leur ont été exposés dans le Document </w:t>
      </w:r>
      <w:hyperlink r:id="rId11" w:history="1">
        <w:r w:rsidRPr="001852D0">
          <w:rPr>
            <w:rStyle w:val="Hyperlink"/>
          </w:rPr>
          <w:t>C20</w:t>
        </w:r>
        <w:r w:rsidRPr="001852D0">
          <w:rPr>
            <w:rStyle w:val="Hyperlink"/>
          </w:rPr>
          <w:t>/</w:t>
        </w:r>
        <w:r w:rsidRPr="001852D0">
          <w:rPr>
            <w:rStyle w:val="Hyperlink"/>
          </w:rPr>
          <w:t>56</w:t>
        </w:r>
      </w:hyperlink>
      <w:r w:rsidRPr="001852D0">
        <w:t xml:space="preserve"> du Conseil. À l'issue de la première consultation virtuelle des Conseillers, ces derniers ont proposé au Conseil, à sa prochaine réunion physique, d'autoriser le Secrétaire général à prendre en priorité les mesures pertinentes pour:</w:t>
      </w:r>
    </w:p>
    <w:p w14:paraId="486C2614" w14:textId="77777777" w:rsidR="00814A38" w:rsidRPr="001852D0" w:rsidRDefault="00814A38" w:rsidP="009A5A2A">
      <w:pPr>
        <w:pStyle w:val="enumlev1"/>
      </w:pPr>
      <w:r w:rsidRPr="001852D0">
        <w:t>•</w:t>
      </w:r>
      <w:r w:rsidRPr="001852D0">
        <w:tab/>
        <w:t>allouer des fonds provenant des économies annuelles réalisées dans la mise en œuvre du budget en 2020; ou</w:t>
      </w:r>
    </w:p>
    <w:p w14:paraId="77FDB078" w14:textId="77777777" w:rsidR="00814A38" w:rsidRPr="001852D0" w:rsidRDefault="00814A38" w:rsidP="009A5A2A">
      <w:pPr>
        <w:pStyle w:val="enumlev1"/>
      </w:pPr>
      <w:r w:rsidRPr="001852D0">
        <w:t>•</w:t>
      </w:r>
      <w:r w:rsidRPr="001852D0">
        <w:tab/>
        <w:t>solliciter des contributions volontaires;</w:t>
      </w:r>
    </w:p>
    <w:p w14:paraId="5A67D850" w14:textId="57F636CF" w:rsidR="00814A38" w:rsidRPr="001852D0" w:rsidRDefault="00814A38" w:rsidP="009A5A2A">
      <w:pPr>
        <w:pStyle w:val="enumlev1"/>
      </w:pPr>
      <w:r w:rsidRPr="001852D0">
        <w:t>•</w:t>
      </w:r>
      <w:r w:rsidRPr="001852D0">
        <w:tab/>
        <w:t>mais pas faire de prélèvements sur le Fonds de réserve.</w:t>
      </w:r>
    </w:p>
    <w:p w14:paraId="1BA189C7" w14:textId="0E9B1D3E" w:rsidR="00814A38" w:rsidRPr="001852D0" w:rsidRDefault="00814A38" w:rsidP="009A5A2A">
      <w:pPr>
        <w:pStyle w:val="Heading1"/>
      </w:pPr>
      <w:r w:rsidRPr="001852D0">
        <w:t>3</w:t>
      </w:r>
      <w:r w:rsidRPr="001852D0">
        <w:tab/>
      </w:r>
      <w:r w:rsidR="002857A7" w:rsidRPr="001852D0">
        <w:t>Mesures de suivi après la première consultation virtuelle des Conseillers</w:t>
      </w:r>
    </w:p>
    <w:p w14:paraId="5CE2647B" w14:textId="5686D045" w:rsidR="00814A38" w:rsidRPr="001852D0" w:rsidRDefault="00814A38" w:rsidP="009A5A2A">
      <w:r w:rsidRPr="001852D0">
        <w:t>3.1</w:t>
      </w:r>
      <w:r w:rsidRPr="001852D0">
        <w:tab/>
        <w:t xml:space="preserve">Après la première consultation virtuelle des Conseillers, les prévisions de mise en œuvre de l'UIT pour 2020 indiquaient d'importantes économies prévues pour le budget de l'UIT-R, de l'ordre de 3 millions CHF. </w:t>
      </w:r>
      <w:r w:rsidR="002857A7" w:rsidRPr="001852D0">
        <w:t xml:space="preserve">Compte tenu de l'entrée en vigueur de l'édition </w:t>
      </w:r>
      <w:r w:rsidR="008665CA" w:rsidRPr="001852D0">
        <w:t xml:space="preserve">de </w:t>
      </w:r>
      <w:r w:rsidR="002857A7" w:rsidRPr="001852D0">
        <w:t xml:space="preserve">2020 du Règlement des radiocommunications le 1er janvier 2021 et du caractère urgent de la </w:t>
      </w:r>
      <w:r w:rsidR="002F28B1" w:rsidRPr="001852D0">
        <w:t xml:space="preserve">réalisation </w:t>
      </w:r>
      <w:r w:rsidR="002857A7" w:rsidRPr="001852D0">
        <w:t xml:space="preserve">par le BR des travaux de développement informatique postérieurs à la CMR-19, </w:t>
      </w:r>
      <w:r w:rsidR="002F28B1" w:rsidRPr="001852D0">
        <w:t>l'octroi d'</w:t>
      </w:r>
      <w:r w:rsidR="002857A7" w:rsidRPr="001852D0">
        <w:t>un montant total de 925</w:t>
      </w:r>
      <w:r w:rsidR="002F28B1" w:rsidRPr="001852D0">
        <w:t> </w:t>
      </w:r>
      <w:r w:rsidR="002857A7" w:rsidRPr="001852D0">
        <w:t>000</w:t>
      </w:r>
      <w:r w:rsidR="002F28B1" w:rsidRPr="001852D0">
        <w:t> CHF</w:t>
      </w:r>
      <w:r w:rsidR="002857A7" w:rsidRPr="001852D0">
        <w:t xml:space="preserve"> </w:t>
      </w:r>
      <w:r w:rsidR="002F28B1" w:rsidRPr="001852D0">
        <w:t xml:space="preserve">à cette fin </w:t>
      </w:r>
      <w:r w:rsidR="002857A7" w:rsidRPr="001852D0">
        <w:t xml:space="preserve">a été </w:t>
      </w:r>
      <w:r w:rsidR="002F28B1" w:rsidRPr="001852D0">
        <w:t xml:space="preserve">appuyé </w:t>
      </w:r>
      <w:r w:rsidR="002857A7" w:rsidRPr="001852D0">
        <w:t xml:space="preserve">par les </w:t>
      </w:r>
      <w:r w:rsidR="008665CA" w:rsidRPr="001852D0">
        <w:t>C</w:t>
      </w:r>
      <w:r w:rsidR="002857A7" w:rsidRPr="001852D0">
        <w:t xml:space="preserve">onseillers lors de la </w:t>
      </w:r>
      <w:r w:rsidR="002F28B1" w:rsidRPr="001852D0">
        <w:t>première consultation virtuelle</w:t>
      </w:r>
      <w:r w:rsidR="002857A7" w:rsidRPr="001852D0">
        <w:t xml:space="preserve">. </w:t>
      </w:r>
      <w:r w:rsidRPr="001852D0">
        <w:t>En conséquence, le BR a demandé</w:t>
      </w:r>
      <w:r w:rsidR="008C5D2B" w:rsidRPr="001852D0">
        <w:t xml:space="preserve"> l'utilisation d'</w:t>
      </w:r>
      <w:r w:rsidRPr="001852D0">
        <w:t xml:space="preserve">une partie limitée du budget de l'UIT-R </w:t>
      </w:r>
      <w:r w:rsidR="006A78FC" w:rsidRPr="001852D0">
        <w:t xml:space="preserve">de </w:t>
      </w:r>
      <w:r w:rsidRPr="001852D0">
        <w:t xml:space="preserve">2020 </w:t>
      </w:r>
      <w:r w:rsidR="008C5D2B" w:rsidRPr="001852D0">
        <w:t xml:space="preserve">pour la réalisation </w:t>
      </w:r>
      <w:r w:rsidRPr="001852D0">
        <w:t>des travaux de développement informatique nécessaires à la mise en œuvre des décisions de la CMR-19</w:t>
      </w:r>
      <w:r w:rsidR="008C5D2B" w:rsidRPr="001852D0">
        <w:t>, et le Secrétaire général, qui fait autorité en matière de budget, a donné son approbation</w:t>
      </w:r>
      <w:r w:rsidRPr="001852D0">
        <w:t>.</w:t>
      </w:r>
    </w:p>
    <w:p w14:paraId="1BD1A5B5" w14:textId="5DB538F0" w:rsidR="00897553" w:rsidRPr="001852D0" w:rsidRDefault="00814A38" w:rsidP="009A5A2A">
      <w:r w:rsidRPr="001852D0">
        <w:t>3.2</w:t>
      </w:r>
      <w:r w:rsidRPr="001852D0">
        <w:tab/>
        <w:t xml:space="preserve">Le financement des 796 000 CHF restants qui, selon les estimations de la CMR-19, seraient nécessaires pour les travaux préparatoires visant des points spécifiques inscrits à l'ordre du jour de la CMR-23, n'a pas été </w:t>
      </w:r>
      <w:r w:rsidR="007E511E" w:rsidRPr="001852D0">
        <w:t>assuré</w:t>
      </w:r>
      <w:r w:rsidRPr="001852D0">
        <w:t xml:space="preserve">. </w:t>
      </w:r>
      <w:r w:rsidR="003D7092" w:rsidRPr="001852D0">
        <w:t xml:space="preserve">Étant donné </w:t>
      </w:r>
      <w:r w:rsidRPr="001852D0">
        <w:t xml:space="preserve">que les réunions des Commissions d'études et des Groupes de travail de l'UIT-R se tiennent actuellement de manière virtuelle, </w:t>
      </w:r>
      <w:r w:rsidR="007E511E" w:rsidRPr="001852D0">
        <w:t>l</w:t>
      </w:r>
      <w:r w:rsidRPr="001852D0">
        <w:t xml:space="preserve">es estimations </w:t>
      </w:r>
      <w:r w:rsidR="007E511E" w:rsidRPr="001852D0">
        <w:t xml:space="preserve">faites par la CMR-19 </w:t>
      </w:r>
      <w:r w:rsidRPr="001852D0">
        <w:t>doivent être revues et révisées au moment opportun, lorsqu'il sera possible de prévoir un retour aux réunions en présentiel pour les Commissions d'études de l'UIT-R et les Groupes de travail qui leur sont rattachés. Le Tableau 1 fait le point sur le financement de la mise en œuvre des décisions de la CMR-19.</w:t>
      </w:r>
    </w:p>
    <w:p w14:paraId="5E09FC05" w14:textId="7A6C7629" w:rsidR="00814A38" w:rsidRPr="001852D0" w:rsidRDefault="00814A38" w:rsidP="009A5A2A">
      <w:pPr>
        <w:pStyle w:val="Heading1"/>
      </w:pPr>
      <w:r w:rsidRPr="001852D0">
        <w:lastRenderedPageBreak/>
        <w:t>4</w:t>
      </w:r>
      <w:r w:rsidRPr="001852D0">
        <w:tab/>
      </w:r>
      <w:r w:rsidR="002857A7" w:rsidRPr="001852D0">
        <w:t>Demande adressée au Conseil à sa session de 20</w:t>
      </w:r>
      <w:r w:rsidRPr="001852D0">
        <w:t>21</w:t>
      </w:r>
    </w:p>
    <w:p w14:paraId="431958E7" w14:textId="29D0FBD8" w:rsidR="007E511E" w:rsidRPr="001852D0" w:rsidRDefault="007E511E" w:rsidP="00B160B5">
      <w:r w:rsidRPr="001852D0">
        <w:t>4.1</w:t>
      </w:r>
      <w:r w:rsidRPr="001852D0">
        <w:tab/>
        <w:t xml:space="preserve">Les fonds supplémentaires pour les travaux de développement informatique nécessaires à la mise en œuvre des décisions de la CMR-19 ont été alloués par la réaffectation de fonds du budget du BR de 2020. Les </w:t>
      </w:r>
      <w:r w:rsidR="003D7092" w:rsidRPr="001852D0">
        <w:t xml:space="preserve">prévisions de fonds nécessaires </w:t>
      </w:r>
      <w:r w:rsidR="009F6844" w:rsidRPr="001852D0">
        <w:t>aux fins d</w:t>
      </w:r>
      <w:r w:rsidRPr="001852D0">
        <w:t xml:space="preserve">'organisation et </w:t>
      </w:r>
      <w:r w:rsidR="001C0396" w:rsidRPr="001852D0">
        <w:t xml:space="preserve">d'appui aux </w:t>
      </w:r>
      <w:r w:rsidR="003D7092" w:rsidRPr="001852D0">
        <w:t xml:space="preserve">réunions </w:t>
      </w:r>
      <w:r w:rsidRPr="001852D0">
        <w:t xml:space="preserve">dans le cadre des études préparatoires </w:t>
      </w:r>
      <w:r w:rsidR="003D7092" w:rsidRPr="001852D0">
        <w:t xml:space="preserve">en vue </w:t>
      </w:r>
      <w:r w:rsidRPr="001852D0">
        <w:t>de la CMR-23 au titre de la Résolution 245 (CMR-19) et de la Résolution 235 (CMR-15) devront être révisé</w:t>
      </w:r>
      <w:r w:rsidR="003D7092" w:rsidRPr="001852D0">
        <w:t>e</w:t>
      </w:r>
      <w:r w:rsidRPr="001852D0">
        <w:t xml:space="preserve">s en temps voulu, une fois </w:t>
      </w:r>
      <w:r w:rsidR="003D7092" w:rsidRPr="001852D0">
        <w:t xml:space="preserve">que la décision aura été prise </w:t>
      </w:r>
      <w:r w:rsidRPr="001852D0">
        <w:t xml:space="preserve">de revenir à des réunions </w:t>
      </w:r>
      <w:r w:rsidR="003D7092" w:rsidRPr="001852D0">
        <w:t xml:space="preserve">en présentiel </w:t>
      </w:r>
      <w:r w:rsidRPr="001852D0">
        <w:t xml:space="preserve">des </w:t>
      </w:r>
      <w:r w:rsidR="006A78FC" w:rsidRPr="001852D0">
        <w:t>C</w:t>
      </w:r>
      <w:r w:rsidRPr="001852D0">
        <w:t xml:space="preserve">ommissions d'études de l'UIT-R et de leurs </w:t>
      </w:r>
      <w:r w:rsidR="006A78FC" w:rsidRPr="001852D0">
        <w:t>G</w:t>
      </w:r>
      <w:r w:rsidRPr="001852D0">
        <w:t xml:space="preserve">roupes de travail. Toutefois, </w:t>
      </w:r>
      <w:r w:rsidR="003D7092" w:rsidRPr="001852D0">
        <w:t>étant donné que les réunions</w:t>
      </w:r>
      <w:r w:rsidR="006A78FC" w:rsidRPr="001852D0">
        <w:t xml:space="preserve"> de l'UIT-R</w:t>
      </w:r>
      <w:r w:rsidR="003D7092" w:rsidRPr="001852D0">
        <w:t xml:space="preserve"> se tiennent de manière virtuelle</w:t>
      </w:r>
      <w:r w:rsidRPr="001852D0">
        <w:t xml:space="preserve">, le BR conclura très probablement qu'il peut couvrir les coûts </w:t>
      </w:r>
      <w:r w:rsidR="009F6844" w:rsidRPr="001852D0">
        <w:t xml:space="preserve">liés à </w:t>
      </w:r>
      <w:r w:rsidRPr="001852D0">
        <w:t xml:space="preserve">ces études dans le cadre de son budget annuel </w:t>
      </w:r>
      <w:r w:rsidR="006A78FC" w:rsidRPr="001852D0">
        <w:t xml:space="preserve">pour </w:t>
      </w:r>
      <w:r w:rsidRPr="001852D0">
        <w:t>2021.</w:t>
      </w:r>
    </w:p>
    <w:p w14:paraId="75F810B3" w14:textId="135CBD55" w:rsidR="007E511E" w:rsidRPr="001852D0" w:rsidRDefault="007E511E" w:rsidP="00B160B5">
      <w:r w:rsidRPr="001852D0">
        <w:t>4.2</w:t>
      </w:r>
      <w:r w:rsidRPr="001852D0">
        <w:tab/>
        <w:t>Par conséquent, il est demandé au Conseil de prendre note du présent rapport et de reporter au Conseil</w:t>
      </w:r>
      <w:r w:rsidR="006A78FC" w:rsidRPr="001852D0">
        <w:t>,</w:t>
      </w:r>
      <w:r w:rsidRPr="001852D0">
        <w:t xml:space="preserve"> </w:t>
      </w:r>
      <w:r w:rsidR="003D7092" w:rsidRPr="001852D0">
        <w:t xml:space="preserve">à sa session de </w:t>
      </w:r>
      <w:r w:rsidRPr="001852D0">
        <w:t>2022</w:t>
      </w:r>
      <w:r w:rsidR="006A78FC" w:rsidRPr="001852D0">
        <w:t>,</w:t>
      </w:r>
      <w:r w:rsidRPr="001852D0">
        <w:t xml:space="preserve"> l'examen d'une demande révisée, uniquement si </w:t>
      </w:r>
      <w:r w:rsidR="003D7092" w:rsidRPr="001852D0">
        <w:t xml:space="preserve">cela est </w:t>
      </w:r>
      <w:r w:rsidRPr="001852D0">
        <w:t xml:space="preserve">nécessaire, de fonds supplémentaires </w:t>
      </w:r>
      <w:r w:rsidR="009F6844" w:rsidRPr="001852D0">
        <w:t>aux fins d</w:t>
      </w:r>
      <w:r w:rsidRPr="001852D0">
        <w:t xml:space="preserve">'organisation et </w:t>
      </w:r>
      <w:r w:rsidR="001C0396" w:rsidRPr="001852D0">
        <w:t xml:space="preserve">d'appui aux </w:t>
      </w:r>
      <w:r w:rsidRPr="001852D0">
        <w:t xml:space="preserve">réunions dans le cadre des activités préparatoires </w:t>
      </w:r>
      <w:r w:rsidR="003D7092" w:rsidRPr="001852D0">
        <w:t xml:space="preserve">en vue </w:t>
      </w:r>
      <w:r w:rsidRPr="001852D0">
        <w:t>de la CMR-23 spécifiées ci-dessus.</w:t>
      </w:r>
    </w:p>
    <w:p w14:paraId="5BA148F3" w14:textId="094B5BE4" w:rsidR="00814A38" w:rsidRPr="001852D0" w:rsidRDefault="00814A38" w:rsidP="009A5A2A">
      <w:pPr>
        <w:rPr>
          <w:rFonts w:asciiTheme="minorHAnsi" w:hAnsiTheme="minorHAnsi" w:cstheme="minorHAnsi"/>
        </w:rPr>
      </w:pPr>
      <w:r w:rsidRPr="001852D0">
        <w:rPr>
          <w:rFonts w:asciiTheme="minorHAnsi" w:hAnsiTheme="minorHAnsi" w:cstheme="minorHAnsi"/>
        </w:rPr>
        <w:br w:type="page"/>
      </w:r>
    </w:p>
    <w:p w14:paraId="0D1C11E3" w14:textId="77777777" w:rsidR="00814A38" w:rsidRPr="001852D0" w:rsidRDefault="00814A38" w:rsidP="00B160B5">
      <w:pPr>
        <w:pStyle w:val="TableNo"/>
      </w:pPr>
      <w:r w:rsidRPr="001852D0">
        <w:lastRenderedPageBreak/>
        <w:t>TABLEAU 1</w:t>
      </w:r>
    </w:p>
    <w:p w14:paraId="08E6E5FE" w14:textId="77777777" w:rsidR="00814A38" w:rsidRPr="001852D0" w:rsidRDefault="00814A38" w:rsidP="009A5A2A">
      <w:pPr>
        <w:pStyle w:val="Tabletitle"/>
        <w:rPr>
          <w:szCs w:val="24"/>
        </w:rPr>
      </w:pPr>
      <w:r w:rsidRPr="001852D0">
        <w:rPr>
          <w:szCs w:val="24"/>
        </w:rPr>
        <w:t>Résumé des coûts estimés</w:t>
      </w:r>
    </w:p>
    <w:tbl>
      <w:tblPr>
        <w:tblW w:w="10206" w:type="dxa"/>
        <w:jc w:val="center"/>
        <w:tblLook w:val="04A0" w:firstRow="1" w:lastRow="0" w:firstColumn="1" w:lastColumn="0" w:noHBand="0" w:noVBand="1"/>
      </w:tblPr>
      <w:tblGrid>
        <w:gridCol w:w="1560"/>
        <w:gridCol w:w="3442"/>
        <w:gridCol w:w="2936"/>
        <w:gridCol w:w="1134"/>
        <w:gridCol w:w="1134"/>
      </w:tblGrid>
      <w:tr w:rsidR="00814A38" w:rsidRPr="001852D0" w14:paraId="5CBAB5F1" w14:textId="77777777" w:rsidTr="009A007F">
        <w:trPr>
          <w:tblHeader/>
          <w:jc w:val="center"/>
        </w:trPr>
        <w:tc>
          <w:tcPr>
            <w:tcW w:w="1560" w:type="dxa"/>
            <w:tcBorders>
              <w:bottom w:val="single" w:sz="4" w:space="0" w:color="auto"/>
              <w:right w:val="single" w:sz="4" w:space="0" w:color="auto"/>
            </w:tcBorders>
          </w:tcPr>
          <w:p w14:paraId="1D12016A" w14:textId="77777777" w:rsidR="00814A38" w:rsidRPr="001852D0" w:rsidRDefault="00814A38" w:rsidP="009A5A2A">
            <w:pPr>
              <w:pStyle w:val="Tabletext"/>
              <w:jc w:val="center"/>
              <w:rPr>
                <w:b/>
                <w:color w:val="000000" w:themeColor="text1"/>
              </w:rPr>
            </w:pPr>
          </w:p>
        </w:tc>
        <w:tc>
          <w:tcPr>
            <w:tcW w:w="3442"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6CD0591" w14:textId="77777777" w:rsidR="00814A38" w:rsidRPr="001852D0" w:rsidRDefault="00814A38" w:rsidP="009A5A2A">
            <w:pPr>
              <w:pStyle w:val="Tablehead"/>
              <w:rPr>
                <w:rFonts w:eastAsiaTheme="minorEastAsia"/>
              </w:rPr>
            </w:pPr>
            <w:r w:rsidRPr="001852D0">
              <w:rPr>
                <w:rFonts w:eastAsiaTheme="minorEastAsia"/>
              </w:rPr>
              <w:t xml:space="preserve">Décisions pertinentes </w:t>
            </w:r>
            <w:r w:rsidRPr="001852D0">
              <w:rPr>
                <w:rFonts w:eastAsiaTheme="minorEastAsia"/>
              </w:rPr>
              <w:br/>
              <w:t>de la CMR</w:t>
            </w:r>
            <w:r w:rsidRPr="001852D0">
              <w:rPr>
                <w:rFonts w:eastAsiaTheme="minorEastAsia"/>
              </w:rPr>
              <w:noBreakHyphen/>
              <w:t>19</w:t>
            </w:r>
          </w:p>
        </w:tc>
        <w:tc>
          <w:tcPr>
            <w:tcW w:w="29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5B5F26" w14:textId="77777777" w:rsidR="00814A38" w:rsidRPr="001852D0" w:rsidRDefault="00814A38" w:rsidP="009A5A2A">
            <w:pPr>
              <w:pStyle w:val="Tablehead"/>
              <w:rPr>
                <w:rFonts w:eastAsiaTheme="minorEastAsia"/>
              </w:rPr>
            </w:pPr>
            <w:r w:rsidRPr="001852D0">
              <w:rPr>
                <w:rFonts w:eastAsiaTheme="minorEastAsia"/>
              </w:rPr>
              <w:t>Appui nécessaire</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5DF59E" w14:textId="77777777" w:rsidR="00814A38" w:rsidRPr="001852D0" w:rsidRDefault="00814A38" w:rsidP="009A5A2A">
            <w:pPr>
              <w:pStyle w:val="Tablehead"/>
              <w:rPr>
                <w:rFonts w:eastAsiaTheme="minorEastAsia"/>
              </w:rPr>
            </w:pPr>
            <w:r w:rsidRPr="001852D0">
              <w:rPr>
                <w:rFonts w:eastAsiaTheme="minorEastAsia"/>
              </w:rPr>
              <w:t>Montant CHF</w:t>
            </w:r>
          </w:p>
        </w:tc>
        <w:tc>
          <w:tcPr>
            <w:tcW w:w="1134" w:type="dxa"/>
            <w:tcBorders>
              <w:top w:val="single" w:sz="8" w:space="0" w:color="auto"/>
              <w:left w:val="nil"/>
              <w:bottom w:val="single" w:sz="8" w:space="0" w:color="auto"/>
              <w:right w:val="single" w:sz="8" w:space="0" w:color="auto"/>
            </w:tcBorders>
            <w:shd w:val="clear" w:color="auto" w:fill="auto"/>
          </w:tcPr>
          <w:p w14:paraId="6DA48CCE" w14:textId="77777777" w:rsidR="00814A38" w:rsidRPr="001852D0" w:rsidRDefault="00814A38" w:rsidP="009A5A2A">
            <w:pPr>
              <w:pStyle w:val="Tablehead"/>
              <w:rPr>
                <w:rFonts w:eastAsiaTheme="minorEastAsia"/>
              </w:rPr>
            </w:pPr>
            <w:r w:rsidRPr="001852D0">
              <w:rPr>
                <w:rFonts w:eastAsiaTheme="minorEastAsia"/>
              </w:rPr>
              <w:t xml:space="preserve">Total </w:t>
            </w:r>
            <w:r w:rsidRPr="001852D0">
              <w:rPr>
                <w:rFonts w:eastAsiaTheme="minorEastAsia"/>
              </w:rPr>
              <w:br/>
              <w:t>CHF</w:t>
            </w:r>
          </w:p>
        </w:tc>
      </w:tr>
      <w:tr w:rsidR="00814A38" w:rsidRPr="001852D0" w14:paraId="6B8DA10F" w14:textId="77777777" w:rsidTr="009A007F">
        <w:trPr>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1E2C92E" w14:textId="77777777" w:rsidR="00814A38" w:rsidRPr="001852D0" w:rsidRDefault="00814A38" w:rsidP="009A5A2A">
            <w:pPr>
              <w:pStyle w:val="Tabletext"/>
            </w:pPr>
            <w:r w:rsidRPr="001852D0">
              <w:t>Financées moyennant l'utilisation du budget de l'UIT-R pour 2020</w:t>
            </w:r>
          </w:p>
        </w:tc>
        <w:tc>
          <w:tcPr>
            <w:tcW w:w="34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744C8907" w14:textId="77777777" w:rsidR="00814A38" w:rsidRPr="001852D0" w:rsidRDefault="00814A38" w:rsidP="009A5A2A">
            <w:pPr>
              <w:pStyle w:val="Tabletext"/>
              <w:rPr>
                <w:highlight w:val="yellow"/>
              </w:rPr>
            </w:pPr>
            <w:r w:rsidRPr="001852D0">
              <w:t>Résolution 35 (CMR-19)</w:t>
            </w:r>
          </w:p>
        </w:tc>
        <w:tc>
          <w:tcPr>
            <w:tcW w:w="29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31CEE7" w14:textId="77777777" w:rsidR="00814A38" w:rsidRPr="001852D0" w:rsidRDefault="00814A38" w:rsidP="009A5A2A">
            <w:pPr>
              <w:pStyle w:val="Tabletext"/>
              <w:rPr>
                <w:highlight w:val="yellow"/>
              </w:rPr>
            </w:pPr>
            <w:r w:rsidRPr="001852D0">
              <w:t>Coûts afférents à l'élaboration de logiciels, avec l'aide de ressources extérieures (création d'une nouvelle base de données permettant de suivre le déploiement des systèmes non OSG et logiciel visant à mettre à jour le Fichier de référence en conséquence).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DB39FB" w14:textId="77777777" w:rsidR="00814A38" w:rsidRPr="001852D0" w:rsidRDefault="00814A38" w:rsidP="009A5A2A">
            <w:pPr>
              <w:pStyle w:val="Tabletext"/>
              <w:jc w:val="right"/>
            </w:pPr>
            <w:r w:rsidRPr="001852D0">
              <w:t>340 000</w:t>
            </w:r>
          </w:p>
        </w:tc>
        <w:tc>
          <w:tcPr>
            <w:tcW w:w="1134" w:type="dxa"/>
            <w:tcBorders>
              <w:top w:val="nil"/>
              <w:left w:val="nil"/>
              <w:bottom w:val="single" w:sz="8" w:space="0" w:color="auto"/>
              <w:right w:val="single" w:sz="8" w:space="0" w:color="auto"/>
            </w:tcBorders>
            <w:shd w:val="clear" w:color="auto" w:fill="auto"/>
          </w:tcPr>
          <w:p w14:paraId="514BFF4A" w14:textId="77777777" w:rsidR="00814A38" w:rsidRPr="001852D0" w:rsidRDefault="00814A38" w:rsidP="009A5A2A">
            <w:pPr>
              <w:pStyle w:val="Tabletext"/>
              <w:jc w:val="right"/>
            </w:pPr>
          </w:p>
        </w:tc>
      </w:tr>
      <w:tr w:rsidR="00814A38" w:rsidRPr="001852D0" w14:paraId="743760CD" w14:textId="77777777" w:rsidTr="009A007F">
        <w:trPr>
          <w:jc w:val="center"/>
        </w:trPr>
        <w:tc>
          <w:tcPr>
            <w:tcW w:w="1560" w:type="dxa"/>
            <w:vMerge/>
            <w:tcBorders>
              <w:left w:val="single" w:sz="4" w:space="0" w:color="auto"/>
              <w:bottom w:val="single" w:sz="4" w:space="0" w:color="auto"/>
              <w:right w:val="single" w:sz="4" w:space="0" w:color="auto"/>
            </w:tcBorders>
          </w:tcPr>
          <w:p w14:paraId="33689ADC" w14:textId="77777777" w:rsidR="00814A38" w:rsidRPr="001852D0" w:rsidRDefault="00814A38" w:rsidP="009A5A2A">
            <w:pPr>
              <w:pStyle w:val="Tabletext"/>
              <w:ind w:left="142"/>
            </w:pPr>
          </w:p>
        </w:tc>
        <w:tc>
          <w:tcPr>
            <w:tcW w:w="34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4F09BEAA" w14:textId="77777777" w:rsidR="00814A38" w:rsidRPr="001852D0" w:rsidRDefault="00814A38" w:rsidP="009A5A2A">
            <w:pPr>
              <w:pStyle w:val="Tabletext"/>
              <w:rPr>
                <w:highlight w:val="yellow"/>
              </w:rPr>
            </w:pPr>
            <w:r w:rsidRPr="001852D0">
              <w:t>Résolution 169 (CMR-19)</w:t>
            </w:r>
          </w:p>
        </w:tc>
        <w:tc>
          <w:tcPr>
            <w:tcW w:w="29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E46A4E" w14:textId="77777777" w:rsidR="00814A38" w:rsidRPr="001852D0" w:rsidRDefault="00814A38" w:rsidP="009A5A2A">
            <w:pPr>
              <w:pStyle w:val="Tabletext"/>
              <w:rPr>
                <w:highlight w:val="yellow"/>
              </w:rPr>
            </w:pPr>
            <w:r w:rsidRPr="001852D0">
              <w:t>Coûts afférents à l'élaboration de logiciels.</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CF176A" w14:textId="77777777" w:rsidR="00814A38" w:rsidRPr="001852D0" w:rsidRDefault="00814A38" w:rsidP="009A5A2A">
            <w:pPr>
              <w:pStyle w:val="Tabletext"/>
              <w:jc w:val="right"/>
            </w:pPr>
            <w:r w:rsidRPr="001852D0">
              <w:t>85 000</w:t>
            </w:r>
          </w:p>
        </w:tc>
        <w:tc>
          <w:tcPr>
            <w:tcW w:w="1134" w:type="dxa"/>
            <w:tcBorders>
              <w:top w:val="nil"/>
              <w:left w:val="nil"/>
              <w:bottom w:val="single" w:sz="8" w:space="0" w:color="auto"/>
              <w:right w:val="single" w:sz="8" w:space="0" w:color="auto"/>
            </w:tcBorders>
            <w:shd w:val="clear" w:color="auto" w:fill="auto"/>
          </w:tcPr>
          <w:p w14:paraId="1FC2189F" w14:textId="77777777" w:rsidR="00814A38" w:rsidRPr="001852D0" w:rsidRDefault="00814A38" w:rsidP="009A5A2A">
            <w:pPr>
              <w:pStyle w:val="Tabletext"/>
              <w:jc w:val="right"/>
            </w:pPr>
          </w:p>
        </w:tc>
      </w:tr>
      <w:tr w:rsidR="00814A38" w:rsidRPr="001852D0" w14:paraId="50DCB923" w14:textId="77777777" w:rsidTr="009A007F">
        <w:trPr>
          <w:jc w:val="center"/>
        </w:trPr>
        <w:tc>
          <w:tcPr>
            <w:tcW w:w="1560" w:type="dxa"/>
            <w:vMerge/>
            <w:tcBorders>
              <w:left w:val="single" w:sz="4" w:space="0" w:color="auto"/>
              <w:bottom w:val="single" w:sz="4" w:space="0" w:color="auto"/>
              <w:right w:val="single" w:sz="4" w:space="0" w:color="auto"/>
            </w:tcBorders>
          </w:tcPr>
          <w:p w14:paraId="0B899EE6" w14:textId="77777777" w:rsidR="00814A38" w:rsidRPr="001852D0" w:rsidRDefault="00814A38" w:rsidP="009A5A2A">
            <w:pPr>
              <w:pStyle w:val="Tabletext"/>
              <w:ind w:left="142"/>
            </w:pPr>
          </w:p>
        </w:tc>
        <w:tc>
          <w:tcPr>
            <w:tcW w:w="34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9A18BF0" w14:textId="77777777" w:rsidR="00814A38" w:rsidRPr="001852D0" w:rsidRDefault="00814A38" w:rsidP="009A5A2A">
            <w:pPr>
              <w:pStyle w:val="Tabletext"/>
              <w:rPr>
                <w:highlight w:val="yellow"/>
              </w:rPr>
            </w:pPr>
            <w:r w:rsidRPr="001852D0">
              <w:t xml:space="preserve">Modification des numéros 9.36 et 9.53A et des Appendices 30, 30A et 30B du RR </w:t>
            </w:r>
          </w:p>
        </w:tc>
        <w:tc>
          <w:tcPr>
            <w:tcW w:w="29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823A60" w14:textId="77777777" w:rsidR="00814A38" w:rsidRPr="001852D0" w:rsidRDefault="00814A38" w:rsidP="009A5A2A">
            <w:pPr>
              <w:pStyle w:val="Tabletext"/>
              <w:rPr>
                <w:highlight w:val="yellow"/>
              </w:rPr>
            </w:pPr>
            <w:r w:rsidRPr="001852D0">
              <w:t>Coûts afférents à l'élaboration de logiciels.</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063396" w14:textId="77777777" w:rsidR="00814A38" w:rsidRPr="001852D0" w:rsidRDefault="00814A38" w:rsidP="009A5A2A">
            <w:pPr>
              <w:pStyle w:val="Tabletext"/>
              <w:jc w:val="right"/>
            </w:pPr>
            <w:r w:rsidRPr="001852D0">
              <w:t>200 000</w:t>
            </w:r>
          </w:p>
        </w:tc>
        <w:tc>
          <w:tcPr>
            <w:tcW w:w="1134" w:type="dxa"/>
            <w:tcBorders>
              <w:top w:val="nil"/>
              <w:left w:val="nil"/>
              <w:bottom w:val="single" w:sz="8" w:space="0" w:color="auto"/>
              <w:right w:val="single" w:sz="8" w:space="0" w:color="auto"/>
            </w:tcBorders>
            <w:shd w:val="clear" w:color="auto" w:fill="auto"/>
          </w:tcPr>
          <w:p w14:paraId="38F602F8" w14:textId="77777777" w:rsidR="00814A38" w:rsidRPr="001852D0" w:rsidRDefault="00814A38" w:rsidP="009A5A2A">
            <w:pPr>
              <w:pStyle w:val="Tabletext"/>
              <w:jc w:val="right"/>
            </w:pPr>
          </w:p>
        </w:tc>
      </w:tr>
      <w:tr w:rsidR="00814A38" w:rsidRPr="001852D0" w14:paraId="47AEBAB3" w14:textId="77777777" w:rsidTr="009A007F">
        <w:trPr>
          <w:jc w:val="center"/>
        </w:trPr>
        <w:tc>
          <w:tcPr>
            <w:tcW w:w="1560" w:type="dxa"/>
            <w:vMerge/>
            <w:tcBorders>
              <w:left w:val="single" w:sz="4" w:space="0" w:color="auto"/>
              <w:bottom w:val="single" w:sz="4" w:space="0" w:color="auto"/>
              <w:right w:val="single" w:sz="4" w:space="0" w:color="auto"/>
            </w:tcBorders>
          </w:tcPr>
          <w:p w14:paraId="3EB753C6" w14:textId="77777777" w:rsidR="00814A38" w:rsidRPr="001852D0" w:rsidRDefault="00814A38" w:rsidP="009A5A2A">
            <w:pPr>
              <w:pStyle w:val="Tabletext"/>
              <w:ind w:left="142"/>
            </w:pPr>
          </w:p>
        </w:tc>
        <w:tc>
          <w:tcPr>
            <w:tcW w:w="34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1A15A787" w14:textId="77777777" w:rsidR="00814A38" w:rsidRPr="001852D0" w:rsidRDefault="00814A38" w:rsidP="009A5A2A">
            <w:pPr>
              <w:pStyle w:val="Tabletext"/>
              <w:rPr>
                <w:highlight w:val="yellow"/>
              </w:rPr>
            </w:pPr>
            <w:r w:rsidRPr="001852D0">
              <w:t>Diverses dispositions du RR et Résolutions relatives au point 1.6 de l'ordre du jour de la CMR-19 (SFS non OSG)</w:t>
            </w:r>
            <w:r w:rsidRPr="001852D0">
              <w:br/>
              <w:t>Numéros 5.550C, 5.550E, 22.5L et 22.5M du RR et Résolutions 769 (CMR-19) et 770 (CMR</w:t>
            </w:r>
            <w:r w:rsidRPr="001852D0">
              <w:noBreakHyphen/>
              <w:t>19) de la CMR</w:t>
            </w:r>
          </w:p>
        </w:tc>
        <w:tc>
          <w:tcPr>
            <w:tcW w:w="29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C89C4A" w14:textId="77777777" w:rsidR="00814A38" w:rsidRPr="001852D0" w:rsidRDefault="00814A38" w:rsidP="009A5A2A">
            <w:pPr>
              <w:pStyle w:val="Tabletext"/>
              <w:rPr>
                <w:highlight w:val="yellow"/>
              </w:rPr>
            </w:pPr>
            <w:r w:rsidRPr="001852D0">
              <w:t>Coûts afférents à l'élaboration de logiciels (mise en œuvre de la nouvelle méthode, tout en exploitant les possibilités de réutilisation des éléments logiciels déjà mis au point).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20B033" w14:textId="77777777" w:rsidR="00814A38" w:rsidRPr="001852D0" w:rsidRDefault="00814A38" w:rsidP="009A5A2A">
            <w:pPr>
              <w:pStyle w:val="Tabletext"/>
              <w:jc w:val="right"/>
            </w:pPr>
            <w:r w:rsidRPr="001852D0">
              <w:t>150 000</w:t>
            </w:r>
          </w:p>
        </w:tc>
        <w:tc>
          <w:tcPr>
            <w:tcW w:w="1134" w:type="dxa"/>
            <w:tcBorders>
              <w:top w:val="nil"/>
              <w:left w:val="nil"/>
              <w:bottom w:val="single" w:sz="8" w:space="0" w:color="auto"/>
              <w:right w:val="single" w:sz="8" w:space="0" w:color="auto"/>
            </w:tcBorders>
            <w:shd w:val="clear" w:color="auto" w:fill="auto"/>
          </w:tcPr>
          <w:p w14:paraId="03149542" w14:textId="77777777" w:rsidR="00814A38" w:rsidRPr="001852D0" w:rsidRDefault="00814A38" w:rsidP="009A5A2A">
            <w:pPr>
              <w:pStyle w:val="Tabletext"/>
              <w:jc w:val="right"/>
            </w:pPr>
          </w:p>
        </w:tc>
      </w:tr>
      <w:tr w:rsidR="00814A38" w:rsidRPr="001852D0" w14:paraId="15F5EB19" w14:textId="77777777" w:rsidTr="009A007F">
        <w:trPr>
          <w:jc w:val="center"/>
        </w:trPr>
        <w:tc>
          <w:tcPr>
            <w:tcW w:w="1560" w:type="dxa"/>
            <w:vMerge/>
            <w:tcBorders>
              <w:left w:val="single" w:sz="4" w:space="0" w:color="auto"/>
              <w:bottom w:val="single" w:sz="4" w:space="0" w:color="auto"/>
              <w:right w:val="single" w:sz="4" w:space="0" w:color="auto"/>
            </w:tcBorders>
          </w:tcPr>
          <w:p w14:paraId="153D47F0" w14:textId="77777777" w:rsidR="00814A38" w:rsidRPr="001852D0" w:rsidRDefault="00814A38" w:rsidP="009A5A2A">
            <w:pPr>
              <w:pStyle w:val="Tabletext"/>
              <w:ind w:left="142"/>
            </w:pPr>
          </w:p>
        </w:tc>
        <w:tc>
          <w:tcPr>
            <w:tcW w:w="34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AFD83AC" w14:textId="77777777" w:rsidR="00814A38" w:rsidRPr="001852D0" w:rsidRDefault="00814A38" w:rsidP="009A5A2A">
            <w:pPr>
              <w:pStyle w:val="Tabletext"/>
            </w:pPr>
            <w:r w:rsidRPr="001852D0">
              <w:t>Diverses Résolutions relatives au point 1.14 de l'ordre du jour de la CMR-19 (stations HAPS)</w:t>
            </w:r>
          </w:p>
          <w:p w14:paraId="1AB15440" w14:textId="77777777" w:rsidR="00814A38" w:rsidRPr="001852D0" w:rsidRDefault="00814A38" w:rsidP="009A5A2A">
            <w:pPr>
              <w:pStyle w:val="Tabletext"/>
              <w:rPr>
                <w:highlight w:val="yellow"/>
              </w:rPr>
            </w:pPr>
            <w:r w:rsidRPr="001852D0">
              <w:t>Résolution 122 (Rév.CMR-19) et Résolutions 165, 166, 167 et 168 (CMR-19)</w:t>
            </w:r>
          </w:p>
        </w:tc>
        <w:tc>
          <w:tcPr>
            <w:tcW w:w="29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F9CAFB" w14:textId="3B98567D" w:rsidR="00814A38" w:rsidRPr="001852D0" w:rsidRDefault="00814A38" w:rsidP="009A5A2A">
            <w:pPr>
              <w:pStyle w:val="Tabletext"/>
              <w:rPr>
                <w:highlight w:val="yellow"/>
              </w:rPr>
            </w:pPr>
            <w:r w:rsidRPr="001852D0">
              <w:t>Coûts afférents à l'élaboration de logiciels, y compris l'élaboration de modules de calcul pour plus de 30 conditions techniques, la modification de la base de données du Fichier de référence et la structure des fiches de notification, conformément à l'Appendice</w:t>
            </w:r>
            <w:r w:rsidR="00B160B5" w:rsidRPr="001852D0">
              <w:t> </w:t>
            </w:r>
            <w:r w:rsidRPr="001852D0">
              <w:t>4 du RR modifié, et la conception d'une interface utilisateur de notification dédiée.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ECCDB5" w14:textId="77777777" w:rsidR="00814A38" w:rsidRPr="001852D0" w:rsidRDefault="00814A38" w:rsidP="009A5A2A">
            <w:pPr>
              <w:pStyle w:val="Tabletext"/>
              <w:jc w:val="right"/>
            </w:pPr>
            <w:r w:rsidRPr="001852D0">
              <w:t>150 000</w:t>
            </w:r>
          </w:p>
        </w:tc>
        <w:tc>
          <w:tcPr>
            <w:tcW w:w="1134" w:type="dxa"/>
            <w:tcBorders>
              <w:top w:val="nil"/>
              <w:left w:val="nil"/>
              <w:bottom w:val="single" w:sz="8" w:space="0" w:color="auto"/>
              <w:right w:val="single" w:sz="8" w:space="0" w:color="auto"/>
            </w:tcBorders>
            <w:shd w:val="clear" w:color="auto" w:fill="auto"/>
          </w:tcPr>
          <w:p w14:paraId="339C8061" w14:textId="77777777" w:rsidR="00814A38" w:rsidRPr="001852D0" w:rsidRDefault="00814A38" w:rsidP="009A5A2A">
            <w:pPr>
              <w:pStyle w:val="Tabletext"/>
              <w:jc w:val="right"/>
            </w:pPr>
          </w:p>
        </w:tc>
      </w:tr>
      <w:tr w:rsidR="00814A38" w:rsidRPr="001852D0" w14:paraId="7466C5B9" w14:textId="77777777" w:rsidTr="009A007F">
        <w:trPr>
          <w:jc w:val="center"/>
        </w:trPr>
        <w:tc>
          <w:tcPr>
            <w:tcW w:w="1560" w:type="dxa"/>
            <w:tcBorders>
              <w:left w:val="single" w:sz="4" w:space="0" w:color="auto"/>
              <w:bottom w:val="single" w:sz="4" w:space="0" w:color="auto"/>
              <w:right w:val="single" w:sz="4" w:space="0" w:color="auto"/>
            </w:tcBorders>
            <w:shd w:val="clear" w:color="auto" w:fill="auto"/>
          </w:tcPr>
          <w:p w14:paraId="1648DA1A" w14:textId="77777777" w:rsidR="00814A38" w:rsidRPr="001852D0" w:rsidRDefault="00814A38" w:rsidP="009A5A2A">
            <w:pPr>
              <w:pStyle w:val="Tabletext"/>
              <w:ind w:left="142"/>
              <w:rPr>
                <w:b/>
                <w:bCs/>
              </w:rPr>
            </w:pPr>
          </w:p>
        </w:tc>
        <w:tc>
          <w:tcPr>
            <w:tcW w:w="34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03E3DDE2" w14:textId="77777777" w:rsidR="00814A38" w:rsidRPr="001852D0" w:rsidRDefault="00814A38" w:rsidP="009A5A2A">
            <w:pPr>
              <w:pStyle w:val="Tabletext"/>
              <w:rPr>
                <w:b/>
                <w:bCs/>
              </w:rPr>
            </w:pPr>
            <w:r w:rsidRPr="001852D0">
              <w:rPr>
                <w:b/>
                <w:bCs/>
              </w:rPr>
              <w:t>Sous-total</w:t>
            </w:r>
          </w:p>
        </w:tc>
        <w:tc>
          <w:tcPr>
            <w:tcW w:w="29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C3D0B0" w14:textId="77777777" w:rsidR="00814A38" w:rsidRPr="001852D0" w:rsidRDefault="00814A38" w:rsidP="009A5A2A">
            <w:pPr>
              <w:pStyle w:val="Tabletext"/>
              <w:rPr>
                <w:b/>
                <w:bCs/>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29C283" w14:textId="77777777" w:rsidR="00814A38" w:rsidRPr="001852D0" w:rsidRDefault="00814A38" w:rsidP="009A5A2A">
            <w:pPr>
              <w:pStyle w:val="Tabletext"/>
              <w:jc w:val="right"/>
              <w:rPr>
                <w:b/>
                <w:bCs/>
              </w:rPr>
            </w:pPr>
          </w:p>
        </w:tc>
        <w:tc>
          <w:tcPr>
            <w:tcW w:w="1134" w:type="dxa"/>
            <w:tcBorders>
              <w:top w:val="nil"/>
              <w:left w:val="nil"/>
              <w:bottom w:val="single" w:sz="8" w:space="0" w:color="auto"/>
              <w:right w:val="single" w:sz="8" w:space="0" w:color="auto"/>
            </w:tcBorders>
            <w:shd w:val="clear" w:color="auto" w:fill="auto"/>
          </w:tcPr>
          <w:p w14:paraId="7317D582" w14:textId="77777777" w:rsidR="00814A38" w:rsidRPr="001852D0" w:rsidRDefault="00814A38" w:rsidP="009A5A2A">
            <w:pPr>
              <w:pStyle w:val="Tabletext"/>
              <w:jc w:val="right"/>
              <w:rPr>
                <w:b/>
                <w:bCs/>
              </w:rPr>
            </w:pPr>
            <w:r w:rsidRPr="001852D0">
              <w:rPr>
                <w:b/>
                <w:bCs/>
              </w:rPr>
              <w:t>925 000</w:t>
            </w:r>
          </w:p>
        </w:tc>
      </w:tr>
      <w:tr w:rsidR="00814A38" w:rsidRPr="001852D0" w14:paraId="232F578F" w14:textId="77777777" w:rsidTr="009A007F">
        <w:trPr>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5BC40D2" w14:textId="77777777" w:rsidR="00814A38" w:rsidRPr="001852D0" w:rsidRDefault="00814A38" w:rsidP="009A5A2A">
            <w:pPr>
              <w:pStyle w:val="Tabletext"/>
              <w:ind w:left="37"/>
            </w:pPr>
            <w:r w:rsidRPr="001852D0">
              <w:t xml:space="preserve">Décisions dont la mise </w:t>
            </w:r>
            <w:r w:rsidRPr="001852D0">
              <w:lastRenderedPageBreak/>
              <w:t xml:space="preserve">en œuvre reste à financer, le cas échéant </w:t>
            </w:r>
          </w:p>
        </w:tc>
        <w:tc>
          <w:tcPr>
            <w:tcW w:w="34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420F8072" w14:textId="77777777" w:rsidR="00814A38" w:rsidRPr="001852D0" w:rsidRDefault="00814A38" w:rsidP="009A5A2A">
            <w:pPr>
              <w:pStyle w:val="Tabletext"/>
            </w:pPr>
            <w:r w:rsidRPr="001852D0">
              <w:lastRenderedPageBreak/>
              <w:t xml:space="preserve">Résolution 245 (CMR-19) – Études </w:t>
            </w:r>
          </w:p>
        </w:tc>
        <w:tc>
          <w:tcPr>
            <w:tcW w:w="29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BF6C2E" w14:textId="044F8A82" w:rsidR="00814A38" w:rsidRPr="001852D0" w:rsidRDefault="001C0396" w:rsidP="009A5A2A">
            <w:pPr>
              <w:pStyle w:val="Tabletext"/>
              <w:rPr>
                <w:highlight w:val="yellow"/>
              </w:rPr>
            </w:pPr>
            <w:r w:rsidRPr="001852D0">
              <w:t xml:space="preserve">Organisation </w:t>
            </w:r>
            <w:r w:rsidR="00814A38" w:rsidRPr="001852D0">
              <w:t>et appui aux réunions.</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A60797" w14:textId="77777777" w:rsidR="00814A38" w:rsidRPr="001852D0" w:rsidRDefault="00814A38" w:rsidP="009A5A2A">
            <w:pPr>
              <w:pStyle w:val="Tabletext"/>
              <w:jc w:val="right"/>
            </w:pPr>
            <w:r w:rsidRPr="001852D0">
              <w:t>456 000</w:t>
            </w:r>
          </w:p>
        </w:tc>
        <w:tc>
          <w:tcPr>
            <w:tcW w:w="1134" w:type="dxa"/>
            <w:tcBorders>
              <w:top w:val="nil"/>
              <w:left w:val="nil"/>
              <w:bottom w:val="single" w:sz="8" w:space="0" w:color="auto"/>
              <w:right w:val="single" w:sz="8" w:space="0" w:color="auto"/>
            </w:tcBorders>
            <w:shd w:val="clear" w:color="auto" w:fill="auto"/>
          </w:tcPr>
          <w:p w14:paraId="3D7DEE64" w14:textId="77777777" w:rsidR="00814A38" w:rsidRPr="001852D0" w:rsidRDefault="00814A38" w:rsidP="009A5A2A">
            <w:pPr>
              <w:pStyle w:val="Tabletext"/>
              <w:jc w:val="right"/>
            </w:pPr>
          </w:p>
        </w:tc>
      </w:tr>
      <w:tr w:rsidR="00814A38" w:rsidRPr="001852D0" w14:paraId="73FD8012" w14:textId="77777777" w:rsidTr="009A007F">
        <w:trPr>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A3ECBA2" w14:textId="77777777" w:rsidR="00814A38" w:rsidRPr="001852D0" w:rsidRDefault="00814A38" w:rsidP="009A5A2A">
            <w:pPr>
              <w:pStyle w:val="Tabletext"/>
            </w:pPr>
          </w:p>
        </w:tc>
        <w:tc>
          <w:tcPr>
            <w:tcW w:w="34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616F905" w14:textId="77777777" w:rsidR="00814A38" w:rsidRPr="001852D0" w:rsidRDefault="00814A38" w:rsidP="009A5A2A">
            <w:pPr>
              <w:pStyle w:val="Tabletext"/>
            </w:pPr>
            <w:r w:rsidRPr="001852D0">
              <w:t>Résolution 235 (CMR-15) – Études relatives au point 1.5 de l'ordre du jour de la CMR-23</w:t>
            </w:r>
          </w:p>
        </w:tc>
        <w:tc>
          <w:tcPr>
            <w:tcW w:w="29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5BEF43" w14:textId="3171634A" w:rsidR="00814A38" w:rsidRPr="001852D0" w:rsidRDefault="001C0396" w:rsidP="009A5A2A">
            <w:pPr>
              <w:pStyle w:val="Tabletext"/>
            </w:pPr>
            <w:r w:rsidRPr="001852D0">
              <w:t xml:space="preserve">Organisation </w:t>
            </w:r>
            <w:r w:rsidR="00814A38" w:rsidRPr="001852D0">
              <w:t>et appui aux réunions.</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F6AAE3" w14:textId="77777777" w:rsidR="00814A38" w:rsidRPr="001852D0" w:rsidRDefault="00814A38" w:rsidP="009A5A2A">
            <w:pPr>
              <w:pStyle w:val="Tabletext"/>
              <w:jc w:val="right"/>
            </w:pPr>
            <w:r w:rsidRPr="001852D0">
              <w:t>340 000</w:t>
            </w:r>
          </w:p>
        </w:tc>
        <w:tc>
          <w:tcPr>
            <w:tcW w:w="1134" w:type="dxa"/>
            <w:tcBorders>
              <w:top w:val="nil"/>
              <w:left w:val="nil"/>
              <w:bottom w:val="single" w:sz="8" w:space="0" w:color="auto"/>
              <w:right w:val="single" w:sz="8" w:space="0" w:color="auto"/>
            </w:tcBorders>
            <w:shd w:val="clear" w:color="auto" w:fill="auto"/>
          </w:tcPr>
          <w:p w14:paraId="5906C697" w14:textId="77777777" w:rsidR="00814A38" w:rsidRPr="001852D0" w:rsidRDefault="00814A38" w:rsidP="009A5A2A">
            <w:pPr>
              <w:pStyle w:val="Tabletext"/>
              <w:jc w:val="right"/>
            </w:pPr>
          </w:p>
        </w:tc>
      </w:tr>
      <w:tr w:rsidR="00814A38" w:rsidRPr="001852D0" w14:paraId="0C359458" w14:textId="77777777" w:rsidTr="009A007F">
        <w:trPr>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F271DFC" w14:textId="77777777" w:rsidR="00814A38" w:rsidRPr="001852D0" w:rsidRDefault="00814A38" w:rsidP="009A5A2A">
            <w:pPr>
              <w:pStyle w:val="Tabletext"/>
            </w:pPr>
          </w:p>
        </w:tc>
        <w:tc>
          <w:tcPr>
            <w:tcW w:w="3442"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7AB638AA" w14:textId="77777777" w:rsidR="00814A38" w:rsidRPr="001852D0" w:rsidRDefault="00814A38" w:rsidP="009A5A2A">
            <w:pPr>
              <w:pStyle w:val="Tabletext"/>
              <w:rPr>
                <w:b/>
                <w:bCs/>
              </w:rPr>
            </w:pPr>
            <w:r w:rsidRPr="001852D0">
              <w:rPr>
                <w:b/>
                <w:bCs/>
              </w:rPr>
              <w:t>Sous-total</w:t>
            </w:r>
          </w:p>
        </w:tc>
        <w:tc>
          <w:tcPr>
            <w:tcW w:w="29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A8D615" w14:textId="77777777" w:rsidR="00814A38" w:rsidRPr="001852D0" w:rsidRDefault="00814A38" w:rsidP="009A5A2A">
            <w:pPr>
              <w:pStyle w:val="Tabletext"/>
              <w:rPr>
                <w:b/>
                <w:bCs/>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29B513" w14:textId="77777777" w:rsidR="00814A38" w:rsidRPr="001852D0" w:rsidRDefault="00814A38" w:rsidP="009A5A2A">
            <w:pPr>
              <w:pStyle w:val="Tabletext"/>
              <w:jc w:val="right"/>
              <w:rPr>
                <w:b/>
                <w:bCs/>
              </w:rPr>
            </w:pPr>
          </w:p>
        </w:tc>
        <w:tc>
          <w:tcPr>
            <w:tcW w:w="1134" w:type="dxa"/>
            <w:tcBorders>
              <w:top w:val="nil"/>
              <w:left w:val="nil"/>
              <w:bottom w:val="single" w:sz="8" w:space="0" w:color="auto"/>
              <w:right w:val="single" w:sz="8" w:space="0" w:color="auto"/>
            </w:tcBorders>
            <w:shd w:val="clear" w:color="auto" w:fill="auto"/>
          </w:tcPr>
          <w:p w14:paraId="761484BF" w14:textId="77777777" w:rsidR="00814A38" w:rsidRPr="001852D0" w:rsidRDefault="00814A38" w:rsidP="009A5A2A">
            <w:pPr>
              <w:pStyle w:val="Tabletext"/>
              <w:jc w:val="right"/>
              <w:rPr>
                <w:b/>
                <w:bCs/>
              </w:rPr>
            </w:pPr>
            <w:r w:rsidRPr="001852D0">
              <w:rPr>
                <w:b/>
                <w:bCs/>
              </w:rPr>
              <w:t>796 000</w:t>
            </w:r>
          </w:p>
        </w:tc>
      </w:tr>
      <w:tr w:rsidR="00814A38" w:rsidRPr="001852D0" w14:paraId="7DA1E670" w14:textId="77777777" w:rsidTr="009A007F">
        <w:trPr>
          <w:jc w:val="center"/>
        </w:trPr>
        <w:tc>
          <w:tcPr>
            <w:tcW w:w="1560" w:type="dxa"/>
            <w:tcBorders>
              <w:top w:val="single" w:sz="4" w:space="0" w:color="auto"/>
              <w:right w:val="single" w:sz="4" w:space="0" w:color="auto"/>
            </w:tcBorders>
          </w:tcPr>
          <w:p w14:paraId="7E88984E" w14:textId="77777777" w:rsidR="00814A38" w:rsidRPr="001852D0" w:rsidRDefault="00814A38" w:rsidP="009A5A2A">
            <w:pPr>
              <w:pStyle w:val="Tabletext"/>
            </w:pPr>
          </w:p>
        </w:tc>
        <w:tc>
          <w:tcPr>
            <w:tcW w:w="3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7EC35" w14:textId="77777777" w:rsidR="00814A38" w:rsidRPr="001852D0" w:rsidRDefault="00814A38" w:rsidP="009A5A2A">
            <w:pPr>
              <w:pStyle w:val="Tabletext"/>
              <w:rPr>
                <w:b/>
                <w:bCs/>
                <w:highlight w:val="yellow"/>
              </w:rPr>
            </w:pPr>
            <w:r w:rsidRPr="001852D0">
              <w:rPr>
                <w:b/>
                <w:bCs/>
              </w:rPr>
              <w:t>Total</w:t>
            </w:r>
          </w:p>
        </w:tc>
        <w:tc>
          <w:tcPr>
            <w:tcW w:w="293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73DA178" w14:textId="77777777" w:rsidR="00814A38" w:rsidRPr="001852D0" w:rsidRDefault="00814A38" w:rsidP="009A5A2A">
            <w:pPr>
              <w:pStyle w:val="Tabletext"/>
              <w:rPr>
                <w:b/>
                <w:bCs/>
              </w:rPr>
            </w:pPr>
            <w:r w:rsidRPr="001852D0">
              <w:rPr>
                <w:b/>
                <w:bCs/>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26847DE" w14:textId="77777777" w:rsidR="00814A38" w:rsidRPr="001852D0" w:rsidRDefault="00814A38" w:rsidP="009A5A2A">
            <w:pPr>
              <w:pStyle w:val="Tabletext"/>
              <w:rPr>
                <w:b/>
                <w:bCs/>
              </w:rPr>
            </w:pPr>
          </w:p>
        </w:tc>
        <w:tc>
          <w:tcPr>
            <w:tcW w:w="1134" w:type="dxa"/>
            <w:tcBorders>
              <w:top w:val="nil"/>
              <w:left w:val="nil"/>
              <w:bottom w:val="single" w:sz="8" w:space="0" w:color="auto"/>
              <w:right w:val="single" w:sz="8" w:space="0" w:color="auto"/>
            </w:tcBorders>
          </w:tcPr>
          <w:p w14:paraId="0599F03C" w14:textId="77777777" w:rsidR="00814A38" w:rsidRPr="001852D0" w:rsidRDefault="00814A38" w:rsidP="009A5A2A">
            <w:pPr>
              <w:pStyle w:val="Tabletext"/>
              <w:rPr>
                <w:b/>
                <w:bCs/>
              </w:rPr>
            </w:pPr>
            <w:r w:rsidRPr="001852D0">
              <w:rPr>
                <w:b/>
                <w:bCs/>
              </w:rPr>
              <w:t>1 721 000</w:t>
            </w:r>
          </w:p>
        </w:tc>
      </w:tr>
    </w:tbl>
    <w:p w14:paraId="2773A55E" w14:textId="77777777" w:rsidR="00814A38" w:rsidRPr="001852D0" w:rsidRDefault="00814A38" w:rsidP="009A5A2A">
      <w:pPr>
        <w:spacing w:before="360"/>
        <w:jc w:val="center"/>
      </w:pPr>
      <w:r w:rsidRPr="001852D0">
        <w:t>______________</w:t>
      </w:r>
    </w:p>
    <w:sectPr w:rsidR="00814A38" w:rsidRPr="001852D0"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23410" w14:textId="77777777" w:rsidR="004C5F34" w:rsidRDefault="004C5F34">
      <w:r>
        <w:separator/>
      </w:r>
    </w:p>
  </w:endnote>
  <w:endnote w:type="continuationSeparator" w:id="0">
    <w:p w14:paraId="5CE0C320" w14:textId="77777777" w:rsidR="004C5F34" w:rsidRDefault="004C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84FA" w14:textId="26EB0270" w:rsidR="00732045" w:rsidRDefault="001852D0">
    <w:pPr>
      <w:pStyle w:val="Footer"/>
    </w:pPr>
    <w:r>
      <w:fldChar w:fldCharType="begin"/>
    </w:r>
    <w:r>
      <w:instrText xml:space="preserve"> FILENAME \p \* MERGEFORMAT </w:instrText>
    </w:r>
    <w:r>
      <w:fldChar w:fldCharType="separate"/>
    </w:r>
    <w:r>
      <w:t>P:\FRA\SG\CONSEIL\C21\000\067F.docx</w:t>
    </w:r>
    <w:r>
      <w:fldChar w:fldCharType="end"/>
    </w:r>
    <w:r w:rsidR="00732045">
      <w:tab/>
    </w:r>
    <w:r w:rsidR="002F1B76">
      <w:fldChar w:fldCharType="begin"/>
    </w:r>
    <w:r w:rsidR="00732045">
      <w:instrText xml:space="preserve"> savedate \@ dd.MM.yy </w:instrText>
    </w:r>
    <w:r w:rsidR="002F1B76">
      <w:fldChar w:fldCharType="separate"/>
    </w:r>
    <w:r>
      <w:t>17.03.21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7E57C" w14:textId="66180DEC" w:rsidR="00732045" w:rsidRDefault="001852D0">
    <w:pPr>
      <w:pStyle w:val="Footer"/>
    </w:pPr>
    <w:r>
      <w:fldChar w:fldCharType="begin"/>
    </w:r>
    <w:r>
      <w:instrText xml:space="preserve"> FILENAME \p \* MERGEFORMAT </w:instrText>
    </w:r>
    <w:r>
      <w:fldChar w:fldCharType="separate"/>
    </w:r>
    <w:r>
      <w:t>P:\FRA\SG\CONSEIL\C21\000\067F.docx</w:t>
    </w:r>
    <w:r>
      <w:fldChar w:fldCharType="end"/>
    </w:r>
    <w:r w:rsidR="00814A38">
      <w:t xml:space="preserve"> (484275)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877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C562B" w14:textId="77777777" w:rsidR="004C5F34" w:rsidRDefault="004C5F34">
      <w:r>
        <w:t>____________________</w:t>
      </w:r>
    </w:p>
  </w:footnote>
  <w:footnote w:type="continuationSeparator" w:id="0">
    <w:p w14:paraId="6D777EBE" w14:textId="77777777" w:rsidR="004C5F34" w:rsidRDefault="004C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56B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E534D7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133D"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24D8D68A" w14:textId="795C20D2" w:rsidR="00732045" w:rsidRDefault="00732045" w:rsidP="00106B19">
    <w:pPr>
      <w:pStyle w:val="Header"/>
    </w:pPr>
    <w:r>
      <w:t>C</w:t>
    </w:r>
    <w:r w:rsidR="009C353C">
      <w:t>2</w:t>
    </w:r>
    <w:r w:rsidR="004D1D50">
      <w:t>1</w:t>
    </w:r>
    <w:r>
      <w:t>/</w:t>
    </w:r>
    <w:r w:rsidR="00814A38">
      <w:t>67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34"/>
    <w:rsid w:val="00063270"/>
    <w:rsid w:val="000D046A"/>
    <w:rsid w:val="000D0D0A"/>
    <w:rsid w:val="00103163"/>
    <w:rsid w:val="00106B19"/>
    <w:rsid w:val="00115D93"/>
    <w:rsid w:val="001247A8"/>
    <w:rsid w:val="001378C0"/>
    <w:rsid w:val="001852D0"/>
    <w:rsid w:val="0018694A"/>
    <w:rsid w:val="001A3287"/>
    <w:rsid w:val="001A6508"/>
    <w:rsid w:val="001B50F8"/>
    <w:rsid w:val="001C0396"/>
    <w:rsid w:val="001D4C31"/>
    <w:rsid w:val="001E4D21"/>
    <w:rsid w:val="00207CD1"/>
    <w:rsid w:val="002477A2"/>
    <w:rsid w:val="00263A51"/>
    <w:rsid w:val="00267E02"/>
    <w:rsid w:val="002857A7"/>
    <w:rsid w:val="002A5D44"/>
    <w:rsid w:val="002E0BC4"/>
    <w:rsid w:val="002F1B76"/>
    <w:rsid w:val="002F28B1"/>
    <w:rsid w:val="0033568E"/>
    <w:rsid w:val="00355FF5"/>
    <w:rsid w:val="00361350"/>
    <w:rsid w:val="003A7E30"/>
    <w:rsid w:val="003C3FAE"/>
    <w:rsid w:val="003D7092"/>
    <w:rsid w:val="004038CB"/>
    <w:rsid w:val="0040546F"/>
    <w:rsid w:val="0042404A"/>
    <w:rsid w:val="0044618F"/>
    <w:rsid w:val="0046769A"/>
    <w:rsid w:val="00475FB3"/>
    <w:rsid w:val="004C37A9"/>
    <w:rsid w:val="004C5F34"/>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A78FC"/>
    <w:rsid w:val="007210CD"/>
    <w:rsid w:val="00732045"/>
    <w:rsid w:val="007369DB"/>
    <w:rsid w:val="007956C2"/>
    <w:rsid w:val="007A187E"/>
    <w:rsid w:val="007C72C2"/>
    <w:rsid w:val="007D4436"/>
    <w:rsid w:val="007E511E"/>
    <w:rsid w:val="007F257A"/>
    <w:rsid w:val="007F3665"/>
    <w:rsid w:val="00800037"/>
    <w:rsid w:val="00814A38"/>
    <w:rsid w:val="00861D73"/>
    <w:rsid w:val="008665CA"/>
    <w:rsid w:val="00897553"/>
    <w:rsid w:val="008A4E87"/>
    <w:rsid w:val="008B4828"/>
    <w:rsid w:val="008C5D2B"/>
    <w:rsid w:val="008D76E6"/>
    <w:rsid w:val="0092392D"/>
    <w:rsid w:val="0093234A"/>
    <w:rsid w:val="009979E3"/>
    <w:rsid w:val="009A5A2A"/>
    <w:rsid w:val="009C307F"/>
    <w:rsid w:val="009C353C"/>
    <w:rsid w:val="009F6844"/>
    <w:rsid w:val="00A2113E"/>
    <w:rsid w:val="00A23A51"/>
    <w:rsid w:val="00A24607"/>
    <w:rsid w:val="00A25CD3"/>
    <w:rsid w:val="00A32A63"/>
    <w:rsid w:val="00A709FE"/>
    <w:rsid w:val="00A80524"/>
    <w:rsid w:val="00A82767"/>
    <w:rsid w:val="00AA332F"/>
    <w:rsid w:val="00AA7BBB"/>
    <w:rsid w:val="00AB64A8"/>
    <w:rsid w:val="00AC0266"/>
    <w:rsid w:val="00AD24EC"/>
    <w:rsid w:val="00B160B5"/>
    <w:rsid w:val="00B309F9"/>
    <w:rsid w:val="00B32B60"/>
    <w:rsid w:val="00B341A9"/>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421DA7"/>
  <w15:docId w15:val="{75ACDC9E-049C-4E25-BA59-69826814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uiPriority w:val="99"/>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link w:val="TableheadChar"/>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4C5F34"/>
    <w:rPr>
      <w:color w:val="605E5C"/>
      <w:shd w:val="clear" w:color="auto" w:fill="E1DFDD"/>
    </w:rPr>
  </w:style>
  <w:style w:type="character" w:customStyle="1" w:styleId="Heading2Char">
    <w:name w:val="Heading 2 Char"/>
    <w:basedOn w:val="DefaultParagraphFont"/>
    <w:link w:val="Heading2"/>
    <w:rsid w:val="00814A38"/>
    <w:rPr>
      <w:rFonts w:ascii="Calibri" w:hAnsi="Calibri"/>
      <w:b/>
      <w:sz w:val="24"/>
      <w:lang w:val="fr-FR" w:eastAsia="en-US"/>
    </w:rPr>
  </w:style>
  <w:style w:type="character" w:customStyle="1" w:styleId="enumlev1Char">
    <w:name w:val="enumlev1 Char"/>
    <w:basedOn w:val="DefaultParagraphFont"/>
    <w:link w:val="enumlev1"/>
    <w:uiPriority w:val="99"/>
    <w:locked/>
    <w:rsid w:val="00814A38"/>
    <w:rPr>
      <w:rFonts w:ascii="Calibri" w:hAnsi="Calibri"/>
      <w:sz w:val="24"/>
      <w:lang w:val="fr-FR" w:eastAsia="en-US"/>
    </w:rPr>
  </w:style>
  <w:style w:type="character" w:customStyle="1" w:styleId="TabletextChar">
    <w:name w:val="Table_text Char"/>
    <w:basedOn w:val="DefaultParagraphFont"/>
    <w:link w:val="Tabletext"/>
    <w:locked/>
    <w:rsid w:val="00814A38"/>
    <w:rPr>
      <w:rFonts w:ascii="Calibri" w:hAnsi="Calibri"/>
      <w:sz w:val="22"/>
      <w:lang w:val="fr-FR" w:eastAsia="en-US"/>
    </w:rPr>
  </w:style>
  <w:style w:type="character" w:customStyle="1" w:styleId="TableheadChar">
    <w:name w:val="Table_head Char"/>
    <w:basedOn w:val="DefaultParagraphFont"/>
    <w:link w:val="Tablehead"/>
    <w:rsid w:val="00814A38"/>
    <w:rPr>
      <w:rFonts w:ascii="Calibri" w:hAnsi="Calibri"/>
      <w:b/>
      <w:sz w:val="22"/>
      <w:lang w:val="fr-FR" w:eastAsia="en-US"/>
    </w:rPr>
  </w:style>
  <w:style w:type="paragraph" w:customStyle="1" w:styleId="TableNo0">
    <w:name w:val="Table No"/>
    <w:basedOn w:val="Normal"/>
    <w:rsid w:val="00814A38"/>
    <w:pPr>
      <w:keepNext/>
      <w:tabs>
        <w:tab w:val="clear" w:pos="567"/>
        <w:tab w:val="clear" w:pos="1701"/>
        <w:tab w:val="clear" w:pos="2835"/>
        <w:tab w:val="left" w:pos="1871"/>
      </w:tabs>
      <w:spacing w:before="480" w:after="120"/>
      <w:jc w:val="center"/>
    </w:pPr>
    <w:rPr>
      <w:rFonts w:ascii="Times New Roman" w:eastAsiaTheme="minorEastAsia"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337/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R16-WRC19-C-0337/e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CL-C-0056/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20-CL-C-0056/en" TargetMode="External"/><Relationship Id="rId4" Type="http://schemas.openxmlformats.org/officeDocument/2006/relationships/footnotes" Target="footnotes.xml"/><Relationship Id="rId9" Type="http://schemas.openxmlformats.org/officeDocument/2006/relationships/hyperlink" Target="https://www.itu.int/md/S20-CWGFHR11-C-0005/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16</TotalTime>
  <Pages>5</Pages>
  <Words>1401</Words>
  <Characters>7659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C21</cp:keywords>
  <dc:description/>
  <cp:lastModifiedBy>Chanavat, Emilie</cp:lastModifiedBy>
  <cp:revision>4</cp:revision>
  <cp:lastPrinted>2000-07-18T08:55:00Z</cp:lastPrinted>
  <dcterms:created xsi:type="dcterms:W3CDTF">2021-03-17T10:49:00Z</dcterms:created>
  <dcterms:modified xsi:type="dcterms:W3CDTF">2021-03-17T11:06:00Z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