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6B2B6EA" w14:textId="77777777" w:rsidTr="006C7CC0">
        <w:trPr>
          <w:cantSplit/>
          <w:trHeight w:val="20"/>
        </w:trPr>
        <w:tc>
          <w:tcPr>
            <w:tcW w:w="6620" w:type="dxa"/>
          </w:tcPr>
          <w:p w14:paraId="0CE374BD"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D022784"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1901E025" wp14:editId="7800B8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3EF585B" w14:textId="77777777" w:rsidTr="009F66A8">
        <w:trPr>
          <w:cantSplit/>
          <w:trHeight w:val="20"/>
        </w:trPr>
        <w:tc>
          <w:tcPr>
            <w:tcW w:w="6620" w:type="dxa"/>
            <w:tcBorders>
              <w:bottom w:val="single" w:sz="12" w:space="0" w:color="auto"/>
            </w:tcBorders>
          </w:tcPr>
          <w:p w14:paraId="311FFF2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38D6F30" w14:textId="77777777" w:rsidR="00290728" w:rsidRPr="006A793B" w:rsidRDefault="00290728" w:rsidP="006A793B">
            <w:pPr>
              <w:spacing w:before="0" w:line="120" w:lineRule="auto"/>
              <w:rPr>
                <w:lang w:bidi="ar-EG"/>
              </w:rPr>
            </w:pPr>
          </w:p>
        </w:tc>
      </w:tr>
      <w:tr w:rsidR="00290728" w:rsidRPr="00290728" w14:paraId="7F79CAF7" w14:textId="77777777" w:rsidTr="009F66A8">
        <w:trPr>
          <w:cantSplit/>
          <w:trHeight w:val="20"/>
        </w:trPr>
        <w:tc>
          <w:tcPr>
            <w:tcW w:w="6620" w:type="dxa"/>
            <w:tcBorders>
              <w:top w:val="single" w:sz="12" w:space="0" w:color="auto"/>
            </w:tcBorders>
          </w:tcPr>
          <w:p w14:paraId="201D85AF"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79E5042" w14:textId="77777777" w:rsidR="00290728" w:rsidRPr="00290728" w:rsidRDefault="00290728" w:rsidP="00290728">
            <w:pPr>
              <w:spacing w:before="60" w:after="60" w:line="260" w:lineRule="exact"/>
              <w:rPr>
                <w:b/>
                <w:bCs/>
                <w:lang w:bidi="ar-SY"/>
              </w:rPr>
            </w:pPr>
          </w:p>
        </w:tc>
      </w:tr>
      <w:tr w:rsidR="0015650C" w:rsidRPr="00290728" w14:paraId="7357552C" w14:textId="77777777" w:rsidTr="009F66A8">
        <w:trPr>
          <w:cantSplit/>
        </w:trPr>
        <w:tc>
          <w:tcPr>
            <w:tcW w:w="6620" w:type="dxa"/>
            <w:vMerge w:val="restart"/>
          </w:tcPr>
          <w:p w14:paraId="1EE5BB21" w14:textId="365510FC" w:rsidR="005805EA" w:rsidRPr="00F82094" w:rsidRDefault="005805EA" w:rsidP="003C6B4F">
            <w:pPr>
              <w:spacing w:before="20" w:after="20" w:line="300" w:lineRule="exact"/>
              <w:rPr>
                <w:b/>
                <w:bCs/>
                <w:rtl/>
                <w:lang w:bidi="ar-EG"/>
              </w:rPr>
            </w:pPr>
          </w:p>
        </w:tc>
        <w:tc>
          <w:tcPr>
            <w:tcW w:w="3052" w:type="dxa"/>
            <w:vAlign w:val="center"/>
          </w:tcPr>
          <w:p w14:paraId="6E48A10D" w14:textId="78EAF770" w:rsidR="0015650C" w:rsidRPr="00F82094" w:rsidRDefault="0015650C" w:rsidP="00C55D8F">
            <w:pPr>
              <w:spacing w:before="20" w:after="20" w:line="300" w:lineRule="exact"/>
              <w:jc w:val="left"/>
              <w:rPr>
                <w:b/>
                <w:bCs/>
                <w:lang w:bidi="ar-SY"/>
              </w:rPr>
            </w:pPr>
            <w:r w:rsidRPr="00C55D8F">
              <w:rPr>
                <w:b/>
                <w:bCs/>
                <w:rtl/>
                <w:lang w:bidi="ar-EG"/>
              </w:rPr>
              <w:t>ا</w:t>
            </w:r>
            <w:r w:rsidR="00A71040" w:rsidRPr="00C55D8F">
              <w:rPr>
                <w:b/>
                <w:bCs/>
                <w:rtl/>
              </w:rPr>
              <w:t>لإضافة 1</w:t>
            </w:r>
            <w:r w:rsidR="00C55D8F">
              <w:rPr>
                <w:b/>
                <w:bCs/>
                <w:rtl/>
              </w:rPr>
              <w:br/>
            </w:r>
            <w:r w:rsidR="00A71040">
              <w:rPr>
                <w:rFonts w:hint="cs"/>
                <w:b/>
                <w:bCs/>
                <w:rtl/>
              </w:rPr>
              <w:t>ل</w:t>
            </w:r>
            <w:r w:rsidRPr="00F82094">
              <w:rPr>
                <w:rFonts w:hint="cs"/>
                <w:b/>
                <w:bCs/>
                <w:rtl/>
                <w:lang w:bidi="ar-EG"/>
              </w:rPr>
              <w:t xml:space="preserve">لوثيقة </w:t>
            </w:r>
            <w:r w:rsidRPr="00F82094">
              <w:rPr>
                <w:b/>
                <w:bCs/>
                <w:lang w:bidi="ar-SY"/>
              </w:rPr>
              <w:t>C21/</w:t>
            </w:r>
            <w:r w:rsidR="00F82094">
              <w:rPr>
                <w:b/>
                <w:bCs/>
                <w:lang w:bidi="ar-SY"/>
              </w:rPr>
              <w:t>65</w:t>
            </w:r>
            <w:r w:rsidRPr="00F82094">
              <w:rPr>
                <w:b/>
                <w:bCs/>
                <w:lang w:bidi="ar-SY"/>
              </w:rPr>
              <w:t>-A</w:t>
            </w:r>
          </w:p>
        </w:tc>
      </w:tr>
      <w:tr w:rsidR="0015650C" w:rsidRPr="00290728" w14:paraId="05CE6E92" w14:textId="77777777" w:rsidTr="009F66A8">
        <w:trPr>
          <w:cantSplit/>
        </w:trPr>
        <w:tc>
          <w:tcPr>
            <w:tcW w:w="6620" w:type="dxa"/>
            <w:vMerge/>
          </w:tcPr>
          <w:p w14:paraId="786B7716" w14:textId="77777777" w:rsidR="0015650C" w:rsidRPr="00F82094" w:rsidRDefault="0015650C" w:rsidP="003C6B4F">
            <w:pPr>
              <w:spacing w:before="20" w:after="20" w:line="300" w:lineRule="exact"/>
              <w:rPr>
                <w:b/>
                <w:bCs/>
                <w:lang w:bidi="ar-SY"/>
              </w:rPr>
            </w:pPr>
          </w:p>
        </w:tc>
        <w:tc>
          <w:tcPr>
            <w:tcW w:w="3052" w:type="dxa"/>
            <w:vAlign w:val="center"/>
          </w:tcPr>
          <w:p w14:paraId="4DC47BCE" w14:textId="6D6ED13E" w:rsidR="0015650C" w:rsidRPr="00F82094" w:rsidRDefault="00F82094" w:rsidP="003C6B4F">
            <w:pPr>
              <w:spacing w:before="20" w:after="20" w:line="300" w:lineRule="exact"/>
              <w:rPr>
                <w:b/>
                <w:bCs/>
                <w:rtl/>
                <w:lang w:bidi="ar-EG"/>
              </w:rPr>
            </w:pPr>
            <w:r>
              <w:rPr>
                <w:rFonts w:hint="cs"/>
                <w:b/>
                <w:bCs/>
                <w:rtl/>
                <w:lang w:bidi="ar-SY"/>
              </w:rPr>
              <w:t>19 مارس</w:t>
            </w:r>
            <w:r w:rsidR="0015650C" w:rsidRPr="00F82094">
              <w:rPr>
                <w:rFonts w:hint="cs"/>
                <w:b/>
                <w:bCs/>
                <w:rtl/>
                <w:lang w:bidi="ar-EG"/>
              </w:rPr>
              <w:t xml:space="preserve"> </w:t>
            </w:r>
            <w:r w:rsidR="0015650C" w:rsidRPr="00F82094">
              <w:rPr>
                <w:b/>
                <w:bCs/>
                <w:lang w:bidi="ar-SY"/>
              </w:rPr>
              <w:t>2021</w:t>
            </w:r>
          </w:p>
        </w:tc>
      </w:tr>
      <w:tr w:rsidR="0015650C" w:rsidRPr="00290728" w14:paraId="73383CA1" w14:textId="77777777" w:rsidTr="009F66A8">
        <w:trPr>
          <w:cantSplit/>
        </w:trPr>
        <w:tc>
          <w:tcPr>
            <w:tcW w:w="6620" w:type="dxa"/>
            <w:vMerge/>
          </w:tcPr>
          <w:p w14:paraId="5B749D9F" w14:textId="77777777" w:rsidR="0015650C" w:rsidRPr="00F82094" w:rsidRDefault="0015650C" w:rsidP="003C6B4F">
            <w:pPr>
              <w:spacing w:before="20" w:after="20" w:line="300" w:lineRule="exact"/>
              <w:rPr>
                <w:b/>
                <w:bCs/>
                <w:lang w:bidi="ar-EG"/>
              </w:rPr>
            </w:pPr>
          </w:p>
        </w:tc>
        <w:tc>
          <w:tcPr>
            <w:tcW w:w="3052" w:type="dxa"/>
            <w:vAlign w:val="center"/>
          </w:tcPr>
          <w:p w14:paraId="23CFBAA6" w14:textId="77777777" w:rsidR="0015650C" w:rsidRPr="00F82094" w:rsidRDefault="0015650C" w:rsidP="003C6B4F">
            <w:pPr>
              <w:spacing w:before="20" w:after="20" w:line="300" w:lineRule="exact"/>
              <w:rPr>
                <w:b/>
                <w:bCs/>
                <w:lang w:bidi="ar-SY"/>
              </w:rPr>
            </w:pPr>
            <w:r w:rsidRPr="00F82094">
              <w:rPr>
                <w:b/>
                <w:bCs/>
                <w:rtl/>
                <w:lang w:bidi="ar-EG"/>
              </w:rPr>
              <w:t xml:space="preserve">الأصل: </w:t>
            </w:r>
            <w:r w:rsidRPr="00F82094">
              <w:rPr>
                <w:rFonts w:hint="cs"/>
                <w:b/>
                <w:bCs/>
                <w:rtl/>
                <w:lang w:bidi="ar-EG"/>
              </w:rPr>
              <w:t>بالإنكليزية</w:t>
            </w:r>
          </w:p>
        </w:tc>
      </w:tr>
      <w:tr w:rsidR="00290728" w:rsidRPr="00290728" w14:paraId="3AEB07A2" w14:textId="77777777" w:rsidTr="009F66A8">
        <w:trPr>
          <w:cantSplit/>
        </w:trPr>
        <w:tc>
          <w:tcPr>
            <w:tcW w:w="9672" w:type="dxa"/>
            <w:gridSpan w:val="2"/>
          </w:tcPr>
          <w:p w14:paraId="4F7AF3E2" w14:textId="68EDF5FA" w:rsidR="00290728" w:rsidRPr="00290728" w:rsidRDefault="00F82094" w:rsidP="00290728">
            <w:pPr>
              <w:pStyle w:val="Source"/>
              <w:rPr>
                <w:rtl/>
                <w:lang w:bidi="ar-EG"/>
              </w:rPr>
            </w:pPr>
            <w:r>
              <w:rPr>
                <w:rFonts w:hint="cs"/>
                <w:rtl/>
                <w:lang w:bidi="ar-SY"/>
              </w:rPr>
              <w:t>تقرير من الأمين العام</w:t>
            </w:r>
          </w:p>
        </w:tc>
      </w:tr>
      <w:tr w:rsidR="00290728" w:rsidRPr="00290728" w14:paraId="7945A069" w14:textId="77777777" w:rsidTr="009F66A8">
        <w:trPr>
          <w:cantSplit/>
        </w:trPr>
        <w:tc>
          <w:tcPr>
            <w:tcW w:w="9672" w:type="dxa"/>
            <w:gridSpan w:val="2"/>
          </w:tcPr>
          <w:p w14:paraId="6590A638" w14:textId="0CA423E6" w:rsidR="00290728" w:rsidRPr="00383829" w:rsidRDefault="00F82094" w:rsidP="007C3BCD">
            <w:pPr>
              <w:pStyle w:val="Title1"/>
              <w:rPr>
                <w:rtl/>
              </w:rPr>
            </w:pPr>
            <w:r w:rsidRPr="009D0E0B">
              <w:rPr>
                <w:rtl/>
              </w:rPr>
              <w:t xml:space="preserve">مشروع </w:t>
            </w:r>
            <w:r w:rsidR="00A71040">
              <w:rPr>
                <w:rFonts w:hint="cs"/>
                <w:rtl/>
              </w:rPr>
              <w:t>ال</w:t>
            </w:r>
            <w:r w:rsidRPr="009D0E0B">
              <w:rPr>
                <w:rtl/>
              </w:rPr>
              <w:t xml:space="preserve">ميزانية للفترة </w:t>
            </w:r>
            <w:r w:rsidRPr="009D0E0B">
              <w:t>20</w:t>
            </w:r>
            <w:r>
              <w:t>2</w:t>
            </w:r>
            <w:r w:rsidR="000C2AA8">
              <w:t>3</w:t>
            </w:r>
            <w:r w:rsidRPr="009D0E0B">
              <w:t>-</w:t>
            </w:r>
            <w:r w:rsidR="000C2AA8">
              <w:t>2022</w:t>
            </w:r>
          </w:p>
        </w:tc>
      </w:tr>
      <w:tr w:rsidR="00DC5FB0" w:rsidRPr="00290728" w14:paraId="3642FF42" w14:textId="77777777" w:rsidTr="009F66A8">
        <w:trPr>
          <w:cantSplit/>
        </w:trPr>
        <w:tc>
          <w:tcPr>
            <w:tcW w:w="9672" w:type="dxa"/>
            <w:gridSpan w:val="2"/>
          </w:tcPr>
          <w:p w14:paraId="7F27D5D3" w14:textId="77777777" w:rsidR="00DC5FB0" w:rsidRPr="00383829" w:rsidRDefault="00DC5FB0" w:rsidP="006A793B">
            <w:pPr>
              <w:rPr>
                <w:rtl/>
              </w:rPr>
            </w:pPr>
          </w:p>
        </w:tc>
      </w:tr>
    </w:tbl>
    <w:p w14:paraId="43474757"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3E6CC9B" w14:textId="77777777" w:rsidTr="00952F86">
        <w:trPr>
          <w:jc w:val="center"/>
        </w:trPr>
        <w:tc>
          <w:tcPr>
            <w:tcW w:w="8080" w:type="dxa"/>
          </w:tcPr>
          <w:p w14:paraId="2088AF92" w14:textId="77777777" w:rsidR="00290728" w:rsidRPr="00290728" w:rsidRDefault="00290728" w:rsidP="00706D7A">
            <w:pPr>
              <w:rPr>
                <w:b/>
                <w:bCs/>
                <w:rtl/>
                <w:lang w:bidi="ar-SY"/>
              </w:rPr>
            </w:pPr>
            <w:r w:rsidRPr="00290728">
              <w:rPr>
                <w:rFonts w:hint="cs"/>
                <w:b/>
                <w:bCs/>
                <w:rtl/>
                <w:lang w:bidi="ar-SY"/>
              </w:rPr>
              <w:t>ملخص</w:t>
            </w:r>
          </w:p>
          <w:p w14:paraId="65C1A99B" w14:textId="50CAA8B5" w:rsidR="00F82094" w:rsidRPr="00B362B7" w:rsidRDefault="00F82094" w:rsidP="00F8209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 xml:space="preserve">يُقدَّم التقرير التالي </w:t>
            </w:r>
            <w:r w:rsidRPr="00B362B7">
              <w:rPr>
                <w:rtl/>
                <w:lang w:bidi="ar-SY"/>
              </w:rPr>
              <w:t xml:space="preserve">لتقديم معلومات عامة </w:t>
            </w:r>
            <w:r>
              <w:rPr>
                <w:rFonts w:hint="cs"/>
                <w:rtl/>
                <w:lang w:bidi="ar-SY"/>
              </w:rPr>
              <w:t>في شكل</w:t>
            </w:r>
            <w:r w:rsidRPr="00B362B7">
              <w:rPr>
                <w:rtl/>
                <w:lang w:bidi="ar-SY"/>
              </w:rPr>
              <w:t xml:space="preserve"> </w:t>
            </w:r>
            <w:r>
              <w:rPr>
                <w:rFonts w:hint="cs"/>
                <w:rtl/>
                <w:lang w:bidi="ar-SY"/>
              </w:rPr>
              <w:t>ال</w:t>
            </w:r>
            <w:r w:rsidRPr="00B362B7">
              <w:rPr>
                <w:rtl/>
                <w:lang w:bidi="ar-SY"/>
              </w:rPr>
              <w:t>إضافة</w:t>
            </w:r>
            <w:r>
              <w:rPr>
                <w:rFonts w:hint="cs"/>
                <w:rtl/>
                <w:lang w:bidi="ar-SY"/>
              </w:rPr>
              <w:t xml:space="preserve"> </w:t>
            </w:r>
            <w:r>
              <w:rPr>
                <w:lang w:val="es-ES" w:bidi="ar-SY"/>
              </w:rPr>
              <w:t>1</w:t>
            </w:r>
            <w:r w:rsidRPr="00B362B7">
              <w:rPr>
                <w:rtl/>
                <w:lang w:bidi="ar-SY"/>
              </w:rPr>
              <w:t xml:space="preserve"> للوثيقة </w:t>
            </w:r>
            <w:r>
              <w:rPr>
                <w:lang w:bidi="ar-SY"/>
              </w:rPr>
              <w:t>C21</w:t>
            </w:r>
            <w:r w:rsidRPr="00B362B7">
              <w:rPr>
                <w:lang w:bidi="ar-SY"/>
              </w:rPr>
              <w:t>/</w:t>
            </w:r>
            <w:r>
              <w:rPr>
                <w:lang w:bidi="ar-SY"/>
              </w:rPr>
              <w:t>65</w:t>
            </w:r>
            <w:r w:rsidRPr="00B362B7">
              <w:rPr>
                <w:rtl/>
                <w:lang w:bidi="ar-SY"/>
              </w:rPr>
              <w:t>:</w:t>
            </w:r>
          </w:p>
          <w:p w14:paraId="519488F5" w14:textId="2F4DDF96" w:rsidR="00F82094" w:rsidRDefault="00F82094" w:rsidP="00F82094">
            <w:pPr>
              <w:rPr>
                <w:rtl/>
                <w:lang w:bidi="ar-SY"/>
              </w:rPr>
            </w:pPr>
            <w:r>
              <w:rPr>
                <w:rtl/>
              </w:rPr>
              <w:tab/>
            </w:r>
            <w:r w:rsidRPr="00B362B7">
              <w:rPr>
                <w:rtl/>
              </w:rPr>
              <w:t>ميزانية أمانة تليكوم الاتحاد ل</w:t>
            </w:r>
            <w:r>
              <w:rPr>
                <w:rFonts w:hint="cs"/>
                <w:rtl/>
              </w:rPr>
              <w:t>ل</w:t>
            </w:r>
            <w:r w:rsidRPr="00B362B7">
              <w:rPr>
                <w:rtl/>
              </w:rPr>
              <w:t xml:space="preserve">فترة </w:t>
            </w:r>
            <w:r>
              <w:t>2023-2022</w:t>
            </w:r>
            <w:r w:rsidRPr="00B362B7">
              <w:rPr>
                <w:rtl/>
              </w:rPr>
              <w:t>.</w:t>
            </w:r>
          </w:p>
          <w:p w14:paraId="4A56FD30" w14:textId="77777777" w:rsidR="00F82094" w:rsidRPr="00290728" w:rsidRDefault="00F82094" w:rsidP="00F82094">
            <w:pPr>
              <w:rPr>
                <w:b/>
                <w:bCs/>
                <w:rtl/>
                <w:lang w:bidi="ar-SY"/>
              </w:rPr>
            </w:pPr>
            <w:r w:rsidRPr="00290728">
              <w:rPr>
                <w:rFonts w:hint="cs"/>
                <w:b/>
                <w:bCs/>
                <w:rtl/>
                <w:lang w:bidi="ar-SY"/>
              </w:rPr>
              <w:t>الإجراء المطلوب</w:t>
            </w:r>
          </w:p>
          <w:p w14:paraId="1659F3B3" w14:textId="2DB835F2" w:rsidR="00290728" w:rsidRPr="00F82094" w:rsidRDefault="00F82094" w:rsidP="00C55D8F">
            <w:pPr>
              <w:spacing w:after="120"/>
              <w:rPr>
                <w:rtl/>
                <w:lang w:bidi="ar-SY"/>
              </w:rPr>
            </w:pPr>
            <w:r w:rsidRPr="0055737C">
              <w:rPr>
                <w:rtl/>
                <w:lang w:bidi="ar-SY"/>
              </w:rPr>
              <w:t xml:space="preserve">يرجى من المجلس </w:t>
            </w:r>
            <w:r w:rsidRPr="0055737C">
              <w:rPr>
                <w:b/>
                <w:bCs/>
                <w:rtl/>
                <w:lang w:bidi="ar-SY"/>
              </w:rPr>
              <w:t>الإحاطة علماً</w:t>
            </w:r>
            <w:r w:rsidRPr="0055737C">
              <w:rPr>
                <w:rtl/>
                <w:lang w:bidi="ar-SY"/>
              </w:rPr>
              <w:t xml:space="preserve"> بهذه الوثيقة.</w:t>
            </w:r>
          </w:p>
        </w:tc>
      </w:tr>
    </w:tbl>
    <w:p w14:paraId="18442117" w14:textId="77777777" w:rsidR="004E11DC" w:rsidRPr="00F974C5" w:rsidRDefault="004E11DC" w:rsidP="0026373E">
      <w:pPr>
        <w:rPr>
          <w:rtl/>
        </w:rPr>
      </w:pPr>
    </w:p>
    <w:p w14:paraId="08B62D7A" w14:textId="77777777" w:rsidR="00290728" w:rsidRDefault="00290728" w:rsidP="00290728">
      <w:pPr>
        <w:rPr>
          <w:rtl/>
          <w:lang w:bidi="ar-EG"/>
        </w:rPr>
      </w:pPr>
      <w:r>
        <w:rPr>
          <w:rtl/>
          <w:lang w:bidi="ar-SY"/>
        </w:rPr>
        <w:br w:type="page"/>
      </w:r>
    </w:p>
    <w:p w14:paraId="4FFB44B0" w14:textId="40C3D344" w:rsidR="00840B10" w:rsidRPr="00C55D8F" w:rsidRDefault="00F82094" w:rsidP="00F82094">
      <w:pPr>
        <w:jc w:val="center"/>
        <w:rPr>
          <w:sz w:val="30"/>
          <w:szCs w:val="30"/>
          <w:rtl/>
          <w:lang w:bidi="ar-SY"/>
        </w:rPr>
      </w:pPr>
      <w:r w:rsidRPr="00C55D8F">
        <w:rPr>
          <w:rFonts w:hint="cs"/>
          <w:sz w:val="30"/>
          <w:szCs w:val="30"/>
          <w:rtl/>
          <w:lang w:bidi="ar-SY"/>
        </w:rPr>
        <w:lastRenderedPageBreak/>
        <w:t>الاتحاد الدولي للاتصالات</w:t>
      </w:r>
    </w:p>
    <w:p w14:paraId="338CBC42" w14:textId="391F00AD" w:rsidR="00F82094" w:rsidRPr="00C55D8F" w:rsidRDefault="00F82094" w:rsidP="00F82094">
      <w:pPr>
        <w:jc w:val="center"/>
        <w:rPr>
          <w:sz w:val="30"/>
          <w:szCs w:val="30"/>
          <w:rtl/>
          <w:lang w:bidi="ar-SY"/>
        </w:rPr>
      </w:pPr>
    </w:p>
    <w:p w14:paraId="7569B85F" w14:textId="67D9602C" w:rsidR="00F82094" w:rsidRPr="00C55D8F" w:rsidRDefault="00371E8A" w:rsidP="00F82094">
      <w:pPr>
        <w:jc w:val="center"/>
        <w:rPr>
          <w:sz w:val="30"/>
          <w:szCs w:val="30"/>
          <w:rtl/>
          <w:lang w:bidi="ar-SY"/>
        </w:rPr>
      </w:pPr>
      <w:r w:rsidRPr="00C55D8F">
        <w:rPr>
          <w:sz w:val="30"/>
          <w:szCs w:val="30"/>
          <w:rtl/>
          <w:lang w:bidi="ar-SY"/>
        </w:rPr>
        <w:t>دائرة إدارة الموارد المالية</w:t>
      </w:r>
    </w:p>
    <w:p w14:paraId="29C58E0F" w14:textId="1AE79058" w:rsidR="00F82094" w:rsidRDefault="00F82094" w:rsidP="00F82094">
      <w:pPr>
        <w:jc w:val="center"/>
        <w:rPr>
          <w:rtl/>
          <w:lang w:bidi="ar-SY"/>
        </w:rPr>
      </w:pPr>
    </w:p>
    <w:tbl>
      <w:tblPr>
        <w:bidiVisual/>
        <w:tblW w:w="5000" w:type="pct"/>
        <w:jc w:val="center"/>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629"/>
      </w:tblGrid>
      <w:tr w:rsidR="00F82094" w:rsidRPr="00844344" w14:paraId="6ABA96CD" w14:textId="77777777" w:rsidTr="00F82094">
        <w:trPr>
          <w:trHeight w:val="517"/>
          <w:tblHeader/>
          <w:jc w:val="center"/>
        </w:trPr>
        <w:tc>
          <w:tcPr>
            <w:tcW w:w="5000" w:type="pct"/>
            <w:shd w:val="clear" w:color="auto" w:fill="DBE5F1"/>
            <w:vAlign w:val="center"/>
          </w:tcPr>
          <w:p w14:paraId="791DC826" w14:textId="77777777" w:rsidR="00F82094" w:rsidRPr="00F82094" w:rsidRDefault="00F82094" w:rsidP="00F82094">
            <w:pPr>
              <w:tabs>
                <w:tab w:val="left" w:pos="1418"/>
              </w:tabs>
              <w:spacing w:before="40" w:after="40"/>
              <w:jc w:val="center"/>
              <w:rPr>
                <w:rFonts w:ascii="Arial" w:hAnsi="Arial" w:cs="Arial"/>
                <w:b/>
                <w:bCs/>
                <w:sz w:val="32"/>
                <w:szCs w:val="32"/>
                <w:lang w:eastAsia="ko-KR"/>
              </w:rPr>
            </w:pPr>
          </w:p>
          <w:p w14:paraId="2C51D533" w14:textId="77777777" w:rsidR="00F82094" w:rsidRDefault="00F82094" w:rsidP="00F82094">
            <w:pPr>
              <w:jc w:val="center"/>
              <w:rPr>
                <w:b/>
                <w:bCs/>
                <w:sz w:val="32"/>
                <w:szCs w:val="32"/>
                <w:rtl/>
              </w:rPr>
            </w:pPr>
            <w:r w:rsidRPr="00F82094">
              <w:rPr>
                <w:b/>
                <w:bCs/>
                <w:sz w:val="32"/>
                <w:szCs w:val="32"/>
                <w:rtl/>
              </w:rPr>
              <w:t>ميزانية</w:t>
            </w:r>
          </w:p>
          <w:p w14:paraId="09F4410F" w14:textId="77777777" w:rsidR="00F82094" w:rsidRDefault="00F82094" w:rsidP="00F82094">
            <w:pPr>
              <w:jc w:val="center"/>
              <w:rPr>
                <w:b/>
                <w:bCs/>
                <w:sz w:val="32"/>
                <w:szCs w:val="32"/>
                <w:rtl/>
              </w:rPr>
            </w:pPr>
            <w:r w:rsidRPr="00F82094">
              <w:rPr>
                <w:b/>
                <w:bCs/>
                <w:sz w:val="32"/>
                <w:szCs w:val="32"/>
                <w:rtl/>
              </w:rPr>
              <w:t>أمانة تليكوم الاتحاد</w:t>
            </w:r>
          </w:p>
          <w:p w14:paraId="5DF156C7" w14:textId="1E06E7B8" w:rsidR="00F82094" w:rsidRPr="00F82094" w:rsidRDefault="00F82094" w:rsidP="00F82094">
            <w:pPr>
              <w:jc w:val="center"/>
              <w:rPr>
                <w:b/>
                <w:bCs/>
                <w:sz w:val="32"/>
                <w:szCs w:val="32"/>
                <w:rtl/>
              </w:rPr>
            </w:pPr>
            <w:r w:rsidRPr="00F82094">
              <w:rPr>
                <w:b/>
                <w:bCs/>
                <w:sz w:val="32"/>
                <w:szCs w:val="32"/>
                <w:rtl/>
              </w:rPr>
              <w:t>ل</w:t>
            </w:r>
            <w:r w:rsidRPr="00F82094">
              <w:rPr>
                <w:rFonts w:hint="cs"/>
                <w:b/>
                <w:bCs/>
                <w:sz w:val="32"/>
                <w:szCs w:val="32"/>
                <w:rtl/>
              </w:rPr>
              <w:t>ل</w:t>
            </w:r>
            <w:r w:rsidRPr="00F82094">
              <w:rPr>
                <w:b/>
                <w:bCs/>
                <w:sz w:val="32"/>
                <w:szCs w:val="32"/>
                <w:rtl/>
              </w:rPr>
              <w:t xml:space="preserve">فترة </w:t>
            </w:r>
            <w:r w:rsidRPr="00F82094">
              <w:rPr>
                <w:b/>
                <w:bCs/>
                <w:sz w:val="32"/>
                <w:szCs w:val="32"/>
              </w:rPr>
              <w:t>2023-2022</w:t>
            </w:r>
          </w:p>
          <w:p w14:paraId="55727440" w14:textId="42EB74EC" w:rsidR="00F82094" w:rsidRPr="00F82094" w:rsidRDefault="00F82094" w:rsidP="00F82094">
            <w:pPr>
              <w:tabs>
                <w:tab w:val="left" w:pos="1418"/>
              </w:tabs>
              <w:spacing w:before="40" w:after="40"/>
              <w:jc w:val="center"/>
              <w:rPr>
                <w:rFonts w:ascii="Arial" w:hAnsi="Arial" w:cs="Arial"/>
                <w:b/>
                <w:bCs/>
                <w:sz w:val="32"/>
                <w:szCs w:val="32"/>
                <w:lang w:eastAsia="ko-KR"/>
              </w:rPr>
            </w:pPr>
          </w:p>
          <w:p w14:paraId="22E29D55" w14:textId="77777777" w:rsidR="00F82094" w:rsidRPr="00844344" w:rsidRDefault="00F82094" w:rsidP="00F82094">
            <w:pPr>
              <w:tabs>
                <w:tab w:val="left" w:pos="1418"/>
              </w:tabs>
              <w:spacing w:before="40" w:after="40"/>
              <w:jc w:val="center"/>
              <w:rPr>
                <w:rFonts w:ascii="Arial" w:hAnsi="Arial" w:cs="Arial"/>
                <w:b/>
                <w:sz w:val="32"/>
                <w:szCs w:val="32"/>
                <w:lang w:eastAsia="ko-KR"/>
              </w:rPr>
            </w:pPr>
          </w:p>
        </w:tc>
      </w:tr>
    </w:tbl>
    <w:p w14:paraId="4C8872FE" w14:textId="77777777" w:rsidR="00F82094" w:rsidRDefault="00F82094" w:rsidP="00F82094">
      <w:pPr>
        <w:jc w:val="center"/>
        <w:rPr>
          <w:rtl/>
        </w:rPr>
      </w:pPr>
    </w:p>
    <w:p w14:paraId="1BC5BCB8" w14:textId="0BE5A44E" w:rsidR="00F82094" w:rsidRDefault="00F82094" w:rsidP="00F82094">
      <w:pPr>
        <w:jc w:val="center"/>
        <w:rPr>
          <w:rtl/>
        </w:rPr>
      </w:pPr>
    </w:p>
    <w:p w14:paraId="03DD066D" w14:textId="3F94CDDF" w:rsidR="00F82094" w:rsidRPr="00C55D8F" w:rsidRDefault="00371E8A" w:rsidP="00F82094">
      <w:pPr>
        <w:jc w:val="center"/>
        <w:rPr>
          <w:sz w:val="30"/>
          <w:szCs w:val="30"/>
          <w:rtl/>
          <w:lang w:bidi="ar-SY"/>
        </w:rPr>
      </w:pPr>
      <w:r w:rsidRPr="00C55D8F">
        <w:rPr>
          <w:rFonts w:hint="cs"/>
          <w:sz w:val="30"/>
          <w:szCs w:val="30"/>
          <w:rtl/>
        </w:rPr>
        <w:t>في</w:t>
      </w:r>
      <w:r w:rsidR="00F82094" w:rsidRPr="00C55D8F">
        <w:rPr>
          <w:rFonts w:hint="cs"/>
          <w:sz w:val="30"/>
          <w:szCs w:val="30"/>
          <w:rtl/>
        </w:rPr>
        <w:t xml:space="preserve"> 18 مارس 2021</w:t>
      </w:r>
    </w:p>
    <w:p w14:paraId="7586E395" w14:textId="77777777" w:rsidR="0074420E" w:rsidRDefault="0074420E" w:rsidP="0026373E">
      <w:pPr>
        <w:rPr>
          <w:rtl/>
          <w:lang w:bidi="ar-EG"/>
        </w:rPr>
      </w:pPr>
    </w:p>
    <w:p w14:paraId="52D5CE8D" w14:textId="77777777" w:rsidR="0026373E" w:rsidRDefault="0026373E" w:rsidP="0026373E">
      <w:pPr>
        <w:rPr>
          <w:rtl/>
          <w:lang w:bidi="ar-EG"/>
        </w:rPr>
      </w:pPr>
    </w:p>
    <w:p w14:paraId="6F61E823" w14:textId="77777777" w:rsidR="0026373E" w:rsidRDefault="0026373E">
      <w:pPr>
        <w:tabs>
          <w:tab w:val="clear" w:pos="794"/>
        </w:tabs>
        <w:bidi w:val="0"/>
        <w:spacing w:before="0" w:after="160" w:line="259" w:lineRule="auto"/>
        <w:jc w:val="left"/>
        <w:rPr>
          <w:rtl/>
          <w:lang w:bidi="ar-EG"/>
        </w:rPr>
      </w:pPr>
      <w:r>
        <w:rPr>
          <w:rtl/>
          <w:lang w:bidi="ar-EG"/>
        </w:rPr>
        <w:br w:type="page"/>
      </w:r>
    </w:p>
    <w:tbl>
      <w:tblPr>
        <w:bidiVisual/>
        <w:tblW w:w="5000" w:type="pct"/>
        <w:jc w:val="center"/>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629"/>
      </w:tblGrid>
      <w:tr w:rsidR="00F82094" w:rsidRPr="00844344" w14:paraId="311ED0A2" w14:textId="77777777" w:rsidTr="00EF3005">
        <w:trPr>
          <w:trHeight w:val="517"/>
          <w:tblHeader/>
          <w:jc w:val="center"/>
        </w:trPr>
        <w:tc>
          <w:tcPr>
            <w:tcW w:w="5000" w:type="pct"/>
            <w:shd w:val="clear" w:color="auto" w:fill="DBE5F1"/>
            <w:vAlign w:val="center"/>
          </w:tcPr>
          <w:p w14:paraId="40164340" w14:textId="556E0202" w:rsidR="00F82094" w:rsidRPr="00844344" w:rsidRDefault="00F82094" w:rsidP="00F82094">
            <w:pPr>
              <w:jc w:val="center"/>
              <w:rPr>
                <w:rFonts w:ascii="Arial" w:hAnsi="Arial" w:cs="Arial"/>
                <w:b/>
                <w:sz w:val="32"/>
                <w:szCs w:val="32"/>
                <w:lang w:eastAsia="ko-KR"/>
              </w:rPr>
            </w:pPr>
            <w:r w:rsidRPr="00F82094">
              <w:rPr>
                <w:b/>
                <w:bCs/>
                <w:sz w:val="32"/>
                <w:szCs w:val="32"/>
                <w:rtl/>
              </w:rPr>
              <w:lastRenderedPageBreak/>
              <w:t>ميزانية</w:t>
            </w:r>
            <w:r>
              <w:rPr>
                <w:rFonts w:hint="cs"/>
                <w:b/>
                <w:bCs/>
                <w:sz w:val="32"/>
                <w:szCs w:val="32"/>
                <w:rtl/>
              </w:rPr>
              <w:t xml:space="preserve"> </w:t>
            </w:r>
            <w:r w:rsidRPr="00F82094">
              <w:rPr>
                <w:b/>
                <w:bCs/>
                <w:sz w:val="32"/>
                <w:szCs w:val="32"/>
                <w:rtl/>
              </w:rPr>
              <w:t>أمانة تليكوم الاتحاد</w:t>
            </w:r>
            <w:r>
              <w:rPr>
                <w:b/>
                <w:bCs/>
                <w:sz w:val="32"/>
                <w:szCs w:val="32"/>
                <w:rtl/>
              </w:rPr>
              <w:br/>
            </w:r>
            <w:r w:rsidRPr="00F82094">
              <w:rPr>
                <w:b/>
                <w:bCs/>
                <w:sz w:val="32"/>
                <w:szCs w:val="32"/>
                <w:rtl/>
              </w:rPr>
              <w:t>ل</w:t>
            </w:r>
            <w:r w:rsidRPr="00F82094">
              <w:rPr>
                <w:rFonts w:hint="cs"/>
                <w:b/>
                <w:bCs/>
                <w:sz w:val="32"/>
                <w:szCs w:val="32"/>
                <w:rtl/>
              </w:rPr>
              <w:t>ل</w:t>
            </w:r>
            <w:r w:rsidRPr="00F82094">
              <w:rPr>
                <w:b/>
                <w:bCs/>
                <w:sz w:val="32"/>
                <w:szCs w:val="32"/>
                <w:rtl/>
              </w:rPr>
              <w:t xml:space="preserve">فترة </w:t>
            </w:r>
            <w:r w:rsidRPr="00F82094">
              <w:rPr>
                <w:b/>
                <w:bCs/>
                <w:sz w:val="32"/>
                <w:szCs w:val="32"/>
              </w:rPr>
              <w:t>2023-2022</w:t>
            </w:r>
          </w:p>
        </w:tc>
      </w:tr>
    </w:tbl>
    <w:p w14:paraId="1A137CA8" w14:textId="77777777" w:rsidR="0026373E" w:rsidRPr="00F82094" w:rsidRDefault="0026373E" w:rsidP="0026373E">
      <w:pPr>
        <w:rPr>
          <w:rtl/>
          <w:lang w:bidi="ar-EG"/>
        </w:rPr>
      </w:pPr>
    </w:p>
    <w:p w14:paraId="78A1E8E8" w14:textId="0A5BF809" w:rsidR="00BB7213" w:rsidRPr="00C55D8F" w:rsidRDefault="00F82094" w:rsidP="00F82094">
      <w:pPr>
        <w:jc w:val="center"/>
        <w:rPr>
          <w:b/>
          <w:bCs/>
          <w:sz w:val="26"/>
          <w:szCs w:val="26"/>
          <w:rtl/>
          <w:lang w:bidi="ar-EG"/>
        </w:rPr>
      </w:pPr>
      <w:r w:rsidRPr="00C55D8F">
        <w:rPr>
          <w:rFonts w:hint="cs"/>
          <w:b/>
          <w:bCs/>
          <w:sz w:val="26"/>
          <w:szCs w:val="26"/>
          <w:rtl/>
          <w:lang w:bidi="ar-EG"/>
        </w:rPr>
        <w:t>جدول المحتويات</w:t>
      </w:r>
    </w:p>
    <w:p w14:paraId="76710F1A" w14:textId="535C54C1" w:rsidR="00BB7213" w:rsidRPr="00C55D8F" w:rsidRDefault="00F82094" w:rsidP="00F82094">
      <w:pPr>
        <w:jc w:val="right"/>
        <w:rPr>
          <w:b/>
          <w:bCs/>
          <w:rtl/>
          <w:lang w:bidi="ar-EG"/>
        </w:rPr>
      </w:pPr>
      <w:r w:rsidRPr="00C55D8F">
        <w:rPr>
          <w:rFonts w:hint="cs"/>
          <w:b/>
          <w:bCs/>
          <w:rtl/>
          <w:lang w:bidi="ar-EG"/>
        </w:rPr>
        <w:t>الصفحة</w:t>
      </w:r>
    </w:p>
    <w:p w14:paraId="5A755B87" w14:textId="2D0265A4" w:rsidR="00C55D8F" w:rsidRDefault="00C55D8F" w:rsidP="00C55D8F">
      <w:pPr>
        <w:pStyle w:val="TOC1"/>
        <w:tabs>
          <w:tab w:val="left" w:leader="dot" w:pos="8788"/>
          <w:tab w:val="right" w:pos="9355"/>
        </w:tabs>
        <w:spacing w:before="240"/>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b,1</w:instrText>
      </w:r>
      <w:r>
        <w:rPr>
          <w:rtl/>
          <w:lang w:bidi="ar-EG"/>
        </w:rPr>
        <w:instrText xml:space="preserve">" </w:instrText>
      </w:r>
      <w:r>
        <w:rPr>
          <w:rtl/>
          <w:lang w:bidi="ar-EG"/>
        </w:rPr>
        <w:fldChar w:fldCharType="separate"/>
      </w:r>
      <w:hyperlink w:anchor="_Toc69733449" w:history="1">
        <w:r w:rsidRPr="005F47A6">
          <w:rPr>
            <w:rStyle w:val="Hyperlink"/>
            <w:noProof/>
            <w:rtl/>
            <w:lang w:bidi="ar-EG"/>
          </w:rPr>
          <w:t>نفقات أمانة تليكوم الاتحاد</w:t>
        </w:r>
        <w:r>
          <w:rPr>
            <w:noProof/>
            <w:webHidden/>
          </w:rPr>
          <w:tab/>
        </w:r>
        <w:r>
          <w:rPr>
            <w:noProof/>
            <w:webHidden/>
          </w:rPr>
          <w:tab/>
        </w:r>
        <w:r>
          <w:rPr>
            <w:noProof/>
            <w:webHidden/>
          </w:rPr>
          <w:fldChar w:fldCharType="begin"/>
        </w:r>
        <w:r>
          <w:rPr>
            <w:noProof/>
            <w:webHidden/>
          </w:rPr>
          <w:instrText xml:space="preserve"> PAGEREF _Toc69733449 \h </w:instrText>
        </w:r>
        <w:r>
          <w:rPr>
            <w:noProof/>
            <w:webHidden/>
          </w:rPr>
        </w:r>
        <w:r>
          <w:rPr>
            <w:noProof/>
            <w:webHidden/>
          </w:rPr>
          <w:fldChar w:fldCharType="separate"/>
        </w:r>
        <w:r>
          <w:rPr>
            <w:noProof/>
            <w:webHidden/>
          </w:rPr>
          <w:t>4</w:t>
        </w:r>
        <w:r>
          <w:rPr>
            <w:noProof/>
            <w:webHidden/>
          </w:rPr>
          <w:fldChar w:fldCharType="end"/>
        </w:r>
      </w:hyperlink>
    </w:p>
    <w:p w14:paraId="63453C15" w14:textId="5002125A" w:rsidR="00C55D8F" w:rsidRDefault="00A466D7" w:rsidP="00C55D8F">
      <w:pPr>
        <w:pStyle w:val="TOC1"/>
        <w:tabs>
          <w:tab w:val="left" w:leader="dot" w:pos="8788"/>
          <w:tab w:val="right" w:pos="9355"/>
        </w:tabs>
        <w:spacing w:before="240"/>
        <w:rPr>
          <w:rFonts w:asciiTheme="minorHAnsi" w:hAnsiTheme="minorHAnsi" w:cstheme="minorBidi"/>
          <w:noProof/>
          <w:lang w:val="en-GB" w:eastAsia="en-GB"/>
        </w:rPr>
      </w:pPr>
      <w:hyperlink w:anchor="_Toc69733450" w:history="1">
        <w:r w:rsidR="00C55D8F" w:rsidRPr="005F47A6">
          <w:rPr>
            <w:rStyle w:val="Hyperlink"/>
            <w:noProof/>
            <w:rtl/>
            <w:lang w:bidi="ar-EG"/>
          </w:rPr>
          <w:t>موارد أمانة تليكوم الاتحاد</w:t>
        </w:r>
        <w:r w:rsidR="00C55D8F">
          <w:rPr>
            <w:noProof/>
            <w:webHidden/>
          </w:rPr>
          <w:tab/>
        </w:r>
        <w:r w:rsidR="00C55D8F">
          <w:rPr>
            <w:noProof/>
            <w:webHidden/>
          </w:rPr>
          <w:tab/>
        </w:r>
        <w:r w:rsidR="00C55D8F">
          <w:rPr>
            <w:noProof/>
            <w:webHidden/>
          </w:rPr>
          <w:fldChar w:fldCharType="begin"/>
        </w:r>
        <w:r w:rsidR="00C55D8F">
          <w:rPr>
            <w:noProof/>
            <w:webHidden/>
          </w:rPr>
          <w:instrText xml:space="preserve"> PAGEREF _Toc69733450 \h </w:instrText>
        </w:r>
        <w:r w:rsidR="00C55D8F">
          <w:rPr>
            <w:noProof/>
            <w:webHidden/>
          </w:rPr>
        </w:r>
        <w:r w:rsidR="00C55D8F">
          <w:rPr>
            <w:noProof/>
            <w:webHidden/>
          </w:rPr>
          <w:fldChar w:fldCharType="separate"/>
        </w:r>
        <w:r w:rsidR="00C55D8F">
          <w:rPr>
            <w:noProof/>
            <w:webHidden/>
          </w:rPr>
          <w:t>4</w:t>
        </w:r>
        <w:r w:rsidR="00C55D8F">
          <w:rPr>
            <w:noProof/>
            <w:webHidden/>
          </w:rPr>
          <w:fldChar w:fldCharType="end"/>
        </w:r>
      </w:hyperlink>
    </w:p>
    <w:p w14:paraId="721EDD00" w14:textId="7A86F55C" w:rsidR="00C55D8F" w:rsidRDefault="00A466D7" w:rsidP="00C55D8F">
      <w:pPr>
        <w:pStyle w:val="TOC1"/>
        <w:tabs>
          <w:tab w:val="left" w:leader="dot" w:pos="8788"/>
          <w:tab w:val="right" w:pos="9355"/>
        </w:tabs>
        <w:spacing w:before="240"/>
        <w:rPr>
          <w:rFonts w:asciiTheme="minorHAnsi" w:hAnsiTheme="minorHAnsi" w:cstheme="minorBidi"/>
          <w:noProof/>
          <w:lang w:val="en-GB" w:eastAsia="en-GB"/>
        </w:rPr>
      </w:pPr>
      <w:hyperlink w:anchor="_Toc69733451" w:history="1">
        <w:r w:rsidR="00C55D8F" w:rsidRPr="005F47A6">
          <w:rPr>
            <w:rStyle w:val="Hyperlink"/>
            <w:noProof/>
            <w:rtl/>
            <w:lang w:bidi="ar-EG"/>
          </w:rPr>
          <w:t>استرداد التكاليف من تليكوم الاتحاد</w:t>
        </w:r>
        <w:r w:rsidR="00C55D8F">
          <w:rPr>
            <w:noProof/>
            <w:webHidden/>
          </w:rPr>
          <w:tab/>
        </w:r>
        <w:r w:rsidR="00C55D8F">
          <w:rPr>
            <w:noProof/>
            <w:webHidden/>
          </w:rPr>
          <w:tab/>
        </w:r>
        <w:r w:rsidR="00C55D8F">
          <w:rPr>
            <w:noProof/>
            <w:webHidden/>
          </w:rPr>
          <w:fldChar w:fldCharType="begin"/>
        </w:r>
        <w:r w:rsidR="00C55D8F">
          <w:rPr>
            <w:noProof/>
            <w:webHidden/>
          </w:rPr>
          <w:instrText xml:space="preserve"> PAGEREF _Toc69733451 \h </w:instrText>
        </w:r>
        <w:r w:rsidR="00C55D8F">
          <w:rPr>
            <w:noProof/>
            <w:webHidden/>
          </w:rPr>
        </w:r>
        <w:r w:rsidR="00C55D8F">
          <w:rPr>
            <w:noProof/>
            <w:webHidden/>
          </w:rPr>
          <w:fldChar w:fldCharType="separate"/>
        </w:r>
        <w:r w:rsidR="00C55D8F">
          <w:rPr>
            <w:noProof/>
            <w:webHidden/>
          </w:rPr>
          <w:t>5</w:t>
        </w:r>
        <w:r w:rsidR="00C55D8F">
          <w:rPr>
            <w:noProof/>
            <w:webHidden/>
          </w:rPr>
          <w:fldChar w:fldCharType="end"/>
        </w:r>
      </w:hyperlink>
    </w:p>
    <w:p w14:paraId="25112E01" w14:textId="267FD57E" w:rsidR="00C55D8F" w:rsidRDefault="00A466D7" w:rsidP="00C55D8F">
      <w:pPr>
        <w:pStyle w:val="TOC1"/>
        <w:tabs>
          <w:tab w:val="left" w:leader="dot" w:pos="8788"/>
          <w:tab w:val="right" w:pos="9355"/>
        </w:tabs>
        <w:spacing w:before="240"/>
        <w:rPr>
          <w:rFonts w:asciiTheme="minorHAnsi" w:hAnsiTheme="minorHAnsi" w:cstheme="minorBidi"/>
          <w:noProof/>
          <w:lang w:val="en-GB" w:eastAsia="en-GB"/>
        </w:rPr>
      </w:pPr>
      <w:hyperlink w:anchor="_Toc69733452" w:history="1">
        <w:r w:rsidR="00C55D8F" w:rsidRPr="005F47A6">
          <w:rPr>
            <w:rStyle w:val="Hyperlink"/>
            <w:noProof/>
            <w:rtl/>
            <w:lang w:bidi="ar-EG"/>
          </w:rPr>
          <w:t>استخدام الموارد</w:t>
        </w:r>
        <w:r w:rsidR="00C55D8F">
          <w:rPr>
            <w:noProof/>
            <w:webHidden/>
          </w:rPr>
          <w:tab/>
        </w:r>
        <w:r w:rsidR="00C55D8F">
          <w:rPr>
            <w:noProof/>
            <w:webHidden/>
          </w:rPr>
          <w:tab/>
        </w:r>
        <w:r w:rsidR="00C55D8F">
          <w:rPr>
            <w:noProof/>
            <w:webHidden/>
          </w:rPr>
          <w:fldChar w:fldCharType="begin"/>
        </w:r>
        <w:r w:rsidR="00C55D8F">
          <w:rPr>
            <w:noProof/>
            <w:webHidden/>
          </w:rPr>
          <w:instrText xml:space="preserve"> PAGEREF _Toc69733452 \h </w:instrText>
        </w:r>
        <w:r w:rsidR="00C55D8F">
          <w:rPr>
            <w:noProof/>
            <w:webHidden/>
          </w:rPr>
        </w:r>
        <w:r w:rsidR="00C55D8F">
          <w:rPr>
            <w:noProof/>
            <w:webHidden/>
          </w:rPr>
          <w:fldChar w:fldCharType="separate"/>
        </w:r>
        <w:r w:rsidR="00C55D8F">
          <w:rPr>
            <w:noProof/>
            <w:webHidden/>
          </w:rPr>
          <w:t>6</w:t>
        </w:r>
        <w:r w:rsidR="00C55D8F">
          <w:rPr>
            <w:noProof/>
            <w:webHidden/>
          </w:rPr>
          <w:fldChar w:fldCharType="end"/>
        </w:r>
      </w:hyperlink>
    </w:p>
    <w:p w14:paraId="1F1EB083" w14:textId="112DFB0C" w:rsidR="00C55D8F" w:rsidRDefault="00A466D7" w:rsidP="00C55D8F">
      <w:pPr>
        <w:pStyle w:val="TOC1"/>
        <w:tabs>
          <w:tab w:val="left" w:leader="dot" w:pos="8788"/>
          <w:tab w:val="right" w:pos="9355"/>
        </w:tabs>
        <w:spacing w:before="240"/>
        <w:rPr>
          <w:rFonts w:asciiTheme="minorHAnsi" w:hAnsiTheme="minorHAnsi" w:cstheme="minorBidi"/>
          <w:noProof/>
          <w:lang w:val="en-GB" w:eastAsia="en-GB"/>
        </w:rPr>
      </w:pPr>
      <w:hyperlink w:anchor="_Toc69733453" w:history="1">
        <w:r w:rsidR="00C55D8F" w:rsidRPr="005F47A6">
          <w:rPr>
            <w:rStyle w:val="Hyperlink"/>
            <w:noProof/>
            <w:rtl/>
            <w:lang w:bidi="ar-EG"/>
          </w:rPr>
          <w:t>تمويل الموارد</w:t>
        </w:r>
        <w:r w:rsidR="00C55D8F">
          <w:rPr>
            <w:noProof/>
            <w:webHidden/>
          </w:rPr>
          <w:tab/>
        </w:r>
        <w:r w:rsidR="00C55D8F">
          <w:rPr>
            <w:noProof/>
            <w:webHidden/>
          </w:rPr>
          <w:tab/>
        </w:r>
        <w:r w:rsidR="00C55D8F">
          <w:rPr>
            <w:noProof/>
            <w:webHidden/>
          </w:rPr>
          <w:fldChar w:fldCharType="begin"/>
        </w:r>
        <w:r w:rsidR="00C55D8F">
          <w:rPr>
            <w:noProof/>
            <w:webHidden/>
          </w:rPr>
          <w:instrText xml:space="preserve"> PAGEREF _Toc69733453 \h </w:instrText>
        </w:r>
        <w:r w:rsidR="00C55D8F">
          <w:rPr>
            <w:noProof/>
            <w:webHidden/>
          </w:rPr>
        </w:r>
        <w:r w:rsidR="00C55D8F">
          <w:rPr>
            <w:noProof/>
            <w:webHidden/>
          </w:rPr>
          <w:fldChar w:fldCharType="separate"/>
        </w:r>
        <w:r w:rsidR="00C55D8F">
          <w:rPr>
            <w:noProof/>
            <w:webHidden/>
          </w:rPr>
          <w:t>6</w:t>
        </w:r>
        <w:r w:rsidR="00C55D8F">
          <w:rPr>
            <w:noProof/>
            <w:webHidden/>
          </w:rPr>
          <w:fldChar w:fldCharType="end"/>
        </w:r>
      </w:hyperlink>
    </w:p>
    <w:p w14:paraId="77664463" w14:textId="2C04BEA6" w:rsidR="00C55D8F" w:rsidRDefault="00A466D7" w:rsidP="00C55D8F">
      <w:pPr>
        <w:pStyle w:val="TOC1"/>
        <w:tabs>
          <w:tab w:val="left" w:leader="dot" w:pos="8788"/>
          <w:tab w:val="right" w:pos="9355"/>
        </w:tabs>
        <w:spacing w:before="240"/>
        <w:rPr>
          <w:rFonts w:asciiTheme="minorHAnsi" w:hAnsiTheme="minorHAnsi" w:cstheme="minorBidi"/>
          <w:noProof/>
          <w:lang w:val="en-GB" w:eastAsia="en-GB"/>
        </w:rPr>
      </w:pPr>
      <w:hyperlink w:anchor="_Toc69733454" w:history="1">
        <w:r w:rsidR="00C55D8F" w:rsidRPr="005F47A6">
          <w:rPr>
            <w:rStyle w:val="Hyperlink"/>
            <w:noProof/>
            <w:rtl/>
            <w:lang w:bidi="ar-EG"/>
          </w:rPr>
          <w:t xml:space="preserve">صندوق رأس المال العامل للمعارض </w:t>
        </w:r>
        <w:r w:rsidR="00C55D8F" w:rsidRPr="005F47A6">
          <w:rPr>
            <w:rStyle w:val="Hyperlink"/>
            <w:noProof/>
            <w:lang w:val="en-GB" w:bidi="ar-SY"/>
          </w:rPr>
          <w:t>(EWCF)</w:t>
        </w:r>
        <w:r w:rsidR="00C55D8F">
          <w:rPr>
            <w:noProof/>
            <w:webHidden/>
          </w:rPr>
          <w:tab/>
        </w:r>
        <w:r w:rsidR="00C55D8F">
          <w:rPr>
            <w:noProof/>
            <w:webHidden/>
          </w:rPr>
          <w:tab/>
        </w:r>
        <w:r w:rsidR="00C55D8F">
          <w:rPr>
            <w:noProof/>
            <w:webHidden/>
          </w:rPr>
          <w:fldChar w:fldCharType="begin"/>
        </w:r>
        <w:r w:rsidR="00C55D8F">
          <w:rPr>
            <w:noProof/>
            <w:webHidden/>
          </w:rPr>
          <w:instrText xml:space="preserve"> PAGEREF _Toc69733454 \h </w:instrText>
        </w:r>
        <w:r w:rsidR="00C55D8F">
          <w:rPr>
            <w:noProof/>
            <w:webHidden/>
          </w:rPr>
        </w:r>
        <w:r w:rsidR="00C55D8F">
          <w:rPr>
            <w:noProof/>
            <w:webHidden/>
          </w:rPr>
          <w:fldChar w:fldCharType="separate"/>
        </w:r>
        <w:r w:rsidR="00C55D8F">
          <w:rPr>
            <w:noProof/>
            <w:webHidden/>
          </w:rPr>
          <w:t>7</w:t>
        </w:r>
        <w:r w:rsidR="00C55D8F">
          <w:rPr>
            <w:noProof/>
            <w:webHidden/>
          </w:rPr>
          <w:fldChar w:fldCharType="end"/>
        </w:r>
      </w:hyperlink>
    </w:p>
    <w:p w14:paraId="6A5D5E57" w14:textId="295A9003" w:rsidR="00BB7213" w:rsidRDefault="00C55D8F" w:rsidP="00C55D8F">
      <w:pPr>
        <w:rPr>
          <w:rtl/>
          <w:lang w:bidi="ar-EG"/>
        </w:rPr>
      </w:pPr>
      <w:r>
        <w:rPr>
          <w:rtl/>
          <w:lang w:bidi="ar-EG"/>
        </w:rPr>
        <w:fldChar w:fldCharType="end"/>
      </w:r>
    </w:p>
    <w:p w14:paraId="1AF9203A" w14:textId="4A54A858" w:rsidR="00F82094" w:rsidRDefault="00F82094">
      <w:pPr>
        <w:tabs>
          <w:tab w:val="clear" w:pos="794"/>
        </w:tabs>
        <w:bidi w:val="0"/>
        <w:spacing w:before="0" w:after="160" w:line="259" w:lineRule="auto"/>
        <w:jc w:val="left"/>
        <w:rPr>
          <w:rtl/>
          <w:lang w:bidi="ar-EG"/>
        </w:rPr>
      </w:pPr>
      <w:r>
        <w:rPr>
          <w:rtl/>
          <w:lang w:bidi="ar-EG"/>
        </w:rPr>
        <w:br w:type="page"/>
      </w:r>
    </w:p>
    <w:tbl>
      <w:tblPr>
        <w:bidiVisual/>
        <w:tblW w:w="5000" w:type="pct"/>
        <w:jc w:val="center"/>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629"/>
      </w:tblGrid>
      <w:tr w:rsidR="00F82094" w:rsidRPr="00844344" w14:paraId="0C8BC445" w14:textId="77777777" w:rsidTr="00EF3005">
        <w:trPr>
          <w:trHeight w:val="517"/>
          <w:tblHeader/>
          <w:jc w:val="center"/>
        </w:trPr>
        <w:tc>
          <w:tcPr>
            <w:tcW w:w="5000" w:type="pct"/>
            <w:shd w:val="clear" w:color="auto" w:fill="DBE5F1"/>
            <w:vAlign w:val="center"/>
          </w:tcPr>
          <w:p w14:paraId="3B06BCF5" w14:textId="183789B6" w:rsidR="00F82094" w:rsidRPr="00844344" w:rsidRDefault="00F82094" w:rsidP="00F82094">
            <w:pPr>
              <w:jc w:val="center"/>
              <w:rPr>
                <w:rFonts w:ascii="Arial" w:hAnsi="Arial" w:cs="Arial"/>
                <w:b/>
                <w:sz w:val="32"/>
                <w:szCs w:val="32"/>
                <w:lang w:eastAsia="ko-KR"/>
              </w:rPr>
            </w:pPr>
            <w:r w:rsidRPr="00F82094">
              <w:rPr>
                <w:b/>
                <w:bCs/>
                <w:sz w:val="32"/>
                <w:szCs w:val="32"/>
                <w:rtl/>
              </w:rPr>
              <w:lastRenderedPageBreak/>
              <w:t>ميزانية</w:t>
            </w:r>
            <w:r>
              <w:rPr>
                <w:rFonts w:hint="cs"/>
                <w:b/>
                <w:bCs/>
                <w:sz w:val="32"/>
                <w:szCs w:val="32"/>
                <w:rtl/>
              </w:rPr>
              <w:t xml:space="preserve"> </w:t>
            </w:r>
            <w:r w:rsidRPr="00F82094">
              <w:rPr>
                <w:b/>
                <w:bCs/>
                <w:sz w:val="32"/>
                <w:szCs w:val="32"/>
                <w:rtl/>
              </w:rPr>
              <w:t>أمانة تليكوم الاتحاد</w:t>
            </w:r>
            <w:r>
              <w:rPr>
                <w:b/>
                <w:bCs/>
                <w:sz w:val="32"/>
                <w:szCs w:val="32"/>
                <w:rtl/>
              </w:rPr>
              <w:br/>
            </w:r>
            <w:r w:rsidRPr="00F82094">
              <w:rPr>
                <w:b/>
                <w:bCs/>
                <w:sz w:val="32"/>
                <w:szCs w:val="32"/>
                <w:rtl/>
              </w:rPr>
              <w:t>ل</w:t>
            </w:r>
            <w:r w:rsidRPr="00F82094">
              <w:rPr>
                <w:rFonts w:hint="cs"/>
                <w:b/>
                <w:bCs/>
                <w:sz w:val="32"/>
                <w:szCs w:val="32"/>
                <w:rtl/>
              </w:rPr>
              <w:t>ل</w:t>
            </w:r>
            <w:r w:rsidRPr="00F82094">
              <w:rPr>
                <w:b/>
                <w:bCs/>
                <w:sz w:val="32"/>
                <w:szCs w:val="32"/>
                <w:rtl/>
              </w:rPr>
              <w:t xml:space="preserve">فترة </w:t>
            </w:r>
            <w:r w:rsidRPr="00F82094">
              <w:rPr>
                <w:b/>
                <w:bCs/>
                <w:sz w:val="32"/>
                <w:szCs w:val="32"/>
              </w:rPr>
              <w:t>2023-2022</w:t>
            </w:r>
          </w:p>
        </w:tc>
      </w:tr>
    </w:tbl>
    <w:p w14:paraId="6A92F10D" w14:textId="05D22218" w:rsidR="00F82094" w:rsidRPr="00C55D8F" w:rsidRDefault="00F82094" w:rsidP="00F82094">
      <w:pPr>
        <w:pStyle w:val="Normalaftertitle"/>
        <w:rPr>
          <w:spacing w:val="2"/>
          <w:rtl/>
          <w:lang w:bidi="ar-EG"/>
        </w:rPr>
      </w:pPr>
      <w:r w:rsidRPr="00C55D8F">
        <w:rPr>
          <w:spacing w:val="2"/>
        </w:rPr>
        <w:t>1</w:t>
      </w:r>
      <w:r w:rsidRPr="00C55D8F">
        <w:rPr>
          <w:spacing w:val="2"/>
          <w:rtl/>
        </w:rPr>
        <w:tab/>
        <w:t>توضع ميزانية أمانة تليكوم الاتحاد لتخصيص اعتمادات للنفقات المقدرة لأمانة تليكوم الاتحاد التي لا تتصل مباشرة بحدث معيَّن من أحداث تليكوم</w:t>
      </w:r>
      <w:r w:rsidRPr="00C55D8F">
        <w:rPr>
          <w:spacing w:val="2"/>
          <w:rtl/>
          <w:lang w:bidi="ar-EG"/>
        </w:rPr>
        <w:t xml:space="preserve"> الاتحاد </w:t>
      </w:r>
      <w:r w:rsidRPr="00C55D8F">
        <w:rPr>
          <w:spacing w:val="2"/>
          <w:rtl/>
        </w:rPr>
        <w:t>أو ناتج محدد له. و</w:t>
      </w:r>
      <w:r w:rsidRPr="00C55D8F">
        <w:rPr>
          <w:rFonts w:hint="cs"/>
          <w:spacing w:val="2"/>
          <w:rtl/>
        </w:rPr>
        <w:t xml:space="preserve">هي </w:t>
      </w:r>
      <w:r w:rsidRPr="00C55D8F">
        <w:rPr>
          <w:spacing w:val="2"/>
          <w:rtl/>
        </w:rPr>
        <w:t>تشمل رسوم استرداد التكاليف من المجالات الأخرى للأمانة العامة</w:t>
      </w:r>
      <w:r w:rsidRPr="00C55D8F">
        <w:rPr>
          <w:rFonts w:hint="cs"/>
          <w:spacing w:val="2"/>
          <w:rtl/>
        </w:rPr>
        <w:t xml:space="preserve"> </w:t>
      </w:r>
      <w:r w:rsidRPr="00C55D8F">
        <w:rPr>
          <w:rFonts w:hint="cs"/>
          <w:color w:val="000000" w:themeColor="text1"/>
          <w:spacing w:val="2"/>
          <w:rtl/>
        </w:rPr>
        <w:t xml:space="preserve">للاتحاد </w:t>
      </w:r>
      <w:r w:rsidRPr="00C55D8F">
        <w:rPr>
          <w:spacing w:val="2"/>
          <w:rtl/>
        </w:rPr>
        <w:t xml:space="preserve">والمكاتب. وميزانية أمانة تليكوم </w:t>
      </w:r>
      <w:r w:rsidRPr="00C55D8F">
        <w:rPr>
          <w:spacing w:val="2"/>
          <w:rtl/>
          <w:lang w:bidi="ar-EG"/>
        </w:rPr>
        <w:t xml:space="preserve">الاتحاد </w:t>
      </w:r>
      <w:r w:rsidRPr="00C55D8F">
        <w:rPr>
          <w:spacing w:val="2"/>
          <w:rtl/>
        </w:rPr>
        <w:t xml:space="preserve">ضرورية لتخطيط ورصد النفقات التي تُحمل بعد ذلك على مختلف أحداث تليكوم </w:t>
      </w:r>
      <w:r w:rsidRPr="00C55D8F">
        <w:rPr>
          <w:spacing w:val="2"/>
          <w:rtl/>
          <w:lang w:bidi="ar-EG"/>
        </w:rPr>
        <w:t xml:space="preserve">الاتحاد </w:t>
      </w:r>
      <w:r w:rsidRPr="00C55D8F">
        <w:rPr>
          <w:spacing w:val="2"/>
          <w:rtl/>
        </w:rPr>
        <w:t>خلال السنة ذات الصلة. وتوضع ميزانية أمانة تليكوم الاتحاد على أساس سنوي بما يتماشى مع دورة ميزانية الاتحاد لفترة السنتين</w:t>
      </w:r>
      <w:r w:rsidRPr="00C55D8F">
        <w:rPr>
          <w:rFonts w:hint="cs"/>
          <w:spacing w:val="2"/>
          <w:rtl/>
        </w:rPr>
        <w:t> </w:t>
      </w:r>
      <w:r w:rsidRPr="00C55D8F">
        <w:rPr>
          <w:spacing w:val="2"/>
        </w:rPr>
        <w:t>(2023</w:t>
      </w:r>
      <w:r w:rsidRPr="00C55D8F">
        <w:rPr>
          <w:spacing w:val="2"/>
        </w:rPr>
        <w:noBreakHyphen/>
        <w:t>2022)</w:t>
      </w:r>
      <w:r w:rsidRPr="00C55D8F">
        <w:rPr>
          <w:rFonts w:hint="cs"/>
          <w:spacing w:val="2"/>
          <w:rtl/>
          <w:lang w:bidi="ar-EG"/>
        </w:rPr>
        <w:t>.</w:t>
      </w:r>
    </w:p>
    <w:p w14:paraId="22366B2C" w14:textId="77777777" w:rsidR="00F82094" w:rsidRDefault="00F82094" w:rsidP="00F82094">
      <w:pPr>
        <w:pStyle w:val="Headingb"/>
        <w:spacing w:line="240" w:lineRule="auto"/>
        <w:rPr>
          <w:rtl/>
          <w:lang w:bidi="ar-EG"/>
        </w:rPr>
      </w:pPr>
      <w:bookmarkStart w:id="1" w:name="_Toc482367225"/>
      <w:bookmarkStart w:id="2" w:name="_Toc69733449"/>
      <w:r>
        <w:rPr>
          <w:rtl/>
          <w:lang w:bidi="ar-EG"/>
        </w:rPr>
        <w:t>نفقات أمانة تليكوم الاتحاد</w:t>
      </w:r>
      <w:bookmarkEnd w:id="1"/>
      <w:bookmarkEnd w:id="2"/>
    </w:p>
    <w:p w14:paraId="1CBA3C98" w14:textId="293CFFAA" w:rsidR="00F82094" w:rsidRPr="00EF033D" w:rsidRDefault="00F82094" w:rsidP="00F82094">
      <w:pPr>
        <w:rPr>
          <w:spacing w:val="-2"/>
          <w:rtl/>
          <w:lang w:bidi="ar-EG"/>
        </w:rPr>
      </w:pPr>
      <w:r w:rsidRPr="00EF033D">
        <w:rPr>
          <w:spacing w:val="-2"/>
        </w:rPr>
        <w:t>2</w:t>
      </w:r>
      <w:r w:rsidRPr="00EF033D">
        <w:rPr>
          <w:spacing w:val="-2"/>
          <w:rtl/>
        </w:rPr>
        <w:tab/>
      </w:r>
      <w:r w:rsidRPr="007E2E30">
        <w:rPr>
          <w:rFonts w:hint="cs"/>
          <w:spacing w:val="-2"/>
          <w:rtl/>
        </w:rPr>
        <w:t xml:space="preserve">يصل </w:t>
      </w:r>
      <w:r w:rsidRPr="007E2E30">
        <w:rPr>
          <w:spacing w:val="-2"/>
          <w:rtl/>
        </w:rPr>
        <w:t>إجمالي ميزانية أمانة تليكوم الاتحاد</w:t>
      </w:r>
      <w:r w:rsidRPr="007E2E30">
        <w:rPr>
          <w:rFonts w:hint="cs"/>
          <w:spacing w:val="-2"/>
          <w:rtl/>
        </w:rPr>
        <w:t xml:space="preserve"> </w:t>
      </w:r>
      <w:r w:rsidRPr="007E2E30">
        <w:rPr>
          <w:spacing w:val="-2"/>
          <w:rtl/>
        </w:rPr>
        <w:t>للفترة </w:t>
      </w:r>
      <w:r>
        <w:rPr>
          <w:spacing w:val="-2"/>
        </w:rPr>
        <w:t>2023-2022</w:t>
      </w:r>
      <w:r>
        <w:rPr>
          <w:rFonts w:hint="cs"/>
          <w:spacing w:val="-2"/>
          <w:rtl/>
          <w:lang w:bidi="ar-EG"/>
        </w:rPr>
        <w:t xml:space="preserve"> </w:t>
      </w:r>
      <w:r w:rsidRPr="007E2E30">
        <w:rPr>
          <w:rFonts w:hint="cs"/>
          <w:spacing w:val="-2"/>
          <w:rtl/>
        </w:rPr>
        <w:t xml:space="preserve">إلى </w:t>
      </w:r>
      <w:r>
        <w:rPr>
          <w:spacing w:val="-2"/>
        </w:rPr>
        <w:t>8,6</w:t>
      </w:r>
      <w:r w:rsidRPr="007E2E30">
        <w:rPr>
          <w:rFonts w:hint="cs"/>
          <w:spacing w:val="-2"/>
          <w:rtl/>
        </w:rPr>
        <w:t xml:space="preserve"> ملايين</w:t>
      </w:r>
      <w:r w:rsidRPr="002A31D9">
        <w:rPr>
          <w:rFonts w:hint="cs"/>
          <w:spacing w:val="-2"/>
          <w:rtl/>
        </w:rPr>
        <w:t xml:space="preserve"> فرنك سويسر</w:t>
      </w:r>
      <w:r>
        <w:rPr>
          <w:rFonts w:hint="cs"/>
          <w:spacing w:val="-2"/>
          <w:rtl/>
        </w:rPr>
        <w:t>ي، وهو أدنى من إجماليها للفترة</w:t>
      </w:r>
      <w:r>
        <w:rPr>
          <w:rFonts w:hint="eastAsia"/>
          <w:spacing w:val="-2"/>
          <w:rtl/>
        </w:rPr>
        <w:t> </w:t>
      </w:r>
      <w:r>
        <w:rPr>
          <w:spacing w:val="-2"/>
          <w:lang w:val="es-ES"/>
        </w:rPr>
        <w:t>2021-2020</w:t>
      </w:r>
      <w:r>
        <w:rPr>
          <w:rFonts w:hint="cs"/>
          <w:spacing w:val="-2"/>
          <w:rtl/>
          <w:lang w:val="es-ES" w:bidi="ar-EG"/>
        </w:rPr>
        <w:t xml:space="preserve"> </w:t>
      </w:r>
      <w:r>
        <w:rPr>
          <w:rFonts w:hint="cs"/>
          <w:spacing w:val="-2"/>
          <w:rtl/>
          <w:lang w:bidi="ar-EG"/>
        </w:rPr>
        <w:t xml:space="preserve">بنسبة </w:t>
      </w:r>
      <w:r>
        <w:rPr>
          <w:rFonts w:hint="cs"/>
          <w:spacing w:val="-2"/>
          <w:rtl/>
          <w:lang w:val="es-ES" w:bidi="ar-EG"/>
        </w:rPr>
        <w:t>14</w:t>
      </w:r>
      <w:r>
        <w:rPr>
          <w:rFonts w:hint="cs"/>
          <w:spacing w:val="-2"/>
          <w:rtl/>
          <w:lang w:bidi="ar-EG"/>
        </w:rPr>
        <w:t xml:space="preserve"> في المائة.</w:t>
      </w:r>
      <w:r w:rsidRPr="00EF033D">
        <w:rPr>
          <w:spacing w:val="-2"/>
          <w:rtl/>
        </w:rPr>
        <w:t xml:space="preserve"> ويعود ذلك إلى </w:t>
      </w:r>
      <w:r w:rsidR="00371E8A">
        <w:rPr>
          <w:rFonts w:hint="cs"/>
          <w:spacing w:val="-2"/>
          <w:rtl/>
          <w:lang w:bidi="ar-EG"/>
        </w:rPr>
        <w:t>عدد الوظائف الأقل</w:t>
      </w:r>
      <w:r>
        <w:rPr>
          <w:rFonts w:hint="cs"/>
          <w:spacing w:val="-2"/>
          <w:rtl/>
        </w:rPr>
        <w:t xml:space="preserve"> </w:t>
      </w:r>
      <w:r w:rsidRPr="00EF033D">
        <w:rPr>
          <w:spacing w:val="-2"/>
          <w:rtl/>
        </w:rPr>
        <w:t xml:space="preserve">على النحو </w:t>
      </w:r>
      <w:r>
        <w:rPr>
          <w:rFonts w:hint="cs"/>
          <w:spacing w:val="-2"/>
          <w:rtl/>
        </w:rPr>
        <w:t xml:space="preserve">المبيّن </w:t>
      </w:r>
      <w:r w:rsidRPr="00EF033D">
        <w:rPr>
          <w:spacing w:val="-2"/>
          <w:rtl/>
        </w:rPr>
        <w:t xml:space="preserve">في </w:t>
      </w:r>
      <w:r>
        <w:rPr>
          <w:rFonts w:hint="cs"/>
          <w:spacing w:val="-2"/>
          <w:rtl/>
        </w:rPr>
        <w:t>الجدول </w:t>
      </w:r>
      <w:r>
        <w:rPr>
          <w:spacing w:val="-2"/>
        </w:rPr>
        <w:t>1</w:t>
      </w:r>
      <w:r w:rsidRPr="00EF033D">
        <w:rPr>
          <w:spacing w:val="-2"/>
          <w:rtl/>
        </w:rPr>
        <w:t xml:space="preserve"> </w:t>
      </w:r>
      <w:r w:rsidRPr="00EF033D">
        <w:rPr>
          <w:rFonts w:hint="cs"/>
          <w:spacing w:val="-2"/>
          <w:rtl/>
        </w:rPr>
        <w:t xml:space="preserve">أدناه. </w:t>
      </w:r>
      <w:r w:rsidRPr="00EF033D">
        <w:rPr>
          <w:spacing w:val="-2"/>
          <w:rtl/>
        </w:rPr>
        <w:t xml:space="preserve">وتعد التكاليف الخاصة بالموظفين والتكاليف الأخرى الخاصة بالموظفين أكبر </w:t>
      </w:r>
      <w:r w:rsidRPr="00EF033D">
        <w:rPr>
          <w:rFonts w:hint="cs"/>
          <w:spacing w:val="-2"/>
          <w:rtl/>
        </w:rPr>
        <w:t xml:space="preserve">بنود </w:t>
      </w:r>
      <w:r w:rsidR="00371E8A">
        <w:rPr>
          <w:rFonts w:hint="cs"/>
          <w:spacing w:val="-2"/>
          <w:rtl/>
        </w:rPr>
        <w:t>الإنفاق</w:t>
      </w:r>
      <w:r w:rsidRPr="00EF033D">
        <w:rPr>
          <w:spacing w:val="-2"/>
          <w:rtl/>
        </w:rPr>
        <w:t xml:space="preserve"> في</w:t>
      </w:r>
      <w:r w:rsidRPr="00EF033D">
        <w:rPr>
          <w:rFonts w:hint="cs"/>
          <w:spacing w:val="-2"/>
          <w:rtl/>
        </w:rPr>
        <w:t> </w:t>
      </w:r>
      <w:r w:rsidRPr="00EF033D">
        <w:rPr>
          <w:spacing w:val="-2"/>
          <w:rtl/>
        </w:rPr>
        <w:t xml:space="preserve">الميزانية إلى جانب قيمة استرداد التكاليف التي تم الحفاظ عليها عند </w:t>
      </w:r>
      <w:r>
        <w:rPr>
          <w:rFonts w:hint="cs"/>
          <w:spacing w:val="-2"/>
          <w:rtl/>
        </w:rPr>
        <w:t xml:space="preserve">مستواها </w:t>
      </w:r>
      <w:r w:rsidRPr="00EF033D">
        <w:rPr>
          <w:spacing w:val="-2"/>
          <w:rtl/>
        </w:rPr>
        <w:t>نفسه</w:t>
      </w:r>
      <w:r>
        <w:rPr>
          <w:rFonts w:hint="cs"/>
          <w:spacing w:val="-2"/>
          <w:rtl/>
        </w:rPr>
        <w:t xml:space="preserve"> في الميزانية</w:t>
      </w:r>
      <w:r>
        <w:rPr>
          <w:rFonts w:hint="cs"/>
          <w:spacing w:val="-2"/>
          <w:rtl/>
          <w:lang w:bidi="ar-EG"/>
        </w:rPr>
        <w:t xml:space="preserve"> </w:t>
      </w:r>
      <w:r w:rsidRPr="00EF033D">
        <w:rPr>
          <w:spacing w:val="-2"/>
          <w:rtl/>
        </w:rPr>
        <w:t>منذ</w:t>
      </w:r>
      <w:r>
        <w:rPr>
          <w:rFonts w:hint="cs"/>
          <w:spacing w:val="-2"/>
          <w:rtl/>
        </w:rPr>
        <w:t xml:space="preserve"> عام</w:t>
      </w:r>
      <w:r w:rsidRPr="00EF033D">
        <w:rPr>
          <w:rFonts w:hint="cs"/>
          <w:spacing w:val="-2"/>
          <w:rtl/>
        </w:rPr>
        <w:t> </w:t>
      </w:r>
      <w:r w:rsidRPr="00EF033D">
        <w:rPr>
          <w:spacing w:val="-2"/>
        </w:rPr>
        <w:t>2014</w:t>
      </w:r>
      <w:r>
        <w:rPr>
          <w:rFonts w:hint="cs"/>
          <w:spacing w:val="-2"/>
          <w:rtl/>
        </w:rPr>
        <w:t xml:space="preserve">، </w:t>
      </w:r>
      <w:r w:rsidRPr="00EF033D">
        <w:rPr>
          <w:spacing w:val="-2"/>
          <w:rtl/>
        </w:rPr>
        <w:t xml:space="preserve">البالغ </w:t>
      </w:r>
      <w:r w:rsidRPr="00EF033D">
        <w:rPr>
          <w:spacing w:val="-2"/>
        </w:rPr>
        <w:t>1,5</w:t>
      </w:r>
      <w:r w:rsidRPr="00EF033D">
        <w:rPr>
          <w:spacing w:val="-2"/>
          <w:rtl/>
        </w:rPr>
        <w:t xml:space="preserve"> مليون فرنك سويسري سنوياً.</w:t>
      </w:r>
    </w:p>
    <w:p w14:paraId="2FB3633E" w14:textId="0EBC6061" w:rsidR="00F82094" w:rsidRPr="00824FF0" w:rsidRDefault="00F82094" w:rsidP="00F82094">
      <w:pPr>
        <w:keepNext/>
        <w:keepLines/>
        <w:rPr>
          <w:spacing w:val="-2"/>
        </w:rPr>
      </w:pPr>
      <w:r w:rsidRPr="00824FF0">
        <w:rPr>
          <w:spacing w:val="-2"/>
          <w:lang w:val="en-GB" w:bidi="ar-SY"/>
        </w:rPr>
        <w:t>3</w:t>
      </w:r>
      <w:r w:rsidRPr="00824FF0">
        <w:rPr>
          <w:spacing w:val="-2"/>
          <w:rtl/>
          <w:lang w:bidi="ar-EG"/>
        </w:rPr>
        <w:tab/>
      </w:r>
      <w:r>
        <w:rPr>
          <w:rFonts w:hint="cs"/>
          <w:spacing w:val="-2"/>
          <w:rtl/>
          <w:lang w:bidi="ar-EG"/>
        </w:rPr>
        <w:t>و</w:t>
      </w:r>
      <w:r w:rsidRPr="00824FF0">
        <w:rPr>
          <w:spacing w:val="-2"/>
          <w:rtl/>
        </w:rPr>
        <w:t>تُعرض الميزانية في فئات للنفقات طبقاً للمادة </w:t>
      </w:r>
      <w:r w:rsidRPr="00824FF0">
        <w:rPr>
          <w:spacing w:val="-2"/>
          <w:lang w:bidi="ar-SY"/>
        </w:rPr>
        <w:t>6</w:t>
      </w:r>
      <w:r w:rsidRPr="00824FF0">
        <w:rPr>
          <w:spacing w:val="-2"/>
          <w:rtl/>
        </w:rPr>
        <w:t xml:space="preserve">، القاعدة </w:t>
      </w:r>
      <w:r w:rsidRPr="00824FF0">
        <w:rPr>
          <w:spacing w:val="-2"/>
          <w:lang w:bidi="ar-SY"/>
        </w:rPr>
        <w:t>1.6</w:t>
      </w:r>
      <w:r w:rsidRPr="00824FF0">
        <w:rPr>
          <w:spacing w:val="-2"/>
          <w:rtl/>
        </w:rPr>
        <w:t xml:space="preserve"> من اللوائح والقواعد المالية للاتحاد</w:t>
      </w:r>
      <w:r w:rsidRPr="00824FF0">
        <w:rPr>
          <w:spacing w:val="-2"/>
          <w:rtl/>
          <w:lang w:bidi="ar-EG"/>
        </w:rPr>
        <w:t xml:space="preserve">. </w:t>
      </w:r>
      <w:r w:rsidRPr="00824FF0">
        <w:rPr>
          <w:spacing w:val="-2"/>
          <w:rtl/>
        </w:rPr>
        <w:t>ويعرض الجدول </w:t>
      </w:r>
      <w:r w:rsidRPr="00824FF0">
        <w:rPr>
          <w:spacing w:val="-2"/>
          <w:lang w:bidi="ar-SY"/>
        </w:rPr>
        <w:t>1</w:t>
      </w:r>
      <w:r w:rsidRPr="00824FF0">
        <w:rPr>
          <w:spacing w:val="-2"/>
          <w:rtl/>
        </w:rPr>
        <w:t xml:space="preserve"> أدناه النفقات المقدرة بحسب الفئات. وتمثل التكاليف الخاصة بالموظفين والتكاليف الأخرى الخاصة بالموظفين</w:t>
      </w:r>
      <w:r>
        <w:rPr>
          <w:rFonts w:hint="cs"/>
          <w:spacing w:val="-2"/>
          <w:rtl/>
        </w:rPr>
        <w:t xml:space="preserve"> </w:t>
      </w:r>
      <w:r w:rsidR="00371E8A">
        <w:rPr>
          <w:rFonts w:hint="cs"/>
          <w:spacing w:val="-2"/>
          <w:rtl/>
        </w:rPr>
        <w:t xml:space="preserve">معاً </w:t>
      </w:r>
      <w:r>
        <w:rPr>
          <w:spacing w:val="-2"/>
          <w:lang w:bidi="ar-SY"/>
        </w:rPr>
        <w:t>62</w:t>
      </w:r>
      <w:r>
        <w:rPr>
          <w:rFonts w:hint="cs"/>
          <w:spacing w:val="-2"/>
          <w:rtl/>
          <w:lang w:bidi="ar-EG"/>
        </w:rPr>
        <w:t xml:space="preserve"> في المائة</w:t>
      </w:r>
      <w:r w:rsidRPr="00824FF0">
        <w:rPr>
          <w:spacing w:val="-2"/>
          <w:rtl/>
        </w:rPr>
        <w:t xml:space="preserve"> من الميزانية</w:t>
      </w:r>
      <w:r w:rsidRPr="00824FF0">
        <w:rPr>
          <w:spacing w:val="-2"/>
          <w:rtl/>
          <w:lang w:bidi="ar-EG"/>
        </w:rPr>
        <w:t xml:space="preserve"> الإجمالية لفترة السنتين</w:t>
      </w:r>
      <w:r w:rsidRPr="00824FF0">
        <w:rPr>
          <w:spacing w:val="-2"/>
          <w:rtl/>
        </w:rPr>
        <w:t xml:space="preserve">. وتمثل قيمة استرداد </w:t>
      </w:r>
      <w:r w:rsidRPr="00824FF0">
        <w:rPr>
          <w:rtl/>
        </w:rPr>
        <w:t xml:space="preserve">التكاليف </w:t>
      </w:r>
      <w:hyperlink r:id="rId9" w:history="1">
        <w:r w:rsidRPr="00824FF0">
          <w:rPr>
            <w:rtl/>
          </w:rPr>
          <w:t xml:space="preserve">البالغة </w:t>
        </w:r>
        <w:r w:rsidRPr="00824FF0">
          <w:rPr>
            <w:lang w:bidi="ar-SY"/>
          </w:rPr>
          <w:t>3</w:t>
        </w:r>
        <w:r w:rsidRPr="00824FF0">
          <w:rPr>
            <w:rtl/>
          </w:rPr>
          <w:t> </w:t>
        </w:r>
      </w:hyperlink>
      <w:r w:rsidRPr="00824FF0">
        <w:rPr>
          <w:rtl/>
        </w:rPr>
        <w:t>ملايين فرنك</w:t>
      </w:r>
      <w:r w:rsidRPr="00824FF0">
        <w:rPr>
          <w:spacing w:val="-2"/>
          <w:rtl/>
        </w:rPr>
        <w:t xml:space="preserve"> سويسري</w:t>
      </w:r>
      <w:r>
        <w:rPr>
          <w:rFonts w:hint="cs"/>
          <w:spacing w:val="-2"/>
          <w:rtl/>
        </w:rPr>
        <w:t xml:space="preserve"> </w:t>
      </w:r>
      <w:r>
        <w:rPr>
          <w:spacing w:val="-2"/>
          <w:lang w:val="es-ES" w:bidi="ar-EG"/>
        </w:rPr>
        <w:t>35</w:t>
      </w:r>
      <w:r>
        <w:rPr>
          <w:rFonts w:hint="cs"/>
          <w:spacing w:val="-2"/>
          <w:rtl/>
          <w:lang w:bidi="ar-EG"/>
        </w:rPr>
        <w:t xml:space="preserve"> في المائة</w:t>
      </w:r>
      <w:r w:rsidRPr="00824FF0">
        <w:rPr>
          <w:spacing w:val="-2"/>
          <w:rtl/>
        </w:rPr>
        <w:t xml:space="preserve"> من مجموع ميزانية فترة السنتين </w:t>
      </w:r>
      <w:r>
        <w:rPr>
          <w:spacing w:val="-2"/>
        </w:rPr>
        <w:t>2023-2022</w:t>
      </w:r>
      <w:r w:rsidRPr="00824FF0">
        <w:rPr>
          <w:spacing w:val="-2"/>
          <w:rtl/>
        </w:rPr>
        <w:t>.</w:t>
      </w:r>
    </w:p>
    <w:p w14:paraId="6F23FD59" w14:textId="77777777" w:rsidR="00F82094" w:rsidRDefault="00F82094" w:rsidP="00F82094">
      <w:pPr>
        <w:pStyle w:val="TableNo"/>
        <w:rPr>
          <w:rtl/>
        </w:rPr>
      </w:pPr>
      <w:r>
        <w:rPr>
          <w:rtl/>
        </w:rPr>
        <w:t xml:space="preserve">الجدول </w:t>
      </w:r>
      <w:r>
        <w:rPr>
          <w:lang w:val="en-GB"/>
        </w:rPr>
        <w:t>1</w:t>
      </w:r>
    </w:p>
    <w:p w14:paraId="52BB1F2A" w14:textId="77777777" w:rsidR="00F82094" w:rsidRDefault="00F82094" w:rsidP="00F82094">
      <w:pPr>
        <w:pStyle w:val="Tabletitle"/>
      </w:pPr>
      <w:r>
        <w:rPr>
          <w:rtl/>
        </w:rPr>
        <w:t>الميزانية بحسب فئات النفقات</w:t>
      </w:r>
    </w:p>
    <w:tbl>
      <w:tblPr>
        <w:bidiVisual/>
        <w:tblW w:w="5000" w:type="pct"/>
        <w:jc w:val="center"/>
        <w:tblLook w:val="04A0" w:firstRow="1" w:lastRow="0" w:firstColumn="1" w:lastColumn="0" w:noHBand="0" w:noVBand="1"/>
      </w:tblPr>
      <w:tblGrid>
        <w:gridCol w:w="445"/>
        <w:gridCol w:w="2404"/>
        <w:gridCol w:w="637"/>
        <w:gridCol w:w="598"/>
        <w:gridCol w:w="580"/>
        <w:gridCol w:w="598"/>
        <w:gridCol w:w="580"/>
        <w:gridCol w:w="580"/>
        <w:gridCol w:w="580"/>
        <w:gridCol w:w="580"/>
        <w:gridCol w:w="948"/>
        <w:gridCol w:w="1109"/>
      </w:tblGrid>
      <w:tr w:rsidR="00F82094" w:rsidRPr="00F82094" w14:paraId="26192668" w14:textId="77777777" w:rsidTr="00F82094">
        <w:trPr>
          <w:trHeight w:val="255"/>
          <w:jc w:val="center"/>
        </w:trPr>
        <w:tc>
          <w:tcPr>
            <w:tcW w:w="0" w:type="auto"/>
            <w:tcBorders>
              <w:top w:val="single" w:sz="4" w:space="0" w:color="auto"/>
              <w:left w:val="nil"/>
              <w:bottom w:val="nil"/>
              <w:right w:val="nil"/>
            </w:tcBorders>
            <w:shd w:val="clear" w:color="auto" w:fill="DCE6F1"/>
            <w:noWrap/>
            <w:tcMar>
              <w:left w:w="57" w:type="dxa"/>
              <w:right w:w="57" w:type="dxa"/>
            </w:tcMar>
            <w:vAlign w:val="center"/>
            <w:hideMark/>
          </w:tcPr>
          <w:p w14:paraId="6FA77462" w14:textId="77777777" w:rsidR="00F82094" w:rsidRPr="00F82094" w:rsidRDefault="00F82094" w:rsidP="00EF3005">
            <w:pPr>
              <w:spacing w:before="20" w:after="20" w:line="260" w:lineRule="exact"/>
              <w:jc w:val="center"/>
              <w:rPr>
                <w:b/>
                <w:bCs/>
                <w:color w:val="0000FF"/>
                <w:sz w:val="16"/>
                <w:szCs w:val="16"/>
              </w:rPr>
            </w:pPr>
          </w:p>
        </w:tc>
        <w:tc>
          <w:tcPr>
            <w:tcW w:w="0" w:type="auto"/>
            <w:tcBorders>
              <w:top w:val="single" w:sz="4" w:space="0" w:color="auto"/>
              <w:left w:val="nil"/>
              <w:bottom w:val="nil"/>
              <w:right w:val="nil"/>
            </w:tcBorders>
            <w:shd w:val="clear" w:color="auto" w:fill="DCE6F1"/>
            <w:noWrap/>
            <w:tcMar>
              <w:left w:w="57" w:type="dxa"/>
              <w:right w:w="57" w:type="dxa"/>
            </w:tcMar>
            <w:vAlign w:val="center"/>
            <w:hideMark/>
          </w:tcPr>
          <w:p w14:paraId="0628C38C" w14:textId="77777777" w:rsidR="00F82094" w:rsidRPr="00F82094" w:rsidRDefault="00F82094" w:rsidP="00EF3005">
            <w:pPr>
              <w:spacing w:before="20" w:after="20" w:line="260" w:lineRule="exact"/>
              <w:jc w:val="center"/>
              <w:rPr>
                <w:b/>
                <w:bCs/>
                <w:color w:val="0000FF"/>
                <w:sz w:val="16"/>
                <w:szCs w:val="16"/>
              </w:rPr>
            </w:pPr>
          </w:p>
        </w:tc>
        <w:tc>
          <w:tcPr>
            <w:tcW w:w="0" w:type="auto"/>
            <w:tcBorders>
              <w:top w:val="single" w:sz="4" w:space="0" w:color="auto"/>
              <w:left w:val="nil"/>
              <w:bottom w:val="nil"/>
              <w:right w:val="nil"/>
            </w:tcBorders>
            <w:shd w:val="clear" w:color="auto" w:fill="DCE6F1"/>
            <w:tcMar>
              <w:left w:w="57" w:type="dxa"/>
              <w:right w:w="57" w:type="dxa"/>
            </w:tcMar>
          </w:tcPr>
          <w:p w14:paraId="17643861" w14:textId="77777777" w:rsidR="00F82094" w:rsidRPr="00F82094" w:rsidRDefault="00F82094" w:rsidP="00EF3005">
            <w:pPr>
              <w:spacing w:before="20" w:after="20" w:line="260" w:lineRule="exact"/>
              <w:jc w:val="center"/>
              <w:rPr>
                <w:b/>
                <w:bCs/>
                <w:i/>
                <w:iCs/>
                <w:color w:val="0000FF"/>
                <w:sz w:val="16"/>
                <w:szCs w:val="16"/>
                <w:rtl/>
              </w:rPr>
            </w:pPr>
          </w:p>
        </w:tc>
        <w:tc>
          <w:tcPr>
            <w:tcW w:w="0" w:type="auto"/>
            <w:gridSpan w:val="8"/>
            <w:tcBorders>
              <w:top w:val="single" w:sz="4" w:space="0" w:color="auto"/>
              <w:left w:val="nil"/>
              <w:bottom w:val="nil"/>
              <w:right w:val="nil"/>
            </w:tcBorders>
            <w:shd w:val="clear" w:color="auto" w:fill="DCE6F1"/>
            <w:noWrap/>
            <w:tcMar>
              <w:left w:w="57" w:type="dxa"/>
              <w:right w:w="57" w:type="dxa"/>
            </w:tcMar>
            <w:vAlign w:val="center"/>
            <w:hideMark/>
          </w:tcPr>
          <w:p w14:paraId="64E293B8" w14:textId="4A32BC07" w:rsidR="00F82094" w:rsidRPr="00315778" w:rsidRDefault="00F82094" w:rsidP="00EF3005">
            <w:pPr>
              <w:spacing w:before="20" w:after="20" w:line="260" w:lineRule="exact"/>
              <w:jc w:val="center"/>
              <w:rPr>
                <w:i/>
                <w:iCs/>
                <w:color w:val="0000FF"/>
                <w:sz w:val="16"/>
                <w:szCs w:val="16"/>
              </w:rPr>
            </w:pPr>
            <w:r w:rsidRPr="00315778">
              <w:rPr>
                <w:i/>
                <w:iCs/>
                <w:color w:val="0000FF"/>
                <w:sz w:val="16"/>
                <w:szCs w:val="16"/>
                <w:rtl/>
              </w:rPr>
              <w:t>بآلاف الفرنكات السويسرية</w:t>
            </w:r>
          </w:p>
        </w:tc>
        <w:tc>
          <w:tcPr>
            <w:tcW w:w="0" w:type="auto"/>
            <w:tcBorders>
              <w:top w:val="single" w:sz="4" w:space="0" w:color="auto"/>
              <w:left w:val="nil"/>
              <w:bottom w:val="nil"/>
              <w:right w:val="nil"/>
            </w:tcBorders>
            <w:shd w:val="clear" w:color="auto" w:fill="DCE6F1"/>
            <w:noWrap/>
            <w:tcMar>
              <w:left w:w="57" w:type="dxa"/>
              <w:right w:w="57" w:type="dxa"/>
            </w:tcMar>
            <w:vAlign w:val="center"/>
            <w:hideMark/>
          </w:tcPr>
          <w:p w14:paraId="6349ED15" w14:textId="77777777" w:rsidR="00F82094" w:rsidRPr="00F82094" w:rsidRDefault="00F82094" w:rsidP="00EF3005">
            <w:pPr>
              <w:spacing w:before="20" w:after="20" w:line="260" w:lineRule="exact"/>
              <w:jc w:val="center"/>
              <w:rPr>
                <w:b/>
                <w:bCs/>
                <w:i/>
                <w:iCs/>
                <w:color w:val="0000FF"/>
                <w:sz w:val="16"/>
                <w:szCs w:val="16"/>
                <w:lang w:val="en-GB"/>
              </w:rPr>
            </w:pPr>
          </w:p>
        </w:tc>
      </w:tr>
      <w:tr w:rsidR="00497A51" w:rsidRPr="00F82094" w14:paraId="3CCAF351" w14:textId="77777777" w:rsidTr="00F82094">
        <w:trPr>
          <w:trHeight w:val="240"/>
          <w:jc w:val="center"/>
        </w:trPr>
        <w:tc>
          <w:tcPr>
            <w:tcW w:w="0" w:type="auto"/>
            <w:shd w:val="clear" w:color="auto" w:fill="DCE6F1"/>
            <w:noWrap/>
            <w:tcMar>
              <w:left w:w="57" w:type="dxa"/>
              <w:right w:w="57" w:type="dxa"/>
            </w:tcMar>
            <w:vAlign w:val="bottom"/>
            <w:hideMark/>
          </w:tcPr>
          <w:p w14:paraId="2DE32D36"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الفئة</w:t>
            </w:r>
          </w:p>
        </w:tc>
        <w:tc>
          <w:tcPr>
            <w:tcW w:w="0" w:type="auto"/>
            <w:shd w:val="clear" w:color="auto" w:fill="DCE6F1"/>
            <w:noWrap/>
            <w:tcMar>
              <w:left w:w="57" w:type="dxa"/>
              <w:right w:w="57" w:type="dxa"/>
            </w:tcMar>
            <w:vAlign w:val="bottom"/>
            <w:hideMark/>
          </w:tcPr>
          <w:p w14:paraId="7F4A4AC1"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النفقات</w:t>
            </w:r>
          </w:p>
        </w:tc>
        <w:tc>
          <w:tcPr>
            <w:tcW w:w="0" w:type="auto"/>
            <w:shd w:val="clear" w:color="auto" w:fill="DCE6F1"/>
            <w:noWrap/>
            <w:tcMar>
              <w:left w:w="57" w:type="dxa"/>
              <w:right w:w="57" w:type="dxa"/>
            </w:tcMar>
            <w:vAlign w:val="bottom"/>
            <w:hideMark/>
          </w:tcPr>
          <w:p w14:paraId="6022BBA8"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ميزانية</w:t>
            </w:r>
          </w:p>
        </w:tc>
        <w:tc>
          <w:tcPr>
            <w:tcW w:w="0" w:type="auto"/>
            <w:shd w:val="clear" w:color="auto" w:fill="DCE6F1"/>
            <w:noWrap/>
            <w:tcMar>
              <w:left w:w="57" w:type="dxa"/>
              <w:right w:w="57" w:type="dxa"/>
            </w:tcMar>
            <w:vAlign w:val="bottom"/>
            <w:hideMark/>
          </w:tcPr>
          <w:p w14:paraId="2F860B73"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الفعلية</w:t>
            </w:r>
          </w:p>
        </w:tc>
        <w:tc>
          <w:tcPr>
            <w:tcW w:w="0" w:type="auto"/>
            <w:shd w:val="clear" w:color="auto" w:fill="DCE6F1"/>
            <w:noWrap/>
            <w:tcMar>
              <w:left w:w="57" w:type="dxa"/>
              <w:right w:w="57" w:type="dxa"/>
            </w:tcMar>
            <w:vAlign w:val="bottom"/>
            <w:hideMark/>
          </w:tcPr>
          <w:p w14:paraId="44721870"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ميزانية</w:t>
            </w:r>
          </w:p>
        </w:tc>
        <w:tc>
          <w:tcPr>
            <w:tcW w:w="0" w:type="auto"/>
            <w:shd w:val="clear" w:color="auto" w:fill="DCE6F1"/>
            <w:noWrap/>
            <w:tcMar>
              <w:left w:w="57" w:type="dxa"/>
              <w:right w:w="57" w:type="dxa"/>
            </w:tcMar>
            <w:vAlign w:val="bottom"/>
            <w:hideMark/>
          </w:tcPr>
          <w:p w14:paraId="68205C79"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الفعلية</w:t>
            </w:r>
          </w:p>
        </w:tc>
        <w:tc>
          <w:tcPr>
            <w:tcW w:w="0" w:type="auto"/>
            <w:shd w:val="clear" w:color="auto" w:fill="DCE6F1"/>
            <w:noWrap/>
            <w:tcMar>
              <w:left w:w="57" w:type="dxa"/>
              <w:right w:w="57" w:type="dxa"/>
            </w:tcMar>
            <w:vAlign w:val="bottom"/>
            <w:hideMark/>
          </w:tcPr>
          <w:p w14:paraId="3C887B5A"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ميزانية</w:t>
            </w:r>
          </w:p>
        </w:tc>
        <w:tc>
          <w:tcPr>
            <w:tcW w:w="0" w:type="auto"/>
            <w:shd w:val="clear" w:color="auto" w:fill="DCE6F1"/>
            <w:noWrap/>
            <w:tcMar>
              <w:left w:w="57" w:type="dxa"/>
              <w:right w:w="57" w:type="dxa"/>
            </w:tcMar>
            <w:vAlign w:val="bottom"/>
            <w:hideMark/>
          </w:tcPr>
          <w:p w14:paraId="5AF10D07"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ميزانية</w:t>
            </w:r>
          </w:p>
        </w:tc>
        <w:tc>
          <w:tcPr>
            <w:tcW w:w="0" w:type="auto"/>
            <w:shd w:val="clear" w:color="auto" w:fill="DCE6F1"/>
            <w:noWrap/>
            <w:tcMar>
              <w:left w:w="57" w:type="dxa"/>
              <w:right w:w="57" w:type="dxa"/>
            </w:tcMar>
            <w:vAlign w:val="bottom"/>
            <w:hideMark/>
          </w:tcPr>
          <w:p w14:paraId="6C8D9D82" w14:textId="77777777"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ميزانية</w:t>
            </w:r>
          </w:p>
        </w:tc>
        <w:tc>
          <w:tcPr>
            <w:tcW w:w="0" w:type="auto"/>
            <w:shd w:val="clear" w:color="auto" w:fill="DCE6F1"/>
            <w:tcMar>
              <w:left w:w="57" w:type="dxa"/>
              <w:right w:w="57" w:type="dxa"/>
            </w:tcMar>
            <w:vAlign w:val="bottom"/>
          </w:tcPr>
          <w:p w14:paraId="23D18D13" w14:textId="09C00C46" w:rsidR="00F82094" w:rsidRPr="00F82094" w:rsidRDefault="00F82094" w:rsidP="00315778">
            <w:pPr>
              <w:spacing w:before="0" w:line="260" w:lineRule="exact"/>
              <w:jc w:val="center"/>
              <w:rPr>
                <w:b/>
                <w:bCs/>
                <w:color w:val="0000FF"/>
                <w:sz w:val="16"/>
                <w:szCs w:val="16"/>
                <w:rtl/>
                <w:lang w:bidi="ar-EG"/>
              </w:rPr>
            </w:pPr>
            <w:r w:rsidRPr="00F82094">
              <w:rPr>
                <w:b/>
                <w:bCs/>
                <w:color w:val="0000FF"/>
                <w:sz w:val="16"/>
                <w:szCs w:val="16"/>
                <w:rtl/>
                <w:lang w:bidi="ar-EG"/>
              </w:rPr>
              <w:t>ميزانية</w:t>
            </w:r>
          </w:p>
        </w:tc>
        <w:tc>
          <w:tcPr>
            <w:tcW w:w="0" w:type="auto"/>
            <w:shd w:val="clear" w:color="auto" w:fill="DCE6F1"/>
            <w:noWrap/>
            <w:tcMar>
              <w:left w:w="57" w:type="dxa"/>
              <w:right w:w="57" w:type="dxa"/>
            </w:tcMar>
            <w:vAlign w:val="bottom"/>
            <w:hideMark/>
          </w:tcPr>
          <w:p w14:paraId="0FE06783" w14:textId="7AD3A0ED" w:rsidR="00F82094" w:rsidRPr="00F82094" w:rsidRDefault="00F82094" w:rsidP="00315778">
            <w:pPr>
              <w:spacing w:before="0" w:line="260" w:lineRule="exact"/>
              <w:jc w:val="center"/>
              <w:rPr>
                <w:b/>
                <w:bCs/>
                <w:color w:val="0000FF"/>
                <w:sz w:val="16"/>
                <w:szCs w:val="16"/>
              </w:rPr>
            </w:pPr>
            <w:r w:rsidRPr="00F82094">
              <w:rPr>
                <w:b/>
                <w:bCs/>
                <w:color w:val="0000FF"/>
                <w:sz w:val="16"/>
                <w:szCs w:val="16"/>
                <w:rtl/>
                <w:lang w:bidi="ar-EG"/>
              </w:rPr>
              <w:t>التغير</w:t>
            </w:r>
          </w:p>
        </w:tc>
        <w:tc>
          <w:tcPr>
            <w:tcW w:w="0" w:type="auto"/>
            <w:shd w:val="clear" w:color="auto" w:fill="DCE6F1"/>
            <w:noWrap/>
            <w:tcMar>
              <w:left w:w="57" w:type="dxa"/>
              <w:right w:w="57" w:type="dxa"/>
            </w:tcMar>
            <w:vAlign w:val="bottom"/>
            <w:hideMark/>
          </w:tcPr>
          <w:p w14:paraId="2EEFB3A1" w14:textId="77777777" w:rsidR="00F82094" w:rsidRPr="00F82094" w:rsidRDefault="00F82094" w:rsidP="00315778">
            <w:pPr>
              <w:spacing w:before="0" w:line="260" w:lineRule="exact"/>
              <w:jc w:val="center"/>
              <w:rPr>
                <w:b/>
                <w:bCs/>
                <w:color w:val="0000FF"/>
                <w:spacing w:val="-6"/>
                <w:sz w:val="16"/>
                <w:szCs w:val="16"/>
              </w:rPr>
            </w:pPr>
            <w:r w:rsidRPr="00F82094">
              <w:rPr>
                <w:b/>
                <w:bCs/>
                <w:color w:val="0000FF"/>
                <w:spacing w:val="-6"/>
                <w:sz w:val="16"/>
                <w:szCs w:val="16"/>
                <w:rtl/>
                <w:lang w:bidi="ar-EG"/>
              </w:rPr>
              <w:t>كنسبة مئوية من</w:t>
            </w:r>
          </w:p>
        </w:tc>
      </w:tr>
      <w:tr w:rsidR="00497A51" w:rsidRPr="00F82094" w14:paraId="101803BC" w14:textId="77777777" w:rsidTr="00F82094">
        <w:trPr>
          <w:trHeight w:val="240"/>
          <w:jc w:val="center"/>
        </w:trPr>
        <w:tc>
          <w:tcPr>
            <w:tcW w:w="0" w:type="auto"/>
            <w:shd w:val="clear" w:color="auto" w:fill="DCE6F1"/>
            <w:noWrap/>
            <w:tcMar>
              <w:left w:w="57" w:type="dxa"/>
              <w:right w:w="57" w:type="dxa"/>
            </w:tcMar>
            <w:vAlign w:val="center"/>
            <w:hideMark/>
          </w:tcPr>
          <w:p w14:paraId="50E53D5F" w14:textId="77777777"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vAlign w:val="center"/>
            <w:hideMark/>
          </w:tcPr>
          <w:p w14:paraId="05704247" w14:textId="77777777"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vAlign w:val="bottom"/>
          </w:tcPr>
          <w:p w14:paraId="3EAB4C53" w14:textId="4DDB48B2" w:rsidR="00F82094" w:rsidRPr="00F82094" w:rsidRDefault="00F82094" w:rsidP="00315778">
            <w:pPr>
              <w:spacing w:before="0" w:line="260" w:lineRule="exact"/>
              <w:jc w:val="center"/>
              <w:rPr>
                <w:b/>
                <w:bCs/>
                <w:color w:val="0000FF"/>
                <w:sz w:val="16"/>
                <w:szCs w:val="16"/>
              </w:rPr>
            </w:pPr>
            <w:r>
              <w:rPr>
                <w:b/>
                <w:bCs/>
                <w:color w:val="0000FF"/>
                <w:sz w:val="16"/>
                <w:szCs w:val="16"/>
              </w:rPr>
              <w:t>-2018</w:t>
            </w:r>
          </w:p>
        </w:tc>
        <w:tc>
          <w:tcPr>
            <w:tcW w:w="0" w:type="auto"/>
            <w:shd w:val="clear" w:color="auto" w:fill="DCE6F1"/>
            <w:noWrap/>
            <w:tcMar>
              <w:left w:w="57" w:type="dxa"/>
              <w:right w:w="57" w:type="dxa"/>
            </w:tcMar>
            <w:vAlign w:val="bottom"/>
          </w:tcPr>
          <w:p w14:paraId="4C9BDE46" w14:textId="6B1480E8" w:rsidR="00F82094" w:rsidRPr="00F82094" w:rsidRDefault="00F82094" w:rsidP="00315778">
            <w:pPr>
              <w:spacing w:before="0" w:line="260" w:lineRule="exact"/>
              <w:jc w:val="center"/>
              <w:rPr>
                <w:b/>
                <w:bCs/>
                <w:color w:val="0000FF"/>
                <w:sz w:val="16"/>
                <w:szCs w:val="16"/>
              </w:rPr>
            </w:pPr>
            <w:r>
              <w:rPr>
                <w:b/>
                <w:bCs/>
                <w:color w:val="0000FF"/>
                <w:sz w:val="16"/>
                <w:szCs w:val="16"/>
              </w:rPr>
              <w:t>-2018</w:t>
            </w:r>
          </w:p>
        </w:tc>
        <w:tc>
          <w:tcPr>
            <w:tcW w:w="0" w:type="auto"/>
            <w:shd w:val="clear" w:color="auto" w:fill="DCE6F1"/>
            <w:noWrap/>
            <w:tcMar>
              <w:left w:w="57" w:type="dxa"/>
              <w:right w:w="57" w:type="dxa"/>
            </w:tcMar>
            <w:vAlign w:val="bottom"/>
          </w:tcPr>
          <w:p w14:paraId="12AB0045" w14:textId="2EBEFD2E" w:rsidR="00F82094" w:rsidRPr="00F82094" w:rsidRDefault="00F82094" w:rsidP="00315778">
            <w:pPr>
              <w:spacing w:before="0" w:line="260" w:lineRule="exact"/>
              <w:jc w:val="center"/>
              <w:rPr>
                <w:b/>
                <w:bCs/>
                <w:color w:val="0000FF"/>
                <w:sz w:val="16"/>
                <w:szCs w:val="16"/>
              </w:rPr>
            </w:pPr>
            <w:r>
              <w:rPr>
                <w:b/>
                <w:bCs/>
                <w:color w:val="0000FF"/>
                <w:sz w:val="16"/>
                <w:szCs w:val="16"/>
              </w:rPr>
              <w:t>2020</w:t>
            </w:r>
          </w:p>
        </w:tc>
        <w:tc>
          <w:tcPr>
            <w:tcW w:w="0" w:type="auto"/>
            <w:shd w:val="clear" w:color="auto" w:fill="DCE6F1"/>
            <w:noWrap/>
            <w:tcMar>
              <w:left w:w="57" w:type="dxa"/>
              <w:right w:w="57" w:type="dxa"/>
            </w:tcMar>
            <w:vAlign w:val="bottom"/>
          </w:tcPr>
          <w:p w14:paraId="45360C91" w14:textId="27D6A358" w:rsidR="00F82094" w:rsidRPr="00F82094" w:rsidRDefault="00F82094" w:rsidP="00315778">
            <w:pPr>
              <w:spacing w:before="0" w:line="260" w:lineRule="exact"/>
              <w:jc w:val="center"/>
              <w:rPr>
                <w:b/>
                <w:bCs/>
                <w:color w:val="0000FF"/>
                <w:sz w:val="16"/>
                <w:szCs w:val="16"/>
              </w:rPr>
            </w:pPr>
            <w:r>
              <w:rPr>
                <w:b/>
                <w:bCs/>
                <w:color w:val="0000FF"/>
                <w:sz w:val="16"/>
                <w:szCs w:val="16"/>
              </w:rPr>
              <w:t>2020</w:t>
            </w:r>
          </w:p>
        </w:tc>
        <w:tc>
          <w:tcPr>
            <w:tcW w:w="0" w:type="auto"/>
            <w:shd w:val="clear" w:color="auto" w:fill="DCE6F1"/>
            <w:noWrap/>
            <w:tcMar>
              <w:left w:w="57" w:type="dxa"/>
              <w:right w:w="57" w:type="dxa"/>
            </w:tcMar>
            <w:vAlign w:val="bottom"/>
          </w:tcPr>
          <w:p w14:paraId="458CE4AD" w14:textId="3A2D973D" w:rsidR="00F82094" w:rsidRPr="00F82094" w:rsidRDefault="00F82094" w:rsidP="00315778">
            <w:pPr>
              <w:spacing w:before="0" w:line="260" w:lineRule="exact"/>
              <w:jc w:val="center"/>
              <w:rPr>
                <w:b/>
                <w:bCs/>
                <w:color w:val="0000FF"/>
                <w:sz w:val="16"/>
                <w:szCs w:val="16"/>
              </w:rPr>
            </w:pPr>
            <w:r>
              <w:rPr>
                <w:b/>
                <w:bCs/>
                <w:color w:val="0000FF"/>
                <w:sz w:val="16"/>
                <w:szCs w:val="16"/>
              </w:rPr>
              <w:t>2021</w:t>
            </w:r>
          </w:p>
        </w:tc>
        <w:tc>
          <w:tcPr>
            <w:tcW w:w="0" w:type="auto"/>
            <w:shd w:val="clear" w:color="auto" w:fill="DCE6F1"/>
            <w:noWrap/>
            <w:tcMar>
              <w:left w:w="57" w:type="dxa"/>
              <w:right w:w="57" w:type="dxa"/>
            </w:tcMar>
            <w:vAlign w:val="bottom"/>
          </w:tcPr>
          <w:p w14:paraId="492D9E0F" w14:textId="66FF1C8B" w:rsidR="00F82094" w:rsidRPr="00F82094" w:rsidRDefault="00F82094" w:rsidP="00315778">
            <w:pPr>
              <w:spacing w:before="0" w:line="260" w:lineRule="exact"/>
              <w:jc w:val="center"/>
              <w:rPr>
                <w:b/>
                <w:bCs/>
                <w:color w:val="0000FF"/>
                <w:sz w:val="16"/>
                <w:szCs w:val="16"/>
              </w:rPr>
            </w:pPr>
            <w:r>
              <w:rPr>
                <w:b/>
                <w:bCs/>
                <w:color w:val="0000FF"/>
                <w:sz w:val="16"/>
                <w:szCs w:val="16"/>
              </w:rPr>
              <w:t>2022</w:t>
            </w:r>
          </w:p>
        </w:tc>
        <w:tc>
          <w:tcPr>
            <w:tcW w:w="0" w:type="auto"/>
            <w:shd w:val="clear" w:color="auto" w:fill="DCE6F1"/>
            <w:noWrap/>
            <w:tcMar>
              <w:left w:w="57" w:type="dxa"/>
              <w:right w:w="57" w:type="dxa"/>
            </w:tcMar>
            <w:vAlign w:val="bottom"/>
          </w:tcPr>
          <w:p w14:paraId="76157DC9" w14:textId="4C54C1EA" w:rsidR="00F82094" w:rsidRPr="00F82094" w:rsidRDefault="00F82094" w:rsidP="00315778">
            <w:pPr>
              <w:spacing w:before="0" w:line="260" w:lineRule="exact"/>
              <w:jc w:val="center"/>
              <w:rPr>
                <w:b/>
                <w:bCs/>
                <w:color w:val="0000FF"/>
                <w:sz w:val="16"/>
                <w:szCs w:val="16"/>
              </w:rPr>
            </w:pPr>
            <w:r>
              <w:rPr>
                <w:b/>
                <w:bCs/>
                <w:color w:val="0000FF"/>
                <w:sz w:val="16"/>
                <w:szCs w:val="16"/>
              </w:rPr>
              <w:t>2023</w:t>
            </w:r>
          </w:p>
        </w:tc>
        <w:tc>
          <w:tcPr>
            <w:tcW w:w="0" w:type="auto"/>
            <w:shd w:val="clear" w:color="auto" w:fill="DCE6F1"/>
            <w:tcMar>
              <w:left w:w="57" w:type="dxa"/>
              <w:right w:w="57" w:type="dxa"/>
            </w:tcMar>
            <w:vAlign w:val="bottom"/>
          </w:tcPr>
          <w:p w14:paraId="48ED0C19" w14:textId="25332E8F" w:rsidR="00F82094" w:rsidRDefault="00F82094" w:rsidP="00315778">
            <w:pPr>
              <w:spacing w:before="0" w:line="260" w:lineRule="exact"/>
              <w:jc w:val="center"/>
              <w:rPr>
                <w:b/>
                <w:bCs/>
                <w:color w:val="0000FF"/>
                <w:sz w:val="16"/>
                <w:szCs w:val="16"/>
              </w:rPr>
            </w:pPr>
            <w:r>
              <w:rPr>
                <w:b/>
                <w:bCs/>
                <w:color w:val="0000FF"/>
                <w:sz w:val="16"/>
                <w:szCs w:val="16"/>
              </w:rPr>
              <w:t>-2022</w:t>
            </w:r>
          </w:p>
        </w:tc>
        <w:tc>
          <w:tcPr>
            <w:tcW w:w="0" w:type="auto"/>
            <w:shd w:val="clear" w:color="auto" w:fill="DCE6F1"/>
            <w:noWrap/>
            <w:tcMar>
              <w:left w:w="57" w:type="dxa"/>
              <w:right w:w="57" w:type="dxa"/>
            </w:tcMar>
            <w:vAlign w:val="bottom"/>
          </w:tcPr>
          <w:p w14:paraId="31878E24" w14:textId="70E4474B" w:rsidR="00F82094" w:rsidRPr="00F82094" w:rsidRDefault="00F82094" w:rsidP="00315778">
            <w:pPr>
              <w:spacing w:before="0" w:line="260" w:lineRule="exact"/>
              <w:jc w:val="center"/>
              <w:rPr>
                <w:b/>
                <w:bCs/>
                <w:color w:val="0000FF"/>
                <w:sz w:val="16"/>
                <w:szCs w:val="16"/>
              </w:rPr>
            </w:pPr>
            <w:r>
              <w:rPr>
                <w:b/>
                <w:bCs/>
                <w:color w:val="0000FF"/>
                <w:sz w:val="16"/>
                <w:szCs w:val="16"/>
              </w:rPr>
              <w:t>2021-2020</w:t>
            </w:r>
          </w:p>
        </w:tc>
        <w:tc>
          <w:tcPr>
            <w:tcW w:w="0" w:type="auto"/>
            <w:shd w:val="clear" w:color="auto" w:fill="DCE6F1"/>
            <w:noWrap/>
            <w:tcMar>
              <w:left w:w="57" w:type="dxa"/>
              <w:right w:w="57" w:type="dxa"/>
            </w:tcMar>
            <w:vAlign w:val="bottom"/>
          </w:tcPr>
          <w:p w14:paraId="3864DA50" w14:textId="0AB748FD" w:rsidR="00F82094" w:rsidRPr="00F82094" w:rsidRDefault="00F82094" w:rsidP="00315778">
            <w:pPr>
              <w:spacing w:before="0" w:line="260" w:lineRule="exact"/>
              <w:jc w:val="center"/>
              <w:rPr>
                <w:b/>
                <w:bCs/>
                <w:color w:val="0000FF"/>
                <w:sz w:val="16"/>
                <w:szCs w:val="16"/>
              </w:rPr>
            </w:pPr>
            <w:r>
              <w:rPr>
                <w:b/>
                <w:bCs/>
                <w:color w:val="0000FF"/>
                <w:sz w:val="16"/>
                <w:szCs w:val="16"/>
              </w:rPr>
              <w:t>-2020</w:t>
            </w:r>
          </w:p>
        </w:tc>
      </w:tr>
      <w:tr w:rsidR="00497A51" w:rsidRPr="00F82094" w14:paraId="3DB19B37" w14:textId="77777777" w:rsidTr="00F82094">
        <w:trPr>
          <w:trHeight w:val="240"/>
          <w:jc w:val="center"/>
        </w:trPr>
        <w:tc>
          <w:tcPr>
            <w:tcW w:w="0" w:type="auto"/>
            <w:shd w:val="clear" w:color="auto" w:fill="DCE6F1"/>
            <w:noWrap/>
            <w:tcMar>
              <w:left w:w="57" w:type="dxa"/>
              <w:right w:w="57" w:type="dxa"/>
            </w:tcMar>
            <w:vAlign w:val="center"/>
            <w:hideMark/>
          </w:tcPr>
          <w:p w14:paraId="04540084" w14:textId="77777777"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vAlign w:val="center"/>
            <w:hideMark/>
          </w:tcPr>
          <w:p w14:paraId="25A48ACB" w14:textId="77777777"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tcPr>
          <w:p w14:paraId="346D421F" w14:textId="09B1ED3B" w:rsidR="00F82094" w:rsidRPr="00F82094" w:rsidRDefault="00F82094" w:rsidP="00315778">
            <w:pPr>
              <w:spacing w:before="0" w:line="260" w:lineRule="exact"/>
              <w:jc w:val="center"/>
              <w:rPr>
                <w:b/>
                <w:bCs/>
                <w:color w:val="0000FF"/>
                <w:sz w:val="16"/>
                <w:szCs w:val="16"/>
              </w:rPr>
            </w:pPr>
            <w:r>
              <w:rPr>
                <w:b/>
                <w:bCs/>
                <w:color w:val="0000FF"/>
                <w:sz w:val="16"/>
                <w:szCs w:val="16"/>
              </w:rPr>
              <w:t>2019</w:t>
            </w:r>
          </w:p>
        </w:tc>
        <w:tc>
          <w:tcPr>
            <w:tcW w:w="0" w:type="auto"/>
            <w:shd w:val="clear" w:color="auto" w:fill="DCE6F1"/>
            <w:noWrap/>
            <w:tcMar>
              <w:left w:w="57" w:type="dxa"/>
              <w:right w:w="57" w:type="dxa"/>
            </w:tcMar>
          </w:tcPr>
          <w:p w14:paraId="5E8E77D3" w14:textId="0CA23F18" w:rsidR="00F82094" w:rsidRPr="00F82094" w:rsidRDefault="00F82094" w:rsidP="00315778">
            <w:pPr>
              <w:spacing w:before="0" w:line="260" w:lineRule="exact"/>
              <w:jc w:val="center"/>
              <w:rPr>
                <w:b/>
                <w:bCs/>
                <w:color w:val="0000FF"/>
                <w:sz w:val="16"/>
                <w:szCs w:val="16"/>
              </w:rPr>
            </w:pPr>
            <w:r>
              <w:rPr>
                <w:b/>
                <w:bCs/>
                <w:color w:val="0000FF"/>
                <w:sz w:val="16"/>
                <w:szCs w:val="16"/>
              </w:rPr>
              <w:t>2019</w:t>
            </w:r>
          </w:p>
        </w:tc>
        <w:tc>
          <w:tcPr>
            <w:tcW w:w="0" w:type="auto"/>
            <w:shd w:val="clear" w:color="auto" w:fill="DCE6F1"/>
            <w:noWrap/>
            <w:tcMar>
              <w:left w:w="57" w:type="dxa"/>
              <w:right w:w="57" w:type="dxa"/>
            </w:tcMar>
          </w:tcPr>
          <w:p w14:paraId="1A97CE51" w14:textId="5EC4255C"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tcPr>
          <w:p w14:paraId="4CD2CC25" w14:textId="77777777"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tcPr>
          <w:p w14:paraId="4DEE95A9" w14:textId="77777777"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tcPr>
          <w:p w14:paraId="54F055A7" w14:textId="77777777" w:rsidR="00F82094" w:rsidRPr="00F82094" w:rsidRDefault="00F82094" w:rsidP="00315778">
            <w:pPr>
              <w:spacing w:before="0" w:line="260" w:lineRule="exact"/>
              <w:jc w:val="center"/>
              <w:rPr>
                <w:b/>
                <w:bCs/>
                <w:color w:val="0000FF"/>
                <w:sz w:val="16"/>
                <w:szCs w:val="16"/>
              </w:rPr>
            </w:pPr>
          </w:p>
        </w:tc>
        <w:tc>
          <w:tcPr>
            <w:tcW w:w="0" w:type="auto"/>
            <w:shd w:val="clear" w:color="auto" w:fill="DCE6F1"/>
            <w:noWrap/>
            <w:tcMar>
              <w:left w:w="57" w:type="dxa"/>
              <w:right w:w="57" w:type="dxa"/>
            </w:tcMar>
          </w:tcPr>
          <w:p w14:paraId="2312B8AB" w14:textId="6D07C958" w:rsidR="00F82094" w:rsidRPr="00F82094" w:rsidRDefault="00F82094" w:rsidP="00315778">
            <w:pPr>
              <w:spacing w:before="0" w:line="260" w:lineRule="exact"/>
              <w:jc w:val="center"/>
              <w:rPr>
                <w:b/>
                <w:bCs/>
                <w:color w:val="0000FF"/>
                <w:sz w:val="16"/>
                <w:szCs w:val="16"/>
              </w:rPr>
            </w:pPr>
          </w:p>
        </w:tc>
        <w:tc>
          <w:tcPr>
            <w:tcW w:w="0" w:type="auto"/>
            <w:shd w:val="clear" w:color="auto" w:fill="DCE6F1"/>
            <w:tcMar>
              <w:left w:w="57" w:type="dxa"/>
              <w:right w:w="57" w:type="dxa"/>
            </w:tcMar>
          </w:tcPr>
          <w:p w14:paraId="1C3DF061" w14:textId="378DF09A" w:rsidR="00F82094" w:rsidRDefault="00F82094" w:rsidP="00315778">
            <w:pPr>
              <w:spacing w:before="0" w:line="260" w:lineRule="exact"/>
              <w:jc w:val="center"/>
              <w:rPr>
                <w:b/>
                <w:bCs/>
                <w:color w:val="0000FF"/>
                <w:sz w:val="16"/>
                <w:szCs w:val="16"/>
              </w:rPr>
            </w:pPr>
            <w:r>
              <w:rPr>
                <w:b/>
                <w:bCs/>
                <w:color w:val="0000FF"/>
                <w:sz w:val="16"/>
                <w:szCs w:val="16"/>
              </w:rPr>
              <w:t>2023</w:t>
            </w:r>
          </w:p>
        </w:tc>
        <w:tc>
          <w:tcPr>
            <w:tcW w:w="0" w:type="auto"/>
            <w:shd w:val="clear" w:color="auto" w:fill="DCE6F1"/>
            <w:noWrap/>
            <w:tcMar>
              <w:left w:w="57" w:type="dxa"/>
              <w:right w:w="57" w:type="dxa"/>
            </w:tcMar>
          </w:tcPr>
          <w:p w14:paraId="20433929" w14:textId="2FA1380A" w:rsidR="00F82094" w:rsidRPr="00F82094" w:rsidRDefault="00F82094" w:rsidP="00315778">
            <w:pPr>
              <w:spacing w:before="0" w:line="260" w:lineRule="exact"/>
              <w:jc w:val="center"/>
              <w:rPr>
                <w:b/>
                <w:bCs/>
                <w:color w:val="0000FF"/>
                <w:sz w:val="16"/>
                <w:szCs w:val="16"/>
              </w:rPr>
            </w:pPr>
            <w:r>
              <w:rPr>
                <w:b/>
                <w:bCs/>
                <w:color w:val="0000FF"/>
                <w:sz w:val="16"/>
                <w:szCs w:val="16"/>
              </w:rPr>
              <w:t>2023-2022</w:t>
            </w:r>
          </w:p>
        </w:tc>
        <w:tc>
          <w:tcPr>
            <w:tcW w:w="0" w:type="auto"/>
            <w:shd w:val="clear" w:color="auto" w:fill="DCE6F1"/>
            <w:noWrap/>
            <w:tcMar>
              <w:left w:w="57" w:type="dxa"/>
              <w:right w:w="57" w:type="dxa"/>
            </w:tcMar>
          </w:tcPr>
          <w:p w14:paraId="4DF4A6D8" w14:textId="0C0C8BBD" w:rsidR="00F82094" w:rsidRPr="00F82094" w:rsidRDefault="00F82094" w:rsidP="00315778">
            <w:pPr>
              <w:spacing w:before="0" w:line="260" w:lineRule="exact"/>
              <w:jc w:val="center"/>
              <w:rPr>
                <w:b/>
                <w:bCs/>
                <w:color w:val="0000FF"/>
                <w:sz w:val="16"/>
                <w:szCs w:val="16"/>
              </w:rPr>
            </w:pPr>
            <w:r>
              <w:rPr>
                <w:b/>
                <w:bCs/>
                <w:color w:val="0000FF"/>
                <w:sz w:val="16"/>
                <w:szCs w:val="16"/>
              </w:rPr>
              <w:t>2021</w:t>
            </w:r>
          </w:p>
        </w:tc>
      </w:tr>
      <w:tr w:rsidR="00497A51" w:rsidRPr="00F82094" w14:paraId="303D5CED" w14:textId="77777777" w:rsidTr="00F82094">
        <w:trPr>
          <w:trHeight w:val="240"/>
          <w:jc w:val="center"/>
        </w:trPr>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619C524A" w14:textId="77777777" w:rsidR="00F82094" w:rsidRPr="00F82094" w:rsidRDefault="00F82094" w:rsidP="00EF3005">
            <w:pPr>
              <w:spacing w:before="20" w:after="20" w:line="260" w:lineRule="exact"/>
              <w:jc w:val="center"/>
              <w:rPr>
                <w:b/>
                <w:bCs/>
                <w:color w:val="0000FF"/>
                <w:sz w:val="16"/>
                <w:szCs w:val="16"/>
              </w:rPr>
            </w:pP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450DBB65" w14:textId="77777777" w:rsidR="00F82094" w:rsidRPr="00F82094" w:rsidRDefault="00F82094" w:rsidP="00EF3005">
            <w:pPr>
              <w:spacing w:before="20" w:after="20" w:line="260" w:lineRule="exact"/>
              <w:jc w:val="center"/>
              <w:rPr>
                <w:b/>
                <w:bCs/>
                <w:color w:val="0000FF"/>
                <w:sz w:val="16"/>
                <w:szCs w:val="16"/>
              </w:rPr>
            </w:pP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3ADAFBB7" w14:textId="77777777" w:rsidR="00F82094" w:rsidRPr="00F82094" w:rsidRDefault="00F82094" w:rsidP="00EF3005">
            <w:pPr>
              <w:spacing w:before="20" w:after="20" w:line="260" w:lineRule="exact"/>
              <w:jc w:val="center"/>
              <w:rPr>
                <w:b/>
                <w:bCs/>
                <w:color w:val="0000FF"/>
                <w:sz w:val="16"/>
                <w:szCs w:val="16"/>
              </w:rPr>
            </w:pPr>
            <w:r w:rsidRPr="00F82094">
              <w:rPr>
                <w:b/>
                <w:bCs/>
                <w:color w:val="0000FF"/>
                <w:sz w:val="16"/>
                <w:szCs w:val="16"/>
              </w:rPr>
              <w:t>a</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7DF77624" w14:textId="77777777" w:rsidR="00F82094" w:rsidRPr="00F82094" w:rsidRDefault="00F82094" w:rsidP="00EF3005">
            <w:pPr>
              <w:spacing w:before="20" w:after="20" w:line="260" w:lineRule="exact"/>
              <w:jc w:val="center"/>
              <w:rPr>
                <w:b/>
                <w:bCs/>
                <w:color w:val="0000FF"/>
                <w:sz w:val="16"/>
                <w:szCs w:val="16"/>
              </w:rPr>
            </w:pPr>
            <w:r w:rsidRPr="00F82094">
              <w:rPr>
                <w:b/>
                <w:bCs/>
                <w:color w:val="0000FF"/>
                <w:sz w:val="16"/>
                <w:szCs w:val="16"/>
              </w:rPr>
              <w:t>b</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197C3B0A" w14:textId="77777777" w:rsidR="00F82094" w:rsidRPr="00F82094" w:rsidRDefault="00F82094" w:rsidP="00EF3005">
            <w:pPr>
              <w:spacing w:before="20" w:after="20" w:line="260" w:lineRule="exact"/>
              <w:jc w:val="center"/>
              <w:rPr>
                <w:b/>
                <w:bCs/>
                <w:color w:val="0000FF"/>
                <w:sz w:val="16"/>
                <w:szCs w:val="16"/>
              </w:rPr>
            </w:pPr>
            <w:r w:rsidRPr="00F82094">
              <w:rPr>
                <w:b/>
                <w:bCs/>
                <w:color w:val="0000FF"/>
                <w:sz w:val="16"/>
                <w:szCs w:val="16"/>
              </w:rPr>
              <w:t>c</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4DF1C121" w14:textId="77777777" w:rsidR="00F82094" w:rsidRPr="00F82094" w:rsidRDefault="00F82094" w:rsidP="00EF3005">
            <w:pPr>
              <w:spacing w:before="20" w:after="20" w:line="260" w:lineRule="exact"/>
              <w:jc w:val="center"/>
              <w:rPr>
                <w:b/>
                <w:bCs/>
                <w:color w:val="0000FF"/>
                <w:sz w:val="16"/>
                <w:szCs w:val="16"/>
              </w:rPr>
            </w:pPr>
            <w:r w:rsidRPr="00F82094">
              <w:rPr>
                <w:b/>
                <w:bCs/>
                <w:color w:val="0000FF"/>
                <w:sz w:val="16"/>
                <w:szCs w:val="16"/>
              </w:rPr>
              <w:t>d</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4E8AE84D" w14:textId="77777777" w:rsidR="00F82094" w:rsidRPr="00F82094" w:rsidRDefault="00F82094" w:rsidP="00EF3005">
            <w:pPr>
              <w:spacing w:before="20" w:after="20" w:line="260" w:lineRule="exact"/>
              <w:jc w:val="center"/>
              <w:rPr>
                <w:b/>
                <w:bCs/>
                <w:color w:val="0000FF"/>
                <w:sz w:val="16"/>
                <w:szCs w:val="16"/>
              </w:rPr>
            </w:pPr>
            <w:r w:rsidRPr="00F82094">
              <w:rPr>
                <w:b/>
                <w:bCs/>
                <w:color w:val="0000FF"/>
                <w:sz w:val="16"/>
                <w:szCs w:val="16"/>
              </w:rPr>
              <w:t>e</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41FEBF98" w14:textId="77777777" w:rsidR="00F82094" w:rsidRPr="00F82094" w:rsidRDefault="00F82094" w:rsidP="00EF3005">
            <w:pPr>
              <w:spacing w:before="20" w:after="20" w:line="260" w:lineRule="exact"/>
              <w:jc w:val="center"/>
              <w:rPr>
                <w:b/>
                <w:bCs/>
                <w:color w:val="0000FF"/>
                <w:sz w:val="16"/>
                <w:szCs w:val="16"/>
              </w:rPr>
            </w:pPr>
            <w:r w:rsidRPr="00F82094">
              <w:rPr>
                <w:b/>
                <w:bCs/>
                <w:color w:val="0000FF"/>
                <w:sz w:val="16"/>
                <w:szCs w:val="16"/>
              </w:rPr>
              <w:t>f</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6508FA17" w14:textId="77777777" w:rsidR="00F82094" w:rsidRPr="00F82094" w:rsidRDefault="00F82094" w:rsidP="00EF3005">
            <w:pPr>
              <w:spacing w:before="20" w:after="20" w:line="260" w:lineRule="exact"/>
              <w:jc w:val="center"/>
              <w:rPr>
                <w:b/>
                <w:bCs/>
                <w:color w:val="0000FF"/>
                <w:sz w:val="16"/>
                <w:szCs w:val="16"/>
              </w:rPr>
            </w:pPr>
            <w:r w:rsidRPr="00F82094">
              <w:rPr>
                <w:b/>
                <w:bCs/>
                <w:color w:val="0000FF"/>
                <w:sz w:val="16"/>
                <w:szCs w:val="16"/>
              </w:rPr>
              <w:t>g</w:t>
            </w:r>
          </w:p>
        </w:tc>
        <w:tc>
          <w:tcPr>
            <w:tcW w:w="0" w:type="auto"/>
            <w:tcBorders>
              <w:top w:val="nil"/>
              <w:left w:val="nil"/>
              <w:bottom w:val="single" w:sz="4" w:space="0" w:color="auto"/>
              <w:right w:val="nil"/>
            </w:tcBorders>
            <w:shd w:val="clear" w:color="auto" w:fill="DCE6F1"/>
            <w:tcMar>
              <w:left w:w="57" w:type="dxa"/>
              <w:right w:w="57" w:type="dxa"/>
            </w:tcMar>
          </w:tcPr>
          <w:p w14:paraId="761136C9" w14:textId="3EC39A5E" w:rsidR="00F82094" w:rsidRPr="00F82094" w:rsidRDefault="00F82094" w:rsidP="00EF3005">
            <w:pPr>
              <w:spacing w:before="20" w:after="20" w:line="260" w:lineRule="exact"/>
              <w:jc w:val="center"/>
              <w:rPr>
                <w:b/>
                <w:bCs/>
                <w:color w:val="0000FF"/>
                <w:spacing w:val="-6"/>
                <w:sz w:val="16"/>
                <w:szCs w:val="16"/>
              </w:rPr>
            </w:pPr>
            <w:r>
              <w:rPr>
                <w:b/>
                <w:bCs/>
                <w:color w:val="0000FF"/>
                <w:spacing w:val="-6"/>
                <w:sz w:val="16"/>
                <w:szCs w:val="16"/>
              </w:rPr>
              <w:t>h</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246F3653" w14:textId="4380BAC6" w:rsidR="00F82094" w:rsidRPr="00F82094" w:rsidRDefault="00F82094" w:rsidP="00EF3005">
            <w:pPr>
              <w:spacing w:before="20" w:after="20" w:line="260" w:lineRule="exact"/>
              <w:jc w:val="center"/>
              <w:rPr>
                <w:b/>
                <w:bCs/>
                <w:color w:val="0000FF"/>
                <w:spacing w:val="-6"/>
                <w:sz w:val="16"/>
                <w:szCs w:val="16"/>
              </w:rPr>
            </w:pPr>
            <w:proofErr w:type="spellStart"/>
            <w:r>
              <w:rPr>
                <w:b/>
                <w:bCs/>
                <w:color w:val="0000FF"/>
                <w:spacing w:val="-6"/>
                <w:sz w:val="16"/>
                <w:szCs w:val="16"/>
              </w:rPr>
              <w:t>i</w:t>
            </w:r>
            <w:proofErr w:type="spellEnd"/>
            <w:r>
              <w:rPr>
                <w:b/>
                <w:bCs/>
                <w:color w:val="0000FF"/>
                <w:spacing w:val="-6"/>
                <w:sz w:val="16"/>
                <w:szCs w:val="16"/>
              </w:rPr>
              <w:t>=h-(</w:t>
            </w:r>
            <w:proofErr w:type="spellStart"/>
            <w:r>
              <w:rPr>
                <w:b/>
                <w:bCs/>
                <w:color w:val="0000FF"/>
                <w:spacing w:val="-6"/>
                <w:sz w:val="16"/>
                <w:szCs w:val="16"/>
              </w:rPr>
              <w:t>c+e</w:t>
            </w:r>
            <w:proofErr w:type="spellEnd"/>
            <w:r>
              <w:rPr>
                <w:b/>
                <w:bCs/>
                <w:color w:val="0000FF"/>
                <w:spacing w:val="-6"/>
                <w:sz w:val="16"/>
                <w:szCs w:val="16"/>
              </w:rPr>
              <w:t>)</w:t>
            </w:r>
          </w:p>
        </w:tc>
        <w:tc>
          <w:tcPr>
            <w:tcW w:w="0" w:type="auto"/>
            <w:tcBorders>
              <w:top w:val="nil"/>
              <w:left w:val="nil"/>
              <w:bottom w:val="single" w:sz="4" w:space="0" w:color="auto"/>
              <w:right w:val="nil"/>
            </w:tcBorders>
            <w:shd w:val="clear" w:color="auto" w:fill="DCE6F1"/>
            <w:noWrap/>
            <w:tcMar>
              <w:left w:w="57" w:type="dxa"/>
              <w:right w:w="57" w:type="dxa"/>
            </w:tcMar>
            <w:vAlign w:val="center"/>
            <w:hideMark/>
          </w:tcPr>
          <w:p w14:paraId="5983CC31" w14:textId="5B96AEFA" w:rsidR="00F82094" w:rsidRPr="00F82094" w:rsidRDefault="00F82094" w:rsidP="00EF3005">
            <w:pPr>
              <w:spacing w:before="20" w:after="20" w:line="260" w:lineRule="exact"/>
              <w:jc w:val="center"/>
              <w:rPr>
                <w:b/>
                <w:bCs/>
                <w:color w:val="0000FF"/>
                <w:sz w:val="16"/>
                <w:szCs w:val="16"/>
              </w:rPr>
            </w:pPr>
            <w:r>
              <w:rPr>
                <w:b/>
                <w:bCs/>
                <w:color w:val="0000FF"/>
                <w:sz w:val="16"/>
                <w:szCs w:val="16"/>
              </w:rPr>
              <w:t>j=</w:t>
            </w:r>
            <w:proofErr w:type="spellStart"/>
            <w:r>
              <w:rPr>
                <w:b/>
                <w:bCs/>
                <w:color w:val="0000FF"/>
                <w:sz w:val="16"/>
                <w:szCs w:val="16"/>
              </w:rPr>
              <w:t>i</w:t>
            </w:r>
            <w:proofErr w:type="spellEnd"/>
            <w:r>
              <w:rPr>
                <w:b/>
                <w:bCs/>
                <w:color w:val="0000FF"/>
                <w:sz w:val="16"/>
                <w:szCs w:val="16"/>
              </w:rPr>
              <w:t>/(</w:t>
            </w:r>
            <w:proofErr w:type="spellStart"/>
            <w:r>
              <w:rPr>
                <w:b/>
                <w:bCs/>
                <w:color w:val="0000FF"/>
                <w:sz w:val="16"/>
                <w:szCs w:val="16"/>
              </w:rPr>
              <w:t>c+e</w:t>
            </w:r>
            <w:proofErr w:type="spellEnd"/>
            <w:r>
              <w:rPr>
                <w:b/>
                <w:bCs/>
                <w:color w:val="0000FF"/>
                <w:sz w:val="16"/>
                <w:szCs w:val="16"/>
              </w:rPr>
              <w:t>)</w:t>
            </w:r>
          </w:p>
        </w:tc>
      </w:tr>
      <w:tr w:rsidR="00497A51" w:rsidRPr="00F82094" w14:paraId="2FB48544" w14:textId="77777777" w:rsidTr="00F82094">
        <w:trPr>
          <w:trHeight w:val="315"/>
          <w:jc w:val="center"/>
        </w:trPr>
        <w:tc>
          <w:tcPr>
            <w:tcW w:w="0" w:type="auto"/>
            <w:noWrap/>
            <w:tcMar>
              <w:left w:w="57" w:type="dxa"/>
              <w:right w:w="57" w:type="dxa"/>
            </w:tcMar>
            <w:hideMark/>
          </w:tcPr>
          <w:p w14:paraId="3D22C3DE" w14:textId="77777777" w:rsidR="00F82094" w:rsidRPr="00F82094" w:rsidRDefault="00F82094" w:rsidP="00EF3005">
            <w:pPr>
              <w:spacing w:before="20" w:after="20" w:line="260" w:lineRule="exact"/>
              <w:jc w:val="left"/>
              <w:rPr>
                <w:sz w:val="16"/>
                <w:szCs w:val="16"/>
              </w:rPr>
            </w:pPr>
            <w:r w:rsidRPr="00F82094">
              <w:rPr>
                <w:sz w:val="16"/>
                <w:szCs w:val="16"/>
              </w:rPr>
              <w:t>2-1</w:t>
            </w:r>
          </w:p>
        </w:tc>
        <w:tc>
          <w:tcPr>
            <w:tcW w:w="0" w:type="auto"/>
            <w:noWrap/>
            <w:tcMar>
              <w:left w:w="57" w:type="dxa"/>
              <w:right w:w="57" w:type="dxa"/>
            </w:tcMar>
            <w:hideMark/>
          </w:tcPr>
          <w:p w14:paraId="79C0F855" w14:textId="77777777" w:rsidR="00F82094" w:rsidRPr="00F82094" w:rsidRDefault="00F82094" w:rsidP="00EF3005">
            <w:pPr>
              <w:spacing w:before="20" w:after="20" w:line="260" w:lineRule="exact"/>
              <w:jc w:val="left"/>
              <w:rPr>
                <w:sz w:val="16"/>
                <w:szCs w:val="16"/>
              </w:rPr>
            </w:pPr>
            <w:r w:rsidRPr="00F82094">
              <w:rPr>
                <w:sz w:val="16"/>
                <w:szCs w:val="16"/>
                <w:rtl/>
                <w:lang w:bidi="ar-EG"/>
              </w:rPr>
              <w:t>التكاليف الخاصة بالموظفين</w:t>
            </w:r>
            <w:r w:rsidRPr="00F82094">
              <w:rPr>
                <w:sz w:val="16"/>
                <w:szCs w:val="16"/>
                <w:rtl/>
                <w:lang w:bidi="ar-EG"/>
              </w:rPr>
              <w:br/>
            </w:r>
            <w:r w:rsidRPr="00F82094">
              <w:rPr>
                <w:rFonts w:hint="cs"/>
                <w:sz w:val="16"/>
                <w:szCs w:val="16"/>
                <w:rtl/>
                <w:lang w:bidi="ar-EG"/>
              </w:rPr>
              <w:t>و</w:t>
            </w:r>
            <w:r w:rsidRPr="00F82094">
              <w:rPr>
                <w:sz w:val="16"/>
                <w:szCs w:val="16"/>
                <w:rtl/>
                <w:lang w:bidi="ar-EG"/>
              </w:rPr>
              <w:t>التكاليف الأخرى الخاصة بالموظفين</w:t>
            </w:r>
          </w:p>
        </w:tc>
        <w:tc>
          <w:tcPr>
            <w:tcW w:w="0" w:type="auto"/>
            <w:noWrap/>
            <w:tcMar>
              <w:left w:w="57" w:type="dxa"/>
              <w:right w:w="57" w:type="dxa"/>
            </w:tcMar>
          </w:tcPr>
          <w:p w14:paraId="7B03C92A" w14:textId="4D98A34E" w:rsidR="00F82094" w:rsidRPr="00F82094" w:rsidRDefault="00F82094" w:rsidP="00EF3005">
            <w:pPr>
              <w:spacing w:before="20" w:after="20" w:line="260" w:lineRule="exact"/>
              <w:jc w:val="left"/>
              <w:rPr>
                <w:sz w:val="16"/>
                <w:szCs w:val="16"/>
                <w:rtl/>
                <w:lang w:bidi="ar-EG"/>
              </w:rPr>
            </w:pPr>
            <w:r>
              <w:rPr>
                <w:sz w:val="16"/>
                <w:szCs w:val="16"/>
                <w:lang w:bidi="ar-EG"/>
              </w:rPr>
              <w:t>7 756</w:t>
            </w:r>
          </w:p>
        </w:tc>
        <w:tc>
          <w:tcPr>
            <w:tcW w:w="0" w:type="auto"/>
            <w:noWrap/>
            <w:tcMar>
              <w:left w:w="57" w:type="dxa"/>
              <w:right w:w="57" w:type="dxa"/>
            </w:tcMar>
          </w:tcPr>
          <w:p w14:paraId="5B494CDD" w14:textId="2E926A20" w:rsidR="00F82094" w:rsidRPr="00F82094" w:rsidRDefault="00F82094" w:rsidP="00EF3005">
            <w:pPr>
              <w:spacing w:before="20" w:after="20" w:line="260" w:lineRule="exact"/>
              <w:jc w:val="left"/>
              <w:rPr>
                <w:sz w:val="16"/>
                <w:szCs w:val="16"/>
              </w:rPr>
            </w:pPr>
            <w:r>
              <w:rPr>
                <w:sz w:val="16"/>
                <w:szCs w:val="16"/>
              </w:rPr>
              <w:t>5 155</w:t>
            </w:r>
          </w:p>
        </w:tc>
        <w:tc>
          <w:tcPr>
            <w:tcW w:w="0" w:type="auto"/>
            <w:noWrap/>
            <w:tcMar>
              <w:left w:w="57" w:type="dxa"/>
              <w:right w:w="57" w:type="dxa"/>
            </w:tcMar>
          </w:tcPr>
          <w:p w14:paraId="261696D3" w14:textId="33220CE2" w:rsidR="00F82094" w:rsidRPr="00F82094" w:rsidRDefault="00F82094" w:rsidP="00EF3005">
            <w:pPr>
              <w:spacing w:before="20" w:after="20" w:line="260" w:lineRule="exact"/>
              <w:jc w:val="left"/>
              <w:rPr>
                <w:sz w:val="16"/>
                <w:szCs w:val="16"/>
              </w:rPr>
            </w:pPr>
            <w:r>
              <w:rPr>
                <w:sz w:val="16"/>
                <w:szCs w:val="16"/>
              </w:rPr>
              <w:t>3 490</w:t>
            </w:r>
          </w:p>
        </w:tc>
        <w:tc>
          <w:tcPr>
            <w:tcW w:w="0" w:type="auto"/>
            <w:noWrap/>
            <w:tcMar>
              <w:left w:w="57" w:type="dxa"/>
              <w:right w:w="57" w:type="dxa"/>
            </w:tcMar>
          </w:tcPr>
          <w:p w14:paraId="4BA4DCA4" w14:textId="6DB7F724" w:rsidR="00F82094" w:rsidRPr="00F82094" w:rsidRDefault="00F82094" w:rsidP="00EF3005">
            <w:pPr>
              <w:spacing w:before="20" w:after="20" w:line="260" w:lineRule="exact"/>
              <w:jc w:val="left"/>
              <w:rPr>
                <w:sz w:val="16"/>
                <w:szCs w:val="16"/>
              </w:rPr>
            </w:pPr>
            <w:r>
              <w:rPr>
                <w:sz w:val="16"/>
                <w:szCs w:val="16"/>
              </w:rPr>
              <w:t>2 163</w:t>
            </w:r>
          </w:p>
        </w:tc>
        <w:tc>
          <w:tcPr>
            <w:tcW w:w="0" w:type="auto"/>
            <w:noWrap/>
            <w:tcMar>
              <w:left w:w="57" w:type="dxa"/>
              <w:right w:w="57" w:type="dxa"/>
            </w:tcMar>
          </w:tcPr>
          <w:p w14:paraId="0EB15E11" w14:textId="0731261C" w:rsidR="00F82094" w:rsidRPr="00F82094" w:rsidRDefault="00F82094" w:rsidP="00EF3005">
            <w:pPr>
              <w:spacing w:before="20" w:after="20" w:line="260" w:lineRule="exact"/>
              <w:jc w:val="left"/>
              <w:rPr>
                <w:sz w:val="16"/>
                <w:szCs w:val="16"/>
              </w:rPr>
            </w:pPr>
            <w:r>
              <w:rPr>
                <w:sz w:val="16"/>
                <w:szCs w:val="16"/>
              </w:rPr>
              <w:t>3 490</w:t>
            </w:r>
          </w:p>
        </w:tc>
        <w:tc>
          <w:tcPr>
            <w:tcW w:w="0" w:type="auto"/>
            <w:noWrap/>
            <w:tcMar>
              <w:left w:w="57" w:type="dxa"/>
              <w:right w:w="57" w:type="dxa"/>
            </w:tcMar>
          </w:tcPr>
          <w:p w14:paraId="45726786" w14:textId="6B45518D" w:rsidR="00F82094" w:rsidRPr="00F82094" w:rsidRDefault="00F82094" w:rsidP="00EF3005">
            <w:pPr>
              <w:spacing w:before="20" w:after="20" w:line="260" w:lineRule="exact"/>
              <w:jc w:val="left"/>
              <w:rPr>
                <w:sz w:val="16"/>
                <w:szCs w:val="16"/>
              </w:rPr>
            </w:pPr>
            <w:r>
              <w:rPr>
                <w:sz w:val="16"/>
                <w:szCs w:val="16"/>
              </w:rPr>
              <w:t>2 693</w:t>
            </w:r>
          </w:p>
        </w:tc>
        <w:tc>
          <w:tcPr>
            <w:tcW w:w="0" w:type="auto"/>
            <w:noWrap/>
            <w:tcMar>
              <w:left w:w="57" w:type="dxa"/>
              <w:right w:w="57" w:type="dxa"/>
            </w:tcMar>
          </w:tcPr>
          <w:p w14:paraId="50FA661B" w14:textId="1B389A73" w:rsidR="00F82094" w:rsidRPr="00F82094" w:rsidRDefault="00F82094" w:rsidP="00EF3005">
            <w:pPr>
              <w:spacing w:before="20" w:after="20" w:line="260" w:lineRule="exact"/>
              <w:jc w:val="left"/>
              <w:rPr>
                <w:sz w:val="16"/>
                <w:szCs w:val="16"/>
              </w:rPr>
            </w:pPr>
            <w:r>
              <w:rPr>
                <w:sz w:val="16"/>
                <w:szCs w:val="16"/>
              </w:rPr>
              <w:t>2 693</w:t>
            </w:r>
          </w:p>
        </w:tc>
        <w:tc>
          <w:tcPr>
            <w:tcW w:w="0" w:type="auto"/>
            <w:tcMar>
              <w:left w:w="57" w:type="dxa"/>
              <w:right w:w="57" w:type="dxa"/>
            </w:tcMar>
          </w:tcPr>
          <w:p w14:paraId="13DA7886" w14:textId="58378837" w:rsidR="00F82094" w:rsidRPr="00F82094" w:rsidRDefault="00F82094" w:rsidP="00EF3005">
            <w:pPr>
              <w:spacing w:before="20" w:after="20" w:line="260" w:lineRule="exact"/>
              <w:jc w:val="left"/>
              <w:rPr>
                <w:sz w:val="16"/>
                <w:szCs w:val="16"/>
              </w:rPr>
            </w:pPr>
            <w:r>
              <w:rPr>
                <w:sz w:val="16"/>
                <w:szCs w:val="16"/>
              </w:rPr>
              <w:t>5 387</w:t>
            </w:r>
          </w:p>
        </w:tc>
        <w:tc>
          <w:tcPr>
            <w:tcW w:w="0" w:type="auto"/>
            <w:noWrap/>
            <w:tcMar>
              <w:left w:w="57" w:type="dxa"/>
              <w:right w:w="57" w:type="dxa"/>
            </w:tcMar>
          </w:tcPr>
          <w:p w14:paraId="312BFF43" w14:textId="0B297B54" w:rsidR="00F82094" w:rsidRPr="00F82094" w:rsidRDefault="00F82094" w:rsidP="00EF3005">
            <w:pPr>
              <w:spacing w:before="20" w:after="20" w:line="260" w:lineRule="exact"/>
              <w:jc w:val="left"/>
              <w:rPr>
                <w:sz w:val="16"/>
                <w:szCs w:val="16"/>
              </w:rPr>
            </w:pPr>
            <w:r>
              <w:rPr>
                <w:sz w:val="16"/>
                <w:szCs w:val="16"/>
              </w:rPr>
              <w:t>1 593–</w:t>
            </w:r>
          </w:p>
        </w:tc>
        <w:tc>
          <w:tcPr>
            <w:tcW w:w="0" w:type="auto"/>
            <w:noWrap/>
            <w:tcMar>
              <w:left w:w="57" w:type="dxa"/>
              <w:right w:w="57" w:type="dxa"/>
            </w:tcMar>
          </w:tcPr>
          <w:p w14:paraId="7FEC84ED" w14:textId="37F261A1" w:rsidR="00F82094" w:rsidRPr="00F82094" w:rsidRDefault="00F82094" w:rsidP="00EF3005">
            <w:pPr>
              <w:spacing w:before="20" w:after="20" w:line="260" w:lineRule="exact"/>
              <w:jc w:val="left"/>
              <w:rPr>
                <w:sz w:val="16"/>
                <w:szCs w:val="16"/>
              </w:rPr>
            </w:pPr>
            <w:r>
              <w:rPr>
                <w:sz w:val="16"/>
                <w:szCs w:val="16"/>
              </w:rPr>
              <w:t>%23–</w:t>
            </w:r>
          </w:p>
        </w:tc>
      </w:tr>
      <w:tr w:rsidR="00497A51" w:rsidRPr="00F82094" w14:paraId="536532A2" w14:textId="77777777" w:rsidTr="00F82094">
        <w:trPr>
          <w:trHeight w:val="315"/>
          <w:jc w:val="center"/>
        </w:trPr>
        <w:tc>
          <w:tcPr>
            <w:tcW w:w="0" w:type="auto"/>
            <w:noWrap/>
            <w:tcMar>
              <w:left w:w="57" w:type="dxa"/>
              <w:right w:w="57" w:type="dxa"/>
            </w:tcMar>
            <w:hideMark/>
          </w:tcPr>
          <w:p w14:paraId="3B693D46" w14:textId="77777777" w:rsidR="00F82094" w:rsidRPr="00F82094" w:rsidRDefault="00F82094" w:rsidP="00EF3005">
            <w:pPr>
              <w:spacing w:before="20" w:after="20" w:line="260" w:lineRule="exact"/>
              <w:jc w:val="left"/>
              <w:rPr>
                <w:sz w:val="16"/>
                <w:szCs w:val="16"/>
              </w:rPr>
            </w:pPr>
            <w:r w:rsidRPr="00F82094">
              <w:rPr>
                <w:sz w:val="16"/>
                <w:szCs w:val="16"/>
              </w:rPr>
              <w:t>3</w:t>
            </w:r>
          </w:p>
        </w:tc>
        <w:tc>
          <w:tcPr>
            <w:tcW w:w="0" w:type="auto"/>
            <w:noWrap/>
            <w:tcMar>
              <w:left w:w="57" w:type="dxa"/>
              <w:right w:w="57" w:type="dxa"/>
            </w:tcMar>
            <w:hideMark/>
          </w:tcPr>
          <w:p w14:paraId="4F60696A" w14:textId="77777777" w:rsidR="00F82094" w:rsidRPr="00F82094" w:rsidRDefault="00F82094" w:rsidP="00EF3005">
            <w:pPr>
              <w:spacing w:before="20" w:after="20" w:line="260" w:lineRule="exact"/>
              <w:jc w:val="left"/>
              <w:rPr>
                <w:sz w:val="16"/>
                <w:szCs w:val="16"/>
              </w:rPr>
            </w:pPr>
            <w:r w:rsidRPr="00F82094">
              <w:rPr>
                <w:sz w:val="16"/>
                <w:szCs w:val="16"/>
                <w:rtl/>
                <w:lang w:bidi="ar-EG"/>
              </w:rPr>
              <w:t>السفر في مهام رسمية</w:t>
            </w:r>
          </w:p>
        </w:tc>
        <w:tc>
          <w:tcPr>
            <w:tcW w:w="0" w:type="auto"/>
            <w:noWrap/>
            <w:tcMar>
              <w:left w:w="57" w:type="dxa"/>
              <w:right w:w="57" w:type="dxa"/>
            </w:tcMar>
          </w:tcPr>
          <w:p w14:paraId="40B8F02F" w14:textId="50249E7A" w:rsidR="00F82094" w:rsidRPr="00F82094" w:rsidRDefault="00F82094" w:rsidP="00EF3005">
            <w:pPr>
              <w:spacing w:before="20" w:after="20" w:line="260" w:lineRule="exact"/>
              <w:jc w:val="left"/>
              <w:rPr>
                <w:sz w:val="16"/>
                <w:szCs w:val="16"/>
              </w:rPr>
            </w:pPr>
            <w:r>
              <w:rPr>
                <w:sz w:val="16"/>
                <w:szCs w:val="16"/>
              </w:rPr>
              <w:t>50</w:t>
            </w:r>
          </w:p>
        </w:tc>
        <w:tc>
          <w:tcPr>
            <w:tcW w:w="0" w:type="auto"/>
            <w:noWrap/>
            <w:tcMar>
              <w:left w:w="57" w:type="dxa"/>
              <w:right w:w="57" w:type="dxa"/>
            </w:tcMar>
          </w:tcPr>
          <w:p w14:paraId="11E30B67" w14:textId="44BE6DA0" w:rsidR="00F82094" w:rsidRPr="00F82094" w:rsidRDefault="00497A51" w:rsidP="00EF3005">
            <w:pPr>
              <w:spacing w:before="20" w:after="20" w:line="260" w:lineRule="exact"/>
              <w:jc w:val="left"/>
              <w:rPr>
                <w:sz w:val="16"/>
                <w:szCs w:val="16"/>
              </w:rPr>
            </w:pPr>
            <w:r>
              <w:rPr>
                <w:sz w:val="16"/>
                <w:szCs w:val="16"/>
              </w:rPr>
              <w:t>6</w:t>
            </w:r>
          </w:p>
        </w:tc>
        <w:tc>
          <w:tcPr>
            <w:tcW w:w="0" w:type="auto"/>
            <w:noWrap/>
            <w:tcMar>
              <w:left w:w="57" w:type="dxa"/>
              <w:right w:w="57" w:type="dxa"/>
            </w:tcMar>
          </w:tcPr>
          <w:p w14:paraId="4E39171A" w14:textId="5186C24C" w:rsidR="00F82094" w:rsidRPr="00F82094" w:rsidRDefault="00497A51" w:rsidP="00EF3005">
            <w:pPr>
              <w:spacing w:before="20" w:after="20" w:line="260" w:lineRule="exact"/>
              <w:jc w:val="left"/>
              <w:rPr>
                <w:sz w:val="16"/>
                <w:szCs w:val="16"/>
              </w:rPr>
            </w:pPr>
            <w:r>
              <w:rPr>
                <w:sz w:val="16"/>
                <w:szCs w:val="16"/>
              </w:rPr>
              <w:t>15</w:t>
            </w:r>
          </w:p>
        </w:tc>
        <w:tc>
          <w:tcPr>
            <w:tcW w:w="0" w:type="auto"/>
            <w:noWrap/>
            <w:tcMar>
              <w:left w:w="57" w:type="dxa"/>
              <w:right w:w="57" w:type="dxa"/>
            </w:tcMar>
          </w:tcPr>
          <w:p w14:paraId="7F38327C" w14:textId="567AD660"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29F5AA6C" w14:textId="4AB11FC5" w:rsidR="00F82094" w:rsidRPr="00F82094" w:rsidRDefault="00497A51" w:rsidP="00EF3005">
            <w:pPr>
              <w:spacing w:before="20" w:after="20" w:line="260" w:lineRule="exact"/>
              <w:jc w:val="left"/>
              <w:rPr>
                <w:sz w:val="16"/>
                <w:szCs w:val="16"/>
              </w:rPr>
            </w:pPr>
            <w:r>
              <w:rPr>
                <w:sz w:val="16"/>
                <w:szCs w:val="16"/>
              </w:rPr>
              <w:t>15</w:t>
            </w:r>
          </w:p>
        </w:tc>
        <w:tc>
          <w:tcPr>
            <w:tcW w:w="0" w:type="auto"/>
            <w:noWrap/>
            <w:tcMar>
              <w:left w:w="57" w:type="dxa"/>
              <w:right w:w="57" w:type="dxa"/>
            </w:tcMar>
          </w:tcPr>
          <w:p w14:paraId="5097AFF3" w14:textId="4203E7B1" w:rsidR="00F82094" w:rsidRPr="00F82094" w:rsidRDefault="00497A51" w:rsidP="00EF3005">
            <w:pPr>
              <w:spacing w:before="20" w:after="20" w:line="260" w:lineRule="exact"/>
              <w:jc w:val="left"/>
              <w:rPr>
                <w:sz w:val="16"/>
                <w:szCs w:val="16"/>
              </w:rPr>
            </w:pPr>
            <w:r>
              <w:rPr>
                <w:sz w:val="16"/>
                <w:szCs w:val="16"/>
              </w:rPr>
              <w:t>15</w:t>
            </w:r>
          </w:p>
        </w:tc>
        <w:tc>
          <w:tcPr>
            <w:tcW w:w="0" w:type="auto"/>
            <w:noWrap/>
            <w:tcMar>
              <w:left w:w="57" w:type="dxa"/>
              <w:right w:w="57" w:type="dxa"/>
            </w:tcMar>
          </w:tcPr>
          <w:p w14:paraId="6645D863" w14:textId="6733D13F" w:rsidR="00F82094" w:rsidRPr="00F82094" w:rsidRDefault="00497A51" w:rsidP="00EF3005">
            <w:pPr>
              <w:spacing w:before="20" w:after="20" w:line="260" w:lineRule="exact"/>
              <w:jc w:val="left"/>
              <w:rPr>
                <w:sz w:val="16"/>
                <w:szCs w:val="16"/>
              </w:rPr>
            </w:pPr>
            <w:r>
              <w:rPr>
                <w:sz w:val="16"/>
                <w:szCs w:val="16"/>
              </w:rPr>
              <w:t>15</w:t>
            </w:r>
          </w:p>
        </w:tc>
        <w:tc>
          <w:tcPr>
            <w:tcW w:w="0" w:type="auto"/>
            <w:tcMar>
              <w:left w:w="57" w:type="dxa"/>
              <w:right w:w="57" w:type="dxa"/>
            </w:tcMar>
          </w:tcPr>
          <w:p w14:paraId="3F4133E2" w14:textId="0D1FA828" w:rsidR="00F82094" w:rsidRPr="00F82094" w:rsidRDefault="00497A51" w:rsidP="00EF3005">
            <w:pPr>
              <w:spacing w:before="20" w:after="20" w:line="260" w:lineRule="exact"/>
              <w:jc w:val="left"/>
              <w:rPr>
                <w:sz w:val="16"/>
                <w:szCs w:val="16"/>
              </w:rPr>
            </w:pPr>
            <w:r>
              <w:rPr>
                <w:sz w:val="16"/>
                <w:szCs w:val="16"/>
              </w:rPr>
              <w:t>30</w:t>
            </w:r>
          </w:p>
        </w:tc>
        <w:tc>
          <w:tcPr>
            <w:tcW w:w="0" w:type="auto"/>
            <w:noWrap/>
            <w:tcMar>
              <w:left w:w="57" w:type="dxa"/>
              <w:right w:w="57" w:type="dxa"/>
            </w:tcMar>
          </w:tcPr>
          <w:p w14:paraId="208B4960" w14:textId="13756BD7" w:rsidR="00F82094" w:rsidRPr="00F82094" w:rsidRDefault="00497A51" w:rsidP="00EF3005">
            <w:pPr>
              <w:spacing w:before="20" w:after="20" w:line="260" w:lineRule="exact"/>
              <w:jc w:val="left"/>
              <w:rPr>
                <w:sz w:val="16"/>
                <w:szCs w:val="16"/>
                <w:rtl/>
                <w:lang w:bidi="ar-EG"/>
              </w:rPr>
            </w:pPr>
            <w:r>
              <w:rPr>
                <w:sz w:val="16"/>
                <w:szCs w:val="16"/>
                <w:lang w:bidi="ar-EG"/>
              </w:rPr>
              <w:t>-</w:t>
            </w:r>
          </w:p>
        </w:tc>
        <w:tc>
          <w:tcPr>
            <w:tcW w:w="0" w:type="auto"/>
            <w:noWrap/>
            <w:tcMar>
              <w:left w:w="57" w:type="dxa"/>
              <w:right w:w="57" w:type="dxa"/>
            </w:tcMar>
          </w:tcPr>
          <w:p w14:paraId="1A8AA193" w14:textId="22FCA386" w:rsidR="00F82094" w:rsidRPr="00F82094" w:rsidRDefault="00497A51" w:rsidP="00EF3005">
            <w:pPr>
              <w:spacing w:before="20" w:after="20" w:line="260" w:lineRule="exact"/>
              <w:jc w:val="left"/>
              <w:rPr>
                <w:sz w:val="16"/>
                <w:szCs w:val="16"/>
                <w:rtl/>
                <w:lang w:bidi="ar-EG"/>
              </w:rPr>
            </w:pPr>
            <w:r>
              <w:rPr>
                <w:sz w:val="16"/>
                <w:szCs w:val="16"/>
              </w:rPr>
              <w:t>%0</w:t>
            </w:r>
            <w:r w:rsidR="008F4CF7">
              <w:rPr>
                <w:sz w:val="16"/>
                <w:szCs w:val="16"/>
              </w:rPr>
              <w:t>  </w:t>
            </w:r>
          </w:p>
        </w:tc>
      </w:tr>
      <w:tr w:rsidR="00497A51" w:rsidRPr="00F82094" w14:paraId="41DA64F2" w14:textId="77777777" w:rsidTr="00F82094">
        <w:trPr>
          <w:trHeight w:val="315"/>
          <w:jc w:val="center"/>
        </w:trPr>
        <w:tc>
          <w:tcPr>
            <w:tcW w:w="0" w:type="auto"/>
            <w:noWrap/>
            <w:tcMar>
              <w:left w:w="57" w:type="dxa"/>
              <w:right w:w="57" w:type="dxa"/>
            </w:tcMar>
            <w:hideMark/>
          </w:tcPr>
          <w:p w14:paraId="6C544D76" w14:textId="77777777" w:rsidR="00F82094" w:rsidRPr="00F82094" w:rsidRDefault="00F82094" w:rsidP="00EF3005">
            <w:pPr>
              <w:spacing w:before="20" w:after="20" w:line="260" w:lineRule="exact"/>
              <w:jc w:val="left"/>
              <w:rPr>
                <w:sz w:val="16"/>
                <w:szCs w:val="16"/>
              </w:rPr>
            </w:pPr>
            <w:r w:rsidRPr="00F82094">
              <w:rPr>
                <w:sz w:val="16"/>
                <w:szCs w:val="16"/>
              </w:rPr>
              <w:t>4</w:t>
            </w:r>
          </w:p>
        </w:tc>
        <w:tc>
          <w:tcPr>
            <w:tcW w:w="0" w:type="auto"/>
            <w:noWrap/>
            <w:tcMar>
              <w:left w:w="57" w:type="dxa"/>
              <w:right w:w="57" w:type="dxa"/>
            </w:tcMar>
            <w:hideMark/>
          </w:tcPr>
          <w:p w14:paraId="792C952F" w14:textId="77777777" w:rsidR="00F82094" w:rsidRPr="00F82094" w:rsidRDefault="00F82094" w:rsidP="00EF3005">
            <w:pPr>
              <w:spacing w:before="20" w:after="20" w:line="260" w:lineRule="exact"/>
              <w:jc w:val="left"/>
              <w:rPr>
                <w:sz w:val="16"/>
                <w:szCs w:val="16"/>
              </w:rPr>
            </w:pPr>
            <w:r w:rsidRPr="00F82094">
              <w:rPr>
                <w:sz w:val="16"/>
                <w:szCs w:val="16"/>
                <w:rtl/>
                <w:lang w:bidi="ar-EG"/>
              </w:rPr>
              <w:t>الخدمات التعاقدية</w:t>
            </w:r>
          </w:p>
        </w:tc>
        <w:tc>
          <w:tcPr>
            <w:tcW w:w="0" w:type="auto"/>
            <w:noWrap/>
            <w:tcMar>
              <w:left w:w="57" w:type="dxa"/>
              <w:right w:w="57" w:type="dxa"/>
            </w:tcMar>
          </w:tcPr>
          <w:p w14:paraId="3E642CE0" w14:textId="5A8CF683" w:rsidR="00F82094" w:rsidRPr="00F82094" w:rsidRDefault="00F82094" w:rsidP="00EF3005">
            <w:pPr>
              <w:spacing w:before="20" w:after="20" w:line="260" w:lineRule="exact"/>
              <w:jc w:val="left"/>
              <w:rPr>
                <w:sz w:val="16"/>
                <w:szCs w:val="16"/>
              </w:rPr>
            </w:pPr>
            <w:r>
              <w:rPr>
                <w:sz w:val="16"/>
                <w:szCs w:val="16"/>
              </w:rPr>
              <w:t>150</w:t>
            </w:r>
          </w:p>
        </w:tc>
        <w:tc>
          <w:tcPr>
            <w:tcW w:w="0" w:type="auto"/>
            <w:noWrap/>
            <w:tcMar>
              <w:left w:w="57" w:type="dxa"/>
              <w:right w:w="57" w:type="dxa"/>
            </w:tcMar>
          </w:tcPr>
          <w:p w14:paraId="241A7082" w14:textId="521A8ED1" w:rsidR="00F82094" w:rsidRPr="00F82094" w:rsidRDefault="00497A51" w:rsidP="00EF3005">
            <w:pPr>
              <w:spacing w:before="20" w:after="20" w:line="260" w:lineRule="exact"/>
              <w:jc w:val="left"/>
              <w:rPr>
                <w:sz w:val="16"/>
                <w:szCs w:val="16"/>
              </w:rPr>
            </w:pPr>
            <w:r>
              <w:rPr>
                <w:sz w:val="16"/>
                <w:szCs w:val="16"/>
              </w:rPr>
              <w:t>91</w:t>
            </w:r>
          </w:p>
        </w:tc>
        <w:tc>
          <w:tcPr>
            <w:tcW w:w="0" w:type="auto"/>
            <w:noWrap/>
            <w:tcMar>
              <w:left w:w="57" w:type="dxa"/>
              <w:right w:w="57" w:type="dxa"/>
            </w:tcMar>
          </w:tcPr>
          <w:p w14:paraId="255AEA9E" w14:textId="18A0DCAF" w:rsidR="00F82094" w:rsidRPr="00F82094" w:rsidRDefault="00497A51" w:rsidP="00EF3005">
            <w:pPr>
              <w:spacing w:before="20" w:after="20" w:line="260" w:lineRule="exact"/>
              <w:jc w:val="left"/>
              <w:rPr>
                <w:sz w:val="16"/>
                <w:szCs w:val="16"/>
              </w:rPr>
            </w:pPr>
            <w:r>
              <w:rPr>
                <w:sz w:val="16"/>
                <w:szCs w:val="16"/>
              </w:rPr>
              <w:t>60</w:t>
            </w:r>
          </w:p>
        </w:tc>
        <w:tc>
          <w:tcPr>
            <w:tcW w:w="0" w:type="auto"/>
            <w:noWrap/>
            <w:tcMar>
              <w:left w:w="57" w:type="dxa"/>
              <w:right w:w="57" w:type="dxa"/>
            </w:tcMar>
          </w:tcPr>
          <w:p w14:paraId="2BE77C80" w14:textId="3E179F28" w:rsidR="00F82094" w:rsidRPr="00F82094" w:rsidRDefault="00497A51" w:rsidP="00EF3005">
            <w:pPr>
              <w:spacing w:before="20" w:after="20" w:line="260" w:lineRule="exact"/>
              <w:jc w:val="left"/>
              <w:rPr>
                <w:sz w:val="16"/>
                <w:szCs w:val="16"/>
              </w:rPr>
            </w:pPr>
            <w:r>
              <w:rPr>
                <w:sz w:val="16"/>
                <w:szCs w:val="16"/>
              </w:rPr>
              <w:t>29</w:t>
            </w:r>
          </w:p>
        </w:tc>
        <w:tc>
          <w:tcPr>
            <w:tcW w:w="0" w:type="auto"/>
            <w:noWrap/>
            <w:tcMar>
              <w:left w:w="57" w:type="dxa"/>
              <w:right w:w="57" w:type="dxa"/>
            </w:tcMar>
          </w:tcPr>
          <w:p w14:paraId="6AA010D1" w14:textId="4FB448C0" w:rsidR="00F82094" w:rsidRPr="00F82094" w:rsidRDefault="00497A51" w:rsidP="00EF3005">
            <w:pPr>
              <w:spacing w:before="20" w:after="20" w:line="260" w:lineRule="exact"/>
              <w:jc w:val="left"/>
              <w:rPr>
                <w:sz w:val="16"/>
                <w:szCs w:val="16"/>
              </w:rPr>
            </w:pPr>
            <w:r>
              <w:rPr>
                <w:sz w:val="16"/>
                <w:szCs w:val="16"/>
              </w:rPr>
              <w:t>60</w:t>
            </w:r>
          </w:p>
        </w:tc>
        <w:tc>
          <w:tcPr>
            <w:tcW w:w="0" w:type="auto"/>
            <w:noWrap/>
            <w:tcMar>
              <w:left w:w="57" w:type="dxa"/>
              <w:right w:w="57" w:type="dxa"/>
            </w:tcMar>
          </w:tcPr>
          <w:p w14:paraId="19B2055C" w14:textId="5EB48756" w:rsidR="00F82094" w:rsidRPr="00F82094" w:rsidRDefault="00497A51" w:rsidP="00EF3005">
            <w:pPr>
              <w:spacing w:before="20" w:after="20" w:line="260" w:lineRule="exact"/>
              <w:jc w:val="left"/>
              <w:rPr>
                <w:sz w:val="16"/>
                <w:szCs w:val="16"/>
              </w:rPr>
            </w:pPr>
            <w:r>
              <w:rPr>
                <w:sz w:val="16"/>
                <w:szCs w:val="16"/>
              </w:rPr>
              <w:t>60</w:t>
            </w:r>
          </w:p>
        </w:tc>
        <w:tc>
          <w:tcPr>
            <w:tcW w:w="0" w:type="auto"/>
            <w:noWrap/>
            <w:tcMar>
              <w:left w:w="57" w:type="dxa"/>
              <w:right w:w="57" w:type="dxa"/>
            </w:tcMar>
          </w:tcPr>
          <w:p w14:paraId="5D844F52" w14:textId="7CD2F2C1" w:rsidR="00F82094" w:rsidRPr="00F82094" w:rsidRDefault="00497A51" w:rsidP="00EF3005">
            <w:pPr>
              <w:spacing w:before="20" w:after="20" w:line="260" w:lineRule="exact"/>
              <w:jc w:val="left"/>
              <w:rPr>
                <w:sz w:val="16"/>
                <w:szCs w:val="16"/>
              </w:rPr>
            </w:pPr>
            <w:r>
              <w:rPr>
                <w:sz w:val="16"/>
                <w:szCs w:val="16"/>
              </w:rPr>
              <w:t>60</w:t>
            </w:r>
          </w:p>
        </w:tc>
        <w:tc>
          <w:tcPr>
            <w:tcW w:w="0" w:type="auto"/>
            <w:tcMar>
              <w:left w:w="57" w:type="dxa"/>
              <w:right w:w="57" w:type="dxa"/>
            </w:tcMar>
          </w:tcPr>
          <w:p w14:paraId="4114F8CA" w14:textId="5CB02511" w:rsidR="00F82094" w:rsidRPr="00F82094" w:rsidRDefault="00497A51" w:rsidP="00EF3005">
            <w:pPr>
              <w:spacing w:before="20" w:after="20" w:line="260" w:lineRule="exact"/>
              <w:jc w:val="left"/>
              <w:rPr>
                <w:sz w:val="16"/>
                <w:szCs w:val="16"/>
              </w:rPr>
            </w:pPr>
            <w:r>
              <w:rPr>
                <w:sz w:val="16"/>
                <w:szCs w:val="16"/>
              </w:rPr>
              <w:t>120</w:t>
            </w:r>
          </w:p>
        </w:tc>
        <w:tc>
          <w:tcPr>
            <w:tcW w:w="0" w:type="auto"/>
            <w:noWrap/>
            <w:tcMar>
              <w:left w:w="57" w:type="dxa"/>
              <w:right w:w="57" w:type="dxa"/>
            </w:tcMar>
          </w:tcPr>
          <w:p w14:paraId="37E3DFC5" w14:textId="1AB6C38A"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3C0C6062" w14:textId="6D41B47E" w:rsidR="00F82094" w:rsidRPr="00F82094" w:rsidRDefault="00497A51" w:rsidP="00EF3005">
            <w:pPr>
              <w:spacing w:before="20" w:after="20" w:line="260" w:lineRule="exact"/>
              <w:jc w:val="left"/>
              <w:rPr>
                <w:sz w:val="16"/>
                <w:szCs w:val="16"/>
              </w:rPr>
            </w:pPr>
            <w:r>
              <w:rPr>
                <w:sz w:val="16"/>
                <w:szCs w:val="16"/>
              </w:rPr>
              <w:t>%0</w:t>
            </w:r>
            <w:r w:rsidR="008F4CF7">
              <w:rPr>
                <w:sz w:val="16"/>
                <w:szCs w:val="16"/>
              </w:rPr>
              <w:t>  </w:t>
            </w:r>
          </w:p>
        </w:tc>
      </w:tr>
      <w:tr w:rsidR="00497A51" w:rsidRPr="00F82094" w14:paraId="1A53F8A4" w14:textId="77777777" w:rsidTr="00F82094">
        <w:trPr>
          <w:trHeight w:val="315"/>
          <w:jc w:val="center"/>
        </w:trPr>
        <w:tc>
          <w:tcPr>
            <w:tcW w:w="0" w:type="auto"/>
            <w:noWrap/>
            <w:tcMar>
              <w:left w:w="57" w:type="dxa"/>
              <w:right w:w="57" w:type="dxa"/>
            </w:tcMar>
            <w:hideMark/>
          </w:tcPr>
          <w:p w14:paraId="725F6D7B" w14:textId="77777777" w:rsidR="00F82094" w:rsidRPr="00F82094" w:rsidRDefault="00F82094" w:rsidP="00EF3005">
            <w:pPr>
              <w:spacing w:before="20" w:after="20" w:line="260" w:lineRule="exact"/>
              <w:jc w:val="left"/>
              <w:rPr>
                <w:sz w:val="16"/>
                <w:szCs w:val="16"/>
              </w:rPr>
            </w:pPr>
            <w:r w:rsidRPr="00F82094">
              <w:rPr>
                <w:sz w:val="16"/>
                <w:szCs w:val="16"/>
              </w:rPr>
              <w:t>5</w:t>
            </w:r>
          </w:p>
        </w:tc>
        <w:tc>
          <w:tcPr>
            <w:tcW w:w="0" w:type="auto"/>
            <w:noWrap/>
            <w:tcMar>
              <w:left w:w="57" w:type="dxa"/>
              <w:right w:w="57" w:type="dxa"/>
            </w:tcMar>
            <w:hideMark/>
          </w:tcPr>
          <w:p w14:paraId="51F7F228" w14:textId="77777777" w:rsidR="00F82094" w:rsidRPr="00F82094" w:rsidRDefault="00F82094" w:rsidP="00EF3005">
            <w:pPr>
              <w:spacing w:before="20" w:after="20" w:line="260" w:lineRule="exact"/>
              <w:jc w:val="left"/>
              <w:rPr>
                <w:sz w:val="16"/>
                <w:szCs w:val="16"/>
              </w:rPr>
            </w:pPr>
            <w:r w:rsidRPr="00F82094">
              <w:rPr>
                <w:sz w:val="16"/>
                <w:szCs w:val="16"/>
                <w:rtl/>
                <w:lang w:bidi="ar-EG"/>
              </w:rPr>
              <w:t>الاستئجار والصيانة</w:t>
            </w:r>
          </w:p>
        </w:tc>
        <w:tc>
          <w:tcPr>
            <w:tcW w:w="0" w:type="auto"/>
            <w:noWrap/>
            <w:tcMar>
              <w:left w:w="57" w:type="dxa"/>
              <w:right w:w="57" w:type="dxa"/>
            </w:tcMar>
          </w:tcPr>
          <w:p w14:paraId="3011C6B8" w14:textId="7D62D806" w:rsidR="00F82094" w:rsidRPr="00F82094" w:rsidRDefault="00F82094" w:rsidP="00EF3005">
            <w:pPr>
              <w:spacing w:before="20" w:after="20" w:line="260" w:lineRule="exact"/>
              <w:jc w:val="left"/>
              <w:rPr>
                <w:sz w:val="16"/>
                <w:szCs w:val="16"/>
              </w:rPr>
            </w:pPr>
            <w:r>
              <w:rPr>
                <w:sz w:val="16"/>
                <w:szCs w:val="16"/>
              </w:rPr>
              <w:t>30</w:t>
            </w:r>
          </w:p>
        </w:tc>
        <w:tc>
          <w:tcPr>
            <w:tcW w:w="0" w:type="auto"/>
            <w:noWrap/>
            <w:tcMar>
              <w:left w:w="57" w:type="dxa"/>
              <w:right w:w="57" w:type="dxa"/>
            </w:tcMar>
          </w:tcPr>
          <w:p w14:paraId="350140AF" w14:textId="5FE5BB9E" w:rsidR="00F82094" w:rsidRPr="00F82094" w:rsidRDefault="00497A51" w:rsidP="00EF3005">
            <w:pPr>
              <w:spacing w:before="20" w:after="20" w:line="260" w:lineRule="exact"/>
              <w:jc w:val="left"/>
              <w:rPr>
                <w:sz w:val="16"/>
                <w:szCs w:val="16"/>
              </w:rPr>
            </w:pPr>
            <w:r>
              <w:rPr>
                <w:sz w:val="16"/>
                <w:szCs w:val="16"/>
              </w:rPr>
              <w:t>2</w:t>
            </w:r>
          </w:p>
        </w:tc>
        <w:tc>
          <w:tcPr>
            <w:tcW w:w="0" w:type="auto"/>
            <w:noWrap/>
            <w:tcMar>
              <w:left w:w="57" w:type="dxa"/>
              <w:right w:w="57" w:type="dxa"/>
            </w:tcMar>
          </w:tcPr>
          <w:p w14:paraId="0C1B4A20" w14:textId="7CE89014"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0DF76B38" w14:textId="2B41863E"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67D902A8" w14:textId="0F457E5D"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0B47D388" w14:textId="255037BB"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5D8ABC7B" w14:textId="7B97D659" w:rsidR="00F82094" w:rsidRPr="00F82094" w:rsidRDefault="00497A51" w:rsidP="00EF3005">
            <w:pPr>
              <w:spacing w:before="20" w:after="20" w:line="260" w:lineRule="exact"/>
              <w:jc w:val="left"/>
              <w:rPr>
                <w:sz w:val="16"/>
                <w:szCs w:val="16"/>
              </w:rPr>
            </w:pPr>
            <w:r>
              <w:rPr>
                <w:sz w:val="16"/>
                <w:szCs w:val="16"/>
              </w:rPr>
              <w:t>10</w:t>
            </w:r>
          </w:p>
        </w:tc>
        <w:tc>
          <w:tcPr>
            <w:tcW w:w="0" w:type="auto"/>
            <w:tcMar>
              <w:left w:w="57" w:type="dxa"/>
              <w:right w:w="57" w:type="dxa"/>
            </w:tcMar>
          </w:tcPr>
          <w:p w14:paraId="7A33968B" w14:textId="2810C77A" w:rsidR="00F82094" w:rsidRPr="00F82094" w:rsidRDefault="00497A51" w:rsidP="00EF3005">
            <w:pPr>
              <w:spacing w:before="20" w:after="20" w:line="260" w:lineRule="exact"/>
              <w:jc w:val="left"/>
              <w:rPr>
                <w:sz w:val="16"/>
                <w:szCs w:val="16"/>
              </w:rPr>
            </w:pPr>
            <w:r>
              <w:rPr>
                <w:sz w:val="16"/>
                <w:szCs w:val="16"/>
              </w:rPr>
              <w:t>20</w:t>
            </w:r>
          </w:p>
        </w:tc>
        <w:tc>
          <w:tcPr>
            <w:tcW w:w="0" w:type="auto"/>
            <w:noWrap/>
            <w:tcMar>
              <w:left w:w="57" w:type="dxa"/>
              <w:right w:w="57" w:type="dxa"/>
            </w:tcMar>
          </w:tcPr>
          <w:p w14:paraId="2E6D9DBD" w14:textId="707853F4"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3E493A72" w14:textId="4803556E" w:rsidR="00F82094" w:rsidRPr="00F82094" w:rsidRDefault="00497A51" w:rsidP="00EF3005">
            <w:pPr>
              <w:spacing w:before="20" w:after="20" w:line="260" w:lineRule="exact"/>
              <w:jc w:val="left"/>
              <w:rPr>
                <w:sz w:val="16"/>
                <w:szCs w:val="16"/>
              </w:rPr>
            </w:pPr>
            <w:r>
              <w:rPr>
                <w:sz w:val="16"/>
                <w:szCs w:val="16"/>
              </w:rPr>
              <w:t>%0</w:t>
            </w:r>
            <w:r w:rsidR="008F4CF7">
              <w:rPr>
                <w:sz w:val="16"/>
                <w:szCs w:val="16"/>
              </w:rPr>
              <w:t>  </w:t>
            </w:r>
          </w:p>
        </w:tc>
      </w:tr>
      <w:tr w:rsidR="00497A51" w:rsidRPr="00F82094" w14:paraId="2C6E35F4" w14:textId="77777777" w:rsidTr="00F82094">
        <w:trPr>
          <w:trHeight w:val="315"/>
          <w:jc w:val="center"/>
        </w:trPr>
        <w:tc>
          <w:tcPr>
            <w:tcW w:w="0" w:type="auto"/>
            <w:noWrap/>
            <w:tcMar>
              <w:left w:w="57" w:type="dxa"/>
              <w:right w:w="57" w:type="dxa"/>
            </w:tcMar>
            <w:hideMark/>
          </w:tcPr>
          <w:p w14:paraId="22765B29" w14:textId="77777777" w:rsidR="00F82094" w:rsidRPr="00F82094" w:rsidRDefault="00F82094" w:rsidP="00EF3005">
            <w:pPr>
              <w:spacing w:before="20" w:after="20" w:line="260" w:lineRule="exact"/>
              <w:jc w:val="left"/>
              <w:rPr>
                <w:sz w:val="16"/>
                <w:szCs w:val="16"/>
              </w:rPr>
            </w:pPr>
            <w:r w:rsidRPr="00F82094">
              <w:rPr>
                <w:sz w:val="16"/>
                <w:szCs w:val="16"/>
              </w:rPr>
              <w:t>6</w:t>
            </w:r>
          </w:p>
        </w:tc>
        <w:tc>
          <w:tcPr>
            <w:tcW w:w="0" w:type="auto"/>
            <w:noWrap/>
            <w:tcMar>
              <w:left w:w="57" w:type="dxa"/>
              <w:right w:w="57" w:type="dxa"/>
            </w:tcMar>
            <w:hideMark/>
          </w:tcPr>
          <w:p w14:paraId="3193F47C" w14:textId="77777777" w:rsidR="00F82094" w:rsidRPr="00F82094" w:rsidRDefault="00F82094" w:rsidP="00EF3005">
            <w:pPr>
              <w:spacing w:before="20" w:after="20" w:line="260" w:lineRule="exact"/>
              <w:jc w:val="left"/>
              <w:rPr>
                <w:sz w:val="16"/>
                <w:szCs w:val="16"/>
              </w:rPr>
            </w:pPr>
            <w:r w:rsidRPr="00F82094">
              <w:rPr>
                <w:sz w:val="16"/>
                <w:szCs w:val="16"/>
                <w:rtl/>
                <w:lang w:bidi="ar-EG"/>
              </w:rPr>
              <w:t>المعدات واللوازم</w:t>
            </w:r>
          </w:p>
        </w:tc>
        <w:tc>
          <w:tcPr>
            <w:tcW w:w="0" w:type="auto"/>
            <w:noWrap/>
            <w:tcMar>
              <w:left w:w="57" w:type="dxa"/>
              <w:right w:w="57" w:type="dxa"/>
            </w:tcMar>
          </w:tcPr>
          <w:p w14:paraId="1417028E" w14:textId="14681B74" w:rsidR="00F82094" w:rsidRPr="00F82094" w:rsidRDefault="00F82094" w:rsidP="00EF3005">
            <w:pPr>
              <w:spacing w:before="20" w:after="20" w:line="260" w:lineRule="exact"/>
              <w:jc w:val="left"/>
              <w:rPr>
                <w:sz w:val="16"/>
                <w:szCs w:val="16"/>
              </w:rPr>
            </w:pPr>
            <w:r>
              <w:rPr>
                <w:sz w:val="16"/>
                <w:szCs w:val="16"/>
              </w:rPr>
              <w:t>40</w:t>
            </w:r>
          </w:p>
        </w:tc>
        <w:tc>
          <w:tcPr>
            <w:tcW w:w="0" w:type="auto"/>
            <w:noWrap/>
            <w:tcMar>
              <w:left w:w="57" w:type="dxa"/>
              <w:right w:w="57" w:type="dxa"/>
            </w:tcMar>
          </w:tcPr>
          <w:p w14:paraId="51C9BC54" w14:textId="0B5B987C" w:rsidR="00F82094" w:rsidRPr="00F82094" w:rsidRDefault="00497A51" w:rsidP="00EF3005">
            <w:pPr>
              <w:spacing w:before="20" w:after="20" w:line="260" w:lineRule="exact"/>
              <w:jc w:val="left"/>
              <w:rPr>
                <w:sz w:val="16"/>
                <w:szCs w:val="16"/>
              </w:rPr>
            </w:pPr>
            <w:r>
              <w:rPr>
                <w:sz w:val="16"/>
                <w:szCs w:val="16"/>
              </w:rPr>
              <w:t>9</w:t>
            </w:r>
          </w:p>
        </w:tc>
        <w:tc>
          <w:tcPr>
            <w:tcW w:w="0" w:type="auto"/>
            <w:noWrap/>
            <w:tcMar>
              <w:left w:w="57" w:type="dxa"/>
              <w:right w:w="57" w:type="dxa"/>
            </w:tcMar>
          </w:tcPr>
          <w:p w14:paraId="434ACBF1" w14:textId="062CEF46" w:rsidR="00F82094" w:rsidRPr="00F82094" w:rsidRDefault="00497A51" w:rsidP="00EF3005">
            <w:pPr>
              <w:spacing w:before="20" w:after="20" w:line="260" w:lineRule="exact"/>
              <w:jc w:val="left"/>
              <w:rPr>
                <w:sz w:val="16"/>
                <w:szCs w:val="16"/>
              </w:rPr>
            </w:pPr>
            <w:r>
              <w:rPr>
                <w:sz w:val="16"/>
                <w:szCs w:val="16"/>
              </w:rPr>
              <w:t>15</w:t>
            </w:r>
          </w:p>
        </w:tc>
        <w:tc>
          <w:tcPr>
            <w:tcW w:w="0" w:type="auto"/>
            <w:noWrap/>
            <w:tcMar>
              <w:left w:w="57" w:type="dxa"/>
              <w:right w:w="57" w:type="dxa"/>
            </w:tcMar>
          </w:tcPr>
          <w:p w14:paraId="277EA5D5" w14:textId="0BC7C1A8" w:rsidR="00F82094" w:rsidRPr="00F82094" w:rsidRDefault="00497A51" w:rsidP="00EF3005">
            <w:pPr>
              <w:spacing w:before="20" w:after="20" w:line="260" w:lineRule="exact"/>
              <w:jc w:val="left"/>
              <w:rPr>
                <w:sz w:val="16"/>
                <w:szCs w:val="16"/>
              </w:rPr>
            </w:pPr>
            <w:r>
              <w:rPr>
                <w:sz w:val="16"/>
                <w:szCs w:val="16"/>
              </w:rPr>
              <w:t>2</w:t>
            </w:r>
          </w:p>
        </w:tc>
        <w:tc>
          <w:tcPr>
            <w:tcW w:w="0" w:type="auto"/>
            <w:noWrap/>
            <w:tcMar>
              <w:left w:w="57" w:type="dxa"/>
              <w:right w:w="57" w:type="dxa"/>
            </w:tcMar>
          </w:tcPr>
          <w:p w14:paraId="40ACA895" w14:textId="4F16C1FA" w:rsidR="00F82094" w:rsidRPr="00F82094" w:rsidRDefault="00497A51" w:rsidP="00EF3005">
            <w:pPr>
              <w:spacing w:before="20" w:after="20" w:line="260" w:lineRule="exact"/>
              <w:jc w:val="left"/>
              <w:rPr>
                <w:sz w:val="16"/>
                <w:szCs w:val="16"/>
              </w:rPr>
            </w:pPr>
            <w:r>
              <w:rPr>
                <w:sz w:val="16"/>
                <w:szCs w:val="16"/>
              </w:rPr>
              <w:t>185</w:t>
            </w:r>
          </w:p>
        </w:tc>
        <w:tc>
          <w:tcPr>
            <w:tcW w:w="0" w:type="auto"/>
            <w:noWrap/>
            <w:tcMar>
              <w:left w:w="57" w:type="dxa"/>
              <w:right w:w="57" w:type="dxa"/>
            </w:tcMar>
          </w:tcPr>
          <w:p w14:paraId="3ACC2B8E" w14:textId="12A06A0F" w:rsidR="00F82094" w:rsidRPr="00F82094" w:rsidRDefault="00497A51" w:rsidP="00EF3005">
            <w:pPr>
              <w:spacing w:before="20" w:after="20" w:line="260" w:lineRule="exact"/>
              <w:jc w:val="left"/>
              <w:rPr>
                <w:sz w:val="16"/>
                <w:szCs w:val="16"/>
              </w:rPr>
            </w:pPr>
            <w:r>
              <w:rPr>
                <w:sz w:val="16"/>
                <w:szCs w:val="16"/>
              </w:rPr>
              <w:t>15</w:t>
            </w:r>
          </w:p>
        </w:tc>
        <w:tc>
          <w:tcPr>
            <w:tcW w:w="0" w:type="auto"/>
            <w:noWrap/>
            <w:tcMar>
              <w:left w:w="57" w:type="dxa"/>
              <w:right w:w="57" w:type="dxa"/>
            </w:tcMar>
          </w:tcPr>
          <w:p w14:paraId="45AFAEBE" w14:textId="2627E612" w:rsidR="00F82094" w:rsidRPr="00F82094" w:rsidRDefault="00497A51" w:rsidP="00EF3005">
            <w:pPr>
              <w:spacing w:before="20" w:after="20" w:line="260" w:lineRule="exact"/>
              <w:jc w:val="left"/>
              <w:rPr>
                <w:sz w:val="16"/>
                <w:szCs w:val="16"/>
              </w:rPr>
            </w:pPr>
            <w:r>
              <w:rPr>
                <w:sz w:val="16"/>
                <w:szCs w:val="16"/>
              </w:rPr>
              <w:t>15</w:t>
            </w:r>
          </w:p>
        </w:tc>
        <w:tc>
          <w:tcPr>
            <w:tcW w:w="0" w:type="auto"/>
            <w:tcMar>
              <w:left w:w="57" w:type="dxa"/>
              <w:right w:w="57" w:type="dxa"/>
            </w:tcMar>
          </w:tcPr>
          <w:p w14:paraId="6D7356D8" w14:textId="62D3AE9A" w:rsidR="00F82094" w:rsidRPr="00F82094" w:rsidRDefault="00497A51" w:rsidP="00EF3005">
            <w:pPr>
              <w:spacing w:before="20" w:after="20" w:line="260" w:lineRule="exact"/>
              <w:jc w:val="left"/>
              <w:rPr>
                <w:sz w:val="16"/>
                <w:szCs w:val="16"/>
              </w:rPr>
            </w:pPr>
            <w:r>
              <w:rPr>
                <w:sz w:val="16"/>
                <w:szCs w:val="16"/>
              </w:rPr>
              <w:t>30</w:t>
            </w:r>
          </w:p>
        </w:tc>
        <w:tc>
          <w:tcPr>
            <w:tcW w:w="0" w:type="auto"/>
            <w:noWrap/>
            <w:tcMar>
              <w:left w:w="57" w:type="dxa"/>
              <w:right w:w="57" w:type="dxa"/>
            </w:tcMar>
          </w:tcPr>
          <w:p w14:paraId="7FCF85C9" w14:textId="5339BB24"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574C7D42" w14:textId="394659DD" w:rsidR="00F82094" w:rsidRPr="00F82094" w:rsidRDefault="00497A51" w:rsidP="00EF3005">
            <w:pPr>
              <w:spacing w:before="20" w:after="20" w:line="260" w:lineRule="exact"/>
              <w:jc w:val="left"/>
              <w:rPr>
                <w:sz w:val="16"/>
                <w:szCs w:val="16"/>
              </w:rPr>
            </w:pPr>
            <w:r>
              <w:rPr>
                <w:sz w:val="16"/>
                <w:szCs w:val="16"/>
              </w:rPr>
              <w:t>%0</w:t>
            </w:r>
            <w:r w:rsidR="008F4CF7">
              <w:rPr>
                <w:sz w:val="16"/>
                <w:szCs w:val="16"/>
              </w:rPr>
              <w:t>  </w:t>
            </w:r>
          </w:p>
        </w:tc>
      </w:tr>
      <w:tr w:rsidR="00497A51" w:rsidRPr="00F82094" w14:paraId="5EE3C052" w14:textId="77777777" w:rsidTr="00F82094">
        <w:trPr>
          <w:trHeight w:val="315"/>
          <w:jc w:val="center"/>
        </w:trPr>
        <w:tc>
          <w:tcPr>
            <w:tcW w:w="0" w:type="auto"/>
            <w:noWrap/>
            <w:tcMar>
              <w:left w:w="57" w:type="dxa"/>
              <w:right w:w="57" w:type="dxa"/>
            </w:tcMar>
            <w:hideMark/>
          </w:tcPr>
          <w:p w14:paraId="1B18977A" w14:textId="77777777" w:rsidR="00F82094" w:rsidRPr="00F82094" w:rsidRDefault="00F82094" w:rsidP="00EF3005">
            <w:pPr>
              <w:spacing w:before="20" w:after="20" w:line="260" w:lineRule="exact"/>
              <w:jc w:val="left"/>
              <w:rPr>
                <w:sz w:val="16"/>
                <w:szCs w:val="16"/>
              </w:rPr>
            </w:pPr>
            <w:r w:rsidRPr="00F82094">
              <w:rPr>
                <w:sz w:val="16"/>
                <w:szCs w:val="16"/>
              </w:rPr>
              <w:t>7</w:t>
            </w:r>
          </w:p>
        </w:tc>
        <w:tc>
          <w:tcPr>
            <w:tcW w:w="0" w:type="auto"/>
            <w:noWrap/>
            <w:tcMar>
              <w:left w:w="57" w:type="dxa"/>
              <w:right w:w="57" w:type="dxa"/>
            </w:tcMar>
            <w:hideMark/>
          </w:tcPr>
          <w:p w14:paraId="1977E1E3" w14:textId="77777777" w:rsidR="00F82094" w:rsidRPr="00F82094" w:rsidRDefault="00F82094" w:rsidP="00EF3005">
            <w:pPr>
              <w:spacing w:before="20" w:after="20" w:line="260" w:lineRule="exact"/>
              <w:jc w:val="left"/>
              <w:rPr>
                <w:sz w:val="16"/>
                <w:szCs w:val="16"/>
              </w:rPr>
            </w:pPr>
            <w:r w:rsidRPr="00F82094">
              <w:rPr>
                <w:sz w:val="16"/>
                <w:szCs w:val="16"/>
                <w:rtl/>
                <w:lang w:bidi="ar-EG"/>
              </w:rPr>
              <w:t>الحيازة</w:t>
            </w:r>
          </w:p>
        </w:tc>
        <w:tc>
          <w:tcPr>
            <w:tcW w:w="0" w:type="auto"/>
            <w:noWrap/>
            <w:tcMar>
              <w:left w:w="57" w:type="dxa"/>
              <w:right w:w="57" w:type="dxa"/>
            </w:tcMar>
          </w:tcPr>
          <w:p w14:paraId="27218EA5" w14:textId="7482E00E" w:rsidR="00F82094" w:rsidRPr="00F82094" w:rsidRDefault="00F82094" w:rsidP="00EF3005">
            <w:pPr>
              <w:spacing w:before="20" w:after="20" w:line="260" w:lineRule="exact"/>
              <w:jc w:val="left"/>
              <w:rPr>
                <w:sz w:val="16"/>
                <w:szCs w:val="16"/>
              </w:rPr>
            </w:pPr>
            <w:r>
              <w:rPr>
                <w:sz w:val="16"/>
                <w:szCs w:val="16"/>
              </w:rPr>
              <w:t>50</w:t>
            </w:r>
          </w:p>
        </w:tc>
        <w:tc>
          <w:tcPr>
            <w:tcW w:w="0" w:type="auto"/>
            <w:noWrap/>
            <w:tcMar>
              <w:left w:w="57" w:type="dxa"/>
              <w:right w:w="57" w:type="dxa"/>
            </w:tcMar>
          </w:tcPr>
          <w:p w14:paraId="4D6A06DD" w14:textId="0B2573CE" w:rsidR="00F82094" w:rsidRPr="00F82094" w:rsidRDefault="00497A51" w:rsidP="00EF3005">
            <w:pPr>
              <w:spacing w:before="20" w:after="20" w:line="260" w:lineRule="exact"/>
              <w:jc w:val="left"/>
              <w:rPr>
                <w:sz w:val="16"/>
                <w:szCs w:val="16"/>
              </w:rPr>
            </w:pPr>
            <w:r>
              <w:rPr>
                <w:sz w:val="16"/>
                <w:szCs w:val="16"/>
              </w:rPr>
              <w:t>23</w:t>
            </w:r>
          </w:p>
        </w:tc>
        <w:tc>
          <w:tcPr>
            <w:tcW w:w="0" w:type="auto"/>
            <w:noWrap/>
            <w:tcMar>
              <w:left w:w="57" w:type="dxa"/>
              <w:right w:w="57" w:type="dxa"/>
            </w:tcMar>
          </w:tcPr>
          <w:p w14:paraId="77962B97" w14:textId="3A685919" w:rsidR="00F82094" w:rsidRPr="00F82094" w:rsidRDefault="00497A51" w:rsidP="00EF3005">
            <w:pPr>
              <w:spacing w:before="20" w:after="20" w:line="260" w:lineRule="exact"/>
              <w:jc w:val="left"/>
              <w:rPr>
                <w:sz w:val="16"/>
                <w:szCs w:val="16"/>
              </w:rPr>
            </w:pPr>
            <w:r>
              <w:rPr>
                <w:sz w:val="16"/>
                <w:szCs w:val="16"/>
              </w:rPr>
              <w:t>25</w:t>
            </w:r>
          </w:p>
        </w:tc>
        <w:tc>
          <w:tcPr>
            <w:tcW w:w="0" w:type="auto"/>
            <w:noWrap/>
            <w:tcMar>
              <w:left w:w="57" w:type="dxa"/>
              <w:right w:w="57" w:type="dxa"/>
            </w:tcMar>
          </w:tcPr>
          <w:p w14:paraId="571341DB" w14:textId="095D084D" w:rsidR="00F82094" w:rsidRPr="00F82094" w:rsidRDefault="00497A51" w:rsidP="00EF3005">
            <w:pPr>
              <w:spacing w:before="20" w:after="20" w:line="260" w:lineRule="exact"/>
              <w:jc w:val="left"/>
              <w:rPr>
                <w:sz w:val="16"/>
                <w:szCs w:val="16"/>
              </w:rPr>
            </w:pPr>
            <w:r>
              <w:rPr>
                <w:sz w:val="16"/>
                <w:szCs w:val="16"/>
              </w:rPr>
              <w:t>2</w:t>
            </w:r>
          </w:p>
        </w:tc>
        <w:tc>
          <w:tcPr>
            <w:tcW w:w="0" w:type="auto"/>
            <w:noWrap/>
            <w:tcMar>
              <w:left w:w="57" w:type="dxa"/>
              <w:right w:w="57" w:type="dxa"/>
            </w:tcMar>
          </w:tcPr>
          <w:p w14:paraId="18D24E18" w14:textId="5AD2851B" w:rsidR="00F82094" w:rsidRPr="00F82094" w:rsidRDefault="00497A51" w:rsidP="00EF3005">
            <w:pPr>
              <w:spacing w:before="20" w:after="20" w:line="260" w:lineRule="exact"/>
              <w:jc w:val="left"/>
              <w:rPr>
                <w:sz w:val="16"/>
                <w:szCs w:val="16"/>
              </w:rPr>
            </w:pPr>
            <w:r>
              <w:rPr>
                <w:sz w:val="16"/>
                <w:szCs w:val="16"/>
              </w:rPr>
              <w:t>25</w:t>
            </w:r>
          </w:p>
        </w:tc>
        <w:tc>
          <w:tcPr>
            <w:tcW w:w="0" w:type="auto"/>
            <w:noWrap/>
            <w:tcMar>
              <w:left w:w="57" w:type="dxa"/>
              <w:right w:w="57" w:type="dxa"/>
            </w:tcMar>
          </w:tcPr>
          <w:p w14:paraId="570AB8E6" w14:textId="4EDE95D1" w:rsidR="00F82094" w:rsidRPr="00F82094" w:rsidRDefault="00497A51" w:rsidP="00EF3005">
            <w:pPr>
              <w:spacing w:before="20" w:after="20" w:line="260" w:lineRule="exact"/>
              <w:jc w:val="left"/>
              <w:rPr>
                <w:sz w:val="16"/>
                <w:szCs w:val="16"/>
              </w:rPr>
            </w:pPr>
            <w:r>
              <w:rPr>
                <w:sz w:val="16"/>
                <w:szCs w:val="16"/>
              </w:rPr>
              <w:t>25</w:t>
            </w:r>
          </w:p>
        </w:tc>
        <w:tc>
          <w:tcPr>
            <w:tcW w:w="0" w:type="auto"/>
            <w:noWrap/>
            <w:tcMar>
              <w:left w:w="57" w:type="dxa"/>
              <w:right w:w="57" w:type="dxa"/>
            </w:tcMar>
          </w:tcPr>
          <w:p w14:paraId="516422A6" w14:textId="42856E97" w:rsidR="00F82094" w:rsidRPr="00F82094" w:rsidRDefault="00497A51" w:rsidP="00EF3005">
            <w:pPr>
              <w:spacing w:before="20" w:after="20" w:line="260" w:lineRule="exact"/>
              <w:jc w:val="left"/>
              <w:rPr>
                <w:sz w:val="16"/>
                <w:szCs w:val="16"/>
              </w:rPr>
            </w:pPr>
            <w:r>
              <w:rPr>
                <w:sz w:val="16"/>
                <w:szCs w:val="16"/>
              </w:rPr>
              <w:t>25</w:t>
            </w:r>
          </w:p>
        </w:tc>
        <w:tc>
          <w:tcPr>
            <w:tcW w:w="0" w:type="auto"/>
            <w:tcMar>
              <w:left w:w="57" w:type="dxa"/>
              <w:right w:w="57" w:type="dxa"/>
            </w:tcMar>
          </w:tcPr>
          <w:p w14:paraId="753AF478" w14:textId="027C34BE" w:rsidR="00F82094" w:rsidRPr="00F82094" w:rsidRDefault="00497A51" w:rsidP="00EF3005">
            <w:pPr>
              <w:spacing w:before="20" w:after="20" w:line="260" w:lineRule="exact"/>
              <w:jc w:val="left"/>
              <w:rPr>
                <w:sz w:val="16"/>
                <w:szCs w:val="16"/>
              </w:rPr>
            </w:pPr>
            <w:r>
              <w:rPr>
                <w:sz w:val="16"/>
                <w:szCs w:val="16"/>
              </w:rPr>
              <w:t>50</w:t>
            </w:r>
          </w:p>
        </w:tc>
        <w:tc>
          <w:tcPr>
            <w:tcW w:w="0" w:type="auto"/>
            <w:noWrap/>
            <w:tcMar>
              <w:left w:w="57" w:type="dxa"/>
              <w:right w:w="57" w:type="dxa"/>
            </w:tcMar>
          </w:tcPr>
          <w:p w14:paraId="09922502" w14:textId="68CD2586"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46A26404" w14:textId="1AD389D4" w:rsidR="00F82094" w:rsidRPr="00F82094" w:rsidRDefault="00497A51" w:rsidP="00EF3005">
            <w:pPr>
              <w:spacing w:before="20" w:after="20" w:line="260" w:lineRule="exact"/>
              <w:jc w:val="left"/>
              <w:rPr>
                <w:sz w:val="16"/>
                <w:szCs w:val="16"/>
              </w:rPr>
            </w:pPr>
            <w:r>
              <w:rPr>
                <w:sz w:val="16"/>
                <w:szCs w:val="16"/>
              </w:rPr>
              <w:t>%0</w:t>
            </w:r>
            <w:r w:rsidR="008F4CF7">
              <w:rPr>
                <w:sz w:val="16"/>
                <w:szCs w:val="16"/>
              </w:rPr>
              <w:t>  </w:t>
            </w:r>
          </w:p>
        </w:tc>
      </w:tr>
      <w:tr w:rsidR="00497A51" w:rsidRPr="00F82094" w14:paraId="42FF37F4" w14:textId="77777777" w:rsidTr="00F82094">
        <w:trPr>
          <w:trHeight w:val="315"/>
          <w:jc w:val="center"/>
        </w:trPr>
        <w:tc>
          <w:tcPr>
            <w:tcW w:w="0" w:type="auto"/>
            <w:noWrap/>
            <w:tcMar>
              <w:left w:w="57" w:type="dxa"/>
              <w:right w:w="57" w:type="dxa"/>
            </w:tcMar>
            <w:hideMark/>
          </w:tcPr>
          <w:p w14:paraId="625605F2" w14:textId="77777777" w:rsidR="00F82094" w:rsidRPr="00F82094" w:rsidRDefault="00F82094" w:rsidP="00EF3005">
            <w:pPr>
              <w:spacing w:before="20" w:after="20" w:line="260" w:lineRule="exact"/>
              <w:jc w:val="left"/>
              <w:rPr>
                <w:sz w:val="16"/>
                <w:szCs w:val="16"/>
              </w:rPr>
            </w:pPr>
            <w:r w:rsidRPr="00F82094">
              <w:rPr>
                <w:sz w:val="16"/>
                <w:szCs w:val="16"/>
              </w:rPr>
              <w:t>8</w:t>
            </w:r>
          </w:p>
        </w:tc>
        <w:tc>
          <w:tcPr>
            <w:tcW w:w="0" w:type="auto"/>
            <w:tcMar>
              <w:left w:w="57" w:type="dxa"/>
              <w:right w:w="57" w:type="dxa"/>
            </w:tcMar>
            <w:hideMark/>
          </w:tcPr>
          <w:p w14:paraId="192EEDEE" w14:textId="77777777" w:rsidR="00F82094" w:rsidRPr="00F82094" w:rsidRDefault="00F82094" w:rsidP="00EF3005">
            <w:pPr>
              <w:spacing w:before="20" w:after="20" w:line="260" w:lineRule="exact"/>
              <w:jc w:val="left"/>
              <w:rPr>
                <w:sz w:val="16"/>
                <w:szCs w:val="16"/>
              </w:rPr>
            </w:pPr>
            <w:r w:rsidRPr="00F82094">
              <w:rPr>
                <w:sz w:val="16"/>
                <w:szCs w:val="16"/>
                <w:rtl/>
                <w:lang w:bidi="ar-EG"/>
              </w:rPr>
              <w:t>مرافق الخدمات العامة والداخلية</w:t>
            </w:r>
          </w:p>
        </w:tc>
        <w:tc>
          <w:tcPr>
            <w:tcW w:w="0" w:type="auto"/>
            <w:noWrap/>
            <w:tcMar>
              <w:left w:w="57" w:type="dxa"/>
              <w:right w:w="57" w:type="dxa"/>
            </w:tcMar>
          </w:tcPr>
          <w:p w14:paraId="386A9535" w14:textId="68911070" w:rsidR="00F82094" w:rsidRPr="00F82094" w:rsidRDefault="00F82094" w:rsidP="00EF3005">
            <w:pPr>
              <w:spacing w:before="20" w:after="20" w:line="260" w:lineRule="exact"/>
              <w:jc w:val="left"/>
              <w:rPr>
                <w:sz w:val="16"/>
                <w:szCs w:val="16"/>
              </w:rPr>
            </w:pPr>
            <w:r>
              <w:rPr>
                <w:sz w:val="16"/>
                <w:szCs w:val="16"/>
              </w:rPr>
              <w:t>50</w:t>
            </w:r>
          </w:p>
        </w:tc>
        <w:tc>
          <w:tcPr>
            <w:tcW w:w="0" w:type="auto"/>
            <w:noWrap/>
            <w:tcMar>
              <w:left w:w="57" w:type="dxa"/>
              <w:right w:w="57" w:type="dxa"/>
            </w:tcMar>
          </w:tcPr>
          <w:p w14:paraId="6BEAF29C" w14:textId="36D85F75" w:rsidR="00F82094" w:rsidRPr="00F82094" w:rsidRDefault="00497A51" w:rsidP="00EF3005">
            <w:pPr>
              <w:spacing w:before="20" w:after="20" w:line="260" w:lineRule="exact"/>
              <w:jc w:val="left"/>
              <w:rPr>
                <w:sz w:val="16"/>
                <w:szCs w:val="16"/>
              </w:rPr>
            </w:pPr>
            <w:r>
              <w:rPr>
                <w:sz w:val="16"/>
                <w:szCs w:val="16"/>
              </w:rPr>
              <w:t>7</w:t>
            </w:r>
          </w:p>
        </w:tc>
        <w:tc>
          <w:tcPr>
            <w:tcW w:w="0" w:type="auto"/>
            <w:noWrap/>
            <w:tcMar>
              <w:left w:w="57" w:type="dxa"/>
              <w:right w:w="57" w:type="dxa"/>
            </w:tcMar>
          </w:tcPr>
          <w:p w14:paraId="2F6A3B24" w14:textId="31BD15B9"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196BA048" w14:textId="51142346"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50F0B994" w14:textId="6A3ADF08"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3E0C5149" w14:textId="0B0F54F3"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79973449" w14:textId="13F07F75" w:rsidR="00F82094" w:rsidRPr="00F82094" w:rsidRDefault="00497A51" w:rsidP="00EF3005">
            <w:pPr>
              <w:spacing w:before="20" w:after="20" w:line="260" w:lineRule="exact"/>
              <w:jc w:val="left"/>
              <w:rPr>
                <w:sz w:val="16"/>
                <w:szCs w:val="16"/>
              </w:rPr>
            </w:pPr>
            <w:r>
              <w:rPr>
                <w:sz w:val="16"/>
                <w:szCs w:val="16"/>
              </w:rPr>
              <w:t>-</w:t>
            </w:r>
          </w:p>
        </w:tc>
        <w:tc>
          <w:tcPr>
            <w:tcW w:w="0" w:type="auto"/>
            <w:tcMar>
              <w:left w:w="57" w:type="dxa"/>
              <w:right w:w="57" w:type="dxa"/>
            </w:tcMar>
          </w:tcPr>
          <w:p w14:paraId="2ADA3558" w14:textId="7200039C"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38BDBB66" w14:textId="780E809D" w:rsidR="00F82094" w:rsidRPr="00F82094" w:rsidRDefault="00497A51" w:rsidP="00EF3005">
            <w:pPr>
              <w:spacing w:before="20" w:after="20" w:line="260" w:lineRule="exact"/>
              <w:jc w:val="left"/>
              <w:rPr>
                <w:sz w:val="16"/>
                <w:szCs w:val="16"/>
              </w:rPr>
            </w:pPr>
            <w:r>
              <w:rPr>
                <w:rFonts w:hint="cs"/>
                <w:sz w:val="16"/>
                <w:szCs w:val="16"/>
                <w:rtl/>
              </w:rPr>
              <w:t>–</w:t>
            </w:r>
            <w:r>
              <w:rPr>
                <w:sz w:val="16"/>
                <w:szCs w:val="16"/>
              </w:rPr>
              <w:t>20</w:t>
            </w:r>
          </w:p>
        </w:tc>
        <w:tc>
          <w:tcPr>
            <w:tcW w:w="0" w:type="auto"/>
            <w:noWrap/>
            <w:tcMar>
              <w:left w:w="57" w:type="dxa"/>
              <w:right w:w="57" w:type="dxa"/>
            </w:tcMar>
          </w:tcPr>
          <w:p w14:paraId="61CAFAAA" w14:textId="6A2D9842" w:rsidR="00F82094" w:rsidRPr="00F82094" w:rsidRDefault="00497A51" w:rsidP="00EF3005">
            <w:pPr>
              <w:spacing w:before="20" w:after="20" w:line="260" w:lineRule="exact"/>
              <w:jc w:val="left"/>
              <w:rPr>
                <w:sz w:val="16"/>
                <w:szCs w:val="16"/>
              </w:rPr>
            </w:pPr>
            <w:r>
              <w:rPr>
                <w:sz w:val="16"/>
                <w:szCs w:val="16"/>
              </w:rPr>
              <w:t>%100–</w:t>
            </w:r>
          </w:p>
        </w:tc>
      </w:tr>
      <w:tr w:rsidR="00497A51" w:rsidRPr="00F82094" w14:paraId="2FBE77E6" w14:textId="77777777" w:rsidTr="00F82094">
        <w:trPr>
          <w:trHeight w:val="315"/>
          <w:jc w:val="center"/>
        </w:trPr>
        <w:tc>
          <w:tcPr>
            <w:tcW w:w="0" w:type="auto"/>
            <w:noWrap/>
            <w:tcMar>
              <w:left w:w="57" w:type="dxa"/>
              <w:right w:w="57" w:type="dxa"/>
            </w:tcMar>
            <w:hideMark/>
          </w:tcPr>
          <w:p w14:paraId="54127091" w14:textId="77777777" w:rsidR="00F82094" w:rsidRPr="00F82094" w:rsidRDefault="00F82094" w:rsidP="00EF3005">
            <w:pPr>
              <w:spacing w:before="20" w:after="20" w:line="260" w:lineRule="exact"/>
              <w:jc w:val="left"/>
              <w:rPr>
                <w:sz w:val="16"/>
                <w:szCs w:val="16"/>
              </w:rPr>
            </w:pPr>
            <w:r w:rsidRPr="00F82094">
              <w:rPr>
                <w:sz w:val="16"/>
                <w:szCs w:val="16"/>
              </w:rPr>
              <w:t>9</w:t>
            </w:r>
            <w:r w:rsidRPr="00F82094">
              <w:rPr>
                <w:rFonts w:hint="cs"/>
                <w:sz w:val="16"/>
                <w:szCs w:val="16"/>
                <w:rtl/>
              </w:rPr>
              <w:t>أ</w:t>
            </w:r>
          </w:p>
        </w:tc>
        <w:tc>
          <w:tcPr>
            <w:tcW w:w="0" w:type="auto"/>
            <w:noWrap/>
            <w:tcMar>
              <w:left w:w="57" w:type="dxa"/>
              <w:right w:w="57" w:type="dxa"/>
            </w:tcMar>
            <w:hideMark/>
          </w:tcPr>
          <w:p w14:paraId="62755E37" w14:textId="77777777" w:rsidR="00F82094" w:rsidRPr="00F82094" w:rsidRDefault="00F82094" w:rsidP="00EF3005">
            <w:pPr>
              <w:spacing w:before="20" w:after="20" w:line="260" w:lineRule="exact"/>
              <w:jc w:val="left"/>
              <w:rPr>
                <w:sz w:val="16"/>
                <w:szCs w:val="16"/>
              </w:rPr>
            </w:pPr>
            <w:r w:rsidRPr="00F82094">
              <w:rPr>
                <w:sz w:val="16"/>
                <w:szCs w:val="16"/>
                <w:rtl/>
                <w:lang w:bidi="ar-EG"/>
              </w:rPr>
              <w:t>نفقات متفرقة</w:t>
            </w:r>
          </w:p>
        </w:tc>
        <w:tc>
          <w:tcPr>
            <w:tcW w:w="0" w:type="auto"/>
            <w:noWrap/>
            <w:tcMar>
              <w:left w:w="57" w:type="dxa"/>
              <w:right w:w="57" w:type="dxa"/>
            </w:tcMar>
          </w:tcPr>
          <w:p w14:paraId="4BAC4144" w14:textId="7EDFC89D" w:rsidR="00F82094" w:rsidRPr="00F82094" w:rsidRDefault="00F82094" w:rsidP="00EF3005">
            <w:pPr>
              <w:spacing w:before="20" w:after="20" w:line="260" w:lineRule="exact"/>
              <w:jc w:val="left"/>
              <w:rPr>
                <w:sz w:val="16"/>
                <w:szCs w:val="16"/>
              </w:rPr>
            </w:pPr>
            <w:r>
              <w:rPr>
                <w:sz w:val="16"/>
                <w:szCs w:val="16"/>
              </w:rPr>
              <w:t>20</w:t>
            </w:r>
          </w:p>
        </w:tc>
        <w:tc>
          <w:tcPr>
            <w:tcW w:w="0" w:type="auto"/>
            <w:noWrap/>
            <w:tcMar>
              <w:left w:w="57" w:type="dxa"/>
              <w:right w:w="57" w:type="dxa"/>
            </w:tcMar>
          </w:tcPr>
          <w:p w14:paraId="2A50AD03" w14:textId="25D2D922" w:rsidR="00F82094" w:rsidRPr="00F82094" w:rsidRDefault="00497A51" w:rsidP="00EF3005">
            <w:pPr>
              <w:spacing w:before="20" w:after="20" w:line="260" w:lineRule="exact"/>
              <w:jc w:val="left"/>
              <w:rPr>
                <w:sz w:val="16"/>
                <w:szCs w:val="16"/>
              </w:rPr>
            </w:pPr>
            <w:r>
              <w:rPr>
                <w:sz w:val="16"/>
                <w:szCs w:val="16"/>
              </w:rPr>
              <w:t>0</w:t>
            </w:r>
          </w:p>
        </w:tc>
        <w:tc>
          <w:tcPr>
            <w:tcW w:w="0" w:type="auto"/>
            <w:noWrap/>
            <w:tcMar>
              <w:left w:w="57" w:type="dxa"/>
              <w:right w:w="57" w:type="dxa"/>
            </w:tcMar>
          </w:tcPr>
          <w:p w14:paraId="740A27B9" w14:textId="4CEE208D"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44A2EA07" w14:textId="0C9A2234"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38F8F844" w14:textId="4A2C0768"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42592DDB" w14:textId="1269FFC5" w:rsidR="00F82094" w:rsidRPr="00F82094" w:rsidRDefault="00497A51" w:rsidP="00EF3005">
            <w:pPr>
              <w:spacing w:before="20" w:after="20" w:line="260" w:lineRule="exact"/>
              <w:jc w:val="left"/>
              <w:rPr>
                <w:sz w:val="16"/>
                <w:szCs w:val="16"/>
              </w:rPr>
            </w:pPr>
            <w:r>
              <w:rPr>
                <w:sz w:val="16"/>
                <w:szCs w:val="16"/>
              </w:rPr>
              <w:t>10</w:t>
            </w:r>
          </w:p>
        </w:tc>
        <w:tc>
          <w:tcPr>
            <w:tcW w:w="0" w:type="auto"/>
            <w:noWrap/>
            <w:tcMar>
              <w:left w:w="57" w:type="dxa"/>
              <w:right w:w="57" w:type="dxa"/>
            </w:tcMar>
          </w:tcPr>
          <w:p w14:paraId="72410CA3" w14:textId="6BCDEF17" w:rsidR="00F82094" w:rsidRPr="00F82094" w:rsidRDefault="00497A51" w:rsidP="00EF3005">
            <w:pPr>
              <w:spacing w:before="20" w:after="20" w:line="260" w:lineRule="exact"/>
              <w:jc w:val="left"/>
              <w:rPr>
                <w:sz w:val="16"/>
                <w:szCs w:val="16"/>
              </w:rPr>
            </w:pPr>
            <w:r>
              <w:rPr>
                <w:sz w:val="16"/>
                <w:szCs w:val="16"/>
              </w:rPr>
              <w:t>10</w:t>
            </w:r>
          </w:p>
        </w:tc>
        <w:tc>
          <w:tcPr>
            <w:tcW w:w="0" w:type="auto"/>
            <w:tcMar>
              <w:left w:w="57" w:type="dxa"/>
              <w:right w:w="57" w:type="dxa"/>
            </w:tcMar>
          </w:tcPr>
          <w:p w14:paraId="15D6EDA4" w14:textId="1C40F343" w:rsidR="00F82094" w:rsidRPr="00F82094" w:rsidRDefault="00497A51" w:rsidP="00EF3005">
            <w:pPr>
              <w:spacing w:before="20" w:after="20" w:line="260" w:lineRule="exact"/>
              <w:jc w:val="left"/>
              <w:rPr>
                <w:sz w:val="16"/>
                <w:szCs w:val="16"/>
              </w:rPr>
            </w:pPr>
            <w:r>
              <w:rPr>
                <w:sz w:val="16"/>
                <w:szCs w:val="16"/>
              </w:rPr>
              <w:t>20</w:t>
            </w:r>
          </w:p>
        </w:tc>
        <w:tc>
          <w:tcPr>
            <w:tcW w:w="0" w:type="auto"/>
            <w:noWrap/>
            <w:tcMar>
              <w:left w:w="57" w:type="dxa"/>
              <w:right w:w="57" w:type="dxa"/>
            </w:tcMar>
          </w:tcPr>
          <w:p w14:paraId="448EC080" w14:textId="59E5F0BD" w:rsidR="00F82094" w:rsidRPr="00F82094" w:rsidRDefault="00497A51" w:rsidP="00EF3005">
            <w:pPr>
              <w:spacing w:before="20" w:after="20" w:line="260" w:lineRule="exact"/>
              <w:jc w:val="left"/>
              <w:rPr>
                <w:sz w:val="16"/>
                <w:szCs w:val="16"/>
              </w:rPr>
            </w:pPr>
            <w:r>
              <w:rPr>
                <w:rFonts w:hint="cs"/>
                <w:sz w:val="16"/>
                <w:szCs w:val="16"/>
                <w:rtl/>
              </w:rPr>
              <w:t>-</w:t>
            </w:r>
          </w:p>
        </w:tc>
        <w:tc>
          <w:tcPr>
            <w:tcW w:w="0" w:type="auto"/>
            <w:noWrap/>
            <w:tcMar>
              <w:left w:w="57" w:type="dxa"/>
              <w:right w:w="57" w:type="dxa"/>
            </w:tcMar>
          </w:tcPr>
          <w:p w14:paraId="337BCEEF" w14:textId="08866E9C" w:rsidR="00F82094" w:rsidRPr="00F82094" w:rsidRDefault="00497A51" w:rsidP="00EF3005">
            <w:pPr>
              <w:spacing w:before="20" w:after="20" w:line="260" w:lineRule="exact"/>
              <w:jc w:val="left"/>
              <w:rPr>
                <w:sz w:val="16"/>
                <w:szCs w:val="16"/>
              </w:rPr>
            </w:pPr>
            <w:r>
              <w:rPr>
                <w:sz w:val="16"/>
                <w:szCs w:val="16"/>
              </w:rPr>
              <w:t>%0</w:t>
            </w:r>
            <w:r w:rsidR="008F4CF7">
              <w:rPr>
                <w:sz w:val="16"/>
                <w:szCs w:val="16"/>
              </w:rPr>
              <w:t>  </w:t>
            </w:r>
          </w:p>
        </w:tc>
      </w:tr>
      <w:tr w:rsidR="00497A51" w:rsidRPr="00F82094" w14:paraId="63E33370" w14:textId="77777777" w:rsidTr="00F82094">
        <w:trPr>
          <w:trHeight w:val="315"/>
          <w:jc w:val="center"/>
        </w:trPr>
        <w:tc>
          <w:tcPr>
            <w:tcW w:w="0" w:type="auto"/>
            <w:noWrap/>
            <w:tcMar>
              <w:left w:w="57" w:type="dxa"/>
              <w:right w:w="57" w:type="dxa"/>
            </w:tcMar>
            <w:hideMark/>
          </w:tcPr>
          <w:p w14:paraId="390A7A90" w14:textId="77777777" w:rsidR="00F82094" w:rsidRPr="00F82094" w:rsidRDefault="00F82094" w:rsidP="00EF3005">
            <w:pPr>
              <w:spacing w:before="20" w:after="20" w:line="260" w:lineRule="exact"/>
              <w:jc w:val="left"/>
              <w:rPr>
                <w:sz w:val="16"/>
                <w:szCs w:val="16"/>
              </w:rPr>
            </w:pPr>
            <w:r w:rsidRPr="00F82094">
              <w:rPr>
                <w:sz w:val="16"/>
                <w:szCs w:val="16"/>
              </w:rPr>
              <w:t>9</w:t>
            </w:r>
            <w:r w:rsidRPr="00F82094">
              <w:rPr>
                <w:rFonts w:hint="cs"/>
                <w:sz w:val="16"/>
                <w:szCs w:val="16"/>
                <w:rtl/>
              </w:rPr>
              <w:t>ب</w:t>
            </w:r>
          </w:p>
        </w:tc>
        <w:tc>
          <w:tcPr>
            <w:tcW w:w="0" w:type="auto"/>
            <w:noWrap/>
            <w:tcMar>
              <w:left w:w="57" w:type="dxa"/>
              <w:right w:w="57" w:type="dxa"/>
            </w:tcMar>
            <w:hideMark/>
          </w:tcPr>
          <w:p w14:paraId="620CAF24" w14:textId="77777777" w:rsidR="00F82094" w:rsidRPr="00F82094" w:rsidRDefault="00F82094" w:rsidP="00EF3005">
            <w:pPr>
              <w:spacing w:before="20" w:after="20" w:line="260" w:lineRule="exact"/>
              <w:jc w:val="left"/>
              <w:rPr>
                <w:sz w:val="16"/>
                <w:szCs w:val="16"/>
              </w:rPr>
            </w:pPr>
            <w:r w:rsidRPr="00F82094">
              <w:rPr>
                <w:sz w:val="16"/>
                <w:szCs w:val="16"/>
                <w:rtl/>
                <w:lang w:bidi="ar-EG"/>
              </w:rPr>
              <w:t>استرداد التكاليف</w:t>
            </w:r>
          </w:p>
        </w:tc>
        <w:tc>
          <w:tcPr>
            <w:tcW w:w="0" w:type="auto"/>
            <w:noWrap/>
            <w:tcMar>
              <w:left w:w="57" w:type="dxa"/>
              <w:right w:w="57" w:type="dxa"/>
            </w:tcMar>
          </w:tcPr>
          <w:p w14:paraId="1BA7E733" w14:textId="3033187D" w:rsidR="00F82094" w:rsidRPr="00F82094" w:rsidRDefault="00F82094" w:rsidP="00EF3005">
            <w:pPr>
              <w:spacing w:before="20" w:after="20" w:line="260" w:lineRule="exact"/>
              <w:jc w:val="left"/>
              <w:rPr>
                <w:sz w:val="16"/>
                <w:szCs w:val="16"/>
              </w:rPr>
            </w:pPr>
            <w:r>
              <w:rPr>
                <w:sz w:val="16"/>
                <w:szCs w:val="16"/>
              </w:rPr>
              <w:t>3 000</w:t>
            </w:r>
          </w:p>
        </w:tc>
        <w:tc>
          <w:tcPr>
            <w:tcW w:w="0" w:type="auto"/>
            <w:noWrap/>
            <w:tcMar>
              <w:left w:w="57" w:type="dxa"/>
              <w:right w:w="57" w:type="dxa"/>
            </w:tcMar>
          </w:tcPr>
          <w:p w14:paraId="135D5151" w14:textId="62BA4DB9" w:rsidR="00F82094" w:rsidRPr="00F82094" w:rsidRDefault="00497A51" w:rsidP="00EF3005">
            <w:pPr>
              <w:spacing w:before="20" w:after="20" w:line="260" w:lineRule="exact"/>
              <w:jc w:val="left"/>
              <w:rPr>
                <w:sz w:val="16"/>
                <w:szCs w:val="16"/>
              </w:rPr>
            </w:pPr>
            <w:r>
              <w:rPr>
                <w:sz w:val="16"/>
                <w:szCs w:val="16"/>
              </w:rPr>
              <w:t>2 500</w:t>
            </w:r>
          </w:p>
        </w:tc>
        <w:tc>
          <w:tcPr>
            <w:tcW w:w="0" w:type="auto"/>
            <w:noWrap/>
            <w:tcMar>
              <w:left w:w="57" w:type="dxa"/>
              <w:right w:w="57" w:type="dxa"/>
            </w:tcMar>
          </w:tcPr>
          <w:p w14:paraId="7E055655" w14:textId="365BB8F7" w:rsidR="00F82094" w:rsidRPr="00F82094" w:rsidRDefault="00497A51" w:rsidP="00EF3005">
            <w:pPr>
              <w:spacing w:before="20" w:after="20" w:line="260" w:lineRule="exact"/>
              <w:jc w:val="left"/>
              <w:rPr>
                <w:sz w:val="16"/>
                <w:szCs w:val="16"/>
              </w:rPr>
            </w:pPr>
            <w:r>
              <w:rPr>
                <w:sz w:val="16"/>
                <w:szCs w:val="16"/>
              </w:rPr>
              <w:t>1 500</w:t>
            </w:r>
          </w:p>
        </w:tc>
        <w:tc>
          <w:tcPr>
            <w:tcW w:w="0" w:type="auto"/>
            <w:noWrap/>
            <w:tcMar>
              <w:left w:w="57" w:type="dxa"/>
              <w:right w:w="57" w:type="dxa"/>
            </w:tcMar>
          </w:tcPr>
          <w:p w14:paraId="2DCDE6C7" w14:textId="101EDC57" w:rsidR="00F82094" w:rsidRPr="00F82094" w:rsidRDefault="00497A51" w:rsidP="00EF3005">
            <w:pPr>
              <w:spacing w:before="20" w:after="20" w:line="260" w:lineRule="exact"/>
              <w:jc w:val="left"/>
              <w:rPr>
                <w:sz w:val="16"/>
                <w:szCs w:val="16"/>
              </w:rPr>
            </w:pPr>
            <w:r>
              <w:rPr>
                <w:sz w:val="16"/>
                <w:szCs w:val="16"/>
              </w:rPr>
              <w:t>-</w:t>
            </w:r>
          </w:p>
        </w:tc>
        <w:tc>
          <w:tcPr>
            <w:tcW w:w="0" w:type="auto"/>
            <w:noWrap/>
            <w:tcMar>
              <w:left w:w="57" w:type="dxa"/>
              <w:right w:w="57" w:type="dxa"/>
            </w:tcMar>
          </w:tcPr>
          <w:p w14:paraId="4F1B2959" w14:textId="7312A1B4" w:rsidR="00F82094" w:rsidRPr="00F82094" w:rsidRDefault="00497A51" w:rsidP="00EF3005">
            <w:pPr>
              <w:spacing w:before="20" w:after="20" w:line="260" w:lineRule="exact"/>
              <w:jc w:val="left"/>
              <w:rPr>
                <w:sz w:val="16"/>
                <w:szCs w:val="16"/>
              </w:rPr>
            </w:pPr>
            <w:r>
              <w:rPr>
                <w:sz w:val="16"/>
                <w:szCs w:val="16"/>
              </w:rPr>
              <w:t>1 500</w:t>
            </w:r>
          </w:p>
        </w:tc>
        <w:tc>
          <w:tcPr>
            <w:tcW w:w="0" w:type="auto"/>
            <w:noWrap/>
            <w:tcMar>
              <w:left w:w="57" w:type="dxa"/>
              <w:right w:w="57" w:type="dxa"/>
            </w:tcMar>
          </w:tcPr>
          <w:p w14:paraId="600E18FE" w14:textId="7B510814" w:rsidR="00F82094" w:rsidRPr="00F82094" w:rsidRDefault="00497A51" w:rsidP="00EF3005">
            <w:pPr>
              <w:spacing w:before="20" w:after="20" w:line="260" w:lineRule="exact"/>
              <w:jc w:val="left"/>
              <w:rPr>
                <w:sz w:val="16"/>
                <w:szCs w:val="16"/>
              </w:rPr>
            </w:pPr>
            <w:r>
              <w:rPr>
                <w:sz w:val="16"/>
                <w:szCs w:val="16"/>
              </w:rPr>
              <w:t>1 500</w:t>
            </w:r>
          </w:p>
        </w:tc>
        <w:tc>
          <w:tcPr>
            <w:tcW w:w="0" w:type="auto"/>
            <w:noWrap/>
            <w:tcMar>
              <w:left w:w="57" w:type="dxa"/>
              <w:right w:w="57" w:type="dxa"/>
            </w:tcMar>
          </w:tcPr>
          <w:p w14:paraId="17E1A410" w14:textId="50CCBC10" w:rsidR="00F82094" w:rsidRPr="00F82094" w:rsidRDefault="00497A51" w:rsidP="00EF3005">
            <w:pPr>
              <w:spacing w:before="20" w:after="20" w:line="260" w:lineRule="exact"/>
              <w:jc w:val="left"/>
              <w:rPr>
                <w:sz w:val="16"/>
                <w:szCs w:val="16"/>
              </w:rPr>
            </w:pPr>
            <w:r>
              <w:rPr>
                <w:sz w:val="16"/>
                <w:szCs w:val="16"/>
              </w:rPr>
              <w:t>1 500</w:t>
            </w:r>
          </w:p>
        </w:tc>
        <w:tc>
          <w:tcPr>
            <w:tcW w:w="0" w:type="auto"/>
            <w:tcMar>
              <w:left w:w="57" w:type="dxa"/>
              <w:right w:w="57" w:type="dxa"/>
            </w:tcMar>
          </w:tcPr>
          <w:p w14:paraId="24CE96EB" w14:textId="28FBD09D" w:rsidR="00F82094" w:rsidRPr="00F82094" w:rsidRDefault="00497A51" w:rsidP="00EF3005">
            <w:pPr>
              <w:spacing w:before="20" w:after="20" w:line="260" w:lineRule="exact"/>
              <w:jc w:val="left"/>
              <w:rPr>
                <w:sz w:val="16"/>
                <w:szCs w:val="16"/>
              </w:rPr>
            </w:pPr>
            <w:r>
              <w:rPr>
                <w:sz w:val="16"/>
                <w:szCs w:val="16"/>
              </w:rPr>
              <w:t>3 000</w:t>
            </w:r>
          </w:p>
        </w:tc>
        <w:tc>
          <w:tcPr>
            <w:tcW w:w="0" w:type="auto"/>
            <w:noWrap/>
            <w:tcMar>
              <w:left w:w="57" w:type="dxa"/>
              <w:right w:w="57" w:type="dxa"/>
            </w:tcMar>
          </w:tcPr>
          <w:p w14:paraId="465FC0D8" w14:textId="7E7E7ED9" w:rsidR="00F82094" w:rsidRPr="00F82094" w:rsidRDefault="00497A51" w:rsidP="00EF3005">
            <w:pPr>
              <w:spacing w:before="20" w:after="20" w:line="260" w:lineRule="exact"/>
              <w:jc w:val="left"/>
              <w:rPr>
                <w:sz w:val="16"/>
                <w:szCs w:val="16"/>
              </w:rPr>
            </w:pPr>
            <w:r>
              <w:rPr>
                <w:rFonts w:hint="cs"/>
                <w:sz w:val="16"/>
                <w:szCs w:val="16"/>
                <w:rtl/>
              </w:rPr>
              <w:t>-</w:t>
            </w:r>
          </w:p>
        </w:tc>
        <w:tc>
          <w:tcPr>
            <w:tcW w:w="0" w:type="auto"/>
            <w:noWrap/>
            <w:tcMar>
              <w:left w:w="57" w:type="dxa"/>
              <w:right w:w="57" w:type="dxa"/>
            </w:tcMar>
          </w:tcPr>
          <w:p w14:paraId="6275FFCC" w14:textId="57BF64C2" w:rsidR="00F82094" w:rsidRPr="00F82094" w:rsidRDefault="00497A51" w:rsidP="00EF3005">
            <w:pPr>
              <w:spacing w:before="20" w:after="20" w:line="260" w:lineRule="exact"/>
              <w:jc w:val="left"/>
              <w:rPr>
                <w:sz w:val="16"/>
                <w:szCs w:val="16"/>
              </w:rPr>
            </w:pPr>
            <w:r>
              <w:rPr>
                <w:sz w:val="16"/>
                <w:szCs w:val="16"/>
              </w:rPr>
              <w:t>%0</w:t>
            </w:r>
            <w:r w:rsidR="008F4CF7">
              <w:rPr>
                <w:sz w:val="16"/>
                <w:szCs w:val="16"/>
              </w:rPr>
              <w:t>  </w:t>
            </w:r>
          </w:p>
        </w:tc>
      </w:tr>
      <w:tr w:rsidR="00497A51" w:rsidRPr="00F82094" w14:paraId="6EC9A626" w14:textId="77777777" w:rsidTr="00F82094">
        <w:trPr>
          <w:trHeight w:val="315"/>
          <w:jc w:val="center"/>
        </w:trPr>
        <w:tc>
          <w:tcPr>
            <w:tcW w:w="0" w:type="auto"/>
            <w:tcBorders>
              <w:top w:val="single" w:sz="4" w:space="0" w:color="auto"/>
              <w:left w:val="nil"/>
              <w:bottom w:val="single" w:sz="4" w:space="0" w:color="auto"/>
              <w:right w:val="nil"/>
            </w:tcBorders>
            <w:shd w:val="clear" w:color="auto" w:fill="DCE6F1"/>
            <w:noWrap/>
            <w:tcMar>
              <w:left w:w="57" w:type="dxa"/>
              <w:right w:w="57" w:type="dxa"/>
            </w:tcMar>
            <w:vAlign w:val="center"/>
            <w:hideMark/>
          </w:tcPr>
          <w:p w14:paraId="1E3932F8" w14:textId="77777777" w:rsidR="00F82094" w:rsidRPr="00F82094" w:rsidRDefault="00F82094" w:rsidP="00EF3005">
            <w:pPr>
              <w:spacing w:before="60" w:after="20" w:line="260" w:lineRule="exact"/>
              <w:rPr>
                <w:b/>
                <w:bCs/>
                <w:color w:val="0000FF"/>
                <w:sz w:val="16"/>
                <w:szCs w:val="16"/>
              </w:rPr>
            </w:pPr>
            <w:r w:rsidRPr="00F82094">
              <w:rPr>
                <w:b/>
                <w:bCs/>
                <w:color w:val="0000FF"/>
                <w:sz w:val="16"/>
                <w:szCs w:val="16"/>
              </w:rPr>
              <w:t> </w:t>
            </w:r>
          </w:p>
        </w:tc>
        <w:tc>
          <w:tcPr>
            <w:tcW w:w="0" w:type="auto"/>
            <w:tcBorders>
              <w:top w:val="single" w:sz="4" w:space="0" w:color="auto"/>
              <w:left w:val="nil"/>
              <w:bottom w:val="single" w:sz="4" w:space="0" w:color="auto"/>
              <w:right w:val="nil"/>
            </w:tcBorders>
            <w:shd w:val="clear" w:color="auto" w:fill="DCE6F1"/>
            <w:noWrap/>
            <w:tcMar>
              <w:left w:w="57" w:type="dxa"/>
              <w:right w:w="57" w:type="dxa"/>
            </w:tcMar>
            <w:hideMark/>
          </w:tcPr>
          <w:p w14:paraId="1365216C" w14:textId="77777777" w:rsidR="00F82094" w:rsidRPr="00F82094" w:rsidRDefault="00F82094" w:rsidP="00EF3005">
            <w:pPr>
              <w:spacing w:before="60" w:after="20" w:line="260" w:lineRule="exact"/>
              <w:jc w:val="left"/>
              <w:rPr>
                <w:b/>
                <w:bCs/>
                <w:color w:val="0000FF"/>
                <w:sz w:val="16"/>
                <w:szCs w:val="16"/>
              </w:rPr>
            </w:pPr>
            <w:r w:rsidRPr="00F82094">
              <w:rPr>
                <w:b/>
                <w:bCs/>
                <w:color w:val="0000FF"/>
                <w:sz w:val="16"/>
                <w:szCs w:val="16"/>
                <w:rtl/>
                <w:lang w:bidi="ar-EG"/>
              </w:rPr>
              <w:t>المجموع</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29BFF118" w14:textId="567FFCD6" w:rsidR="00F82094" w:rsidRPr="00F82094" w:rsidRDefault="00F82094" w:rsidP="00EF3005">
            <w:pPr>
              <w:spacing w:before="60" w:after="20" w:line="260" w:lineRule="exact"/>
              <w:jc w:val="left"/>
              <w:rPr>
                <w:b/>
                <w:bCs/>
                <w:color w:val="0000FF"/>
                <w:sz w:val="16"/>
                <w:szCs w:val="16"/>
              </w:rPr>
            </w:pPr>
            <w:r>
              <w:rPr>
                <w:b/>
                <w:bCs/>
                <w:color w:val="0000FF"/>
                <w:sz w:val="16"/>
                <w:szCs w:val="16"/>
              </w:rPr>
              <w:t>11 146</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4390FCC9" w14:textId="2E644EED" w:rsidR="00F82094" w:rsidRPr="00F82094" w:rsidRDefault="00497A51" w:rsidP="00EF3005">
            <w:pPr>
              <w:spacing w:before="60" w:after="20" w:line="260" w:lineRule="exact"/>
              <w:jc w:val="left"/>
              <w:rPr>
                <w:b/>
                <w:bCs/>
                <w:color w:val="0000FF"/>
                <w:sz w:val="16"/>
                <w:szCs w:val="16"/>
              </w:rPr>
            </w:pPr>
            <w:r>
              <w:rPr>
                <w:b/>
                <w:bCs/>
                <w:color w:val="0000FF"/>
                <w:sz w:val="16"/>
                <w:szCs w:val="16"/>
              </w:rPr>
              <w:t>7 793</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2C3E8768" w14:textId="3C885D94" w:rsidR="00F82094" w:rsidRPr="00F82094" w:rsidRDefault="00497A51" w:rsidP="00EF3005">
            <w:pPr>
              <w:spacing w:before="60" w:after="20" w:line="260" w:lineRule="exact"/>
              <w:jc w:val="left"/>
              <w:rPr>
                <w:b/>
                <w:bCs/>
                <w:color w:val="0000FF"/>
                <w:sz w:val="16"/>
                <w:szCs w:val="16"/>
              </w:rPr>
            </w:pPr>
            <w:r>
              <w:rPr>
                <w:b/>
                <w:bCs/>
                <w:color w:val="0000FF"/>
                <w:sz w:val="16"/>
                <w:szCs w:val="16"/>
              </w:rPr>
              <w:t>5 135</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75DD7932" w14:textId="787BBC0A" w:rsidR="00F82094" w:rsidRPr="00F82094" w:rsidRDefault="00497A51" w:rsidP="00EF3005">
            <w:pPr>
              <w:spacing w:before="60" w:after="20" w:line="260" w:lineRule="exact"/>
              <w:jc w:val="left"/>
              <w:rPr>
                <w:b/>
                <w:bCs/>
                <w:color w:val="0000FF"/>
                <w:sz w:val="16"/>
                <w:szCs w:val="16"/>
              </w:rPr>
            </w:pPr>
            <w:r>
              <w:rPr>
                <w:b/>
                <w:bCs/>
                <w:color w:val="0000FF"/>
                <w:sz w:val="16"/>
                <w:szCs w:val="16"/>
              </w:rPr>
              <w:t>2 196</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4C7F59E4" w14:textId="18F0FDA4" w:rsidR="00F82094" w:rsidRPr="00F82094" w:rsidRDefault="00497A51" w:rsidP="00EF3005">
            <w:pPr>
              <w:spacing w:before="60" w:after="20" w:line="260" w:lineRule="exact"/>
              <w:jc w:val="left"/>
              <w:rPr>
                <w:b/>
                <w:bCs/>
                <w:color w:val="0000FF"/>
                <w:sz w:val="16"/>
                <w:szCs w:val="16"/>
              </w:rPr>
            </w:pPr>
            <w:r>
              <w:rPr>
                <w:b/>
                <w:bCs/>
                <w:color w:val="0000FF"/>
                <w:sz w:val="16"/>
                <w:szCs w:val="16"/>
              </w:rPr>
              <w:t>5 135</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4CA85ADE" w14:textId="0DEF004F" w:rsidR="00F82094" w:rsidRPr="00F82094" w:rsidRDefault="00497A51" w:rsidP="00EF3005">
            <w:pPr>
              <w:spacing w:before="60" w:after="20" w:line="260" w:lineRule="exact"/>
              <w:jc w:val="left"/>
              <w:rPr>
                <w:b/>
                <w:bCs/>
                <w:color w:val="0000FF"/>
                <w:sz w:val="16"/>
                <w:szCs w:val="16"/>
              </w:rPr>
            </w:pPr>
            <w:r>
              <w:rPr>
                <w:b/>
                <w:bCs/>
                <w:color w:val="0000FF"/>
                <w:sz w:val="16"/>
                <w:szCs w:val="16"/>
              </w:rPr>
              <w:t>4 328</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71B2C4B9" w14:textId="7BDE697B" w:rsidR="00F82094" w:rsidRPr="00F82094" w:rsidRDefault="00497A51" w:rsidP="00EF3005">
            <w:pPr>
              <w:spacing w:before="60" w:after="20" w:line="260" w:lineRule="exact"/>
              <w:jc w:val="left"/>
              <w:rPr>
                <w:b/>
                <w:bCs/>
                <w:color w:val="0000FF"/>
                <w:sz w:val="16"/>
                <w:szCs w:val="16"/>
              </w:rPr>
            </w:pPr>
            <w:r>
              <w:rPr>
                <w:b/>
                <w:bCs/>
                <w:color w:val="0000FF"/>
                <w:sz w:val="16"/>
                <w:szCs w:val="16"/>
              </w:rPr>
              <w:t>4 328</w:t>
            </w:r>
          </w:p>
        </w:tc>
        <w:tc>
          <w:tcPr>
            <w:tcW w:w="0" w:type="auto"/>
            <w:tcBorders>
              <w:top w:val="single" w:sz="4" w:space="0" w:color="auto"/>
              <w:left w:val="nil"/>
              <w:bottom w:val="single" w:sz="4" w:space="0" w:color="auto"/>
              <w:right w:val="nil"/>
            </w:tcBorders>
            <w:shd w:val="clear" w:color="auto" w:fill="DCE6F1"/>
            <w:tcMar>
              <w:left w:w="57" w:type="dxa"/>
              <w:right w:w="57" w:type="dxa"/>
            </w:tcMar>
          </w:tcPr>
          <w:p w14:paraId="6DC198D0" w14:textId="6C87091C" w:rsidR="00F82094" w:rsidRPr="00F82094" w:rsidRDefault="00497A51" w:rsidP="00EF3005">
            <w:pPr>
              <w:spacing w:before="60" w:after="20" w:line="260" w:lineRule="exact"/>
              <w:jc w:val="left"/>
              <w:rPr>
                <w:b/>
                <w:bCs/>
                <w:color w:val="0000FF"/>
                <w:sz w:val="16"/>
                <w:szCs w:val="16"/>
              </w:rPr>
            </w:pPr>
            <w:r>
              <w:rPr>
                <w:b/>
                <w:bCs/>
                <w:color w:val="0000FF"/>
                <w:sz w:val="16"/>
                <w:szCs w:val="16"/>
              </w:rPr>
              <w:t>8 657</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7231D162" w14:textId="722C53F3" w:rsidR="00F82094" w:rsidRPr="00F82094" w:rsidRDefault="00497A51" w:rsidP="00EF3005">
            <w:pPr>
              <w:spacing w:before="60" w:after="20" w:line="260" w:lineRule="exact"/>
              <w:jc w:val="left"/>
              <w:rPr>
                <w:b/>
                <w:bCs/>
                <w:color w:val="0000FF"/>
                <w:sz w:val="16"/>
                <w:szCs w:val="16"/>
                <w:rtl/>
              </w:rPr>
            </w:pPr>
            <w:r w:rsidRPr="00497A51">
              <w:rPr>
                <w:b/>
                <w:bCs/>
                <w:color w:val="0000FF"/>
                <w:sz w:val="16"/>
                <w:szCs w:val="16"/>
              </w:rPr>
              <w:t>1 613–</w:t>
            </w:r>
          </w:p>
        </w:tc>
        <w:tc>
          <w:tcPr>
            <w:tcW w:w="0" w:type="auto"/>
            <w:tcBorders>
              <w:top w:val="single" w:sz="4" w:space="0" w:color="auto"/>
              <w:left w:val="nil"/>
              <w:bottom w:val="single" w:sz="4" w:space="0" w:color="auto"/>
              <w:right w:val="nil"/>
            </w:tcBorders>
            <w:shd w:val="clear" w:color="auto" w:fill="DCE6F1"/>
            <w:noWrap/>
            <w:tcMar>
              <w:left w:w="57" w:type="dxa"/>
              <w:right w:w="57" w:type="dxa"/>
            </w:tcMar>
          </w:tcPr>
          <w:p w14:paraId="7C3A9741" w14:textId="3379E20E" w:rsidR="00F82094" w:rsidRPr="00F82094" w:rsidRDefault="00497A51" w:rsidP="00EF3005">
            <w:pPr>
              <w:spacing w:before="60" w:after="20" w:line="260" w:lineRule="exact"/>
              <w:jc w:val="left"/>
              <w:rPr>
                <w:b/>
                <w:bCs/>
                <w:color w:val="0000FF"/>
                <w:sz w:val="16"/>
                <w:szCs w:val="16"/>
                <w:rtl/>
              </w:rPr>
            </w:pPr>
            <w:r>
              <w:rPr>
                <w:b/>
                <w:bCs/>
                <w:color w:val="0000FF"/>
                <w:sz w:val="16"/>
                <w:szCs w:val="16"/>
              </w:rPr>
              <w:t>%14–</w:t>
            </w:r>
          </w:p>
        </w:tc>
      </w:tr>
    </w:tbl>
    <w:p w14:paraId="48F804A7" w14:textId="77777777" w:rsidR="00F82094" w:rsidRDefault="00F82094" w:rsidP="00F82094">
      <w:pPr>
        <w:pStyle w:val="Headingb"/>
        <w:spacing w:before="360"/>
        <w:rPr>
          <w:rtl/>
          <w:lang w:val="en-GB" w:bidi="ar-SY"/>
        </w:rPr>
      </w:pPr>
      <w:bookmarkStart w:id="3" w:name="_Toc482367226"/>
      <w:bookmarkStart w:id="4" w:name="_Toc69733450"/>
      <w:r>
        <w:rPr>
          <w:rtl/>
          <w:lang w:bidi="ar-EG"/>
        </w:rPr>
        <w:t>موارد أمانة تليكوم الاتحاد</w:t>
      </w:r>
      <w:bookmarkEnd w:id="3"/>
      <w:bookmarkEnd w:id="4"/>
    </w:p>
    <w:p w14:paraId="66ACC357" w14:textId="3194323D" w:rsidR="00497A51" w:rsidRPr="001938CA" w:rsidRDefault="00497A51" w:rsidP="00497A51">
      <w:pPr>
        <w:rPr>
          <w:spacing w:val="-2"/>
          <w:rtl/>
          <w:lang w:val="en-CA" w:bidi="ar-EG"/>
        </w:rPr>
      </w:pPr>
      <w:r w:rsidRPr="00A95C50">
        <w:rPr>
          <w:spacing w:val="-2"/>
          <w:lang w:bidi="ar-SY"/>
        </w:rPr>
        <w:t>4</w:t>
      </w:r>
      <w:r w:rsidRPr="00A95C50">
        <w:rPr>
          <w:spacing w:val="-2"/>
          <w:rtl/>
          <w:lang w:bidi="ar-EG"/>
        </w:rPr>
        <w:tab/>
        <w:t>تش</w:t>
      </w:r>
      <w:r w:rsidRPr="00A95C50">
        <w:rPr>
          <w:rFonts w:hint="cs"/>
          <w:spacing w:val="-2"/>
          <w:rtl/>
          <w:lang w:bidi="ar-EG"/>
        </w:rPr>
        <w:t>ير</w:t>
      </w:r>
      <w:r w:rsidRPr="00A95C50">
        <w:rPr>
          <w:spacing w:val="-2"/>
          <w:rtl/>
          <w:lang w:bidi="ar-EG"/>
        </w:rPr>
        <w:t xml:space="preserve"> "التكاليف الخاصة بالموظفين" </w:t>
      </w:r>
      <w:r w:rsidRPr="00A95C50">
        <w:rPr>
          <w:rFonts w:hint="cs"/>
          <w:spacing w:val="-2"/>
          <w:rtl/>
          <w:lang w:bidi="ar-EG"/>
        </w:rPr>
        <w:t xml:space="preserve">إلى </w:t>
      </w:r>
      <w:r w:rsidRPr="00A95C50">
        <w:rPr>
          <w:spacing w:val="-2"/>
          <w:rtl/>
          <w:lang w:bidi="ar-EG"/>
        </w:rPr>
        <w:t>المرتب</w:t>
      </w:r>
      <w:r w:rsidRPr="00A95C50">
        <w:rPr>
          <w:rFonts w:hint="cs"/>
          <w:spacing w:val="-2"/>
          <w:rtl/>
          <w:lang w:bidi="ar-EG"/>
        </w:rPr>
        <w:t>ات الأساسية</w:t>
      </w:r>
      <w:r w:rsidRPr="00A95C50">
        <w:rPr>
          <w:spacing w:val="-2"/>
          <w:rtl/>
          <w:lang w:bidi="ar-EG"/>
        </w:rPr>
        <w:t xml:space="preserve"> </w:t>
      </w:r>
      <w:r w:rsidRPr="00A95C50">
        <w:rPr>
          <w:rFonts w:hint="cs"/>
          <w:spacing w:val="-2"/>
          <w:rtl/>
          <w:lang w:bidi="ar-EG"/>
        </w:rPr>
        <w:t>و</w:t>
      </w:r>
      <w:r w:rsidRPr="00A95C50">
        <w:rPr>
          <w:spacing w:val="-2"/>
          <w:rtl/>
          <w:lang w:bidi="ar-EG"/>
        </w:rPr>
        <w:t>تسوية مقر العمل وعلاوات الأسرة</w:t>
      </w:r>
      <w:r w:rsidRPr="00A95C50">
        <w:rPr>
          <w:rFonts w:hint="cs"/>
          <w:spacing w:val="-2"/>
          <w:rtl/>
          <w:lang w:bidi="ar-EG"/>
        </w:rPr>
        <w:t xml:space="preserve"> وبدلات السكن (للفئة المهنية والفئات </w:t>
      </w:r>
      <w:proofErr w:type="gramStart"/>
      <w:r w:rsidRPr="00A95C50">
        <w:rPr>
          <w:rFonts w:hint="cs"/>
          <w:spacing w:val="-2"/>
          <w:rtl/>
          <w:lang w:bidi="ar-EG"/>
        </w:rPr>
        <w:t>الأعلى)،</w:t>
      </w:r>
      <w:proofErr w:type="gramEnd"/>
      <w:r w:rsidRPr="00A95C50">
        <w:rPr>
          <w:rFonts w:hint="cs"/>
          <w:spacing w:val="-2"/>
          <w:rtl/>
          <w:lang w:bidi="ar-EG"/>
        </w:rPr>
        <w:t xml:space="preserve"> بينما</w:t>
      </w:r>
      <w:r w:rsidRPr="00A95C50">
        <w:rPr>
          <w:spacing w:val="-2"/>
          <w:rtl/>
          <w:lang w:bidi="ar-EG"/>
        </w:rPr>
        <w:t xml:space="preserve"> تشمل "التكاليف الأخرى الخاصة بالموظفين" مساهمة الاتحاد في صندوق المعاشات وفي التأمين الصحي والتأمين ضد الحوادث ومنحة التعليم والسفر </w:t>
      </w:r>
      <w:proofErr w:type="spellStart"/>
      <w:r w:rsidRPr="00A95C50">
        <w:rPr>
          <w:spacing w:val="-2"/>
          <w:rtl/>
          <w:lang w:bidi="ar-EG"/>
        </w:rPr>
        <w:t>والسفر</w:t>
      </w:r>
      <w:proofErr w:type="spellEnd"/>
      <w:r w:rsidRPr="00A95C50">
        <w:rPr>
          <w:spacing w:val="-2"/>
          <w:rtl/>
          <w:lang w:bidi="ar-EG"/>
        </w:rPr>
        <w:t xml:space="preserve"> عند التعيين وترك الخدمة وعلاوة الاستقرار والعودة إلى الوطن والسفر في</w:t>
      </w:r>
      <w:r w:rsidRPr="00A95C50">
        <w:rPr>
          <w:rFonts w:hint="cs"/>
          <w:spacing w:val="-2"/>
          <w:rtl/>
          <w:lang w:bidi="ar-EG"/>
        </w:rPr>
        <w:t> </w:t>
      </w:r>
      <w:r w:rsidRPr="00A95C50">
        <w:rPr>
          <w:spacing w:val="-2"/>
          <w:rtl/>
          <w:lang w:bidi="ar-EG"/>
        </w:rPr>
        <w:t xml:space="preserve">إجازات إلى الوطن والإجازات المتجمعة ومنحة نهاية الخدمة ومصاريف نقل الأمتعة. </w:t>
      </w:r>
      <w:r w:rsidR="001938CA">
        <w:rPr>
          <w:rFonts w:hint="cs"/>
          <w:spacing w:val="-2"/>
          <w:rtl/>
          <w:lang w:bidi="ar-EG"/>
        </w:rPr>
        <w:t xml:space="preserve">وتشتمل ميزانية </w:t>
      </w:r>
      <w:r w:rsidR="001938CA" w:rsidRPr="001938CA">
        <w:rPr>
          <w:spacing w:val="-2"/>
          <w:rtl/>
          <w:lang w:bidi="ar-EG"/>
        </w:rPr>
        <w:t>أمانة تليكوم الاتحاد</w:t>
      </w:r>
      <w:r w:rsidR="001938CA">
        <w:rPr>
          <w:rFonts w:hint="cs"/>
          <w:spacing w:val="-2"/>
          <w:rtl/>
          <w:lang w:bidi="ar-EG"/>
        </w:rPr>
        <w:t xml:space="preserve"> </w:t>
      </w:r>
      <w:r w:rsidR="001938CA">
        <w:rPr>
          <w:rFonts w:hint="cs"/>
          <w:spacing w:val="-2"/>
          <w:rtl/>
          <w:lang w:bidi="ar-EG"/>
        </w:rPr>
        <w:lastRenderedPageBreak/>
        <w:t xml:space="preserve">للفترة </w:t>
      </w:r>
      <w:r w:rsidR="001938CA">
        <w:rPr>
          <w:spacing w:val="-2"/>
          <w:lang w:val="en-CA" w:bidi="ar-EG"/>
        </w:rPr>
        <w:t>2023-2022</w:t>
      </w:r>
      <w:r w:rsidR="001938CA">
        <w:rPr>
          <w:rFonts w:hint="cs"/>
          <w:spacing w:val="-2"/>
          <w:rtl/>
          <w:lang w:val="en-CA" w:bidi="ar-EG"/>
        </w:rPr>
        <w:t xml:space="preserve"> على </w:t>
      </w:r>
      <w:r w:rsidR="001938CA">
        <w:rPr>
          <w:spacing w:val="-2"/>
          <w:lang w:val="en-CA" w:bidi="ar-EG"/>
        </w:rPr>
        <w:t>18</w:t>
      </w:r>
      <w:r w:rsidR="001938CA">
        <w:rPr>
          <w:rFonts w:hint="cs"/>
          <w:spacing w:val="-2"/>
          <w:rtl/>
          <w:lang w:val="en-CA" w:bidi="ar-EG"/>
        </w:rPr>
        <w:t xml:space="preserve"> وظيفة في حين اشتملت ميزانية الفترة </w:t>
      </w:r>
      <w:r w:rsidR="001938CA">
        <w:rPr>
          <w:spacing w:val="-2"/>
          <w:lang w:val="en-CA" w:bidi="ar-EG"/>
        </w:rPr>
        <w:t>2021-2020</w:t>
      </w:r>
      <w:r w:rsidR="001938CA">
        <w:rPr>
          <w:rFonts w:hint="cs"/>
          <w:spacing w:val="-2"/>
          <w:rtl/>
          <w:lang w:val="en-CA" w:bidi="ar-EG"/>
        </w:rPr>
        <w:t xml:space="preserve"> على </w:t>
      </w:r>
      <w:r w:rsidR="001938CA">
        <w:rPr>
          <w:spacing w:val="-2"/>
          <w:lang w:val="en-CA" w:bidi="ar-EG"/>
        </w:rPr>
        <w:t>23</w:t>
      </w:r>
      <w:r w:rsidR="001938CA">
        <w:rPr>
          <w:rFonts w:hint="cs"/>
          <w:spacing w:val="-2"/>
          <w:rtl/>
          <w:lang w:val="en-CA" w:bidi="ar-EG"/>
        </w:rPr>
        <w:t xml:space="preserve"> وظيفة. وأدى نقل الموظفين إلى دوائر أخرى إلى انخفاض الوظائف المدرجة في الميزانية بمقدار </w:t>
      </w:r>
      <w:r w:rsidR="001938CA">
        <w:rPr>
          <w:spacing w:val="-2"/>
          <w:lang w:val="en-CA" w:bidi="ar-EG"/>
        </w:rPr>
        <w:t>5</w:t>
      </w:r>
      <w:r w:rsidR="001938CA">
        <w:rPr>
          <w:rFonts w:hint="cs"/>
          <w:spacing w:val="-2"/>
          <w:rtl/>
          <w:lang w:val="en-CA" w:bidi="ar-EG"/>
        </w:rPr>
        <w:t xml:space="preserve"> وظائف.</w:t>
      </w:r>
    </w:p>
    <w:p w14:paraId="0CCEBF65" w14:textId="77777777" w:rsidR="00497A51" w:rsidRDefault="00497A51" w:rsidP="00497A51">
      <w:pPr>
        <w:pStyle w:val="TableNo"/>
        <w:rPr>
          <w:rtl/>
        </w:rPr>
      </w:pPr>
      <w:r>
        <w:rPr>
          <w:rtl/>
        </w:rPr>
        <w:t xml:space="preserve">الجدول </w:t>
      </w:r>
      <w:r>
        <w:rPr>
          <w:lang w:val="en-GB"/>
        </w:rPr>
        <w:t>2</w:t>
      </w:r>
    </w:p>
    <w:p w14:paraId="7291308C" w14:textId="77777777" w:rsidR="00497A51" w:rsidRDefault="00497A51" w:rsidP="00497A51">
      <w:pPr>
        <w:pStyle w:val="Tabletitle"/>
        <w:spacing w:after="120"/>
        <w:rPr>
          <w:rtl/>
        </w:rPr>
      </w:pPr>
      <w:r>
        <w:rPr>
          <w:rtl/>
        </w:rPr>
        <w:t>الوظائف المدرجة في الميزانية</w:t>
      </w:r>
    </w:p>
    <w:tbl>
      <w:tblPr>
        <w:bidiVisual/>
        <w:tblW w:w="5000" w:type="pct"/>
        <w:jc w:val="center"/>
        <w:tblLook w:val="04A0" w:firstRow="1" w:lastRow="0" w:firstColumn="1" w:lastColumn="0" w:noHBand="0" w:noVBand="1"/>
      </w:tblPr>
      <w:tblGrid>
        <w:gridCol w:w="2923"/>
        <w:gridCol w:w="1891"/>
        <w:gridCol w:w="1891"/>
        <w:gridCol w:w="1901"/>
        <w:gridCol w:w="1033"/>
      </w:tblGrid>
      <w:tr w:rsidR="00497A51" w:rsidRPr="00EB0541" w14:paraId="6AA6E6D5" w14:textId="77777777" w:rsidTr="00EF3005">
        <w:trPr>
          <w:trHeight w:val="315"/>
          <w:jc w:val="center"/>
        </w:trPr>
        <w:tc>
          <w:tcPr>
            <w:tcW w:w="1516" w:type="pct"/>
            <w:vMerge w:val="restart"/>
            <w:tcBorders>
              <w:top w:val="single" w:sz="4" w:space="0" w:color="auto"/>
              <w:left w:val="nil"/>
              <w:right w:val="nil"/>
            </w:tcBorders>
            <w:shd w:val="clear" w:color="auto" w:fill="DCE6F1"/>
            <w:noWrap/>
            <w:vAlign w:val="center"/>
            <w:hideMark/>
          </w:tcPr>
          <w:p w14:paraId="4700672A" w14:textId="77777777" w:rsidR="00497A51" w:rsidRPr="00A95C50" w:rsidRDefault="00497A51" w:rsidP="00EF3005">
            <w:pPr>
              <w:pStyle w:val="TableHead"/>
              <w:rPr>
                <w:color w:val="1F4E79" w:themeColor="accent1" w:themeShade="80"/>
                <w:rtl/>
              </w:rPr>
            </w:pPr>
            <w:r w:rsidRPr="00A95C50">
              <w:rPr>
                <w:color w:val="1F4E79" w:themeColor="accent1" w:themeShade="80"/>
                <w:rtl/>
              </w:rPr>
              <w:t>الوظائف المدرجة في الميزانية</w:t>
            </w:r>
          </w:p>
        </w:tc>
        <w:tc>
          <w:tcPr>
            <w:tcW w:w="981" w:type="pct"/>
            <w:tcBorders>
              <w:top w:val="single" w:sz="4" w:space="0" w:color="auto"/>
              <w:left w:val="nil"/>
              <w:bottom w:val="nil"/>
              <w:right w:val="nil"/>
            </w:tcBorders>
            <w:shd w:val="clear" w:color="auto" w:fill="DCE6F1"/>
            <w:noWrap/>
            <w:vAlign w:val="center"/>
            <w:hideMark/>
          </w:tcPr>
          <w:p w14:paraId="75829D48" w14:textId="111038E9" w:rsidR="00497A51" w:rsidRPr="00A95C50" w:rsidRDefault="00497A51" w:rsidP="00EF3005">
            <w:pPr>
              <w:pStyle w:val="TableHead"/>
              <w:rPr>
                <w:rFonts w:eastAsia="SimSun"/>
                <w:color w:val="1F4E79" w:themeColor="accent1" w:themeShade="80"/>
                <w:lang w:val="en-GB" w:bidi="ar-SY"/>
              </w:rPr>
            </w:pPr>
            <w:r>
              <w:rPr>
                <w:color w:val="1F4E79" w:themeColor="accent1" w:themeShade="80"/>
                <w:lang w:val="en-GB" w:bidi="ar-SY"/>
              </w:rPr>
              <w:t>2021-2020</w:t>
            </w:r>
          </w:p>
        </w:tc>
        <w:tc>
          <w:tcPr>
            <w:tcW w:w="981" w:type="pct"/>
            <w:tcBorders>
              <w:top w:val="single" w:sz="4" w:space="0" w:color="auto"/>
              <w:left w:val="nil"/>
              <w:bottom w:val="nil"/>
              <w:right w:val="nil"/>
            </w:tcBorders>
            <w:shd w:val="clear" w:color="auto" w:fill="DCE6F1"/>
            <w:noWrap/>
            <w:vAlign w:val="center"/>
            <w:hideMark/>
          </w:tcPr>
          <w:p w14:paraId="2ED8C9FE" w14:textId="620607B4" w:rsidR="00497A51" w:rsidRPr="00A95C50" w:rsidRDefault="00497A51" w:rsidP="00EF3005">
            <w:pPr>
              <w:pStyle w:val="TableHead"/>
              <w:rPr>
                <w:color w:val="1F4E79" w:themeColor="accent1" w:themeShade="80"/>
                <w:lang w:val="en-GB" w:bidi="ar-SY"/>
              </w:rPr>
            </w:pPr>
            <w:r>
              <w:rPr>
                <w:color w:val="1F4E79" w:themeColor="accent1" w:themeShade="80"/>
                <w:lang w:val="en-GB" w:bidi="ar-SY"/>
              </w:rPr>
              <w:t>2023-2022</w:t>
            </w:r>
          </w:p>
        </w:tc>
        <w:tc>
          <w:tcPr>
            <w:tcW w:w="986" w:type="pct"/>
            <w:tcBorders>
              <w:top w:val="single" w:sz="4" w:space="0" w:color="auto"/>
              <w:left w:val="nil"/>
              <w:bottom w:val="nil"/>
              <w:right w:val="nil"/>
            </w:tcBorders>
            <w:shd w:val="clear" w:color="auto" w:fill="DCE6F1"/>
            <w:noWrap/>
            <w:vAlign w:val="center"/>
            <w:hideMark/>
          </w:tcPr>
          <w:p w14:paraId="4DC9F269" w14:textId="77777777" w:rsidR="00497A51" w:rsidRPr="00A95C50" w:rsidRDefault="00497A51" w:rsidP="00EF3005">
            <w:pPr>
              <w:pStyle w:val="TableHead"/>
              <w:rPr>
                <w:color w:val="1F4E79" w:themeColor="accent1" w:themeShade="80"/>
                <w:lang w:val="en-GB" w:bidi="ar-SY"/>
              </w:rPr>
            </w:pPr>
            <w:r w:rsidRPr="00A95C50">
              <w:rPr>
                <w:color w:val="1F4E79" w:themeColor="accent1" w:themeShade="80"/>
                <w:rtl/>
              </w:rPr>
              <w:t>التغير</w:t>
            </w:r>
          </w:p>
        </w:tc>
        <w:tc>
          <w:tcPr>
            <w:tcW w:w="536" w:type="pct"/>
            <w:tcBorders>
              <w:top w:val="single" w:sz="4" w:space="0" w:color="auto"/>
              <w:left w:val="nil"/>
              <w:bottom w:val="nil"/>
              <w:right w:val="nil"/>
            </w:tcBorders>
            <w:shd w:val="clear" w:color="auto" w:fill="DCE6F1"/>
            <w:noWrap/>
            <w:vAlign w:val="center"/>
            <w:hideMark/>
          </w:tcPr>
          <w:p w14:paraId="57657784" w14:textId="77777777" w:rsidR="00497A51" w:rsidRPr="00A95C50" w:rsidRDefault="00497A51" w:rsidP="00EF3005">
            <w:pPr>
              <w:pStyle w:val="TableHead"/>
              <w:rPr>
                <w:color w:val="1F4E79" w:themeColor="accent1" w:themeShade="80"/>
                <w:lang w:val="en-GB" w:bidi="ar-SY"/>
              </w:rPr>
            </w:pPr>
            <w:r w:rsidRPr="00A95C50">
              <w:rPr>
                <w:color w:val="1F4E79" w:themeColor="accent1" w:themeShade="80"/>
                <w:rtl/>
              </w:rPr>
              <w:t>التغير</w:t>
            </w:r>
          </w:p>
        </w:tc>
      </w:tr>
      <w:tr w:rsidR="00497A51" w:rsidRPr="00EB0541" w14:paraId="0FD7283C" w14:textId="77777777" w:rsidTr="00EF3005">
        <w:trPr>
          <w:trHeight w:val="300"/>
          <w:jc w:val="center"/>
        </w:trPr>
        <w:tc>
          <w:tcPr>
            <w:tcW w:w="1516" w:type="pct"/>
            <w:vMerge/>
            <w:tcBorders>
              <w:left w:val="nil"/>
              <w:bottom w:val="single" w:sz="4" w:space="0" w:color="auto"/>
              <w:right w:val="nil"/>
            </w:tcBorders>
            <w:shd w:val="clear" w:color="auto" w:fill="DCE6F1"/>
            <w:noWrap/>
            <w:vAlign w:val="center"/>
            <w:hideMark/>
          </w:tcPr>
          <w:p w14:paraId="1FF25817" w14:textId="77777777" w:rsidR="00497A51" w:rsidRPr="00A95C50" w:rsidRDefault="00497A51" w:rsidP="00EF3005">
            <w:pPr>
              <w:pStyle w:val="TableHead"/>
              <w:rPr>
                <w:color w:val="1F4E79" w:themeColor="accent1" w:themeShade="80"/>
                <w:lang w:val="en-GB" w:bidi="ar-SY"/>
              </w:rPr>
            </w:pPr>
          </w:p>
        </w:tc>
        <w:tc>
          <w:tcPr>
            <w:tcW w:w="981" w:type="pct"/>
            <w:tcBorders>
              <w:top w:val="nil"/>
              <w:left w:val="nil"/>
              <w:bottom w:val="single" w:sz="4" w:space="0" w:color="auto"/>
              <w:right w:val="nil"/>
            </w:tcBorders>
            <w:shd w:val="clear" w:color="auto" w:fill="DCE6F1"/>
            <w:noWrap/>
            <w:vAlign w:val="center"/>
            <w:hideMark/>
          </w:tcPr>
          <w:p w14:paraId="2F2A349C" w14:textId="77777777" w:rsidR="00497A51" w:rsidRPr="00A95C50" w:rsidRDefault="00497A51" w:rsidP="00EF3005">
            <w:pPr>
              <w:pStyle w:val="TableHead"/>
              <w:rPr>
                <w:color w:val="1F4E79" w:themeColor="accent1" w:themeShade="80"/>
              </w:rPr>
            </w:pPr>
            <w:r w:rsidRPr="00A95C50">
              <w:rPr>
                <w:color w:val="1F4E79" w:themeColor="accent1" w:themeShade="80"/>
              </w:rPr>
              <w:t>a</w:t>
            </w:r>
          </w:p>
        </w:tc>
        <w:tc>
          <w:tcPr>
            <w:tcW w:w="981" w:type="pct"/>
            <w:tcBorders>
              <w:top w:val="nil"/>
              <w:left w:val="nil"/>
              <w:bottom w:val="single" w:sz="4" w:space="0" w:color="auto"/>
              <w:right w:val="nil"/>
            </w:tcBorders>
            <w:shd w:val="clear" w:color="auto" w:fill="DCE6F1"/>
            <w:noWrap/>
            <w:vAlign w:val="center"/>
            <w:hideMark/>
          </w:tcPr>
          <w:p w14:paraId="01311EBD" w14:textId="77777777" w:rsidR="00497A51" w:rsidRPr="00A95C50" w:rsidRDefault="00497A51" w:rsidP="00EF3005">
            <w:pPr>
              <w:pStyle w:val="TableHead"/>
              <w:rPr>
                <w:color w:val="1F4E79" w:themeColor="accent1" w:themeShade="80"/>
              </w:rPr>
            </w:pPr>
            <w:r w:rsidRPr="00A95C50">
              <w:rPr>
                <w:color w:val="1F4E79" w:themeColor="accent1" w:themeShade="80"/>
              </w:rPr>
              <w:t>b</w:t>
            </w:r>
          </w:p>
        </w:tc>
        <w:tc>
          <w:tcPr>
            <w:tcW w:w="986" w:type="pct"/>
            <w:tcBorders>
              <w:top w:val="nil"/>
              <w:left w:val="nil"/>
              <w:bottom w:val="single" w:sz="4" w:space="0" w:color="auto"/>
              <w:right w:val="nil"/>
            </w:tcBorders>
            <w:shd w:val="clear" w:color="auto" w:fill="DCE6F1"/>
            <w:noWrap/>
            <w:vAlign w:val="center"/>
            <w:hideMark/>
          </w:tcPr>
          <w:p w14:paraId="5474F8DF" w14:textId="77777777" w:rsidR="00497A51" w:rsidRPr="00A95C50" w:rsidRDefault="00497A51" w:rsidP="00EF3005">
            <w:pPr>
              <w:pStyle w:val="TableHead"/>
              <w:rPr>
                <w:color w:val="1F4E79" w:themeColor="accent1" w:themeShade="80"/>
              </w:rPr>
            </w:pPr>
            <w:r w:rsidRPr="00A95C50">
              <w:rPr>
                <w:color w:val="1F4E79" w:themeColor="accent1" w:themeShade="80"/>
              </w:rPr>
              <w:t>c=b-a</w:t>
            </w:r>
          </w:p>
        </w:tc>
        <w:tc>
          <w:tcPr>
            <w:tcW w:w="536" w:type="pct"/>
            <w:tcBorders>
              <w:top w:val="nil"/>
              <w:left w:val="nil"/>
              <w:bottom w:val="single" w:sz="4" w:space="0" w:color="auto"/>
              <w:right w:val="nil"/>
            </w:tcBorders>
            <w:shd w:val="clear" w:color="auto" w:fill="DCE6F1"/>
            <w:noWrap/>
            <w:vAlign w:val="center"/>
            <w:hideMark/>
          </w:tcPr>
          <w:p w14:paraId="267C7668" w14:textId="77777777" w:rsidR="00497A51" w:rsidRPr="00A95C50" w:rsidRDefault="00497A51" w:rsidP="00EF3005">
            <w:pPr>
              <w:pStyle w:val="TableHead"/>
              <w:rPr>
                <w:color w:val="1F4E79" w:themeColor="accent1" w:themeShade="80"/>
              </w:rPr>
            </w:pPr>
            <w:r w:rsidRPr="00A95C50">
              <w:rPr>
                <w:color w:val="1F4E79" w:themeColor="accent1" w:themeShade="80"/>
              </w:rPr>
              <w:t>d=c/a</w:t>
            </w:r>
          </w:p>
        </w:tc>
      </w:tr>
      <w:tr w:rsidR="00497A51" w:rsidRPr="00EB0541" w14:paraId="45133FB3" w14:textId="77777777" w:rsidTr="00EF3005">
        <w:trPr>
          <w:trHeight w:val="450"/>
          <w:jc w:val="center"/>
        </w:trPr>
        <w:tc>
          <w:tcPr>
            <w:tcW w:w="1516" w:type="pct"/>
            <w:noWrap/>
            <w:vAlign w:val="center"/>
            <w:hideMark/>
          </w:tcPr>
          <w:p w14:paraId="4C2F3EF7" w14:textId="77777777" w:rsidR="00497A51" w:rsidRPr="00EB0541" w:rsidRDefault="00497A51" w:rsidP="00EF3005">
            <w:pPr>
              <w:pStyle w:val="Tabletexte"/>
              <w:rPr>
                <w:rFonts w:eastAsia="SimSun"/>
                <w:lang w:val="en-GB"/>
              </w:rPr>
            </w:pPr>
            <w:r w:rsidRPr="00EB0541">
              <w:rPr>
                <w:rtl/>
              </w:rPr>
              <w:t>عدد الوظائف المدرجة في الميزانية</w:t>
            </w:r>
          </w:p>
        </w:tc>
        <w:tc>
          <w:tcPr>
            <w:tcW w:w="981" w:type="pct"/>
            <w:noWrap/>
            <w:vAlign w:val="center"/>
            <w:hideMark/>
          </w:tcPr>
          <w:p w14:paraId="4B8F7A46" w14:textId="77777777" w:rsidR="00497A51" w:rsidRPr="00EB0541" w:rsidRDefault="00497A51" w:rsidP="00EF3005">
            <w:pPr>
              <w:pStyle w:val="Tabletexte"/>
            </w:pPr>
            <w:r w:rsidRPr="00EB0541">
              <w:t>23</w:t>
            </w:r>
          </w:p>
        </w:tc>
        <w:tc>
          <w:tcPr>
            <w:tcW w:w="981" w:type="pct"/>
            <w:noWrap/>
            <w:vAlign w:val="center"/>
            <w:hideMark/>
          </w:tcPr>
          <w:p w14:paraId="5A52A286" w14:textId="00421CD5" w:rsidR="00497A51" w:rsidRPr="00EB0541" w:rsidRDefault="00497A51" w:rsidP="00EF3005">
            <w:pPr>
              <w:pStyle w:val="Tabletexte"/>
            </w:pPr>
            <w:r>
              <w:t>18</w:t>
            </w:r>
          </w:p>
        </w:tc>
        <w:tc>
          <w:tcPr>
            <w:tcW w:w="986" w:type="pct"/>
            <w:noWrap/>
            <w:vAlign w:val="center"/>
            <w:hideMark/>
          </w:tcPr>
          <w:p w14:paraId="2F31D961" w14:textId="5245C244" w:rsidR="00497A51" w:rsidRPr="00EB0541" w:rsidRDefault="00497A51" w:rsidP="00EF3005">
            <w:pPr>
              <w:pStyle w:val="Tabletexte"/>
            </w:pPr>
            <w:r>
              <w:t>5–</w:t>
            </w:r>
          </w:p>
        </w:tc>
        <w:tc>
          <w:tcPr>
            <w:tcW w:w="536" w:type="pct"/>
            <w:noWrap/>
            <w:vAlign w:val="center"/>
            <w:hideMark/>
          </w:tcPr>
          <w:p w14:paraId="266D2AE4" w14:textId="15F851E9" w:rsidR="00497A51" w:rsidRPr="00EB0541" w:rsidRDefault="00497A51" w:rsidP="00EF3005">
            <w:pPr>
              <w:pStyle w:val="Tabletexte"/>
            </w:pPr>
            <w:r>
              <w:t>%22–</w:t>
            </w:r>
          </w:p>
        </w:tc>
      </w:tr>
      <w:tr w:rsidR="00497A51" w:rsidRPr="00EB0541" w14:paraId="586D1094" w14:textId="77777777" w:rsidTr="00EF3005">
        <w:trPr>
          <w:trHeight w:val="450"/>
          <w:jc w:val="center"/>
        </w:trPr>
        <w:tc>
          <w:tcPr>
            <w:tcW w:w="1516" w:type="pct"/>
            <w:noWrap/>
            <w:vAlign w:val="center"/>
            <w:hideMark/>
          </w:tcPr>
          <w:p w14:paraId="0E7F8BD3" w14:textId="77777777" w:rsidR="00497A51" w:rsidRPr="00EB0541" w:rsidRDefault="00497A51" w:rsidP="00EF3005">
            <w:pPr>
              <w:pStyle w:val="Tabletexte"/>
              <w:rPr>
                <w:rFonts w:eastAsia="SimSun"/>
                <w:lang w:val="en-GB"/>
              </w:rPr>
            </w:pPr>
            <w:r w:rsidRPr="00EB0541">
              <w:rPr>
                <w:rtl/>
              </w:rPr>
              <w:t>التكلفة (بآلاف الفرنكات السويسرية)</w:t>
            </w:r>
          </w:p>
        </w:tc>
        <w:tc>
          <w:tcPr>
            <w:tcW w:w="981" w:type="pct"/>
            <w:noWrap/>
            <w:vAlign w:val="center"/>
            <w:hideMark/>
          </w:tcPr>
          <w:p w14:paraId="4E23D04E" w14:textId="1C341112" w:rsidR="00497A51" w:rsidRPr="00EB0541" w:rsidRDefault="00497A51" w:rsidP="00EF3005">
            <w:pPr>
              <w:pStyle w:val="Tabletexte"/>
            </w:pPr>
            <w:r>
              <w:t>6 980</w:t>
            </w:r>
          </w:p>
        </w:tc>
        <w:tc>
          <w:tcPr>
            <w:tcW w:w="981" w:type="pct"/>
            <w:noWrap/>
            <w:vAlign w:val="center"/>
            <w:hideMark/>
          </w:tcPr>
          <w:p w14:paraId="4EFB1215" w14:textId="565BC65F" w:rsidR="00497A51" w:rsidRPr="00EB0541" w:rsidRDefault="00497A51" w:rsidP="00EF3005">
            <w:pPr>
              <w:pStyle w:val="Tabletexte"/>
            </w:pPr>
            <w:r>
              <w:t>5 387</w:t>
            </w:r>
          </w:p>
        </w:tc>
        <w:tc>
          <w:tcPr>
            <w:tcW w:w="986" w:type="pct"/>
            <w:noWrap/>
            <w:vAlign w:val="center"/>
            <w:hideMark/>
          </w:tcPr>
          <w:p w14:paraId="10F18FFD" w14:textId="0B34D935" w:rsidR="00497A51" w:rsidRPr="00EB0541" w:rsidRDefault="00497A51" w:rsidP="00EF3005">
            <w:pPr>
              <w:pStyle w:val="Tabletexte"/>
            </w:pPr>
            <w:r>
              <w:t>1 593–</w:t>
            </w:r>
          </w:p>
        </w:tc>
        <w:tc>
          <w:tcPr>
            <w:tcW w:w="536" w:type="pct"/>
            <w:noWrap/>
            <w:vAlign w:val="center"/>
            <w:hideMark/>
          </w:tcPr>
          <w:p w14:paraId="1E2DA704" w14:textId="6B68D5EC" w:rsidR="00497A51" w:rsidRPr="00EB0541" w:rsidRDefault="00497A51" w:rsidP="00EF3005">
            <w:pPr>
              <w:pStyle w:val="Tabletexte"/>
            </w:pPr>
            <w:r>
              <w:t>%23–</w:t>
            </w:r>
          </w:p>
        </w:tc>
      </w:tr>
    </w:tbl>
    <w:p w14:paraId="6B21EC95" w14:textId="77777777" w:rsidR="00497A51" w:rsidRDefault="00497A51" w:rsidP="00497A51">
      <w:pPr>
        <w:spacing w:before="240"/>
        <w:rPr>
          <w:rFonts w:eastAsia="SimSun"/>
        </w:rPr>
      </w:pPr>
      <w:r>
        <w:rPr>
          <w:lang w:val="en-GB"/>
        </w:rPr>
        <w:t>5</w:t>
      </w:r>
      <w:r>
        <w:rPr>
          <w:rtl/>
        </w:rPr>
        <w:tab/>
        <w:t>تتصل الفئات من </w:t>
      </w:r>
      <w:r>
        <w:rPr>
          <w:lang w:val="en-GB"/>
        </w:rPr>
        <w:t>3</w:t>
      </w:r>
      <w:r>
        <w:rPr>
          <w:rtl/>
        </w:rPr>
        <w:t xml:space="preserve"> إلى </w:t>
      </w:r>
      <w:r>
        <w:rPr>
          <w:lang w:val="en-GB"/>
        </w:rPr>
        <w:t>9</w:t>
      </w:r>
      <w:r>
        <w:rPr>
          <w:rtl/>
        </w:rPr>
        <w:t xml:space="preserve"> من نفقات الميزانية بالسفر في مهام رسمية والخدمات التعاقدية والاستئجار والصيانة والمعدات واللوازم والحيازة ومرافق الخدمات العامة والداخلية والنفقات المتفرقة.</w:t>
      </w:r>
    </w:p>
    <w:p w14:paraId="0F7E02C6" w14:textId="0AAA3E5F" w:rsidR="00497A51" w:rsidRPr="001957B8" w:rsidRDefault="00497A51" w:rsidP="00497A51">
      <w:pPr>
        <w:pStyle w:val="enumlev1"/>
        <w:rPr>
          <w:rtl/>
        </w:rPr>
      </w:pPr>
      <w:r w:rsidRPr="001957B8">
        <w:rPr>
          <w:rtl/>
        </w:rPr>
        <w:t xml:space="preserve"> </w:t>
      </w:r>
      <w:proofErr w:type="gramStart"/>
      <w:r w:rsidRPr="001957B8">
        <w:rPr>
          <w:rtl/>
        </w:rPr>
        <w:t>أ )</w:t>
      </w:r>
      <w:proofErr w:type="gramEnd"/>
      <w:r w:rsidRPr="001957B8">
        <w:rPr>
          <w:rtl/>
        </w:rPr>
        <w:tab/>
        <w:t xml:space="preserve">وتتصل الفئة </w:t>
      </w:r>
      <w:r w:rsidRPr="001957B8">
        <w:t>3</w:t>
      </w:r>
      <w:r w:rsidRPr="001957B8">
        <w:rPr>
          <w:rtl/>
        </w:rPr>
        <w:t xml:space="preserve"> بالسفر في مهام رسمية حيث تشمل تكاليف مثل البدل اليومي (بدل المعيشة اليومي المقرر في الأمم المتحدة أو </w:t>
      </w:r>
      <w:r w:rsidRPr="001957B8">
        <w:t>"DSA"</w:t>
      </w:r>
      <w:r w:rsidRPr="001957B8">
        <w:rPr>
          <w:rtl/>
        </w:rPr>
        <w:t xml:space="preserve">) والنفقات النثرية في محطات السفر والتأمين. وتبذل الجهود لكفالة إجراء بعثات تليكوم الاتحاد بشكل يحقق فعالية التكاليف. ويجري استخدام المراسلات الإلكترونية وخدمة المؤتمرات عن بُعد قدر الإمكان لتجنب نفقات السفر غير الضرورية. ويسافر بعض الموظفين في مهام باختصاصات مشتركة مع تقليل فترات الرحلات إلى الحد الأدنى. </w:t>
      </w:r>
      <w:r w:rsidR="001938CA">
        <w:rPr>
          <w:rFonts w:hint="cs"/>
          <w:rtl/>
        </w:rPr>
        <w:t>و</w:t>
      </w:r>
      <w:r w:rsidRPr="007E2E30">
        <w:rPr>
          <w:rtl/>
        </w:rPr>
        <w:t>التكلفة المقدرة للسفر في مهام رسمية للفترة </w:t>
      </w:r>
      <w:r w:rsidRPr="007E2E30">
        <w:t>202</w:t>
      </w:r>
      <w:r w:rsidR="001938CA">
        <w:t>3</w:t>
      </w:r>
      <w:r w:rsidRPr="007E2E30">
        <w:t>-202</w:t>
      </w:r>
      <w:r w:rsidR="001938CA">
        <w:t>2</w:t>
      </w:r>
      <w:r w:rsidRPr="007E2E30">
        <w:rPr>
          <w:rtl/>
        </w:rPr>
        <w:t xml:space="preserve"> </w:t>
      </w:r>
      <w:r w:rsidR="001938CA">
        <w:rPr>
          <w:rFonts w:hint="cs"/>
          <w:rtl/>
        </w:rPr>
        <w:t xml:space="preserve">هي نفس </w:t>
      </w:r>
      <w:r w:rsidRPr="007E2E30">
        <w:rPr>
          <w:rFonts w:hint="cs"/>
          <w:rtl/>
          <w:lang w:val="es-ES" w:bidi="ar-EG"/>
        </w:rPr>
        <w:t>تكلفته المقدّرة في ميزانية الفترة</w:t>
      </w:r>
      <w:r w:rsidRPr="007E2E30">
        <w:rPr>
          <w:rtl/>
        </w:rPr>
        <w:t> </w:t>
      </w:r>
      <w:r w:rsidRPr="007E2E30">
        <w:t>20</w:t>
      </w:r>
      <w:r w:rsidR="001938CA">
        <w:t>21</w:t>
      </w:r>
      <w:r w:rsidRPr="007E2E30">
        <w:t>-20</w:t>
      </w:r>
      <w:r w:rsidR="001938CA">
        <w:t>20</w:t>
      </w:r>
      <w:r w:rsidRPr="007E2E30">
        <w:rPr>
          <w:rtl/>
        </w:rPr>
        <w:t>. ويتم تحميل المهام الخاصة بالحدث على الميزانية المخصصة للحدث.</w:t>
      </w:r>
    </w:p>
    <w:p w14:paraId="703D161B" w14:textId="2DB35B87" w:rsidR="00497A51" w:rsidRPr="007E2E30" w:rsidRDefault="00497A51" w:rsidP="00497A51">
      <w:pPr>
        <w:pStyle w:val="enumlev1"/>
        <w:rPr>
          <w:rtl/>
          <w:lang w:bidi="ar-EG"/>
        </w:rPr>
      </w:pPr>
      <w:r>
        <w:rPr>
          <w:rtl/>
        </w:rPr>
        <w:t>ب)</w:t>
      </w:r>
      <w:r>
        <w:rPr>
          <w:rtl/>
        </w:rPr>
        <w:tab/>
      </w:r>
      <w:r w:rsidRPr="00A95C50">
        <w:rPr>
          <w:rtl/>
        </w:rPr>
        <w:t xml:space="preserve">وتشير الفئة </w:t>
      </w:r>
      <w:r w:rsidRPr="00A95C50">
        <w:rPr>
          <w:lang w:val="en-GB"/>
        </w:rPr>
        <w:t>4</w:t>
      </w:r>
      <w:r w:rsidRPr="00A95C50">
        <w:rPr>
          <w:rtl/>
        </w:rPr>
        <w:t xml:space="preserve"> إلى</w:t>
      </w:r>
      <w:r>
        <w:rPr>
          <w:rtl/>
        </w:rPr>
        <w:t xml:space="preserve"> </w:t>
      </w:r>
      <w:r w:rsidRPr="007E2E30">
        <w:rPr>
          <w:rtl/>
        </w:rPr>
        <w:t>الخدمات التعاقدية. وتُحمّل أنشطة وحملات التسويق التي تتضمن الترويج للأحداث على ميزانيات الأحداث ذات الصلة.</w:t>
      </w:r>
      <w:r w:rsidR="001938CA">
        <w:t xml:space="preserve"> </w:t>
      </w:r>
      <w:r w:rsidR="001938CA" w:rsidRPr="007E2E30">
        <w:rPr>
          <w:rFonts w:hint="cs"/>
          <w:rtl/>
          <w:lang w:bidi="ar-EG"/>
        </w:rPr>
        <w:t>و</w:t>
      </w:r>
      <w:r w:rsidR="004A24EA">
        <w:rPr>
          <w:rFonts w:hint="cs"/>
          <w:rtl/>
          <w:lang w:bidi="ar-EG"/>
        </w:rPr>
        <w:t xml:space="preserve">ظل </w:t>
      </w:r>
      <w:r w:rsidR="001938CA" w:rsidRPr="007E2E30">
        <w:rPr>
          <w:rFonts w:hint="cs"/>
          <w:rtl/>
          <w:lang w:bidi="ar-EG"/>
        </w:rPr>
        <w:t>إجمالي ميزانية</w:t>
      </w:r>
      <w:r w:rsidR="001938CA" w:rsidRPr="007E2E30">
        <w:rPr>
          <w:rtl/>
        </w:rPr>
        <w:t xml:space="preserve"> </w:t>
      </w:r>
      <w:r w:rsidR="001938CA" w:rsidRPr="007E2E30">
        <w:rPr>
          <w:rFonts w:hint="cs"/>
          <w:rtl/>
        </w:rPr>
        <w:t>ا</w:t>
      </w:r>
      <w:r w:rsidR="001938CA" w:rsidRPr="007E2E30">
        <w:rPr>
          <w:rtl/>
        </w:rPr>
        <w:t>لخدمات التعاقدية</w:t>
      </w:r>
      <w:r w:rsidR="001938CA" w:rsidRPr="007E2E30">
        <w:rPr>
          <w:rFonts w:hint="cs"/>
          <w:rtl/>
        </w:rPr>
        <w:t xml:space="preserve"> </w:t>
      </w:r>
      <w:r w:rsidR="001938CA" w:rsidRPr="007E2E30">
        <w:rPr>
          <w:rtl/>
        </w:rPr>
        <w:t>للفترة </w:t>
      </w:r>
      <w:r w:rsidR="001938CA">
        <w:t>2023</w:t>
      </w:r>
      <w:r w:rsidR="001938CA">
        <w:noBreakHyphen/>
        <w:t>2022</w:t>
      </w:r>
      <w:r w:rsidR="001938CA" w:rsidRPr="007E2E30">
        <w:rPr>
          <w:rFonts w:hint="cs"/>
          <w:rtl/>
        </w:rPr>
        <w:t xml:space="preserve"> </w:t>
      </w:r>
      <w:r w:rsidR="004A24EA">
        <w:rPr>
          <w:rFonts w:hint="cs"/>
          <w:rtl/>
        </w:rPr>
        <w:t>على</w:t>
      </w:r>
      <w:r w:rsidR="001938CA">
        <w:rPr>
          <w:rFonts w:hint="cs"/>
          <w:rtl/>
        </w:rPr>
        <w:t xml:space="preserve"> نفس </w:t>
      </w:r>
      <w:r w:rsidR="004A24EA">
        <w:rPr>
          <w:rFonts w:hint="cs"/>
          <w:rtl/>
        </w:rPr>
        <w:t xml:space="preserve">القيمة التي </w:t>
      </w:r>
      <w:r w:rsidR="001938CA" w:rsidRPr="007E2E30">
        <w:rPr>
          <w:rtl/>
        </w:rPr>
        <w:t>كان عليه</w:t>
      </w:r>
      <w:r w:rsidR="004A24EA">
        <w:rPr>
          <w:rFonts w:hint="cs"/>
          <w:rtl/>
        </w:rPr>
        <w:t xml:space="preserve">ا </w:t>
      </w:r>
      <w:r w:rsidR="001938CA" w:rsidRPr="007E2E30">
        <w:rPr>
          <w:rtl/>
        </w:rPr>
        <w:t>في الفترة </w:t>
      </w:r>
      <w:r w:rsidR="001938CA" w:rsidRPr="007E2E30">
        <w:rPr>
          <w:lang w:val="en-GB"/>
        </w:rPr>
        <w:t>20</w:t>
      </w:r>
      <w:r w:rsidR="001938CA">
        <w:rPr>
          <w:lang w:val="en-GB"/>
        </w:rPr>
        <w:t>21</w:t>
      </w:r>
      <w:r w:rsidR="001938CA">
        <w:rPr>
          <w:lang w:val="en-GB"/>
        </w:rPr>
        <w:noBreakHyphen/>
      </w:r>
      <w:r w:rsidR="001938CA" w:rsidRPr="007E2E30">
        <w:rPr>
          <w:lang w:val="en-GB"/>
        </w:rPr>
        <w:t>20</w:t>
      </w:r>
      <w:r w:rsidR="001938CA">
        <w:rPr>
          <w:lang w:val="en-GB"/>
        </w:rPr>
        <w:t>20</w:t>
      </w:r>
      <w:r w:rsidR="001938CA" w:rsidRPr="007E2E30">
        <w:rPr>
          <w:rtl/>
        </w:rPr>
        <w:t xml:space="preserve">. </w:t>
      </w:r>
    </w:p>
    <w:p w14:paraId="72860224" w14:textId="1F486DC3" w:rsidR="00497A51" w:rsidRPr="003736B4" w:rsidRDefault="00497A51" w:rsidP="00497A51">
      <w:pPr>
        <w:pStyle w:val="enumlev1"/>
      </w:pPr>
      <w:r w:rsidRPr="003736B4">
        <w:rPr>
          <w:rtl/>
        </w:rPr>
        <w:t>ج)</w:t>
      </w:r>
      <w:r w:rsidRPr="003736B4">
        <w:rPr>
          <w:rtl/>
        </w:rPr>
        <w:tab/>
      </w:r>
      <w:r w:rsidR="00AB2682">
        <w:rPr>
          <w:rFonts w:hint="cs"/>
          <w:rtl/>
          <w:lang w:bidi="ar-EG"/>
        </w:rPr>
        <w:t>وتتصل</w:t>
      </w:r>
      <w:r w:rsidRPr="003736B4">
        <w:rPr>
          <w:rtl/>
        </w:rPr>
        <w:t xml:space="preserve"> الفئة </w:t>
      </w:r>
      <w:r w:rsidRPr="003736B4">
        <w:rPr>
          <w:lang w:val="en-GB"/>
        </w:rPr>
        <w:t>5</w:t>
      </w:r>
      <w:r w:rsidRPr="003736B4">
        <w:rPr>
          <w:rtl/>
          <w:lang w:val="en-GB"/>
        </w:rPr>
        <w:t xml:space="preserve"> </w:t>
      </w:r>
      <w:r w:rsidRPr="003736B4">
        <w:rPr>
          <w:rtl/>
        </w:rPr>
        <w:t>ب</w:t>
      </w:r>
      <w:r w:rsidRPr="003736B4">
        <w:rPr>
          <w:rFonts w:hint="cs"/>
          <w:rtl/>
        </w:rPr>
        <w:t xml:space="preserve">نفقات </w:t>
      </w:r>
      <w:r w:rsidRPr="003736B4">
        <w:rPr>
          <w:rtl/>
        </w:rPr>
        <w:t>استئجار وصيانة الأماكن والمعدات</w:t>
      </w:r>
      <w:r w:rsidR="004A24EA">
        <w:rPr>
          <w:rFonts w:hint="cs"/>
          <w:rtl/>
        </w:rPr>
        <w:t xml:space="preserve"> ذات الصلة </w:t>
      </w:r>
      <w:r w:rsidRPr="003736B4">
        <w:rPr>
          <w:rtl/>
        </w:rPr>
        <w:t>بمتطلبات الاجتماعات والأنشطة الترويجية لأحداث تليكوم الاتحاد بصفة عامة.</w:t>
      </w:r>
      <w:r w:rsidR="004A24EA">
        <w:rPr>
          <w:rFonts w:hint="cs"/>
          <w:rtl/>
        </w:rPr>
        <w:t xml:space="preserve"> </w:t>
      </w:r>
      <w:r w:rsidR="004A24EA" w:rsidRPr="007E2E30">
        <w:rPr>
          <w:rFonts w:hint="cs"/>
          <w:rtl/>
          <w:lang w:bidi="ar-EG"/>
        </w:rPr>
        <w:t>و</w:t>
      </w:r>
      <w:r w:rsidR="004A24EA">
        <w:rPr>
          <w:rFonts w:hint="cs"/>
          <w:rtl/>
          <w:lang w:bidi="ar-EG"/>
        </w:rPr>
        <w:t>ظلت التكلفة المقدرة للاستئجار والصيانة على نفس القيمة التي كانت عليها في</w:t>
      </w:r>
      <w:r w:rsidR="004A24EA" w:rsidRPr="007E2E30">
        <w:rPr>
          <w:rFonts w:hint="cs"/>
          <w:rtl/>
          <w:lang w:bidi="ar-EG"/>
        </w:rPr>
        <w:t xml:space="preserve"> ميزانية</w:t>
      </w:r>
      <w:r w:rsidR="004A24EA" w:rsidRPr="007E2E30">
        <w:rPr>
          <w:rtl/>
        </w:rPr>
        <w:t xml:space="preserve"> الفترة </w:t>
      </w:r>
      <w:r w:rsidR="004A24EA" w:rsidRPr="007E2E30">
        <w:rPr>
          <w:lang w:val="en-GB"/>
        </w:rPr>
        <w:t>20</w:t>
      </w:r>
      <w:r w:rsidR="004A24EA">
        <w:rPr>
          <w:lang w:val="en-GB"/>
        </w:rPr>
        <w:t>21</w:t>
      </w:r>
      <w:r w:rsidR="004A24EA">
        <w:rPr>
          <w:lang w:val="en-GB"/>
        </w:rPr>
        <w:noBreakHyphen/>
      </w:r>
      <w:r w:rsidR="004A24EA" w:rsidRPr="007E2E30">
        <w:rPr>
          <w:lang w:val="en-GB"/>
        </w:rPr>
        <w:t>20</w:t>
      </w:r>
      <w:r w:rsidR="004A24EA">
        <w:rPr>
          <w:lang w:val="en-GB"/>
        </w:rPr>
        <w:t>20</w:t>
      </w:r>
      <w:r w:rsidR="004A24EA" w:rsidRPr="007E2E30">
        <w:rPr>
          <w:rtl/>
        </w:rPr>
        <w:t xml:space="preserve">. </w:t>
      </w:r>
    </w:p>
    <w:p w14:paraId="1A0D147E" w14:textId="448AF249" w:rsidR="00497A51" w:rsidRDefault="00497A51" w:rsidP="00497A51">
      <w:pPr>
        <w:pStyle w:val="enumlev1"/>
        <w:rPr>
          <w:rtl/>
        </w:rPr>
      </w:pPr>
      <w:proofErr w:type="gramStart"/>
      <w:r>
        <w:rPr>
          <w:rtl/>
        </w:rPr>
        <w:t>د</w:t>
      </w:r>
      <w:r>
        <w:rPr>
          <w:rtl/>
          <w:lang w:val="en-GB"/>
        </w:rPr>
        <w:t xml:space="preserve"> )</w:t>
      </w:r>
      <w:proofErr w:type="gramEnd"/>
      <w:r>
        <w:rPr>
          <w:rtl/>
        </w:rPr>
        <w:tab/>
      </w:r>
      <w:r w:rsidR="00AB2682">
        <w:rPr>
          <w:rFonts w:hint="cs"/>
          <w:rtl/>
        </w:rPr>
        <w:t>وتتصل</w:t>
      </w:r>
      <w:r>
        <w:rPr>
          <w:rtl/>
        </w:rPr>
        <w:t xml:space="preserve"> الفئة </w:t>
      </w:r>
      <w:r>
        <w:rPr>
          <w:lang w:val="en-GB"/>
        </w:rPr>
        <w:t>6</w:t>
      </w:r>
      <w:r>
        <w:rPr>
          <w:rtl/>
          <w:lang w:val="en-GB"/>
        </w:rPr>
        <w:t xml:space="preserve"> </w:t>
      </w:r>
      <w:r>
        <w:rPr>
          <w:rtl/>
        </w:rPr>
        <w:t xml:space="preserve">بالمعدات واللوازم مثل اللوازم المكتبية ومواد الطباعة ولوازم تكنولوجيا المعلومات والمواد المرجعية وكذلك طباعة وإنتاج الكتيبات. </w:t>
      </w:r>
      <w:r w:rsidR="00AB2682">
        <w:rPr>
          <w:rFonts w:hint="cs"/>
          <w:rtl/>
        </w:rPr>
        <w:t xml:space="preserve">ولا توجد حاجة إلى زيادة ميزانية الفترة </w:t>
      </w:r>
      <w:r w:rsidR="00AB2682">
        <w:rPr>
          <w:lang w:val="en-CA"/>
        </w:rPr>
        <w:t>2021-2020</w:t>
      </w:r>
      <w:r w:rsidR="00AB2682">
        <w:rPr>
          <w:rFonts w:hint="cs"/>
          <w:rtl/>
          <w:lang w:val="en-CA" w:bidi="ar-EG"/>
        </w:rPr>
        <w:t xml:space="preserve"> </w:t>
      </w:r>
      <w:r w:rsidR="00AB2682" w:rsidRPr="00AB2682">
        <w:rPr>
          <w:rtl/>
          <w:lang w:val="en-CA" w:bidi="ar-EG"/>
        </w:rPr>
        <w:t>في ضوء نفس الكمية المنخفضة المقدرة من المواد المطبوعة</w:t>
      </w:r>
      <w:r w:rsidR="00AB2682">
        <w:rPr>
          <w:rFonts w:hint="cs"/>
          <w:rtl/>
          <w:lang w:val="en-CA" w:bidi="ar-EG"/>
        </w:rPr>
        <w:t xml:space="preserve"> </w:t>
      </w:r>
      <w:r>
        <w:rPr>
          <w:rFonts w:hint="cs"/>
          <w:rtl/>
        </w:rPr>
        <w:t>لصالح المواد الرقمية تماشياً مع سياسة الاتحاد، وكذلك إلى طباعة بعض الكتيبات داخلياً.</w:t>
      </w:r>
      <w:r>
        <w:rPr>
          <w:rtl/>
        </w:rPr>
        <w:t xml:space="preserve"> وتتاح أيضاً الاعتمادات اللازمة لطباعة وإنتاج الكتيبات المتعلقة بحدث خاص من ميزانية الحدث ذي الصلة.</w:t>
      </w:r>
    </w:p>
    <w:p w14:paraId="02D7F188" w14:textId="423F4376" w:rsidR="00497A51" w:rsidRDefault="00497A51" w:rsidP="00497A51">
      <w:pPr>
        <w:pStyle w:val="enumlev1"/>
        <w:rPr>
          <w:rtl/>
        </w:rPr>
      </w:pPr>
      <w:proofErr w:type="gramStart"/>
      <w:r>
        <w:rPr>
          <w:rtl/>
        </w:rPr>
        <w:t>ﻫ )</w:t>
      </w:r>
      <w:proofErr w:type="gramEnd"/>
      <w:r>
        <w:rPr>
          <w:rtl/>
        </w:rPr>
        <w:tab/>
        <w:t xml:space="preserve">وتشير الفئة </w:t>
      </w:r>
      <w:r>
        <w:rPr>
          <w:lang w:val="en-GB"/>
        </w:rPr>
        <w:t>7</w:t>
      </w:r>
      <w:r>
        <w:rPr>
          <w:rtl/>
        </w:rPr>
        <w:t xml:space="preserve"> إلى تكاليف حيازة الأثاث ولوازم تكنولوجيا المعلومات والمعدات والمنشآت التقنية الأخرى. ولا يتوقع حدوث زيادة في هذا البند من الميزانية في الفترة </w:t>
      </w:r>
      <w:r>
        <w:t>202</w:t>
      </w:r>
      <w:r w:rsidR="00AB2682">
        <w:t>3</w:t>
      </w:r>
      <w:r>
        <w:t>-202</w:t>
      </w:r>
      <w:r w:rsidR="00AB2682">
        <w:t>2</w:t>
      </w:r>
      <w:r>
        <w:rPr>
          <w:rtl/>
        </w:rPr>
        <w:t>.</w:t>
      </w:r>
    </w:p>
    <w:p w14:paraId="31599405" w14:textId="561546EF" w:rsidR="00497A51" w:rsidRDefault="00497A51" w:rsidP="00497A51">
      <w:pPr>
        <w:pStyle w:val="enumlev1"/>
        <w:rPr>
          <w:rtl/>
        </w:rPr>
      </w:pPr>
      <w:proofErr w:type="gramStart"/>
      <w:r>
        <w:rPr>
          <w:rtl/>
        </w:rPr>
        <w:t>و )</w:t>
      </w:r>
      <w:proofErr w:type="gramEnd"/>
      <w:r>
        <w:rPr>
          <w:rtl/>
        </w:rPr>
        <w:tab/>
      </w:r>
      <w:r w:rsidR="00F46C8E">
        <w:rPr>
          <w:rtl/>
        </w:rPr>
        <w:t xml:space="preserve">وتتصل الفئة </w:t>
      </w:r>
      <w:r w:rsidR="00F46C8E">
        <w:rPr>
          <w:lang w:val="en-GB"/>
        </w:rPr>
        <w:t>8</w:t>
      </w:r>
      <w:r w:rsidR="00F46C8E">
        <w:rPr>
          <w:rtl/>
        </w:rPr>
        <w:t xml:space="preserve"> بتكاليف مرافق الخدمات العامة والداخلية بما في ذلك الخدمات الرسمية التي يقدمها </w:t>
      </w:r>
      <w:r w:rsidR="00F46C8E">
        <w:rPr>
          <w:rFonts w:hint="cs"/>
          <w:rtl/>
        </w:rPr>
        <w:t>موردو الخدمات</w:t>
      </w:r>
      <w:r w:rsidR="00F46C8E">
        <w:rPr>
          <w:rtl/>
        </w:rPr>
        <w:t xml:space="preserve"> المحليون والوطنيون، مثل خدمات البريد والهاتف. </w:t>
      </w:r>
      <w:r w:rsidR="00F46C8E">
        <w:rPr>
          <w:rFonts w:hint="cs"/>
          <w:rtl/>
          <w:lang w:bidi="ar-EG"/>
        </w:rPr>
        <w:t>و</w:t>
      </w:r>
      <w:r w:rsidR="00F46C8E" w:rsidRPr="00F46C8E">
        <w:rPr>
          <w:rtl/>
        </w:rPr>
        <w:t xml:space="preserve">منذ عام </w:t>
      </w:r>
      <w:r w:rsidR="00F46C8E">
        <w:t>2020</w:t>
      </w:r>
      <w:r w:rsidR="00F46C8E" w:rsidRPr="00F46C8E">
        <w:rPr>
          <w:rtl/>
        </w:rPr>
        <w:t xml:space="preserve">، تُحمَّل النفقات المتعلقة بخدمات البريد والهاتف في المقر على مركز تكلفة مشتركة للاتحاد. </w:t>
      </w:r>
      <w:r w:rsidR="00F46C8E">
        <w:rPr>
          <w:rFonts w:hint="cs"/>
          <w:rtl/>
        </w:rPr>
        <w:t>و</w:t>
      </w:r>
      <w:r w:rsidR="00F46C8E" w:rsidRPr="00F46C8E">
        <w:rPr>
          <w:rtl/>
        </w:rPr>
        <w:t xml:space="preserve">لذلك، لا توجد ميزانية لأمانة تليكوم الاتحاد تحت هذه الفئة في </w:t>
      </w:r>
      <w:r w:rsidR="00F46C8E">
        <w:rPr>
          <w:rFonts w:hint="cs"/>
          <w:rtl/>
        </w:rPr>
        <w:t xml:space="preserve">الفترة </w:t>
      </w:r>
      <w:r w:rsidR="00F46C8E">
        <w:t>2023</w:t>
      </w:r>
      <w:r w:rsidR="00F46C8E">
        <w:noBreakHyphen/>
        <w:t>2022</w:t>
      </w:r>
      <w:r w:rsidR="00F46C8E" w:rsidRPr="00F46C8E">
        <w:rPr>
          <w:rtl/>
        </w:rPr>
        <w:t>. ومع ذلك، يتم احتساب هذه البنود في ميزانيات محددة للأحداث التي تقام خارج جنيف</w:t>
      </w:r>
      <w:r>
        <w:rPr>
          <w:rtl/>
        </w:rPr>
        <w:t>.</w:t>
      </w:r>
    </w:p>
    <w:p w14:paraId="549064B3" w14:textId="77777777" w:rsidR="00497A51" w:rsidRDefault="00497A51" w:rsidP="00497A51">
      <w:pPr>
        <w:pStyle w:val="Headingb"/>
        <w:spacing w:line="240" w:lineRule="auto"/>
        <w:rPr>
          <w:rtl/>
          <w:lang w:bidi="ar-EG"/>
        </w:rPr>
      </w:pPr>
      <w:bookmarkStart w:id="5" w:name="_Toc482367227"/>
      <w:bookmarkStart w:id="6" w:name="_Toc69733451"/>
      <w:r>
        <w:rPr>
          <w:rtl/>
          <w:lang w:bidi="ar-EG"/>
        </w:rPr>
        <w:t>استرداد التكاليف من تليكوم الاتحاد</w:t>
      </w:r>
      <w:bookmarkEnd w:id="5"/>
      <w:bookmarkEnd w:id="6"/>
    </w:p>
    <w:p w14:paraId="4274128D" w14:textId="3DD05CA2" w:rsidR="00497A51" w:rsidRDefault="00497A51" w:rsidP="00497A51">
      <w:pPr>
        <w:rPr>
          <w:rtl/>
        </w:rPr>
      </w:pPr>
      <w:r>
        <w:rPr>
          <w:lang w:val="en-GB" w:bidi="ar-SY"/>
        </w:rPr>
        <w:t>6</w:t>
      </w:r>
      <w:r>
        <w:rPr>
          <w:rtl/>
          <w:lang w:bidi="ar-EG"/>
        </w:rPr>
        <w:tab/>
      </w:r>
      <w:r>
        <w:rPr>
          <w:rFonts w:hint="cs"/>
          <w:rtl/>
        </w:rPr>
        <w:t>يمثل</w:t>
      </w:r>
      <w:r>
        <w:rPr>
          <w:rtl/>
        </w:rPr>
        <w:t xml:space="preserve"> استرداد التكاليف في الاتحاد </w:t>
      </w:r>
      <w:r w:rsidRPr="00620DF3">
        <w:rPr>
          <w:rtl/>
        </w:rPr>
        <w:t>مبلغاً</w:t>
      </w:r>
      <w:r>
        <w:rPr>
          <w:rtl/>
        </w:rPr>
        <w:t xml:space="preserve"> ثابتاً يمثل الخدمات التي يقدمها موظفو الدوائر أو الوحدات أو القطاعات الأخرى في الاتحاد إلى تليكوم الاتحاد. ويستند ذلك إلى تقدير لمرتبات الموظفين وأجورهم الأخرى إضافةً إلى جميع العناصر المطلوبة لأداء موظفي الاتحاد لوظائفهم المتعلقة بتليكوم الاتحاد مثل الحواسيب ومعدات ومواد تكنولوجيا المعلومات والاتصالات الأخرى وأماكن المكاتب والأثاث ومستلزمات المكاتب، إلخ. و</w:t>
      </w:r>
      <w:r>
        <w:rPr>
          <w:rFonts w:hint="cs"/>
          <w:rtl/>
        </w:rPr>
        <w:t>في السنتين الأخيرتين</w:t>
      </w:r>
      <w:r>
        <w:rPr>
          <w:rtl/>
        </w:rPr>
        <w:t> </w:t>
      </w:r>
      <w:r>
        <w:t>2018</w:t>
      </w:r>
      <w:r>
        <w:rPr>
          <w:rtl/>
        </w:rPr>
        <w:t xml:space="preserve"> و</w:t>
      </w:r>
      <w:r>
        <w:t>2019</w:t>
      </w:r>
      <w:r>
        <w:rPr>
          <w:rFonts w:hint="cs"/>
          <w:rtl/>
        </w:rPr>
        <w:t xml:space="preserve">، </w:t>
      </w:r>
      <w:r>
        <w:rPr>
          <w:rFonts w:hint="cs"/>
          <w:rtl/>
          <w:lang w:bidi="ar-EG"/>
        </w:rPr>
        <w:t>بلغت</w:t>
      </w:r>
      <w:r>
        <w:rPr>
          <w:rtl/>
        </w:rPr>
        <w:t xml:space="preserve"> قيمة استرداد التكاليف</w:t>
      </w:r>
      <w:r>
        <w:rPr>
          <w:rFonts w:hint="cs"/>
          <w:rtl/>
        </w:rPr>
        <w:t xml:space="preserve"> في ميزانية أمانة الاتحاد </w:t>
      </w:r>
      <w:r>
        <w:t>1,5</w:t>
      </w:r>
      <w:r>
        <w:rPr>
          <w:rtl/>
        </w:rPr>
        <w:t> مليون فرنك سويسري</w:t>
      </w:r>
      <w:r>
        <w:rPr>
          <w:rFonts w:hint="cs"/>
          <w:rtl/>
        </w:rPr>
        <w:t xml:space="preserve"> في السنة.</w:t>
      </w:r>
      <w:r>
        <w:rPr>
          <w:rtl/>
        </w:rPr>
        <w:t xml:space="preserve"> </w:t>
      </w:r>
      <w:r>
        <w:rPr>
          <w:rFonts w:hint="cs"/>
          <w:rtl/>
        </w:rPr>
        <w:t xml:space="preserve">وقد استُحق سنوياً </w:t>
      </w:r>
      <w:r>
        <w:rPr>
          <w:rFonts w:hint="cs"/>
          <w:rtl/>
          <w:lang w:bidi="ar-EG"/>
        </w:rPr>
        <w:t xml:space="preserve">المبلغ ذاته المدرج في الميزانية منذ عام </w:t>
      </w:r>
      <w:r>
        <w:rPr>
          <w:lang w:val="es-ES" w:bidi="ar-EG"/>
        </w:rPr>
        <w:t>2014</w:t>
      </w:r>
      <w:r>
        <w:rPr>
          <w:rFonts w:hint="cs"/>
          <w:rtl/>
          <w:lang w:bidi="ar-EG"/>
        </w:rPr>
        <w:t xml:space="preserve">. غير أنه في عام </w:t>
      </w:r>
      <w:r>
        <w:rPr>
          <w:lang w:val="es-ES" w:bidi="ar-EG"/>
        </w:rPr>
        <w:t>2018</w:t>
      </w:r>
      <w:r>
        <w:rPr>
          <w:rFonts w:hint="cs"/>
          <w:rtl/>
          <w:lang w:bidi="ar-EG"/>
        </w:rPr>
        <w:t xml:space="preserve">، قرر الأمين العام </w:t>
      </w:r>
      <w:r>
        <w:rPr>
          <w:rFonts w:hint="cs"/>
          <w:rtl/>
          <w:lang w:val="es-ES" w:bidi="ar-EG"/>
        </w:rPr>
        <w:t xml:space="preserve">خفض مبلغ استرداد التكاليف الحالي إلى </w:t>
      </w:r>
      <w:r>
        <w:rPr>
          <w:lang w:val="es-ES" w:bidi="ar-EG"/>
        </w:rPr>
        <w:t>1</w:t>
      </w:r>
      <w:r>
        <w:rPr>
          <w:rFonts w:hint="cs"/>
          <w:rtl/>
          <w:lang w:bidi="ar-EG"/>
        </w:rPr>
        <w:t xml:space="preserve"> مليون فرنك سويسري</w:t>
      </w:r>
      <w:r>
        <w:rPr>
          <w:rFonts w:hint="cs"/>
          <w:rtl/>
          <w:lang w:val="es-ES" w:bidi="ar-EG"/>
        </w:rPr>
        <w:t xml:space="preserve"> </w:t>
      </w:r>
      <w:r>
        <w:rPr>
          <w:color w:val="000000"/>
          <w:rtl/>
        </w:rPr>
        <w:t xml:space="preserve">لمساعدة أمانة تليكوم الاتحاد وتذليل ما </w:t>
      </w:r>
      <w:r>
        <w:rPr>
          <w:rFonts w:hint="cs"/>
          <w:color w:val="000000"/>
          <w:rtl/>
        </w:rPr>
        <w:t>واجهته</w:t>
      </w:r>
      <w:r>
        <w:rPr>
          <w:color w:val="000000"/>
          <w:rtl/>
        </w:rPr>
        <w:t xml:space="preserve"> من مصاعب </w:t>
      </w:r>
      <w:r w:rsidR="00F46C8E">
        <w:rPr>
          <w:rFonts w:hint="cs"/>
          <w:color w:val="000000"/>
          <w:rtl/>
        </w:rPr>
        <w:t>خلال</w:t>
      </w:r>
      <w:r>
        <w:rPr>
          <w:rFonts w:hint="cs"/>
          <w:color w:val="000000"/>
          <w:rtl/>
        </w:rPr>
        <w:t xml:space="preserve"> حدث تليكوم الاتحاد في عام </w:t>
      </w:r>
      <w:r>
        <w:rPr>
          <w:color w:val="000000"/>
          <w:lang w:val="es-ES"/>
        </w:rPr>
        <w:t>2018</w:t>
      </w:r>
      <w:r>
        <w:rPr>
          <w:rFonts w:hint="cs"/>
          <w:color w:val="000000"/>
          <w:rtl/>
          <w:lang w:bidi="ar-EG"/>
        </w:rPr>
        <w:t xml:space="preserve">. أما في الفترة </w:t>
      </w:r>
      <w:r>
        <w:lastRenderedPageBreak/>
        <w:t>2021-2020</w:t>
      </w:r>
      <w:r>
        <w:rPr>
          <w:rFonts w:hint="cs"/>
          <w:rtl/>
        </w:rPr>
        <w:t>،</w:t>
      </w:r>
      <w:r>
        <w:rPr>
          <w:color w:val="000000"/>
          <w:rtl/>
        </w:rPr>
        <w:t xml:space="preserve"> </w:t>
      </w:r>
      <w:r w:rsidR="00F46C8E">
        <w:rPr>
          <w:rFonts w:hint="cs"/>
          <w:color w:val="000000"/>
          <w:rtl/>
        </w:rPr>
        <w:t>فقد ظل</w:t>
      </w:r>
      <w:r>
        <w:rPr>
          <w:color w:val="000000"/>
          <w:rtl/>
        </w:rPr>
        <w:t xml:space="preserve"> </w:t>
      </w:r>
      <w:r>
        <w:rPr>
          <w:rFonts w:hint="cs"/>
          <w:color w:val="000000"/>
          <w:rtl/>
        </w:rPr>
        <w:t>مبلغ</w:t>
      </w:r>
      <w:r>
        <w:rPr>
          <w:color w:val="000000"/>
          <w:rtl/>
        </w:rPr>
        <w:t xml:space="preserve"> استرداد التكاليف</w:t>
      </w:r>
      <w:r>
        <w:rPr>
          <w:rFonts w:hint="cs"/>
          <w:color w:val="000000"/>
          <w:rtl/>
        </w:rPr>
        <w:t xml:space="preserve"> المدرج في</w:t>
      </w:r>
      <w:r>
        <w:rPr>
          <w:rFonts w:hint="eastAsia"/>
          <w:color w:val="000000"/>
          <w:rtl/>
        </w:rPr>
        <w:t> </w:t>
      </w:r>
      <w:r>
        <w:rPr>
          <w:rFonts w:hint="cs"/>
          <w:color w:val="000000"/>
          <w:rtl/>
        </w:rPr>
        <w:t>الميزانية</w:t>
      </w:r>
      <w:r>
        <w:rPr>
          <w:color w:val="000000"/>
          <w:rtl/>
        </w:rPr>
        <w:t xml:space="preserve"> </w:t>
      </w:r>
      <w:r>
        <w:rPr>
          <w:color w:val="000000"/>
          <w:lang w:val="es-ES"/>
        </w:rPr>
        <w:t>1,5</w:t>
      </w:r>
      <w:r>
        <w:rPr>
          <w:rFonts w:hint="cs"/>
          <w:color w:val="000000"/>
          <w:rtl/>
          <w:lang w:bidi="ar-EG"/>
        </w:rPr>
        <w:t xml:space="preserve"> </w:t>
      </w:r>
      <w:r>
        <w:rPr>
          <w:color w:val="000000"/>
          <w:rtl/>
        </w:rPr>
        <w:t>مل</w:t>
      </w:r>
      <w:r>
        <w:rPr>
          <w:rFonts w:hint="cs"/>
          <w:color w:val="000000"/>
          <w:rtl/>
        </w:rPr>
        <w:t>يون</w:t>
      </w:r>
      <w:r>
        <w:rPr>
          <w:color w:val="000000"/>
          <w:rtl/>
        </w:rPr>
        <w:t xml:space="preserve"> فرنك سويسري </w:t>
      </w:r>
      <w:r>
        <w:rPr>
          <w:rFonts w:hint="cs"/>
          <w:color w:val="000000"/>
          <w:rtl/>
        </w:rPr>
        <w:t>سنوياً.</w:t>
      </w:r>
      <w:r w:rsidR="00F46C8E">
        <w:rPr>
          <w:rFonts w:hint="cs"/>
          <w:color w:val="000000"/>
          <w:rtl/>
        </w:rPr>
        <w:t xml:space="preserve"> </w:t>
      </w:r>
      <w:r w:rsidR="00F46C8E" w:rsidRPr="00F46C8E">
        <w:rPr>
          <w:color w:val="000000"/>
          <w:rtl/>
        </w:rPr>
        <w:t xml:space="preserve">ومع ذلك، مع تأجيل </w:t>
      </w:r>
      <w:r w:rsidR="00F46C8E">
        <w:rPr>
          <w:rFonts w:hint="cs"/>
          <w:color w:val="000000"/>
          <w:rtl/>
        </w:rPr>
        <w:t xml:space="preserve">حدث </w:t>
      </w:r>
      <w:r w:rsidR="00F46C8E" w:rsidRPr="00F46C8E">
        <w:rPr>
          <w:color w:val="000000"/>
          <w:rtl/>
        </w:rPr>
        <w:t>العالم الرقمي للاتحاد لعام</w:t>
      </w:r>
      <w:r w:rsidR="00F46C8E">
        <w:rPr>
          <w:rFonts w:hint="cs"/>
          <w:color w:val="000000"/>
          <w:rtl/>
        </w:rPr>
        <w:t xml:space="preserve"> </w:t>
      </w:r>
      <w:r w:rsidR="00F46C8E">
        <w:rPr>
          <w:color w:val="000000"/>
        </w:rPr>
        <w:t>2020</w:t>
      </w:r>
      <w:r w:rsidR="00F46C8E" w:rsidRPr="00F46C8E">
        <w:rPr>
          <w:color w:val="000000"/>
          <w:rtl/>
        </w:rPr>
        <w:t xml:space="preserve"> بسبب جائحة</w:t>
      </w:r>
      <w:r w:rsidR="00F46C8E">
        <w:rPr>
          <w:rFonts w:hint="cs"/>
          <w:color w:val="000000"/>
          <w:rtl/>
        </w:rPr>
        <w:t xml:space="preserve"> فيروس كورونا</w:t>
      </w:r>
      <w:r w:rsidR="00F46C8E" w:rsidRPr="00F46C8E">
        <w:rPr>
          <w:color w:val="000000"/>
          <w:rtl/>
        </w:rPr>
        <w:t xml:space="preserve"> </w:t>
      </w:r>
      <w:r w:rsidR="00F46C8E">
        <w:rPr>
          <w:color w:val="000000"/>
          <w:lang w:val="en-CA"/>
        </w:rPr>
        <w:t>(</w:t>
      </w:r>
      <w:r w:rsidR="00F46C8E" w:rsidRPr="00F46C8E">
        <w:rPr>
          <w:color w:val="000000"/>
        </w:rPr>
        <w:t>COVID-19</w:t>
      </w:r>
      <w:r w:rsidR="00F46C8E">
        <w:rPr>
          <w:color w:val="000000"/>
        </w:rPr>
        <w:t>)</w:t>
      </w:r>
      <w:r w:rsidR="00F46C8E" w:rsidRPr="00F46C8E">
        <w:rPr>
          <w:color w:val="000000"/>
          <w:rtl/>
        </w:rPr>
        <w:t xml:space="preserve">، قرر الأمين العام عدم </w:t>
      </w:r>
      <w:r w:rsidR="008309A4">
        <w:rPr>
          <w:rFonts w:hint="cs"/>
          <w:color w:val="000000"/>
          <w:rtl/>
        </w:rPr>
        <w:t>تطبيق</w:t>
      </w:r>
      <w:r w:rsidR="00F46C8E" w:rsidRPr="00F46C8E">
        <w:rPr>
          <w:color w:val="000000"/>
          <w:rtl/>
        </w:rPr>
        <w:t xml:space="preserve"> استرداد التكاليف على تليكوم الاتحاد في عام </w:t>
      </w:r>
      <w:r w:rsidR="008309A4">
        <w:rPr>
          <w:color w:val="000000"/>
        </w:rPr>
        <w:t>2020</w:t>
      </w:r>
      <w:r w:rsidR="008309A4">
        <w:rPr>
          <w:rFonts w:hint="cs"/>
          <w:color w:val="000000"/>
          <w:rtl/>
        </w:rPr>
        <w:t>.</w:t>
      </w:r>
    </w:p>
    <w:p w14:paraId="79F877CC" w14:textId="77777777" w:rsidR="00497A51" w:rsidRDefault="00497A51" w:rsidP="00497A51">
      <w:pPr>
        <w:pStyle w:val="Headingb"/>
        <w:spacing w:line="240" w:lineRule="auto"/>
        <w:rPr>
          <w:rtl/>
          <w:lang w:val="en-GB" w:bidi="ar-SY"/>
        </w:rPr>
      </w:pPr>
      <w:bookmarkStart w:id="7" w:name="_Toc482367228"/>
      <w:bookmarkStart w:id="8" w:name="_Toc69733452"/>
      <w:r>
        <w:rPr>
          <w:rtl/>
          <w:lang w:bidi="ar-EG"/>
        </w:rPr>
        <w:t>استخدام الموارد</w:t>
      </w:r>
      <w:bookmarkEnd w:id="7"/>
      <w:bookmarkEnd w:id="8"/>
    </w:p>
    <w:p w14:paraId="4C18BF60" w14:textId="77777777" w:rsidR="00497A51" w:rsidRDefault="00497A51" w:rsidP="00497A51">
      <w:r>
        <w:rPr>
          <w:lang w:val="en-GB" w:bidi="ar-SY"/>
        </w:rPr>
        <w:t>7</w:t>
      </w:r>
      <w:r>
        <w:rPr>
          <w:rtl/>
          <w:lang w:bidi="ar-EG"/>
        </w:rPr>
        <w:tab/>
      </w:r>
      <w:r>
        <w:rPr>
          <w:rtl/>
        </w:rPr>
        <w:t>تتألف النفقات الأساسية في ميزانيات أحداث تليكوم الاتحاد من تكاليف الأمانة واسترداد تكاليف الاتحاد. وتوزع النفقات الأساسية على ميزانية كل حدث من أحداث تليكوم الاتحاد على أساس الوقت المقدر الذي يستغرقه عمل موظفي تليكوم الاتحاد في كل حدث محدد.</w:t>
      </w:r>
    </w:p>
    <w:p w14:paraId="6C729FDD" w14:textId="79C20368" w:rsidR="00497A51" w:rsidRDefault="00497A51" w:rsidP="00497A51">
      <w:pPr>
        <w:rPr>
          <w:rtl/>
          <w:lang w:bidi="ar-EG"/>
        </w:rPr>
      </w:pPr>
      <w:r>
        <w:rPr>
          <w:rtl/>
        </w:rPr>
        <w:t xml:space="preserve">ويوضح الجدول </w:t>
      </w:r>
      <w:r>
        <w:t>3</w:t>
      </w:r>
      <w:r>
        <w:rPr>
          <w:rtl/>
        </w:rPr>
        <w:t xml:space="preserve"> أدناه النسب المقدرة للوقت الذي سيستغرقه الموظفون وتُستعمل هذه النسب كأساس لتوزيع التكاليف على النواتج ذات الصلة بما يتماشى مع الميزانية القائمة على النتائج </w:t>
      </w:r>
      <w:r>
        <w:t>(RBB)</w:t>
      </w:r>
      <w:r>
        <w:rPr>
          <w:rtl/>
        </w:rPr>
        <w:t xml:space="preserve">. كما يوضح الجدول التكاليف المقابلة لكل ناتج فيما يتعلق بالنسبة المئوية من الميزانية الإجمالية لأمانة تليكوم الاتحاد للفترة </w:t>
      </w:r>
      <w:r>
        <w:t>2023-2022</w:t>
      </w:r>
      <w:r>
        <w:rPr>
          <w:rtl/>
        </w:rPr>
        <w:t>. وطبقاً لمعايير المحاسبة الدولية للقطاع العام </w:t>
      </w:r>
      <w:r>
        <w:t>(IPSAS)</w:t>
      </w:r>
      <w:r>
        <w:rPr>
          <w:rtl/>
        </w:rPr>
        <w:t xml:space="preserve">، </w:t>
      </w:r>
      <w:r>
        <w:rPr>
          <w:rFonts w:hint="cs"/>
          <w:rtl/>
        </w:rPr>
        <w:t>تغلق جميع</w:t>
      </w:r>
      <w:r>
        <w:rPr>
          <w:rtl/>
        </w:rPr>
        <w:t xml:space="preserve"> حسابات الأحداث يوم </w:t>
      </w:r>
      <w:r>
        <w:t>31</w:t>
      </w:r>
      <w:r>
        <w:rPr>
          <w:rtl/>
        </w:rPr>
        <w:t xml:space="preserve"> ديسمبر </w:t>
      </w:r>
      <w:r w:rsidR="0084196C">
        <w:rPr>
          <w:rFonts w:hint="cs"/>
          <w:rtl/>
        </w:rPr>
        <w:t>في</w:t>
      </w:r>
      <w:r>
        <w:rPr>
          <w:rtl/>
        </w:rPr>
        <w:t xml:space="preserve"> العام الذي تم فيه تنظيم الحدث.</w:t>
      </w:r>
    </w:p>
    <w:p w14:paraId="046BC0E6" w14:textId="77777777" w:rsidR="00497A51" w:rsidRDefault="00497A51" w:rsidP="00497A51">
      <w:pPr>
        <w:pStyle w:val="TableNo"/>
        <w:rPr>
          <w:rtl/>
        </w:rPr>
      </w:pPr>
      <w:r>
        <w:rPr>
          <w:rtl/>
        </w:rPr>
        <w:t xml:space="preserve">الجدول </w:t>
      </w:r>
      <w:r>
        <w:rPr>
          <w:lang w:val="en-GB"/>
        </w:rPr>
        <w:t>3</w:t>
      </w:r>
    </w:p>
    <w:p w14:paraId="34D3E257" w14:textId="77777777" w:rsidR="00497A51" w:rsidRDefault="00497A51" w:rsidP="00497A51">
      <w:pPr>
        <w:pStyle w:val="Tabletitle"/>
        <w:spacing w:after="120"/>
        <w:rPr>
          <w:rtl/>
        </w:rPr>
      </w:pPr>
      <w:r>
        <w:rPr>
          <w:rtl/>
        </w:rPr>
        <w:t>توزيع الوقت على النواتج</w:t>
      </w:r>
    </w:p>
    <w:tbl>
      <w:tblPr>
        <w:bidiVisual/>
        <w:tblW w:w="5000" w:type="pct"/>
        <w:jc w:val="center"/>
        <w:tblLook w:val="04A0" w:firstRow="1" w:lastRow="0" w:firstColumn="1" w:lastColumn="0" w:noHBand="0" w:noVBand="1"/>
      </w:tblPr>
      <w:tblGrid>
        <w:gridCol w:w="353"/>
        <w:gridCol w:w="3162"/>
        <w:gridCol w:w="1167"/>
        <w:gridCol w:w="1041"/>
        <w:gridCol w:w="1197"/>
        <w:gridCol w:w="791"/>
        <w:gridCol w:w="1928"/>
      </w:tblGrid>
      <w:tr w:rsidR="00497A51" w:rsidRPr="00EB0541" w14:paraId="2905D16D" w14:textId="77777777" w:rsidTr="00497A51">
        <w:trPr>
          <w:trHeight w:val="290"/>
          <w:jc w:val="center"/>
        </w:trPr>
        <w:tc>
          <w:tcPr>
            <w:tcW w:w="367" w:type="dxa"/>
            <w:tcBorders>
              <w:top w:val="single" w:sz="4" w:space="0" w:color="auto"/>
              <w:left w:val="nil"/>
              <w:bottom w:val="nil"/>
              <w:right w:val="nil"/>
            </w:tcBorders>
            <w:shd w:val="clear" w:color="auto" w:fill="DCE6F1"/>
            <w:noWrap/>
            <w:hideMark/>
          </w:tcPr>
          <w:p w14:paraId="3F9EF295" w14:textId="77777777" w:rsidR="00497A51" w:rsidRPr="00EB0541" w:rsidRDefault="00497A51" w:rsidP="00EF3005">
            <w:pPr>
              <w:pStyle w:val="TableHead"/>
              <w:rPr>
                <w:rtl/>
              </w:rPr>
            </w:pPr>
          </w:p>
        </w:tc>
        <w:tc>
          <w:tcPr>
            <w:tcW w:w="3462" w:type="dxa"/>
            <w:tcBorders>
              <w:top w:val="single" w:sz="4" w:space="0" w:color="auto"/>
              <w:left w:val="nil"/>
              <w:bottom w:val="nil"/>
              <w:right w:val="nil"/>
            </w:tcBorders>
            <w:shd w:val="clear" w:color="auto" w:fill="DCE6F1"/>
            <w:noWrap/>
            <w:hideMark/>
          </w:tcPr>
          <w:p w14:paraId="4FCD02D6" w14:textId="77777777" w:rsidR="00497A51" w:rsidRPr="00497A51" w:rsidRDefault="00497A51" w:rsidP="00EF3005">
            <w:pPr>
              <w:pStyle w:val="TableHead"/>
              <w:rPr>
                <w:rFonts w:cs="Arial"/>
                <w:color w:val="0033CC"/>
              </w:rPr>
            </w:pPr>
          </w:p>
        </w:tc>
        <w:tc>
          <w:tcPr>
            <w:tcW w:w="6638" w:type="dxa"/>
            <w:gridSpan w:val="5"/>
            <w:tcBorders>
              <w:top w:val="single" w:sz="4" w:space="0" w:color="auto"/>
              <w:left w:val="nil"/>
              <w:bottom w:val="nil"/>
              <w:right w:val="nil"/>
            </w:tcBorders>
            <w:shd w:val="clear" w:color="auto" w:fill="DCE6F1"/>
            <w:noWrap/>
            <w:hideMark/>
          </w:tcPr>
          <w:p w14:paraId="06F2BB3D" w14:textId="77777777" w:rsidR="00497A51" w:rsidRPr="00FF0376" w:rsidRDefault="00497A51" w:rsidP="00EF3005">
            <w:pPr>
              <w:pStyle w:val="TableHead"/>
              <w:rPr>
                <w:b w:val="0"/>
                <w:bCs w:val="0"/>
                <w:i/>
                <w:iCs/>
                <w:color w:val="0033CC"/>
              </w:rPr>
            </w:pPr>
            <w:r w:rsidRPr="00FF0376">
              <w:rPr>
                <w:b w:val="0"/>
                <w:bCs w:val="0"/>
                <w:i/>
                <w:iCs/>
                <w:color w:val="0033CC"/>
                <w:rtl/>
                <w:lang w:bidi="ar-EG"/>
              </w:rPr>
              <w:t>بآلاف الفرنكات السويسرية</w:t>
            </w:r>
          </w:p>
        </w:tc>
      </w:tr>
      <w:tr w:rsidR="00497A51" w:rsidRPr="00EB0541" w14:paraId="386AD065" w14:textId="77777777" w:rsidTr="00497A51">
        <w:trPr>
          <w:trHeight w:val="552"/>
          <w:jc w:val="center"/>
        </w:trPr>
        <w:tc>
          <w:tcPr>
            <w:tcW w:w="367" w:type="dxa"/>
            <w:shd w:val="clear" w:color="auto" w:fill="DCE6F1"/>
            <w:noWrap/>
          </w:tcPr>
          <w:p w14:paraId="5F401A43" w14:textId="77777777" w:rsidR="00497A51" w:rsidRPr="00EB0541" w:rsidRDefault="00497A51" w:rsidP="00EF3005">
            <w:pPr>
              <w:pStyle w:val="TableHead"/>
            </w:pPr>
          </w:p>
        </w:tc>
        <w:tc>
          <w:tcPr>
            <w:tcW w:w="3462" w:type="dxa"/>
            <w:shd w:val="clear" w:color="auto" w:fill="DCE6F1"/>
            <w:noWrap/>
            <w:vAlign w:val="center"/>
            <w:hideMark/>
          </w:tcPr>
          <w:p w14:paraId="393C6A1C" w14:textId="77777777" w:rsidR="00497A51" w:rsidRPr="00497A51" w:rsidRDefault="00497A51" w:rsidP="00FF0376">
            <w:pPr>
              <w:pStyle w:val="TableHead"/>
              <w:spacing w:before="0" w:after="0"/>
              <w:rPr>
                <w:color w:val="0033CC"/>
              </w:rPr>
            </w:pPr>
            <w:r w:rsidRPr="00497A51">
              <w:rPr>
                <w:color w:val="0033CC"/>
                <w:rtl/>
              </w:rPr>
              <w:t>النواتج</w:t>
            </w:r>
          </w:p>
        </w:tc>
        <w:tc>
          <w:tcPr>
            <w:tcW w:w="1264" w:type="dxa"/>
            <w:shd w:val="clear" w:color="auto" w:fill="DCE6F1"/>
            <w:noWrap/>
            <w:vAlign w:val="center"/>
            <w:hideMark/>
          </w:tcPr>
          <w:p w14:paraId="5DBF91FB" w14:textId="55A3AA6C" w:rsidR="00497A51" w:rsidRPr="00497A51" w:rsidRDefault="00497A51" w:rsidP="00FF0376">
            <w:pPr>
              <w:pStyle w:val="TableHead"/>
              <w:spacing w:before="0" w:after="0"/>
              <w:rPr>
                <w:color w:val="0033CC"/>
              </w:rPr>
            </w:pPr>
            <w:r w:rsidRPr="00497A51">
              <w:rPr>
                <w:color w:val="0033CC"/>
              </w:rPr>
              <w:t>2022</w:t>
            </w:r>
          </w:p>
          <w:p w14:paraId="195033E9" w14:textId="77777777" w:rsidR="00497A51" w:rsidRPr="00497A51" w:rsidRDefault="00497A51" w:rsidP="00FF0376">
            <w:pPr>
              <w:pStyle w:val="TableHead"/>
              <w:spacing w:before="0" w:after="0"/>
              <w:rPr>
                <w:color w:val="0033CC"/>
              </w:rPr>
            </w:pPr>
            <w:r w:rsidRPr="00497A51">
              <w:rPr>
                <w:color w:val="0033CC"/>
                <w:rtl/>
              </w:rPr>
              <w:t>وقت الموظفين</w:t>
            </w:r>
          </w:p>
        </w:tc>
        <w:tc>
          <w:tcPr>
            <w:tcW w:w="1125" w:type="dxa"/>
            <w:shd w:val="clear" w:color="auto" w:fill="DCE6F1"/>
            <w:noWrap/>
            <w:vAlign w:val="center"/>
            <w:hideMark/>
          </w:tcPr>
          <w:p w14:paraId="3122F468" w14:textId="77777777" w:rsidR="00497A51" w:rsidRPr="00497A51" w:rsidRDefault="00497A51" w:rsidP="00FF0376">
            <w:pPr>
              <w:pStyle w:val="TableHead"/>
              <w:spacing w:before="0" w:after="0"/>
              <w:rPr>
                <w:color w:val="0033CC"/>
              </w:rPr>
            </w:pPr>
            <w:r w:rsidRPr="00497A51">
              <w:rPr>
                <w:color w:val="0033CC"/>
                <w:rtl/>
              </w:rPr>
              <w:t>التكلفة</w:t>
            </w:r>
          </w:p>
        </w:tc>
        <w:tc>
          <w:tcPr>
            <w:tcW w:w="1297" w:type="dxa"/>
            <w:shd w:val="clear" w:color="auto" w:fill="DCE6F1"/>
            <w:noWrap/>
            <w:vAlign w:val="center"/>
            <w:hideMark/>
          </w:tcPr>
          <w:p w14:paraId="25070AB5" w14:textId="01F5129C" w:rsidR="00497A51" w:rsidRPr="00497A51" w:rsidRDefault="00497A51" w:rsidP="00FF0376">
            <w:pPr>
              <w:pStyle w:val="TableHead"/>
              <w:spacing w:before="0" w:after="0"/>
              <w:rPr>
                <w:color w:val="0033CC"/>
              </w:rPr>
            </w:pPr>
            <w:r w:rsidRPr="00497A51">
              <w:rPr>
                <w:color w:val="0033CC"/>
              </w:rPr>
              <w:t>2023</w:t>
            </w:r>
          </w:p>
          <w:p w14:paraId="1A327BD3" w14:textId="77777777" w:rsidR="00497A51" w:rsidRPr="00497A51" w:rsidRDefault="00497A51" w:rsidP="00FF0376">
            <w:pPr>
              <w:pStyle w:val="TableHead"/>
              <w:spacing w:before="0" w:after="0"/>
              <w:rPr>
                <w:color w:val="0033CC"/>
              </w:rPr>
            </w:pPr>
            <w:r w:rsidRPr="00497A51">
              <w:rPr>
                <w:color w:val="0033CC"/>
                <w:rtl/>
              </w:rPr>
              <w:t>وقت الموظفين</w:t>
            </w:r>
          </w:p>
        </w:tc>
        <w:tc>
          <w:tcPr>
            <w:tcW w:w="850" w:type="dxa"/>
            <w:shd w:val="clear" w:color="auto" w:fill="DCE6F1"/>
            <w:noWrap/>
            <w:vAlign w:val="center"/>
            <w:hideMark/>
          </w:tcPr>
          <w:p w14:paraId="2E388D94" w14:textId="77777777" w:rsidR="00497A51" w:rsidRPr="00497A51" w:rsidRDefault="00497A51" w:rsidP="00FF0376">
            <w:pPr>
              <w:pStyle w:val="TableHead"/>
              <w:spacing w:before="0" w:after="0"/>
              <w:rPr>
                <w:color w:val="0033CC"/>
              </w:rPr>
            </w:pPr>
            <w:r w:rsidRPr="00497A51">
              <w:rPr>
                <w:color w:val="0033CC"/>
                <w:rtl/>
              </w:rPr>
              <w:t>التكلفة</w:t>
            </w:r>
          </w:p>
        </w:tc>
        <w:tc>
          <w:tcPr>
            <w:tcW w:w="2102" w:type="dxa"/>
            <w:shd w:val="clear" w:color="auto" w:fill="DCE6F1"/>
            <w:noWrap/>
            <w:vAlign w:val="center"/>
            <w:hideMark/>
          </w:tcPr>
          <w:p w14:paraId="4A9C2F98" w14:textId="44E0A445" w:rsidR="00497A51" w:rsidRPr="00497A51" w:rsidRDefault="00497A51" w:rsidP="00FF0376">
            <w:pPr>
              <w:pStyle w:val="TableHead"/>
              <w:spacing w:before="0" w:after="0"/>
              <w:rPr>
                <w:color w:val="0033CC"/>
              </w:rPr>
            </w:pPr>
            <w:r w:rsidRPr="00497A51">
              <w:rPr>
                <w:color w:val="0033CC"/>
              </w:rPr>
              <w:t>2023-2022</w:t>
            </w:r>
          </w:p>
          <w:p w14:paraId="64DAC956" w14:textId="77777777" w:rsidR="00497A51" w:rsidRPr="00497A51" w:rsidRDefault="00497A51" w:rsidP="00FF0376">
            <w:pPr>
              <w:pStyle w:val="TableHead"/>
              <w:spacing w:before="0" w:after="0"/>
              <w:rPr>
                <w:color w:val="0033CC"/>
                <w:rtl/>
              </w:rPr>
            </w:pPr>
            <w:r w:rsidRPr="00497A51">
              <w:rPr>
                <w:color w:val="0033CC"/>
                <w:rtl/>
              </w:rPr>
              <w:t>إجمالي التكاليف الأساسية</w:t>
            </w:r>
          </w:p>
        </w:tc>
      </w:tr>
      <w:tr w:rsidR="00497A51" w:rsidRPr="00EB0541" w14:paraId="352DD663" w14:textId="77777777" w:rsidTr="00497A51">
        <w:trPr>
          <w:trHeight w:val="53"/>
          <w:jc w:val="center"/>
        </w:trPr>
        <w:tc>
          <w:tcPr>
            <w:tcW w:w="367" w:type="dxa"/>
            <w:tcBorders>
              <w:top w:val="nil"/>
              <w:left w:val="nil"/>
              <w:bottom w:val="single" w:sz="4" w:space="0" w:color="auto"/>
              <w:right w:val="nil"/>
            </w:tcBorders>
            <w:shd w:val="clear" w:color="auto" w:fill="DCE6F1"/>
            <w:noWrap/>
            <w:hideMark/>
          </w:tcPr>
          <w:p w14:paraId="74C97899" w14:textId="77777777" w:rsidR="00497A51" w:rsidRPr="00EB0541" w:rsidRDefault="00497A51" w:rsidP="00EF3005">
            <w:pPr>
              <w:pStyle w:val="TableHead"/>
            </w:pPr>
          </w:p>
        </w:tc>
        <w:tc>
          <w:tcPr>
            <w:tcW w:w="3462" w:type="dxa"/>
            <w:tcBorders>
              <w:top w:val="nil"/>
              <w:left w:val="nil"/>
              <w:bottom w:val="single" w:sz="4" w:space="0" w:color="auto"/>
              <w:right w:val="nil"/>
            </w:tcBorders>
            <w:shd w:val="clear" w:color="auto" w:fill="DCE6F1"/>
            <w:noWrap/>
            <w:hideMark/>
          </w:tcPr>
          <w:p w14:paraId="7024717A" w14:textId="77777777" w:rsidR="00497A51" w:rsidRPr="00497A51" w:rsidRDefault="00497A51" w:rsidP="00FF0376">
            <w:pPr>
              <w:pStyle w:val="TableHead"/>
              <w:spacing w:before="0" w:after="0"/>
              <w:rPr>
                <w:rFonts w:cs="Arial"/>
                <w:color w:val="0033CC"/>
              </w:rPr>
            </w:pPr>
          </w:p>
        </w:tc>
        <w:tc>
          <w:tcPr>
            <w:tcW w:w="1264" w:type="dxa"/>
            <w:tcBorders>
              <w:top w:val="nil"/>
              <w:left w:val="nil"/>
              <w:bottom w:val="single" w:sz="4" w:space="0" w:color="auto"/>
              <w:right w:val="nil"/>
            </w:tcBorders>
            <w:shd w:val="clear" w:color="auto" w:fill="DCE6F1"/>
            <w:noWrap/>
            <w:hideMark/>
          </w:tcPr>
          <w:p w14:paraId="412244BD" w14:textId="77777777" w:rsidR="00497A51" w:rsidRPr="00497A51" w:rsidRDefault="00497A51" w:rsidP="00FF0376">
            <w:pPr>
              <w:pStyle w:val="TableHead"/>
              <w:spacing w:before="0" w:after="0"/>
              <w:rPr>
                <w:color w:val="0033CC"/>
              </w:rPr>
            </w:pPr>
            <w:r w:rsidRPr="00497A51">
              <w:rPr>
                <w:color w:val="0033CC"/>
              </w:rPr>
              <w:t>%</w:t>
            </w:r>
          </w:p>
        </w:tc>
        <w:tc>
          <w:tcPr>
            <w:tcW w:w="1125" w:type="dxa"/>
            <w:tcBorders>
              <w:top w:val="nil"/>
              <w:left w:val="nil"/>
              <w:bottom w:val="single" w:sz="4" w:space="0" w:color="auto"/>
              <w:right w:val="nil"/>
            </w:tcBorders>
            <w:shd w:val="clear" w:color="auto" w:fill="DCE6F1"/>
            <w:noWrap/>
            <w:hideMark/>
          </w:tcPr>
          <w:p w14:paraId="5AB3E465" w14:textId="77777777" w:rsidR="00497A51" w:rsidRPr="00497A51" w:rsidRDefault="00497A51" w:rsidP="00FF0376">
            <w:pPr>
              <w:pStyle w:val="TableHead"/>
              <w:spacing w:before="0" w:after="0"/>
              <w:rPr>
                <w:color w:val="0033CC"/>
              </w:rPr>
            </w:pPr>
          </w:p>
        </w:tc>
        <w:tc>
          <w:tcPr>
            <w:tcW w:w="1297" w:type="dxa"/>
            <w:tcBorders>
              <w:top w:val="nil"/>
              <w:left w:val="nil"/>
              <w:bottom w:val="single" w:sz="4" w:space="0" w:color="auto"/>
              <w:right w:val="nil"/>
            </w:tcBorders>
            <w:shd w:val="clear" w:color="auto" w:fill="DCE6F1"/>
            <w:noWrap/>
            <w:hideMark/>
          </w:tcPr>
          <w:p w14:paraId="424DD972" w14:textId="77777777" w:rsidR="00497A51" w:rsidRPr="00497A51" w:rsidRDefault="00497A51" w:rsidP="00FF0376">
            <w:pPr>
              <w:pStyle w:val="TableHead"/>
              <w:spacing w:before="0" w:after="0"/>
              <w:rPr>
                <w:color w:val="0033CC"/>
              </w:rPr>
            </w:pPr>
            <w:r w:rsidRPr="00497A51">
              <w:rPr>
                <w:color w:val="0033CC"/>
              </w:rPr>
              <w:t>%</w:t>
            </w:r>
          </w:p>
        </w:tc>
        <w:tc>
          <w:tcPr>
            <w:tcW w:w="850" w:type="dxa"/>
            <w:tcBorders>
              <w:top w:val="nil"/>
              <w:left w:val="nil"/>
              <w:bottom w:val="single" w:sz="4" w:space="0" w:color="auto"/>
              <w:right w:val="nil"/>
            </w:tcBorders>
            <w:shd w:val="clear" w:color="auto" w:fill="DCE6F1"/>
            <w:noWrap/>
            <w:hideMark/>
          </w:tcPr>
          <w:p w14:paraId="3F9BD3B0" w14:textId="77777777" w:rsidR="00497A51" w:rsidRPr="00497A51" w:rsidRDefault="00497A51" w:rsidP="00FF0376">
            <w:pPr>
              <w:pStyle w:val="TableHead"/>
              <w:spacing w:before="0" w:after="0"/>
              <w:rPr>
                <w:color w:val="0033CC"/>
              </w:rPr>
            </w:pPr>
          </w:p>
        </w:tc>
        <w:tc>
          <w:tcPr>
            <w:tcW w:w="2102" w:type="dxa"/>
            <w:tcBorders>
              <w:top w:val="nil"/>
              <w:left w:val="nil"/>
              <w:bottom w:val="single" w:sz="4" w:space="0" w:color="auto"/>
              <w:right w:val="nil"/>
            </w:tcBorders>
            <w:shd w:val="clear" w:color="auto" w:fill="DCE6F1"/>
            <w:noWrap/>
            <w:hideMark/>
          </w:tcPr>
          <w:p w14:paraId="5814E8A5" w14:textId="77777777" w:rsidR="00497A51" w:rsidRPr="00497A51" w:rsidRDefault="00497A51" w:rsidP="00FF0376">
            <w:pPr>
              <w:pStyle w:val="TableHead"/>
              <w:spacing w:before="0" w:after="0"/>
              <w:rPr>
                <w:rFonts w:cs="Arial"/>
                <w:color w:val="0033CC"/>
              </w:rPr>
            </w:pPr>
          </w:p>
        </w:tc>
      </w:tr>
      <w:tr w:rsidR="00497A51" w:rsidRPr="00EB0541" w14:paraId="57BA1BC3" w14:textId="77777777" w:rsidTr="00497A51">
        <w:trPr>
          <w:trHeight w:val="125"/>
          <w:jc w:val="center"/>
        </w:trPr>
        <w:tc>
          <w:tcPr>
            <w:tcW w:w="367" w:type="dxa"/>
            <w:noWrap/>
            <w:hideMark/>
          </w:tcPr>
          <w:p w14:paraId="3A8662A4" w14:textId="77777777" w:rsidR="00497A51" w:rsidRPr="00EB0541" w:rsidRDefault="00497A51" w:rsidP="00EF3005">
            <w:pPr>
              <w:pStyle w:val="Tabletexte"/>
            </w:pPr>
            <w:r w:rsidRPr="00EB0541">
              <w:t>1</w:t>
            </w:r>
          </w:p>
        </w:tc>
        <w:tc>
          <w:tcPr>
            <w:tcW w:w="3462" w:type="dxa"/>
            <w:noWrap/>
            <w:hideMark/>
          </w:tcPr>
          <w:p w14:paraId="5082FCC7" w14:textId="2186A92C" w:rsidR="00497A51" w:rsidRPr="00EB0541" w:rsidRDefault="00497A51" w:rsidP="00EF3005">
            <w:pPr>
              <w:pStyle w:val="Tabletexte"/>
              <w:rPr>
                <w:rFonts w:eastAsia="SimSun"/>
                <w:lang w:bidi="ar-EG"/>
              </w:rPr>
            </w:pPr>
            <w:r w:rsidRPr="00EB0541">
              <w:rPr>
                <w:rtl/>
                <w:lang w:bidi="ar-EG"/>
              </w:rPr>
              <w:t xml:space="preserve">تليكوم العالمي للاتحاد لعام </w:t>
            </w:r>
            <w:r>
              <w:rPr>
                <w:lang w:val="en-GB"/>
              </w:rPr>
              <w:t>2022</w:t>
            </w:r>
          </w:p>
        </w:tc>
        <w:tc>
          <w:tcPr>
            <w:tcW w:w="1264" w:type="dxa"/>
            <w:noWrap/>
            <w:hideMark/>
          </w:tcPr>
          <w:p w14:paraId="4C2837E8" w14:textId="77777777" w:rsidR="00497A51" w:rsidRPr="00EB0541" w:rsidRDefault="00497A51" w:rsidP="00EF3005">
            <w:pPr>
              <w:pStyle w:val="Tabletexte"/>
              <w:rPr>
                <w:rtl/>
              </w:rPr>
            </w:pPr>
            <w:r w:rsidRPr="00EB0541">
              <w:t>%80</w:t>
            </w:r>
          </w:p>
        </w:tc>
        <w:tc>
          <w:tcPr>
            <w:tcW w:w="1125" w:type="dxa"/>
            <w:noWrap/>
            <w:hideMark/>
          </w:tcPr>
          <w:p w14:paraId="3DF5A269" w14:textId="10781B4B" w:rsidR="00497A51" w:rsidRPr="00EB0541" w:rsidRDefault="00497A51" w:rsidP="00EF3005">
            <w:pPr>
              <w:pStyle w:val="Tabletexte"/>
            </w:pPr>
            <w:r>
              <w:t>3 462</w:t>
            </w:r>
          </w:p>
        </w:tc>
        <w:tc>
          <w:tcPr>
            <w:tcW w:w="1297" w:type="dxa"/>
            <w:noWrap/>
          </w:tcPr>
          <w:p w14:paraId="13647BE6" w14:textId="77777777" w:rsidR="00497A51" w:rsidRPr="00EB0541" w:rsidRDefault="00497A51" w:rsidP="00EF3005">
            <w:pPr>
              <w:pStyle w:val="Tabletexte"/>
            </w:pPr>
          </w:p>
        </w:tc>
        <w:tc>
          <w:tcPr>
            <w:tcW w:w="850" w:type="dxa"/>
            <w:noWrap/>
          </w:tcPr>
          <w:p w14:paraId="10F1F3A9" w14:textId="77777777" w:rsidR="00497A51" w:rsidRPr="00EB0541" w:rsidRDefault="00497A51" w:rsidP="00EF3005">
            <w:pPr>
              <w:pStyle w:val="Tabletexte"/>
            </w:pPr>
          </w:p>
        </w:tc>
        <w:tc>
          <w:tcPr>
            <w:tcW w:w="2102" w:type="dxa"/>
            <w:noWrap/>
          </w:tcPr>
          <w:p w14:paraId="2D1D4A5A" w14:textId="1565A0F1" w:rsidR="00497A51" w:rsidRPr="00EB0541" w:rsidRDefault="00497A51" w:rsidP="00EF3005">
            <w:pPr>
              <w:pStyle w:val="Tabletexte"/>
            </w:pPr>
            <w:r>
              <w:t>3 462</w:t>
            </w:r>
          </w:p>
        </w:tc>
      </w:tr>
      <w:tr w:rsidR="00497A51" w:rsidRPr="00EB0541" w14:paraId="6D271829" w14:textId="77777777" w:rsidTr="00497A51">
        <w:trPr>
          <w:trHeight w:val="53"/>
          <w:jc w:val="center"/>
        </w:trPr>
        <w:tc>
          <w:tcPr>
            <w:tcW w:w="367" w:type="dxa"/>
            <w:noWrap/>
            <w:hideMark/>
          </w:tcPr>
          <w:p w14:paraId="19C7E31B" w14:textId="77777777" w:rsidR="00497A51" w:rsidRPr="00EB0541" w:rsidRDefault="00497A51" w:rsidP="00EF3005">
            <w:pPr>
              <w:pStyle w:val="Tabletexte"/>
            </w:pPr>
            <w:r w:rsidRPr="00EB0541">
              <w:t>2</w:t>
            </w:r>
          </w:p>
        </w:tc>
        <w:tc>
          <w:tcPr>
            <w:tcW w:w="3462" w:type="dxa"/>
            <w:noWrap/>
            <w:hideMark/>
          </w:tcPr>
          <w:p w14:paraId="24603F6D" w14:textId="4A56FC49" w:rsidR="00497A51" w:rsidRPr="00497A51" w:rsidRDefault="00497A51" w:rsidP="00497A51">
            <w:pPr>
              <w:pStyle w:val="Tabletexte"/>
              <w:rPr>
                <w:lang w:val="en-GB"/>
              </w:rPr>
            </w:pPr>
            <w:r w:rsidRPr="00EB0541">
              <w:rPr>
                <w:rtl/>
                <w:lang w:bidi="ar-EG"/>
              </w:rPr>
              <w:t xml:space="preserve">تليكوم العالمي للاتحاد لعام </w:t>
            </w:r>
            <w:r>
              <w:rPr>
                <w:lang w:val="en-GB"/>
              </w:rPr>
              <w:t>2023</w:t>
            </w:r>
          </w:p>
        </w:tc>
        <w:tc>
          <w:tcPr>
            <w:tcW w:w="1264" w:type="dxa"/>
            <w:noWrap/>
          </w:tcPr>
          <w:p w14:paraId="1B6E106B" w14:textId="723E3395" w:rsidR="00497A51" w:rsidRPr="00EB0541" w:rsidRDefault="00497A51" w:rsidP="00EF3005">
            <w:pPr>
              <w:pStyle w:val="Tabletexte"/>
              <w:rPr>
                <w:rtl/>
              </w:rPr>
            </w:pPr>
            <w:r>
              <w:t>%10</w:t>
            </w:r>
          </w:p>
        </w:tc>
        <w:tc>
          <w:tcPr>
            <w:tcW w:w="1125" w:type="dxa"/>
            <w:noWrap/>
          </w:tcPr>
          <w:p w14:paraId="687887D9" w14:textId="2A6EE1DE" w:rsidR="00497A51" w:rsidRPr="00EB0541" w:rsidRDefault="00497A51" w:rsidP="00EF3005">
            <w:pPr>
              <w:pStyle w:val="Tabletexte"/>
            </w:pPr>
            <w:r>
              <w:t>433</w:t>
            </w:r>
          </w:p>
        </w:tc>
        <w:tc>
          <w:tcPr>
            <w:tcW w:w="1297" w:type="dxa"/>
            <w:noWrap/>
          </w:tcPr>
          <w:p w14:paraId="73008BC3" w14:textId="3E4DC324" w:rsidR="00497A51" w:rsidRPr="00EB0541" w:rsidRDefault="00497A51" w:rsidP="00EF3005">
            <w:pPr>
              <w:pStyle w:val="Tabletexte"/>
            </w:pPr>
            <w:r>
              <w:t>%80</w:t>
            </w:r>
          </w:p>
        </w:tc>
        <w:tc>
          <w:tcPr>
            <w:tcW w:w="850" w:type="dxa"/>
            <w:noWrap/>
          </w:tcPr>
          <w:p w14:paraId="76FEA24F" w14:textId="365D0DA6" w:rsidR="00497A51" w:rsidRPr="00EB0541" w:rsidRDefault="00497A51" w:rsidP="00EF3005">
            <w:pPr>
              <w:pStyle w:val="Tabletexte"/>
            </w:pPr>
            <w:r>
              <w:t>3 462</w:t>
            </w:r>
          </w:p>
        </w:tc>
        <w:tc>
          <w:tcPr>
            <w:tcW w:w="2102" w:type="dxa"/>
            <w:noWrap/>
          </w:tcPr>
          <w:p w14:paraId="21A5B540" w14:textId="00A0DE39" w:rsidR="00497A51" w:rsidRPr="00EB0541" w:rsidRDefault="00497A51" w:rsidP="00EF3005">
            <w:pPr>
              <w:pStyle w:val="Tabletexte"/>
            </w:pPr>
            <w:r>
              <w:t>3 895</w:t>
            </w:r>
          </w:p>
        </w:tc>
      </w:tr>
      <w:tr w:rsidR="00497A51" w:rsidRPr="00EB0541" w14:paraId="6EB1670A" w14:textId="77777777" w:rsidTr="00497A51">
        <w:trPr>
          <w:trHeight w:val="104"/>
          <w:jc w:val="center"/>
        </w:trPr>
        <w:tc>
          <w:tcPr>
            <w:tcW w:w="367" w:type="dxa"/>
            <w:noWrap/>
            <w:hideMark/>
          </w:tcPr>
          <w:p w14:paraId="0FD6DAC7" w14:textId="77777777" w:rsidR="00497A51" w:rsidRPr="00EB0541" w:rsidRDefault="00497A51" w:rsidP="00EF3005">
            <w:pPr>
              <w:pStyle w:val="Tabletexte"/>
            </w:pPr>
            <w:r w:rsidRPr="00EB0541">
              <w:t>3</w:t>
            </w:r>
          </w:p>
        </w:tc>
        <w:tc>
          <w:tcPr>
            <w:tcW w:w="3462" w:type="dxa"/>
            <w:noWrap/>
            <w:hideMark/>
          </w:tcPr>
          <w:p w14:paraId="4093BDC3" w14:textId="0FA718B0" w:rsidR="00497A51" w:rsidRPr="00EB0541" w:rsidRDefault="00497A51" w:rsidP="00EF3005">
            <w:pPr>
              <w:pStyle w:val="Tabletexte"/>
              <w:rPr>
                <w:rFonts w:eastAsia="SimSun"/>
                <w:lang w:bidi="ar-EG"/>
              </w:rPr>
            </w:pPr>
            <w:r w:rsidRPr="00EB0541">
              <w:rPr>
                <w:rtl/>
                <w:lang w:bidi="ar-EG"/>
              </w:rPr>
              <w:t xml:space="preserve">تليكوم العالمي للاتحاد لعام </w:t>
            </w:r>
            <w:r>
              <w:rPr>
                <w:lang w:val="en-GB"/>
              </w:rPr>
              <w:t>2024</w:t>
            </w:r>
          </w:p>
        </w:tc>
        <w:tc>
          <w:tcPr>
            <w:tcW w:w="1264" w:type="dxa"/>
            <w:noWrap/>
          </w:tcPr>
          <w:p w14:paraId="7EE3C7E3" w14:textId="77777777" w:rsidR="00497A51" w:rsidRPr="00EB0541" w:rsidRDefault="00497A51" w:rsidP="00EF3005">
            <w:pPr>
              <w:pStyle w:val="Tabletexte"/>
              <w:rPr>
                <w:rtl/>
              </w:rPr>
            </w:pPr>
          </w:p>
        </w:tc>
        <w:tc>
          <w:tcPr>
            <w:tcW w:w="1125" w:type="dxa"/>
            <w:noWrap/>
          </w:tcPr>
          <w:p w14:paraId="03785ECF" w14:textId="77777777" w:rsidR="00497A51" w:rsidRPr="00EB0541" w:rsidRDefault="00497A51" w:rsidP="00EF3005">
            <w:pPr>
              <w:pStyle w:val="Tabletexte"/>
            </w:pPr>
          </w:p>
        </w:tc>
        <w:tc>
          <w:tcPr>
            <w:tcW w:w="1297" w:type="dxa"/>
            <w:noWrap/>
          </w:tcPr>
          <w:p w14:paraId="3BD9CABF" w14:textId="50C628F6" w:rsidR="00497A51" w:rsidRPr="00EB0541" w:rsidRDefault="00497A51" w:rsidP="00EF3005">
            <w:pPr>
              <w:pStyle w:val="Tabletexte"/>
            </w:pPr>
            <w:r>
              <w:t>%10</w:t>
            </w:r>
          </w:p>
        </w:tc>
        <w:tc>
          <w:tcPr>
            <w:tcW w:w="850" w:type="dxa"/>
            <w:noWrap/>
          </w:tcPr>
          <w:p w14:paraId="2D43C6EC" w14:textId="053E256B" w:rsidR="00497A51" w:rsidRPr="00EB0541" w:rsidRDefault="00497A51" w:rsidP="00EF3005">
            <w:pPr>
              <w:pStyle w:val="Tabletexte"/>
            </w:pPr>
            <w:r>
              <w:t>433</w:t>
            </w:r>
          </w:p>
        </w:tc>
        <w:tc>
          <w:tcPr>
            <w:tcW w:w="2102" w:type="dxa"/>
            <w:noWrap/>
          </w:tcPr>
          <w:p w14:paraId="1C3314CB" w14:textId="373B174D" w:rsidR="00497A51" w:rsidRPr="00EB0541" w:rsidRDefault="00497A51" w:rsidP="00EF3005">
            <w:pPr>
              <w:pStyle w:val="Tabletexte"/>
            </w:pPr>
            <w:r>
              <w:t>433</w:t>
            </w:r>
          </w:p>
        </w:tc>
      </w:tr>
      <w:tr w:rsidR="00497A51" w:rsidRPr="00EB0541" w14:paraId="4F497EC4" w14:textId="77777777" w:rsidTr="00497A51">
        <w:trPr>
          <w:trHeight w:val="53"/>
          <w:jc w:val="center"/>
        </w:trPr>
        <w:tc>
          <w:tcPr>
            <w:tcW w:w="367" w:type="dxa"/>
            <w:noWrap/>
            <w:hideMark/>
          </w:tcPr>
          <w:p w14:paraId="26CAECC9" w14:textId="77777777" w:rsidR="00497A51" w:rsidRPr="00EB0541" w:rsidRDefault="00497A51" w:rsidP="00EF3005">
            <w:pPr>
              <w:pStyle w:val="Tabletexte"/>
            </w:pPr>
            <w:r>
              <w:t>4</w:t>
            </w:r>
          </w:p>
        </w:tc>
        <w:tc>
          <w:tcPr>
            <w:tcW w:w="3462" w:type="dxa"/>
            <w:noWrap/>
            <w:hideMark/>
          </w:tcPr>
          <w:p w14:paraId="51EAA220" w14:textId="77777777" w:rsidR="00497A51" w:rsidRPr="00EB0541" w:rsidRDefault="00497A51" w:rsidP="00FF0376">
            <w:pPr>
              <w:pStyle w:val="Tabletexte"/>
              <w:jc w:val="left"/>
              <w:rPr>
                <w:rFonts w:eastAsia="SimSun"/>
                <w:lang w:val="en-GB"/>
              </w:rPr>
            </w:pPr>
            <w:r w:rsidRPr="00EB0541">
              <w:rPr>
                <w:rtl/>
                <w:lang w:bidi="ar-EG"/>
              </w:rPr>
              <w:t>منصة علاقات تكنولوجيا المعلومات والاتصالات</w:t>
            </w:r>
          </w:p>
        </w:tc>
        <w:tc>
          <w:tcPr>
            <w:tcW w:w="1264" w:type="dxa"/>
            <w:noWrap/>
          </w:tcPr>
          <w:p w14:paraId="315A8DED" w14:textId="5EF5B3DE" w:rsidR="00497A51" w:rsidRPr="00EB0541" w:rsidRDefault="00497A51" w:rsidP="00EF3005">
            <w:pPr>
              <w:pStyle w:val="Tabletexte"/>
            </w:pPr>
            <w:r>
              <w:t>%2</w:t>
            </w:r>
          </w:p>
        </w:tc>
        <w:tc>
          <w:tcPr>
            <w:tcW w:w="1125" w:type="dxa"/>
            <w:noWrap/>
          </w:tcPr>
          <w:p w14:paraId="7A0390F0" w14:textId="5A3BF8BC" w:rsidR="00497A51" w:rsidRPr="00EB0541" w:rsidRDefault="00497A51" w:rsidP="00EF3005">
            <w:pPr>
              <w:pStyle w:val="Tabletexte"/>
            </w:pPr>
            <w:r>
              <w:t>87</w:t>
            </w:r>
          </w:p>
        </w:tc>
        <w:tc>
          <w:tcPr>
            <w:tcW w:w="1297" w:type="dxa"/>
            <w:noWrap/>
          </w:tcPr>
          <w:p w14:paraId="75DC5134" w14:textId="6D969879" w:rsidR="00497A51" w:rsidRPr="00EB0541" w:rsidRDefault="00497A51" w:rsidP="00EF3005">
            <w:pPr>
              <w:pStyle w:val="Tabletexte"/>
            </w:pPr>
            <w:r>
              <w:t>%2</w:t>
            </w:r>
          </w:p>
        </w:tc>
        <w:tc>
          <w:tcPr>
            <w:tcW w:w="850" w:type="dxa"/>
            <w:noWrap/>
          </w:tcPr>
          <w:p w14:paraId="20242836" w14:textId="51E4E8A2" w:rsidR="00497A51" w:rsidRPr="00EB0541" w:rsidRDefault="00497A51" w:rsidP="00EF3005">
            <w:pPr>
              <w:pStyle w:val="Tabletexte"/>
            </w:pPr>
            <w:r>
              <w:t>87</w:t>
            </w:r>
          </w:p>
        </w:tc>
        <w:tc>
          <w:tcPr>
            <w:tcW w:w="2102" w:type="dxa"/>
            <w:noWrap/>
          </w:tcPr>
          <w:p w14:paraId="26275DE2" w14:textId="1C8FF313" w:rsidR="00497A51" w:rsidRPr="00EB0541" w:rsidRDefault="00497A51" w:rsidP="00EF3005">
            <w:pPr>
              <w:pStyle w:val="Tabletexte"/>
            </w:pPr>
            <w:r>
              <w:t>173</w:t>
            </w:r>
          </w:p>
        </w:tc>
      </w:tr>
      <w:tr w:rsidR="00497A51" w:rsidRPr="00EB0541" w14:paraId="4EC42849" w14:textId="77777777" w:rsidTr="00497A51">
        <w:trPr>
          <w:trHeight w:val="53"/>
          <w:jc w:val="center"/>
        </w:trPr>
        <w:tc>
          <w:tcPr>
            <w:tcW w:w="367" w:type="dxa"/>
            <w:noWrap/>
            <w:hideMark/>
          </w:tcPr>
          <w:p w14:paraId="519112F9" w14:textId="77777777" w:rsidR="00497A51" w:rsidRPr="00EB0541" w:rsidRDefault="00497A51" w:rsidP="00EF3005">
            <w:pPr>
              <w:pStyle w:val="Tabletexte"/>
            </w:pPr>
            <w:r>
              <w:t>5</w:t>
            </w:r>
          </w:p>
        </w:tc>
        <w:tc>
          <w:tcPr>
            <w:tcW w:w="3462" w:type="dxa"/>
            <w:noWrap/>
            <w:hideMark/>
          </w:tcPr>
          <w:p w14:paraId="4591B844" w14:textId="77777777" w:rsidR="00497A51" w:rsidRPr="00EB0541" w:rsidRDefault="00497A51" w:rsidP="00EF3005">
            <w:pPr>
              <w:pStyle w:val="Tabletexte"/>
              <w:rPr>
                <w:rFonts w:eastAsia="SimSun"/>
                <w:lang w:bidi="ar-EG"/>
              </w:rPr>
            </w:pPr>
            <w:r w:rsidRPr="00EB0541">
              <w:rPr>
                <w:rtl/>
                <w:lang w:bidi="ar-EG"/>
              </w:rPr>
              <w:t>دعم أحداث أخرى للاتحاد</w:t>
            </w:r>
          </w:p>
        </w:tc>
        <w:tc>
          <w:tcPr>
            <w:tcW w:w="1264" w:type="dxa"/>
            <w:noWrap/>
          </w:tcPr>
          <w:p w14:paraId="0256F26E" w14:textId="581C7346" w:rsidR="00497A51" w:rsidRPr="00EB0541" w:rsidRDefault="00497A51" w:rsidP="00EF3005">
            <w:pPr>
              <w:pStyle w:val="Tabletexte"/>
              <w:rPr>
                <w:rtl/>
              </w:rPr>
            </w:pPr>
            <w:r>
              <w:t>%8</w:t>
            </w:r>
          </w:p>
        </w:tc>
        <w:tc>
          <w:tcPr>
            <w:tcW w:w="1125" w:type="dxa"/>
            <w:noWrap/>
          </w:tcPr>
          <w:p w14:paraId="5C9F24C0" w14:textId="12DDA495" w:rsidR="00497A51" w:rsidRPr="00EB0541" w:rsidRDefault="00497A51" w:rsidP="00EF3005">
            <w:pPr>
              <w:pStyle w:val="Tabletexte"/>
            </w:pPr>
            <w:r>
              <w:t>346</w:t>
            </w:r>
          </w:p>
        </w:tc>
        <w:tc>
          <w:tcPr>
            <w:tcW w:w="1297" w:type="dxa"/>
            <w:noWrap/>
          </w:tcPr>
          <w:p w14:paraId="6051BBD5" w14:textId="34D574CD" w:rsidR="00497A51" w:rsidRPr="00EB0541" w:rsidRDefault="00497A51" w:rsidP="00EF3005">
            <w:pPr>
              <w:pStyle w:val="Tabletexte"/>
            </w:pPr>
            <w:r>
              <w:t>%8</w:t>
            </w:r>
          </w:p>
        </w:tc>
        <w:tc>
          <w:tcPr>
            <w:tcW w:w="850" w:type="dxa"/>
            <w:noWrap/>
          </w:tcPr>
          <w:p w14:paraId="3A9FC24E" w14:textId="7ED48095" w:rsidR="00497A51" w:rsidRPr="00EB0541" w:rsidRDefault="00497A51" w:rsidP="00EF3005">
            <w:pPr>
              <w:pStyle w:val="Tabletexte"/>
            </w:pPr>
            <w:r>
              <w:t>346</w:t>
            </w:r>
          </w:p>
        </w:tc>
        <w:tc>
          <w:tcPr>
            <w:tcW w:w="2102" w:type="dxa"/>
            <w:noWrap/>
          </w:tcPr>
          <w:p w14:paraId="1DEE01B4" w14:textId="44E4F53A" w:rsidR="00497A51" w:rsidRPr="00EB0541" w:rsidRDefault="00497A51" w:rsidP="00EF3005">
            <w:pPr>
              <w:pStyle w:val="Tabletexte"/>
            </w:pPr>
            <w:r>
              <w:t>69</w:t>
            </w:r>
            <w:r w:rsidR="0084196C">
              <w:t>2</w:t>
            </w:r>
          </w:p>
        </w:tc>
      </w:tr>
      <w:tr w:rsidR="00497A51" w:rsidRPr="00EB0541" w14:paraId="606C69B2" w14:textId="77777777" w:rsidTr="00497A51">
        <w:trPr>
          <w:trHeight w:val="43"/>
          <w:jc w:val="center"/>
        </w:trPr>
        <w:tc>
          <w:tcPr>
            <w:tcW w:w="367" w:type="dxa"/>
            <w:tcBorders>
              <w:top w:val="single" w:sz="4" w:space="0" w:color="auto"/>
              <w:left w:val="nil"/>
              <w:bottom w:val="single" w:sz="4" w:space="0" w:color="auto"/>
              <w:right w:val="nil"/>
            </w:tcBorders>
            <w:shd w:val="clear" w:color="auto" w:fill="C5D9F1"/>
            <w:noWrap/>
            <w:hideMark/>
          </w:tcPr>
          <w:p w14:paraId="564A66D0" w14:textId="77777777" w:rsidR="00497A51" w:rsidRPr="00EB0541" w:rsidRDefault="00497A51" w:rsidP="00EF3005">
            <w:pPr>
              <w:pStyle w:val="Tabletexte"/>
            </w:pPr>
            <w:r w:rsidRPr="00EB0541">
              <w:t> </w:t>
            </w:r>
          </w:p>
        </w:tc>
        <w:tc>
          <w:tcPr>
            <w:tcW w:w="3462" w:type="dxa"/>
            <w:tcBorders>
              <w:top w:val="single" w:sz="4" w:space="0" w:color="auto"/>
              <w:left w:val="nil"/>
              <w:bottom w:val="single" w:sz="4" w:space="0" w:color="auto"/>
              <w:right w:val="nil"/>
            </w:tcBorders>
            <w:shd w:val="clear" w:color="auto" w:fill="C5D9F1"/>
            <w:noWrap/>
            <w:hideMark/>
          </w:tcPr>
          <w:p w14:paraId="7F5721C9" w14:textId="77777777" w:rsidR="00497A51" w:rsidRPr="00497A51" w:rsidRDefault="00497A51" w:rsidP="00EF3005">
            <w:pPr>
              <w:pStyle w:val="Tabletexte"/>
              <w:rPr>
                <w:b/>
                <w:bCs/>
                <w:color w:val="44546A"/>
              </w:rPr>
            </w:pPr>
            <w:r w:rsidRPr="00497A51">
              <w:rPr>
                <w:b/>
                <w:bCs/>
                <w:color w:val="44546A"/>
                <w:rtl/>
              </w:rPr>
              <w:t>المجموع</w:t>
            </w:r>
          </w:p>
        </w:tc>
        <w:tc>
          <w:tcPr>
            <w:tcW w:w="1264" w:type="dxa"/>
            <w:tcBorders>
              <w:top w:val="single" w:sz="4" w:space="0" w:color="auto"/>
              <w:left w:val="nil"/>
              <w:bottom w:val="single" w:sz="4" w:space="0" w:color="auto"/>
              <w:right w:val="nil"/>
            </w:tcBorders>
            <w:shd w:val="clear" w:color="auto" w:fill="C5D9F1"/>
            <w:noWrap/>
          </w:tcPr>
          <w:p w14:paraId="4CB80F42" w14:textId="5E0EF7C2" w:rsidR="00497A51" w:rsidRPr="00497A51" w:rsidRDefault="00497A51" w:rsidP="00EF3005">
            <w:pPr>
              <w:pStyle w:val="Tabletexte"/>
              <w:rPr>
                <w:color w:val="44546A"/>
              </w:rPr>
            </w:pPr>
            <w:r w:rsidRPr="00497A51">
              <w:rPr>
                <w:color w:val="44546A"/>
              </w:rPr>
              <w:t>%100</w:t>
            </w:r>
          </w:p>
        </w:tc>
        <w:tc>
          <w:tcPr>
            <w:tcW w:w="1125" w:type="dxa"/>
            <w:tcBorders>
              <w:top w:val="single" w:sz="4" w:space="0" w:color="auto"/>
              <w:left w:val="nil"/>
              <w:bottom w:val="single" w:sz="4" w:space="0" w:color="auto"/>
              <w:right w:val="nil"/>
            </w:tcBorders>
            <w:shd w:val="clear" w:color="auto" w:fill="C5D9F1"/>
            <w:noWrap/>
          </w:tcPr>
          <w:p w14:paraId="4C2E3EE7" w14:textId="304BCAAB" w:rsidR="00497A51" w:rsidRPr="00497A51" w:rsidRDefault="00497A51" w:rsidP="00EF3005">
            <w:pPr>
              <w:pStyle w:val="Tabletexte"/>
              <w:rPr>
                <w:color w:val="44546A"/>
              </w:rPr>
            </w:pPr>
            <w:r w:rsidRPr="00497A51">
              <w:rPr>
                <w:color w:val="44546A"/>
              </w:rPr>
              <w:t>4 328</w:t>
            </w:r>
          </w:p>
        </w:tc>
        <w:tc>
          <w:tcPr>
            <w:tcW w:w="1297" w:type="dxa"/>
            <w:tcBorders>
              <w:top w:val="single" w:sz="4" w:space="0" w:color="auto"/>
              <w:left w:val="nil"/>
              <w:bottom w:val="single" w:sz="4" w:space="0" w:color="auto"/>
              <w:right w:val="nil"/>
            </w:tcBorders>
            <w:shd w:val="clear" w:color="auto" w:fill="C5D9F1"/>
            <w:noWrap/>
          </w:tcPr>
          <w:p w14:paraId="252FFB49" w14:textId="6F6EAEFE" w:rsidR="00497A51" w:rsidRPr="00497A51" w:rsidRDefault="00497A51" w:rsidP="00EF3005">
            <w:pPr>
              <w:pStyle w:val="Tabletexte"/>
              <w:rPr>
                <w:color w:val="44546A"/>
              </w:rPr>
            </w:pPr>
            <w:r w:rsidRPr="00497A51">
              <w:rPr>
                <w:color w:val="44546A"/>
              </w:rPr>
              <w:t>%100</w:t>
            </w:r>
          </w:p>
        </w:tc>
        <w:tc>
          <w:tcPr>
            <w:tcW w:w="850" w:type="dxa"/>
            <w:tcBorders>
              <w:top w:val="single" w:sz="4" w:space="0" w:color="auto"/>
              <w:left w:val="nil"/>
              <w:bottom w:val="single" w:sz="4" w:space="0" w:color="auto"/>
              <w:right w:val="nil"/>
            </w:tcBorders>
            <w:shd w:val="clear" w:color="auto" w:fill="C5D9F1"/>
            <w:noWrap/>
          </w:tcPr>
          <w:p w14:paraId="3CC7F16B" w14:textId="01CE814A" w:rsidR="00497A51" w:rsidRPr="00497A51" w:rsidRDefault="00497A51" w:rsidP="00EF3005">
            <w:pPr>
              <w:pStyle w:val="Tabletexte"/>
              <w:rPr>
                <w:color w:val="44546A"/>
              </w:rPr>
            </w:pPr>
            <w:r w:rsidRPr="00497A51">
              <w:rPr>
                <w:color w:val="44546A"/>
              </w:rPr>
              <w:t>4 328</w:t>
            </w:r>
          </w:p>
        </w:tc>
        <w:tc>
          <w:tcPr>
            <w:tcW w:w="2102" w:type="dxa"/>
            <w:tcBorders>
              <w:top w:val="single" w:sz="4" w:space="0" w:color="auto"/>
              <w:left w:val="nil"/>
              <w:bottom w:val="single" w:sz="4" w:space="0" w:color="auto"/>
              <w:right w:val="nil"/>
            </w:tcBorders>
            <w:shd w:val="clear" w:color="auto" w:fill="C5D9F1"/>
            <w:noWrap/>
          </w:tcPr>
          <w:p w14:paraId="5D855DCD" w14:textId="7F796FF9" w:rsidR="00497A51" w:rsidRPr="00497A51" w:rsidRDefault="00497A51" w:rsidP="00EF3005">
            <w:pPr>
              <w:pStyle w:val="Tabletexte"/>
              <w:rPr>
                <w:color w:val="44546A"/>
              </w:rPr>
            </w:pPr>
            <w:r w:rsidRPr="00497A51">
              <w:rPr>
                <w:color w:val="44546A"/>
              </w:rPr>
              <w:t>8 656</w:t>
            </w:r>
          </w:p>
        </w:tc>
      </w:tr>
    </w:tbl>
    <w:p w14:paraId="3A1FC4E8" w14:textId="77777777" w:rsidR="00497A51" w:rsidRDefault="00497A51" w:rsidP="00497A51">
      <w:pPr>
        <w:pStyle w:val="Headingb"/>
        <w:spacing w:before="360"/>
        <w:rPr>
          <w:lang w:val="en-GB" w:bidi="ar-SY"/>
        </w:rPr>
      </w:pPr>
      <w:bookmarkStart w:id="9" w:name="_Toc482367229"/>
      <w:bookmarkStart w:id="10" w:name="_Toc69733453"/>
      <w:r>
        <w:rPr>
          <w:rtl/>
          <w:lang w:bidi="ar-EG"/>
        </w:rPr>
        <w:t>تمويل الموارد</w:t>
      </w:r>
      <w:bookmarkEnd w:id="9"/>
      <w:bookmarkEnd w:id="10"/>
    </w:p>
    <w:p w14:paraId="6FD1B9B1" w14:textId="3DBC7A2E" w:rsidR="00497A51" w:rsidRDefault="00497A51" w:rsidP="00497A51">
      <w:r>
        <w:rPr>
          <w:rFonts w:hint="cs"/>
          <w:rtl/>
          <w:lang w:val="en-GB" w:bidi="ar-SY"/>
        </w:rPr>
        <w:t>8</w:t>
      </w:r>
      <w:r w:rsidRPr="00870D7A">
        <w:rPr>
          <w:lang w:val="en-GB" w:bidi="ar-SY"/>
        </w:rPr>
        <w:tab/>
      </w:r>
      <w:r w:rsidRPr="00870D7A">
        <w:rPr>
          <w:rtl/>
        </w:rPr>
        <w:t>الإيرادات الإجمالية المتولدة عن أحداث تليكوم الاتحاد هي مصدر تمويل ميزانية أمانة تليكوم الاتحاد. ويبين الجدول </w:t>
      </w:r>
      <w:r w:rsidRPr="00870D7A">
        <w:t>4</w:t>
      </w:r>
      <w:r w:rsidRPr="00870D7A">
        <w:rPr>
          <w:rtl/>
        </w:rPr>
        <w:t> أدناه الإيرادات والنفقات التقديرية للأحداث المقررة في الفترة </w:t>
      </w:r>
      <w:r>
        <w:t>2023-2022</w:t>
      </w:r>
      <w:r w:rsidRPr="00870D7A">
        <w:rPr>
          <w:rtl/>
        </w:rPr>
        <w:t>. ومع ت</w:t>
      </w:r>
      <w:r w:rsidRPr="00870D7A">
        <w:rPr>
          <w:rFonts w:hint="cs"/>
          <w:rtl/>
        </w:rPr>
        <w:t>قدير</w:t>
      </w:r>
      <w:r w:rsidRPr="00870D7A">
        <w:rPr>
          <w:rtl/>
        </w:rPr>
        <w:t xml:space="preserve"> إيرادات إجمالية بمبلغ </w:t>
      </w:r>
      <w:r>
        <w:t>14 985</w:t>
      </w:r>
      <w:r w:rsidRPr="00870D7A">
        <w:t> 000</w:t>
      </w:r>
      <w:r w:rsidRPr="00870D7A">
        <w:rPr>
          <w:rtl/>
        </w:rPr>
        <w:t xml:space="preserve"> فرنك </w:t>
      </w:r>
      <w:r>
        <w:rPr>
          <w:rtl/>
        </w:rPr>
        <w:t xml:space="preserve">سويسري </w:t>
      </w:r>
      <w:r w:rsidRPr="003C45FA">
        <w:rPr>
          <w:rtl/>
        </w:rPr>
        <w:t>لفترة السنتين و</w:t>
      </w:r>
      <w:r w:rsidRPr="003C45FA">
        <w:rPr>
          <w:rFonts w:hint="cs"/>
          <w:rtl/>
        </w:rPr>
        <w:t xml:space="preserve">تقدير </w:t>
      </w:r>
      <w:r w:rsidRPr="003C45FA">
        <w:rPr>
          <w:rtl/>
        </w:rPr>
        <w:t xml:space="preserve">نفقات إجمالية بأكثر من </w:t>
      </w:r>
      <w:r>
        <w:t>13 455</w:t>
      </w:r>
      <w:r w:rsidRPr="003C45FA">
        <w:t> 000</w:t>
      </w:r>
      <w:r w:rsidRPr="003C45FA">
        <w:rPr>
          <w:rtl/>
        </w:rPr>
        <w:t> فرنك سويسري، من المتوخى تحقيق مكاسب صافية بمبلغ</w:t>
      </w:r>
      <w:r>
        <w:rPr>
          <w:rFonts w:hint="cs"/>
          <w:rtl/>
        </w:rPr>
        <w:t xml:space="preserve"> </w:t>
      </w:r>
      <w:r>
        <w:t>1 531</w:t>
      </w:r>
      <w:r w:rsidRPr="003C45FA">
        <w:rPr>
          <w:rtl/>
        </w:rPr>
        <w:t xml:space="preserve"> فرنك </w:t>
      </w:r>
      <w:r w:rsidRPr="008009A0">
        <w:rPr>
          <w:rtl/>
        </w:rPr>
        <w:t>سويسري</w:t>
      </w:r>
      <w:r w:rsidRPr="003C45FA">
        <w:rPr>
          <w:rtl/>
        </w:rPr>
        <w:t xml:space="preserve"> للفترة </w:t>
      </w:r>
      <w:r>
        <w:t>2023-2022</w:t>
      </w:r>
      <w:r w:rsidRPr="003C45FA">
        <w:rPr>
          <w:rtl/>
        </w:rPr>
        <w:t>.</w:t>
      </w:r>
    </w:p>
    <w:p w14:paraId="5BCDAB18" w14:textId="2F9CE5B7" w:rsidR="00497A51" w:rsidRDefault="00497A51" w:rsidP="00497A51">
      <w:pPr>
        <w:rPr>
          <w:rtl/>
          <w:lang w:bidi="ar-SY"/>
        </w:rPr>
      </w:pPr>
      <w:r>
        <w:rPr>
          <w:rFonts w:hint="cs"/>
          <w:rtl/>
          <w:lang w:bidi="ar-EG"/>
        </w:rPr>
        <w:t>9</w:t>
      </w:r>
      <w:r>
        <w:rPr>
          <w:rtl/>
          <w:lang w:bidi="ar-EG"/>
        </w:rPr>
        <w:tab/>
      </w:r>
      <w:r>
        <w:rPr>
          <w:rtl/>
        </w:rPr>
        <w:t xml:space="preserve">والمصدر الرئيسي للإيرادات هو المساحات المؤجرة وجهات الرعاية ومساهمات البلد المضيف ورسوم الدخول وإيرادات أخرى متعلقة بالحدث. ويسعى تليكوم الاتحاد دائماً إلى البحث عن طرائق وأساليب جديدة لتقديم خدمات </w:t>
      </w:r>
      <w:r>
        <w:rPr>
          <w:spacing w:val="-4"/>
          <w:rtl/>
        </w:rPr>
        <w:t>إضافية لإرضاء الاحتياجات المتغيرة لعملائه، والحصول في الوقت نفسه على إيرادات للاتحاد. وتتألف النفقات الإجمالية من النفقات</w:t>
      </w:r>
      <w:r>
        <w:rPr>
          <w:rtl/>
        </w:rPr>
        <w:t xml:space="preserve"> الأساسية لأمانة تليكوم </w:t>
      </w:r>
      <w:r w:rsidRPr="00BB1008">
        <w:rPr>
          <w:rtl/>
        </w:rPr>
        <w:t xml:space="preserve">الاتحاد المقدرة بمبلغ </w:t>
      </w:r>
      <w:r>
        <w:t>8,6</w:t>
      </w:r>
      <w:r>
        <w:rPr>
          <w:rFonts w:hint="cs"/>
          <w:rtl/>
          <w:lang w:bidi="ar-EG"/>
        </w:rPr>
        <w:t xml:space="preserve"> </w:t>
      </w:r>
      <w:r>
        <w:rPr>
          <w:rFonts w:hint="cs"/>
          <w:rtl/>
        </w:rPr>
        <w:t>ملايين</w:t>
      </w:r>
      <w:r>
        <w:rPr>
          <w:rFonts w:hint="cs"/>
          <w:rtl/>
          <w:lang w:bidi="ar-EG"/>
        </w:rPr>
        <w:t xml:space="preserve"> </w:t>
      </w:r>
      <w:r w:rsidRPr="00BB1008">
        <w:rPr>
          <w:rtl/>
        </w:rPr>
        <w:t>فرنك</w:t>
      </w:r>
      <w:r>
        <w:rPr>
          <w:rtl/>
        </w:rPr>
        <w:t xml:space="preserve"> سويسري، تشمل نفقات استرداد التكاليف بمبلغ </w:t>
      </w:r>
      <w:r>
        <w:t>3</w:t>
      </w:r>
      <w:r>
        <w:rPr>
          <w:rtl/>
        </w:rPr>
        <w:t> ملايين فرنك سويسري إضافةً إلى النفقات المخصصة للأحداث، أي التكاليف الخاصة بالموظفين وتكاليف السفر والخدمات التعاقدية والاستئجار والصيانة والمواد واللوازم والخدمات العامة والنفقات المتفرقة.</w:t>
      </w:r>
    </w:p>
    <w:p w14:paraId="7C2991DB" w14:textId="77777777" w:rsidR="00497A51" w:rsidRDefault="00497A51" w:rsidP="00497A51">
      <w:pPr>
        <w:pStyle w:val="TableNo"/>
        <w:rPr>
          <w:rtl/>
        </w:rPr>
      </w:pPr>
      <w:r>
        <w:rPr>
          <w:rtl/>
        </w:rPr>
        <w:lastRenderedPageBreak/>
        <w:t xml:space="preserve">الجدول </w:t>
      </w:r>
      <w:r>
        <w:rPr>
          <w:lang w:val="en-GB"/>
        </w:rPr>
        <w:t>4</w:t>
      </w:r>
    </w:p>
    <w:p w14:paraId="61CD6C1A" w14:textId="7D7E838C" w:rsidR="00497A51" w:rsidRDefault="00497A51" w:rsidP="00497A51">
      <w:pPr>
        <w:pStyle w:val="Tabletitle"/>
        <w:rPr>
          <w:rtl/>
          <w:lang w:bidi="ar-EG"/>
        </w:rPr>
      </w:pPr>
      <w:r>
        <w:rPr>
          <w:rtl/>
        </w:rPr>
        <w:t xml:space="preserve">التمويل في الفترة </w:t>
      </w:r>
      <w:r w:rsidR="00C55D8F">
        <w:t>2023-2022</w:t>
      </w:r>
    </w:p>
    <w:tbl>
      <w:tblPr>
        <w:bidiVisual/>
        <w:tblW w:w="9639" w:type="dxa"/>
        <w:jc w:val="center"/>
        <w:tblLook w:val="04A0" w:firstRow="1" w:lastRow="0" w:firstColumn="1" w:lastColumn="0" w:noHBand="0" w:noVBand="1"/>
      </w:tblPr>
      <w:tblGrid>
        <w:gridCol w:w="4961"/>
        <w:gridCol w:w="1559"/>
        <w:gridCol w:w="1701"/>
        <w:gridCol w:w="1418"/>
      </w:tblGrid>
      <w:tr w:rsidR="00497A51" w:rsidRPr="00FC7F4B" w14:paraId="1044DEB4" w14:textId="77777777" w:rsidTr="00EF3005">
        <w:trPr>
          <w:jc w:val="center"/>
        </w:trPr>
        <w:tc>
          <w:tcPr>
            <w:tcW w:w="4961" w:type="dxa"/>
            <w:tcBorders>
              <w:top w:val="single" w:sz="4" w:space="0" w:color="auto"/>
              <w:left w:val="nil"/>
              <w:bottom w:val="nil"/>
              <w:right w:val="nil"/>
            </w:tcBorders>
            <w:shd w:val="clear" w:color="auto" w:fill="DCE6F1"/>
            <w:noWrap/>
            <w:vAlign w:val="bottom"/>
            <w:hideMark/>
          </w:tcPr>
          <w:p w14:paraId="20B910DE" w14:textId="77777777" w:rsidR="00497A51" w:rsidRPr="00AA4D58" w:rsidRDefault="00497A51" w:rsidP="00AA4D58">
            <w:pPr>
              <w:pStyle w:val="TableHead"/>
              <w:rPr>
                <w:color w:val="0033CC"/>
                <w:rtl/>
                <w:lang w:bidi="ar-EG"/>
              </w:rPr>
            </w:pPr>
            <w:r w:rsidRPr="00AA4D58">
              <w:rPr>
                <w:color w:val="0033CC"/>
              </w:rPr>
              <w:t> </w:t>
            </w:r>
          </w:p>
        </w:tc>
        <w:tc>
          <w:tcPr>
            <w:tcW w:w="4678" w:type="dxa"/>
            <w:gridSpan w:val="3"/>
            <w:tcBorders>
              <w:top w:val="single" w:sz="4" w:space="0" w:color="auto"/>
              <w:left w:val="nil"/>
              <w:bottom w:val="nil"/>
              <w:right w:val="nil"/>
            </w:tcBorders>
            <w:shd w:val="clear" w:color="auto" w:fill="DCE6F1"/>
            <w:noWrap/>
            <w:vAlign w:val="bottom"/>
            <w:hideMark/>
          </w:tcPr>
          <w:p w14:paraId="76C8CBF1" w14:textId="77777777" w:rsidR="00497A51" w:rsidRPr="00AA4D58" w:rsidRDefault="00497A51" w:rsidP="00AA4D58">
            <w:pPr>
              <w:pStyle w:val="TableHead"/>
              <w:rPr>
                <w:i/>
                <w:iCs/>
                <w:color w:val="0033CC"/>
              </w:rPr>
            </w:pPr>
            <w:r w:rsidRPr="00AA4D58">
              <w:rPr>
                <w:i/>
                <w:iCs/>
                <w:color w:val="0033CC"/>
                <w:rtl/>
                <w:lang w:bidi="ar-EG"/>
              </w:rPr>
              <w:t>بآلاف الفرنكات السويسرية</w:t>
            </w:r>
          </w:p>
        </w:tc>
      </w:tr>
      <w:tr w:rsidR="00497A51" w:rsidRPr="00FC7F4B" w14:paraId="6C6BB29D" w14:textId="77777777" w:rsidTr="00EF3005">
        <w:trPr>
          <w:jc w:val="center"/>
        </w:trPr>
        <w:tc>
          <w:tcPr>
            <w:tcW w:w="4961" w:type="dxa"/>
            <w:shd w:val="clear" w:color="auto" w:fill="DCE6F1"/>
            <w:noWrap/>
            <w:vAlign w:val="bottom"/>
            <w:hideMark/>
          </w:tcPr>
          <w:p w14:paraId="3D206680" w14:textId="77777777" w:rsidR="00497A51" w:rsidRPr="00AA4D58" w:rsidRDefault="00497A51" w:rsidP="00AA4D58">
            <w:pPr>
              <w:pStyle w:val="TableHead"/>
              <w:rPr>
                <w:color w:val="0033CC"/>
              </w:rPr>
            </w:pPr>
            <w:r w:rsidRPr="00AA4D58">
              <w:rPr>
                <w:color w:val="0033CC"/>
              </w:rPr>
              <w:t> </w:t>
            </w:r>
          </w:p>
        </w:tc>
        <w:tc>
          <w:tcPr>
            <w:tcW w:w="1559" w:type="dxa"/>
            <w:vMerge w:val="restart"/>
            <w:tcBorders>
              <w:top w:val="nil"/>
              <w:left w:val="nil"/>
              <w:bottom w:val="single" w:sz="4" w:space="0" w:color="auto"/>
              <w:right w:val="nil"/>
            </w:tcBorders>
            <w:shd w:val="clear" w:color="auto" w:fill="DCE6F1"/>
            <w:noWrap/>
            <w:vAlign w:val="bottom"/>
            <w:hideMark/>
          </w:tcPr>
          <w:p w14:paraId="1F08FE70" w14:textId="61B5BC13" w:rsidR="00497A51" w:rsidRPr="00AA4D58" w:rsidRDefault="00AA4D58" w:rsidP="00AA429C">
            <w:pPr>
              <w:pStyle w:val="TableHead"/>
              <w:spacing w:before="0"/>
              <w:rPr>
                <w:color w:val="0033CC"/>
              </w:rPr>
            </w:pPr>
            <w:r w:rsidRPr="00AA4D58">
              <w:rPr>
                <w:rFonts w:hint="cs"/>
                <w:color w:val="0033CC"/>
                <w:rtl/>
              </w:rPr>
              <w:t>2022</w:t>
            </w:r>
          </w:p>
        </w:tc>
        <w:tc>
          <w:tcPr>
            <w:tcW w:w="1701" w:type="dxa"/>
            <w:vMerge w:val="restart"/>
            <w:tcBorders>
              <w:top w:val="nil"/>
              <w:left w:val="nil"/>
              <w:bottom w:val="single" w:sz="4" w:space="0" w:color="auto"/>
              <w:right w:val="nil"/>
            </w:tcBorders>
            <w:shd w:val="clear" w:color="auto" w:fill="DCE6F1"/>
            <w:noWrap/>
            <w:vAlign w:val="bottom"/>
            <w:hideMark/>
          </w:tcPr>
          <w:p w14:paraId="3715E288" w14:textId="47B26D11" w:rsidR="00497A51" w:rsidRPr="00AA4D58" w:rsidRDefault="00AA4D58" w:rsidP="00AA429C">
            <w:pPr>
              <w:pStyle w:val="TableHead"/>
              <w:spacing w:before="0"/>
              <w:rPr>
                <w:color w:val="0033CC"/>
                <w:lang w:bidi="ar-EG"/>
              </w:rPr>
            </w:pPr>
            <w:r w:rsidRPr="00AA4D58">
              <w:rPr>
                <w:rFonts w:hint="cs"/>
                <w:color w:val="0033CC"/>
                <w:rtl/>
              </w:rPr>
              <w:t>2023</w:t>
            </w:r>
          </w:p>
        </w:tc>
        <w:tc>
          <w:tcPr>
            <w:tcW w:w="1418" w:type="dxa"/>
            <w:shd w:val="clear" w:color="auto" w:fill="DCE6F1"/>
            <w:noWrap/>
            <w:vAlign w:val="bottom"/>
            <w:hideMark/>
          </w:tcPr>
          <w:p w14:paraId="5DA05F0F" w14:textId="45FB71B3" w:rsidR="00497A51" w:rsidRPr="00AA4D58" w:rsidRDefault="00497A51" w:rsidP="00AA429C">
            <w:pPr>
              <w:pStyle w:val="TableHead"/>
              <w:spacing w:after="0"/>
              <w:rPr>
                <w:color w:val="0033CC"/>
                <w:rtl/>
              </w:rPr>
            </w:pPr>
            <w:r w:rsidRPr="00AA4D58">
              <w:rPr>
                <w:color w:val="0033CC"/>
                <w:rtl/>
                <w:lang w:bidi="ar-EG"/>
              </w:rPr>
              <w:t>مجموع</w:t>
            </w:r>
            <w:r w:rsidR="00AA4D58" w:rsidRPr="00AA4D58">
              <w:rPr>
                <w:rFonts w:hint="cs"/>
                <w:color w:val="0033CC"/>
                <w:rtl/>
                <w:lang w:bidi="ar-EG"/>
              </w:rPr>
              <w:t xml:space="preserve"> </w:t>
            </w:r>
            <w:r w:rsidR="0084196C">
              <w:rPr>
                <w:rFonts w:hint="cs"/>
                <w:color w:val="0033CC"/>
                <w:rtl/>
                <w:lang w:bidi="ar-EG"/>
              </w:rPr>
              <w:t>تليكوم الاتحاد</w:t>
            </w:r>
          </w:p>
        </w:tc>
      </w:tr>
      <w:tr w:rsidR="00497A51" w:rsidRPr="00FC7F4B" w14:paraId="7D5E4985" w14:textId="77777777" w:rsidTr="00EF3005">
        <w:trPr>
          <w:jc w:val="center"/>
        </w:trPr>
        <w:tc>
          <w:tcPr>
            <w:tcW w:w="4961" w:type="dxa"/>
            <w:tcBorders>
              <w:top w:val="nil"/>
              <w:left w:val="nil"/>
              <w:bottom w:val="single" w:sz="4" w:space="0" w:color="auto"/>
              <w:right w:val="nil"/>
            </w:tcBorders>
            <w:shd w:val="clear" w:color="auto" w:fill="DCE6F1"/>
            <w:noWrap/>
            <w:vAlign w:val="bottom"/>
            <w:hideMark/>
          </w:tcPr>
          <w:p w14:paraId="7AB02E03" w14:textId="77777777" w:rsidR="00497A51" w:rsidRPr="00AA4D58" w:rsidRDefault="00497A51" w:rsidP="00AA4D58">
            <w:pPr>
              <w:pStyle w:val="TableHead"/>
              <w:rPr>
                <w:color w:val="0033CC"/>
              </w:rPr>
            </w:pPr>
            <w:r w:rsidRPr="00AA4D58">
              <w:rPr>
                <w:color w:val="0033CC"/>
              </w:rPr>
              <w:t> </w:t>
            </w:r>
          </w:p>
        </w:tc>
        <w:tc>
          <w:tcPr>
            <w:tcW w:w="0" w:type="auto"/>
            <w:vMerge/>
            <w:tcBorders>
              <w:top w:val="nil"/>
              <w:left w:val="nil"/>
              <w:bottom w:val="single" w:sz="4" w:space="0" w:color="auto"/>
              <w:right w:val="nil"/>
            </w:tcBorders>
            <w:vAlign w:val="center"/>
            <w:hideMark/>
          </w:tcPr>
          <w:p w14:paraId="53E22864" w14:textId="77777777" w:rsidR="00497A51" w:rsidRPr="00AA4D58" w:rsidRDefault="00497A51" w:rsidP="00AA4D58">
            <w:pPr>
              <w:pStyle w:val="TableHead"/>
              <w:rPr>
                <w:color w:val="0033CC"/>
              </w:rPr>
            </w:pPr>
          </w:p>
        </w:tc>
        <w:tc>
          <w:tcPr>
            <w:tcW w:w="0" w:type="auto"/>
            <w:vMerge/>
            <w:tcBorders>
              <w:top w:val="nil"/>
              <w:left w:val="nil"/>
              <w:bottom w:val="single" w:sz="4" w:space="0" w:color="auto"/>
              <w:right w:val="nil"/>
            </w:tcBorders>
            <w:vAlign w:val="center"/>
            <w:hideMark/>
          </w:tcPr>
          <w:p w14:paraId="2634758C" w14:textId="77777777" w:rsidR="00497A51" w:rsidRPr="00AA4D58" w:rsidRDefault="00497A51" w:rsidP="00AA4D58">
            <w:pPr>
              <w:pStyle w:val="TableHead"/>
              <w:rPr>
                <w:color w:val="0033CC"/>
                <w:lang w:bidi="ar-EG"/>
              </w:rPr>
            </w:pPr>
          </w:p>
        </w:tc>
        <w:tc>
          <w:tcPr>
            <w:tcW w:w="1418" w:type="dxa"/>
            <w:tcBorders>
              <w:top w:val="nil"/>
              <w:left w:val="nil"/>
              <w:bottom w:val="single" w:sz="4" w:space="0" w:color="auto"/>
              <w:right w:val="nil"/>
            </w:tcBorders>
            <w:shd w:val="clear" w:color="auto" w:fill="DCE6F1"/>
            <w:noWrap/>
            <w:vAlign w:val="bottom"/>
            <w:hideMark/>
          </w:tcPr>
          <w:p w14:paraId="458E40F1" w14:textId="30B115B9" w:rsidR="00497A51" w:rsidRPr="00AA4D58" w:rsidRDefault="00AA4D58" w:rsidP="00AA429C">
            <w:pPr>
              <w:pStyle w:val="TableHead"/>
              <w:spacing w:before="0"/>
              <w:rPr>
                <w:color w:val="0033CC"/>
                <w:rtl/>
                <w:lang w:bidi="ar-EG"/>
              </w:rPr>
            </w:pPr>
            <w:r w:rsidRPr="00AA4D58">
              <w:rPr>
                <w:color w:val="0033CC"/>
                <w:lang w:bidi="ar-SY"/>
              </w:rPr>
              <w:t>2023-2022</w:t>
            </w:r>
          </w:p>
        </w:tc>
      </w:tr>
      <w:tr w:rsidR="00497A51" w:rsidRPr="00FC7F4B" w14:paraId="18E5EBF2" w14:textId="77777777" w:rsidTr="00EF3005">
        <w:trPr>
          <w:jc w:val="center"/>
        </w:trPr>
        <w:tc>
          <w:tcPr>
            <w:tcW w:w="4961" w:type="dxa"/>
            <w:noWrap/>
            <w:vAlign w:val="bottom"/>
            <w:hideMark/>
          </w:tcPr>
          <w:p w14:paraId="253769B4" w14:textId="77777777" w:rsidR="00497A51" w:rsidRPr="00620DF3" w:rsidRDefault="00497A51" w:rsidP="00AA4D58">
            <w:pPr>
              <w:pStyle w:val="Tabletexte"/>
              <w:rPr>
                <w:b/>
                <w:bCs/>
                <w:rtl/>
              </w:rPr>
            </w:pPr>
            <w:r w:rsidRPr="00620DF3">
              <w:rPr>
                <w:b/>
                <w:bCs/>
                <w:rtl/>
              </w:rPr>
              <w:t>الإيرادات</w:t>
            </w:r>
          </w:p>
        </w:tc>
        <w:tc>
          <w:tcPr>
            <w:tcW w:w="1559" w:type="dxa"/>
            <w:noWrap/>
            <w:vAlign w:val="bottom"/>
            <w:hideMark/>
          </w:tcPr>
          <w:p w14:paraId="59DEF7EE" w14:textId="77777777" w:rsidR="00497A51" w:rsidRPr="00FC7F4B" w:rsidRDefault="00497A51" w:rsidP="00AA4D58">
            <w:pPr>
              <w:pStyle w:val="Tabletexte"/>
            </w:pPr>
          </w:p>
        </w:tc>
        <w:tc>
          <w:tcPr>
            <w:tcW w:w="1701" w:type="dxa"/>
            <w:noWrap/>
            <w:vAlign w:val="bottom"/>
            <w:hideMark/>
          </w:tcPr>
          <w:p w14:paraId="59DA419F" w14:textId="77777777" w:rsidR="00497A51" w:rsidRPr="00FC7F4B" w:rsidRDefault="00497A51" w:rsidP="00AA4D58">
            <w:pPr>
              <w:pStyle w:val="Tabletexte"/>
              <w:rPr>
                <w:rFonts w:cs="Arial"/>
              </w:rPr>
            </w:pPr>
          </w:p>
        </w:tc>
        <w:tc>
          <w:tcPr>
            <w:tcW w:w="1418" w:type="dxa"/>
            <w:noWrap/>
            <w:vAlign w:val="bottom"/>
            <w:hideMark/>
          </w:tcPr>
          <w:p w14:paraId="25145AA3" w14:textId="77777777" w:rsidR="00497A51" w:rsidRPr="00FC7F4B" w:rsidRDefault="00497A51" w:rsidP="00AA4D58">
            <w:pPr>
              <w:pStyle w:val="Tabletexte"/>
              <w:rPr>
                <w:rFonts w:cs="Arial"/>
              </w:rPr>
            </w:pPr>
          </w:p>
        </w:tc>
      </w:tr>
      <w:tr w:rsidR="00AA4D58" w:rsidRPr="00FC7F4B" w14:paraId="24C61257" w14:textId="77777777" w:rsidTr="00AA4D58">
        <w:trPr>
          <w:trHeight w:val="57"/>
          <w:jc w:val="center"/>
        </w:trPr>
        <w:tc>
          <w:tcPr>
            <w:tcW w:w="4961" w:type="dxa"/>
            <w:noWrap/>
            <w:hideMark/>
          </w:tcPr>
          <w:p w14:paraId="47995664" w14:textId="77777777" w:rsidR="00AA4D58" w:rsidRPr="00FC7F4B" w:rsidRDefault="00AA4D58" w:rsidP="00AA4D58">
            <w:pPr>
              <w:pStyle w:val="Tabletexte"/>
            </w:pPr>
            <w:r w:rsidRPr="00FC7F4B">
              <w:rPr>
                <w:rtl/>
              </w:rPr>
              <w:t>الإيرادات المتصلة بمساحة العرض والحدث</w:t>
            </w:r>
          </w:p>
        </w:tc>
        <w:tc>
          <w:tcPr>
            <w:tcW w:w="1559" w:type="dxa"/>
            <w:noWrap/>
            <w:vAlign w:val="bottom"/>
          </w:tcPr>
          <w:p w14:paraId="60940C00" w14:textId="2DA7A59C" w:rsidR="00AA4D58" w:rsidRPr="00FC7F4B" w:rsidRDefault="00AA4D58" w:rsidP="00AA4D58">
            <w:pPr>
              <w:pStyle w:val="Tabletexte"/>
            </w:pPr>
            <w:r w:rsidRPr="004A29FB">
              <w:rPr>
                <w:rFonts w:ascii="Calibri" w:hAnsi="Calibri" w:cs="Calibri"/>
                <w:lang w:val="fr-FR" w:eastAsia="fr-FR"/>
              </w:rPr>
              <w:t>3</w:t>
            </w:r>
            <w:r>
              <w:rPr>
                <w:rFonts w:ascii="Calibri" w:hAnsi="Calibri" w:cs="Calibri"/>
                <w:lang w:val="fr-FR" w:eastAsia="fr-FR"/>
              </w:rPr>
              <w:t> </w:t>
            </w:r>
            <w:r w:rsidRPr="004A29FB">
              <w:rPr>
                <w:rFonts w:ascii="Calibri" w:hAnsi="Calibri" w:cs="Calibri"/>
                <w:lang w:val="fr-FR" w:eastAsia="fr-FR"/>
              </w:rPr>
              <w:t>060</w:t>
            </w:r>
          </w:p>
        </w:tc>
        <w:tc>
          <w:tcPr>
            <w:tcW w:w="1701" w:type="dxa"/>
            <w:noWrap/>
            <w:vAlign w:val="bottom"/>
          </w:tcPr>
          <w:p w14:paraId="2A9D3564" w14:textId="0F3A7F11" w:rsidR="00AA4D58" w:rsidRPr="00FC7F4B" w:rsidRDefault="00AA4D58" w:rsidP="00AA4D58">
            <w:pPr>
              <w:pStyle w:val="Tabletexte"/>
              <w:rPr>
                <w:rtl/>
              </w:rPr>
            </w:pPr>
            <w:r w:rsidRPr="004A29FB">
              <w:rPr>
                <w:rFonts w:ascii="Calibri" w:hAnsi="Calibri" w:cs="Calibri"/>
                <w:lang w:val="fr-FR" w:eastAsia="fr-FR"/>
              </w:rPr>
              <w:t>3</w:t>
            </w:r>
            <w:r>
              <w:rPr>
                <w:rFonts w:ascii="Calibri" w:hAnsi="Calibri" w:cs="Calibri"/>
                <w:lang w:val="fr-FR" w:eastAsia="fr-FR"/>
              </w:rPr>
              <w:t> </w:t>
            </w:r>
            <w:r w:rsidRPr="004A29FB">
              <w:rPr>
                <w:rFonts w:ascii="Calibri" w:hAnsi="Calibri" w:cs="Calibri"/>
                <w:lang w:val="fr-FR" w:eastAsia="fr-FR"/>
              </w:rPr>
              <w:t>600</w:t>
            </w:r>
          </w:p>
        </w:tc>
        <w:tc>
          <w:tcPr>
            <w:tcW w:w="1418" w:type="dxa"/>
            <w:noWrap/>
            <w:vAlign w:val="bottom"/>
          </w:tcPr>
          <w:p w14:paraId="6C160B8D" w14:textId="1C4F6916" w:rsidR="00AA4D58" w:rsidRPr="00FC7F4B" w:rsidRDefault="00AA4D58" w:rsidP="00AA4D58">
            <w:pPr>
              <w:pStyle w:val="Tabletexte"/>
            </w:pPr>
            <w:r w:rsidRPr="004A29FB">
              <w:rPr>
                <w:rFonts w:ascii="Calibri" w:hAnsi="Calibri" w:cs="Calibri"/>
                <w:lang w:val="fr-FR" w:eastAsia="fr-FR"/>
              </w:rPr>
              <w:t>6</w:t>
            </w:r>
            <w:r>
              <w:rPr>
                <w:rFonts w:ascii="Calibri" w:hAnsi="Calibri" w:cs="Calibri"/>
                <w:lang w:val="fr-FR" w:eastAsia="fr-FR"/>
              </w:rPr>
              <w:t> </w:t>
            </w:r>
            <w:r w:rsidRPr="004A29FB">
              <w:rPr>
                <w:rFonts w:ascii="Calibri" w:hAnsi="Calibri" w:cs="Calibri"/>
                <w:lang w:val="fr-FR" w:eastAsia="fr-FR"/>
              </w:rPr>
              <w:t>660</w:t>
            </w:r>
          </w:p>
        </w:tc>
      </w:tr>
      <w:tr w:rsidR="00AA4D58" w:rsidRPr="00FC7F4B" w14:paraId="7B35BADF" w14:textId="77777777" w:rsidTr="00AA4D58">
        <w:trPr>
          <w:trHeight w:val="57"/>
          <w:jc w:val="center"/>
        </w:trPr>
        <w:tc>
          <w:tcPr>
            <w:tcW w:w="4961" w:type="dxa"/>
            <w:noWrap/>
            <w:hideMark/>
          </w:tcPr>
          <w:p w14:paraId="5DBA5FA8" w14:textId="798983BF" w:rsidR="00AA4D58" w:rsidRPr="00FC7F4B" w:rsidRDefault="00C15BEB" w:rsidP="00AA4D58">
            <w:pPr>
              <w:pStyle w:val="Tabletexte"/>
              <w:rPr>
                <w:rFonts w:eastAsia="Arial Unicode MS"/>
              </w:rPr>
            </w:pPr>
            <w:r>
              <w:rPr>
                <w:rFonts w:hint="cs"/>
                <w:rtl/>
              </w:rPr>
              <w:t>بطاقات</w:t>
            </w:r>
            <w:r w:rsidRPr="00FC7F4B">
              <w:rPr>
                <w:rtl/>
              </w:rPr>
              <w:t xml:space="preserve"> </w:t>
            </w:r>
            <w:r w:rsidR="00AA4D58" w:rsidRPr="00FC7F4B">
              <w:rPr>
                <w:rtl/>
              </w:rPr>
              <w:t>الدخول</w:t>
            </w:r>
          </w:p>
        </w:tc>
        <w:tc>
          <w:tcPr>
            <w:tcW w:w="1559" w:type="dxa"/>
            <w:noWrap/>
            <w:vAlign w:val="bottom"/>
          </w:tcPr>
          <w:p w14:paraId="51F497E2" w14:textId="27B4F53E" w:rsidR="00AA4D58" w:rsidRPr="00FC7F4B" w:rsidRDefault="00AA4D58" w:rsidP="00AA4D58">
            <w:pPr>
              <w:pStyle w:val="Tabletexte"/>
            </w:pPr>
            <w:r w:rsidRPr="004A29FB">
              <w:rPr>
                <w:rFonts w:ascii="Calibri" w:hAnsi="Calibri" w:cs="Calibri"/>
                <w:lang w:val="fr-FR" w:eastAsia="fr-FR"/>
              </w:rPr>
              <w:t>170</w:t>
            </w:r>
          </w:p>
        </w:tc>
        <w:tc>
          <w:tcPr>
            <w:tcW w:w="1701" w:type="dxa"/>
            <w:noWrap/>
            <w:vAlign w:val="bottom"/>
          </w:tcPr>
          <w:p w14:paraId="2F738980" w14:textId="43183E0A" w:rsidR="00AA4D58" w:rsidRPr="00FC7F4B" w:rsidRDefault="00AA4D58" w:rsidP="00AA4D58">
            <w:pPr>
              <w:pStyle w:val="Tabletexte"/>
            </w:pPr>
            <w:r w:rsidRPr="004A29FB">
              <w:rPr>
                <w:rFonts w:ascii="Calibri" w:hAnsi="Calibri" w:cs="Calibri"/>
                <w:lang w:val="fr-FR" w:eastAsia="fr-FR"/>
              </w:rPr>
              <w:t>200</w:t>
            </w:r>
          </w:p>
        </w:tc>
        <w:tc>
          <w:tcPr>
            <w:tcW w:w="1418" w:type="dxa"/>
            <w:noWrap/>
            <w:vAlign w:val="bottom"/>
          </w:tcPr>
          <w:p w14:paraId="7E6EC984" w14:textId="268E5BED" w:rsidR="00AA4D58" w:rsidRPr="00FC7F4B" w:rsidRDefault="00AA4D58" w:rsidP="00AA4D58">
            <w:pPr>
              <w:pStyle w:val="Tabletexte"/>
            </w:pPr>
            <w:r w:rsidRPr="004A29FB">
              <w:rPr>
                <w:rFonts w:ascii="Calibri" w:hAnsi="Calibri" w:cs="Calibri"/>
                <w:lang w:val="fr-FR" w:eastAsia="fr-FR"/>
              </w:rPr>
              <w:t>370</w:t>
            </w:r>
          </w:p>
        </w:tc>
      </w:tr>
      <w:tr w:rsidR="00AA4D58" w:rsidRPr="00FC7F4B" w14:paraId="1279A570" w14:textId="77777777" w:rsidTr="00AA4D58">
        <w:trPr>
          <w:trHeight w:val="57"/>
          <w:jc w:val="center"/>
        </w:trPr>
        <w:tc>
          <w:tcPr>
            <w:tcW w:w="4961" w:type="dxa"/>
            <w:noWrap/>
            <w:hideMark/>
          </w:tcPr>
          <w:p w14:paraId="574EE8D5" w14:textId="77777777" w:rsidR="00AA4D58" w:rsidRPr="00FC7F4B" w:rsidRDefault="00AA4D58" w:rsidP="00AA4D58">
            <w:pPr>
              <w:pStyle w:val="Tabletexte"/>
              <w:rPr>
                <w:rFonts w:eastAsia="Arial Unicode MS"/>
              </w:rPr>
            </w:pPr>
            <w:r w:rsidRPr="00FC7F4B">
              <w:rPr>
                <w:rtl/>
              </w:rPr>
              <w:t>جهات الرعاية والمساهمات</w:t>
            </w:r>
          </w:p>
        </w:tc>
        <w:tc>
          <w:tcPr>
            <w:tcW w:w="1559" w:type="dxa"/>
            <w:noWrap/>
            <w:vAlign w:val="bottom"/>
          </w:tcPr>
          <w:p w14:paraId="09471BE8" w14:textId="05CB918C" w:rsidR="00AA4D58" w:rsidRPr="00FC7F4B" w:rsidRDefault="00AA4D58" w:rsidP="00AA4D58">
            <w:pPr>
              <w:pStyle w:val="Tabletexte"/>
            </w:pPr>
            <w:r w:rsidRPr="004A29FB">
              <w:rPr>
                <w:rFonts w:ascii="Calibri" w:hAnsi="Calibri" w:cs="Calibri"/>
                <w:lang w:val="fr-FR" w:eastAsia="fr-FR"/>
              </w:rPr>
              <w:t>3</w:t>
            </w:r>
            <w:r>
              <w:rPr>
                <w:rFonts w:ascii="Calibri" w:hAnsi="Calibri" w:cs="Calibri"/>
                <w:lang w:val="fr-FR" w:eastAsia="fr-FR"/>
              </w:rPr>
              <w:t> </w:t>
            </w:r>
            <w:r w:rsidRPr="004A29FB">
              <w:rPr>
                <w:rFonts w:ascii="Calibri" w:hAnsi="Calibri" w:cs="Calibri"/>
                <w:lang w:val="fr-FR" w:eastAsia="fr-FR"/>
              </w:rPr>
              <w:t>655</w:t>
            </w:r>
          </w:p>
        </w:tc>
        <w:tc>
          <w:tcPr>
            <w:tcW w:w="1701" w:type="dxa"/>
            <w:noWrap/>
            <w:vAlign w:val="bottom"/>
          </w:tcPr>
          <w:p w14:paraId="080655AC" w14:textId="7E0E4CC3" w:rsidR="00AA4D58" w:rsidRPr="00FC7F4B" w:rsidRDefault="00AA4D58" w:rsidP="00AA4D58">
            <w:pPr>
              <w:pStyle w:val="Tabletexte"/>
            </w:pPr>
            <w:r w:rsidRPr="004A29FB">
              <w:rPr>
                <w:rFonts w:ascii="Calibri" w:hAnsi="Calibri" w:cs="Calibri"/>
                <w:lang w:val="fr-FR" w:eastAsia="fr-FR"/>
              </w:rPr>
              <w:t>4</w:t>
            </w:r>
            <w:r>
              <w:rPr>
                <w:rFonts w:ascii="Calibri" w:hAnsi="Calibri" w:cs="Calibri"/>
                <w:lang w:val="fr-FR" w:eastAsia="fr-FR"/>
              </w:rPr>
              <w:t> </w:t>
            </w:r>
            <w:r w:rsidRPr="004A29FB">
              <w:rPr>
                <w:rFonts w:ascii="Calibri" w:hAnsi="Calibri" w:cs="Calibri"/>
                <w:lang w:val="fr-FR" w:eastAsia="fr-FR"/>
              </w:rPr>
              <w:t>300</w:t>
            </w:r>
          </w:p>
        </w:tc>
        <w:tc>
          <w:tcPr>
            <w:tcW w:w="1418" w:type="dxa"/>
            <w:noWrap/>
            <w:vAlign w:val="bottom"/>
          </w:tcPr>
          <w:p w14:paraId="76115869" w14:textId="77D22884" w:rsidR="00AA4D58" w:rsidRPr="00FC7F4B" w:rsidRDefault="00AA4D58" w:rsidP="00AA4D58">
            <w:pPr>
              <w:pStyle w:val="Tabletexte"/>
            </w:pPr>
            <w:r w:rsidRPr="004A29FB">
              <w:rPr>
                <w:rFonts w:ascii="Calibri" w:hAnsi="Calibri" w:cs="Calibri"/>
                <w:lang w:val="fr-FR" w:eastAsia="fr-FR"/>
              </w:rPr>
              <w:t>7</w:t>
            </w:r>
            <w:r>
              <w:rPr>
                <w:rFonts w:ascii="Calibri" w:hAnsi="Calibri" w:cs="Calibri"/>
                <w:lang w:val="fr-FR" w:eastAsia="fr-FR"/>
              </w:rPr>
              <w:t> </w:t>
            </w:r>
            <w:r w:rsidRPr="004A29FB">
              <w:rPr>
                <w:rFonts w:ascii="Calibri" w:hAnsi="Calibri" w:cs="Calibri"/>
                <w:lang w:val="fr-FR" w:eastAsia="fr-FR"/>
              </w:rPr>
              <w:t>955</w:t>
            </w:r>
          </w:p>
        </w:tc>
      </w:tr>
      <w:tr w:rsidR="00AA4D58" w:rsidRPr="00FC7F4B" w14:paraId="3E794505" w14:textId="77777777" w:rsidTr="00AA4D58">
        <w:trPr>
          <w:trHeight w:val="57"/>
          <w:jc w:val="center"/>
        </w:trPr>
        <w:tc>
          <w:tcPr>
            <w:tcW w:w="4961" w:type="dxa"/>
            <w:tcBorders>
              <w:top w:val="single" w:sz="4" w:space="0" w:color="auto"/>
              <w:left w:val="nil"/>
              <w:bottom w:val="single" w:sz="4" w:space="0" w:color="auto"/>
              <w:right w:val="nil"/>
            </w:tcBorders>
            <w:noWrap/>
            <w:vAlign w:val="bottom"/>
            <w:hideMark/>
          </w:tcPr>
          <w:p w14:paraId="5FCC85BD" w14:textId="77777777" w:rsidR="00AA4D58" w:rsidRPr="00A95C50" w:rsidRDefault="00AA4D58" w:rsidP="00AA4D58">
            <w:pPr>
              <w:pStyle w:val="Tabletexte"/>
              <w:rPr>
                <w:b/>
                <w:bCs/>
                <w:i/>
                <w:iCs/>
              </w:rPr>
            </w:pPr>
            <w:r w:rsidRPr="00A95C50">
              <w:rPr>
                <w:b/>
                <w:bCs/>
                <w:i/>
                <w:iCs/>
                <w:rtl/>
                <w:lang w:bidi="ar-EG"/>
              </w:rPr>
              <w:t xml:space="preserve">مجموع الإيرادات </w:t>
            </w:r>
            <w:r w:rsidRPr="00A95C50">
              <w:rPr>
                <w:b/>
                <w:bCs/>
                <w:i/>
                <w:iCs/>
                <w:lang w:val="en-GB"/>
              </w:rPr>
              <w:t>(A)</w:t>
            </w:r>
          </w:p>
        </w:tc>
        <w:tc>
          <w:tcPr>
            <w:tcW w:w="1559" w:type="dxa"/>
            <w:tcBorders>
              <w:top w:val="single" w:sz="4" w:space="0" w:color="auto"/>
              <w:left w:val="nil"/>
              <w:bottom w:val="single" w:sz="4" w:space="0" w:color="auto"/>
              <w:right w:val="nil"/>
            </w:tcBorders>
            <w:noWrap/>
            <w:vAlign w:val="bottom"/>
          </w:tcPr>
          <w:p w14:paraId="44338B83" w14:textId="68CA2DF7" w:rsidR="00AA4D58" w:rsidRPr="00A95C50" w:rsidRDefault="00AA4D58" w:rsidP="00AA4D58">
            <w:pPr>
              <w:pStyle w:val="Tabletexte"/>
              <w:rPr>
                <w:b/>
                <w:bCs/>
                <w:i/>
                <w:iCs/>
              </w:rPr>
            </w:pPr>
            <w:r w:rsidRPr="004A29FB">
              <w:rPr>
                <w:rFonts w:ascii="Calibri" w:hAnsi="Calibri" w:cs="Calibri"/>
                <w:b/>
                <w:bCs/>
                <w:i/>
                <w:iCs/>
                <w:lang w:val="fr-FR" w:eastAsia="fr-FR"/>
              </w:rPr>
              <w:t>6</w:t>
            </w:r>
            <w:r>
              <w:rPr>
                <w:rFonts w:ascii="Calibri" w:hAnsi="Calibri" w:cs="Calibri"/>
                <w:b/>
                <w:bCs/>
                <w:i/>
                <w:iCs/>
                <w:lang w:val="fr-FR" w:eastAsia="fr-FR"/>
              </w:rPr>
              <w:t> </w:t>
            </w:r>
            <w:r w:rsidRPr="004A29FB">
              <w:rPr>
                <w:rFonts w:ascii="Calibri" w:hAnsi="Calibri" w:cs="Calibri"/>
                <w:b/>
                <w:bCs/>
                <w:i/>
                <w:iCs/>
                <w:lang w:val="fr-FR" w:eastAsia="fr-FR"/>
              </w:rPr>
              <w:t>885</w:t>
            </w:r>
          </w:p>
        </w:tc>
        <w:tc>
          <w:tcPr>
            <w:tcW w:w="1701" w:type="dxa"/>
            <w:tcBorders>
              <w:top w:val="single" w:sz="4" w:space="0" w:color="auto"/>
              <w:left w:val="nil"/>
              <w:bottom w:val="single" w:sz="4" w:space="0" w:color="auto"/>
              <w:right w:val="nil"/>
            </w:tcBorders>
            <w:noWrap/>
            <w:vAlign w:val="bottom"/>
          </w:tcPr>
          <w:p w14:paraId="087BF0FE" w14:textId="04DB38FA" w:rsidR="00AA4D58" w:rsidRPr="00A95C50" w:rsidRDefault="00AA4D58" w:rsidP="00AA4D58">
            <w:pPr>
              <w:pStyle w:val="Tabletexte"/>
              <w:rPr>
                <w:b/>
                <w:bCs/>
                <w:i/>
                <w:iCs/>
              </w:rPr>
            </w:pPr>
            <w:r w:rsidRPr="004A29FB">
              <w:rPr>
                <w:rFonts w:ascii="Calibri" w:hAnsi="Calibri" w:cs="Calibri"/>
                <w:b/>
                <w:bCs/>
                <w:i/>
                <w:iCs/>
                <w:lang w:val="fr-FR" w:eastAsia="fr-FR"/>
              </w:rPr>
              <w:t>8</w:t>
            </w:r>
            <w:r>
              <w:rPr>
                <w:rFonts w:ascii="Calibri" w:hAnsi="Calibri" w:cs="Calibri"/>
                <w:b/>
                <w:bCs/>
                <w:i/>
                <w:iCs/>
                <w:lang w:val="fr-FR" w:eastAsia="fr-FR"/>
              </w:rPr>
              <w:t> </w:t>
            </w:r>
            <w:r w:rsidRPr="004A29FB">
              <w:rPr>
                <w:rFonts w:ascii="Calibri" w:hAnsi="Calibri" w:cs="Calibri"/>
                <w:b/>
                <w:bCs/>
                <w:i/>
                <w:iCs/>
                <w:lang w:val="fr-FR" w:eastAsia="fr-FR"/>
              </w:rPr>
              <w:t>100</w:t>
            </w:r>
          </w:p>
        </w:tc>
        <w:tc>
          <w:tcPr>
            <w:tcW w:w="1418" w:type="dxa"/>
            <w:tcBorders>
              <w:top w:val="single" w:sz="4" w:space="0" w:color="auto"/>
              <w:left w:val="nil"/>
              <w:bottom w:val="single" w:sz="4" w:space="0" w:color="auto"/>
              <w:right w:val="nil"/>
            </w:tcBorders>
            <w:noWrap/>
            <w:vAlign w:val="bottom"/>
          </w:tcPr>
          <w:p w14:paraId="15D8EFEE" w14:textId="5D3B63D8" w:rsidR="00AA4D58" w:rsidRPr="006517CB" w:rsidRDefault="00AA4D58" w:rsidP="00AA4D58">
            <w:pPr>
              <w:pStyle w:val="Tabletexte"/>
              <w:rPr>
                <w:b/>
                <w:bCs/>
              </w:rPr>
            </w:pPr>
            <w:r w:rsidRPr="004A29FB">
              <w:rPr>
                <w:rFonts w:ascii="Calibri" w:hAnsi="Calibri" w:cs="Calibri"/>
                <w:b/>
                <w:bCs/>
                <w:lang w:val="fr-FR" w:eastAsia="fr-FR"/>
              </w:rPr>
              <w:t>14</w:t>
            </w:r>
            <w:r>
              <w:rPr>
                <w:rFonts w:ascii="Calibri" w:hAnsi="Calibri" w:cs="Calibri"/>
                <w:b/>
                <w:bCs/>
                <w:lang w:val="fr-FR" w:eastAsia="fr-FR"/>
              </w:rPr>
              <w:t> </w:t>
            </w:r>
            <w:r w:rsidRPr="004A29FB">
              <w:rPr>
                <w:rFonts w:ascii="Calibri" w:hAnsi="Calibri" w:cs="Calibri"/>
                <w:b/>
                <w:bCs/>
                <w:lang w:val="fr-FR" w:eastAsia="fr-FR"/>
              </w:rPr>
              <w:t>985</w:t>
            </w:r>
          </w:p>
        </w:tc>
      </w:tr>
      <w:tr w:rsidR="00497A51" w:rsidRPr="00FC7F4B" w14:paraId="31AC9995" w14:textId="77777777" w:rsidTr="00AA4D58">
        <w:trPr>
          <w:trHeight w:val="57"/>
          <w:jc w:val="center"/>
        </w:trPr>
        <w:tc>
          <w:tcPr>
            <w:tcW w:w="4961" w:type="dxa"/>
            <w:noWrap/>
            <w:vAlign w:val="bottom"/>
            <w:hideMark/>
          </w:tcPr>
          <w:p w14:paraId="4D599633" w14:textId="77777777" w:rsidR="00497A51" w:rsidRPr="00FC7F4B" w:rsidRDefault="00497A51" w:rsidP="00AA4D58">
            <w:pPr>
              <w:pStyle w:val="Tabletexte"/>
              <w:rPr>
                <w:i/>
                <w:iCs/>
              </w:rPr>
            </w:pPr>
          </w:p>
        </w:tc>
        <w:tc>
          <w:tcPr>
            <w:tcW w:w="1559" w:type="dxa"/>
            <w:noWrap/>
            <w:vAlign w:val="bottom"/>
          </w:tcPr>
          <w:p w14:paraId="00E40403" w14:textId="77777777" w:rsidR="00497A51" w:rsidRPr="00FC7F4B" w:rsidRDefault="00497A51" w:rsidP="00AA4D58">
            <w:pPr>
              <w:pStyle w:val="Tabletexte"/>
              <w:rPr>
                <w:rFonts w:cs="Arial"/>
              </w:rPr>
            </w:pPr>
          </w:p>
        </w:tc>
        <w:tc>
          <w:tcPr>
            <w:tcW w:w="1701" w:type="dxa"/>
            <w:noWrap/>
            <w:vAlign w:val="bottom"/>
          </w:tcPr>
          <w:p w14:paraId="467AA6A1" w14:textId="77777777" w:rsidR="00497A51" w:rsidRPr="00FC7F4B" w:rsidRDefault="00497A51" w:rsidP="00AA4D58">
            <w:pPr>
              <w:pStyle w:val="Tabletexte"/>
              <w:rPr>
                <w:rFonts w:cs="Arial"/>
              </w:rPr>
            </w:pPr>
          </w:p>
        </w:tc>
        <w:tc>
          <w:tcPr>
            <w:tcW w:w="1418" w:type="dxa"/>
            <w:noWrap/>
            <w:vAlign w:val="bottom"/>
          </w:tcPr>
          <w:p w14:paraId="6A574986" w14:textId="77777777" w:rsidR="00497A51" w:rsidRPr="00FC7F4B" w:rsidRDefault="00497A51" w:rsidP="00AA4D58">
            <w:pPr>
              <w:pStyle w:val="Tabletexte"/>
              <w:rPr>
                <w:rFonts w:cs="Arial"/>
              </w:rPr>
            </w:pPr>
          </w:p>
        </w:tc>
      </w:tr>
      <w:tr w:rsidR="00AA4D58" w:rsidRPr="00FC7F4B" w14:paraId="732B579A" w14:textId="77777777" w:rsidTr="00AA4D58">
        <w:trPr>
          <w:trHeight w:val="57"/>
          <w:jc w:val="center"/>
        </w:trPr>
        <w:tc>
          <w:tcPr>
            <w:tcW w:w="4961" w:type="dxa"/>
            <w:noWrap/>
            <w:vAlign w:val="bottom"/>
            <w:hideMark/>
          </w:tcPr>
          <w:p w14:paraId="458CC54A" w14:textId="77777777" w:rsidR="00AA4D58" w:rsidRPr="00620DF3" w:rsidRDefault="00AA4D58" w:rsidP="00AA4D58">
            <w:pPr>
              <w:pStyle w:val="Tabletexte"/>
              <w:rPr>
                <w:b/>
                <w:bCs/>
                <w:lang w:bidi="ar-EG"/>
              </w:rPr>
            </w:pPr>
            <w:r w:rsidRPr="00620DF3">
              <w:rPr>
                <w:b/>
                <w:bCs/>
                <w:rtl/>
                <w:lang w:bidi="ar-EG"/>
              </w:rPr>
              <w:t>النفقات</w:t>
            </w:r>
          </w:p>
        </w:tc>
        <w:tc>
          <w:tcPr>
            <w:tcW w:w="1559" w:type="dxa"/>
            <w:noWrap/>
            <w:vAlign w:val="bottom"/>
          </w:tcPr>
          <w:p w14:paraId="447991C2" w14:textId="45CBF4AD" w:rsidR="00AA4D58" w:rsidRPr="00FC7F4B" w:rsidRDefault="00AA4D58" w:rsidP="00AA4D58">
            <w:pPr>
              <w:pStyle w:val="Tabletexte"/>
              <w:rPr>
                <w:rtl/>
                <w:lang w:bidi="ar-EG"/>
              </w:rPr>
            </w:pPr>
          </w:p>
        </w:tc>
        <w:tc>
          <w:tcPr>
            <w:tcW w:w="1701" w:type="dxa"/>
            <w:noWrap/>
            <w:vAlign w:val="bottom"/>
          </w:tcPr>
          <w:p w14:paraId="06D98C35" w14:textId="57FAA655" w:rsidR="00AA4D58" w:rsidRPr="00FC7F4B" w:rsidRDefault="00AA4D58" w:rsidP="00AA4D58">
            <w:pPr>
              <w:pStyle w:val="Tabletexte"/>
              <w:rPr>
                <w:rFonts w:cs="Arial"/>
              </w:rPr>
            </w:pPr>
          </w:p>
        </w:tc>
        <w:tc>
          <w:tcPr>
            <w:tcW w:w="1418" w:type="dxa"/>
            <w:noWrap/>
            <w:vAlign w:val="bottom"/>
          </w:tcPr>
          <w:p w14:paraId="62E480BA" w14:textId="689C872D" w:rsidR="00AA4D58" w:rsidRPr="00FC7F4B" w:rsidRDefault="00AA4D58" w:rsidP="00AA4D58">
            <w:pPr>
              <w:pStyle w:val="Tabletexte"/>
              <w:rPr>
                <w:rFonts w:cs="Arial"/>
              </w:rPr>
            </w:pPr>
          </w:p>
        </w:tc>
      </w:tr>
      <w:tr w:rsidR="0084196C" w:rsidRPr="00FC7F4B" w14:paraId="652EDAB5" w14:textId="77777777" w:rsidTr="00AA4D58">
        <w:trPr>
          <w:trHeight w:val="57"/>
          <w:jc w:val="center"/>
        </w:trPr>
        <w:tc>
          <w:tcPr>
            <w:tcW w:w="4961" w:type="dxa"/>
            <w:noWrap/>
            <w:hideMark/>
          </w:tcPr>
          <w:p w14:paraId="60CCAEB2" w14:textId="77777777" w:rsidR="0084196C" w:rsidRPr="00FC7F4B" w:rsidRDefault="0084196C" w:rsidP="0084196C">
            <w:pPr>
              <w:pStyle w:val="Tabletexte"/>
            </w:pPr>
            <w:r w:rsidRPr="00FC7F4B">
              <w:rPr>
                <w:rtl/>
              </w:rPr>
              <w:t xml:space="preserve">النفقات الأساسية (الجدول </w:t>
            </w:r>
            <w:r w:rsidRPr="00FC7F4B">
              <w:t>1</w:t>
            </w:r>
            <w:r w:rsidRPr="00FC7F4B">
              <w:rPr>
                <w:rtl/>
              </w:rPr>
              <w:t>)</w:t>
            </w:r>
          </w:p>
        </w:tc>
        <w:tc>
          <w:tcPr>
            <w:tcW w:w="1559" w:type="dxa"/>
            <w:noWrap/>
            <w:vAlign w:val="bottom"/>
          </w:tcPr>
          <w:p w14:paraId="2756D754" w14:textId="22A706AB" w:rsidR="0084196C" w:rsidRPr="00FC7F4B" w:rsidRDefault="0084196C" w:rsidP="0084196C">
            <w:pPr>
              <w:pStyle w:val="Tabletexte"/>
              <w:rPr>
                <w:rtl/>
              </w:rPr>
            </w:pPr>
            <w:r w:rsidRPr="004A29FB">
              <w:rPr>
                <w:rFonts w:ascii="Calibri" w:hAnsi="Calibri" w:cs="Calibri"/>
                <w:lang w:val="fr-FR" w:eastAsia="fr-FR"/>
              </w:rPr>
              <w:t>4</w:t>
            </w:r>
            <w:r>
              <w:rPr>
                <w:rFonts w:ascii="Calibri" w:hAnsi="Calibri" w:cs="Calibri"/>
                <w:lang w:val="fr-FR" w:eastAsia="fr-FR"/>
              </w:rPr>
              <w:t> </w:t>
            </w:r>
            <w:r w:rsidRPr="004A29FB">
              <w:rPr>
                <w:rFonts w:ascii="Calibri" w:hAnsi="Calibri" w:cs="Calibri"/>
                <w:lang w:val="fr-FR" w:eastAsia="fr-FR"/>
              </w:rPr>
              <w:t>328</w:t>
            </w:r>
          </w:p>
        </w:tc>
        <w:tc>
          <w:tcPr>
            <w:tcW w:w="1701" w:type="dxa"/>
            <w:noWrap/>
            <w:vAlign w:val="bottom"/>
          </w:tcPr>
          <w:p w14:paraId="498F843C" w14:textId="7CB79D2B" w:rsidR="0084196C" w:rsidRPr="00FC7F4B" w:rsidRDefault="0084196C" w:rsidP="0084196C">
            <w:pPr>
              <w:pStyle w:val="Tabletexte"/>
            </w:pPr>
            <w:r w:rsidRPr="004A29FB">
              <w:rPr>
                <w:rFonts w:ascii="Calibri" w:hAnsi="Calibri" w:cs="Calibri"/>
                <w:lang w:val="fr-FR" w:eastAsia="fr-FR"/>
              </w:rPr>
              <w:t>4</w:t>
            </w:r>
            <w:r>
              <w:rPr>
                <w:rFonts w:ascii="Calibri" w:hAnsi="Calibri" w:cs="Calibri"/>
                <w:lang w:val="fr-FR" w:eastAsia="fr-FR"/>
              </w:rPr>
              <w:t> </w:t>
            </w:r>
            <w:r w:rsidRPr="004A29FB">
              <w:rPr>
                <w:rFonts w:ascii="Calibri" w:hAnsi="Calibri" w:cs="Calibri"/>
                <w:lang w:val="fr-FR" w:eastAsia="fr-FR"/>
              </w:rPr>
              <w:t>328</w:t>
            </w:r>
          </w:p>
        </w:tc>
        <w:tc>
          <w:tcPr>
            <w:tcW w:w="1418" w:type="dxa"/>
            <w:noWrap/>
            <w:vAlign w:val="bottom"/>
          </w:tcPr>
          <w:p w14:paraId="21D0E005" w14:textId="2B156CAA" w:rsidR="0084196C" w:rsidRPr="00FC7F4B" w:rsidRDefault="0084196C" w:rsidP="0084196C">
            <w:pPr>
              <w:pStyle w:val="Tabletexte"/>
            </w:pPr>
            <w:r w:rsidRPr="004A29FB">
              <w:rPr>
                <w:rFonts w:ascii="Calibri" w:hAnsi="Calibri" w:cs="Calibri"/>
                <w:lang w:val="fr-FR" w:eastAsia="fr-FR"/>
              </w:rPr>
              <w:t>8</w:t>
            </w:r>
            <w:r>
              <w:rPr>
                <w:rFonts w:ascii="Calibri" w:hAnsi="Calibri" w:cs="Calibri"/>
                <w:lang w:val="fr-FR" w:eastAsia="fr-FR"/>
              </w:rPr>
              <w:t> </w:t>
            </w:r>
            <w:r w:rsidRPr="004A29FB">
              <w:rPr>
                <w:rFonts w:ascii="Calibri" w:hAnsi="Calibri" w:cs="Calibri"/>
                <w:lang w:val="fr-FR" w:eastAsia="fr-FR"/>
              </w:rPr>
              <w:t>656</w:t>
            </w:r>
          </w:p>
        </w:tc>
      </w:tr>
      <w:tr w:rsidR="0084196C" w:rsidRPr="00FC7F4B" w14:paraId="1466852E" w14:textId="77777777" w:rsidTr="00AA4D58">
        <w:trPr>
          <w:trHeight w:val="57"/>
          <w:jc w:val="center"/>
        </w:trPr>
        <w:tc>
          <w:tcPr>
            <w:tcW w:w="4961" w:type="dxa"/>
            <w:noWrap/>
            <w:hideMark/>
          </w:tcPr>
          <w:p w14:paraId="5189491D" w14:textId="77777777" w:rsidR="0084196C" w:rsidRPr="00FC7F4B" w:rsidRDefault="0084196C" w:rsidP="00C55D8F">
            <w:pPr>
              <w:pStyle w:val="Tabletexte"/>
              <w:jc w:val="left"/>
              <w:rPr>
                <w:rFonts w:eastAsia="Arial Unicode MS"/>
              </w:rPr>
            </w:pPr>
            <w:r w:rsidRPr="00FC7F4B">
              <w:rPr>
                <w:rtl/>
              </w:rPr>
              <w:t xml:space="preserve">التكاليف الخاصة بالموظفين وتكاليف أخرى </w:t>
            </w:r>
            <w:r w:rsidRPr="00FC7F4B">
              <w:rPr>
                <w:rFonts w:hint="cs"/>
                <w:rtl/>
              </w:rPr>
              <w:t>خاصة بالموظفين</w:t>
            </w:r>
            <w:r w:rsidRPr="00FC7F4B">
              <w:rPr>
                <w:rtl/>
              </w:rPr>
              <w:t xml:space="preserve"> (للحدث)</w:t>
            </w:r>
          </w:p>
        </w:tc>
        <w:tc>
          <w:tcPr>
            <w:tcW w:w="1559" w:type="dxa"/>
            <w:noWrap/>
            <w:vAlign w:val="bottom"/>
          </w:tcPr>
          <w:p w14:paraId="1AC6C4F0" w14:textId="6FF67AEA" w:rsidR="0084196C" w:rsidRPr="00FC7F4B" w:rsidRDefault="0084196C" w:rsidP="0084196C">
            <w:pPr>
              <w:pStyle w:val="Tabletexte"/>
            </w:pPr>
            <w:r w:rsidRPr="004A29FB">
              <w:rPr>
                <w:rFonts w:ascii="Calibri" w:hAnsi="Calibri" w:cs="Calibri"/>
                <w:lang w:val="fr-FR" w:eastAsia="fr-FR"/>
              </w:rPr>
              <w:t>102</w:t>
            </w:r>
          </w:p>
        </w:tc>
        <w:tc>
          <w:tcPr>
            <w:tcW w:w="1701" w:type="dxa"/>
            <w:noWrap/>
            <w:vAlign w:val="bottom"/>
          </w:tcPr>
          <w:p w14:paraId="567DF823" w14:textId="5DD655F2" w:rsidR="0084196C" w:rsidRPr="00FC7F4B" w:rsidRDefault="0084196C" w:rsidP="0084196C">
            <w:pPr>
              <w:pStyle w:val="Tabletexte"/>
            </w:pPr>
            <w:r w:rsidRPr="004A29FB">
              <w:rPr>
                <w:rFonts w:ascii="Calibri" w:hAnsi="Calibri" w:cs="Calibri"/>
                <w:lang w:val="fr-FR" w:eastAsia="fr-FR"/>
              </w:rPr>
              <w:t>120</w:t>
            </w:r>
          </w:p>
        </w:tc>
        <w:tc>
          <w:tcPr>
            <w:tcW w:w="1418" w:type="dxa"/>
            <w:noWrap/>
            <w:vAlign w:val="bottom"/>
          </w:tcPr>
          <w:p w14:paraId="39A54576" w14:textId="02AC1755" w:rsidR="0084196C" w:rsidRPr="00FC7F4B" w:rsidRDefault="0084196C" w:rsidP="0084196C">
            <w:pPr>
              <w:pStyle w:val="Tabletexte"/>
            </w:pPr>
            <w:r w:rsidRPr="004A29FB">
              <w:rPr>
                <w:rFonts w:ascii="Calibri" w:hAnsi="Calibri" w:cs="Calibri"/>
                <w:lang w:val="fr-FR" w:eastAsia="fr-FR"/>
              </w:rPr>
              <w:t>222</w:t>
            </w:r>
          </w:p>
        </w:tc>
      </w:tr>
      <w:tr w:rsidR="0084196C" w:rsidRPr="00FC7F4B" w14:paraId="09CB9136" w14:textId="77777777" w:rsidTr="00AA4D58">
        <w:trPr>
          <w:trHeight w:val="57"/>
          <w:jc w:val="center"/>
        </w:trPr>
        <w:tc>
          <w:tcPr>
            <w:tcW w:w="4961" w:type="dxa"/>
            <w:noWrap/>
            <w:hideMark/>
          </w:tcPr>
          <w:p w14:paraId="3C0FE9DD" w14:textId="77777777" w:rsidR="0084196C" w:rsidRPr="00FC7F4B" w:rsidRDefault="0084196C" w:rsidP="0084196C">
            <w:pPr>
              <w:pStyle w:val="Tabletexte"/>
              <w:rPr>
                <w:rFonts w:eastAsia="Arial Unicode MS"/>
                <w:lang w:bidi="ar-SA"/>
              </w:rPr>
            </w:pPr>
            <w:r w:rsidRPr="00FC7F4B">
              <w:rPr>
                <w:rtl/>
              </w:rPr>
              <w:t>تكاليف السفر</w:t>
            </w:r>
            <w:r w:rsidRPr="00FC7F4B">
              <w:rPr>
                <w:rFonts w:eastAsia="Arial Unicode MS"/>
                <w:rtl/>
                <w:lang w:bidi="ar-SA"/>
              </w:rPr>
              <w:t xml:space="preserve"> (للحدث)</w:t>
            </w:r>
          </w:p>
        </w:tc>
        <w:tc>
          <w:tcPr>
            <w:tcW w:w="1559" w:type="dxa"/>
            <w:noWrap/>
            <w:vAlign w:val="bottom"/>
          </w:tcPr>
          <w:p w14:paraId="498B86F2" w14:textId="1F07D95E" w:rsidR="0084196C" w:rsidRPr="00FC7F4B" w:rsidRDefault="0084196C" w:rsidP="0084196C">
            <w:pPr>
              <w:pStyle w:val="Tabletexte"/>
              <w:rPr>
                <w:rtl/>
              </w:rPr>
            </w:pPr>
            <w:r w:rsidRPr="004A29FB">
              <w:rPr>
                <w:rFonts w:ascii="Calibri" w:hAnsi="Calibri" w:cs="Calibri"/>
                <w:lang w:val="fr-FR" w:eastAsia="fr-FR"/>
              </w:rPr>
              <w:t>340</w:t>
            </w:r>
          </w:p>
        </w:tc>
        <w:tc>
          <w:tcPr>
            <w:tcW w:w="1701" w:type="dxa"/>
            <w:noWrap/>
            <w:vAlign w:val="bottom"/>
          </w:tcPr>
          <w:p w14:paraId="08C4CC95" w14:textId="0B2ABB8D" w:rsidR="0084196C" w:rsidRPr="00FC7F4B" w:rsidRDefault="0084196C" w:rsidP="0084196C">
            <w:pPr>
              <w:pStyle w:val="Tabletexte"/>
            </w:pPr>
            <w:r w:rsidRPr="004A29FB">
              <w:rPr>
                <w:rFonts w:ascii="Calibri" w:hAnsi="Calibri" w:cs="Calibri"/>
                <w:lang w:val="fr-FR" w:eastAsia="fr-FR"/>
              </w:rPr>
              <w:t>400</w:t>
            </w:r>
          </w:p>
        </w:tc>
        <w:tc>
          <w:tcPr>
            <w:tcW w:w="1418" w:type="dxa"/>
            <w:noWrap/>
            <w:vAlign w:val="bottom"/>
          </w:tcPr>
          <w:p w14:paraId="00E91B5E" w14:textId="0169D6E2" w:rsidR="0084196C" w:rsidRPr="00FC7F4B" w:rsidRDefault="0084196C" w:rsidP="0084196C">
            <w:pPr>
              <w:pStyle w:val="Tabletexte"/>
            </w:pPr>
            <w:r w:rsidRPr="004A29FB">
              <w:rPr>
                <w:rFonts w:ascii="Calibri" w:hAnsi="Calibri" w:cs="Calibri"/>
                <w:lang w:val="fr-FR" w:eastAsia="fr-FR"/>
              </w:rPr>
              <w:t>740</w:t>
            </w:r>
          </w:p>
        </w:tc>
      </w:tr>
      <w:tr w:rsidR="0084196C" w:rsidRPr="00FC7F4B" w14:paraId="5340C392" w14:textId="77777777" w:rsidTr="00AA4D58">
        <w:trPr>
          <w:trHeight w:val="57"/>
          <w:jc w:val="center"/>
        </w:trPr>
        <w:tc>
          <w:tcPr>
            <w:tcW w:w="4961" w:type="dxa"/>
            <w:noWrap/>
            <w:hideMark/>
          </w:tcPr>
          <w:p w14:paraId="618E7099" w14:textId="77777777" w:rsidR="0084196C" w:rsidRPr="00FC7F4B" w:rsidRDefault="0084196C" w:rsidP="0084196C">
            <w:pPr>
              <w:pStyle w:val="Tabletexte"/>
              <w:rPr>
                <w:rFonts w:eastAsia="Arial Unicode MS"/>
              </w:rPr>
            </w:pPr>
            <w:r w:rsidRPr="00FC7F4B">
              <w:rPr>
                <w:rtl/>
              </w:rPr>
              <w:t>الخدمات التعاقدية</w:t>
            </w:r>
            <w:r w:rsidRPr="00FC7F4B">
              <w:rPr>
                <w:rFonts w:eastAsia="Arial Unicode MS"/>
                <w:rtl/>
              </w:rPr>
              <w:t xml:space="preserve"> </w:t>
            </w:r>
            <w:r w:rsidRPr="00FC7F4B">
              <w:rPr>
                <w:rFonts w:eastAsia="Arial Unicode MS"/>
                <w:rtl/>
                <w:lang w:bidi="ar-SA"/>
              </w:rPr>
              <w:t>(للحدث)</w:t>
            </w:r>
          </w:p>
        </w:tc>
        <w:tc>
          <w:tcPr>
            <w:tcW w:w="1559" w:type="dxa"/>
            <w:noWrap/>
            <w:vAlign w:val="bottom"/>
          </w:tcPr>
          <w:p w14:paraId="30829AD3" w14:textId="54655A97" w:rsidR="0084196C" w:rsidRPr="00FC7F4B" w:rsidRDefault="0084196C" w:rsidP="0084196C">
            <w:pPr>
              <w:pStyle w:val="Tabletexte"/>
            </w:pPr>
            <w:r w:rsidRPr="004A29FB">
              <w:rPr>
                <w:rFonts w:ascii="Calibri" w:hAnsi="Calibri" w:cs="Calibri"/>
                <w:lang w:val="fr-FR" w:eastAsia="fr-FR"/>
              </w:rPr>
              <w:t>1</w:t>
            </w:r>
            <w:r>
              <w:rPr>
                <w:rFonts w:ascii="Calibri" w:hAnsi="Calibri" w:cs="Calibri"/>
                <w:lang w:val="fr-FR" w:eastAsia="fr-FR"/>
              </w:rPr>
              <w:t> </w:t>
            </w:r>
            <w:r w:rsidRPr="004A29FB">
              <w:rPr>
                <w:rFonts w:ascii="Calibri" w:hAnsi="Calibri" w:cs="Calibri"/>
                <w:lang w:val="fr-FR" w:eastAsia="fr-FR"/>
              </w:rPr>
              <w:t>190</w:t>
            </w:r>
          </w:p>
        </w:tc>
        <w:tc>
          <w:tcPr>
            <w:tcW w:w="1701" w:type="dxa"/>
            <w:noWrap/>
            <w:vAlign w:val="bottom"/>
          </w:tcPr>
          <w:p w14:paraId="1D7A6EC4" w14:textId="4F513F6D" w:rsidR="0084196C" w:rsidRPr="00FC7F4B" w:rsidRDefault="0084196C" w:rsidP="0084196C">
            <w:pPr>
              <w:pStyle w:val="Tabletexte"/>
            </w:pPr>
            <w:r w:rsidRPr="004A29FB">
              <w:rPr>
                <w:rFonts w:ascii="Calibri" w:hAnsi="Calibri" w:cs="Calibri"/>
                <w:lang w:val="fr-FR" w:eastAsia="fr-FR"/>
              </w:rPr>
              <w:t>1</w:t>
            </w:r>
            <w:r>
              <w:rPr>
                <w:rFonts w:ascii="Calibri" w:hAnsi="Calibri" w:cs="Calibri"/>
                <w:lang w:val="fr-FR" w:eastAsia="fr-FR"/>
              </w:rPr>
              <w:t> </w:t>
            </w:r>
            <w:r w:rsidRPr="004A29FB">
              <w:rPr>
                <w:rFonts w:ascii="Calibri" w:hAnsi="Calibri" w:cs="Calibri"/>
                <w:lang w:val="fr-FR" w:eastAsia="fr-FR"/>
              </w:rPr>
              <w:t>400</w:t>
            </w:r>
          </w:p>
        </w:tc>
        <w:tc>
          <w:tcPr>
            <w:tcW w:w="1418" w:type="dxa"/>
            <w:noWrap/>
            <w:vAlign w:val="bottom"/>
          </w:tcPr>
          <w:p w14:paraId="7CF80E12" w14:textId="7AFB2577" w:rsidR="0084196C" w:rsidRPr="00FC7F4B" w:rsidRDefault="0084196C" w:rsidP="0084196C">
            <w:pPr>
              <w:pStyle w:val="Tabletexte"/>
            </w:pPr>
            <w:r w:rsidRPr="004A29FB">
              <w:rPr>
                <w:rFonts w:ascii="Calibri" w:hAnsi="Calibri" w:cs="Calibri"/>
                <w:lang w:val="fr-FR" w:eastAsia="fr-FR"/>
              </w:rPr>
              <w:t>2</w:t>
            </w:r>
            <w:r>
              <w:rPr>
                <w:rFonts w:ascii="Calibri" w:hAnsi="Calibri" w:cs="Calibri"/>
                <w:lang w:val="fr-FR" w:eastAsia="fr-FR"/>
              </w:rPr>
              <w:t> </w:t>
            </w:r>
            <w:r w:rsidRPr="004A29FB">
              <w:rPr>
                <w:rFonts w:ascii="Calibri" w:hAnsi="Calibri" w:cs="Calibri"/>
                <w:lang w:val="fr-FR" w:eastAsia="fr-FR"/>
              </w:rPr>
              <w:t>590</w:t>
            </w:r>
          </w:p>
        </w:tc>
      </w:tr>
      <w:tr w:rsidR="0084196C" w:rsidRPr="00FC7F4B" w14:paraId="1923CEE1" w14:textId="77777777" w:rsidTr="00AA4D58">
        <w:trPr>
          <w:trHeight w:val="57"/>
          <w:jc w:val="center"/>
        </w:trPr>
        <w:tc>
          <w:tcPr>
            <w:tcW w:w="4961" w:type="dxa"/>
            <w:noWrap/>
            <w:hideMark/>
          </w:tcPr>
          <w:p w14:paraId="769B9BC4" w14:textId="77777777" w:rsidR="0084196C" w:rsidRPr="00FC7F4B" w:rsidRDefault="0084196C" w:rsidP="0084196C">
            <w:pPr>
              <w:pStyle w:val="Tabletexte"/>
              <w:rPr>
                <w:rFonts w:eastAsia="Arial Unicode MS"/>
              </w:rPr>
            </w:pPr>
            <w:r w:rsidRPr="00FC7F4B">
              <w:rPr>
                <w:rtl/>
              </w:rPr>
              <w:t>الاستئجار والصيانة</w:t>
            </w:r>
            <w:r w:rsidRPr="00FC7F4B">
              <w:rPr>
                <w:rFonts w:eastAsia="Arial Unicode MS"/>
                <w:rtl/>
              </w:rPr>
              <w:t xml:space="preserve"> </w:t>
            </w:r>
            <w:r w:rsidRPr="00FC7F4B">
              <w:rPr>
                <w:rFonts w:eastAsia="Arial Unicode MS"/>
                <w:rtl/>
                <w:lang w:bidi="ar-SA"/>
              </w:rPr>
              <w:t>(للحدث)</w:t>
            </w:r>
          </w:p>
        </w:tc>
        <w:tc>
          <w:tcPr>
            <w:tcW w:w="1559" w:type="dxa"/>
            <w:noWrap/>
            <w:vAlign w:val="bottom"/>
          </w:tcPr>
          <w:p w14:paraId="4AB3A557" w14:textId="0FD94384" w:rsidR="0084196C" w:rsidRPr="00FC7F4B" w:rsidRDefault="0084196C" w:rsidP="0084196C">
            <w:pPr>
              <w:pStyle w:val="Tabletexte"/>
            </w:pPr>
            <w:r w:rsidRPr="004A29FB">
              <w:rPr>
                <w:rFonts w:ascii="Calibri" w:hAnsi="Calibri" w:cs="Calibri"/>
                <w:lang w:val="fr-FR" w:eastAsia="fr-FR"/>
              </w:rPr>
              <w:t>468</w:t>
            </w:r>
          </w:p>
        </w:tc>
        <w:tc>
          <w:tcPr>
            <w:tcW w:w="1701" w:type="dxa"/>
            <w:noWrap/>
            <w:vAlign w:val="bottom"/>
          </w:tcPr>
          <w:p w14:paraId="68DACD40" w14:textId="1CFFC70B" w:rsidR="0084196C" w:rsidRPr="00FC7F4B" w:rsidRDefault="0084196C" w:rsidP="0084196C">
            <w:pPr>
              <w:pStyle w:val="Tabletexte"/>
            </w:pPr>
            <w:r w:rsidRPr="004A29FB">
              <w:rPr>
                <w:rFonts w:ascii="Calibri" w:hAnsi="Calibri" w:cs="Calibri"/>
                <w:lang w:val="fr-FR" w:eastAsia="fr-FR"/>
              </w:rPr>
              <w:t>550</w:t>
            </w:r>
          </w:p>
        </w:tc>
        <w:tc>
          <w:tcPr>
            <w:tcW w:w="1418" w:type="dxa"/>
            <w:noWrap/>
            <w:vAlign w:val="bottom"/>
          </w:tcPr>
          <w:p w14:paraId="2D00F781" w14:textId="1B83AB4B" w:rsidR="0084196C" w:rsidRPr="00FC7F4B" w:rsidRDefault="0084196C" w:rsidP="0084196C">
            <w:pPr>
              <w:pStyle w:val="Tabletexte"/>
            </w:pPr>
            <w:r w:rsidRPr="004A29FB">
              <w:rPr>
                <w:rFonts w:ascii="Calibri" w:hAnsi="Calibri" w:cs="Calibri"/>
                <w:lang w:val="fr-FR" w:eastAsia="fr-FR"/>
              </w:rPr>
              <w:t>1</w:t>
            </w:r>
            <w:r>
              <w:rPr>
                <w:rFonts w:ascii="Calibri" w:hAnsi="Calibri" w:cs="Calibri"/>
                <w:lang w:val="fr-FR" w:eastAsia="fr-FR"/>
              </w:rPr>
              <w:t> </w:t>
            </w:r>
            <w:r w:rsidRPr="004A29FB">
              <w:rPr>
                <w:rFonts w:ascii="Calibri" w:hAnsi="Calibri" w:cs="Calibri"/>
                <w:lang w:val="fr-FR" w:eastAsia="fr-FR"/>
              </w:rPr>
              <w:t>018</w:t>
            </w:r>
          </w:p>
        </w:tc>
      </w:tr>
      <w:tr w:rsidR="0084196C" w:rsidRPr="00FC7F4B" w14:paraId="5091F024" w14:textId="77777777" w:rsidTr="00AA4D58">
        <w:trPr>
          <w:trHeight w:val="57"/>
          <w:jc w:val="center"/>
        </w:trPr>
        <w:tc>
          <w:tcPr>
            <w:tcW w:w="4961" w:type="dxa"/>
            <w:noWrap/>
            <w:hideMark/>
          </w:tcPr>
          <w:p w14:paraId="0DC45E5D" w14:textId="77777777" w:rsidR="0084196C" w:rsidRPr="00FC7F4B" w:rsidRDefault="0084196C" w:rsidP="0084196C">
            <w:pPr>
              <w:pStyle w:val="Tabletexte"/>
              <w:rPr>
                <w:rFonts w:eastAsia="Arial Unicode MS"/>
              </w:rPr>
            </w:pPr>
            <w:r w:rsidRPr="00FC7F4B">
              <w:rPr>
                <w:rtl/>
              </w:rPr>
              <w:t>المواد واللوازم</w:t>
            </w:r>
            <w:r w:rsidRPr="00FC7F4B">
              <w:rPr>
                <w:rFonts w:eastAsia="Arial Unicode MS"/>
                <w:rtl/>
              </w:rPr>
              <w:t xml:space="preserve"> </w:t>
            </w:r>
            <w:r w:rsidRPr="00FC7F4B">
              <w:rPr>
                <w:rFonts w:eastAsia="Arial Unicode MS"/>
                <w:rtl/>
                <w:lang w:bidi="ar-SA"/>
              </w:rPr>
              <w:t>(للحدث)</w:t>
            </w:r>
          </w:p>
        </w:tc>
        <w:tc>
          <w:tcPr>
            <w:tcW w:w="1559" w:type="dxa"/>
            <w:noWrap/>
            <w:vAlign w:val="bottom"/>
          </w:tcPr>
          <w:p w14:paraId="4164DA58" w14:textId="254F1BDD" w:rsidR="0084196C" w:rsidRPr="00FC7F4B" w:rsidRDefault="0084196C" w:rsidP="0084196C">
            <w:pPr>
              <w:pStyle w:val="Tabletexte"/>
            </w:pPr>
            <w:r w:rsidRPr="004A29FB">
              <w:rPr>
                <w:rFonts w:ascii="Calibri" w:hAnsi="Calibri" w:cs="Calibri"/>
                <w:lang w:val="fr-FR" w:eastAsia="fr-FR"/>
              </w:rPr>
              <w:t>85</w:t>
            </w:r>
          </w:p>
        </w:tc>
        <w:tc>
          <w:tcPr>
            <w:tcW w:w="1701" w:type="dxa"/>
            <w:noWrap/>
            <w:vAlign w:val="bottom"/>
          </w:tcPr>
          <w:p w14:paraId="55194386" w14:textId="66ECA8ED" w:rsidR="0084196C" w:rsidRPr="00FC7F4B" w:rsidRDefault="0084196C" w:rsidP="0084196C">
            <w:pPr>
              <w:pStyle w:val="Tabletexte"/>
            </w:pPr>
            <w:r w:rsidRPr="004A29FB">
              <w:rPr>
                <w:rFonts w:ascii="Calibri" w:hAnsi="Calibri" w:cs="Calibri"/>
                <w:lang w:val="fr-FR" w:eastAsia="fr-FR"/>
              </w:rPr>
              <w:t>100</w:t>
            </w:r>
          </w:p>
        </w:tc>
        <w:tc>
          <w:tcPr>
            <w:tcW w:w="1418" w:type="dxa"/>
            <w:noWrap/>
            <w:vAlign w:val="bottom"/>
          </w:tcPr>
          <w:p w14:paraId="4540588D" w14:textId="20197C6B" w:rsidR="0084196C" w:rsidRPr="00FC7F4B" w:rsidRDefault="0084196C" w:rsidP="0084196C">
            <w:pPr>
              <w:pStyle w:val="Tabletexte"/>
            </w:pPr>
            <w:r w:rsidRPr="004A29FB">
              <w:rPr>
                <w:rFonts w:ascii="Calibri" w:hAnsi="Calibri" w:cs="Calibri"/>
                <w:lang w:val="fr-FR" w:eastAsia="fr-FR"/>
              </w:rPr>
              <w:t>185</w:t>
            </w:r>
          </w:p>
        </w:tc>
      </w:tr>
      <w:tr w:rsidR="0084196C" w:rsidRPr="00FC7F4B" w14:paraId="60458977" w14:textId="77777777" w:rsidTr="00AA4D58">
        <w:trPr>
          <w:trHeight w:val="57"/>
          <w:jc w:val="center"/>
        </w:trPr>
        <w:tc>
          <w:tcPr>
            <w:tcW w:w="4961" w:type="dxa"/>
            <w:noWrap/>
            <w:hideMark/>
          </w:tcPr>
          <w:p w14:paraId="09B66388" w14:textId="77777777" w:rsidR="0084196C" w:rsidRPr="00FC7F4B" w:rsidRDefault="0084196C" w:rsidP="0084196C">
            <w:pPr>
              <w:pStyle w:val="Tabletexte"/>
              <w:rPr>
                <w:rFonts w:eastAsia="Arial Unicode MS"/>
              </w:rPr>
            </w:pPr>
            <w:r w:rsidRPr="00FC7F4B">
              <w:rPr>
                <w:rtl/>
              </w:rPr>
              <w:t>الخدمات العامة</w:t>
            </w:r>
            <w:r w:rsidRPr="00FC7F4B">
              <w:rPr>
                <w:rFonts w:eastAsia="Arial Unicode MS"/>
                <w:rtl/>
              </w:rPr>
              <w:t xml:space="preserve"> </w:t>
            </w:r>
            <w:r w:rsidRPr="00FC7F4B">
              <w:rPr>
                <w:rFonts w:eastAsia="Arial Unicode MS"/>
                <w:rtl/>
                <w:lang w:bidi="ar-SA"/>
              </w:rPr>
              <w:t>(للحدث)</w:t>
            </w:r>
          </w:p>
        </w:tc>
        <w:tc>
          <w:tcPr>
            <w:tcW w:w="1559" w:type="dxa"/>
            <w:noWrap/>
            <w:vAlign w:val="bottom"/>
          </w:tcPr>
          <w:p w14:paraId="351512B4" w14:textId="0CC6D311" w:rsidR="0084196C" w:rsidRPr="00FC7F4B" w:rsidRDefault="0084196C" w:rsidP="0084196C">
            <w:pPr>
              <w:pStyle w:val="Tabletexte"/>
            </w:pPr>
            <w:r w:rsidRPr="004A29FB">
              <w:rPr>
                <w:rFonts w:ascii="Calibri" w:hAnsi="Calibri" w:cs="Calibri"/>
                <w:lang w:val="fr-FR" w:eastAsia="fr-FR"/>
              </w:rPr>
              <w:t>2</w:t>
            </w:r>
          </w:p>
        </w:tc>
        <w:tc>
          <w:tcPr>
            <w:tcW w:w="1701" w:type="dxa"/>
            <w:noWrap/>
            <w:vAlign w:val="bottom"/>
          </w:tcPr>
          <w:p w14:paraId="047B4302" w14:textId="429BDD83" w:rsidR="0084196C" w:rsidRPr="00FC7F4B" w:rsidRDefault="0084196C" w:rsidP="0084196C">
            <w:pPr>
              <w:pStyle w:val="Tabletexte"/>
            </w:pPr>
            <w:r w:rsidRPr="004A29FB">
              <w:rPr>
                <w:rFonts w:ascii="Calibri" w:hAnsi="Calibri" w:cs="Calibri"/>
                <w:lang w:val="fr-FR" w:eastAsia="fr-FR"/>
              </w:rPr>
              <w:t>2</w:t>
            </w:r>
          </w:p>
        </w:tc>
        <w:tc>
          <w:tcPr>
            <w:tcW w:w="1418" w:type="dxa"/>
            <w:noWrap/>
            <w:vAlign w:val="bottom"/>
          </w:tcPr>
          <w:p w14:paraId="07C65F60" w14:textId="708DB61D" w:rsidR="0084196C" w:rsidRPr="00FC7F4B" w:rsidRDefault="0084196C" w:rsidP="0084196C">
            <w:pPr>
              <w:pStyle w:val="Tabletexte"/>
            </w:pPr>
            <w:r w:rsidRPr="004A29FB">
              <w:rPr>
                <w:rFonts w:ascii="Calibri" w:hAnsi="Calibri" w:cs="Calibri"/>
                <w:lang w:val="fr-FR" w:eastAsia="fr-FR"/>
              </w:rPr>
              <w:t>4</w:t>
            </w:r>
          </w:p>
        </w:tc>
      </w:tr>
      <w:tr w:rsidR="0084196C" w:rsidRPr="00FC7F4B" w14:paraId="3AE59D3C" w14:textId="77777777" w:rsidTr="00AA4D58">
        <w:trPr>
          <w:trHeight w:val="57"/>
          <w:jc w:val="center"/>
        </w:trPr>
        <w:tc>
          <w:tcPr>
            <w:tcW w:w="4961" w:type="dxa"/>
            <w:noWrap/>
            <w:hideMark/>
          </w:tcPr>
          <w:p w14:paraId="66B77EC8" w14:textId="77777777" w:rsidR="0084196C" w:rsidRPr="00FC7F4B" w:rsidRDefault="0084196C" w:rsidP="0084196C">
            <w:pPr>
              <w:pStyle w:val="Tabletexte"/>
              <w:rPr>
                <w:rFonts w:eastAsia="Arial Unicode MS"/>
              </w:rPr>
            </w:pPr>
            <w:r w:rsidRPr="00FC7F4B">
              <w:rPr>
                <w:rtl/>
              </w:rPr>
              <w:t>نفقات متفرقة</w:t>
            </w:r>
            <w:r w:rsidRPr="00FC7F4B">
              <w:rPr>
                <w:rFonts w:eastAsia="Arial Unicode MS"/>
                <w:rtl/>
              </w:rPr>
              <w:t xml:space="preserve"> </w:t>
            </w:r>
            <w:r w:rsidRPr="00FC7F4B">
              <w:rPr>
                <w:rFonts w:eastAsia="Arial Unicode MS"/>
                <w:rtl/>
                <w:lang w:bidi="ar-SA"/>
              </w:rPr>
              <w:t>(للحدث)</w:t>
            </w:r>
          </w:p>
        </w:tc>
        <w:tc>
          <w:tcPr>
            <w:tcW w:w="1559" w:type="dxa"/>
            <w:noWrap/>
            <w:vAlign w:val="bottom"/>
          </w:tcPr>
          <w:p w14:paraId="2887B5B8" w14:textId="07907A56" w:rsidR="0084196C" w:rsidRPr="00FC7F4B" w:rsidRDefault="0084196C" w:rsidP="0084196C">
            <w:pPr>
              <w:pStyle w:val="Tabletexte"/>
            </w:pPr>
            <w:r w:rsidRPr="004A29FB">
              <w:rPr>
                <w:rFonts w:ascii="Calibri" w:hAnsi="Calibri" w:cs="Calibri"/>
                <w:lang w:val="fr-FR" w:eastAsia="fr-FR"/>
              </w:rPr>
              <w:t>20</w:t>
            </w:r>
          </w:p>
        </w:tc>
        <w:tc>
          <w:tcPr>
            <w:tcW w:w="1701" w:type="dxa"/>
            <w:noWrap/>
            <w:vAlign w:val="bottom"/>
          </w:tcPr>
          <w:p w14:paraId="79531F5E" w14:textId="4CB1FC33" w:rsidR="0084196C" w:rsidRPr="00FC7F4B" w:rsidRDefault="0084196C" w:rsidP="0084196C">
            <w:pPr>
              <w:pStyle w:val="Tabletexte"/>
            </w:pPr>
            <w:r w:rsidRPr="004A29FB">
              <w:rPr>
                <w:rFonts w:ascii="Calibri" w:hAnsi="Calibri" w:cs="Calibri"/>
                <w:lang w:val="fr-FR" w:eastAsia="fr-FR"/>
              </w:rPr>
              <w:t>20</w:t>
            </w:r>
          </w:p>
        </w:tc>
        <w:tc>
          <w:tcPr>
            <w:tcW w:w="1418" w:type="dxa"/>
            <w:noWrap/>
            <w:vAlign w:val="bottom"/>
          </w:tcPr>
          <w:p w14:paraId="04E75CF4" w14:textId="63250AE4" w:rsidR="0084196C" w:rsidRPr="00FC7F4B" w:rsidRDefault="0084196C" w:rsidP="0084196C">
            <w:pPr>
              <w:pStyle w:val="Tabletexte"/>
            </w:pPr>
            <w:r w:rsidRPr="004A29FB">
              <w:rPr>
                <w:rFonts w:ascii="Calibri" w:hAnsi="Calibri" w:cs="Calibri"/>
                <w:lang w:val="fr-FR" w:eastAsia="fr-FR"/>
              </w:rPr>
              <w:t>40</w:t>
            </w:r>
          </w:p>
        </w:tc>
      </w:tr>
      <w:tr w:rsidR="0084196C" w:rsidRPr="00FC7F4B" w14:paraId="1F102C5B" w14:textId="77777777" w:rsidTr="00AA4D58">
        <w:trPr>
          <w:trHeight w:val="57"/>
          <w:jc w:val="center"/>
        </w:trPr>
        <w:tc>
          <w:tcPr>
            <w:tcW w:w="4961" w:type="dxa"/>
            <w:tcBorders>
              <w:top w:val="single" w:sz="4" w:space="0" w:color="auto"/>
              <w:left w:val="nil"/>
              <w:bottom w:val="single" w:sz="4" w:space="0" w:color="auto"/>
              <w:right w:val="nil"/>
            </w:tcBorders>
            <w:noWrap/>
            <w:vAlign w:val="bottom"/>
            <w:hideMark/>
          </w:tcPr>
          <w:p w14:paraId="15CDE12A" w14:textId="77777777" w:rsidR="0084196C" w:rsidRPr="00A95C50" w:rsidRDefault="0084196C" w:rsidP="0084196C">
            <w:pPr>
              <w:pStyle w:val="Tabletexte"/>
              <w:rPr>
                <w:b/>
                <w:bCs/>
                <w:i/>
                <w:iCs/>
              </w:rPr>
            </w:pPr>
            <w:r w:rsidRPr="00A95C50">
              <w:rPr>
                <w:b/>
                <w:bCs/>
                <w:i/>
                <w:iCs/>
                <w:rtl/>
                <w:lang w:bidi="ar-EG"/>
              </w:rPr>
              <w:t xml:space="preserve">مجموع النفقات </w:t>
            </w:r>
            <w:r w:rsidRPr="00A95C50">
              <w:rPr>
                <w:b/>
                <w:bCs/>
                <w:i/>
                <w:iCs/>
                <w:lang w:val="en-GB"/>
              </w:rPr>
              <w:t>(B)</w:t>
            </w:r>
          </w:p>
        </w:tc>
        <w:tc>
          <w:tcPr>
            <w:tcW w:w="1559" w:type="dxa"/>
            <w:tcBorders>
              <w:top w:val="single" w:sz="4" w:space="0" w:color="auto"/>
              <w:left w:val="nil"/>
              <w:bottom w:val="single" w:sz="4" w:space="0" w:color="auto"/>
              <w:right w:val="nil"/>
            </w:tcBorders>
            <w:noWrap/>
            <w:vAlign w:val="bottom"/>
          </w:tcPr>
          <w:p w14:paraId="1643BDFC" w14:textId="1F1FA8EB" w:rsidR="0084196C" w:rsidRPr="00A95C50" w:rsidRDefault="0084196C" w:rsidP="0084196C">
            <w:pPr>
              <w:pStyle w:val="Tabletexte"/>
              <w:rPr>
                <w:b/>
                <w:bCs/>
                <w:i/>
                <w:iCs/>
              </w:rPr>
            </w:pPr>
            <w:r w:rsidRPr="004A29FB">
              <w:rPr>
                <w:rFonts w:ascii="Calibri" w:hAnsi="Calibri" w:cs="Calibri"/>
                <w:b/>
                <w:bCs/>
                <w:i/>
                <w:iCs/>
                <w:lang w:val="fr-FR" w:eastAsia="fr-FR"/>
              </w:rPr>
              <w:t>6</w:t>
            </w:r>
            <w:r>
              <w:rPr>
                <w:rFonts w:ascii="Calibri" w:hAnsi="Calibri" w:cs="Calibri"/>
                <w:b/>
                <w:bCs/>
                <w:i/>
                <w:iCs/>
                <w:lang w:val="fr-FR" w:eastAsia="fr-FR"/>
              </w:rPr>
              <w:t> </w:t>
            </w:r>
            <w:r w:rsidRPr="004A29FB">
              <w:rPr>
                <w:rFonts w:ascii="Calibri" w:hAnsi="Calibri" w:cs="Calibri"/>
                <w:b/>
                <w:bCs/>
                <w:i/>
                <w:iCs/>
                <w:lang w:val="fr-FR" w:eastAsia="fr-FR"/>
              </w:rPr>
              <w:t>535</w:t>
            </w:r>
          </w:p>
        </w:tc>
        <w:tc>
          <w:tcPr>
            <w:tcW w:w="1701" w:type="dxa"/>
            <w:tcBorders>
              <w:top w:val="single" w:sz="4" w:space="0" w:color="auto"/>
              <w:left w:val="nil"/>
              <w:bottom w:val="single" w:sz="4" w:space="0" w:color="auto"/>
              <w:right w:val="nil"/>
            </w:tcBorders>
            <w:noWrap/>
            <w:vAlign w:val="bottom"/>
          </w:tcPr>
          <w:p w14:paraId="3FDC2917" w14:textId="1C9FFBEA" w:rsidR="0084196C" w:rsidRPr="00A95C50" w:rsidRDefault="0084196C" w:rsidP="0084196C">
            <w:pPr>
              <w:pStyle w:val="Tabletexte"/>
              <w:rPr>
                <w:b/>
                <w:bCs/>
                <w:i/>
                <w:iCs/>
              </w:rPr>
            </w:pPr>
            <w:r w:rsidRPr="004A29FB">
              <w:rPr>
                <w:rFonts w:ascii="Calibri" w:hAnsi="Calibri" w:cs="Calibri"/>
                <w:b/>
                <w:bCs/>
                <w:i/>
                <w:iCs/>
                <w:lang w:val="fr-FR" w:eastAsia="fr-FR"/>
              </w:rPr>
              <w:t>6</w:t>
            </w:r>
            <w:r>
              <w:rPr>
                <w:rFonts w:ascii="Calibri" w:hAnsi="Calibri" w:cs="Calibri"/>
                <w:b/>
                <w:bCs/>
                <w:i/>
                <w:iCs/>
                <w:lang w:val="fr-FR" w:eastAsia="fr-FR"/>
              </w:rPr>
              <w:t> </w:t>
            </w:r>
            <w:r w:rsidRPr="004A29FB">
              <w:rPr>
                <w:rFonts w:ascii="Calibri" w:hAnsi="Calibri" w:cs="Calibri"/>
                <w:b/>
                <w:bCs/>
                <w:i/>
                <w:iCs/>
                <w:lang w:val="fr-FR" w:eastAsia="fr-FR"/>
              </w:rPr>
              <w:t>920</w:t>
            </w:r>
          </w:p>
        </w:tc>
        <w:tc>
          <w:tcPr>
            <w:tcW w:w="1418" w:type="dxa"/>
            <w:tcBorders>
              <w:top w:val="single" w:sz="4" w:space="0" w:color="auto"/>
              <w:left w:val="nil"/>
              <w:bottom w:val="single" w:sz="4" w:space="0" w:color="auto"/>
              <w:right w:val="nil"/>
            </w:tcBorders>
            <w:noWrap/>
            <w:vAlign w:val="bottom"/>
          </w:tcPr>
          <w:p w14:paraId="7C212833" w14:textId="409010DB" w:rsidR="0084196C" w:rsidRPr="00A95C50" w:rsidRDefault="0084196C" w:rsidP="0084196C">
            <w:pPr>
              <w:pStyle w:val="Tabletexte"/>
              <w:rPr>
                <w:b/>
                <w:bCs/>
                <w:i/>
                <w:iCs/>
                <w:lang w:bidi="ar-EG"/>
              </w:rPr>
            </w:pPr>
            <w:r w:rsidRPr="004A29FB">
              <w:rPr>
                <w:rFonts w:ascii="Calibri" w:hAnsi="Calibri" w:cs="Calibri"/>
                <w:b/>
                <w:bCs/>
                <w:i/>
                <w:iCs/>
                <w:lang w:val="fr-FR" w:eastAsia="fr-FR"/>
              </w:rPr>
              <w:t>13</w:t>
            </w:r>
            <w:r>
              <w:rPr>
                <w:rFonts w:ascii="Calibri" w:hAnsi="Calibri" w:cs="Calibri"/>
                <w:b/>
                <w:bCs/>
                <w:i/>
                <w:iCs/>
                <w:lang w:val="fr-FR" w:eastAsia="fr-FR"/>
              </w:rPr>
              <w:t> </w:t>
            </w:r>
            <w:r w:rsidRPr="004A29FB">
              <w:rPr>
                <w:rFonts w:ascii="Calibri" w:hAnsi="Calibri" w:cs="Calibri"/>
                <w:b/>
                <w:bCs/>
                <w:i/>
                <w:iCs/>
                <w:lang w:val="fr-FR" w:eastAsia="fr-FR"/>
              </w:rPr>
              <w:t>455</w:t>
            </w:r>
          </w:p>
        </w:tc>
      </w:tr>
      <w:tr w:rsidR="00497A51" w:rsidRPr="00FC7F4B" w14:paraId="058B1256" w14:textId="77777777" w:rsidTr="00AA4D58">
        <w:trPr>
          <w:trHeight w:val="57"/>
          <w:jc w:val="center"/>
        </w:trPr>
        <w:tc>
          <w:tcPr>
            <w:tcW w:w="4961" w:type="dxa"/>
            <w:tcBorders>
              <w:top w:val="nil"/>
              <w:left w:val="nil"/>
              <w:bottom w:val="single" w:sz="4" w:space="0" w:color="auto"/>
              <w:right w:val="nil"/>
            </w:tcBorders>
            <w:noWrap/>
            <w:vAlign w:val="bottom"/>
            <w:hideMark/>
          </w:tcPr>
          <w:p w14:paraId="4A827467" w14:textId="77777777" w:rsidR="00497A51" w:rsidRPr="00FC7F4B" w:rsidRDefault="00497A51" w:rsidP="00AA4D58">
            <w:pPr>
              <w:pStyle w:val="Tabletexte"/>
              <w:rPr>
                <w:i/>
                <w:iCs/>
                <w:rtl/>
                <w:lang w:bidi="ar-EG"/>
              </w:rPr>
            </w:pPr>
          </w:p>
        </w:tc>
        <w:tc>
          <w:tcPr>
            <w:tcW w:w="1559" w:type="dxa"/>
            <w:tcBorders>
              <w:top w:val="nil"/>
              <w:left w:val="nil"/>
              <w:bottom w:val="single" w:sz="4" w:space="0" w:color="auto"/>
              <w:right w:val="nil"/>
            </w:tcBorders>
            <w:noWrap/>
            <w:vAlign w:val="bottom"/>
          </w:tcPr>
          <w:p w14:paraId="09B868FD" w14:textId="77777777" w:rsidR="00497A51" w:rsidRPr="00FC7F4B" w:rsidRDefault="00497A51" w:rsidP="00AA4D58">
            <w:pPr>
              <w:pStyle w:val="Tabletexte"/>
              <w:rPr>
                <w:rFonts w:cs="Arial"/>
              </w:rPr>
            </w:pPr>
          </w:p>
        </w:tc>
        <w:tc>
          <w:tcPr>
            <w:tcW w:w="1701" w:type="dxa"/>
            <w:tcBorders>
              <w:top w:val="nil"/>
              <w:left w:val="nil"/>
              <w:bottom w:val="single" w:sz="4" w:space="0" w:color="auto"/>
              <w:right w:val="nil"/>
            </w:tcBorders>
            <w:noWrap/>
            <w:vAlign w:val="bottom"/>
          </w:tcPr>
          <w:p w14:paraId="02A07606" w14:textId="77777777" w:rsidR="00497A51" w:rsidRPr="00FC7F4B" w:rsidRDefault="00497A51" w:rsidP="00AA4D58">
            <w:pPr>
              <w:pStyle w:val="Tabletexte"/>
              <w:rPr>
                <w:rFonts w:cs="Arial"/>
              </w:rPr>
            </w:pPr>
          </w:p>
        </w:tc>
        <w:tc>
          <w:tcPr>
            <w:tcW w:w="1418" w:type="dxa"/>
            <w:tcBorders>
              <w:top w:val="nil"/>
              <w:left w:val="nil"/>
              <w:bottom w:val="single" w:sz="4" w:space="0" w:color="auto"/>
              <w:right w:val="nil"/>
            </w:tcBorders>
            <w:noWrap/>
            <w:vAlign w:val="bottom"/>
          </w:tcPr>
          <w:p w14:paraId="60DC7BED" w14:textId="77777777" w:rsidR="00497A51" w:rsidRPr="00FC7F4B" w:rsidRDefault="00497A51" w:rsidP="00AA4D58">
            <w:pPr>
              <w:pStyle w:val="Tabletexte"/>
              <w:rPr>
                <w:rFonts w:cs="Arial"/>
              </w:rPr>
            </w:pPr>
          </w:p>
        </w:tc>
      </w:tr>
      <w:tr w:rsidR="00AA4D58" w:rsidRPr="00FC7F4B" w14:paraId="275C46BD" w14:textId="77777777" w:rsidTr="00AA4D58">
        <w:trPr>
          <w:trHeight w:val="57"/>
          <w:jc w:val="center"/>
        </w:trPr>
        <w:tc>
          <w:tcPr>
            <w:tcW w:w="4961" w:type="dxa"/>
            <w:tcBorders>
              <w:top w:val="nil"/>
              <w:left w:val="nil"/>
              <w:bottom w:val="single" w:sz="4" w:space="0" w:color="auto"/>
              <w:right w:val="nil"/>
            </w:tcBorders>
            <w:shd w:val="clear" w:color="auto" w:fill="DCE6F1"/>
            <w:noWrap/>
            <w:vAlign w:val="bottom"/>
            <w:hideMark/>
          </w:tcPr>
          <w:p w14:paraId="434B328D" w14:textId="77777777" w:rsidR="00AA4D58" w:rsidRPr="00A95C50" w:rsidRDefault="00AA4D58" w:rsidP="00AA4D58">
            <w:pPr>
              <w:pStyle w:val="Tabletexte"/>
              <w:rPr>
                <w:b/>
                <w:bCs/>
                <w:color w:val="000000" w:themeColor="text1"/>
              </w:rPr>
            </w:pPr>
            <w:r w:rsidRPr="00A95C50">
              <w:rPr>
                <w:b/>
                <w:bCs/>
                <w:color w:val="000000" w:themeColor="text1"/>
                <w:rtl/>
                <w:lang w:bidi="ar-EG"/>
              </w:rPr>
              <w:t xml:space="preserve">النتيجة الإجمالية </w:t>
            </w:r>
            <w:r w:rsidRPr="00A95C50">
              <w:rPr>
                <w:b/>
                <w:bCs/>
                <w:color w:val="000000" w:themeColor="text1"/>
                <w:lang w:val="en-GB"/>
              </w:rPr>
              <w:t>(C =A - B)</w:t>
            </w:r>
          </w:p>
        </w:tc>
        <w:tc>
          <w:tcPr>
            <w:tcW w:w="1559" w:type="dxa"/>
            <w:tcBorders>
              <w:top w:val="nil"/>
              <w:left w:val="nil"/>
              <w:bottom w:val="single" w:sz="4" w:space="0" w:color="auto"/>
              <w:right w:val="nil"/>
            </w:tcBorders>
            <w:shd w:val="clear" w:color="auto" w:fill="DCE6F1"/>
            <w:noWrap/>
            <w:vAlign w:val="bottom"/>
          </w:tcPr>
          <w:p w14:paraId="36DF25BD" w14:textId="36BF1FDD" w:rsidR="00AA4D58" w:rsidRPr="00A95C50" w:rsidRDefault="00AA4D58" w:rsidP="00AA4D58">
            <w:pPr>
              <w:pStyle w:val="Tabletexte"/>
              <w:rPr>
                <w:b/>
                <w:bCs/>
                <w:color w:val="000000" w:themeColor="text1"/>
                <w:lang w:val="fr-CH"/>
              </w:rPr>
            </w:pPr>
            <w:r w:rsidRPr="004A29FB">
              <w:rPr>
                <w:rFonts w:ascii="Calibri" w:hAnsi="Calibri" w:cs="Calibri"/>
                <w:b/>
                <w:bCs/>
                <w:lang w:val="fr-FR" w:eastAsia="fr-FR"/>
              </w:rPr>
              <w:t>351</w:t>
            </w:r>
          </w:p>
        </w:tc>
        <w:tc>
          <w:tcPr>
            <w:tcW w:w="1701" w:type="dxa"/>
            <w:tcBorders>
              <w:top w:val="nil"/>
              <w:left w:val="nil"/>
              <w:bottom w:val="single" w:sz="4" w:space="0" w:color="auto"/>
              <w:right w:val="nil"/>
            </w:tcBorders>
            <w:shd w:val="clear" w:color="auto" w:fill="DCE6F1"/>
            <w:noWrap/>
            <w:vAlign w:val="bottom"/>
          </w:tcPr>
          <w:p w14:paraId="29B78752" w14:textId="4352A43C" w:rsidR="00AA4D58" w:rsidRPr="00A95C50" w:rsidRDefault="00AA4D58" w:rsidP="00AA4D58">
            <w:pPr>
              <w:pStyle w:val="Tabletexte"/>
              <w:rPr>
                <w:b/>
                <w:bCs/>
                <w:color w:val="000000" w:themeColor="text1"/>
              </w:rPr>
            </w:pPr>
            <w:r w:rsidRPr="004A29FB">
              <w:rPr>
                <w:rFonts w:ascii="Calibri" w:hAnsi="Calibri" w:cs="Calibri"/>
                <w:b/>
                <w:bCs/>
                <w:lang w:val="fr-FR" w:eastAsia="fr-FR"/>
              </w:rPr>
              <w:t>1</w:t>
            </w:r>
            <w:r>
              <w:rPr>
                <w:rFonts w:ascii="Calibri" w:hAnsi="Calibri" w:cs="Calibri"/>
                <w:b/>
                <w:bCs/>
                <w:lang w:val="fr-FR" w:eastAsia="fr-FR"/>
              </w:rPr>
              <w:t> </w:t>
            </w:r>
            <w:r w:rsidRPr="004A29FB">
              <w:rPr>
                <w:rFonts w:ascii="Calibri" w:hAnsi="Calibri" w:cs="Calibri"/>
                <w:b/>
                <w:bCs/>
                <w:lang w:val="fr-FR" w:eastAsia="fr-FR"/>
              </w:rPr>
              <w:t>180</w:t>
            </w:r>
          </w:p>
        </w:tc>
        <w:tc>
          <w:tcPr>
            <w:tcW w:w="1418" w:type="dxa"/>
            <w:tcBorders>
              <w:top w:val="nil"/>
              <w:left w:val="nil"/>
              <w:bottom w:val="single" w:sz="4" w:space="0" w:color="auto"/>
              <w:right w:val="nil"/>
            </w:tcBorders>
            <w:shd w:val="clear" w:color="auto" w:fill="DCE6F1"/>
            <w:noWrap/>
            <w:vAlign w:val="bottom"/>
          </w:tcPr>
          <w:p w14:paraId="00CF2F75" w14:textId="6B56D97D" w:rsidR="00AA4D58" w:rsidRPr="00A95C50" w:rsidRDefault="00AA4D58" w:rsidP="00AA4D58">
            <w:pPr>
              <w:pStyle w:val="Tabletexte"/>
              <w:rPr>
                <w:b/>
                <w:bCs/>
                <w:color w:val="000000" w:themeColor="text1"/>
              </w:rPr>
            </w:pPr>
            <w:r w:rsidRPr="004A29FB">
              <w:rPr>
                <w:rFonts w:ascii="Calibri" w:hAnsi="Calibri" w:cs="Calibri"/>
                <w:b/>
                <w:bCs/>
                <w:lang w:val="fr-FR" w:eastAsia="fr-FR"/>
              </w:rPr>
              <w:t>1</w:t>
            </w:r>
            <w:r>
              <w:rPr>
                <w:rFonts w:ascii="Calibri" w:hAnsi="Calibri" w:cs="Calibri"/>
                <w:b/>
                <w:bCs/>
                <w:lang w:val="fr-FR" w:eastAsia="fr-FR"/>
              </w:rPr>
              <w:t> </w:t>
            </w:r>
            <w:r w:rsidRPr="004A29FB">
              <w:rPr>
                <w:rFonts w:ascii="Calibri" w:hAnsi="Calibri" w:cs="Calibri"/>
                <w:b/>
                <w:bCs/>
                <w:lang w:val="fr-FR" w:eastAsia="fr-FR"/>
              </w:rPr>
              <w:t>531</w:t>
            </w:r>
          </w:p>
        </w:tc>
      </w:tr>
    </w:tbl>
    <w:p w14:paraId="1A129316" w14:textId="499ED946" w:rsidR="00497A51" w:rsidRDefault="00497A51" w:rsidP="00497A51">
      <w:pPr>
        <w:pStyle w:val="Headingb"/>
        <w:keepLines/>
        <w:widowControl w:val="0"/>
        <w:spacing w:before="360"/>
        <w:rPr>
          <w:lang w:bidi="ar-EG"/>
        </w:rPr>
      </w:pPr>
      <w:bookmarkStart w:id="11" w:name="_Toc482367230"/>
      <w:bookmarkStart w:id="12" w:name="_Toc69733454"/>
      <w:r>
        <w:rPr>
          <w:rtl/>
          <w:lang w:bidi="ar-EG"/>
        </w:rPr>
        <w:t xml:space="preserve">صندوق رأس المال العامل للمعارض </w:t>
      </w:r>
      <w:r>
        <w:rPr>
          <w:lang w:val="en-GB" w:bidi="ar-SY"/>
        </w:rPr>
        <w:t>(EWCF)</w:t>
      </w:r>
      <w:bookmarkEnd w:id="11"/>
      <w:bookmarkEnd w:id="12"/>
    </w:p>
    <w:p w14:paraId="55A16A7A" w14:textId="79A0B72B" w:rsidR="00497A51" w:rsidRDefault="00AA4D58" w:rsidP="00497A51">
      <w:pPr>
        <w:keepNext/>
        <w:keepLines/>
        <w:rPr>
          <w:rtl/>
          <w:lang w:bidi="ar-EG"/>
        </w:rPr>
      </w:pPr>
      <w:r>
        <w:t>10</w:t>
      </w:r>
      <w:r w:rsidR="00497A51">
        <w:rPr>
          <w:rtl/>
        </w:rPr>
        <w:tab/>
        <w:t xml:space="preserve">بعد إقفال الحسابات لكل حدث من أحداث تليكوم الاتحاد، تُحوّل الحصيلة النهائية إلى صندوق رأس المال العامل للمعارض، وفقاً للقاعدة </w:t>
      </w:r>
      <w:r w:rsidR="00497A51">
        <w:t>4</w:t>
      </w:r>
      <w:r w:rsidR="00497A51">
        <w:rPr>
          <w:rtl/>
        </w:rPr>
        <w:t xml:space="preserve"> </w:t>
      </w:r>
      <w:r w:rsidR="00497A51">
        <w:rPr>
          <w:rFonts w:hint="cs"/>
          <w:rtl/>
        </w:rPr>
        <w:t xml:space="preserve">من المادة </w:t>
      </w:r>
      <w:r w:rsidR="00497A51">
        <w:t>19</w:t>
      </w:r>
      <w:r w:rsidR="00497A51">
        <w:rPr>
          <w:rtl/>
        </w:rPr>
        <w:t xml:space="preserve"> من اللوائح والقواعد المالية للاتحاد. وتؤدي نتيجة إيجابية للحدث إلى زيادة في صندوق رأس المال العامل للمعارض في حين تؤدي نتيجة سلبية للحدث إلى خفض في رصيد الصندوق الذي يستخدم للتعويض عن العجز المالي.</w:t>
      </w:r>
    </w:p>
    <w:p w14:paraId="2C7EA459" w14:textId="3970A64B" w:rsidR="00497A51" w:rsidRDefault="00AA4D58" w:rsidP="00497A51">
      <w:pPr>
        <w:rPr>
          <w:rtl/>
        </w:rPr>
      </w:pPr>
      <w:r>
        <w:rPr>
          <w:lang w:val="en-GB" w:bidi="ar-SY"/>
        </w:rPr>
        <w:t>11</w:t>
      </w:r>
      <w:r w:rsidR="00497A51">
        <w:rPr>
          <w:rtl/>
          <w:lang w:bidi="ar-EG"/>
        </w:rPr>
        <w:tab/>
      </w:r>
      <w:r w:rsidR="00497A51">
        <w:rPr>
          <w:rtl/>
        </w:rPr>
        <w:t xml:space="preserve">وقد قرر مجلس الاتحاد أن يبلغ الحد الأدنى لصندوق رأس المال العامل للمعارض </w:t>
      </w:r>
      <w:r w:rsidR="00497A51">
        <w:t>5</w:t>
      </w:r>
      <w:r w:rsidR="00497A51">
        <w:rPr>
          <w:rtl/>
        </w:rPr>
        <w:t xml:space="preserve"> ملايين فرنك سويسري لكي يتمكن تليكوم الاتحاد من العمل والوفاء بالتزاماته المالية. ويبين الجدول أدناه المبلغ المتاح في صندوق رأس المال العامل للمعارض في نهاية كل سنة اعتباراً من عام </w:t>
      </w:r>
      <w:r>
        <w:t>2015</w:t>
      </w:r>
      <w:r w:rsidR="00497A51">
        <w:rPr>
          <w:rtl/>
        </w:rPr>
        <w:t xml:space="preserve"> إلى عام </w:t>
      </w:r>
      <w:r>
        <w:t>2020</w:t>
      </w:r>
      <w:r w:rsidR="00497A51">
        <w:rPr>
          <w:rtl/>
        </w:rPr>
        <w:t>.</w:t>
      </w:r>
    </w:p>
    <w:p w14:paraId="1173BA35" w14:textId="77777777" w:rsidR="00497A51" w:rsidRDefault="00497A51" w:rsidP="00497A51">
      <w:pPr>
        <w:pStyle w:val="TableNo"/>
        <w:keepLines/>
        <w:rPr>
          <w:rtl/>
        </w:rPr>
      </w:pPr>
      <w:r>
        <w:rPr>
          <w:rtl/>
        </w:rPr>
        <w:lastRenderedPageBreak/>
        <w:t xml:space="preserve">الجدول </w:t>
      </w:r>
      <w:r>
        <w:rPr>
          <w:lang w:val="en-GB"/>
        </w:rPr>
        <w:t>5</w:t>
      </w:r>
    </w:p>
    <w:p w14:paraId="1FBB4EDC" w14:textId="77777777" w:rsidR="00497A51" w:rsidRDefault="00497A51" w:rsidP="00497A51">
      <w:pPr>
        <w:pStyle w:val="Tabletitle"/>
        <w:spacing w:after="120"/>
        <w:rPr>
          <w:rtl/>
        </w:rPr>
      </w:pPr>
      <w:r>
        <w:rPr>
          <w:rtl/>
        </w:rPr>
        <w:t>صندوق رأس المال العامل للمعارض</w:t>
      </w:r>
    </w:p>
    <w:tbl>
      <w:tblPr>
        <w:bidiVisual/>
        <w:tblW w:w="5000" w:type="pct"/>
        <w:tblLook w:val="04A0" w:firstRow="1" w:lastRow="0" w:firstColumn="1" w:lastColumn="0" w:noHBand="0" w:noVBand="1"/>
      </w:tblPr>
      <w:tblGrid>
        <w:gridCol w:w="3438"/>
        <w:gridCol w:w="1091"/>
        <w:gridCol w:w="1091"/>
        <w:gridCol w:w="1089"/>
        <w:gridCol w:w="1089"/>
        <w:gridCol w:w="920"/>
        <w:gridCol w:w="921"/>
      </w:tblGrid>
      <w:tr w:rsidR="00497A51" w14:paraId="3DB5469E" w14:textId="77777777" w:rsidTr="00EF3005">
        <w:trPr>
          <w:trHeight w:val="288"/>
        </w:trPr>
        <w:tc>
          <w:tcPr>
            <w:tcW w:w="1783" w:type="pct"/>
            <w:tcBorders>
              <w:top w:val="single" w:sz="4" w:space="0" w:color="auto"/>
              <w:left w:val="nil"/>
              <w:bottom w:val="nil"/>
              <w:right w:val="nil"/>
            </w:tcBorders>
            <w:shd w:val="clear" w:color="auto" w:fill="C5D9F1"/>
            <w:noWrap/>
            <w:vAlign w:val="center"/>
            <w:hideMark/>
          </w:tcPr>
          <w:p w14:paraId="6FCD0BF6" w14:textId="77777777" w:rsidR="00497A51" w:rsidRPr="00AA4D58" w:rsidRDefault="00497A51" w:rsidP="00EF3005">
            <w:pPr>
              <w:pStyle w:val="TableHead"/>
              <w:rPr>
                <w:color w:val="0033CC"/>
                <w:rtl/>
                <w:lang w:val="en-GB" w:bidi="ar-SY"/>
              </w:rPr>
            </w:pPr>
            <w:r w:rsidRPr="00AA4D58">
              <w:rPr>
                <w:color w:val="0033CC"/>
                <w:lang w:val="en-GB" w:bidi="ar-SY"/>
              </w:rPr>
              <w:t> </w:t>
            </w:r>
          </w:p>
        </w:tc>
        <w:tc>
          <w:tcPr>
            <w:tcW w:w="3217" w:type="pct"/>
            <w:gridSpan w:val="6"/>
            <w:tcBorders>
              <w:top w:val="single" w:sz="4" w:space="0" w:color="auto"/>
              <w:left w:val="nil"/>
              <w:bottom w:val="nil"/>
              <w:right w:val="nil"/>
            </w:tcBorders>
            <w:shd w:val="clear" w:color="auto" w:fill="C5D9F1"/>
            <w:noWrap/>
            <w:vAlign w:val="center"/>
            <w:hideMark/>
          </w:tcPr>
          <w:p w14:paraId="2850C57E" w14:textId="77777777" w:rsidR="00497A51" w:rsidRPr="00AA4D58" w:rsidRDefault="00497A51" w:rsidP="00EF3005">
            <w:pPr>
              <w:pStyle w:val="TableHead"/>
              <w:rPr>
                <w:i/>
                <w:iCs/>
                <w:color w:val="0033CC"/>
                <w:lang w:bidi="ar-EG"/>
              </w:rPr>
            </w:pPr>
            <w:r w:rsidRPr="00AA4D58">
              <w:rPr>
                <w:i/>
                <w:iCs/>
                <w:color w:val="0033CC"/>
                <w:rtl/>
                <w:lang w:bidi="ar-EG"/>
              </w:rPr>
              <w:t>بآلاف الفرنكات السويسرية (نهاية العام)</w:t>
            </w:r>
          </w:p>
        </w:tc>
      </w:tr>
      <w:tr w:rsidR="00AA4D58" w14:paraId="74EE4848" w14:textId="77777777" w:rsidTr="00AA4D58">
        <w:trPr>
          <w:trHeight w:val="288"/>
        </w:trPr>
        <w:tc>
          <w:tcPr>
            <w:tcW w:w="1783" w:type="pct"/>
            <w:tcBorders>
              <w:top w:val="nil"/>
              <w:left w:val="nil"/>
              <w:bottom w:val="single" w:sz="4" w:space="0" w:color="auto"/>
              <w:right w:val="nil"/>
            </w:tcBorders>
            <w:shd w:val="clear" w:color="auto" w:fill="C5D9F1"/>
            <w:noWrap/>
            <w:vAlign w:val="center"/>
            <w:hideMark/>
          </w:tcPr>
          <w:p w14:paraId="6E62FF0D" w14:textId="77777777" w:rsidR="00AA4D58" w:rsidRPr="00AA4D58" w:rsidRDefault="00AA4D58" w:rsidP="00AA4D58">
            <w:pPr>
              <w:pStyle w:val="TableHead"/>
              <w:rPr>
                <w:color w:val="0033CC"/>
                <w:rtl/>
                <w:lang w:val="en-GB" w:bidi="ar-SY"/>
              </w:rPr>
            </w:pPr>
            <w:r w:rsidRPr="00AA4D58">
              <w:rPr>
                <w:color w:val="0033CC"/>
                <w:rtl/>
                <w:lang w:bidi="ar-EG"/>
              </w:rPr>
              <w:t>صندوق رأس المال العامل للمعارض</w:t>
            </w:r>
          </w:p>
        </w:tc>
        <w:tc>
          <w:tcPr>
            <w:tcW w:w="566" w:type="pct"/>
            <w:tcBorders>
              <w:top w:val="nil"/>
              <w:left w:val="nil"/>
              <w:bottom w:val="single" w:sz="4" w:space="0" w:color="auto"/>
              <w:right w:val="nil"/>
            </w:tcBorders>
            <w:shd w:val="clear" w:color="auto" w:fill="C5D9F1"/>
            <w:noWrap/>
            <w:vAlign w:val="bottom"/>
            <w:hideMark/>
          </w:tcPr>
          <w:p w14:paraId="66DF85E3" w14:textId="68B3935B" w:rsidR="00AA4D58" w:rsidRPr="00AA4D58" w:rsidRDefault="00AA4D58" w:rsidP="00AA4D58">
            <w:pPr>
              <w:pStyle w:val="TableHead"/>
              <w:rPr>
                <w:color w:val="0033CC"/>
                <w:lang w:bidi="ar-SY"/>
              </w:rPr>
            </w:pPr>
            <w:r w:rsidRPr="00AA4D58">
              <w:rPr>
                <w:rFonts w:ascii="Calibri" w:hAnsi="Calibri" w:cs="Calibri"/>
                <w:color w:val="0033CC"/>
                <w:szCs w:val="22"/>
                <w:lang w:eastAsia="fr-FR"/>
              </w:rPr>
              <w:t>2015</w:t>
            </w:r>
          </w:p>
        </w:tc>
        <w:tc>
          <w:tcPr>
            <w:tcW w:w="566" w:type="pct"/>
            <w:tcBorders>
              <w:top w:val="nil"/>
              <w:left w:val="nil"/>
              <w:bottom w:val="single" w:sz="4" w:space="0" w:color="auto"/>
              <w:right w:val="nil"/>
            </w:tcBorders>
            <w:shd w:val="clear" w:color="auto" w:fill="C5D9F1"/>
            <w:noWrap/>
            <w:vAlign w:val="bottom"/>
            <w:hideMark/>
          </w:tcPr>
          <w:p w14:paraId="28205286" w14:textId="5D4D8014" w:rsidR="00AA4D58" w:rsidRPr="00AA4D58" w:rsidRDefault="00AA4D58" w:rsidP="00AA4D58">
            <w:pPr>
              <w:pStyle w:val="TableHead"/>
              <w:rPr>
                <w:color w:val="0033CC"/>
                <w:lang w:val="en-GB" w:bidi="ar-SY"/>
              </w:rPr>
            </w:pPr>
            <w:r w:rsidRPr="00AA4D58">
              <w:rPr>
                <w:rFonts w:ascii="Calibri" w:hAnsi="Calibri" w:cs="Calibri"/>
                <w:color w:val="0033CC"/>
                <w:szCs w:val="22"/>
                <w:lang w:eastAsia="fr-FR"/>
              </w:rPr>
              <w:t>2016</w:t>
            </w:r>
          </w:p>
        </w:tc>
        <w:tc>
          <w:tcPr>
            <w:tcW w:w="565" w:type="pct"/>
            <w:tcBorders>
              <w:top w:val="nil"/>
              <w:left w:val="nil"/>
              <w:bottom w:val="single" w:sz="4" w:space="0" w:color="auto"/>
              <w:right w:val="nil"/>
            </w:tcBorders>
            <w:shd w:val="clear" w:color="auto" w:fill="C5D9F1"/>
            <w:noWrap/>
            <w:vAlign w:val="bottom"/>
            <w:hideMark/>
          </w:tcPr>
          <w:p w14:paraId="7B0A9839" w14:textId="4772C3AA" w:rsidR="00AA4D58" w:rsidRPr="00AA4D58" w:rsidRDefault="00AA4D58" w:rsidP="00AA4D58">
            <w:pPr>
              <w:pStyle w:val="TableHead"/>
              <w:rPr>
                <w:color w:val="0033CC"/>
                <w:lang w:val="en-GB" w:bidi="ar-SY"/>
              </w:rPr>
            </w:pPr>
            <w:r w:rsidRPr="00AA4D58">
              <w:rPr>
                <w:rFonts w:ascii="Calibri" w:hAnsi="Calibri" w:cs="Calibri"/>
                <w:color w:val="0033CC"/>
                <w:szCs w:val="22"/>
                <w:lang w:eastAsia="fr-FR"/>
              </w:rPr>
              <w:t>2017</w:t>
            </w:r>
          </w:p>
        </w:tc>
        <w:tc>
          <w:tcPr>
            <w:tcW w:w="565" w:type="pct"/>
            <w:tcBorders>
              <w:top w:val="nil"/>
              <w:left w:val="nil"/>
              <w:bottom w:val="single" w:sz="4" w:space="0" w:color="auto"/>
              <w:right w:val="nil"/>
            </w:tcBorders>
            <w:shd w:val="clear" w:color="auto" w:fill="C5D9F1"/>
            <w:noWrap/>
            <w:vAlign w:val="bottom"/>
            <w:hideMark/>
          </w:tcPr>
          <w:p w14:paraId="607EAFBA" w14:textId="790985FD" w:rsidR="00AA4D58" w:rsidRPr="00AA4D58" w:rsidRDefault="00AA4D58" w:rsidP="00AA4D58">
            <w:pPr>
              <w:pStyle w:val="TableHead"/>
              <w:rPr>
                <w:color w:val="0033CC"/>
                <w:lang w:val="en-GB" w:bidi="ar-SY"/>
              </w:rPr>
            </w:pPr>
            <w:r w:rsidRPr="00AA4D58">
              <w:rPr>
                <w:rFonts w:ascii="Calibri" w:hAnsi="Calibri" w:cs="Calibri"/>
                <w:color w:val="0033CC"/>
                <w:szCs w:val="22"/>
                <w:lang w:eastAsia="fr-FR"/>
              </w:rPr>
              <w:t>2018</w:t>
            </w:r>
          </w:p>
        </w:tc>
        <w:tc>
          <w:tcPr>
            <w:tcW w:w="477" w:type="pct"/>
            <w:tcBorders>
              <w:top w:val="nil"/>
              <w:left w:val="nil"/>
              <w:bottom w:val="single" w:sz="4" w:space="0" w:color="auto"/>
              <w:right w:val="nil"/>
            </w:tcBorders>
            <w:shd w:val="clear" w:color="auto" w:fill="C5D9F1"/>
            <w:noWrap/>
            <w:vAlign w:val="bottom"/>
            <w:hideMark/>
          </w:tcPr>
          <w:p w14:paraId="7728577F" w14:textId="57132C8D" w:rsidR="00AA4D58" w:rsidRPr="00AA4D58" w:rsidRDefault="00AA4D58" w:rsidP="00AA4D58">
            <w:pPr>
              <w:pStyle w:val="TableHead"/>
              <w:rPr>
                <w:color w:val="0033CC"/>
                <w:lang w:val="en-GB" w:bidi="ar-SY"/>
              </w:rPr>
            </w:pPr>
            <w:r w:rsidRPr="00AA4D58">
              <w:rPr>
                <w:rFonts w:ascii="Calibri" w:hAnsi="Calibri" w:cs="Calibri"/>
                <w:color w:val="0033CC"/>
                <w:szCs w:val="22"/>
                <w:lang w:eastAsia="fr-FR"/>
              </w:rPr>
              <w:t>2019</w:t>
            </w:r>
          </w:p>
        </w:tc>
        <w:tc>
          <w:tcPr>
            <w:tcW w:w="478" w:type="pct"/>
            <w:tcBorders>
              <w:top w:val="nil"/>
              <w:left w:val="nil"/>
              <w:bottom w:val="single" w:sz="4" w:space="0" w:color="auto"/>
              <w:right w:val="nil"/>
            </w:tcBorders>
            <w:shd w:val="clear" w:color="auto" w:fill="C5D9F1"/>
            <w:noWrap/>
            <w:vAlign w:val="bottom"/>
            <w:hideMark/>
          </w:tcPr>
          <w:p w14:paraId="61B196AD" w14:textId="5F54C2E4" w:rsidR="00AA4D58" w:rsidRPr="00AA4D58" w:rsidRDefault="00AA4D58" w:rsidP="00AA4D58">
            <w:pPr>
              <w:pStyle w:val="TableHead"/>
              <w:rPr>
                <w:color w:val="0033CC"/>
                <w:lang w:val="en-GB" w:bidi="ar-SY"/>
              </w:rPr>
            </w:pPr>
            <w:r w:rsidRPr="00AA4D58">
              <w:rPr>
                <w:rFonts w:ascii="Calibri" w:hAnsi="Calibri" w:cs="Calibri"/>
                <w:color w:val="0033CC"/>
                <w:szCs w:val="22"/>
                <w:lang w:eastAsia="fr-FR"/>
              </w:rPr>
              <w:t>2020</w:t>
            </w:r>
          </w:p>
        </w:tc>
      </w:tr>
      <w:tr w:rsidR="00AA4D58" w14:paraId="7149C826" w14:textId="77777777" w:rsidTr="00AA4D58">
        <w:trPr>
          <w:trHeight w:val="288"/>
        </w:trPr>
        <w:tc>
          <w:tcPr>
            <w:tcW w:w="1783" w:type="pct"/>
            <w:tcBorders>
              <w:top w:val="nil"/>
              <w:left w:val="nil"/>
              <w:bottom w:val="single" w:sz="4" w:space="0" w:color="auto"/>
              <w:right w:val="nil"/>
            </w:tcBorders>
            <w:noWrap/>
            <w:vAlign w:val="center"/>
            <w:hideMark/>
          </w:tcPr>
          <w:p w14:paraId="7457DF66" w14:textId="77777777" w:rsidR="00AA4D58" w:rsidRDefault="00AA4D58" w:rsidP="00AA4D58">
            <w:pPr>
              <w:pStyle w:val="Tabletexte"/>
              <w:rPr>
                <w:rtl/>
                <w:lang w:val="en-GB"/>
              </w:rPr>
            </w:pPr>
            <w:r>
              <w:rPr>
                <w:rtl/>
              </w:rPr>
              <w:t>الرصيد في نهاية العام</w:t>
            </w:r>
          </w:p>
        </w:tc>
        <w:tc>
          <w:tcPr>
            <w:tcW w:w="566" w:type="pct"/>
            <w:tcBorders>
              <w:top w:val="nil"/>
              <w:left w:val="nil"/>
              <w:bottom w:val="single" w:sz="4" w:space="0" w:color="auto"/>
              <w:right w:val="nil"/>
            </w:tcBorders>
            <w:noWrap/>
            <w:vAlign w:val="bottom"/>
            <w:hideMark/>
          </w:tcPr>
          <w:p w14:paraId="6A2245F6" w14:textId="4BF256F4" w:rsidR="00AA4D58" w:rsidRDefault="00AA4D58" w:rsidP="00AA4D58">
            <w:pPr>
              <w:pStyle w:val="Tabletexte"/>
              <w:rPr>
                <w:lang w:val="en-GB"/>
              </w:rPr>
            </w:pPr>
            <w:r w:rsidRPr="0047343C">
              <w:rPr>
                <w:rFonts w:ascii="Calibri" w:hAnsi="Calibri" w:cs="Calibri"/>
                <w:color w:val="44546A" w:themeColor="text2"/>
                <w:szCs w:val="22"/>
                <w:lang w:eastAsia="fr-FR"/>
              </w:rPr>
              <w:t>9</w:t>
            </w:r>
            <w:r>
              <w:rPr>
                <w:rFonts w:ascii="Calibri" w:hAnsi="Calibri" w:cs="Calibri"/>
                <w:color w:val="44546A" w:themeColor="text2"/>
                <w:szCs w:val="22"/>
                <w:lang w:eastAsia="fr-FR"/>
              </w:rPr>
              <w:t> </w:t>
            </w:r>
            <w:r w:rsidRPr="0047343C">
              <w:rPr>
                <w:rFonts w:ascii="Calibri" w:hAnsi="Calibri" w:cs="Calibri"/>
                <w:color w:val="44546A" w:themeColor="text2"/>
                <w:szCs w:val="22"/>
                <w:lang w:eastAsia="fr-FR"/>
              </w:rPr>
              <w:t>210</w:t>
            </w:r>
          </w:p>
        </w:tc>
        <w:tc>
          <w:tcPr>
            <w:tcW w:w="566" w:type="pct"/>
            <w:tcBorders>
              <w:top w:val="nil"/>
              <w:left w:val="nil"/>
              <w:bottom w:val="single" w:sz="4" w:space="0" w:color="auto"/>
              <w:right w:val="nil"/>
            </w:tcBorders>
            <w:noWrap/>
            <w:vAlign w:val="bottom"/>
            <w:hideMark/>
          </w:tcPr>
          <w:p w14:paraId="3FE2DC96" w14:textId="0975071F" w:rsidR="00AA4D58" w:rsidRDefault="00AA4D58" w:rsidP="00AA4D58">
            <w:pPr>
              <w:pStyle w:val="Tabletexte"/>
              <w:rPr>
                <w:lang w:val="en-GB"/>
              </w:rPr>
            </w:pPr>
            <w:r w:rsidRPr="0047343C">
              <w:rPr>
                <w:rFonts w:ascii="Calibri" w:hAnsi="Calibri" w:cs="Calibri"/>
                <w:color w:val="44546A" w:themeColor="text2"/>
                <w:szCs w:val="22"/>
                <w:lang w:eastAsia="fr-FR"/>
              </w:rPr>
              <w:t>10</w:t>
            </w:r>
            <w:r>
              <w:rPr>
                <w:rFonts w:ascii="Calibri" w:hAnsi="Calibri" w:cs="Calibri"/>
                <w:color w:val="44546A" w:themeColor="text2"/>
                <w:szCs w:val="22"/>
                <w:lang w:eastAsia="fr-FR"/>
              </w:rPr>
              <w:t> </w:t>
            </w:r>
            <w:r w:rsidRPr="0047343C">
              <w:rPr>
                <w:rFonts w:ascii="Calibri" w:hAnsi="Calibri" w:cs="Calibri"/>
                <w:color w:val="44546A" w:themeColor="text2"/>
                <w:szCs w:val="22"/>
                <w:lang w:eastAsia="fr-FR"/>
              </w:rPr>
              <w:t>076</w:t>
            </w:r>
          </w:p>
        </w:tc>
        <w:tc>
          <w:tcPr>
            <w:tcW w:w="565" w:type="pct"/>
            <w:tcBorders>
              <w:top w:val="nil"/>
              <w:left w:val="nil"/>
              <w:bottom w:val="single" w:sz="4" w:space="0" w:color="auto"/>
              <w:right w:val="nil"/>
            </w:tcBorders>
            <w:noWrap/>
            <w:vAlign w:val="bottom"/>
            <w:hideMark/>
          </w:tcPr>
          <w:p w14:paraId="7D3547BF" w14:textId="11C4221E" w:rsidR="00AA4D58" w:rsidRDefault="00AA4D58" w:rsidP="00AA4D58">
            <w:pPr>
              <w:pStyle w:val="Tabletexte"/>
              <w:rPr>
                <w:lang w:val="en-GB"/>
              </w:rPr>
            </w:pPr>
            <w:r w:rsidRPr="0047343C">
              <w:rPr>
                <w:rFonts w:ascii="Calibri" w:hAnsi="Calibri" w:cs="Calibri"/>
                <w:color w:val="44546A" w:themeColor="text2"/>
                <w:lang w:eastAsia="fr-FR"/>
              </w:rPr>
              <w:t>8</w:t>
            </w:r>
            <w:r>
              <w:rPr>
                <w:rFonts w:ascii="Calibri" w:hAnsi="Calibri" w:cs="Calibri"/>
                <w:color w:val="44546A" w:themeColor="text2"/>
                <w:lang w:eastAsia="fr-FR"/>
              </w:rPr>
              <w:t> </w:t>
            </w:r>
            <w:r w:rsidRPr="0047343C">
              <w:rPr>
                <w:rFonts w:ascii="Calibri" w:hAnsi="Calibri" w:cs="Calibri"/>
                <w:color w:val="44546A" w:themeColor="text2"/>
                <w:lang w:eastAsia="fr-FR"/>
              </w:rPr>
              <w:t>132</w:t>
            </w:r>
          </w:p>
        </w:tc>
        <w:tc>
          <w:tcPr>
            <w:tcW w:w="565" w:type="pct"/>
            <w:tcBorders>
              <w:top w:val="nil"/>
              <w:left w:val="nil"/>
              <w:bottom w:val="single" w:sz="4" w:space="0" w:color="auto"/>
              <w:right w:val="nil"/>
            </w:tcBorders>
            <w:noWrap/>
            <w:vAlign w:val="bottom"/>
            <w:hideMark/>
          </w:tcPr>
          <w:p w14:paraId="000E61C0" w14:textId="1C1B6DD5" w:rsidR="00AA4D58" w:rsidRDefault="00AA4D58" w:rsidP="00AA4D58">
            <w:pPr>
              <w:pStyle w:val="Tabletexte"/>
              <w:rPr>
                <w:lang w:val="en-GB"/>
              </w:rPr>
            </w:pPr>
            <w:r w:rsidRPr="0047343C">
              <w:rPr>
                <w:rFonts w:ascii="Calibri" w:hAnsi="Calibri" w:cs="Calibri"/>
                <w:color w:val="44546A" w:themeColor="text2"/>
                <w:lang w:eastAsia="fr-FR"/>
              </w:rPr>
              <w:t>7</w:t>
            </w:r>
            <w:r>
              <w:rPr>
                <w:rFonts w:ascii="Calibri" w:hAnsi="Calibri" w:cs="Calibri"/>
                <w:color w:val="44546A" w:themeColor="text2"/>
                <w:lang w:eastAsia="fr-FR"/>
              </w:rPr>
              <w:t> </w:t>
            </w:r>
            <w:r w:rsidRPr="0047343C">
              <w:rPr>
                <w:rFonts w:ascii="Calibri" w:hAnsi="Calibri" w:cs="Calibri"/>
                <w:color w:val="44546A" w:themeColor="text2"/>
                <w:lang w:eastAsia="fr-FR"/>
              </w:rPr>
              <w:t>950</w:t>
            </w:r>
          </w:p>
        </w:tc>
        <w:tc>
          <w:tcPr>
            <w:tcW w:w="477" w:type="pct"/>
            <w:tcBorders>
              <w:top w:val="nil"/>
              <w:left w:val="nil"/>
              <w:bottom w:val="single" w:sz="4" w:space="0" w:color="auto"/>
              <w:right w:val="nil"/>
            </w:tcBorders>
            <w:noWrap/>
            <w:vAlign w:val="bottom"/>
            <w:hideMark/>
          </w:tcPr>
          <w:p w14:paraId="42C8C3DD" w14:textId="420E8DBC" w:rsidR="00AA4D58" w:rsidRDefault="00AA4D58" w:rsidP="00AA4D58">
            <w:pPr>
              <w:pStyle w:val="Tabletexte"/>
              <w:rPr>
                <w:lang w:val="en-GB"/>
              </w:rPr>
            </w:pPr>
            <w:r w:rsidRPr="0047343C">
              <w:rPr>
                <w:rFonts w:ascii="Calibri" w:hAnsi="Calibri" w:cs="Calibri"/>
                <w:color w:val="44546A" w:themeColor="text2"/>
                <w:lang w:eastAsia="fr-FR"/>
              </w:rPr>
              <w:t>8</w:t>
            </w:r>
            <w:r>
              <w:rPr>
                <w:rFonts w:ascii="Calibri" w:hAnsi="Calibri" w:cs="Calibri"/>
                <w:color w:val="44546A" w:themeColor="text2"/>
                <w:lang w:eastAsia="fr-FR"/>
              </w:rPr>
              <w:t> </w:t>
            </w:r>
            <w:r w:rsidRPr="0047343C">
              <w:rPr>
                <w:rFonts w:ascii="Calibri" w:hAnsi="Calibri" w:cs="Calibri"/>
                <w:color w:val="44546A" w:themeColor="text2"/>
                <w:lang w:eastAsia="fr-FR"/>
              </w:rPr>
              <w:t>563</w:t>
            </w:r>
          </w:p>
        </w:tc>
        <w:tc>
          <w:tcPr>
            <w:tcW w:w="478" w:type="pct"/>
            <w:tcBorders>
              <w:top w:val="nil"/>
              <w:left w:val="nil"/>
              <w:bottom w:val="single" w:sz="4" w:space="0" w:color="auto"/>
              <w:right w:val="nil"/>
            </w:tcBorders>
            <w:noWrap/>
            <w:vAlign w:val="bottom"/>
            <w:hideMark/>
          </w:tcPr>
          <w:p w14:paraId="2B0EC935" w14:textId="5CB0E6EA" w:rsidR="00AA4D58" w:rsidRDefault="00AA4D58" w:rsidP="00AA4D58">
            <w:pPr>
              <w:pStyle w:val="Tabletexte"/>
              <w:rPr>
                <w:lang w:val="en-GB"/>
              </w:rPr>
            </w:pPr>
            <w:r w:rsidRPr="0047343C">
              <w:rPr>
                <w:rFonts w:ascii="Calibri" w:hAnsi="Calibri" w:cs="Calibri"/>
                <w:color w:val="44546A" w:themeColor="text2"/>
                <w:lang w:eastAsia="fr-FR"/>
              </w:rPr>
              <w:t>6</w:t>
            </w:r>
            <w:r>
              <w:rPr>
                <w:rFonts w:ascii="Calibri" w:hAnsi="Calibri" w:cs="Calibri"/>
                <w:color w:val="44546A" w:themeColor="text2"/>
                <w:lang w:eastAsia="fr-FR"/>
              </w:rPr>
              <w:t> </w:t>
            </w:r>
            <w:r w:rsidRPr="0047343C">
              <w:rPr>
                <w:rFonts w:ascii="Calibri" w:hAnsi="Calibri" w:cs="Calibri"/>
                <w:color w:val="44546A" w:themeColor="text2"/>
                <w:lang w:eastAsia="fr-FR"/>
              </w:rPr>
              <w:t>483</w:t>
            </w:r>
          </w:p>
        </w:tc>
      </w:tr>
    </w:tbl>
    <w:p w14:paraId="3690481A" w14:textId="2564C5AD" w:rsidR="00497A51" w:rsidRPr="0016610C" w:rsidRDefault="00AA4D58" w:rsidP="00497A51">
      <w:pPr>
        <w:spacing w:before="360"/>
        <w:rPr>
          <w:lang w:bidi="ar-EG"/>
        </w:rPr>
      </w:pPr>
      <w:r>
        <w:t>12</w:t>
      </w:r>
      <w:r w:rsidR="00497A51">
        <w:rPr>
          <w:rtl/>
        </w:rPr>
        <w:tab/>
      </w:r>
      <w:r w:rsidR="00497A51">
        <w:rPr>
          <w:rFonts w:hint="cs"/>
          <w:rtl/>
        </w:rPr>
        <w:t>ويعبر</w:t>
      </w:r>
      <w:r w:rsidR="00497A51" w:rsidRPr="007E2E30">
        <w:rPr>
          <w:rFonts w:hint="cs"/>
          <w:rtl/>
        </w:rPr>
        <w:t xml:space="preserve"> رصيد </w:t>
      </w:r>
      <w:r w:rsidR="00497A51" w:rsidRPr="007E2E30">
        <w:rPr>
          <w:rFonts w:hint="cs"/>
          <w:rtl/>
          <w:lang w:val="es-ES" w:bidi="ar-EG"/>
        </w:rPr>
        <w:t xml:space="preserve">عام </w:t>
      </w:r>
      <w:r>
        <w:rPr>
          <w:lang w:val="es-ES" w:bidi="ar-EG"/>
        </w:rPr>
        <w:t>2015</w:t>
      </w:r>
      <w:r w:rsidR="00497A51" w:rsidRPr="007E2E30">
        <w:rPr>
          <w:rFonts w:hint="cs"/>
          <w:rtl/>
          <w:lang w:bidi="ar-EG"/>
        </w:rPr>
        <w:t xml:space="preserve"> </w:t>
      </w:r>
      <w:r w:rsidR="00497A51">
        <w:rPr>
          <w:rFonts w:hint="cs"/>
          <w:rtl/>
        </w:rPr>
        <w:t>عن الناتج</w:t>
      </w:r>
      <w:r w:rsidR="00497A51" w:rsidRPr="007E2E30">
        <w:rPr>
          <w:rtl/>
        </w:rPr>
        <w:t xml:space="preserve"> الموجب لحدث تليكوم العالمي للاتحاد </w:t>
      </w:r>
      <w:r w:rsidR="00497A51" w:rsidRPr="007E2E30">
        <w:rPr>
          <w:rFonts w:hint="cs"/>
          <w:rtl/>
        </w:rPr>
        <w:t xml:space="preserve">في عام </w:t>
      </w:r>
      <w:r w:rsidR="0084196C">
        <w:t>2015</w:t>
      </w:r>
      <w:r w:rsidR="00497A51" w:rsidRPr="007E2E30">
        <w:rPr>
          <w:rtl/>
        </w:rPr>
        <w:t xml:space="preserve">. </w:t>
      </w:r>
      <w:r w:rsidR="00497A51" w:rsidRPr="007E2E30">
        <w:rPr>
          <w:rFonts w:hint="cs"/>
          <w:rtl/>
          <w:lang w:bidi="ar-EG"/>
        </w:rPr>
        <w:t>ويتماشى ناتج الحدث</w:t>
      </w:r>
      <w:r w:rsidR="00497A51" w:rsidRPr="007E2E30">
        <w:rPr>
          <w:rtl/>
          <w:lang w:bidi="ar-EG"/>
        </w:rPr>
        <w:t xml:space="preserve"> في</w:t>
      </w:r>
      <w:r w:rsidR="00497A51" w:rsidRPr="007E2E30">
        <w:rPr>
          <w:rFonts w:hint="cs"/>
          <w:rtl/>
          <w:lang w:bidi="ar-EG"/>
        </w:rPr>
        <w:t xml:space="preserve"> عام</w:t>
      </w:r>
      <w:r w:rsidR="00497A51" w:rsidRPr="007E2E30">
        <w:rPr>
          <w:rtl/>
          <w:lang w:bidi="ar-EG"/>
        </w:rPr>
        <w:t xml:space="preserve"> </w:t>
      </w:r>
      <w:r w:rsidR="00497A51" w:rsidRPr="007E2E30">
        <w:rPr>
          <w:lang w:bidi="ar-EG"/>
        </w:rPr>
        <w:t>2016</w:t>
      </w:r>
      <w:r w:rsidR="00497A51" w:rsidRPr="007E2E30">
        <w:rPr>
          <w:rFonts w:hint="cs"/>
          <w:rtl/>
          <w:lang w:bidi="ar-EG"/>
        </w:rPr>
        <w:t xml:space="preserve">، الأكثر ارتفاعاً بكثير مقارنةً بالميزانية، مع نسبة الزيادة </w:t>
      </w:r>
      <w:r w:rsidR="00497A51" w:rsidRPr="007E2E30">
        <w:rPr>
          <w:rtl/>
          <w:lang w:bidi="ar-EG"/>
        </w:rPr>
        <w:t xml:space="preserve">في رصيد عام </w:t>
      </w:r>
      <w:r w:rsidR="00497A51" w:rsidRPr="007E2E30">
        <w:rPr>
          <w:lang w:bidi="ar-EG"/>
        </w:rPr>
        <w:t>2016</w:t>
      </w:r>
      <w:r w:rsidR="00497A51" w:rsidRPr="007E2E30">
        <w:rPr>
          <w:rtl/>
          <w:lang w:bidi="ar-EG"/>
        </w:rPr>
        <w:t xml:space="preserve"> </w:t>
      </w:r>
      <w:r w:rsidR="00497A51" w:rsidRPr="007E2E30">
        <w:rPr>
          <w:rFonts w:hint="cs"/>
          <w:rtl/>
          <w:lang w:bidi="ar-EG"/>
        </w:rPr>
        <w:t xml:space="preserve">التي تتجاوز </w:t>
      </w:r>
      <w:r w:rsidR="00497A51" w:rsidRPr="007E2E30">
        <w:rPr>
          <w:lang w:val="es-ES" w:bidi="ar-EG"/>
        </w:rPr>
        <w:t>9</w:t>
      </w:r>
      <w:r w:rsidR="00497A51" w:rsidRPr="007E2E30">
        <w:rPr>
          <w:rFonts w:hint="cs"/>
          <w:rtl/>
          <w:lang w:bidi="ar-EG"/>
        </w:rPr>
        <w:t xml:space="preserve"> في المائة، مقارنةً</w:t>
      </w:r>
      <w:r w:rsidR="00497A51" w:rsidRPr="007E2E30">
        <w:rPr>
          <w:rtl/>
          <w:lang w:bidi="ar-EG"/>
        </w:rPr>
        <w:t xml:space="preserve"> </w:t>
      </w:r>
      <w:r w:rsidR="00497A51" w:rsidRPr="007E2E30">
        <w:rPr>
          <w:rFonts w:hint="cs"/>
          <w:rtl/>
          <w:lang w:bidi="ar-EG"/>
        </w:rPr>
        <w:t>ب</w:t>
      </w:r>
      <w:r w:rsidR="00497A51" w:rsidRPr="007E2E30">
        <w:rPr>
          <w:rtl/>
          <w:lang w:bidi="ar-EG"/>
        </w:rPr>
        <w:t xml:space="preserve">رصيد عام </w:t>
      </w:r>
      <w:r w:rsidR="00497A51" w:rsidRPr="007E2E30">
        <w:rPr>
          <w:lang w:bidi="ar-EG"/>
        </w:rPr>
        <w:t>2015</w:t>
      </w:r>
      <w:r w:rsidR="00497A51" w:rsidRPr="007E2E30">
        <w:rPr>
          <w:rtl/>
          <w:lang w:bidi="ar-EG"/>
        </w:rPr>
        <w:t>.</w:t>
      </w:r>
      <w:r w:rsidR="00497A51" w:rsidRPr="007E2E30">
        <w:rPr>
          <w:rFonts w:hint="cs"/>
          <w:rtl/>
          <w:lang w:bidi="ar-EG"/>
        </w:rPr>
        <w:t xml:space="preserve"> ومع أن </w:t>
      </w:r>
      <w:r w:rsidR="00497A51" w:rsidRPr="007E2E30">
        <w:rPr>
          <w:rtl/>
          <w:lang w:bidi="ar-EG"/>
        </w:rPr>
        <w:t xml:space="preserve">ناتج </w:t>
      </w:r>
      <w:r w:rsidR="00497A51" w:rsidRPr="007E2E30">
        <w:rPr>
          <w:rFonts w:hint="cs"/>
          <w:rtl/>
          <w:lang w:bidi="ar-EG"/>
        </w:rPr>
        <w:t>ح</w:t>
      </w:r>
      <w:r w:rsidR="00497A51" w:rsidRPr="007E2E30">
        <w:rPr>
          <w:rtl/>
          <w:lang w:bidi="ar-EG"/>
        </w:rPr>
        <w:t>دث تليكوم العالمي للاتحاد في</w:t>
      </w:r>
      <w:r w:rsidR="00497A51" w:rsidRPr="007E2E30">
        <w:rPr>
          <w:rFonts w:hint="cs"/>
          <w:rtl/>
          <w:lang w:bidi="ar-EG"/>
        </w:rPr>
        <w:t xml:space="preserve"> عام</w:t>
      </w:r>
      <w:r w:rsidR="00497A51" w:rsidRPr="007E2E30">
        <w:rPr>
          <w:rtl/>
          <w:lang w:bidi="ar-EG"/>
        </w:rPr>
        <w:t xml:space="preserve"> </w:t>
      </w:r>
      <w:r w:rsidR="00497A51" w:rsidRPr="007E2E30">
        <w:rPr>
          <w:lang w:bidi="ar-EG"/>
        </w:rPr>
        <w:t>2017</w:t>
      </w:r>
      <w:r w:rsidR="00497A51" w:rsidRPr="007E2E30">
        <w:rPr>
          <w:rFonts w:hint="cs"/>
          <w:rtl/>
          <w:lang w:bidi="ar-EG"/>
        </w:rPr>
        <w:t xml:space="preserve"> كان موجباً، إلا أن رصيد عام </w:t>
      </w:r>
      <w:r w:rsidR="00497A51" w:rsidRPr="007E2E30">
        <w:rPr>
          <w:lang w:val="es-ES" w:bidi="ar-EG"/>
        </w:rPr>
        <w:t>2017</w:t>
      </w:r>
      <w:r w:rsidR="00497A51" w:rsidRPr="007E2E30">
        <w:rPr>
          <w:rFonts w:hint="cs"/>
          <w:rtl/>
          <w:lang w:bidi="ar-EG"/>
        </w:rPr>
        <w:t xml:space="preserve"> يبدو أقل بنسبة </w:t>
      </w:r>
      <w:r w:rsidR="00497A51" w:rsidRPr="007E2E30">
        <w:rPr>
          <w:lang w:val="es-ES" w:bidi="ar-EG"/>
        </w:rPr>
        <w:t>20</w:t>
      </w:r>
      <w:r w:rsidR="00497A51" w:rsidRPr="007E2E30">
        <w:rPr>
          <w:rFonts w:hint="cs"/>
          <w:rtl/>
          <w:lang w:bidi="ar-EG"/>
        </w:rPr>
        <w:t xml:space="preserve"> </w:t>
      </w:r>
      <w:r w:rsidR="0039438B">
        <w:rPr>
          <w:rFonts w:hint="cs"/>
          <w:rtl/>
        </w:rPr>
        <w:t xml:space="preserve">في المائة </w:t>
      </w:r>
      <w:r w:rsidR="0084196C">
        <w:rPr>
          <w:rFonts w:hint="cs"/>
          <w:rtl/>
          <w:lang w:bidi="ar-EG"/>
        </w:rPr>
        <w:t xml:space="preserve">تقريباً </w:t>
      </w:r>
      <w:r w:rsidR="00497A51" w:rsidRPr="007E2E30">
        <w:rPr>
          <w:rFonts w:hint="cs"/>
          <w:rtl/>
          <w:lang w:bidi="ar-EG"/>
        </w:rPr>
        <w:t xml:space="preserve">من رصيد عام </w:t>
      </w:r>
      <w:r w:rsidR="00497A51" w:rsidRPr="007E2E30">
        <w:rPr>
          <w:lang w:val="es-ES" w:bidi="ar-EG"/>
        </w:rPr>
        <w:t>2016</w:t>
      </w:r>
      <w:r w:rsidR="00497A51" w:rsidRPr="007E2E30">
        <w:rPr>
          <w:rFonts w:hint="cs"/>
          <w:rtl/>
          <w:lang w:bidi="ar-EG"/>
        </w:rPr>
        <w:t xml:space="preserve"> إثر تحويل </w:t>
      </w:r>
      <w:r w:rsidR="00497A51" w:rsidRPr="007E2E30">
        <w:rPr>
          <w:rtl/>
        </w:rPr>
        <w:t>مبلغ مليوني فرنك سويسري إلى صندوق تنمية تكنولوجيا المعلومات والاتصالات</w:t>
      </w:r>
      <w:r w:rsidR="00497A51" w:rsidRPr="007E2E30">
        <w:rPr>
          <w:rFonts w:hint="cs"/>
          <w:rtl/>
        </w:rPr>
        <w:t xml:space="preserve">. </w:t>
      </w:r>
      <w:r w:rsidR="00497A51">
        <w:rPr>
          <w:rFonts w:hint="cs"/>
          <w:rtl/>
        </w:rPr>
        <w:t>ويعبر</w:t>
      </w:r>
      <w:r w:rsidR="00497A51" w:rsidRPr="007E2E30">
        <w:rPr>
          <w:rFonts w:hint="cs"/>
          <w:rtl/>
        </w:rPr>
        <w:t xml:space="preserve"> رصيد عام </w:t>
      </w:r>
      <w:r w:rsidR="00497A51" w:rsidRPr="007E2E30">
        <w:rPr>
          <w:lang w:val="es-ES"/>
        </w:rPr>
        <w:t>2018</w:t>
      </w:r>
      <w:r w:rsidR="00497A51">
        <w:rPr>
          <w:rFonts w:hint="cs"/>
          <w:rtl/>
          <w:lang w:bidi="ar-EG"/>
        </w:rPr>
        <w:t xml:space="preserve"> عن </w:t>
      </w:r>
      <w:r w:rsidR="00497A51" w:rsidRPr="007E2E30">
        <w:rPr>
          <w:rFonts w:hint="cs"/>
          <w:rtl/>
          <w:lang w:bidi="ar-EG"/>
        </w:rPr>
        <w:t>الناتج السالب لح</w:t>
      </w:r>
      <w:r w:rsidR="00497A51" w:rsidRPr="007E2E30">
        <w:rPr>
          <w:rtl/>
          <w:lang w:bidi="ar-EG"/>
        </w:rPr>
        <w:t>دث تليكوم العالمي للاتحاد في</w:t>
      </w:r>
      <w:r w:rsidR="00497A51" w:rsidRPr="007E2E30">
        <w:rPr>
          <w:rFonts w:hint="cs"/>
          <w:rtl/>
          <w:lang w:bidi="ar-EG"/>
        </w:rPr>
        <w:t xml:space="preserve"> عام</w:t>
      </w:r>
      <w:r w:rsidR="00497A51" w:rsidRPr="007E2E30">
        <w:rPr>
          <w:rtl/>
          <w:lang w:bidi="ar-EG"/>
        </w:rPr>
        <w:t xml:space="preserve"> </w:t>
      </w:r>
      <w:r w:rsidR="00497A51" w:rsidRPr="007E2E30">
        <w:rPr>
          <w:lang w:bidi="ar-EG"/>
        </w:rPr>
        <w:t>2018</w:t>
      </w:r>
      <w:r w:rsidR="00497A51">
        <w:rPr>
          <w:rFonts w:hint="cs"/>
          <w:rtl/>
          <w:lang w:bidi="ar-EG"/>
        </w:rPr>
        <w:t xml:space="preserve"> الذي </w:t>
      </w:r>
      <w:r w:rsidR="00497A51" w:rsidRPr="007E2E30">
        <w:rPr>
          <w:rFonts w:hint="cs"/>
          <w:rtl/>
          <w:lang w:bidi="ar-EG"/>
        </w:rPr>
        <w:t>يشمل الديون غير المسددة عند إقفال الحسابات.</w:t>
      </w:r>
      <w:r w:rsidR="0084196C">
        <w:rPr>
          <w:rFonts w:hint="cs"/>
          <w:rtl/>
          <w:lang w:bidi="ar-EG"/>
        </w:rPr>
        <w:t xml:space="preserve"> </w:t>
      </w:r>
      <w:r w:rsidR="00B03B5D">
        <w:rPr>
          <w:rFonts w:hint="cs"/>
          <w:rtl/>
          <w:lang w:bidi="ar-EG"/>
        </w:rPr>
        <w:t>و</w:t>
      </w:r>
      <w:r w:rsidR="00B03B5D" w:rsidRPr="00B03B5D">
        <w:rPr>
          <w:rtl/>
          <w:lang w:bidi="ar-EG"/>
        </w:rPr>
        <w:t xml:space="preserve">من </w:t>
      </w:r>
      <w:r w:rsidR="00AB0555">
        <w:rPr>
          <w:rFonts w:hint="cs"/>
          <w:rtl/>
          <w:lang w:bidi="ar-EG"/>
        </w:rPr>
        <w:t>ال</w:t>
      </w:r>
      <w:r w:rsidR="00B03B5D" w:rsidRPr="00B03B5D">
        <w:rPr>
          <w:rtl/>
          <w:lang w:bidi="ar-EG"/>
        </w:rPr>
        <w:t xml:space="preserve">ناحية </w:t>
      </w:r>
      <w:r w:rsidR="00AB0555">
        <w:rPr>
          <w:rFonts w:hint="cs"/>
          <w:rtl/>
          <w:lang w:bidi="ar-EG"/>
        </w:rPr>
        <w:t>ال</w:t>
      </w:r>
      <w:r w:rsidR="00B03B5D" w:rsidRPr="00B03B5D">
        <w:rPr>
          <w:rtl/>
          <w:lang w:bidi="ar-EG"/>
        </w:rPr>
        <w:t xml:space="preserve">أخرى، </w:t>
      </w:r>
      <w:r w:rsidR="0039438B">
        <w:rPr>
          <w:rFonts w:hint="cs"/>
          <w:rtl/>
          <w:lang w:bidi="ar-EG"/>
        </w:rPr>
        <w:t>ي</w:t>
      </w:r>
      <w:r w:rsidR="00B03B5D" w:rsidRPr="00B03B5D">
        <w:rPr>
          <w:rtl/>
          <w:lang w:bidi="ar-EG"/>
        </w:rPr>
        <w:t xml:space="preserve">ظهر </w:t>
      </w:r>
      <w:r w:rsidR="0039438B">
        <w:rPr>
          <w:rFonts w:hint="cs"/>
          <w:rtl/>
          <w:lang w:bidi="ar-EG"/>
        </w:rPr>
        <w:t>الناتج الموجب</w:t>
      </w:r>
      <w:r w:rsidR="00D81FB8">
        <w:rPr>
          <w:rFonts w:hint="cs"/>
          <w:rtl/>
          <w:lang w:bidi="ar-EG"/>
        </w:rPr>
        <w:t xml:space="preserve"> لحدث </w:t>
      </w:r>
      <w:r w:rsidR="00D81FB8" w:rsidRPr="00D81FB8">
        <w:rPr>
          <w:rtl/>
          <w:lang w:bidi="ar-EG"/>
        </w:rPr>
        <w:t xml:space="preserve">تليكوم العالمي للاتحاد لعام </w:t>
      </w:r>
      <w:r w:rsidR="00B03B5D" w:rsidRPr="00B03B5D">
        <w:rPr>
          <w:lang w:bidi="ar-EG"/>
        </w:rPr>
        <w:t>2019</w:t>
      </w:r>
      <w:r w:rsidR="00B03B5D" w:rsidRPr="00B03B5D">
        <w:rPr>
          <w:rtl/>
          <w:lang w:bidi="ar-EG"/>
        </w:rPr>
        <w:t xml:space="preserve"> في رصيد نهاية</w:t>
      </w:r>
      <w:r w:rsidR="0039438B">
        <w:rPr>
          <w:rFonts w:hint="cs"/>
          <w:rtl/>
          <w:lang w:bidi="ar-EG"/>
        </w:rPr>
        <w:t xml:space="preserve"> </w:t>
      </w:r>
      <w:r w:rsidR="00B03B5D" w:rsidRPr="00B03B5D">
        <w:rPr>
          <w:rtl/>
          <w:lang w:bidi="ar-EG"/>
        </w:rPr>
        <w:t xml:space="preserve">عام </w:t>
      </w:r>
      <w:r w:rsidR="00B03B5D">
        <w:rPr>
          <w:lang w:bidi="ar-EG"/>
        </w:rPr>
        <w:t>2019</w:t>
      </w:r>
      <w:r w:rsidR="00B03B5D" w:rsidRPr="00B03B5D">
        <w:rPr>
          <w:rtl/>
          <w:lang w:bidi="ar-EG"/>
        </w:rPr>
        <w:t xml:space="preserve">. </w:t>
      </w:r>
      <w:r w:rsidR="00D81FB8">
        <w:rPr>
          <w:rFonts w:hint="cs"/>
          <w:rtl/>
          <w:lang w:bidi="ar-EG"/>
        </w:rPr>
        <w:t xml:space="preserve">ويقل </w:t>
      </w:r>
      <w:r w:rsidR="00B03B5D" w:rsidRPr="00B03B5D">
        <w:rPr>
          <w:rtl/>
          <w:lang w:bidi="ar-EG"/>
        </w:rPr>
        <w:t>رصيد</w:t>
      </w:r>
      <w:r w:rsidR="00D81FB8">
        <w:rPr>
          <w:rFonts w:hint="cs"/>
          <w:rtl/>
          <w:lang w:bidi="ar-EG"/>
        </w:rPr>
        <w:t xml:space="preserve"> عام</w:t>
      </w:r>
      <w:r w:rsidR="00B03B5D" w:rsidRPr="00B03B5D">
        <w:rPr>
          <w:rtl/>
          <w:lang w:bidi="ar-EG"/>
        </w:rPr>
        <w:t xml:space="preserve"> </w:t>
      </w:r>
      <w:r w:rsidR="00B03B5D">
        <w:rPr>
          <w:lang w:bidi="ar-EG"/>
        </w:rPr>
        <w:t>2020</w:t>
      </w:r>
      <w:r w:rsidR="00B03B5D" w:rsidRPr="00B03B5D">
        <w:rPr>
          <w:rtl/>
          <w:lang w:bidi="ar-EG"/>
        </w:rPr>
        <w:t xml:space="preserve"> بنسبة </w:t>
      </w:r>
      <w:r w:rsidR="00B03B5D">
        <w:rPr>
          <w:lang w:bidi="ar-EG"/>
        </w:rPr>
        <w:t>24</w:t>
      </w:r>
      <w:r w:rsidR="00B03B5D">
        <w:rPr>
          <w:rFonts w:hint="cs"/>
          <w:rtl/>
          <w:lang w:bidi="ar-EG"/>
        </w:rPr>
        <w:t xml:space="preserve"> في المائة</w:t>
      </w:r>
      <w:r w:rsidR="00B03B5D" w:rsidRPr="00B03B5D">
        <w:rPr>
          <w:rtl/>
          <w:lang w:bidi="ar-EG"/>
        </w:rPr>
        <w:t xml:space="preserve"> </w:t>
      </w:r>
      <w:r w:rsidR="00D81FB8">
        <w:rPr>
          <w:rFonts w:hint="cs"/>
          <w:rtl/>
          <w:lang w:bidi="ar-EG"/>
        </w:rPr>
        <w:t>ع</w:t>
      </w:r>
      <w:r w:rsidR="00B03B5D" w:rsidRPr="00B03B5D">
        <w:rPr>
          <w:rtl/>
          <w:lang w:bidi="ar-EG"/>
        </w:rPr>
        <w:t>ن</w:t>
      </w:r>
      <w:r w:rsidR="00D81FB8">
        <w:rPr>
          <w:rFonts w:hint="cs"/>
          <w:rtl/>
          <w:lang w:bidi="ar-EG"/>
        </w:rPr>
        <w:t xml:space="preserve"> رصيد</w:t>
      </w:r>
      <w:r w:rsidR="00B03B5D" w:rsidRPr="00B03B5D">
        <w:rPr>
          <w:rtl/>
          <w:lang w:bidi="ar-EG"/>
        </w:rPr>
        <w:t xml:space="preserve"> </w:t>
      </w:r>
      <w:r w:rsidR="00D81FB8">
        <w:rPr>
          <w:rFonts w:hint="cs"/>
          <w:rtl/>
          <w:lang w:bidi="ar-EG"/>
        </w:rPr>
        <w:t xml:space="preserve">عام </w:t>
      </w:r>
      <w:r w:rsidR="00B03B5D">
        <w:rPr>
          <w:lang w:bidi="ar-EG"/>
        </w:rPr>
        <w:t>2019</w:t>
      </w:r>
      <w:r w:rsidR="00B03B5D" w:rsidRPr="00B03B5D">
        <w:rPr>
          <w:rtl/>
          <w:lang w:bidi="ar-EG"/>
        </w:rPr>
        <w:t xml:space="preserve"> بسبب تأجيل حدث </w:t>
      </w:r>
      <w:r w:rsidR="00D81FB8" w:rsidRPr="00D81FB8">
        <w:rPr>
          <w:rtl/>
          <w:lang w:bidi="ar-EG"/>
        </w:rPr>
        <w:t>العالم الرقمي للاتحاد لعام</w:t>
      </w:r>
      <w:r w:rsidR="00D81FB8">
        <w:rPr>
          <w:rFonts w:hint="cs"/>
          <w:rtl/>
          <w:lang w:bidi="ar-EG"/>
        </w:rPr>
        <w:t xml:space="preserve"> </w:t>
      </w:r>
      <w:r w:rsidR="00B03B5D">
        <w:rPr>
          <w:lang w:bidi="ar-EG"/>
        </w:rPr>
        <w:t>2020</w:t>
      </w:r>
      <w:r w:rsidR="00B03B5D" w:rsidRPr="00B03B5D">
        <w:rPr>
          <w:rtl/>
          <w:lang w:bidi="ar-EG"/>
        </w:rPr>
        <w:t xml:space="preserve"> مما أدى إلى انخفاض الإيرادات بشكل كبير (من </w:t>
      </w:r>
      <w:r w:rsidR="00AB0555" w:rsidRPr="00B03B5D">
        <w:rPr>
          <w:rtl/>
          <w:lang w:bidi="ar-EG"/>
        </w:rPr>
        <w:t>الحدث الافتراضي</w:t>
      </w:r>
      <w:r w:rsidR="00AB0555">
        <w:rPr>
          <w:rFonts w:hint="cs"/>
          <w:rtl/>
          <w:lang w:bidi="ar-EG"/>
        </w:rPr>
        <w:t xml:space="preserve"> لعام </w:t>
      </w:r>
      <w:r w:rsidR="00B03B5D">
        <w:rPr>
          <w:lang w:bidi="ar-EG"/>
        </w:rPr>
        <w:t>2020</w:t>
      </w:r>
      <w:r w:rsidR="00B03B5D" w:rsidRPr="00B03B5D">
        <w:rPr>
          <w:rtl/>
          <w:lang w:bidi="ar-EG"/>
        </w:rPr>
        <w:t xml:space="preserve"> </w:t>
      </w:r>
      <w:r w:rsidR="00AB0555" w:rsidRPr="00B03B5D">
        <w:rPr>
          <w:rtl/>
          <w:lang w:bidi="ar-EG"/>
        </w:rPr>
        <w:t>فقط</w:t>
      </w:r>
      <w:r w:rsidR="00B03B5D" w:rsidRPr="00B03B5D">
        <w:rPr>
          <w:rtl/>
          <w:lang w:bidi="ar-EG"/>
        </w:rPr>
        <w:t xml:space="preserve">) بينما </w:t>
      </w:r>
      <w:r w:rsidR="00AB0555">
        <w:rPr>
          <w:rFonts w:hint="cs"/>
          <w:rtl/>
          <w:lang w:bidi="ar-EG"/>
        </w:rPr>
        <w:t>ا</w:t>
      </w:r>
      <w:r w:rsidR="00B03B5D" w:rsidRPr="00B03B5D">
        <w:rPr>
          <w:rtl/>
          <w:lang w:bidi="ar-EG"/>
        </w:rPr>
        <w:t xml:space="preserve">ستمر دفع رواتب موظفي أمانة </w:t>
      </w:r>
      <w:r w:rsidR="00AB0555">
        <w:rPr>
          <w:rFonts w:hint="cs"/>
          <w:rtl/>
          <w:lang w:bidi="ar-EG"/>
        </w:rPr>
        <w:t>تليكوم</w:t>
      </w:r>
      <w:r w:rsidR="00B03B5D" w:rsidRPr="00B03B5D">
        <w:rPr>
          <w:rtl/>
          <w:lang w:bidi="ar-EG"/>
        </w:rPr>
        <w:t xml:space="preserve">. </w:t>
      </w:r>
      <w:r w:rsidR="00AB0555">
        <w:rPr>
          <w:rFonts w:hint="cs"/>
          <w:rtl/>
          <w:lang w:bidi="ar-EG"/>
        </w:rPr>
        <w:t>وسُددت</w:t>
      </w:r>
      <w:r w:rsidR="00B03B5D" w:rsidRPr="00B03B5D">
        <w:rPr>
          <w:rtl/>
          <w:lang w:bidi="ar-EG"/>
        </w:rPr>
        <w:t xml:space="preserve"> رسوم الاستشارات المدفوعة لشركة </w:t>
      </w:r>
      <w:proofErr w:type="spellStart"/>
      <w:r w:rsidR="00AB0555" w:rsidRPr="00AB0555">
        <w:rPr>
          <w:rtl/>
          <w:lang w:bidi="ar-EG"/>
        </w:rPr>
        <w:t>دالبيرغ</w:t>
      </w:r>
      <w:proofErr w:type="spellEnd"/>
      <w:r w:rsidR="00AB0555" w:rsidRPr="00AB0555">
        <w:rPr>
          <w:rtl/>
          <w:lang w:bidi="ar-EG"/>
        </w:rPr>
        <w:t xml:space="preserve"> </w:t>
      </w:r>
      <w:r w:rsidR="00B03B5D" w:rsidRPr="00B03B5D">
        <w:rPr>
          <w:rtl/>
          <w:lang w:bidi="ar-EG"/>
        </w:rPr>
        <w:t>في</w:t>
      </w:r>
      <w:r w:rsidR="00AB0555">
        <w:rPr>
          <w:rFonts w:hint="cs"/>
          <w:rtl/>
          <w:lang w:bidi="ar-EG"/>
        </w:rPr>
        <w:t xml:space="preserve"> الفترة</w:t>
      </w:r>
      <w:r w:rsidR="00B03B5D" w:rsidRPr="00B03B5D">
        <w:rPr>
          <w:rtl/>
          <w:lang w:bidi="ar-EG"/>
        </w:rPr>
        <w:t xml:space="preserve"> </w:t>
      </w:r>
      <w:r w:rsidR="00B03B5D">
        <w:rPr>
          <w:lang w:bidi="ar-EG"/>
        </w:rPr>
        <w:t>2020</w:t>
      </w:r>
      <w:r w:rsidR="00B03B5D">
        <w:rPr>
          <w:lang w:bidi="ar-EG"/>
        </w:rPr>
        <w:noBreakHyphen/>
        <w:t>2019</w:t>
      </w:r>
      <w:r w:rsidR="00B03B5D" w:rsidRPr="00B03B5D">
        <w:rPr>
          <w:rtl/>
          <w:lang w:bidi="ar-EG"/>
        </w:rPr>
        <w:t xml:space="preserve"> من صندوق رأس المال العامل للمعارض.</w:t>
      </w:r>
    </w:p>
    <w:p w14:paraId="625604C5" w14:textId="42E75942" w:rsidR="00BB7213" w:rsidRPr="00D513E6" w:rsidRDefault="00D513E6" w:rsidP="00BB7213">
      <w:pPr>
        <w:spacing w:before="600"/>
        <w:jc w:val="center"/>
        <w:rPr>
          <w:rFonts w:ascii="Traditional Arabic" w:hAnsi="Traditional Arabic" w:cs="Traditional Arabic"/>
          <w:sz w:val="30"/>
          <w:szCs w:val="30"/>
          <w:rtl/>
          <w:lang w:bidi="ar-EG"/>
        </w:rPr>
      </w:pPr>
      <w:r w:rsidRPr="00D513E6">
        <w:rPr>
          <w:rFonts w:ascii="Traditional Arabic" w:hAnsi="Traditional Arabic" w:cs="Traditional Arabic"/>
          <w:sz w:val="30"/>
          <w:szCs w:val="30"/>
          <w:rtl/>
          <w:lang w:bidi="ar-EG"/>
        </w:rPr>
        <w:t>___________</w:t>
      </w:r>
    </w:p>
    <w:sectPr w:rsidR="00BB7213" w:rsidRPr="00D513E6"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B510" w14:textId="77777777" w:rsidR="00A466D7" w:rsidRDefault="00A466D7" w:rsidP="006C3242">
      <w:pPr>
        <w:spacing w:before="0" w:line="240" w:lineRule="auto"/>
      </w:pPr>
      <w:r>
        <w:separator/>
      </w:r>
    </w:p>
  </w:endnote>
  <w:endnote w:type="continuationSeparator" w:id="0">
    <w:p w14:paraId="7D2B3276" w14:textId="77777777" w:rsidR="00A466D7" w:rsidRDefault="00A466D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E9FB" w14:textId="24577492" w:rsidR="006C3242" w:rsidRPr="00EB5C2E"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EB5C2E">
      <w:rPr>
        <w:color w:val="D9D9D9" w:themeColor="background1" w:themeShade="D9"/>
        <w:sz w:val="16"/>
        <w:szCs w:val="16"/>
        <w:lang w:val="fr-FR"/>
      </w:rPr>
      <w:fldChar w:fldCharType="begin"/>
    </w:r>
    <w:r w:rsidRPr="00EB5C2E">
      <w:rPr>
        <w:color w:val="D9D9D9" w:themeColor="background1" w:themeShade="D9"/>
        <w:sz w:val="16"/>
        <w:szCs w:val="16"/>
        <w:lang w:val="fr-FR"/>
      </w:rPr>
      <w:instrText xml:space="preserve"> FILENAME \p \* MERGEFORMAT </w:instrText>
    </w:r>
    <w:r w:rsidRPr="00EB5C2E">
      <w:rPr>
        <w:color w:val="D9D9D9" w:themeColor="background1" w:themeShade="D9"/>
        <w:sz w:val="16"/>
        <w:szCs w:val="16"/>
        <w:lang w:val="fr-FR"/>
      </w:rPr>
      <w:fldChar w:fldCharType="separate"/>
    </w:r>
    <w:r w:rsidR="00D513E6" w:rsidRPr="00EB5C2E">
      <w:rPr>
        <w:noProof/>
        <w:color w:val="D9D9D9" w:themeColor="background1" w:themeShade="D9"/>
        <w:sz w:val="16"/>
        <w:szCs w:val="16"/>
        <w:lang w:val="fr-FR"/>
      </w:rPr>
      <w:t>P:\ARA\SG\CONSEIL\C21\000\065ADD01A.docx</w:t>
    </w:r>
    <w:r w:rsidRPr="00EB5C2E">
      <w:rPr>
        <w:color w:val="D9D9D9" w:themeColor="background1" w:themeShade="D9"/>
        <w:sz w:val="16"/>
        <w:szCs w:val="16"/>
      </w:rPr>
      <w:fldChar w:fldCharType="end"/>
    </w:r>
    <w:r w:rsidRPr="00EB5C2E">
      <w:rPr>
        <w:color w:val="D9D9D9" w:themeColor="background1" w:themeShade="D9"/>
        <w:sz w:val="16"/>
        <w:szCs w:val="16"/>
      </w:rPr>
      <w:t xml:space="preserve"> </w:t>
    </w:r>
    <w:r w:rsidRPr="00EB5C2E">
      <w:rPr>
        <w:color w:val="D9D9D9" w:themeColor="background1" w:themeShade="D9"/>
        <w:sz w:val="16"/>
        <w:szCs w:val="16"/>
        <w:lang w:val="fr-FR"/>
      </w:rPr>
      <w:t xml:space="preserve"> (</w:t>
    </w:r>
    <w:r w:rsidR="000A279D" w:rsidRPr="00EB5C2E">
      <w:rPr>
        <w:color w:val="D9D9D9" w:themeColor="background1" w:themeShade="D9"/>
        <w:sz w:val="16"/>
        <w:szCs w:val="16"/>
        <w:lang w:val="fr-FR"/>
      </w:rPr>
      <w:t>485503</w:t>
    </w:r>
    <w:r w:rsidRPr="00EB5C2E">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B52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4DAF" w14:textId="77777777" w:rsidR="00A466D7" w:rsidRDefault="00A466D7" w:rsidP="006C3242">
      <w:pPr>
        <w:spacing w:before="0" w:line="240" w:lineRule="auto"/>
      </w:pPr>
      <w:r>
        <w:separator/>
      </w:r>
    </w:p>
  </w:footnote>
  <w:footnote w:type="continuationSeparator" w:id="0">
    <w:p w14:paraId="4B0B45FB" w14:textId="77777777" w:rsidR="00A466D7" w:rsidRDefault="00A466D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8077" w14:textId="7EAE8ACF" w:rsidR="00447F32" w:rsidRPr="00447F32" w:rsidRDefault="00A466D7"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3531AD">
          <w:rPr>
            <w:rFonts w:cs="Calibri"/>
            <w:noProof/>
            <w:sz w:val="20"/>
            <w:szCs w:val="20"/>
          </w:rPr>
          <w:t>8</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F82094">
          <w:rPr>
            <w:rFonts w:cs="Calibri"/>
            <w:noProof/>
            <w:sz w:val="20"/>
            <w:szCs w:val="20"/>
          </w:rPr>
          <w:t>65</w:t>
        </w:r>
        <w:r w:rsidR="00D513E6">
          <w:rPr>
            <w:rFonts w:cs="Calibri"/>
            <w:noProof/>
            <w:sz w:val="20"/>
            <w:szCs w:val="20"/>
          </w:rPr>
          <w:t xml:space="preserve"> (Add.1)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94"/>
    <w:rsid w:val="00090574"/>
    <w:rsid w:val="000A279D"/>
    <w:rsid w:val="000C1C0E"/>
    <w:rsid w:val="000C2AA8"/>
    <w:rsid w:val="000C548A"/>
    <w:rsid w:val="0015650C"/>
    <w:rsid w:val="001938CA"/>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15778"/>
    <w:rsid w:val="00334924"/>
    <w:rsid w:val="003409BC"/>
    <w:rsid w:val="003531AD"/>
    <w:rsid w:val="00357185"/>
    <w:rsid w:val="003641F9"/>
    <w:rsid w:val="00371E8A"/>
    <w:rsid w:val="00383829"/>
    <w:rsid w:val="0039438B"/>
    <w:rsid w:val="003C6B4F"/>
    <w:rsid w:val="003F4B29"/>
    <w:rsid w:val="0042686F"/>
    <w:rsid w:val="004317D8"/>
    <w:rsid w:val="00434183"/>
    <w:rsid w:val="00443869"/>
    <w:rsid w:val="00447F32"/>
    <w:rsid w:val="00497A51"/>
    <w:rsid w:val="004A24EA"/>
    <w:rsid w:val="004E11DC"/>
    <w:rsid w:val="005409AC"/>
    <w:rsid w:val="0055516A"/>
    <w:rsid w:val="00566382"/>
    <w:rsid w:val="005805EA"/>
    <w:rsid w:val="0058491B"/>
    <w:rsid w:val="00592EA5"/>
    <w:rsid w:val="005A3170"/>
    <w:rsid w:val="005B1652"/>
    <w:rsid w:val="005C0223"/>
    <w:rsid w:val="00614855"/>
    <w:rsid w:val="00671CB8"/>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7F3464"/>
    <w:rsid w:val="00810B7B"/>
    <w:rsid w:val="0082358A"/>
    <w:rsid w:val="008235CD"/>
    <w:rsid w:val="008247DE"/>
    <w:rsid w:val="008309A4"/>
    <w:rsid w:val="008374B7"/>
    <w:rsid w:val="00840B10"/>
    <w:rsid w:val="0084196C"/>
    <w:rsid w:val="008513CB"/>
    <w:rsid w:val="008A539E"/>
    <w:rsid w:val="008A7F84"/>
    <w:rsid w:val="008F4CF7"/>
    <w:rsid w:val="0091702E"/>
    <w:rsid w:val="00923B0C"/>
    <w:rsid w:val="0094021C"/>
    <w:rsid w:val="00952F86"/>
    <w:rsid w:val="00982B28"/>
    <w:rsid w:val="009A5096"/>
    <w:rsid w:val="009D313F"/>
    <w:rsid w:val="009F778E"/>
    <w:rsid w:val="00A20BBE"/>
    <w:rsid w:val="00A466D7"/>
    <w:rsid w:val="00A47A5A"/>
    <w:rsid w:val="00A6683B"/>
    <w:rsid w:val="00A71040"/>
    <w:rsid w:val="00A763D7"/>
    <w:rsid w:val="00A97F94"/>
    <w:rsid w:val="00AA429C"/>
    <w:rsid w:val="00AA4D58"/>
    <w:rsid w:val="00AB0555"/>
    <w:rsid w:val="00AB2682"/>
    <w:rsid w:val="00B03099"/>
    <w:rsid w:val="00B03B5D"/>
    <w:rsid w:val="00B05BC8"/>
    <w:rsid w:val="00B477BE"/>
    <w:rsid w:val="00B64B47"/>
    <w:rsid w:val="00BB7213"/>
    <w:rsid w:val="00C002DE"/>
    <w:rsid w:val="00C15BEB"/>
    <w:rsid w:val="00C53BF8"/>
    <w:rsid w:val="00C55D8F"/>
    <w:rsid w:val="00C566BA"/>
    <w:rsid w:val="00C66157"/>
    <w:rsid w:val="00C674FE"/>
    <w:rsid w:val="00C67501"/>
    <w:rsid w:val="00C67A87"/>
    <w:rsid w:val="00C75633"/>
    <w:rsid w:val="00CE2EE1"/>
    <w:rsid w:val="00CE3349"/>
    <w:rsid w:val="00CE36E5"/>
    <w:rsid w:val="00CF27F5"/>
    <w:rsid w:val="00CF3FFD"/>
    <w:rsid w:val="00D10CCF"/>
    <w:rsid w:val="00D5118B"/>
    <w:rsid w:val="00D513E6"/>
    <w:rsid w:val="00D77D0F"/>
    <w:rsid w:val="00D81FB8"/>
    <w:rsid w:val="00DA1CF0"/>
    <w:rsid w:val="00DC1E02"/>
    <w:rsid w:val="00DC24B4"/>
    <w:rsid w:val="00DC5FB0"/>
    <w:rsid w:val="00DF16DC"/>
    <w:rsid w:val="00E45211"/>
    <w:rsid w:val="00E473C5"/>
    <w:rsid w:val="00E92863"/>
    <w:rsid w:val="00EB5C2E"/>
    <w:rsid w:val="00EB796D"/>
    <w:rsid w:val="00F058DC"/>
    <w:rsid w:val="00F24FC4"/>
    <w:rsid w:val="00F2676C"/>
    <w:rsid w:val="00F46C8E"/>
    <w:rsid w:val="00F82094"/>
    <w:rsid w:val="00F84366"/>
    <w:rsid w:val="00F85089"/>
    <w:rsid w:val="00F974C5"/>
    <w:rsid w:val="00FA6F46"/>
    <w:rsid w:val="00FE5872"/>
    <w:rsid w:val="00FE7FCA"/>
    <w:rsid w:val="00FF0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2491A"/>
  <w15:chartTrackingRefBased/>
  <w15:docId w15:val="{3BBCA41A-1779-4794-8F2B-BA91861D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NormalaftertitleChar">
    <w:name w:val="Normal after title Char"/>
    <w:basedOn w:val="DefaultParagraphFont"/>
    <w:link w:val="Normalaftertitle"/>
    <w:rsid w:val="00F82094"/>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POOL\TRAD\A\SG\CONSEIL\C21\000\www"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47E5-0BF9-4BCE-B64A-7E118ECC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budget of the Union for 2022-2023</dc:title>
  <dc:subject>Council 2021, Virtual consultation of councillors</dc:subject>
  <dc:creator>Elbahnassawy, Ganat</dc:creator>
  <cp:keywords>C2021, C21, VCC, C21-VCC-1</cp:keywords>
  <dc:description/>
  <cp:lastModifiedBy>Brouard, Ricarda</cp:lastModifiedBy>
  <cp:revision>3</cp:revision>
  <dcterms:created xsi:type="dcterms:W3CDTF">2021-04-28T19:15:00Z</dcterms:created>
  <dcterms:modified xsi:type="dcterms:W3CDTF">2021-04-28T19:15:00Z</dcterms:modified>
</cp:coreProperties>
</file>